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000080"/>
          <w:sz w:val="20"/>
          <w:highlight w:val="cyan"/>
          <w:lang w:val="zh-CN"/>
        </w:rPr>
      </w:pPr>
      <w:bookmarkStart w:id="0" w:name="EBd0c1b2c897364fc6b545563a9c9f821b"/>
      <w:bookmarkStart w:id="1" w:name="_Toc471811436"/>
      <w:bookmarkStart w:id="2" w:name="_Toc77851049"/>
      <w:bookmarkStart w:id="3" w:name="_Toc36214154"/>
      <w:bookmarkStart w:id="4" w:name="_Toc77852167"/>
      <w:bookmarkStart w:id="5" w:name="_Toc471809121"/>
      <w:bookmarkStart w:id="6" w:name="_Toc36208623"/>
      <w:bookmarkStart w:id="7" w:name="_Toc471809056"/>
      <w:bookmarkStart w:id="8" w:name="_Toc418757372"/>
      <w:bookmarkStart w:id="9" w:name="_Toc471812626"/>
      <w:bookmarkStart w:id="10" w:name="_Toc417478521"/>
      <w:r>
        <w:rPr>
          <w:rFonts w:hint="eastAsia"/>
          <w:color w:val="000000"/>
          <w:sz w:val="20"/>
          <w:highlight w:val="white"/>
          <w:lang w:val="zh-CN"/>
        </w:rPr>
        <w:t xml:space="preserve"> </w:t>
      </w:r>
      <w:bookmarkEnd w:id="0"/>
      <w:bookmarkStart w:id="11" w:name="EBd25fa45e49e64950aeedb902c8cddc06"/>
      <w:r>
        <w:rPr>
          <w:rFonts w:hint="eastAsia"/>
          <w:color w:val="000000"/>
          <w:sz w:val="20"/>
          <w:highlight w:val="white"/>
          <w:lang w:val="zh-CN"/>
        </w:rPr>
        <w:t xml:space="preserve"> </w:t>
      </w:r>
      <w:bookmarkEnd w:id="11"/>
    </w:p>
    <w:p>
      <w:pPr>
        <w:rPr>
          <w:lang w:val="zh-CN"/>
        </w:rPr>
      </w:pPr>
    </w:p>
    <w:p>
      <w:pPr>
        <w:spacing w:line="360" w:lineRule="auto"/>
        <w:jc w:val="center"/>
        <w:rPr>
          <w:rFonts w:ascii="宋体" w:hAnsi="宋体"/>
          <w:b/>
          <w:bCs/>
          <w:color w:val="000000"/>
          <w:sz w:val="52"/>
          <w:szCs w:val="52"/>
          <w:highlight w:val="white"/>
          <w:lang w:val="zh-CN"/>
        </w:rPr>
      </w:pPr>
      <w:r>
        <w:rPr>
          <w:rFonts w:hint="eastAsia" w:ascii="宋体" w:hAnsi="宋体"/>
          <w:b/>
          <w:bCs/>
          <w:color w:val="000000"/>
          <w:sz w:val="52"/>
          <w:szCs w:val="52"/>
          <w:highlight w:val="white"/>
          <w:lang w:val="zh-CN"/>
        </w:rPr>
        <w:t>工程技术公司永磁系列潜油电机等物资采购专有协议--标段六</w:t>
      </w:r>
    </w:p>
    <w:p>
      <w:pPr>
        <w:spacing w:line="360" w:lineRule="auto"/>
        <w:jc w:val="center"/>
        <w:rPr>
          <w:rFonts w:ascii="宋体" w:hAnsi="宋体"/>
          <w:b/>
          <w:bCs/>
          <w:szCs w:val="21"/>
          <w:u w:val="single"/>
          <w:lang w:val="zh-CN"/>
        </w:rPr>
      </w:pPr>
    </w:p>
    <w:p>
      <w:pPr>
        <w:spacing w:line="360" w:lineRule="auto"/>
        <w:jc w:val="center"/>
        <w:rPr>
          <w:rFonts w:ascii="宋体" w:hAnsi="宋体"/>
          <w:b/>
          <w:bCs/>
          <w:sz w:val="52"/>
          <w:szCs w:val="52"/>
          <w:highlight w:val="green"/>
          <w:lang w:val="zh-CN"/>
        </w:rPr>
      </w:pPr>
      <w:bookmarkStart w:id="12" w:name="EBee07f679ebaa4fab9e7aef2a9796e49f"/>
      <w:r>
        <w:rPr>
          <w:rFonts w:hint="eastAsia" w:ascii="宋体" w:hAnsi="宋体"/>
          <w:b/>
          <w:bCs/>
          <w:color w:val="000000"/>
          <w:sz w:val="52"/>
          <w:szCs w:val="52"/>
          <w:highlight w:val="white"/>
          <w:lang w:val="zh-CN"/>
        </w:rPr>
        <w:t>公开资格预审文件</w:t>
      </w:r>
      <w:bookmarkEnd w:id="12"/>
    </w:p>
    <w:p>
      <w:pPr>
        <w:spacing w:line="360" w:lineRule="auto"/>
        <w:jc w:val="center"/>
        <w:rPr>
          <w:rFonts w:ascii="宋体" w:hAnsi="宋体"/>
          <w:b/>
          <w:bCs/>
          <w:sz w:val="52"/>
          <w:szCs w:val="52"/>
          <w:lang w:val="zh-CN"/>
        </w:rPr>
      </w:pPr>
    </w:p>
    <w:p>
      <w:pPr>
        <w:spacing w:line="360" w:lineRule="auto"/>
        <w:jc w:val="center"/>
        <w:rPr>
          <w:rFonts w:ascii="宋体" w:hAnsi="宋体"/>
          <w:i/>
          <w:szCs w:val="21"/>
        </w:rPr>
      </w:pPr>
      <w:r>
        <w:rPr>
          <w:rFonts w:hint="eastAsia" w:ascii="宋体" w:hAnsi="宋体"/>
          <w:b/>
          <w:bCs/>
          <w:color w:val="000000"/>
          <w:sz w:val="30"/>
          <w:szCs w:val="30"/>
          <w:highlight w:val="white"/>
          <w:lang w:val="zh-CN"/>
        </w:rPr>
        <w:t>标段（包）编号：</w:t>
      </w:r>
      <w:r>
        <w:rPr>
          <w:rFonts w:hint="eastAsia" w:ascii="宋体" w:hAnsi="宋体"/>
          <w:b/>
          <w:bCs/>
          <w:color w:val="000000"/>
          <w:sz w:val="30"/>
          <w:szCs w:val="30"/>
          <w:highlight w:val="none"/>
          <w:lang w:val="zh-CN"/>
        </w:rPr>
        <w:t>GK-2025-ZC-1263/01/06</w:t>
      </w:r>
    </w:p>
    <w:p>
      <w:pPr>
        <w:spacing w:line="360" w:lineRule="auto"/>
        <w:jc w:val="center"/>
        <w:rPr>
          <w:rFonts w:ascii="宋体" w:hAnsi="宋体"/>
          <w:b/>
          <w:bCs/>
          <w:szCs w:val="21"/>
          <w:u w:val="single"/>
          <w:lang w:val="zh-CN"/>
        </w:rPr>
      </w:pPr>
    </w:p>
    <w:p>
      <w:pPr>
        <w:spacing w:line="360" w:lineRule="auto"/>
        <w:jc w:val="center"/>
        <w:rPr>
          <w:rFonts w:ascii="宋体" w:hAnsi="宋体"/>
          <w:b/>
          <w:bCs/>
          <w:szCs w:val="21"/>
          <w:u w:val="single"/>
          <w:lang w:val="zh-CN"/>
        </w:rPr>
      </w:pPr>
    </w:p>
    <w:p>
      <w:pPr>
        <w:spacing w:line="360" w:lineRule="auto"/>
        <w:jc w:val="center"/>
        <w:rPr>
          <w:rFonts w:ascii="宋体" w:hAnsi="宋体"/>
          <w:b/>
          <w:bCs/>
          <w:szCs w:val="21"/>
          <w:u w:val="single"/>
          <w:lang w:val="zh-CN"/>
        </w:rPr>
      </w:pPr>
    </w:p>
    <w:p>
      <w:pPr>
        <w:spacing w:line="360" w:lineRule="auto"/>
        <w:jc w:val="center"/>
        <w:rPr>
          <w:rFonts w:ascii="宋体" w:hAnsi="宋体"/>
          <w:b/>
          <w:bCs/>
          <w:szCs w:val="21"/>
          <w:u w:val="single"/>
          <w:lang w:val="zh-CN"/>
        </w:rPr>
      </w:pPr>
    </w:p>
    <w:p>
      <w:pPr>
        <w:spacing w:line="360" w:lineRule="auto"/>
        <w:jc w:val="center"/>
        <w:rPr>
          <w:rFonts w:ascii="宋体" w:hAnsi="宋体"/>
        </w:rPr>
      </w:pPr>
      <w:r>
        <w:rPr>
          <w:rFonts w:ascii="宋体" w:hAnsi="宋体"/>
        </w:rPr>
        <w:object>
          <v:shape id="_x0000_i1025" o:spt="75" type="#_x0000_t75" style="height:81.7pt;width:91.4pt;" o:ole="t" fillcolor="#6D6D6D" filled="f" o:preferrelative="t" stroked="f" coordsize="21600,21600">
            <v:path/>
            <v:fill on="f" focussize="0,0"/>
            <v:stroke on="f" joinstyle="miter"/>
            <v:imagedata r:id="rId21" cropleft="-2204f" croptop="-1811f" cropright="-2204f" cropbottom="-1811f" o:title=""/>
            <o:lock v:ext="edit" aspectratio="t"/>
            <w10:wrap type="none"/>
            <w10:anchorlock/>
          </v:shape>
          <o:OLEObject Type="Embed" ProgID="MSDraw" ShapeID="_x0000_i1025" DrawAspect="Content" ObjectID="_1468075725" r:id="rId20">
            <o:LockedField>false</o:LockedField>
          </o:OLEObject>
        </w:object>
      </w:r>
    </w:p>
    <w:p>
      <w:pPr>
        <w:spacing w:line="360" w:lineRule="auto"/>
        <w:jc w:val="center"/>
        <w:rPr>
          <w:rFonts w:ascii="宋体" w:hAnsi="宋体"/>
        </w:rPr>
      </w:pPr>
    </w:p>
    <w:p>
      <w:pPr>
        <w:spacing w:line="360" w:lineRule="auto"/>
        <w:jc w:val="center"/>
        <w:rPr>
          <w:rFonts w:ascii="宋体" w:hAnsi="宋体"/>
        </w:rPr>
      </w:pPr>
    </w:p>
    <w:p>
      <w:pPr>
        <w:spacing w:line="360" w:lineRule="auto"/>
        <w:rPr>
          <w:rFonts w:ascii="宋体" w:hAnsi="宋体"/>
          <w:szCs w:val="21"/>
          <w:u w:val="single"/>
        </w:rPr>
      </w:pPr>
      <w:r>
        <w:rPr>
          <w:rFonts w:hint="eastAsia" w:ascii="宋体" w:hAnsi="宋体"/>
          <w:b/>
          <w:color w:val="000000"/>
          <w:sz w:val="32"/>
          <w:szCs w:val="32"/>
          <w:highlight w:val="white"/>
        </w:rPr>
        <w:t>招   标   人：</w:t>
      </w:r>
      <w:bookmarkStart w:id="13" w:name="EBb3610d2502424e91971afb4ebc0cf850"/>
      <w:r>
        <w:rPr>
          <w:rFonts w:hint="eastAsia" w:ascii="宋体" w:hAnsi="宋体"/>
          <w:b/>
          <w:color w:val="000000"/>
          <w:sz w:val="32"/>
          <w:szCs w:val="32"/>
          <w:highlight w:val="white"/>
        </w:rPr>
        <w:t>中海油能源发展股份有限公司</w:t>
      </w:r>
      <w:bookmarkEnd w:id="13"/>
    </w:p>
    <w:p>
      <w:pPr>
        <w:spacing w:line="360" w:lineRule="auto"/>
        <w:rPr>
          <w:rFonts w:ascii="宋体" w:hAnsi="宋体"/>
          <w:b/>
          <w:i/>
          <w:sz w:val="32"/>
          <w:szCs w:val="32"/>
        </w:rPr>
      </w:pPr>
    </w:p>
    <w:p>
      <w:pPr>
        <w:spacing w:line="360" w:lineRule="auto"/>
        <w:rPr>
          <w:rFonts w:ascii="宋体" w:hAnsi="宋体"/>
          <w:b/>
          <w:sz w:val="32"/>
          <w:szCs w:val="32"/>
        </w:rPr>
      </w:pPr>
      <w:r>
        <w:rPr>
          <w:rFonts w:hint="eastAsia" w:ascii="宋体" w:hAnsi="宋体"/>
          <w:b/>
          <w:color w:val="000000"/>
          <w:sz w:val="32"/>
          <w:szCs w:val="32"/>
          <w:highlight w:val="white"/>
        </w:rPr>
        <w:t>日　　　　期：</w:t>
      </w:r>
      <w:bookmarkStart w:id="14" w:name="EB41bbe033febf4ea1b8094f909ee970af"/>
      <w:r>
        <w:rPr>
          <w:rFonts w:hint="eastAsia" w:ascii="宋体" w:hAnsi="宋体"/>
          <w:b/>
          <w:color w:val="000000"/>
          <w:sz w:val="32"/>
          <w:szCs w:val="32"/>
          <w:highlight w:val="white"/>
        </w:rPr>
        <w:t>202</w:t>
      </w:r>
      <w:r>
        <w:rPr>
          <w:rFonts w:hint="eastAsia" w:ascii="宋体" w:hAnsi="宋体"/>
          <w:b/>
          <w:color w:val="000000"/>
          <w:sz w:val="32"/>
          <w:szCs w:val="32"/>
          <w:highlight w:val="white"/>
          <w:lang w:val="en-US" w:eastAsia="zh-CN"/>
        </w:rPr>
        <w:t>5</w:t>
      </w:r>
      <w:r>
        <w:rPr>
          <w:rFonts w:hint="eastAsia" w:ascii="宋体" w:hAnsi="宋体"/>
          <w:b/>
          <w:color w:val="000000"/>
          <w:sz w:val="32"/>
          <w:szCs w:val="32"/>
          <w:highlight w:val="white"/>
        </w:rPr>
        <w:t>年</w:t>
      </w:r>
      <w:r>
        <w:rPr>
          <w:rFonts w:hint="eastAsia" w:ascii="宋体" w:hAnsi="宋体"/>
          <w:b/>
          <w:color w:val="000000"/>
          <w:sz w:val="32"/>
          <w:szCs w:val="32"/>
          <w:highlight w:val="white"/>
          <w:lang w:val="en-US" w:eastAsia="zh-CN"/>
        </w:rPr>
        <w:t>5</w:t>
      </w:r>
      <w:r>
        <w:rPr>
          <w:rFonts w:hint="eastAsia" w:ascii="宋体" w:hAnsi="宋体"/>
          <w:b/>
          <w:color w:val="000000"/>
          <w:sz w:val="32"/>
          <w:szCs w:val="32"/>
          <w:highlight w:val="white"/>
        </w:rPr>
        <w:t>月</w:t>
      </w:r>
      <w:bookmarkEnd w:id="14"/>
    </w:p>
    <w:p>
      <w:pPr>
        <w:rPr>
          <w:rFonts w:ascii="宋体" w:hAnsi="宋体"/>
          <w:b/>
          <w:sz w:val="32"/>
          <w:szCs w:val="32"/>
        </w:rPr>
      </w:pPr>
    </w:p>
    <w:p/>
    <w:p>
      <w:pPr>
        <w:rPr>
          <w:color w:val="000080"/>
          <w:sz w:val="20"/>
          <w:szCs w:val="32"/>
          <w:highlight w:val="cyan"/>
        </w:rPr>
      </w:pPr>
      <w:bookmarkStart w:id="15" w:name="EBb18047ae64264505acc9a00969d1925d"/>
      <w:r>
        <w:rPr>
          <w:rFonts w:hint="eastAsia"/>
          <w:color w:val="000000"/>
          <w:sz w:val="20"/>
          <w:szCs w:val="32"/>
          <w:highlight w:val="white"/>
        </w:rPr>
        <w:t xml:space="preserve"> </w:t>
      </w:r>
      <w:bookmarkEnd w:id="15"/>
    </w:p>
    <w:p>
      <w:pPr>
        <w:rPr>
          <w:color w:val="000080"/>
          <w:sz w:val="20"/>
          <w:szCs w:val="32"/>
          <w:highlight w:val="cyan"/>
        </w:rPr>
      </w:pPr>
      <w:r>
        <w:rPr>
          <w:color w:val="000000"/>
          <w:sz w:val="20"/>
          <w:szCs w:val="32"/>
          <w:highlight w:val="white"/>
        </w:rPr>
        <w:br w:type="page"/>
      </w:r>
    </w:p>
    <w:p>
      <w:pPr>
        <w:pStyle w:val="22"/>
        <w:autoSpaceDE w:val="0"/>
        <w:autoSpaceDN w:val="0"/>
        <w:adjustRightInd w:val="0"/>
        <w:spacing w:line="360" w:lineRule="auto"/>
        <w:ind w:right="-533" w:rightChars="-254"/>
        <w:jc w:val="center"/>
        <w:rPr>
          <w:rFonts w:ascii="宋体" w:hAnsi="宋体"/>
          <w:b/>
          <w:bCs/>
          <w:sz w:val="44"/>
          <w:szCs w:val="44"/>
          <w:lang w:val="zh-CN"/>
        </w:rPr>
      </w:pPr>
      <w:bookmarkStart w:id="16" w:name="EB44b2e17b83694085b5e9041e1ff2cf69"/>
    </w:p>
    <w:p>
      <w:pPr>
        <w:pStyle w:val="22"/>
        <w:autoSpaceDE w:val="0"/>
        <w:autoSpaceDN w:val="0"/>
        <w:adjustRightInd w:val="0"/>
        <w:spacing w:line="360" w:lineRule="auto"/>
        <w:ind w:right="-533" w:rightChars="-254"/>
        <w:jc w:val="center"/>
        <w:outlineLvl w:val="0"/>
        <w:rPr>
          <w:rFonts w:ascii="宋体" w:hAnsi="宋体"/>
          <w:b/>
          <w:bCs/>
          <w:sz w:val="44"/>
          <w:szCs w:val="44"/>
          <w:lang w:val="zh-CN"/>
        </w:rPr>
      </w:pPr>
      <w:r>
        <w:rPr>
          <w:rFonts w:ascii="宋体" w:hAnsi="宋体"/>
          <w:b/>
          <w:bCs/>
          <w:color w:val="000000"/>
          <w:sz w:val="44"/>
          <w:szCs w:val="44"/>
          <w:lang w:val="zh-CN"/>
        </w:rPr>
        <w:t>第一</w:t>
      </w:r>
      <w:r>
        <w:rPr>
          <w:rFonts w:hint="eastAsia" w:ascii="宋体" w:hAnsi="宋体"/>
          <w:b/>
          <w:bCs/>
          <w:color w:val="000000"/>
          <w:sz w:val="44"/>
          <w:szCs w:val="44"/>
          <w:lang w:val="zh-CN"/>
        </w:rPr>
        <w:t>章</w:t>
      </w:r>
      <w:r>
        <w:rPr>
          <w:rFonts w:ascii="宋体" w:hAnsi="宋体"/>
          <w:b/>
          <w:bCs/>
          <w:color w:val="000000"/>
          <w:sz w:val="44"/>
          <w:szCs w:val="44"/>
          <w:lang w:val="zh-CN"/>
        </w:rPr>
        <w:t xml:space="preserve"> 招标公告</w:t>
      </w:r>
    </w:p>
    <w:p>
      <w:pPr>
        <w:pStyle w:val="22"/>
        <w:autoSpaceDE w:val="0"/>
        <w:autoSpaceDN w:val="0"/>
        <w:adjustRightInd w:val="0"/>
        <w:spacing w:line="360" w:lineRule="auto"/>
        <w:ind w:right="-533" w:rightChars="-254" w:firstLine="2891"/>
        <w:rPr>
          <w:rFonts w:ascii="宋体" w:hAnsi="宋体"/>
          <w:b/>
          <w:bCs/>
          <w:sz w:val="24"/>
          <w:lang w:val="zh-CN"/>
        </w:rPr>
      </w:pPr>
    </w:p>
    <w:p>
      <w:pPr>
        <w:pStyle w:val="23"/>
        <w:rPr>
          <w:color w:val="000080"/>
          <w:sz w:val="20"/>
          <w:highlight w:val="white"/>
        </w:rPr>
      </w:pPr>
      <w:r>
        <w:rPr>
          <w:rFonts w:hint="eastAsia"/>
          <w:color w:val="000000"/>
          <w:sz w:val="20"/>
          <w:highlight w:val="white"/>
        </w:rPr>
        <w:t xml:space="preserve"> </w:t>
      </w:r>
    </w:p>
    <w:p>
      <w:pPr>
        <w:widowControl/>
        <w:spacing w:line="375" w:lineRule="atLeast"/>
        <w:jc w:val="left"/>
        <w:rPr>
          <w:rFonts w:ascii="Arial" w:hAnsi="Arial" w:eastAsia="Arial" w:cs="Arial"/>
          <w:kern w:val="0"/>
          <w:sz w:val="24"/>
          <w:szCs w:val="24"/>
        </w:rPr>
      </w:pPr>
      <w:r>
        <w:rPr>
          <w:color w:val="000000"/>
          <w:sz w:val="20"/>
          <w:highlight w:val="white"/>
        </w:rPr>
        <w:br w:type="page"/>
      </w:r>
      <w:bookmarkEnd w:id="16"/>
      <w:bookmarkStart w:id="17" w:name="EB34d8666fe6f040578ea898e7eca70c01"/>
      <w:r>
        <w:rPr>
          <w:rFonts w:ascii="Arial" w:hAnsi="Arial" w:eastAsia="Arial" w:cs="Arial"/>
          <w:color w:val="000000"/>
          <w:kern w:val="0"/>
          <w:sz w:val="24"/>
          <w:szCs w:val="24"/>
        </w:rPr>
        <w:t>项目名称：</w:t>
      </w:r>
      <w:r>
        <w:rPr>
          <w:rFonts w:hint="eastAsia" w:ascii="Arial" w:hAnsi="Arial" w:cs="Arial"/>
          <w:color w:val="000000"/>
          <w:kern w:val="0"/>
          <w:sz w:val="24"/>
          <w:szCs w:val="24"/>
          <w:lang w:eastAsia="zh-CN"/>
        </w:rPr>
        <w:t>工程技术公司永磁系列潜油电机等物资采购专有协议--标段六</w:t>
      </w:r>
      <w:r>
        <w:rPr>
          <w:rFonts w:ascii="Arial" w:hAnsi="Arial" w:eastAsia="Arial" w:cs="Arial"/>
          <w:color w:val="000000"/>
          <w:kern w:val="0"/>
          <w:sz w:val="24"/>
          <w:szCs w:val="24"/>
        </w:rPr>
        <w:t xml:space="preserve"> </w:t>
      </w:r>
    </w:p>
    <w:p>
      <w:pPr>
        <w:widowControl/>
        <w:spacing w:line="375" w:lineRule="atLeast"/>
        <w:jc w:val="left"/>
        <w:rPr>
          <w:rFonts w:ascii="Arial" w:hAnsi="Arial" w:eastAsia="Arial" w:cs="Arial"/>
          <w:kern w:val="0"/>
          <w:sz w:val="24"/>
          <w:szCs w:val="24"/>
        </w:rPr>
      </w:pPr>
      <w:r>
        <w:rPr>
          <w:rFonts w:ascii="Arial" w:hAnsi="Arial" w:eastAsia="Arial" w:cs="Arial"/>
          <w:color w:val="000000"/>
          <w:kern w:val="0"/>
          <w:sz w:val="24"/>
          <w:szCs w:val="24"/>
        </w:rPr>
        <w:t>标段（包）编号：</w:t>
      </w:r>
      <w:r>
        <w:rPr>
          <w:rFonts w:hint="eastAsia" w:ascii="Arial" w:hAnsi="Arial" w:cs="Arial"/>
          <w:color w:val="000000"/>
          <w:kern w:val="0"/>
          <w:sz w:val="24"/>
          <w:szCs w:val="24"/>
          <w:lang w:eastAsia="zh-CN"/>
        </w:rPr>
        <w:t>GK-2025-ZC-1263/01/06</w:t>
      </w:r>
      <w:r>
        <w:rPr>
          <w:rFonts w:ascii="Arial" w:hAnsi="Arial" w:eastAsia="Arial" w:cs="Arial"/>
          <w:color w:val="000000"/>
          <w:kern w:val="0"/>
          <w:sz w:val="24"/>
          <w:szCs w:val="24"/>
        </w:rPr>
        <w:t xml:space="preserve"> </w:t>
      </w:r>
    </w:p>
    <w:p>
      <w:pPr>
        <w:widowControl/>
        <w:spacing w:line="375" w:lineRule="atLeast"/>
        <w:jc w:val="left"/>
        <w:rPr>
          <w:rFonts w:ascii="Arial" w:hAnsi="Arial" w:eastAsia="Arial" w:cs="Arial"/>
          <w:kern w:val="0"/>
          <w:sz w:val="24"/>
          <w:szCs w:val="24"/>
        </w:rPr>
      </w:pPr>
      <w:r>
        <w:rPr>
          <w:rFonts w:hint="eastAsia" w:ascii="Arial" w:hAnsi="Arial" w:cs="Arial"/>
          <w:color w:val="000000"/>
          <w:kern w:val="0"/>
          <w:sz w:val="24"/>
          <w:szCs w:val="24"/>
          <w:lang w:eastAsia="zh-CN"/>
        </w:rPr>
        <w:t>工程技术公司永磁系列潜油电机等物资采购专有协议--标段六</w:t>
      </w:r>
      <w:r>
        <w:rPr>
          <w:rFonts w:ascii="Arial" w:hAnsi="Arial" w:eastAsia="Arial" w:cs="Arial"/>
          <w:color w:val="000000"/>
          <w:kern w:val="0"/>
          <w:sz w:val="24"/>
          <w:szCs w:val="24"/>
        </w:rPr>
        <w:t>进行国内公开</w:t>
      </w:r>
      <w:r>
        <w:rPr>
          <w:rFonts w:hint="eastAsia" w:ascii="Arial" w:hAnsi="Arial" w:cs="Arial"/>
          <w:color w:val="000000"/>
          <w:kern w:val="0"/>
          <w:sz w:val="24"/>
          <w:szCs w:val="24"/>
        </w:rPr>
        <w:t>资格预审</w:t>
      </w:r>
      <w:r>
        <w:rPr>
          <w:rFonts w:ascii="Arial" w:hAnsi="Arial" w:eastAsia="Arial" w:cs="Arial"/>
          <w:color w:val="000000"/>
          <w:kern w:val="0"/>
          <w:sz w:val="24"/>
          <w:szCs w:val="24"/>
        </w:rPr>
        <w:t>。现邀请合格投标人对下列项目投标：</w:t>
      </w:r>
    </w:p>
    <w:p>
      <w:pPr>
        <w:widowControl/>
        <w:jc w:val="left"/>
        <w:rPr>
          <w:rFonts w:ascii="Arial" w:hAnsi="Arial" w:eastAsia="Arial" w:cs="Arial"/>
          <w:kern w:val="0"/>
          <w:sz w:val="24"/>
          <w:szCs w:val="24"/>
        </w:rPr>
      </w:pPr>
      <w:r>
        <w:rPr>
          <w:rFonts w:ascii="Arial" w:hAnsi="Arial" w:eastAsia="Arial" w:cs="Arial"/>
          <w:color w:val="000000"/>
          <w:kern w:val="0"/>
          <w:sz w:val="24"/>
          <w:szCs w:val="24"/>
        </w:rPr>
        <w:br w:type="textWrapping"/>
      </w:r>
    </w:p>
    <w:tbl>
      <w:tblPr>
        <w:tblStyle w:val="11"/>
        <w:tblW w:w="0" w:type="auto"/>
        <w:tblCellSpacing w:w="15" w:type="dxa"/>
        <w:tblInd w:w="15" w:type="dxa"/>
        <w:tblLayout w:type="autofit"/>
        <w:tblCellMar>
          <w:top w:w="15" w:type="dxa"/>
          <w:left w:w="15" w:type="dxa"/>
          <w:bottom w:w="15" w:type="dxa"/>
          <w:right w:w="15" w:type="dxa"/>
        </w:tblCellMar>
      </w:tblPr>
      <w:tblGrid>
        <w:gridCol w:w="2044"/>
        <w:gridCol w:w="6677"/>
      </w:tblGrid>
      <w:tr>
        <w:tblPrEx>
          <w:tblCellMar>
            <w:top w:w="15" w:type="dxa"/>
            <w:left w:w="15" w:type="dxa"/>
            <w:bottom w:w="15" w:type="dxa"/>
            <w:right w:w="15" w:type="dxa"/>
          </w:tblCellMar>
        </w:tblPrEx>
        <w:trPr>
          <w:tblCellSpacing w:w="15" w:type="dxa"/>
        </w:trPr>
        <w:tc>
          <w:tcPr>
            <w:tcW w:w="1999" w:type="dxa"/>
            <w:noWrap w:val="0"/>
            <w:tcMar>
              <w:top w:w="15" w:type="dxa"/>
              <w:left w:w="15" w:type="dxa"/>
              <w:bottom w:w="15" w:type="dxa"/>
              <w:right w:w="15" w:type="dxa"/>
            </w:tcMar>
            <w:vAlign w:val="top"/>
          </w:tcPr>
          <w:p>
            <w:pPr>
              <w:widowControl/>
              <w:jc w:val="right"/>
              <w:rPr>
                <w:rFonts w:ascii="Arial" w:hAnsi="Arial" w:eastAsia="Arial" w:cs="Arial"/>
                <w:kern w:val="0"/>
                <w:sz w:val="24"/>
                <w:szCs w:val="24"/>
              </w:rPr>
            </w:pPr>
            <w:r>
              <w:rPr>
                <w:rStyle w:val="13"/>
                <w:rFonts w:ascii="Arial" w:hAnsi="Arial" w:eastAsia="Arial" w:cs="Arial"/>
                <w:b w:val="0"/>
                <w:bCs w:val="0"/>
                <w:i w:val="0"/>
                <w:iCs w:val="0"/>
                <w:smallCaps w:val="0"/>
                <w:color w:val="000000"/>
                <w:kern w:val="0"/>
                <w:sz w:val="24"/>
                <w:szCs w:val="24"/>
                <w:u w:val="none"/>
              </w:rPr>
              <w:t>项目名称：</w:t>
            </w:r>
          </w:p>
        </w:tc>
        <w:tc>
          <w:tcPr>
            <w:tcW w:w="6632" w:type="dxa"/>
            <w:noWrap w:val="0"/>
            <w:tcMar>
              <w:top w:w="15" w:type="dxa"/>
              <w:left w:w="15" w:type="dxa"/>
              <w:bottom w:w="15" w:type="dxa"/>
              <w:right w:w="15" w:type="dxa"/>
            </w:tcMar>
            <w:vAlign w:val="center"/>
          </w:tcPr>
          <w:p>
            <w:pPr>
              <w:widowControl/>
              <w:jc w:val="left"/>
              <w:rPr>
                <w:rFonts w:hint="eastAsia" w:ascii="Arial" w:hAnsi="Arial" w:eastAsia="宋体" w:cs="Arial"/>
                <w:kern w:val="0"/>
                <w:sz w:val="24"/>
                <w:szCs w:val="24"/>
                <w:lang w:eastAsia="zh-CN"/>
              </w:rPr>
            </w:pPr>
            <w:r>
              <w:rPr>
                <w:rStyle w:val="13"/>
                <w:rFonts w:hint="eastAsia" w:ascii="Arial" w:hAnsi="Arial" w:cs="Arial"/>
                <w:b w:val="0"/>
                <w:bCs w:val="0"/>
                <w:i w:val="0"/>
                <w:iCs w:val="0"/>
                <w:smallCaps w:val="0"/>
                <w:color w:val="000000"/>
                <w:kern w:val="0"/>
                <w:sz w:val="24"/>
                <w:szCs w:val="24"/>
                <w:u w:val="none"/>
                <w:lang w:eastAsia="zh-CN"/>
              </w:rPr>
              <w:t>工程技术公司永磁系列潜油电机等物资采购专有协议--标段六</w:t>
            </w:r>
          </w:p>
        </w:tc>
      </w:tr>
      <w:tr>
        <w:tblPrEx>
          <w:tblCellMar>
            <w:top w:w="15" w:type="dxa"/>
            <w:left w:w="15" w:type="dxa"/>
            <w:bottom w:w="15" w:type="dxa"/>
            <w:right w:w="15" w:type="dxa"/>
          </w:tblCellMar>
        </w:tblPrEx>
        <w:trPr>
          <w:tblCellSpacing w:w="15" w:type="dxa"/>
        </w:trPr>
        <w:tc>
          <w:tcPr>
            <w:tcW w:w="1999" w:type="dxa"/>
            <w:noWrap w:val="0"/>
            <w:tcMar>
              <w:top w:w="15" w:type="dxa"/>
              <w:left w:w="15" w:type="dxa"/>
              <w:bottom w:w="15" w:type="dxa"/>
              <w:right w:w="15" w:type="dxa"/>
            </w:tcMar>
            <w:vAlign w:val="top"/>
          </w:tcPr>
          <w:p>
            <w:pPr>
              <w:widowControl/>
              <w:jc w:val="right"/>
              <w:rPr>
                <w:rFonts w:ascii="Arial" w:hAnsi="Arial" w:eastAsia="Arial" w:cs="Arial"/>
                <w:kern w:val="0"/>
                <w:sz w:val="24"/>
                <w:szCs w:val="24"/>
              </w:rPr>
            </w:pPr>
            <w:r>
              <w:rPr>
                <w:rStyle w:val="13"/>
                <w:rFonts w:ascii="Arial" w:hAnsi="Arial" w:eastAsia="Arial" w:cs="Arial"/>
                <w:b w:val="0"/>
                <w:bCs w:val="0"/>
                <w:i w:val="0"/>
                <w:iCs w:val="0"/>
                <w:smallCaps w:val="0"/>
                <w:color w:val="000000"/>
                <w:kern w:val="0"/>
                <w:sz w:val="24"/>
                <w:szCs w:val="24"/>
                <w:u w:val="none"/>
              </w:rPr>
              <w:t>完工期：</w:t>
            </w:r>
          </w:p>
        </w:tc>
        <w:tc>
          <w:tcPr>
            <w:tcW w:w="6632" w:type="dxa"/>
            <w:noWrap w:val="0"/>
            <w:tcMar>
              <w:top w:w="15" w:type="dxa"/>
              <w:left w:w="15" w:type="dxa"/>
              <w:bottom w:w="15" w:type="dxa"/>
              <w:right w:w="15" w:type="dxa"/>
            </w:tcMar>
            <w:vAlign w:val="center"/>
          </w:tcPr>
          <w:p>
            <w:pPr>
              <w:widowControl/>
              <w:jc w:val="left"/>
              <w:rPr>
                <w:rFonts w:ascii="Arial" w:hAnsi="Arial" w:eastAsia="Arial" w:cs="Arial"/>
                <w:kern w:val="0"/>
                <w:sz w:val="24"/>
                <w:szCs w:val="24"/>
              </w:rPr>
            </w:pPr>
            <w:r>
              <w:rPr>
                <w:rFonts w:hint="eastAsia" w:ascii="Arial" w:hAnsi="Arial" w:eastAsia="Arial" w:cs="Arial"/>
                <w:kern w:val="0"/>
                <w:sz w:val="24"/>
                <w:szCs w:val="24"/>
              </w:rPr>
              <w:t>采用“协议+订单”模式签订单价合同，合同签订有效期为3年，采用“1+1+1”合同模式，具体交货期以买方通知为准。</w:t>
            </w:r>
          </w:p>
        </w:tc>
      </w:tr>
      <w:tr>
        <w:tblPrEx>
          <w:tblCellMar>
            <w:top w:w="15" w:type="dxa"/>
            <w:left w:w="15" w:type="dxa"/>
            <w:bottom w:w="15" w:type="dxa"/>
            <w:right w:w="15" w:type="dxa"/>
          </w:tblCellMar>
        </w:tblPrEx>
        <w:trPr>
          <w:tblCellSpacing w:w="15" w:type="dxa"/>
        </w:trPr>
        <w:tc>
          <w:tcPr>
            <w:tcW w:w="1999" w:type="dxa"/>
            <w:noWrap w:val="0"/>
            <w:tcMar>
              <w:top w:w="15" w:type="dxa"/>
              <w:left w:w="15" w:type="dxa"/>
              <w:bottom w:w="15" w:type="dxa"/>
              <w:right w:w="15" w:type="dxa"/>
            </w:tcMar>
            <w:vAlign w:val="top"/>
          </w:tcPr>
          <w:p>
            <w:pPr>
              <w:widowControl/>
              <w:jc w:val="right"/>
              <w:rPr>
                <w:rFonts w:ascii="Arial" w:hAnsi="Arial" w:eastAsia="Arial" w:cs="Arial"/>
                <w:kern w:val="0"/>
                <w:sz w:val="24"/>
                <w:szCs w:val="24"/>
              </w:rPr>
            </w:pPr>
            <w:r>
              <w:rPr>
                <w:rFonts w:ascii="Arial" w:hAnsi="Arial" w:eastAsia="Arial" w:cs="Arial"/>
                <w:color w:val="000000"/>
                <w:kern w:val="0"/>
                <w:sz w:val="24"/>
                <w:szCs w:val="24"/>
              </w:rPr>
              <w:t>数量：</w:t>
            </w:r>
          </w:p>
        </w:tc>
        <w:tc>
          <w:tcPr>
            <w:tcW w:w="6632" w:type="dxa"/>
            <w:noWrap w:val="0"/>
            <w:tcMar>
              <w:top w:w="15" w:type="dxa"/>
              <w:left w:w="15" w:type="dxa"/>
              <w:bottom w:w="15" w:type="dxa"/>
              <w:right w:w="15" w:type="dxa"/>
            </w:tcMar>
            <w:vAlign w:val="center"/>
          </w:tcPr>
          <w:p>
            <w:pPr>
              <w:widowControl/>
              <w:jc w:val="left"/>
              <w:rPr>
                <w:rFonts w:ascii="Arial" w:hAnsi="Arial" w:eastAsia="Arial" w:cs="Arial"/>
                <w:kern w:val="0"/>
                <w:sz w:val="24"/>
                <w:szCs w:val="24"/>
              </w:rPr>
            </w:pPr>
            <w:r>
              <w:rPr>
                <w:rFonts w:hint="eastAsia" w:ascii="宋体" w:hAnsi="宋体" w:eastAsia="宋体" w:cs="微软雅黑"/>
                <w:b/>
                <w:bCs/>
                <w:sz w:val="21"/>
                <w:szCs w:val="21"/>
                <w:lang w:val="en-US" w:eastAsia="zh-CN"/>
              </w:rPr>
              <w:t>高转速</w:t>
            </w:r>
            <w:r>
              <w:rPr>
                <w:rFonts w:hint="eastAsia" w:ascii="宋体" w:hAnsi="宋体" w:eastAsia="宋体" w:cs="微软雅黑"/>
                <w:sz w:val="21"/>
                <w:szCs w:val="21"/>
                <w:lang w:eastAsia="zh-CN"/>
              </w:rPr>
              <w:t>永磁潜油电机估算数量</w:t>
            </w:r>
            <w:r>
              <w:rPr>
                <w:rFonts w:hint="eastAsia" w:ascii="宋体" w:hAnsi="宋体" w:eastAsia="宋体" w:cs="微软雅黑"/>
                <w:sz w:val="21"/>
                <w:szCs w:val="21"/>
                <w:lang w:val="en-US" w:eastAsia="zh-CN"/>
              </w:rPr>
              <w:t>52</w:t>
            </w:r>
            <w:r>
              <w:rPr>
                <w:rFonts w:hint="eastAsia" w:ascii="宋体" w:hAnsi="宋体" w:eastAsia="宋体" w:cs="微软雅黑"/>
                <w:sz w:val="21"/>
                <w:szCs w:val="21"/>
                <w:lang w:eastAsia="zh-CN"/>
              </w:rPr>
              <w:t>件、潜油保护器估算数量</w:t>
            </w:r>
            <w:r>
              <w:rPr>
                <w:rFonts w:hint="eastAsia" w:ascii="宋体" w:hAnsi="宋体" w:eastAsia="宋体" w:cs="微软雅黑"/>
                <w:sz w:val="21"/>
                <w:szCs w:val="21"/>
                <w:lang w:val="en-US" w:eastAsia="zh-CN"/>
              </w:rPr>
              <w:t>52</w:t>
            </w:r>
            <w:r>
              <w:rPr>
                <w:rFonts w:hint="eastAsia" w:ascii="宋体" w:hAnsi="宋体" w:eastAsia="宋体" w:cs="微软雅黑"/>
                <w:sz w:val="21"/>
                <w:szCs w:val="21"/>
                <w:lang w:eastAsia="zh-CN"/>
              </w:rPr>
              <w:t>件、</w:t>
            </w:r>
            <w:r>
              <w:rPr>
                <w:rFonts w:hint="eastAsia" w:ascii="宋体" w:hAnsi="宋体" w:eastAsia="宋体" w:cs="微软雅黑"/>
                <w:sz w:val="21"/>
                <w:szCs w:val="21"/>
                <w:lang w:val="en-US" w:eastAsia="zh-CN"/>
              </w:rPr>
              <w:t>高转速</w:t>
            </w:r>
            <w:r>
              <w:rPr>
                <w:rFonts w:hint="eastAsia" w:ascii="宋体" w:hAnsi="宋体" w:eastAsia="宋体" w:cs="微软雅黑"/>
                <w:sz w:val="21"/>
                <w:szCs w:val="21"/>
                <w:lang w:eastAsia="zh-CN"/>
              </w:rPr>
              <w:t>永磁常速电机转子估算数量</w:t>
            </w:r>
            <w:r>
              <w:rPr>
                <w:rFonts w:hint="eastAsia" w:ascii="宋体" w:hAnsi="宋体" w:eastAsia="宋体" w:cs="微软雅黑"/>
                <w:sz w:val="21"/>
                <w:szCs w:val="21"/>
                <w:lang w:val="en-US" w:eastAsia="zh-CN"/>
              </w:rPr>
              <w:t>442</w:t>
            </w:r>
            <w:r>
              <w:rPr>
                <w:rFonts w:hint="eastAsia" w:ascii="宋体" w:hAnsi="宋体" w:eastAsia="宋体" w:cs="微软雅黑"/>
                <w:sz w:val="21"/>
                <w:szCs w:val="21"/>
                <w:lang w:eastAsia="zh-CN"/>
              </w:rPr>
              <w:t>件、</w:t>
            </w:r>
            <w:r>
              <w:rPr>
                <w:rFonts w:hint="eastAsia" w:ascii="宋体" w:hAnsi="宋体" w:eastAsia="宋体" w:cs="微软雅黑"/>
                <w:sz w:val="21"/>
                <w:szCs w:val="21"/>
                <w:lang w:val="en-US" w:eastAsia="zh-CN"/>
              </w:rPr>
              <w:t>高转速</w:t>
            </w:r>
            <w:r>
              <w:rPr>
                <w:rFonts w:hint="eastAsia" w:ascii="宋体" w:hAnsi="宋体" w:eastAsia="宋体" w:cs="微软雅黑"/>
                <w:sz w:val="21"/>
                <w:szCs w:val="21"/>
                <w:lang w:eastAsia="zh-CN"/>
              </w:rPr>
              <w:t>永磁常速电机定子片估算数量</w:t>
            </w:r>
            <w:r>
              <w:rPr>
                <w:rFonts w:hint="eastAsia" w:ascii="宋体" w:hAnsi="宋体" w:eastAsia="宋体" w:cs="微软雅黑"/>
                <w:sz w:val="21"/>
                <w:szCs w:val="21"/>
                <w:lang w:val="en-US" w:eastAsia="zh-CN"/>
              </w:rPr>
              <w:t>442000</w:t>
            </w:r>
            <w:r>
              <w:rPr>
                <w:rFonts w:hint="eastAsia" w:ascii="宋体" w:hAnsi="宋体" w:eastAsia="宋体" w:cs="微软雅黑"/>
                <w:sz w:val="21"/>
                <w:szCs w:val="21"/>
                <w:lang w:eastAsia="zh-CN"/>
              </w:rPr>
              <w:t>片</w:t>
            </w:r>
            <w:r>
              <w:rPr>
                <w:rStyle w:val="13"/>
                <w:rFonts w:hint="eastAsia" w:ascii="Arial" w:hAnsi="Arial" w:eastAsia="Arial" w:cs="Arial"/>
                <w:b w:val="0"/>
                <w:bCs w:val="0"/>
                <w:i w:val="0"/>
                <w:iCs w:val="0"/>
                <w:smallCaps w:val="0"/>
                <w:color w:val="000000"/>
                <w:kern w:val="0"/>
                <w:sz w:val="24"/>
                <w:szCs w:val="24"/>
                <w:u w:val="none"/>
              </w:rPr>
              <w:t>。</w:t>
            </w:r>
            <w:r>
              <w:rPr>
                <w:rStyle w:val="13"/>
                <w:rFonts w:ascii="Arial" w:hAnsi="Arial" w:eastAsia="Arial" w:cs="Arial"/>
                <w:b w:val="0"/>
                <w:bCs w:val="0"/>
                <w:i w:val="0"/>
                <w:iCs w:val="0"/>
                <w:smallCaps w:val="0"/>
                <w:color w:val="000000"/>
                <w:kern w:val="0"/>
                <w:sz w:val="24"/>
                <w:szCs w:val="24"/>
                <w:u w:val="none"/>
              </w:rPr>
              <w:t>注：需求数量为</w:t>
            </w:r>
            <w:r>
              <w:rPr>
                <w:rStyle w:val="13"/>
                <w:rFonts w:hint="eastAsia" w:ascii="Arial" w:hAnsi="Arial" w:cs="Arial"/>
                <w:b w:val="0"/>
                <w:bCs w:val="0"/>
                <w:i w:val="0"/>
                <w:iCs w:val="0"/>
                <w:smallCaps w:val="0"/>
                <w:color w:val="000000"/>
                <w:kern w:val="0"/>
                <w:sz w:val="24"/>
                <w:szCs w:val="24"/>
                <w:u w:val="none"/>
                <w:lang w:val="en-US" w:eastAsia="zh-CN"/>
              </w:rPr>
              <w:t>3</w:t>
            </w:r>
            <w:r>
              <w:rPr>
                <w:rStyle w:val="13"/>
                <w:rFonts w:ascii="Arial" w:hAnsi="Arial" w:eastAsia="Arial" w:cs="Arial"/>
                <w:b w:val="0"/>
                <w:bCs w:val="0"/>
                <w:i w:val="0"/>
                <w:iCs w:val="0"/>
                <w:smallCaps w:val="0"/>
                <w:color w:val="000000"/>
                <w:kern w:val="0"/>
                <w:sz w:val="24"/>
                <w:szCs w:val="24"/>
                <w:u w:val="none"/>
              </w:rPr>
              <w:t>年暂估工作量，仅作为投标总价核算，非实际采购工作量；具体采购数量以年度协议下采购订单签署工作量为准。</w:t>
            </w:r>
          </w:p>
        </w:tc>
      </w:tr>
      <w:tr>
        <w:tblPrEx>
          <w:tblCellMar>
            <w:top w:w="15" w:type="dxa"/>
            <w:left w:w="15" w:type="dxa"/>
            <w:bottom w:w="15" w:type="dxa"/>
            <w:right w:w="15" w:type="dxa"/>
          </w:tblCellMar>
        </w:tblPrEx>
        <w:trPr>
          <w:tblCellSpacing w:w="15" w:type="dxa"/>
        </w:trPr>
        <w:tc>
          <w:tcPr>
            <w:tcW w:w="1999" w:type="dxa"/>
            <w:noWrap w:val="0"/>
            <w:tcMar>
              <w:top w:w="15" w:type="dxa"/>
              <w:left w:w="15" w:type="dxa"/>
              <w:bottom w:w="15" w:type="dxa"/>
              <w:right w:w="15" w:type="dxa"/>
            </w:tcMar>
            <w:vAlign w:val="top"/>
          </w:tcPr>
          <w:p>
            <w:pPr>
              <w:widowControl/>
              <w:jc w:val="right"/>
              <w:rPr>
                <w:rFonts w:ascii="Arial" w:hAnsi="Arial" w:eastAsia="Arial" w:cs="Arial"/>
                <w:kern w:val="0"/>
                <w:sz w:val="24"/>
                <w:szCs w:val="24"/>
              </w:rPr>
            </w:pPr>
            <w:r>
              <w:rPr>
                <w:rFonts w:ascii="Arial" w:hAnsi="Arial" w:eastAsia="Arial" w:cs="Arial"/>
                <w:color w:val="000000"/>
                <w:kern w:val="0"/>
                <w:sz w:val="24"/>
                <w:szCs w:val="24"/>
              </w:rPr>
              <w:t>交货地点：</w:t>
            </w:r>
          </w:p>
        </w:tc>
        <w:tc>
          <w:tcPr>
            <w:tcW w:w="6632" w:type="dxa"/>
            <w:noWrap w:val="0"/>
            <w:tcMar>
              <w:top w:w="15" w:type="dxa"/>
              <w:left w:w="15" w:type="dxa"/>
              <w:bottom w:w="15" w:type="dxa"/>
              <w:right w:w="15" w:type="dxa"/>
            </w:tcMar>
            <w:vAlign w:val="center"/>
          </w:tcPr>
          <w:p>
            <w:pPr>
              <w:widowControl/>
              <w:jc w:val="left"/>
              <w:rPr>
                <w:rFonts w:ascii="Arial" w:hAnsi="Arial" w:eastAsia="Arial" w:cs="Arial"/>
                <w:kern w:val="0"/>
                <w:sz w:val="24"/>
                <w:szCs w:val="24"/>
              </w:rPr>
            </w:pPr>
            <w:r>
              <w:rPr>
                <w:rFonts w:hint="eastAsia" w:ascii="Arial" w:hAnsi="Arial" w:eastAsia="Arial" w:cs="Arial"/>
                <w:kern w:val="0"/>
                <w:sz w:val="24"/>
                <w:szCs w:val="24"/>
              </w:rPr>
              <w:t xml:space="preserve">天津市滨海新区渤海石油新村工程技术机械采油分公司东沽库房，具体以采购订单为准。 </w:t>
            </w:r>
          </w:p>
        </w:tc>
      </w:tr>
      <w:tr>
        <w:tblPrEx>
          <w:tblCellMar>
            <w:top w:w="15" w:type="dxa"/>
            <w:left w:w="15" w:type="dxa"/>
            <w:bottom w:w="15" w:type="dxa"/>
            <w:right w:w="15" w:type="dxa"/>
          </w:tblCellMar>
        </w:tblPrEx>
        <w:trPr>
          <w:tblCellSpacing w:w="15" w:type="dxa"/>
        </w:trPr>
        <w:tc>
          <w:tcPr>
            <w:tcW w:w="1999" w:type="dxa"/>
            <w:noWrap w:val="0"/>
            <w:tcMar>
              <w:top w:w="15" w:type="dxa"/>
              <w:left w:w="15" w:type="dxa"/>
              <w:bottom w:w="15" w:type="dxa"/>
              <w:right w:w="15" w:type="dxa"/>
            </w:tcMar>
            <w:vAlign w:val="top"/>
          </w:tcPr>
          <w:p>
            <w:pPr>
              <w:widowControl/>
              <w:jc w:val="right"/>
              <w:rPr>
                <w:rFonts w:ascii="Arial" w:hAnsi="Arial" w:eastAsia="Arial" w:cs="Arial"/>
                <w:kern w:val="0"/>
                <w:sz w:val="24"/>
                <w:szCs w:val="24"/>
              </w:rPr>
            </w:pPr>
            <w:r>
              <w:rPr>
                <w:rFonts w:ascii="Arial" w:hAnsi="Arial" w:eastAsia="Arial" w:cs="Arial"/>
                <w:color w:val="000000"/>
                <w:kern w:val="0"/>
                <w:sz w:val="24"/>
                <w:szCs w:val="24"/>
              </w:rPr>
              <w:t>项目概况：</w:t>
            </w:r>
          </w:p>
        </w:tc>
        <w:tc>
          <w:tcPr>
            <w:tcW w:w="6632" w:type="dxa"/>
            <w:noWrap w:val="0"/>
            <w:tcMar>
              <w:top w:w="15" w:type="dxa"/>
              <w:left w:w="15" w:type="dxa"/>
              <w:bottom w:w="15" w:type="dxa"/>
              <w:right w:w="15" w:type="dxa"/>
            </w:tcMar>
            <w:vAlign w:val="center"/>
          </w:tcPr>
          <w:p>
            <w:pPr>
              <w:widowControl/>
              <w:jc w:val="left"/>
              <w:rPr>
                <w:rFonts w:hint="eastAsia" w:ascii="Arial" w:hAnsi="Arial" w:eastAsia="宋体" w:cs="Arial"/>
                <w:kern w:val="0"/>
                <w:sz w:val="24"/>
                <w:szCs w:val="24"/>
                <w:lang w:eastAsia="zh-CN"/>
              </w:rPr>
            </w:pPr>
            <w:r>
              <w:rPr>
                <w:rFonts w:hint="eastAsia" w:ascii="宋体" w:hAnsi="宋体" w:eastAsia="宋体" w:cs="微软雅黑"/>
                <w:kern w:val="2"/>
                <w:sz w:val="21"/>
                <w:szCs w:val="24"/>
                <w:lang w:eastAsia="zh-CN"/>
              </w:rPr>
              <w:t>为了实现海上油田进一步降低能耗，提升潜油电泵机组寿命，引进了永磁潜油电机技术。与普通的潜油电机相比具有节能、效率高、电机温升低、启动扭矩大等优点，和延长潜油电泵在大斜度井、水平井、稠油井等复杂井况中的寿命。为了满足后续海上油田对供货时效与协助提升</w:t>
            </w:r>
            <w:r>
              <w:rPr>
                <w:rFonts w:hint="eastAsia" w:ascii="宋体" w:hAnsi="宋体" w:eastAsia="宋体" w:cs="微软雅黑"/>
                <w:kern w:val="2"/>
                <w:sz w:val="21"/>
                <w:szCs w:val="24"/>
                <w:lang w:val="en-US" w:eastAsia="zh-CN"/>
              </w:rPr>
              <w:t>工程技术</w:t>
            </w:r>
            <w:r>
              <w:rPr>
                <w:rFonts w:hint="eastAsia" w:ascii="宋体" w:hAnsi="宋体" w:eastAsia="宋体" w:cs="微软雅黑"/>
                <w:kern w:val="2"/>
                <w:sz w:val="21"/>
                <w:szCs w:val="24"/>
                <w:lang w:eastAsia="zh-CN"/>
              </w:rPr>
              <w:t>公司建立永磁电机自主生产能力，特开展工程技术公司永磁系列潜油电机等物资采购专有协议--</w:t>
            </w:r>
            <w:r>
              <w:rPr>
                <w:rFonts w:hint="eastAsia" w:ascii="宋体" w:hAnsi="宋体" w:cs="微软雅黑"/>
                <w:kern w:val="2"/>
                <w:sz w:val="21"/>
                <w:szCs w:val="24"/>
                <w:lang w:eastAsia="zh-CN"/>
              </w:rPr>
              <w:t>标段六</w:t>
            </w:r>
            <w:r>
              <w:rPr>
                <w:rFonts w:hint="eastAsia" w:ascii="宋体" w:hAnsi="宋体" w:eastAsia="宋体" w:cs="微软雅黑"/>
                <w:kern w:val="2"/>
                <w:sz w:val="21"/>
                <w:szCs w:val="24"/>
                <w:lang w:eastAsia="zh-CN"/>
              </w:rPr>
              <w:t xml:space="preserve"> </w:t>
            </w:r>
            <w:r>
              <w:rPr>
                <w:rFonts w:hint="eastAsia" w:ascii="宋体" w:hAnsi="宋体" w:eastAsia="宋体" w:cs="微软雅黑"/>
                <w:kern w:val="2"/>
                <w:sz w:val="21"/>
                <w:szCs w:val="24"/>
                <w:lang w:val="en-US" w:eastAsia="zh-CN"/>
              </w:rPr>
              <w:t>采办工作</w:t>
            </w:r>
            <w:r>
              <w:rPr>
                <w:rFonts w:hint="eastAsia" w:ascii="宋体" w:hAnsi="宋体" w:eastAsia="宋体" w:cs="微软雅黑"/>
                <w:kern w:val="2"/>
                <w:sz w:val="21"/>
                <w:szCs w:val="24"/>
                <w:lang w:eastAsia="zh-CN"/>
              </w:rPr>
              <w:t xml:space="preserve"> </w:t>
            </w:r>
          </w:p>
        </w:tc>
      </w:tr>
      <w:tr>
        <w:tblPrEx>
          <w:tblCellMar>
            <w:top w:w="15" w:type="dxa"/>
            <w:left w:w="15" w:type="dxa"/>
            <w:bottom w:w="15" w:type="dxa"/>
            <w:right w:w="15" w:type="dxa"/>
          </w:tblCellMar>
        </w:tblPrEx>
        <w:trPr>
          <w:tblCellSpacing w:w="15" w:type="dxa"/>
        </w:trPr>
        <w:tc>
          <w:tcPr>
            <w:tcW w:w="1999" w:type="dxa"/>
            <w:noWrap w:val="0"/>
            <w:tcMar>
              <w:top w:w="15" w:type="dxa"/>
              <w:left w:w="15" w:type="dxa"/>
              <w:bottom w:w="15" w:type="dxa"/>
              <w:right w:w="15" w:type="dxa"/>
            </w:tcMar>
            <w:vAlign w:val="top"/>
          </w:tcPr>
          <w:p>
            <w:pPr>
              <w:widowControl/>
              <w:jc w:val="right"/>
              <w:rPr>
                <w:rFonts w:ascii="Arial" w:hAnsi="Arial" w:eastAsia="Arial" w:cs="Arial"/>
                <w:kern w:val="0"/>
                <w:sz w:val="24"/>
                <w:szCs w:val="24"/>
              </w:rPr>
            </w:pPr>
            <w:r>
              <w:rPr>
                <w:rFonts w:ascii="Arial" w:hAnsi="Arial" w:eastAsia="Arial" w:cs="Arial"/>
                <w:color w:val="000000"/>
                <w:kern w:val="0"/>
                <w:sz w:val="24"/>
                <w:szCs w:val="24"/>
              </w:rPr>
              <w:t>项目所在地：</w:t>
            </w:r>
          </w:p>
        </w:tc>
        <w:tc>
          <w:tcPr>
            <w:tcW w:w="6632" w:type="dxa"/>
            <w:noWrap w:val="0"/>
            <w:tcMar>
              <w:top w:w="15" w:type="dxa"/>
              <w:left w:w="15" w:type="dxa"/>
              <w:bottom w:w="15" w:type="dxa"/>
              <w:right w:w="15" w:type="dxa"/>
            </w:tcMar>
            <w:vAlign w:val="center"/>
          </w:tcPr>
          <w:p>
            <w:pPr>
              <w:widowControl/>
              <w:jc w:val="left"/>
              <w:rPr>
                <w:rFonts w:hint="eastAsia" w:ascii="Arial" w:hAnsi="Arial" w:eastAsia="宋体" w:cs="Arial"/>
                <w:kern w:val="0"/>
                <w:sz w:val="24"/>
                <w:szCs w:val="24"/>
                <w:lang w:eastAsia="zh-CN"/>
              </w:rPr>
            </w:pPr>
            <w:r>
              <w:rPr>
                <w:rStyle w:val="13"/>
                <w:rFonts w:hint="eastAsia" w:ascii="Arial" w:hAnsi="Arial" w:eastAsia="Arial" w:cs="Arial"/>
                <w:b w:val="0"/>
                <w:bCs w:val="0"/>
                <w:i w:val="0"/>
                <w:iCs w:val="0"/>
                <w:smallCaps w:val="0"/>
                <w:color w:val="000000"/>
                <w:kern w:val="0"/>
                <w:sz w:val="24"/>
                <w:szCs w:val="24"/>
                <w:u w:val="none"/>
                <w:lang w:val="en-US" w:eastAsia="zh-CN"/>
              </w:rPr>
              <w:t>天津滨海</w:t>
            </w:r>
          </w:p>
        </w:tc>
      </w:tr>
      <w:tr>
        <w:tblPrEx>
          <w:tblCellMar>
            <w:top w:w="15" w:type="dxa"/>
            <w:left w:w="15" w:type="dxa"/>
            <w:bottom w:w="15" w:type="dxa"/>
            <w:right w:w="15" w:type="dxa"/>
          </w:tblCellMar>
        </w:tblPrEx>
        <w:trPr>
          <w:tblCellSpacing w:w="15" w:type="dxa"/>
        </w:trPr>
        <w:tc>
          <w:tcPr>
            <w:tcW w:w="1999" w:type="dxa"/>
            <w:noWrap w:val="0"/>
            <w:tcMar>
              <w:top w:w="15" w:type="dxa"/>
              <w:left w:w="15" w:type="dxa"/>
              <w:bottom w:w="15" w:type="dxa"/>
              <w:right w:w="15" w:type="dxa"/>
            </w:tcMar>
            <w:vAlign w:val="top"/>
          </w:tcPr>
          <w:p>
            <w:pPr>
              <w:widowControl/>
              <w:jc w:val="right"/>
              <w:rPr>
                <w:rFonts w:ascii="Arial" w:hAnsi="Arial" w:eastAsia="Arial" w:cs="Arial"/>
                <w:kern w:val="0"/>
                <w:sz w:val="24"/>
                <w:szCs w:val="24"/>
              </w:rPr>
            </w:pPr>
            <w:r>
              <w:rPr>
                <w:rStyle w:val="13"/>
                <w:rFonts w:ascii="Arial" w:hAnsi="Arial" w:eastAsia="Arial" w:cs="Arial"/>
                <w:b w:val="0"/>
                <w:bCs w:val="0"/>
                <w:i w:val="0"/>
                <w:iCs w:val="0"/>
                <w:smallCaps w:val="0"/>
                <w:color w:val="000000"/>
                <w:kern w:val="0"/>
                <w:sz w:val="24"/>
                <w:szCs w:val="24"/>
                <w:u w:val="none"/>
              </w:rPr>
              <w:t>内容简介：</w:t>
            </w:r>
          </w:p>
        </w:tc>
        <w:tc>
          <w:tcPr>
            <w:tcW w:w="6632" w:type="dxa"/>
            <w:noWrap w:val="0"/>
            <w:tcMar>
              <w:top w:w="15" w:type="dxa"/>
              <w:left w:w="15" w:type="dxa"/>
              <w:bottom w:w="15" w:type="dxa"/>
              <w:right w:w="15" w:type="dxa"/>
            </w:tcMar>
            <w:vAlign w:val="center"/>
          </w:tcPr>
          <w:p>
            <w:pPr>
              <w:widowControl/>
              <w:jc w:val="left"/>
              <w:rPr>
                <w:rFonts w:ascii="Arial" w:hAnsi="Arial" w:eastAsia="Arial" w:cs="Arial"/>
                <w:kern w:val="0"/>
                <w:sz w:val="24"/>
                <w:szCs w:val="24"/>
              </w:rPr>
            </w:pPr>
            <w:r>
              <w:rPr>
                <w:rFonts w:hint="eastAsia" w:ascii="宋体" w:hAnsi="宋体" w:eastAsia="宋体" w:cs="微软雅黑"/>
                <w:kern w:val="2"/>
                <w:sz w:val="21"/>
                <w:szCs w:val="24"/>
                <w:lang w:eastAsia="zh-CN"/>
              </w:rPr>
              <w:t>350系列、450系列、562系列</w:t>
            </w:r>
            <w:r>
              <w:rPr>
                <w:rFonts w:hint="eastAsia" w:ascii="宋体" w:hAnsi="宋体" w:eastAsia="宋体" w:cs="微软雅黑"/>
                <w:kern w:val="2"/>
                <w:sz w:val="21"/>
                <w:szCs w:val="24"/>
                <w:lang w:val="en-US" w:eastAsia="zh-CN"/>
              </w:rPr>
              <w:t>高转速</w:t>
            </w:r>
            <w:r>
              <w:rPr>
                <w:rFonts w:hint="eastAsia" w:ascii="宋体" w:hAnsi="宋体" w:eastAsia="宋体" w:cs="微软雅黑"/>
                <w:kern w:val="2"/>
                <w:sz w:val="21"/>
                <w:szCs w:val="24"/>
                <w:lang w:eastAsia="zh-CN"/>
              </w:rPr>
              <w:t>永磁潜油电机；338系列、400系列、540系列潜油保护器；450系列、562系列永磁</w:t>
            </w:r>
            <w:r>
              <w:rPr>
                <w:rFonts w:hint="eastAsia" w:ascii="宋体" w:hAnsi="宋体" w:eastAsia="宋体" w:cs="微软雅黑"/>
                <w:kern w:val="2"/>
                <w:sz w:val="21"/>
                <w:szCs w:val="24"/>
                <w:lang w:val="en-US" w:eastAsia="zh-CN"/>
              </w:rPr>
              <w:t>高</w:t>
            </w:r>
            <w:r>
              <w:rPr>
                <w:rFonts w:hint="eastAsia" w:ascii="宋体" w:hAnsi="宋体" w:eastAsia="宋体" w:cs="微软雅黑"/>
                <w:kern w:val="2"/>
                <w:sz w:val="21"/>
                <w:szCs w:val="24"/>
                <w:lang w:eastAsia="zh-CN"/>
              </w:rPr>
              <w:t>速电机定子片等，详见招标文件供货要求描述。</w:t>
            </w:r>
          </w:p>
        </w:tc>
      </w:tr>
      <w:tr>
        <w:tblPrEx>
          <w:tblCellMar>
            <w:top w:w="15" w:type="dxa"/>
            <w:left w:w="15" w:type="dxa"/>
            <w:bottom w:w="15" w:type="dxa"/>
            <w:right w:w="15" w:type="dxa"/>
          </w:tblCellMar>
        </w:tblPrEx>
        <w:trPr>
          <w:tblCellSpacing w:w="15" w:type="dxa"/>
        </w:trPr>
        <w:tc>
          <w:tcPr>
            <w:tcW w:w="1999" w:type="dxa"/>
            <w:noWrap w:val="0"/>
            <w:tcMar>
              <w:top w:w="15" w:type="dxa"/>
              <w:left w:w="15" w:type="dxa"/>
              <w:bottom w:w="15" w:type="dxa"/>
              <w:right w:w="15" w:type="dxa"/>
            </w:tcMar>
            <w:vAlign w:val="top"/>
          </w:tcPr>
          <w:p>
            <w:pPr>
              <w:widowControl/>
              <w:jc w:val="right"/>
              <w:rPr>
                <w:rFonts w:ascii="Arial" w:hAnsi="Arial" w:eastAsia="Arial" w:cs="Arial"/>
                <w:kern w:val="0"/>
                <w:sz w:val="24"/>
                <w:szCs w:val="24"/>
              </w:rPr>
            </w:pPr>
            <w:r>
              <w:rPr>
                <w:rFonts w:ascii="Arial" w:hAnsi="Arial" w:eastAsia="Arial" w:cs="Arial"/>
                <w:color w:val="000000"/>
                <w:kern w:val="0"/>
                <w:sz w:val="24"/>
                <w:szCs w:val="24"/>
              </w:rPr>
              <w:t>资金来源：</w:t>
            </w:r>
          </w:p>
        </w:tc>
        <w:tc>
          <w:tcPr>
            <w:tcW w:w="6632" w:type="dxa"/>
            <w:noWrap w:val="0"/>
            <w:tcMar>
              <w:top w:w="15" w:type="dxa"/>
              <w:left w:w="15" w:type="dxa"/>
              <w:bottom w:w="15" w:type="dxa"/>
              <w:right w:w="15" w:type="dxa"/>
            </w:tcMar>
            <w:vAlign w:val="center"/>
          </w:tcPr>
          <w:p>
            <w:pPr>
              <w:widowControl/>
              <w:jc w:val="left"/>
              <w:rPr>
                <w:rFonts w:ascii="Arial" w:hAnsi="Arial" w:eastAsia="Arial" w:cs="Arial"/>
                <w:kern w:val="0"/>
                <w:sz w:val="24"/>
                <w:szCs w:val="24"/>
              </w:rPr>
            </w:pPr>
            <w:r>
              <w:rPr>
                <w:rFonts w:ascii="Arial" w:hAnsi="Arial" w:eastAsia="Arial" w:cs="Arial"/>
                <w:color w:val="000000"/>
                <w:kern w:val="0"/>
                <w:sz w:val="24"/>
                <w:szCs w:val="24"/>
              </w:rPr>
              <w:t>企业自筹</w:t>
            </w:r>
          </w:p>
        </w:tc>
      </w:tr>
      <w:tr>
        <w:tblPrEx>
          <w:tblCellMar>
            <w:top w:w="15" w:type="dxa"/>
            <w:left w:w="15" w:type="dxa"/>
            <w:bottom w:w="15" w:type="dxa"/>
            <w:right w:w="15" w:type="dxa"/>
          </w:tblCellMar>
        </w:tblPrEx>
        <w:trPr>
          <w:tblCellSpacing w:w="15" w:type="dxa"/>
        </w:trPr>
        <w:tc>
          <w:tcPr>
            <w:tcW w:w="1999" w:type="dxa"/>
            <w:noWrap w:val="0"/>
            <w:tcMar>
              <w:top w:w="15" w:type="dxa"/>
              <w:left w:w="15" w:type="dxa"/>
              <w:bottom w:w="15" w:type="dxa"/>
              <w:right w:w="15" w:type="dxa"/>
            </w:tcMar>
            <w:vAlign w:val="top"/>
          </w:tcPr>
          <w:p>
            <w:pPr>
              <w:widowControl/>
              <w:jc w:val="right"/>
              <w:rPr>
                <w:rFonts w:ascii="Arial" w:hAnsi="Arial" w:eastAsia="Arial" w:cs="Arial"/>
                <w:kern w:val="0"/>
                <w:sz w:val="24"/>
                <w:szCs w:val="24"/>
              </w:rPr>
            </w:pPr>
            <w:r>
              <w:rPr>
                <w:rFonts w:ascii="Arial" w:hAnsi="Arial" w:eastAsia="Arial" w:cs="Arial"/>
                <w:color w:val="000000"/>
                <w:kern w:val="0"/>
                <w:sz w:val="24"/>
                <w:szCs w:val="24"/>
              </w:rPr>
              <w:t>资金落实情况：</w:t>
            </w:r>
          </w:p>
        </w:tc>
        <w:tc>
          <w:tcPr>
            <w:tcW w:w="6632" w:type="dxa"/>
            <w:noWrap w:val="0"/>
            <w:tcMar>
              <w:top w:w="15" w:type="dxa"/>
              <w:left w:w="15" w:type="dxa"/>
              <w:bottom w:w="15" w:type="dxa"/>
              <w:right w:w="15" w:type="dxa"/>
            </w:tcMar>
            <w:vAlign w:val="center"/>
          </w:tcPr>
          <w:p>
            <w:pPr>
              <w:widowControl/>
              <w:jc w:val="left"/>
              <w:rPr>
                <w:rFonts w:ascii="Arial" w:hAnsi="Arial" w:eastAsia="Arial" w:cs="Arial"/>
                <w:kern w:val="0"/>
                <w:sz w:val="24"/>
                <w:szCs w:val="24"/>
              </w:rPr>
            </w:pPr>
            <w:r>
              <w:rPr>
                <w:rFonts w:ascii="Arial" w:hAnsi="Arial" w:eastAsia="Arial" w:cs="Arial"/>
                <w:color w:val="000000"/>
                <w:kern w:val="0"/>
                <w:sz w:val="24"/>
                <w:szCs w:val="24"/>
              </w:rPr>
              <w:t>已落实</w:t>
            </w:r>
          </w:p>
        </w:tc>
      </w:tr>
      <w:tr>
        <w:tblPrEx>
          <w:tblCellMar>
            <w:top w:w="15" w:type="dxa"/>
            <w:left w:w="15" w:type="dxa"/>
            <w:bottom w:w="15" w:type="dxa"/>
            <w:right w:w="15" w:type="dxa"/>
          </w:tblCellMar>
        </w:tblPrEx>
        <w:trPr>
          <w:tblCellSpacing w:w="15" w:type="dxa"/>
        </w:trPr>
        <w:tc>
          <w:tcPr>
            <w:tcW w:w="1999" w:type="dxa"/>
            <w:noWrap w:val="0"/>
            <w:tcMar>
              <w:top w:w="15" w:type="dxa"/>
              <w:left w:w="15" w:type="dxa"/>
              <w:bottom w:w="15" w:type="dxa"/>
              <w:right w:w="15" w:type="dxa"/>
            </w:tcMar>
            <w:vAlign w:val="top"/>
          </w:tcPr>
          <w:p>
            <w:pPr>
              <w:widowControl/>
              <w:jc w:val="right"/>
              <w:rPr>
                <w:rFonts w:ascii="Arial" w:hAnsi="Arial" w:eastAsia="Arial" w:cs="Arial"/>
                <w:kern w:val="0"/>
                <w:sz w:val="24"/>
                <w:szCs w:val="24"/>
              </w:rPr>
            </w:pPr>
            <w:r>
              <w:rPr>
                <w:rFonts w:ascii="Arial" w:hAnsi="Arial" w:eastAsia="Arial" w:cs="Arial"/>
                <w:color w:val="000000"/>
                <w:kern w:val="0"/>
                <w:sz w:val="24"/>
                <w:szCs w:val="24"/>
              </w:rPr>
              <w:t>资格要求：</w:t>
            </w:r>
          </w:p>
        </w:tc>
        <w:tc>
          <w:tcPr>
            <w:tcW w:w="6632" w:type="dxa"/>
            <w:noWrap w:val="0"/>
            <w:tcMar>
              <w:top w:w="15" w:type="dxa"/>
              <w:left w:w="15" w:type="dxa"/>
              <w:bottom w:w="15" w:type="dxa"/>
              <w:right w:w="15" w:type="dxa"/>
            </w:tcMar>
            <w:vAlign w:val="center"/>
          </w:tcPr>
          <w:p>
            <w:pPr>
              <w:widowControl/>
              <w:numPr>
                <w:ilvl w:val="0"/>
                <w:numId w:val="0"/>
              </w:numPr>
              <w:adjustRightInd w:val="0"/>
              <w:snapToGrid w:val="0"/>
              <w:spacing w:line="360" w:lineRule="auto"/>
              <w:ind w:left="0" w:firstLine="0"/>
              <w:jc w:val="left"/>
              <w:rPr>
                <w:rFonts w:hint="eastAsia" w:ascii="宋体" w:hAnsi="宋体" w:eastAsia="宋体" w:cs="微软雅黑"/>
                <w:sz w:val="21"/>
                <w:szCs w:val="21"/>
                <w:lang w:eastAsia="zh-CN"/>
              </w:rPr>
            </w:pPr>
            <w:r>
              <w:rPr>
                <w:rFonts w:hint="eastAsia" w:ascii="宋体" w:hAnsi="宋体" w:eastAsia="宋体" w:cs="微软雅黑"/>
                <w:sz w:val="21"/>
                <w:szCs w:val="21"/>
                <w:lang w:eastAsia="zh-CN"/>
              </w:rPr>
              <w:t xml:space="preserve">投标人须是中华人民共和国境内具有独立承担民事责任能力的法人，或具备国家认可经营资格的其他组织。  </w:t>
            </w:r>
          </w:p>
          <w:p>
            <w:pPr>
              <w:widowControl/>
              <w:numPr>
                <w:ilvl w:val="0"/>
                <w:numId w:val="1"/>
              </w:numPr>
              <w:adjustRightInd w:val="0"/>
              <w:snapToGrid w:val="0"/>
              <w:spacing w:line="360" w:lineRule="auto"/>
              <w:ind w:left="0" w:firstLine="0"/>
              <w:jc w:val="left"/>
              <w:rPr>
                <w:rFonts w:hint="eastAsia" w:ascii="宋体" w:hAnsi="宋体" w:eastAsia="宋体" w:cs="微软雅黑"/>
                <w:sz w:val="21"/>
                <w:szCs w:val="21"/>
                <w:lang w:eastAsia="zh-CN"/>
              </w:rPr>
            </w:pPr>
            <w:r>
              <w:rPr>
                <w:rFonts w:hint="eastAsia" w:ascii="宋体" w:hAnsi="宋体" w:eastAsia="宋体" w:cs="微软雅黑"/>
                <w:sz w:val="21"/>
                <w:szCs w:val="21"/>
                <w:lang w:eastAsia="zh-CN"/>
              </w:rPr>
              <w:t>投标人具有合法有效的企业法人营业执照、税务登记证及组织机构代码证或证照合一的营业执照，投标时需提供原件扫描件（原件备查）。</w:t>
            </w:r>
          </w:p>
          <w:p>
            <w:pPr>
              <w:widowControl/>
              <w:numPr>
                <w:ilvl w:val="0"/>
                <w:numId w:val="1"/>
              </w:numPr>
              <w:adjustRightInd w:val="0"/>
              <w:snapToGrid w:val="0"/>
              <w:spacing w:line="360" w:lineRule="auto"/>
              <w:ind w:left="0" w:firstLine="0"/>
              <w:jc w:val="left"/>
              <w:rPr>
                <w:rFonts w:hint="eastAsia" w:ascii="宋体" w:hAnsi="宋体" w:eastAsia="宋体" w:cs="微软雅黑"/>
                <w:sz w:val="21"/>
                <w:szCs w:val="21"/>
                <w:lang w:eastAsia="zh-CN"/>
              </w:rPr>
            </w:pPr>
            <w:r>
              <w:rPr>
                <w:rFonts w:hint="eastAsia" w:ascii="宋体" w:hAnsi="宋体" w:eastAsia="宋体" w:cs="微软雅黑"/>
                <w:sz w:val="21"/>
                <w:szCs w:val="21"/>
                <w:lang w:eastAsia="zh-CN"/>
              </w:rPr>
              <w:t>投标人为事业单位的，应具有合法有效的事业单位法人证书，投标时需提供原件扫描件（原件备查）。</w:t>
            </w:r>
          </w:p>
          <w:p>
            <w:pPr>
              <w:widowControl/>
              <w:numPr>
                <w:ilvl w:val="0"/>
                <w:numId w:val="1"/>
              </w:numPr>
              <w:adjustRightInd w:val="0"/>
              <w:snapToGrid w:val="0"/>
              <w:spacing w:line="360" w:lineRule="auto"/>
              <w:ind w:left="0" w:firstLine="0"/>
              <w:jc w:val="left"/>
              <w:rPr>
                <w:rFonts w:hint="eastAsia" w:ascii="宋体" w:hAnsi="宋体" w:eastAsia="宋体" w:cs="微软雅黑"/>
                <w:sz w:val="21"/>
                <w:szCs w:val="21"/>
                <w:lang w:eastAsia="zh-CN"/>
              </w:rPr>
            </w:pPr>
            <w:r>
              <w:rPr>
                <w:rFonts w:hint="eastAsia" w:ascii="宋体" w:hAnsi="宋体" w:eastAsia="宋体" w:cs="微软雅黑"/>
                <w:sz w:val="21"/>
                <w:szCs w:val="21"/>
                <w:lang w:eastAsia="zh-CN"/>
              </w:rPr>
              <w:t xml:space="preserve">投标人为分公司的，提供具有合法有效的营业执照和上级法人单位授权书（授权该分公司投标），认可该分公司和上级法人单位的资质、资格和业绩，不认可同一上级法人单位的其它分公司的资质、资格和业绩，投标时需提供原件扫描件（原件备查）。分公司与上级法人单位只可一家参与投标，同时参与投标的，投标均无效。    </w:t>
            </w:r>
          </w:p>
          <w:p>
            <w:pPr>
              <w:widowControl/>
              <w:numPr>
                <w:ilvl w:val="0"/>
                <w:numId w:val="0"/>
              </w:numPr>
              <w:adjustRightInd w:val="0"/>
              <w:snapToGrid w:val="0"/>
              <w:spacing w:line="360" w:lineRule="auto"/>
              <w:ind w:left="0" w:firstLine="422" w:firstLineChars="200"/>
              <w:jc w:val="left"/>
              <w:rPr>
                <w:rFonts w:hint="eastAsia" w:ascii="宋体" w:hAnsi="宋体" w:eastAsia="宋体" w:cs="微软雅黑"/>
                <w:sz w:val="21"/>
                <w:szCs w:val="21"/>
                <w:lang w:eastAsia="zh-CN"/>
              </w:rPr>
            </w:pPr>
            <w:r>
              <w:rPr>
                <w:rFonts w:hint="eastAsia" w:ascii="宋体" w:hAnsi="宋体" w:eastAsia="宋体" w:cs="微软雅黑"/>
                <w:b/>
                <w:bCs/>
                <w:sz w:val="21"/>
                <w:szCs w:val="21"/>
                <w:lang w:eastAsia="zh-CN"/>
              </w:rPr>
              <w:t xml:space="preserve">3.2 业绩要求(开标环节需要公开)： </w:t>
            </w:r>
            <w:r>
              <w:rPr>
                <w:rFonts w:hint="eastAsia" w:ascii="宋体" w:hAnsi="宋体" w:eastAsia="宋体" w:cs="微软雅黑"/>
                <w:sz w:val="21"/>
                <w:szCs w:val="21"/>
                <w:lang w:eastAsia="zh-CN"/>
              </w:rPr>
              <w:t xml:space="preserve">  </w:t>
            </w:r>
          </w:p>
          <w:p>
            <w:pPr>
              <w:widowControl/>
              <w:numPr>
                <w:ilvl w:val="0"/>
                <w:numId w:val="0"/>
              </w:numPr>
              <w:adjustRightInd w:val="0"/>
              <w:snapToGrid w:val="0"/>
              <w:spacing w:line="360" w:lineRule="auto"/>
              <w:ind w:left="0" w:firstLine="0"/>
              <w:jc w:val="left"/>
              <w:rPr>
                <w:rFonts w:hint="eastAsia" w:ascii="宋体" w:hAnsi="宋体" w:eastAsia="宋体" w:cs="微软雅黑"/>
                <w:sz w:val="21"/>
                <w:szCs w:val="21"/>
                <w:lang w:eastAsia="zh-CN"/>
              </w:rPr>
            </w:pPr>
            <w:r>
              <w:rPr>
                <w:rFonts w:hint="eastAsia" w:ascii="宋体" w:hAnsi="宋体" w:eastAsia="宋体" w:cs="微软雅黑"/>
                <w:sz w:val="21"/>
                <w:szCs w:val="21"/>
                <w:lang w:eastAsia="zh-CN"/>
              </w:rPr>
              <w:t>1）投标人合同签订时间在2020年1月1日至投标截止时间之前，具有1个已完成的永磁潜油电机或永磁转子总成</w:t>
            </w:r>
            <w:r>
              <w:rPr>
                <w:rFonts w:hint="eastAsia" w:ascii="宋体" w:hAnsi="宋体" w:eastAsia="宋体" w:cs="微软雅黑"/>
                <w:sz w:val="21"/>
                <w:szCs w:val="21"/>
                <w:highlight w:val="none"/>
                <w:lang w:eastAsia="zh-CN"/>
              </w:rPr>
              <w:t>的</w:t>
            </w:r>
            <w:r>
              <w:rPr>
                <w:rFonts w:hint="eastAsia" w:ascii="宋体" w:hAnsi="宋体" w:eastAsia="宋体" w:cs="微软雅黑"/>
                <w:sz w:val="21"/>
                <w:szCs w:val="21"/>
                <w:highlight w:val="none"/>
                <w:lang w:val="en-US" w:eastAsia="zh-CN"/>
              </w:rPr>
              <w:t>加工制造或</w:t>
            </w:r>
            <w:r>
              <w:rPr>
                <w:rFonts w:hint="eastAsia" w:ascii="宋体" w:hAnsi="宋体" w:eastAsia="宋体" w:cs="微软雅黑"/>
                <w:sz w:val="21"/>
                <w:szCs w:val="21"/>
                <w:highlight w:val="none"/>
                <w:lang w:eastAsia="zh-CN"/>
              </w:rPr>
              <w:t>销售</w:t>
            </w:r>
            <w:r>
              <w:rPr>
                <w:rFonts w:hint="eastAsia" w:ascii="宋体" w:hAnsi="宋体" w:eastAsia="宋体" w:cs="微软雅黑"/>
                <w:sz w:val="21"/>
                <w:szCs w:val="21"/>
                <w:highlight w:val="none"/>
                <w:lang w:val="en-US" w:eastAsia="zh-CN"/>
              </w:rPr>
              <w:t>或</w:t>
            </w:r>
            <w:r>
              <w:rPr>
                <w:rFonts w:hint="eastAsia" w:ascii="宋体" w:hAnsi="宋体" w:eastAsia="宋体" w:cs="微软雅黑"/>
                <w:sz w:val="21"/>
                <w:szCs w:val="21"/>
                <w:highlight w:val="none"/>
                <w:lang w:eastAsia="zh-CN"/>
              </w:rPr>
              <w:t>租赁业绩合同，</w:t>
            </w:r>
            <w:r>
              <w:rPr>
                <w:rFonts w:hint="eastAsia" w:ascii="宋体" w:hAnsi="宋体" w:eastAsia="宋体" w:cs="微软雅黑"/>
                <w:sz w:val="21"/>
                <w:szCs w:val="21"/>
                <w:lang w:eastAsia="zh-CN"/>
              </w:rPr>
              <w:t xml:space="preserve">并提供相应业绩证明文件。   </w:t>
            </w:r>
          </w:p>
          <w:p>
            <w:pPr>
              <w:widowControl/>
              <w:numPr>
                <w:ilvl w:val="0"/>
                <w:numId w:val="0"/>
              </w:numPr>
              <w:adjustRightInd w:val="0"/>
              <w:snapToGrid w:val="0"/>
              <w:spacing w:line="360" w:lineRule="auto"/>
              <w:ind w:left="0" w:firstLine="0"/>
              <w:jc w:val="left"/>
              <w:rPr>
                <w:rFonts w:hint="eastAsia" w:ascii="宋体" w:hAnsi="宋体" w:eastAsia="宋体" w:cs="微软雅黑"/>
                <w:sz w:val="21"/>
                <w:szCs w:val="21"/>
                <w:lang w:eastAsia="zh-CN"/>
              </w:rPr>
            </w:pPr>
            <w:r>
              <w:rPr>
                <w:rFonts w:hint="eastAsia" w:ascii="宋体" w:hAnsi="宋体" w:eastAsia="宋体" w:cs="微软雅黑"/>
                <w:sz w:val="21"/>
                <w:szCs w:val="21"/>
                <w:lang w:eastAsia="zh-CN"/>
              </w:rPr>
              <w:t xml:space="preserve">2）投标人提供的业绩证明文件包括：具有法律效力的业绩合同和到货验收证明材料。（提示：以上2项资料，缺少任1项将视为无效业绩导致废标） A、业绩合同应至少涵盖：合同首页、合同签署页（具有签字或盖章、合同签署时间）、供货名称、数量及关键技术指标等内容；B、到货验收材料需提供由购买方或使用方（签字或盖章）的交货验收单或出具货物验收合格的其他证明文件或结算发票。（提示：按要求提供相关资料，以上各项内容必须完全涵盖，否则将视为无效业绩导致废标）  </w:t>
            </w:r>
          </w:p>
          <w:p>
            <w:pPr>
              <w:widowControl/>
              <w:numPr>
                <w:ilvl w:val="0"/>
                <w:numId w:val="0"/>
              </w:numPr>
              <w:adjustRightInd w:val="0"/>
              <w:snapToGrid w:val="0"/>
              <w:spacing w:line="360" w:lineRule="auto"/>
              <w:ind w:left="0" w:firstLine="0"/>
              <w:jc w:val="left"/>
              <w:rPr>
                <w:rFonts w:hint="eastAsia" w:ascii="宋体" w:hAnsi="宋体" w:eastAsia="宋体" w:cs="微软雅黑"/>
                <w:sz w:val="21"/>
                <w:szCs w:val="21"/>
                <w:lang w:eastAsia="zh-CN"/>
              </w:rPr>
            </w:pPr>
            <w:r>
              <w:rPr>
                <w:rFonts w:hint="eastAsia" w:ascii="宋体" w:hAnsi="宋体" w:eastAsia="宋体" w:cs="微软雅黑"/>
                <w:sz w:val="21"/>
                <w:szCs w:val="21"/>
                <w:lang w:eastAsia="zh-CN"/>
              </w:rPr>
              <w:t xml:space="preserve">3）若业绩合同为年度协议，除提供年度协议外，还应至少提供1项已完成供货的订单、及由购买方或使用方（签字或盖章）的交货验收单或出具货物验收合格的其他证明文件或结算发票。同一个年协合同提供1项订单算为1个有效业绩。（提示：提供的业绩证明材料必须完全涵盖以上内容，否则视为无效业绩，将导致废标）   </w:t>
            </w:r>
          </w:p>
          <w:p>
            <w:pPr>
              <w:widowControl/>
              <w:numPr>
                <w:ilvl w:val="0"/>
                <w:numId w:val="0"/>
              </w:numPr>
              <w:adjustRightInd w:val="0"/>
              <w:snapToGrid w:val="0"/>
              <w:spacing w:line="360" w:lineRule="auto"/>
              <w:ind w:left="0" w:firstLine="0"/>
              <w:jc w:val="left"/>
              <w:rPr>
                <w:rFonts w:hint="eastAsia" w:ascii="宋体" w:hAnsi="宋体" w:eastAsia="宋体" w:cs="微软雅黑"/>
                <w:sz w:val="21"/>
                <w:szCs w:val="21"/>
                <w:lang w:eastAsia="zh-CN"/>
              </w:rPr>
            </w:pPr>
            <w:r>
              <w:rPr>
                <w:rFonts w:hint="eastAsia" w:ascii="宋体" w:hAnsi="宋体" w:eastAsia="宋体" w:cs="微软雅黑"/>
                <w:sz w:val="21"/>
                <w:szCs w:val="21"/>
                <w:lang w:eastAsia="zh-CN"/>
              </w:rPr>
              <w:t xml:space="preserve">4）未提供业绩证明文件或提供的业绩证明文件无法认定上述业绩要求的，视为无效业绩。 </w:t>
            </w:r>
          </w:p>
          <w:p>
            <w:pPr>
              <w:widowControl/>
              <w:numPr>
                <w:ilvl w:val="0"/>
                <w:numId w:val="0"/>
              </w:numPr>
              <w:adjustRightInd w:val="0"/>
              <w:snapToGrid w:val="0"/>
              <w:spacing w:line="360" w:lineRule="auto"/>
              <w:ind w:left="0" w:firstLine="0"/>
              <w:jc w:val="left"/>
              <w:rPr>
                <w:rFonts w:hint="eastAsia" w:ascii="宋体" w:hAnsi="宋体" w:eastAsia="宋体" w:cs="微软雅黑"/>
                <w:sz w:val="21"/>
                <w:szCs w:val="21"/>
                <w:lang w:eastAsia="zh-CN"/>
              </w:rPr>
            </w:pPr>
            <w:r>
              <w:rPr>
                <w:rFonts w:hint="eastAsia" w:ascii="宋体" w:hAnsi="宋体" w:eastAsia="宋体" w:cs="微软雅黑"/>
                <w:sz w:val="21"/>
                <w:szCs w:val="21"/>
                <w:lang w:eastAsia="zh-CN"/>
              </w:rPr>
              <w:t xml:space="preserve">5）原件备查。    </w:t>
            </w:r>
          </w:p>
          <w:p>
            <w:pPr>
              <w:widowControl/>
              <w:numPr>
                <w:ilvl w:val="0"/>
                <w:numId w:val="0"/>
              </w:numPr>
              <w:adjustRightInd w:val="0"/>
              <w:snapToGrid w:val="0"/>
              <w:spacing w:line="360" w:lineRule="auto"/>
              <w:ind w:left="0" w:firstLine="420" w:firstLineChars="200"/>
              <w:jc w:val="left"/>
              <w:rPr>
                <w:rFonts w:hint="eastAsia" w:ascii="宋体" w:hAnsi="宋体" w:eastAsia="宋体" w:cs="微软雅黑"/>
                <w:sz w:val="21"/>
                <w:szCs w:val="21"/>
                <w:lang w:eastAsia="zh-CN"/>
              </w:rPr>
            </w:pPr>
            <w:r>
              <w:rPr>
                <w:rFonts w:hint="eastAsia" w:ascii="宋体" w:hAnsi="宋体" w:eastAsia="宋体" w:cs="微软雅黑"/>
                <w:sz w:val="21"/>
                <w:szCs w:val="21"/>
                <w:lang w:eastAsia="zh-CN"/>
              </w:rPr>
              <w:t>3.3 制造商要求：</w:t>
            </w:r>
          </w:p>
          <w:p>
            <w:pPr>
              <w:pStyle w:val="2"/>
            </w:pPr>
            <w:r>
              <w:rPr>
                <w:rFonts w:hint="eastAsia" w:ascii="宋体" w:hAnsi="宋体" w:eastAsia="宋体" w:cs="微软雅黑"/>
                <w:sz w:val="21"/>
                <w:szCs w:val="21"/>
                <w:lang w:eastAsia="zh-CN"/>
              </w:rPr>
              <w:t>本次招标仅接受投标人为投标货物的制造商，不接受代理商、贸易商参与投标，不接受代加工贴牌制造。投标时提供厂房证明资料：若自有厂房提供厂房产权证，若租赁厂房提供有效的租赁合同。</w:t>
            </w:r>
          </w:p>
        </w:tc>
      </w:tr>
      <w:tr>
        <w:tblPrEx>
          <w:tblCellMar>
            <w:top w:w="15" w:type="dxa"/>
            <w:left w:w="15" w:type="dxa"/>
            <w:bottom w:w="15" w:type="dxa"/>
            <w:right w:w="15" w:type="dxa"/>
          </w:tblCellMar>
        </w:tblPrEx>
        <w:trPr>
          <w:tblCellSpacing w:w="15" w:type="dxa"/>
        </w:trPr>
        <w:tc>
          <w:tcPr>
            <w:tcW w:w="1999" w:type="dxa"/>
            <w:noWrap w:val="0"/>
            <w:tcMar>
              <w:top w:w="15" w:type="dxa"/>
              <w:left w:w="15" w:type="dxa"/>
              <w:bottom w:w="15" w:type="dxa"/>
              <w:right w:w="15" w:type="dxa"/>
            </w:tcMar>
            <w:vAlign w:val="top"/>
          </w:tcPr>
          <w:p>
            <w:pPr>
              <w:widowControl/>
              <w:jc w:val="right"/>
              <w:rPr>
                <w:rFonts w:ascii="Arial" w:hAnsi="Arial" w:cs="Arial"/>
                <w:color w:val="000000"/>
                <w:kern w:val="0"/>
                <w:sz w:val="24"/>
                <w:szCs w:val="24"/>
              </w:rPr>
            </w:pPr>
            <w:r>
              <w:rPr>
                <w:rFonts w:ascii="Arial" w:hAnsi="Arial" w:eastAsia="Arial" w:cs="Arial"/>
                <w:color w:val="000000"/>
                <w:kern w:val="0"/>
                <w:sz w:val="24"/>
                <w:szCs w:val="24"/>
              </w:rPr>
              <w:t>是否允许联合体投标：</w:t>
            </w:r>
            <w:r>
              <w:rPr>
                <w:rFonts w:hint="eastAsia" w:ascii="Arial" w:hAnsi="Arial" w:cs="Arial"/>
                <w:color w:val="000000"/>
                <w:kern w:val="0"/>
                <w:sz w:val="24"/>
                <w:szCs w:val="24"/>
              </w:rPr>
              <w:t xml:space="preserve">          </w:t>
            </w:r>
          </w:p>
        </w:tc>
        <w:tc>
          <w:tcPr>
            <w:tcW w:w="6632" w:type="dxa"/>
            <w:noWrap w:val="0"/>
            <w:tcMar>
              <w:top w:w="15" w:type="dxa"/>
              <w:left w:w="15" w:type="dxa"/>
              <w:bottom w:w="15" w:type="dxa"/>
              <w:right w:w="15" w:type="dxa"/>
            </w:tcMar>
            <w:vAlign w:val="center"/>
          </w:tcPr>
          <w:p>
            <w:pPr>
              <w:widowControl/>
              <w:jc w:val="left"/>
              <w:rPr>
                <w:rFonts w:ascii="Arial" w:hAnsi="Arial" w:eastAsia="Arial" w:cs="Arial"/>
                <w:color w:val="000000"/>
                <w:kern w:val="0"/>
                <w:sz w:val="24"/>
                <w:szCs w:val="24"/>
              </w:rPr>
            </w:pPr>
            <w:r>
              <w:rPr>
                <w:rFonts w:ascii="Arial" w:hAnsi="Arial" w:eastAsia="Arial" w:cs="Arial"/>
                <w:color w:val="000000"/>
                <w:kern w:val="0"/>
                <w:sz w:val="24"/>
                <w:szCs w:val="24"/>
              </w:rPr>
              <w:t>否</w:t>
            </w:r>
          </w:p>
          <w:p>
            <w:pPr>
              <w:widowControl/>
              <w:jc w:val="left"/>
              <w:rPr>
                <w:rFonts w:ascii="Arial" w:hAnsi="Arial" w:eastAsia="Arial" w:cs="Arial"/>
                <w:color w:val="000000"/>
                <w:kern w:val="0"/>
                <w:sz w:val="24"/>
                <w:szCs w:val="24"/>
              </w:rPr>
            </w:pPr>
          </w:p>
        </w:tc>
      </w:tr>
      <w:tr>
        <w:tblPrEx>
          <w:tblCellMar>
            <w:top w:w="15" w:type="dxa"/>
            <w:left w:w="15" w:type="dxa"/>
            <w:bottom w:w="15" w:type="dxa"/>
            <w:right w:w="15" w:type="dxa"/>
          </w:tblCellMar>
        </w:tblPrEx>
        <w:trPr>
          <w:trHeight w:val="90" w:hRule="atLeast"/>
          <w:tblCellSpacing w:w="15" w:type="dxa"/>
        </w:trPr>
        <w:tc>
          <w:tcPr>
            <w:tcW w:w="1999" w:type="dxa"/>
            <w:noWrap w:val="0"/>
            <w:tcMar>
              <w:top w:w="15" w:type="dxa"/>
              <w:left w:w="15" w:type="dxa"/>
              <w:bottom w:w="15" w:type="dxa"/>
              <w:right w:w="15" w:type="dxa"/>
            </w:tcMar>
            <w:vAlign w:val="top"/>
          </w:tcPr>
          <w:p>
            <w:pPr>
              <w:widowControl/>
              <w:jc w:val="center"/>
              <w:rPr>
                <w:rFonts w:ascii="Arial" w:hAnsi="Arial" w:cs="Arial"/>
                <w:color w:val="000000"/>
                <w:kern w:val="0"/>
                <w:sz w:val="24"/>
                <w:szCs w:val="24"/>
              </w:rPr>
            </w:pPr>
            <w:r>
              <w:rPr>
                <w:rFonts w:hint="eastAsia" w:ascii="Arial" w:hAnsi="Arial" w:eastAsia="Arial" w:cs="Arial"/>
                <w:color w:val="000000"/>
                <w:kern w:val="0"/>
                <w:sz w:val="24"/>
                <w:szCs w:val="24"/>
              </w:rPr>
              <w:t>资格预审方法及最终合格申请人</w:t>
            </w:r>
            <w:r>
              <w:rPr>
                <w:rFonts w:hint="eastAsia" w:ascii="Arial" w:hAnsi="Arial" w:cs="Arial"/>
                <w:color w:val="000000"/>
                <w:kern w:val="0"/>
                <w:sz w:val="24"/>
                <w:szCs w:val="24"/>
              </w:rPr>
              <w:t>：</w:t>
            </w:r>
          </w:p>
          <w:p>
            <w:pPr>
              <w:widowControl/>
              <w:jc w:val="right"/>
              <w:rPr>
                <w:rFonts w:ascii="Arial" w:hAnsi="Arial" w:eastAsia="Arial" w:cs="Arial"/>
                <w:color w:val="000000"/>
                <w:kern w:val="0"/>
                <w:sz w:val="24"/>
                <w:szCs w:val="24"/>
              </w:rPr>
            </w:pPr>
          </w:p>
          <w:p>
            <w:pPr>
              <w:widowControl/>
              <w:jc w:val="right"/>
              <w:rPr>
                <w:rFonts w:ascii="Arial" w:hAnsi="Arial" w:eastAsia="Arial" w:cs="Arial"/>
                <w:color w:val="000000"/>
                <w:kern w:val="0"/>
                <w:sz w:val="24"/>
                <w:szCs w:val="24"/>
              </w:rPr>
            </w:pPr>
          </w:p>
          <w:p>
            <w:pPr>
              <w:widowControl/>
              <w:jc w:val="right"/>
              <w:rPr>
                <w:rFonts w:ascii="Arial" w:hAnsi="Arial" w:eastAsia="Arial" w:cs="Arial"/>
                <w:color w:val="000000"/>
                <w:kern w:val="0"/>
                <w:sz w:val="24"/>
                <w:szCs w:val="24"/>
              </w:rPr>
            </w:pPr>
          </w:p>
          <w:p>
            <w:pPr>
              <w:widowControl/>
              <w:jc w:val="right"/>
              <w:rPr>
                <w:rFonts w:ascii="Arial" w:hAnsi="Arial" w:eastAsia="Arial" w:cs="Arial"/>
                <w:color w:val="000000"/>
                <w:kern w:val="0"/>
                <w:sz w:val="24"/>
                <w:szCs w:val="24"/>
              </w:rPr>
            </w:pPr>
          </w:p>
          <w:p>
            <w:pPr>
              <w:widowControl/>
              <w:jc w:val="right"/>
              <w:rPr>
                <w:rFonts w:ascii="Arial" w:hAnsi="Arial" w:eastAsia="Arial" w:cs="Arial"/>
                <w:color w:val="000000"/>
                <w:kern w:val="0"/>
                <w:sz w:val="24"/>
                <w:szCs w:val="24"/>
              </w:rPr>
            </w:pPr>
          </w:p>
          <w:p>
            <w:pPr>
              <w:widowControl/>
              <w:jc w:val="right"/>
              <w:rPr>
                <w:rFonts w:ascii="Arial" w:hAnsi="Arial" w:eastAsia="Arial" w:cs="Arial"/>
                <w:color w:val="000000"/>
                <w:kern w:val="0"/>
                <w:sz w:val="24"/>
                <w:szCs w:val="24"/>
              </w:rPr>
            </w:pPr>
          </w:p>
          <w:p>
            <w:pPr>
              <w:widowControl/>
              <w:jc w:val="right"/>
              <w:rPr>
                <w:rFonts w:ascii="Arial" w:hAnsi="Arial" w:eastAsia="Arial" w:cs="Arial"/>
                <w:color w:val="000000"/>
                <w:kern w:val="0"/>
                <w:sz w:val="24"/>
                <w:szCs w:val="24"/>
              </w:rPr>
            </w:pPr>
          </w:p>
          <w:p>
            <w:pPr>
              <w:widowControl/>
              <w:jc w:val="right"/>
              <w:rPr>
                <w:rFonts w:ascii="Arial" w:hAnsi="Arial" w:eastAsia="Arial" w:cs="Arial"/>
                <w:color w:val="000000"/>
                <w:kern w:val="0"/>
                <w:sz w:val="24"/>
                <w:szCs w:val="24"/>
              </w:rPr>
            </w:pPr>
          </w:p>
          <w:p>
            <w:pPr>
              <w:widowControl/>
              <w:jc w:val="right"/>
              <w:rPr>
                <w:rFonts w:ascii="Arial" w:hAnsi="Arial" w:eastAsia="Arial" w:cs="Arial"/>
                <w:color w:val="000000"/>
                <w:kern w:val="0"/>
                <w:sz w:val="24"/>
                <w:szCs w:val="24"/>
              </w:rPr>
            </w:pPr>
          </w:p>
          <w:p>
            <w:pPr>
              <w:widowControl/>
              <w:jc w:val="right"/>
              <w:rPr>
                <w:rFonts w:ascii="Arial" w:hAnsi="Arial" w:eastAsia="Arial" w:cs="Arial"/>
                <w:color w:val="000000"/>
                <w:kern w:val="0"/>
                <w:sz w:val="24"/>
                <w:szCs w:val="24"/>
              </w:rPr>
            </w:pPr>
          </w:p>
          <w:p>
            <w:pPr>
              <w:widowControl/>
              <w:jc w:val="right"/>
              <w:rPr>
                <w:rFonts w:ascii="Arial" w:hAnsi="Arial" w:eastAsia="Arial" w:cs="Arial"/>
                <w:color w:val="000000"/>
                <w:kern w:val="0"/>
                <w:sz w:val="24"/>
                <w:szCs w:val="24"/>
              </w:rPr>
            </w:pPr>
          </w:p>
          <w:p>
            <w:pPr>
              <w:widowControl/>
              <w:jc w:val="right"/>
              <w:rPr>
                <w:rFonts w:ascii="Arial" w:hAnsi="Arial" w:eastAsia="Arial" w:cs="Arial"/>
                <w:color w:val="000000"/>
                <w:kern w:val="0"/>
                <w:sz w:val="24"/>
                <w:szCs w:val="24"/>
              </w:rPr>
            </w:pPr>
          </w:p>
          <w:p>
            <w:pPr>
              <w:widowControl/>
              <w:jc w:val="right"/>
              <w:rPr>
                <w:rFonts w:ascii="Arial" w:hAnsi="Arial" w:eastAsia="Arial" w:cs="Arial"/>
                <w:color w:val="000000"/>
                <w:kern w:val="0"/>
                <w:sz w:val="24"/>
                <w:szCs w:val="24"/>
              </w:rPr>
            </w:pPr>
          </w:p>
          <w:p>
            <w:pPr>
              <w:widowControl/>
              <w:jc w:val="right"/>
              <w:rPr>
                <w:rFonts w:ascii="Arial" w:hAnsi="Arial" w:eastAsia="Arial" w:cs="Arial"/>
                <w:color w:val="000000"/>
                <w:kern w:val="0"/>
                <w:sz w:val="24"/>
                <w:szCs w:val="24"/>
              </w:rPr>
            </w:pPr>
          </w:p>
          <w:p>
            <w:pPr>
              <w:widowControl/>
              <w:jc w:val="right"/>
              <w:rPr>
                <w:rFonts w:ascii="Arial" w:hAnsi="Arial" w:eastAsia="Arial" w:cs="Arial"/>
                <w:color w:val="000000"/>
                <w:kern w:val="0"/>
                <w:sz w:val="24"/>
                <w:szCs w:val="24"/>
              </w:rPr>
            </w:pPr>
          </w:p>
          <w:p>
            <w:pPr>
              <w:widowControl/>
              <w:jc w:val="right"/>
              <w:rPr>
                <w:rFonts w:ascii="Arial" w:hAnsi="Arial" w:eastAsia="Arial" w:cs="Arial"/>
                <w:color w:val="000000"/>
                <w:kern w:val="0"/>
                <w:sz w:val="24"/>
                <w:szCs w:val="24"/>
              </w:rPr>
            </w:pPr>
          </w:p>
          <w:p>
            <w:pPr>
              <w:widowControl/>
              <w:jc w:val="right"/>
              <w:rPr>
                <w:rFonts w:ascii="Arial" w:hAnsi="Arial" w:eastAsia="Arial" w:cs="Arial"/>
                <w:color w:val="000000"/>
                <w:kern w:val="0"/>
                <w:sz w:val="24"/>
                <w:szCs w:val="24"/>
              </w:rPr>
            </w:pPr>
          </w:p>
          <w:p>
            <w:pPr>
              <w:widowControl/>
              <w:jc w:val="right"/>
              <w:rPr>
                <w:rFonts w:ascii="Arial" w:hAnsi="Arial" w:eastAsia="Arial" w:cs="Arial"/>
                <w:color w:val="000000"/>
                <w:kern w:val="0"/>
                <w:sz w:val="24"/>
                <w:szCs w:val="24"/>
              </w:rPr>
            </w:pPr>
          </w:p>
          <w:p>
            <w:pPr>
              <w:widowControl/>
              <w:jc w:val="right"/>
              <w:rPr>
                <w:rFonts w:ascii="Arial" w:hAnsi="Arial" w:eastAsia="Arial" w:cs="Arial"/>
                <w:color w:val="000000"/>
                <w:kern w:val="0"/>
                <w:sz w:val="24"/>
                <w:szCs w:val="24"/>
              </w:rPr>
            </w:pPr>
          </w:p>
          <w:p>
            <w:pPr>
              <w:widowControl/>
              <w:jc w:val="right"/>
              <w:rPr>
                <w:rFonts w:ascii="Arial" w:hAnsi="Arial" w:eastAsia="Arial" w:cs="Arial"/>
                <w:color w:val="000000"/>
                <w:kern w:val="0"/>
                <w:sz w:val="24"/>
                <w:szCs w:val="24"/>
              </w:rPr>
            </w:pPr>
          </w:p>
          <w:p>
            <w:pPr>
              <w:widowControl/>
              <w:jc w:val="right"/>
              <w:rPr>
                <w:rFonts w:ascii="Arial" w:hAnsi="Arial" w:eastAsia="Arial" w:cs="Arial"/>
                <w:color w:val="000000"/>
                <w:kern w:val="0"/>
                <w:sz w:val="24"/>
                <w:szCs w:val="24"/>
              </w:rPr>
            </w:pPr>
          </w:p>
          <w:p>
            <w:pPr>
              <w:widowControl/>
              <w:rPr>
                <w:rFonts w:ascii="Arial" w:hAnsi="Arial" w:eastAsia="Arial" w:cs="Arial"/>
                <w:kern w:val="0"/>
                <w:sz w:val="24"/>
                <w:szCs w:val="24"/>
              </w:rPr>
            </w:pPr>
            <w:r>
              <w:rPr>
                <w:rFonts w:ascii="Arial" w:hAnsi="Arial" w:eastAsia="Arial" w:cs="Arial"/>
                <w:color w:val="000000"/>
                <w:kern w:val="0"/>
                <w:sz w:val="24"/>
                <w:szCs w:val="24"/>
              </w:rPr>
              <w:t>资审文件领取时间：</w:t>
            </w:r>
          </w:p>
        </w:tc>
        <w:tc>
          <w:tcPr>
            <w:tcW w:w="6632" w:type="dxa"/>
            <w:noWrap w:val="0"/>
            <w:tcMar>
              <w:top w:w="15" w:type="dxa"/>
              <w:left w:w="15" w:type="dxa"/>
              <w:bottom w:w="15" w:type="dxa"/>
              <w:right w:w="15" w:type="dxa"/>
            </w:tcMar>
            <w:vAlign w:val="center"/>
          </w:tcPr>
          <w:p>
            <w:pPr>
              <w:pStyle w:val="17"/>
              <w:rPr>
                <w:sz w:val="21"/>
                <w:szCs w:val="24"/>
              </w:rPr>
            </w:pPr>
            <w:r>
              <w:rPr>
                <w:rFonts w:hint="eastAsia"/>
                <w:b/>
                <w:bCs/>
                <w:sz w:val="21"/>
                <w:szCs w:val="24"/>
                <w:lang w:val="en-US" w:eastAsia="zh-CN"/>
              </w:rPr>
              <w:t>1、</w:t>
            </w:r>
            <w:r>
              <w:rPr>
                <w:rFonts w:hint="eastAsia"/>
                <w:sz w:val="21"/>
                <w:szCs w:val="24"/>
              </w:rPr>
              <w:t>本项目采用合格制。</w:t>
            </w:r>
          </w:p>
          <w:p>
            <w:pPr>
              <w:pStyle w:val="17"/>
              <w:rPr>
                <w:sz w:val="21"/>
                <w:szCs w:val="24"/>
              </w:rPr>
            </w:pPr>
          </w:p>
          <w:p>
            <w:pPr>
              <w:pStyle w:val="17"/>
              <w:rPr>
                <w:sz w:val="21"/>
                <w:szCs w:val="24"/>
              </w:rPr>
            </w:pPr>
            <w:r>
              <w:rPr>
                <w:rFonts w:hint="eastAsia"/>
                <w:b/>
                <w:bCs/>
                <w:sz w:val="21"/>
                <w:szCs w:val="24"/>
                <w:lang w:val="en-US" w:eastAsia="zh-CN"/>
              </w:rPr>
              <w:t>2、</w:t>
            </w:r>
            <w:r>
              <w:rPr>
                <w:rFonts w:hint="eastAsia"/>
                <w:sz w:val="21"/>
                <w:szCs w:val="24"/>
              </w:rPr>
              <w:t xml:space="preserve"> 审查委员会依据公开资格预审文件及附件中规定的标准，对资格预审申请文件否决项进行逐项审查，有一项审查因素不符合审查标准的，不能通过资格预审。</w:t>
            </w:r>
          </w:p>
          <w:p>
            <w:pPr>
              <w:pStyle w:val="17"/>
              <w:rPr>
                <w:sz w:val="21"/>
                <w:szCs w:val="24"/>
              </w:rPr>
            </w:pPr>
          </w:p>
          <w:p>
            <w:pPr>
              <w:pStyle w:val="17"/>
              <w:numPr>
                <w:ilvl w:val="0"/>
                <w:numId w:val="0"/>
              </w:numPr>
              <w:rPr>
                <w:rFonts w:hint="eastAsia"/>
                <w:sz w:val="21"/>
                <w:szCs w:val="24"/>
              </w:rPr>
            </w:pPr>
            <w:r>
              <w:rPr>
                <w:rFonts w:hint="eastAsia"/>
                <w:b/>
                <w:bCs/>
                <w:sz w:val="21"/>
                <w:szCs w:val="24"/>
                <w:lang w:val="en-US" w:eastAsia="zh-CN"/>
              </w:rPr>
              <w:t>3、</w:t>
            </w:r>
            <w:r>
              <w:rPr>
                <w:rFonts w:hint="eastAsia"/>
                <w:sz w:val="21"/>
                <w:szCs w:val="24"/>
              </w:rPr>
              <w:t>审查委员会按资格预审文件所附评议标准对通过否决项审查的申请人提交的资格预审申请文件进行资格审查，有一项关键指标（★号）不符合审查标准或一般指标超出允许接受范围的，不能通过资格预审</w:t>
            </w:r>
            <w:r>
              <w:rPr>
                <w:rFonts w:hint="eastAsia"/>
                <w:sz w:val="21"/>
                <w:szCs w:val="24"/>
                <w:lang w:val="en-US" w:eastAsia="zh-CN"/>
              </w:rPr>
              <w:t>初审</w:t>
            </w:r>
            <w:r>
              <w:rPr>
                <w:rFonts w:hint="eastAsia"/>
                <w:sz w:val="21"/>
                <w:szCs w:val="24"/>
              </w:rPr>
              <w:t>。</w:t>
            </w:r>
          </w:p>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b/>
                <w:bCs/>
                <w:i w:val="0"/>
                <w:iCs w:val="0"/>
                <w:color w:val="auto"/>
                <w:kern w:val="0"/>
                <w:sz w:val="18"/>
                <w:szCs w:val="18"/>
                <w:highlight w:val="yellow"/>
                <w:u w:val="none"/>
                <w:lang w:val="en-US" w:eastAsia="zh-CN" w:bidi="ar"/>
              </w:rPr>
              <w:t>4、</w:t>
            </w:r>
            <w:r>
              <w:rPr>
                <w:rFonts w:hint="eastAsia" w:ascii="宋体" w:hAnsi="宋体" w:eastAsia="宋体" w:cs="宋体"/>
                <w:i w:val="0"/>
                <w:iCs w:val="0"/>
                <w:color w:val="auto"/>
                <w:kern w:val="0"/>
                <w:sz w:val="18"/>
                <w:szCs w:val="18"/>
                <w:highlight w:val="yellow"/>
                <w:u w:val="none"/>
                <w:lang w:val="en-US" w:eastAsia="zh-CN" w:bidi="ar"/>
              </w:rPr>
              <w:t>由第三方实验机构（CCS、ABS、BV、DNV）中的任意一家、招标人机采公司以及公开资格预初步评审合格的投标人依次在招标人现场共同见证投标人所提供的电机</w:t>
            </w:r>
            <w:r>
              <w:rPr>
                <w:rFonts w:hint="eastAsia" w:ascii="宋体" w:hAnsi="宋体" w:eastAsia="宋体" w:cs="宋体"/>
                <w:i w:val="0"/>
                <w:iCs w:val="0"/>
                <w:color w:val="000000"/>
                <w:kern w:val="0"/>
                <w:sz w:val="18"/>
                <w:szCs w:val="18"/>
                <w:highlight w:val="yellow"/>
                <w:u w:val="none"/>
                <w:lang w:val="en-US" w:eastAsia="zh-CN" w:bidi="ar"/>
              </w:rPr>
              <w:t>和HAILOONG LIFT品牌的OTS400</w:t>
            </w:r>
            <w:r>
              <w:rPr>
                <w:rFonts w:hint="default" w:ascii="宋体" w:hAnsi="宋体" w:eastAsia="宋体" w:cs="宋体"/>
                <w:i w:val="0"/>
                <w:iCs w:val="0"/>
                <w:color w:val="000000"/>
                <w:kern w:val="0"/>
                <w:sz w:val="18"/>
                <w:szCs w:val="18"/>
                <w:highlight w:val="yellow"/>
                <w:u w:val="none"/>
                <w:lang w:val="en-US" w:eastAsia="zh-CN" w:bidi="ar"/>
              </w:rPr>
              <w:t>变频器</w:t>
            </w:r>
            <w:r>
              <w:rPr>
                <w:rFonts w:hint="eastAsia" w:ascii="宋体" w:hAnsi="宋体" w:eastAsia="宋体" w:cs="宋体"/>
                <w:i w:val="0"/>
                <w:iCs w:val="0"/>
                <w:color w:val="000000"/>
                <w:kern w:val="0"/>
                <w:sz w:val="18"/>
                <w:szCs w:val="18"/>
                <w:highlight w:val="yellow"/>
                <w:u w:val="none"/>
                <w:lang w:val="en-US" w:eastAsia="zh-CN" w:bidi="ar"/>
              </w:rPr>
              <w:t>匹配性试验。</w:t>
            </w:r>
            <w:r>
              <w:rPr>
                <w:rFonts w:hint="eastAsia" w:ascii="宋体" w:hAnsi="宋体" w:eastAsia="宋体" w:cs="宋体"/>
                <w:i w:val="0"/>
                <w:iCs w:val="0"/>
                <w:color w:val="000000"/>
                <w:kern w:val="0"/>
                <w:sz w:val="18"/>
                <w:szCs w:val="18"/>
                <w:u w:val="none"/>
                <w:lang w:val="en-US" w:eastAsia="zh-CN" w:bidi="ar"/>
              </w:rPr>
              <w:t>试验要求：</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r>
              <w:rPr>
                <w:rFonts w:hint="default" w:ascii="宋体" w:hAnsi="宋体" w:eastAsia="宋体" w:cs="宋体"/>
                <w:i w:val="0"/>
                <w:iCs w:val="0"/>
                <w:color w:val="000000"/>
                <w:kern w:val="0"/>
                <w:sz w:val="18"/>
                <w:szCs w:val="18"/>
                <w:u w:val="none"/>
                <w:lang w:val="en-US" w:eastAsia="zh-CN" w:bidi="ar"/>
              </w:rPr>
              <w:t>测试电机的型号要求如下：</w:t>
            </w:r>
            <w:r>
              <w:rPr>
                <w:rFonts w:hint="eastAsia" w:ascii="宋体" w:hAnsi="宋体" w:eastAsia="宋体" w:cs="宋体"/>
                <w:i w:val="0"/>
                <w:iCs w:val="0"/>
                <w:color w:val="000000"/>
                <w:kern w:val="0"/>
                <w:sz w:val="18"/>
                <w:szCs w:val="18"/>
                <w:highlight w:val="none"/>
                <w:u w:val="none"/>
                <w:lang w:val="en-US" w:eastAsia="zh-CN" w:bidi="ar"/>
              </w:rPr>
              <w:t>投标人</w:t>
            </w:r>
            <w:r>
              <w:rPr>
                <w:rFonts w:hint="default" w:ascii="宋体" w:hAnsi="宋体" w:eastAsia="宋体" w:cs="宋体"/>
                <w:i w:val="0"/>
                <w:iCs w:val="0"/>
                <w:color w:val="000000"/>
                <w:kern w:val="0"/>
                <w:sz w:val="18"/>
                <w:szCs w:val="18"/>
                <w:highlight w:val="none"/>
                <w:u w:val="none"/>
                <w:lang w:val="en-US" w:eastAsia="zh-CN" w:bidi="ar"/>
              </w:rPr>
              <w:t>提供450</w:t>
            </w:r>
            <w:r>
              <w:rPr>
                <w:rFonts w:hint="eastAsia" w:ascii="宋体" w:hAnsi="宋体" w:eastAsia="宋体" w:cs="宋体"/>
                <w:i w:val="0"/>
                <w:iCs w:val="0"/>
                <w:color w:val="000000"/>
                <w:kern w:val="0"/>
                <w:sz w:val="18"/>
                <w:szCs w:val="18"/>
                <w:highlight w:val="none"/>
                <w:u w:val="none"/>
                <w:lang w:val="en-US" w:eastAsia="zh-CN" w:bidi="ar"/>
              </w:rPr>
              <w:t>系列</w:t>
            </w:r>
            <w:r>
              <w:rPr>
                <w:rFonts w:hint="default" w:ascii="宋体" w:hAnsi="宋体" w:eastAsia="宋体" w:cs="宋体"/>
                <w:i w:val="0"/>
                <w:iCs w:val="0"/>
                <w:color w:val="000000"/>
                <w:kern w:val="0"/>
                <w:sz w:val="18"/>
                <w:szCs w:val="18"/>
                <w:highlight w:val="none"/>
                <w:u w:val="none"/>
                <w:lang w:val="en-US" w:eastAsia="zh-CN" w:bidi="ar"/>
              </w:rPr>
              <w:t>电机</w:t>
            </w:r>
            <w:r>
              <w:rPr>
                <w:rFonts w:hint="eastAsia" w:ascii="宋体" w:hAnsi="宋体" w:eastAsia="宋体" w:cs="宋体"/>
                <w:i w:val="0"/>
                <w:iCs w:val="0"/>
                <w:color w:val="000000"/>
                <w:kern w:val="0"/>
                <w:sz w:val="18"/>
                <w:szCs w:val="18"/>
                <w:highlight w:val="none"/>
                <w:u w:val="none"/>
                <w:lang w:val="en-US" w:eastAsia="zh-CN" w:bidi="ar"/>
              </w:rPr>
              <w:t>。</w:t>
            </w:r>
            <w:r>
              <w:rPr>
                <w:rFonts w:hint="default" w:ascii="宋体" w:hAnsi="宋体" w:eastAsia="宋体" w:cs="宋体"/>
                <w:i w:val="0"/>
                <w:iCs w:val="0"/>
                <w:color w:val="000000"/>
                <w:kern w:val="0"/>
                <w:sz w:val="18"/>
                <w:szCs w:val="18"/>
                <w:highlight w:val="none"/>
                <w:u w:val="none"/>
                <w:lang w:val="en-US" w:eastAsia="zh-CN" w:bidi="ar"/>
              </w:rPr>
              <w:t>电</w:t>
            </w:r>
            <w:r>
              <w:rPr>
                <w:rFonts w:hint="default" w:ascii="宋体" w:hAnsi="宋体" w:eastAsia="宋体" w:cs="宋体"/>
                <w:i w:val="0"/>
                <w:iCs w:val="0"/>
                <w:color w:val="000000"/>
                <w:kern w:val="0"/>
                <w:sz w:val="18"/>
                <w:szCs w:val="18"/>
                <w:u w:val="none"/>
                <w:lang w:val="en-US" w:eastAsia="zh-CN" w:bidi="ar"/>
              </w:rPr>
              <w:t>机运行额定转速4200</w:t>
            </w:r>
            <w:r>
              <w:rPr>
                <w:rFonts w:hint="eastAsia" w:ascii="宋体" w:hAnsi="宋体" w:eastAsia="宋体" w:cs="宋体"/>
                <w:i w:val="0"/>
                <w:iCs w:val="0"/>
                <w:color w:val="000000"/>
                <w:kern w:val="0"/>
                <w:sz w:val="18"/>
                <w:szCs w:val="18"/>
                <w:u w:val="none"/>
                <w:lang w:val="en-US" w:eastAsia="zh-CN" w:bidi="ar"/>
              </w:rPr>
              <w:t>RPM</w:t>
            </w:r>
            <w:r>
              <w:rPr>
                <w:rFonts w:hint="default"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测试</w:t>
            </w:r>
            <w:r>
              <w:rPr>
                <w:rFonts w:hint="default" w:ascii="宋体" w:hAnsi="宋体" w:eastAsia="宋体" w:cs="宋体"/>
                <w:i w:val="0"/>
                <w:iCs w:val="0"/>
                <w:color w:val="000000"/>
                <w:kern w:val="0"/>
                <w:sz w:val="18"/>
                <w:szCs w:val="18"/>
                <w:u w:val="none"/>
                <w:lang w:val="en-US" w:eastAsia="zh-CN" w:bidi="ar"/>
              </w:rPr>
              <w:t>在4200RPM@140Hz下可以稳定运行</w:t>
            </w:r>
            <w:r>
              <w:rPr>
                <w:rFonts w:hint="eastAsia" w:ascii="宋体" w:hAnsi="宋体" w:eastAsia="宋体" w:cs="宋体"/>
                <w:i w:val="0"/>
                <w:iCs w:val="0"/>
                <w:color w:val="000000"/>
                <w:kern w:val="0"/>
                <w:sz w:val="18"/>
                <w:szCs w:val="18"/>
                <w:u w:val="none"/>
                <w:lang w:val="en-US" w:eastAsia="zh-CN" w:bidi="ar"/>
              </w:rPr>
              <w:t>，并提供</w:t>
            </w:r>
            <w:r>
              <w:rPr>
                <w:rFonts w:hint="default" w:ascii="宋体" w:hAnsi="宋体" w:eastAsia="宋体" w:cs="宋体"/>
                <w:i w:val="0"/>
                <w:iCs w:val="0"/>
                <w:color w:val="000000"/>
                <w:kern w:val="0"/>
                <w:sz w:val="18"/>
                <w:szCs w:val="18"/>
                <w:u w:val="none"/>
                <w:lang w:val="en-US" w:eastAsia="zh-CN" w:bidi="ar"/>
              </w:rPr>
              <w:t>经CCS、ABS、BV、DNV第三方实验机构中的任意一家认证的测试报告</w:t>
            </w:r>
            <w:r>
              <w:rPr>
                <w:rFonts w:hint="eastAsia" w:ascii="宋体" w:hAnsi="宋体" w:eastAsia="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2）投标人</w:t>
            </w:r>
            <w:r>
              <w:rPr>
                <w:rFonts w:hint="default" w:ascii="宋体" w:hAnsi="宋体" w:eastAsia="宋体" w:cs="宋体"/>
                <w:i w:val="0"/>
                <w:iCs w:val="0"/>
                <w:color w:val="000000"/>
                <w:kern w:val="0"/>
                <w:sz w:val="18"/>
                <w:szCs w:val="18"/>
                <w:u w:val="none"/>
                <w:lang w:val="en-US" w:eastAsia="zh-CN" w:bidi="ar"/>
              </w:rPr>
              <w:t>在</w:t>
            </w:r>
            <w:r>
              <w:rPr>
                <w:rFonts w:hint="eastAsia" w:ascii="宋体" w:hAnsi="宋体" w:eastAsia="宋体" w:cs="宋体"/>
                <w:i w:val="0"/>
                <w:iCs w:val="0"/>
                <w:color w:val="000000"/>
                <w:kern w:val="0"/>
                <w:sz w:val="18"/>
                <w:szCs w:val="18"/>
                <w:u w:val="none"/>
                <w:lang w:val="en-US" w:eastAsia="zh-CN" w:bidi="ar"/>
              </w:rPr>
              <w:t>测试期间需</w:t>
            </w:r>
            <w:r>
              <w:rPr>
                <w:rFonts w:hint="default" w:ascii="宋体" w:hAnsi="宋体" w:eastAsia="宋体" w:cs="宋体"/>
                <w:i w:val="0"/>
                <w:iCs w:val="0"/>
                <w:color w:val="000000"/>
                <w:kern w:val="0"/>
                <w:sz w:val="18"/>
                <w:szCs w:val="18"/>
                <w:u w:val="none"/>
                <w:lang w:val="en-US" w:eastAsia="zh-CN" w:bidi="ar"/>
              </w:rPr>
              <w:t>提供变频器压频比控制设置参数表，</w:t>
            </w:r>
            <w:r>
              <w:rPr>
                <w:rFonts w:hint="eastAsia" w:ascii="宋体" w:hAnsi="宋体" w:eastAsia="宋体" w:cs="宋体"/>
                <w:i w:val="0"/>
                <w:iCs w:val="0"/>
                <w:color w:val="000000"/>
                <w:kern w:val="0"/>
                <w:sz w:val="18"/>
                <w:szCs w:val="18"/>
                <w:u w:val="none"/>
                <w:lang w:val="en-US" w:eastAsia="zh-CN" w:bidi="ar"/>
              </w:rPr>
              <w:t>由</w:t>
            </w:r>
            <w:r>
              <w:rPr>
                <w:rFonts w:hint="default" w:ascii="宋体" w:hAnsi="宋体" w:eastAsia="宋体" w:cs="宋体"/>
                <w:i w:val="0"/>
                <w:iCs w:val="0"/>
                <w:color w:val="000000"/>
                <w:kern w:val="0"/>
                <w:sz w:val="18"/>
                <w:szCs w:val="18"/>
                <w:u w:val="none"/>
                <w:lang w:val="en-US" w:eastAsia="zh-CN" w:bidi="ar"/>
              </w:rPr>
              <w:t>CCS、ABS、BV、DNV第三方实验机构中的任意一家</w:t>
            </w:r>
            <w:r>
              <w:rPr>
                <w:rFonts w:hint="eastAsia" w:ascii="宋体" w:hAnsi="宋体" w:eastAsia="宋体" w:cs="宋体"/>
                <w:i w:val="0"/>
                <w:iCs w:val="0"/>
                <w:color w:val="000000"/>
                <w:kern w:val="0"/>
                <w:sz w:val="18"/>
                <w:szCs w:val="18"/>
                <w:u w:val="none"/>
                <w:lang w:val="en-US" w:eastAsia="zh-CN" w:bidi="ar"/>
              </w:rPr>
              <w:t>在测试期间</w:t>
            </w:r>
            <w:r>
              <w:rPr>
                <w:rFonts w:hint="default" w:ascii="宋体" w:hAnsi="宋体" w:eastAsia="宋体" w:cs="宋体"/>
                <w:i w:val="0"/>
                <w:iCs w:val="0"/>
                <w:color w:val="000000"/>
                <w:kern w:val="0"/>
                <w:sz w:val="18"/>
                <w:szCs w:val="18"/>
                <w:u w:val="none"/>
                <w:lang w:val="en-US" w:eastAsia="zh-CN" w:bidi="ar"/>
              </w:rPr>
              <w:t>根据</w:t>
            </w:r>
            <w:r>
              <w:rPr>
                <w:rFonts w:hint="eastAsia" w:ascii="宋体" w:hAnsi="宋体" w:eastAsia="宋体" w:cs="宋体"/>
                <w:i w:val="0"/>
                <w:iCs w:val="0"/>
                <w:color w:val="000000"/>
                <w:kern w:val="0"/>
                <w:sz w:val="18"/>
                <w:szCs w:val="18"/>
                <w:u w:val="none"/>
                <w:lang w:val="en-US" w:eastAsia="zh-CN" w:bidi="ar"/>
              </w:rPr>
              <w:t>投标人</w:t>
            </w:r>
            <w:r>
              <w:rPr>
                <w:rFonts w:hint="default" w:ascii="宋体" w:hAnsi="宋体" w:eastAsia="宋体" w:cs="宋体"/>
                <w:i w:val="0"/>
                <w:iCs w:val="0"/>
                <w:color w:val="000000"/>
                <w:kern w:val="0"/>
                <w:sz w:val="18"/>
                <w:szCs w:val="18"/>
                <w:u w:val="none"/>
                <w:lang w:val="en-US" w:eastAsia="zh-CN" w:bidi="ar"/>
              </w:rPr>
              <w:t>提供的压频比参数设置表进行试验验证复核</w:t>
            </w:r>
            <w:r>
              <w:rPr>
                <w:rFonts w:hint="eastAsia" w:ascii="宋体" w:hAnsi="宋体" w:eastAsia="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①投标人的</w:t>
            </w:r>
            <w:r>
              <w:rPr>
                <w:rFonts w:hint="default" w:ascii="宋体" w:hAnsi="宋体" w:eastAsia="宋体" w:cs="宋体"/>
                <w:i w:val="0"/>
                <w:iCs w:val="0"/>
                <w:color w:val="000000"/>
                <w:kern w:val="0"/>
                <w:sz w:val="18"/>
                <w:szCs w:val="18"/>
                <w:u w:val="none"/>
                <w:lang w:val="en-US" w:eastAsia="zh-CN" w:bidi="ar"/>
              </w:rPr>
              <w:t>电机按照该设置参数表，能够顺畅空载启动和运行，启动及运行过程中振动值在各轴向低于1g（测试匹配HAILOONG DS1系列泵工况进行数据监视），三相电流不平衡度不高于3%；</w:t>
            </w:r>
          </w:p>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w:t>
            </w:r>
            <w:r>
              <w:rPr>
                <w:rFonts w:hint="default" w:ascii="宋体" w:hAnsi="宋体" w:eastAsia="宋体" w:cs="宋体"/>
                <w:i w:val="0"/>
                <w:iCs w:val="0"/>
                <w:color w:val="000000"/>
                <w:kern w:val="0"/>
                <w:sz w:val="18"/>
                <w:szCs w:val="18"/>
                <w:u w:val="none"/>
                <w:lang w:val="en-US" w:eastAsia="zh-CN" w:bidi="ar"/>
              </w:rPr>
              <w:t>在任意负载及负载变化工况下，可用相同的变频器设置正常启动和运行，加减速时间及V/F曲线无需根据负载情况调整修改。</w:t>
            </w:r>
          </w:p>
          <w:p>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u w:val="none"/>
                <w:lang w:val="en-US" w:eastAsia="zh-CN" w:bidi="ar"/>
              </w:rPr>
              <w:t>③</w:t>
            </w:r>
            <w:r>
              <w:rPr>
                <w:rFonts w:hint="default" w:ascii="宋体" w:hAnsi="宋体" w:eastAsia="宋体" w:cs="宋体"/>
                <w:i w:val="0"/>
                <w:iCs w:val="0"/>
                <w:color w:val="000000"/>
                <w:kern w:val="0"/>
                <w:sz w:val="18"/>
                <w:szCs w:val="18"/>
                <w:u w:val="none"/>
                <w:lang w:val="en-US" w:eastAsia="zh-CN" w:bidi="ar"/>
              </w:rPr>
              <w:t>见</w:t>
            </w:r>
            <w:r>
              <w:rPr>
                <w:rFonts w:hint="default" w:ascii="宋体" w:hAnsi="宋体" w:eastAsia="宋体" w:cs="宋体"/>
                <w:i w:val="0"/>
                <w:iCs w:val="0"/>
                <w:color w:val="000000"/>
                <w:kern w:val="0"/>
                <w:sz w:val="18"/>
                <w:szCs w:val="18"/>
                <w:highlight w:val="none"/>
                <w:u w:val="none"/>
                <w:lang w:val="en-US" w:eastAsia="zh-CN" w:bidi="ar"/>
              </w:rPr>
              <w:t>证测试项目及评价表</w:t>
            </w:r>
            <w:r>
              <w:rPr>
                <w:rFonts w:hint="eastAsia" w:ascii="宋体" w:hAnsi="宋体" w:eastAsia="宋体" w:cs="宋体"/>
                <w:i w:val="0"/>
                <w:iCs w:val="0"/>
                <w:color w:val="auto"/>
                <w:kern w:val="0"/>
                <w:sz w:val="18"/>
                <w:szCs w:val="18"/>
                <w:highlight w:val="none"/>
                <w:u w:val="none"/>
                <w:lang w:val="en-US" w:eastAsia="zh-CN" w:bidi="ar"/>
              </w:rPr>
              <w:t>见：技术要求内 六、检测检验 （5）-③项表格</w:t>
            </w:r>
            <w:r>
              <w:rPr>
                <w:rFonts w:hint="default" w:ascii="宋体" w:hAnsi="宋体" w:eastAsia="宋体" w:cs="宋体"/>
                <w:i w:val="0"/>
                <w:iCs w:val="0"/>
                <w:color w:val="auto"/>
                <w:kern w:val="0"/>
                <w:sz w:val="18"/>
                <w:szCs w:val="18"/>
                <w:highlight w:val="none"/>
                <w:u w:val="none"/>
                <w:lang w:val="en-US" w:eastAsia="zh-CN" w:bidi="ar"/>
              </w:rPr>
              <w:t>（按照各标段要求进行测试）</w:t>
            </w:r>
            <w:r>
              <w:rPr>
                <w:rFonts w:hint="eastAsia" w:ascii="宋体" w:hAnsi="宋体" w:eastAsia="宋体" w:cs="宋体"/>
                <w:i w:val="0"/>
                <w:iCs w:val="0"/>
                <w:color w:val="000000"/>
                <w:kern w:val="0"/>
                <w:sz w:val="18"/>
                <w:szCs w:val="18"/>
                <w:highlight w:val="none"/>
                <w:u w:val="none"/>
                <w:lang w:val="en-US" w:eastAsia="zh-CN" w:bidi="ar"/>
              </w:rPr>
              <w:t>注：表中见证测试项目如出现任意一项不合格，则由第三方实验机构（CCS、ABS、BV、DNV）中的任意一家出具报告判定该投标人的试验结果为不合格。若匹配试验全部合格，则由第三方实验机构（CCS、ABS、BV、DNV）中的任意一家出具报告判定该投标人的试验结果为合格。</w:t>
            </w:r>
          </w:p>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r>
              <w:rPr>
                <w:rFonts w:hint="default" w:ascii="宋体" w:hAnsi="宋体" w:eastAsia="宋体" w:cs="宋体"/>
                <w:i w:val="0"/>
                <w:iCs w:val="0"/>
                <w:color w:val="000000"/>
                <w:kern w:val="0"/>
                <w:sz w:val="18"/>
                <w:szCs w:val="18"/>
                <w:u w:val="none"/>
                <w:lang w:val="en-US" w:eastAsia="zh-CN" w:bidi="ar"/>
              </w:rPr>
              <w:t>试验方法应符合GB/T 16750-2015《潜油电泵机组》第6章 试验方法和检验规则要求。</w:t>
            </w:r>
            <w:r>
              <w:rPr>
                <w:rFonts w:hint="eastAsia" w:ascii="宋体" w:hAnsi="宋体" w:eastAsia="宋体" w:cs="宋体"/>
                <w:i w:val="0"/>
                <w:iCs w:val="0"/>
                <w:color w:val="auto"/>
                <w:kern w:val="0"/>
                <w:sz w:val="18"/>
                <w:szCs w:val="18"/>
                <w:highlight w:val="yellow"/>
                <w:u w:val="none"/>
                <w:lang w:val="en-US" w:eastAsia="zh-CN" w:bidi="ar"/>
              </w:rPr>
              <w:t>其中</w:t>
            </w:r>
            <w:r>
              <w:rPr>
                <w:rFonts w:hint="default" w:ascii="宋体" w:hAnsi="宋体" w:eastAsia="宋体" w:cs="宋体"/>
                <w:i w:val="0"/>
                <w:iCs w:val="0"/>
                <w:color w:val="auto"/>
                <w:kern w:val="0"/>
                <w:sz w:val="18"/>
                <w:szCs w:val="18"/>
                <w:highlight w:val="yellow"/>
                <w:u w:val="none"/>
                <w:lang w:val="en-US" w:eastAsia="zh-CN" w:bidi="ar"/>
              </w:rPr>
              <w:t>型式空载试验测量</w:t>
            </w:r>
            <w:r>
              <w:rPr>
                <w:rFonts w:hint="eastAsia" w:ascii="宋体" w:hAnsi="宋体" w:eastAsia="宋体" w:cs="宋体"/>
                <w:i w:val="0"/>
                <w:iCs w:val="0"/>
                <w:color w:val="auto"/>
                <w:kern w:val="0"/>
                <w:sz w:val="18"/>
                <w:szCs w:val="18"/>
                <w:highlight w:val="yellow"/>
                <w:u w:val="none"/>
                <w:lang w:val="en-US" w:eastAsia="zh-CN" w:bidi="ar"/>
              </w:rPr>
              <w:t>方法应满足</w:t>
            </w:r>
            <w:r>
              <w:rPr>
                <w:rFonts w:hint="default" w:ascii="宋体" w:hAnsi="宋体" w:eastAsia="宋体" w:cs="宋体"/>
                <w:i w:val="0"/>
                <w:iCs w:val="0"/>
                <w:color w:val="auto"/>
                <w:kern w:val="0"/>
                <w:sz w:val="18"/>
                <w:szCs w:val="18"/>
                <w:highlight w:val="yellow"/>
                <w:u w:val="none"/>
                <w:lang w:val="en-US" w:eastAsia="zh-CN" w:bidi="ar"/>
              </w:rPr>
              <w:t>GB/T 16750-2015《潜油电泵机组》第6章 试验方法和检验规则要求</w:t>
            </w:r>
            <w:r>
              <w:rPr>
                <w:rFonts w:hint="eastAsia" w:ascii="宋体" w:hAnsi="宋体" w:eastAsia="宋体" w:cs="宋体"/>
                <w:i w:val="0"/>
                <w:iCs w:val="0"/>
                <w:color w:val="auto"/>
                <w:kern w:val="0"/>
                <w:sz w:val="18"/>
                <w:szCs w:val="18"/>
                <w:highlight w:val="yellow"/>
                <w:u w:val="none"/>
                <w:lang w:val="en-US" w:eastAsia="zh-CN" w:bidi="ar"/>
              </w:rPr>
              <w:t xml:space="preserve"> 6.1 试验方法  6.1.2 电机 6.1.2.3 空载试验  6.1.2.3.2  测量方法  6.1.2.3.2.2 </w:t>
            </w:r>
            <w:r>
              <w:rPr>
                <w:rFonts w:hint="default" w:ascii="宋体" w:hAnsi="宋体" w:eastAsia="宋体" w:cs="宋体"/>
                <w:i w:val="0"/>
                <w:iCs w:val="0"/>
                <w:color w:val="auto"/>
                <w:kern w:val="0"/>
                <w:sz w:val="18"/>
                <w:szCs w:val="18"/>
                <w:highlight w:val="yellow"/>
                <w:u w:val="none"/>
                <w:lang w:val="en-US" w:eastAsia="zh-CN" w:bidi="ar"/>
              </w:rPr>
              <w:t>型式空载试验测量</w:t>
            </w:r>
            <w:r>
              <w:rPr>
                <w:rFonts w:hint="eastAsia" w:ascii="宋体" w:hAnsi="宋体" w:eastAsia="宋体" w:cs="宋体"/>
                <w:i w:val="0"/>
                <w:iCs w:val="0"/>
                <w:color w:val="auto"/>
                <w:kern w:val="0"/>
                <w:sz w:val="18"/>
                <w:szCs w:val="18"/>
                <w:highlight w:val="yellow"/>
                <w:u w:val="none"/>
                <w:lang w:val="en-US" w:eastAsia="zh-CN" w:bidi="ar"/>
              </w:rPr>
              <w:t>方法：电机在工频额定电压下空载启动运行，使机耗达到稳定，即输入功率在半小时前后的两个读数之差不大于前一个读数的3%开始测量。首先将电机工作电压提高到1.1~1.3倍额定电压，然后逐渐降低电机工作电压至可能达到的最低值（电流开始回升时为止），在此期间测7~9点，每点要同时测取三相电压、三相电流、输入功率、频率，其中额定电压时为必测点。试验结束应立即在电机出线端测量定子绕组的直流电阻（带试验电缆）</w:t>
            </w:r>
            <w:r>
              <w:rPr>
                <w:rFonts w:hint="default" w:ascii="宋体" w:hAnsi="宋体" w:eastAsia="宋体" w:cs="宋体"/>
                <w:i w:val="0"/>
                <w:iCs w:val="0"/>
                <w:color w:val="auto"/>
                <w:kern w:val="0"/>
                <w:sz w:val="18"/>
                <w:szCs w:val="18"/>
                <w:highlight w:val="yellow"/>
                <w:u w:val="none"/>
                <w:lang w:val="en-US" w:eastAsia="zh-CN" w:bidi="ar"/>
              </w:rPr>
              <w:t>。</w:t>
            </w:r>
          </w:p>
          <w:p>
            <w:pPr>
              <w:pStyle w:val="7"/>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4）招标方提供测试场地，</w:t>
            </w:r>
            <w:r>
              <w:rPr>
                <w:rFonts w:hint="eastAsia" w:ascii="宋体" w:hAnsi="宋体" w:eastAsia="宋体" w:cs="宋体"/>
                <w:i w:val="0"/>
                <w:iCs w:val="0"/>
                <w:color w:val="auto"/>
                <w:kern w:val="0"/>
                <w:sz w:val="18"/>
                <w:szCs w:val="18"/>
                <w:highlight w:val="yellow"/>
                <w:u w:val="none"/>
                <w:lang w:val="en-US" w:eastAsia="zh-CN" w:bidi="ar"/>
              </w:rPr>
              <w:t>公开资格预初步评审合格的投标人、招标人</w:t>
            </w:r>
            <w:r>
              <w:rPr>
                <w:rFonts w:hint="eastAsia" w:ascii="宋体" w:hAnsi="宋体" w:eastAsia="宋体" w:cs="宋体"/>
                <w:i w:val="0"/>
                <w:iCs w:val="0"/>
                <w:color w:val="000000"/>
                <w:kern w:val="0"/>
                <w:sz w:val="18"/>
                <w:szCs w:val="18"/>
                <w:u w:val="none"/>
                <w:lang w:val="en-US" w:eastAsia="zh-CN" w:bidi="ar"/>
              </w:rPr>
              <w:t>机采公司以及第三方实验机构（CCS、ABS、BV、DNV）中的任意一家在机械采油公司东沽试验车间共同见证测试试验，同时招标方提供</w:t>
            </w:r>
            <w:r>
              <w:rPr>
                <w:rFonts w:hint="default" w:ascii="宋体" w:hAnsi="宋体" w:eastAsia="宋体" w:cs="宋体"/>
                <w:i w:val="0"/>
                <w:iCs w:val="0"/>
                <w:color w:val="000000"/>
                <w:kern w:val="0"/>
                <w:sz w:val="18"/>
                <w:szCs w:val="18"/>
                <w:u w:val="none"/>
                <w:lang w:val="en-US" w:eastAsia="zh-CN" w:bidi="ar"/>
              </w:rPr>
              <w:t>HAILOONG LIFT品牌的</w:t>
            </w:r>
            <w:r>
              <w:rPr>
                <w:rFonts w:hint="eastAsia" w:ascii="宋体" w:hAnsi="宋体" w:eastAsia="宋体" w:cs="宋体"/>
                <w:i w:val="0"/>
                <w:iCs w:val="0"/>
                <w:color w:val="000000"/>
                <w:kern w:val="0"/>
                <w:sz w:val="18"/>
                <w:szCs w:val="18"/>
                <w:u w:val="none"/>
                <w:lang w:val="en-US" w:eastAsia="zh-CN" w:bidi="ar"/>
              </w:rPr>
              <w:t>OTS400</w:t>
            </w:r>
            <w:r>
              <w:rPr>
                <w:rFonts w:hint="default" w:ascii="宋体" w:hAnsi="宋体" w:eastAsia="宋体" w:cs="宋体"/>
                <w:i w:val="0"/>
                <w:iCs w:val="0"/>
                <w:color w:val="000000"/>
                <w:kern w:val="0"/>
                <w:sz w:val="18"/>
                <w:szCs w:val="18"/>
                <w:u w:val="none"/>
                <w:lang w:val="en-US" w:eastAsia="zh-CN" w:bidi="ar"/>
              </w:rPr>
              <w:t>变频器</w:t>
            </w:r>
            <w:r>
              <w:rPr>
                <w:rFonts w:hint="eastAsia" w:ascii="宋体" w:hAnsi="宋体" w:eastAsia="宋体" w:cs="宋体"/>
                <w:i w:val="0"/>
                <w:iCs w:val="0"/>
                <w:color w:val="000000"/>
                <w:kern w:val="0"/>
                <w:sz w:val="18"/>
                <w:szCs w:val="18"/>
                <w:u w:val="none"/>
                <w:lang w:val="en-US" w:eastAsia="zh-CN" w:bidi="ar"/>
              </w:rPr>
              <w:t>和</w:t>
            </w:r>
            <w:r>
              <w:rPr>
                <w:rFonts w:hint="default" w:ascii="宋体" w:hAnsi="宋体" w:eastAsia="宋体" w:cs="宋体"/>
                <w:i w:val="0"/>
                <w:iCs w:val="0"/>
                <w:color w:val="000000"/>
                <w:kern w:val="0"/>
                <w:sz w:val="18"/>
                <w:szCs w:val="18"/>
                <w:u w:val="none"/>
                <w:lang w:val="en-US" w:eastAsia="zh-CN" w:bidi="ar"/>
              </w:rPr>
              <w:t>HAILOONG DS1系列泵工况</w:t>
            </w:r>
            <w:r>
              <w:rPr>
                <w:rFonts w:hint="eastAsia" w:ascii="宋体" w:hAnsi="宋体" w:eastAsia="宋体" w:cs="宋体"/>
                <w:i w:val="0"/>
                <w:iCs w:val="0"/>
                <w:color w:val="000000"/>
                <w:kern w:val="0"/>
                <w:sz w:val="18"/>
                <w:szCs w:val="18"/>
                <w:u w:val="none"/>
                <w:lang w:val="en-US" w:eastAsia="zh-CN" w:bidi="ar"/>
              </w:rPr>
              <w:t>，投标人提供电机并送往机械采油东沽试验车间。</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r>
              <w:rPr>
                <w:rFonts w:hint="default" w:ascii="宋体" w:hAnsi="宋体" w:eastAsia="宋体" w:cs="宋体"/>
                <w:i w:val="0"/>
                <w:iCs w:val="0"/>
                <w:color w:val="000000"/>
                <w:kern w:val="0"/>
                <w:sz w:val="18"/>
                <w:szCs w:val="18"/>
                <w:u w:val="none"/>
                <w:lang w:val="en-US" w:eastAsia="zh-CN" w:bidi="ar"/>
              </w:rPr>
              <w:t>第三方机构测试期间发生的所有见证费用由</w:t>
            </w:r>
            <w:r>
              <w:rPr>
                <w:rFonts w:hint="eastAsia" w:ascii="宋体" w:hAnsi="宋体" w:eastAsia="宋体" w:cs="宋体"/>
                <w:i w:val="0"/>
                <w:iCs w:val="0"/>
                <w:color w:val="000000"/>
                <w:kern w:val="0"/>
                <w:sz w:val="18"/>
                <w:szCs w:val="18"/>
                <w:u w:val="none"/>
                <w:lang w:val="en-US" w:eastAsia="zh-CN" w:bidi="ar"/>
              </w:rPr>
              <w:t>投标人</w:t>
            </w:r>
            <w:r>
              <w:rPr>
                <w:rFonts w:hint="default" w:ascii="宋体" w:hAnsi="宋体" w:eastAsia="宋体" w:cs="宋体"/>
                <w:i w:val="0"/>
                <w:iCs w:val="0"/>
                <w:color w:val="000000"/>
                <w:kern w:val="0"/>
                <w:sz w:val="18"/>
                <w:szCs w:val="18"/>
                <w:u w:val="none"/>
                <w:lang w:val="en-US" w:eastAsia="zh-CN" w:bidi="ar"/>
              </w:rPr>
              <w:t>负责</w:t>
            </w:r>
            <w:r>
              <w:rPr>
                <w:rFonts w:hint="eastAsia" w:ascii="宋体" w:hAnsi="宋体" w:eastAsia="宋体" w:cs="宋体"/>
                <w:i w:val="0"/>
                <w:iCs w:val="0"/>
                <w:color w:val="000000"/>
                <w:kern w:val="0"/>
                <w:sz w:val="18"/>
                <w:szCs w:val="18"/>
                <w:u w:val="none"/>
                <w:lang w:val="en-US" w:eastAsia="zh-CN" w:bidi="ar"/>
              </w:rPr>
              <w:t>，测试期间运输电机等测试物资发生的往返运费由投标人</w:t>
            </w:r>
            <w:r>
              <w:rPr>
                <w:rFonts w:hint="default" w:ascii="宋体" w:hAnsi="宋体" w:eastAsia="宋体" w:cs="宋体"/>
                <w:i w:val="0"/>
                <w:iCs w:val="0"/>
                <w:color w:val="000000"/>
                <w:kern w:val="0"/>
                <w:sz w:val="18"/>
                <w:szCs w:val="18"/>
                <w:u w:val="none"/>
                <w:lang w:val="en-US" w:eastAsia="zh-CN" w:bidi="ar"/>
              </w:rPr>
              <w:t>负责</w:t>
            </w:r>
            <w:r>
              <w:rPr>
                <w:rFonts w:hint="eastAsia" w:ascii="宋体" w:hAnsi="宋体" w:eastAsia="宋体" w:cs="宋体"/>
                <w:i w:val="0"/>
                <w:iCs w:val="0"/>
                <w:color w:val="000000"/>
                <w:kern w:val="0"/>
                <w:sz w:val="18"/>
                <w:szCs w:val="18"/>
                <w:u w:val="none"/>
                <w:lang w:val="en-US" w:eastAsia="zh-CN" w:bidi="ar"/>
              </w:rPr>
              <w:t>，测试期间如出现因投标人的电机试验导致现场招标方和投标人的物资和设备损坏的情况，招标方的物资和设备损坏所产生的费用由投标人负责，投标人的物资和设备损坏所产生的费用由投标人自行承担。</w:t>
            </w:r>
          </w:p>
          <w:p>
            <w:pPr>
              <w:pStyle w:val="17"/>
              <w:numPr>
                <w:ilvl w:val="0"/>
                <w:numId w:val="0"/>
              </w:numPr>
              <w:rPr>
                <w:rFonts w:hint="eastAsia"/>
                <w:sz w:val="21"/>
                <w:szCs w:val="24"/>
              </w:rPr>
            </w:pPr>
            <w:r>
              <w:rPr>
                <w:rFonts w:hint="eastAsia" w:ascii="宋体" w:hAnsi="宋体" w:eastAsia="宋体" w:cs="宋体"/>
                <w:i w:val="0"/>
                <w:iCs w:val="0"/>
                <w:color w:val="000000"/>
                <w:kern w:val="0"/>
                <w:sz w:val="18"/>
                <w:szCs w:val="18"/>
                <w:u w:val="none"/>
                <w:lang w:val="en-US" w:eastAsia="zh-CN" w:bidi="ar"/>
              </w:rPr>
              <w:t>6）投标人的电机和</w:t>
            </w:r>
            <w:r>
              <w:rPr>
                <w:rFonts w:hint="default" w:ascii="宋体" w:hAnsi="宋体" w:eastAsia="宋体" w:cs="宋体"/>
                <w:i w:val="0"/>
                <w:iCs w:val="0"/>
                <w:color w:val="000000"/>
                <w:kern w:val="0"/>
                <w:sz w:val="18"/>
                <w:szCs w:val="18"/>
                <w:u w:val="none"/>
                <w:lang w:val="en-US" w:eastAsia="zh-CN" w:bidi="ar"/>
              </w:rPr>
              <w:t>HAILOONG LIFT品牌的</w:t>
            </w:r>
            <w:r>
              <w:rPr>
                <w:rFonts w:hint="eastAsia" w:ascii="宋体" w:hAnsi="宋体" w:eastAsia="宋体" w:cs="宋体"/>
                <w:i w:val="0"/>
                <w:iCs w:val="0"/>
                <w:color w:val="000000"/>
                <w:kern w:val="0"/>
                <w:sz w:val="18"/>
                <w:szCs w:val="18"/>
                <w:u w:val="none"/>
                <w:lang w:val="en-US" w:eastAsia="zh-CN" w:bidi="ar"/>
              </w:rPr>
              <w:t>OTS400</w:t>
            </w:r>
            <w:r>
              <w:rPr>
                <w:rFonts w:hint="default" w:ascii="宋体" w:hAnsi="宋体" w:eastAsia="宋体" w:cs="宋体"/>
                <w:i w:val="0"/>
                <w:iCs w:val="0"/>
                <w:color w:val="000000"/>
                <w:kern w:val="0"/>
                <w:sz w:val="18"/>
                <w:szCs w:val="18"/>
                <w:u w:val="none"/>
                <w:lang w:val="en-US" w:eastAsia="zh-CN" w:bidi="ar"/>
              </w:rPr>
              <w:t>变频器</w:t>
            </w:r>
            <w:r>
              <w:rPr>
                <w:rFonts w:hint="eastAsia" w:ascii="宋体" w:hAnsi="宋体" w:eastAsia="宋体" w:cs="宋体"/>
                <w:i w:val="0"/>
                <w:iCs w:val="0"/>
                <w:color w:val="000000"/>
                <w:kern w:val="0"/>
                <w:sz w:val="18"/>
                <w:szCs w:val="18"/>
                <w:u w:val="none"/>
                <w:lang w:val="en-US" w:eastAsia="zh-CN" w:bidi="ar"/>
              </w:rPr>
              <w:t>匹配性试验成功，该投标人被判定为资格预审合格。如投标人的电机和</w:t>
            </w:r>
            <w:r>
              <w:rPr>
                <w:rFonts w:hint="default" w:ascii="宋体" w:hAnsi="宋体" w:eastAsia="宋体" w:cs="宋体"/>
                <w:i w:val="0"/>
                <w:iCs w:val="0"/>
                <w:color w:val="000000"/>
                <w:kern w:val="0"/>
                <w:sz w:val="18"/>
                <w:szCs w:val="18"/>
                <w:u w:val="none"/>
                <w:lang w:val="en-US" w:eastAsia="zh-CN" w:bidi="ar"/>
              </w:rPr>
              <w:t>HAILOONG LIFT品牌的</w:t>
            </w:r>
            <w:r>
              <w:rPr>
                <w:rFonts w:hint="eastAsia" w:ascii="宋体" w:hAnsi="宋体" w:eastAsia="宋体" w:cs="宋体"/>
                <w:i w:val="0"/>
                <w:iCs w:val="0"/>
                <w:color w:val="000000"/>
                <w:kern w:val="0"/>
                <w:sz w:val="18"/>
                <w:szCs w:val="18"/>
                <w:u w:val="none"/>
                <w:lang w:val="en-US" w:eastAsia="zh-CN" w:bidi="ar"/>
              </w:rPr>
              <w:t>OTS400</w:t>
            </w:r>
            <w:r>
              <w:rPr>
                <w:rFonts w:hint="default" w:ascii="宋体" w:hAnsi="宋体" w:eastAsia="宋体" w:cs="宋体"/>
                <w:i w:val="0"/>
                <w:iCs w:val="0"/>
                <w:color w:val="000000"/>
                <w:kern w:val="0"/>
                <w:sz w:val="18"/>
                <w:szCs w:val="18"/>
                <w:u w:val="none"/>
                <w:lang w:val="en-US" w:eastAsia="zh-CN" w:bidi="ar"/>
              </w:rPr>
              <w:t>变频器</w:t>
            </w:r>
            <w:r>
              <w:rPr>
                <w:rFonts w:hint="eastAsia" w:ascii="宋体" w:hAnsi="宋体" w:eastAsia="宋体" w:cs="宋体"/>
                <w:i w:val="0"/>
                <w:iCs w:val="0"/>
                <w:color w:val="000000"/>
                <w:kern w:val="0"/>
                <w:sz w:val="18"/>
                <w:szCs w:val="18"/>
                <w:u w:val="none"/>
                <w:lang w:val="en-US" w:eastAsia="zh-CN" w:bidi="ar"/>
              </w:rPr>
              <w:t>匹配性试验失败，则投标人被判定为资格预审不合格</w:t>
            </w:r>
            <w:r>
              <w:rPr>
                <w:rFonts w:hint="eastAsia" w:ascii="宋体" w:hAnsi="宋体" w:eastAsia="宋体" w:cs="宋体"/>
                <w:i w:val="0"/>
                <w:iCs w:val="0"/>
                <w:color w:val="auto"/>
                <w:kern w:val="0"/>
                <w:sz w:val="18"/>
                <w:szCs w:val="18"/>
                <w:highlight w:val="none"/>
                <w:u w:val="none"/>
                <w:lang w:val="en-US" w:eastAsia="zh-CN" w:bidi="ar"/>
              </w:rPr>
              <w:t>。</w:t>
            </w:r>
          </w:p>
          <w:p>
            <w:pPr>
              <w:pStyle w:val="17"/>
              <w:rPr>
                <w:sz w:val="21"/>
                <w:szCs w:val="24"/>
              </w:rPr>
            </w:pPr>
          </w:p>
          <w:p>
            <w:pPr>
              <w:pStyle w:val="17"/>
              <w:rPr>
                <w:sz w:val="21"/>
                <w:szCs w:val="24"/>
              </w:rPr>
            </w:pPr>
            <w:r>
              <w:rPr>
                <w:rFonts w:hint="eastAsia"/>
                <w:b/>
                <w:bCs/>
                <w:sz w:val="21"/>
                <w:szCs w:val="24"/>
                <w:lang w:val="en-US" w:eastAsia="zh-CN"/>
              </w:rPr>
              <w:t>5、</w:t>
            </w:r>
            <w:r>
              <w:rPr>
                <w:rFonts w:hint="eastAsia"/>
                <w:sz w:val="21"/>
                <w:szCs w:val="24"/>
              </w:rPr>
              <w:t xml:space="preserve"> 通过</w:t>
            </w:r>
            <w:r>
              <w:rPr>
                <w:rFonts w:hint="eastAsia"/>
                <w:sz w:val="21"/>
                <w:szCs w:val="24"/>
                <w:lang w:eastAsia="zh-CN"/>
              </w:rPr>
              <w:t>评审</w:t>
            </w:r>
            <w:r>
              <w:rPr>
                <w:rFonts w:hint="eastAsia"/>
                <w:sz w:val="21"/>
                <w:szCs w:val="24"/>
              </w:rPr>
              <w:t>的申请人最终将进入</w:t>
            </w:r>
            <w:r>
              <w:rPr>
                <w:rFonts w:hint="eastAsia"/>
                <w:sz w:val="21"/>
                <w:szCs w:val="24"/>
                <w:lang w:eastAsia="zh-CN"/>
              </w:rPr>
              <w:t>工程技术公司永磁系列潜油电机等物资采购专有协议--标段六</w:t>
            </w:r>
            <w:r>
              <w:rPr>
                <w:rFonts w:hint="eastAsia"/>
                <w:sz w:val="21"/>
                <w:szCs w:val="24"/>
              </w:rPr>
              <w:t>的</w:t>
            </w:r>
            <w:r>
              <w:rPr>
                <w:rFonts w:hint="eastAsia"/>
                <w:color w:val="auto"/>
                <w:sz w:val="21"/>
                <w:szCs w:val="24"/>
                <w:highlight w:val="none"/>
                <w:lang w:val="en-US" w:eastAsia="zh-CN"/>
              </w:rPr>
              <w:t>后续采购</w:t>
            </w:r>
            <w:r>
              <w:rPr>
                <w:rFonts w:hint="eastAsia"/>
                <w:sz w:val="21"/>
                <w:szCs w:val="24"/>
              </w:rPr>
              <w:t>的流程。</w:t>
            </w:r>
          </w:p>
          <w:p>
            <w:pPr>
              <w:widowControl/>
              <w:jc w:val="left"/>
              <w:rPr>
                <w:rFonts w:ascii="Arial" w:hAnsi="Arial" w:eastAsia="Arial" w:cs="Arial"/>
                <w:kern w:val="0"/>
                <w:sz w:val="24"/>
                <w:szCs w:val="24"/>
              </w:rPr>
            </w:pPr>
          </w:p>
        </w:tc>
      </w:tr>
      <w:tr>
        <w:tblPrEx>
          <w:tblCellMar>
            <w:top w:w="15" w:type="dxa"/>
            <w:left w:w="15" w:type="dxa"/>
            <w:bottom w:w="15" w:type="dxa"/>
            <w:right w:w="15" w:type="dxa"/>
          </w:tblCellMar>
        </w:tblPrEx>
        <w:trPr>
          <w:tblCellSpacing w:w="15" w:type="dxa"/>
        </w:trPr>
        <w:tc>
          <w:tcPr>
            <w:tcW w:w="1999" w:type="dxa"/>
            <w:noWrap w:val="0"/>
            <w:tcMar>
              <w:top w:w="15" w:type="dxa"/>
              <w:left w:w="15" w:type="dxa"/>
              <w:bottom w:w="15" w:type="dxa"/>
              <w:right w:w="15" w:type="dxa"/>
            </w:tcMar>
            <w:vAlign w:val="top"/>
          </w:tcPr>
          <w:p>
            <w:pPr>
              <w:widowControl/>
              <w:jc w:val="right"/>
              <w:rPr>
                <w:rFonts w:ascii="Arial" w:hAnsi="Arial" w:eastAsia="Arial" w:cs="Arial"/>
                <w:kern w:val="0"/>
                <w:sz w:val="24"/>
                <w:szCs w:val="24"/>
              </w:rPr>
            </w:pPr>
            <w:r>
              <w:rPr>
                <w:rFonts w:ascii="Arial" w:hAnsi="Arial" w:eastAsia="Arial" w:cs="Arial"/>
                <w:color w:val="000000"/>
                <w:kern w:val="0"/>
                <w:sz w:val="24"/>
                <w:szCs w:val="24"/>
              </w:rPr>
              <w:t>资审文件领取方法：</w:t>
            </w:r>
          </w:p>
        </w:tc>
        <w:tc>
          <w:tcPr>
            <w:tcW w:w="6632" w:type="dxa"/>
            <w:noWrap w:val="0"/>
            <w:tcMar>
              <w:top w:w="15" w:type="dxa"/>
              <w:left w:w="15" w:type="dxa"/>
              <w:bottom w:w="15" w:type="dxa"/>
              <w:right w:w="15" w:type="dxa"/>
            </w:tcMar>
            <w:vAlign w:val="center"/>
          </w:tcPr>
          <w:p>
            <w:pPr>
              <w:widowControl/>
              <w:jc w:val="left"/>
              <w:rPr>
                <w:rFonts w:ascii="Arial" w:hAnsi="Arial" w:eastAsia="Arial" w:cs="Arial"/>
                <w:kern w:val="0"/>
                <w:sz w:val="24"/>
                <w:szCs w:val="24"/>
              </w:rPr>
            </w:pPr>
            <w:sdt>
              <w:sdtPr>
                <w:rPr>
                  <w:rFonts w:hint="eastAsia" w:ascii="宋体" w:hAnsi="宋体" w:eastAsia="宋体" w:cs="微软雅黑"/>
                  <w:kern w:val="0"/>
                  <w:sz w:val="21"/>
                  <w:szCs w:val="21"/>
                  <w:lang w:val="en-US" w:eastAsia="zh-CN" w:bidi="ar-SA"/>
                </w:rPr>
                <w:alias w:val="招标文件领取方法"/>
                <w:tag w:val="{&quot;ccValue&quot;:null,&quot;index&quot;:18}"/>
                <w:id w:val="1845445158"/>
                <w:placeholder>
                  <w:docPart w:val="{07e1cc60-ec53-401d-aa2d-a11434711fe7}"/>
                </w:placeholder>
              </w:sdtPr>
              <w:sdtEndPr>
                <w:rPr>
                  <w:rFonts w:hint="eastAsia" w:ascii="宋体" w:hAnsi="宋体" w:eastAsia="宋体" w:cs="微软雅黑"/>
                  <w:kern w:val="0"/>
                  <w:sz w:val="21"/>
                  <w:szCs w:val="21"/>
                  <w:u w:val="single"/>
                  <w:lang w:val="en-US" w:eastAsia="zh-CN" w:bidi="ar-SA"/>
                </w:rPr>
              </w:sdtEndPr>
              <w:sdtContent>
                <w:permStart w:id="0" w:edGrp="everyone"/>
                <w:r>
                  <w:rPr>
                    <w:rFonts w:hint="eastAsia" w:ascii="宋体" w:hAnsi="宋体" w:eastAsia="宋体" w:cs="微软雅黑"/>
                    <w:sz w:val="21"/>
                    <w:szCs w:val="21"/>
                    <w:u w:val="single"/>
                    <w:lang w:eastAsia="zh-CN"/>
                  </w:rPr>
                  <w:t>凡有意参加投标者，请登录中国海油供应链数字化平台（https://bid.cnooc.com.cn）的“采购文件下载”页面进行</w:t>
                </w:r>
                <w:r>
                  <w:rPr>
                    <w:rFonts w:hint="eastAsia" w:ascii="宋体" w:hAnsi="宋体" w:cs="微软雅黑"/>
                    <w:sz w:val="21"/>
                    <w:szCs w:val="21"/>
                    <w:u w:val="single"/>
                    <w:lang w:val="en-US" w:eastAsia="zh-CN"/>
                  </w:rPr>
                  <w:t>领取</w:t>
                </w:r>
                <w:r>
                  <w:rPr>
                    <w:rFonts w:hint="eastAsia" w:ascii="宋体" w:hAnsi="宋体" w:eastAsia="宋体" w:cs="微软雅黑"/>
                    <w:sz w:val="21"/>
                    <w:szCs w:val="21"/>
                    <w:u w:val="single"/>
                    <w:lang w:eastAsia="zh-CN"/>
                  </w:rPr>
                  <w:t>。如未在系统中领购招标文件，不可参加投标。</w:t>
                </w:r>
                <w:permEnd w:id="0"/>
              </w:sdtContent>
            </w:sdt>
            <w:r>
              <w:rPr>
                <w:rFonts w:ascii="Arial" w:hAnsi="Arial" w:eastAsia="Arial" w:cs="Arial"/>
                <w:color w:val="000000"/>
                <w:kern w:val="0"/>
                <w:sz w:val="24"/>
                <w:szCs w:val="24"/>
              </w:rPr>
              <w:t xml:space="preserve"> </w:t>
            </w:r>
          </w:p>
        </w:tc>
      </w:tr>
      <w:tr>
        <w:tblPrEx>
          <w:tblCellMar>
            <w:top w:w="15" w:type="dxa"/>
            <w:left w:w="15" w:type="dxa"/>
            <w:bottom w:w="15" w:type="dxa"/>
            <w:right w:w="15" w:type="dxa"/>
          </w:tblCellMar>
        </w:tblPrEx>
        <w:trPr>
          <w:tblCellSpacing w:w="15" w:type="dxa"/>
        </w:trPr>
        <w:tc>
          <w:tcPr>
            <w:tcW w:w="1999" w:type="dxa"/>
            <w:noWrap w:val="0"/>
            <w:tcMar>
              <w:top w:w="15" w:type="dxa"/>
              <w:left w:w="15" w:type="dxa"/>
              <w:bottom w:w="15" w:type="dxa"/>
              <w:right w:w="15" w:type="dxa"/>
            </w:tcMar>
            <w:vAlign w:val="top"/>
          </w:tcPr>
          <w:p>
            <w:pPr>
              <w:widowControl/>
              <w:jc w:val="right"/>
              <w:rPr>
                <w:rFonts w:ascii="Arial" w:hAnsi="Arial" w:eastAsia="Arial" w:cs="Arial"/>
                <w:kern w:val="0"/>
                <w:sz w:val="24"/>
                <w:szCs w:val="24"/>
              </w:rPr>
            </w:pPr>
            <w:r>
              <w:rPr>
                <w:rFonts w:ascii="Arial" w:hAnsi="Arial" w:eastAsia="Arial" w:cs="Arial"/>
                <w:color w:val="000000"/>
                <w:kern w:val="0"/>
                <w:sz w:val="24"/>
                <w:szCs w:val="24"/>
              </w:rPr>
              <w:t>资审文件价格：</w:t>
            </w:r>
          </w:p>
        </w:tc>
        <w:tc>
          <w:tcPr>
            <w:tcW w:w="6632" w:type="dxa"/>
            <w:noWrap w:val="0"/>
            <w:tcMar>
              <w:top w:w="15" w:type="dxa"/>
              <w:left w:w="15" w:type="dxa"/>
              <w:bottom w:w="15" w:type="dxa"/>
              <w:right w:w="15" w:type="dxa"/>
            </w:tcMar>
            <w:vAlign w:val="center"/>
          </w:tcPr>
          <w:p>
            <w:pPr>
              <w:widowControl/>
              <w:jc w:val="left"/>
              <w:rPr>
                <w:rFonts w:ascii="Arial" w:hAnsi="Arial" w:eastAsia="Arial" w:cs="Arial"/>
                <w:kern w:val="0"/>
                <w:sz w:val="24"/>
                <w:szCs w:val="24"/>
              </w:rPr>
            </w:pPr>
            <w:r>
              <w:rPr>
                <w:rFonts w:ascii="Arial" w:hAnsi="Arial" w:eastAsia="Arial" w:cs="Arial"/>
                <w:color w:val="000000"/>
                <w:kern w:val="0"/>
                <w:sz w:val="24"/>
                <w:szCs w:val="24"/>
              </w:rPr>
              <w:t>0元</w:t>
            </w:r>
          </w:p>
        </w:tc>
      </w:tr>
      <w:tr>
        <w:tblPrEx>
          <w:tblCellMar>
            <w:top w:w="15" w:type="dxa"/>
            <w:left w:w="15" w:type="dxa"/>
            <w:bottom w:w="15" w:type="dxa"/>
            <w:right w:w="15" w:type="dxa"/>
          </w:tblCellMar>
        </w:tblPrEx>
        <w:trPr>
          <w:tblCellSpacing w:w="15" w:type="dxa"/>
        </w:trPr>
        <w:tc>
          <w:tcPr>
            <w:tcW w:w="1999" w:type="dxa"/>
            <w:noWrap w:val="0"/>
            <w:tcMar>
              <w:top w:w="15" w:type="dxa"/>
              <w:left w:w="15" w:type="dxa"/>
              <w:bottom w:w="15" w:type="dxa"/>
              <w:right w:w="15" w:type="dxa"/>
            </w:tcMar>
            <w:vAlign w:val="top"/>
          </w:tcPr>
          <w:p>
            <w:pPr>
              <w:widowControl/>
              <w:jc w:val="right"/>
              <w:rPr>
                <w:rFonts w:ascii="Arial" w:hAnsi="Arial" w:eastAsia="Arial" w:cs="Arial"/>
                <w:kern w:val="0"/>
                <w:sz w:val="24"/>
                <w:szCs w:val="24"/>
              </w:rPr>
            </w:pPr>
            <w:r>
              <w:rPr>
                <w:rFonts w:ascii="Arial" w:hAnsi="Arial" w:eastAsia="Arial" w:cs="Arial"/>
                <w:color w:val="000000"/>
                <w:kern w:val="0"/>
                <w:sz w:val="24"/>
                <w:szCs w:val="24"/>
              </w:rPr>
              <w:t>资审申请文件递交截止时间：</w:t>
            </w:r>
          </w:p>
        </w:tc>
        <w:tc>
          <w:tcPr>
            <w:tcW w:w="6632" w:type="dxa"/>
            <w:noWrap w:val="0"/>
            <w:tcMar>
              <w:top w:w="15" w:type="dxa"/>
              <w:left w:w="15" w:type="dxa"/>
              <w:bottom w:w="15" w:type="dxa"/>
              <w:right w:w="15" w:type="dxa"/>
            </w:tcMar>
            <w:vAlign w:val="center"/>
          </w:tcPr>
          <w:p>
            <w:pPr>
              <w:widowControl/>
              <w:jc w:val="left"/>
              <w:rPr>
                <w:rFonts w:ascii="Arial" w:hAnsi="Arial" w:eastAsia="Arial" w:cs="Arial"/>
                <w:kern w:val="0"/>
                <w:sz w:val="24"/>
                <w:szCs w:val="24"/>
              </w:rPr>
            </w:pPr>
            <w:r>
              <w:rPr>
                <w:rFonts w:hint="eastAsia" w:ascii="Arial" w:hAnsi="Arial" w:eastAsia="Arial" w:cs="Arial"/>
                <w:color w:val="000000"/>
                <w:kern w:val="0"/>
                <w:sz w:val="24"/>
                <w:szCs w:val="24"/>
              </w:rPr>
              <w:t>详见系统时间</w:t>
            </w:r>
          </w:p>
        </w:tc>
      </w:tr>
      <w:tr>
        <w:tblPrEx>
          <w:tblCellMar>
            <w:top w:w="15" w:type="dxa"/>
            <w:left w:w="15" w:type="dxa"/>
            <w:bottom w:w="15" w:type="dxa"/>
            <w:right w:w="15" w:type="dxa"/>
          </w:tblCellMar>
        </w:tblPrEx>
        <w:trPr>
          <w:tblCellSpacing w:w="15" w:type="dxa"/>
        </w:trPr>
        <w:tc>
          <w:tcPr>
            <w:tcW w:w="1999" w:type="dxa"/>
            <w:noWrap w:val="0"/>
            <w:tcMar>
              <w:top w:w="15" w:type="dxa"/>
              <w:left w:w="15" w:type="dxa"/>
              <w:bottom w:w="15" w:type="dxa"/>
              <w:right w:w="15" w:type="dxa"/>
            </w:tcMar>
            <w:vAlign w:val="top"/>
          </w:tcPr>
          <w:p>
            <w:pPr>
              <w:widowControl/>
              <w:jc w:val="right"/>
              <w:rPr>
                <w:rFonts w:ascii="Arial" w:hAnsi="Arial" w:eastAsia="Arial" w:cs="Arial"/>
                <w:kern w:val="0"/>
                <w:sz w:val="24"/>
                <w:szCs w:val="24"/>
              </w:rPr>
            </w:pPr>
            <w:r>
              <w:rPr>
                <w:rFonts w:ascii="Arial" w:hAnsi="Arial" w:eastAsia="Arial" w:cs="Arial"/>
                <w:color w:val="000000"/>
                <w:kern w:val="0"/>
                <w:sz w:val="24"/>
                <w:szCs w:val="24"/>
              </w:rPr>
              <w:t>资审申请文件递交地点：</w:t>
            </w:r>
          </w:p>
        </w:tc>
        <w:tc>
          <w:tcPr>
            <w:tcW w:w="6632" w:type="dxa"/>
            <w:noWrap w:val="0"/>
            <w:tcMar>
              <w:top w:w="15" w:type="dxa"/>
              <w:left w:w="15" w:type="dxa"/>
              <w:bottom w:w="15" w:type="dxa"/>
              <w:right w:w="15" w:type="dxa"/>
            </w:tcMar>
            <w:vAlign w:val="center"/>
          </w:tcPr>
          <w:p>
            <w:pPr>
              <w:widowControl/>
              <w:jc w:val="left"/>
              <w:rPr>
                <w:rFonts w:ascii="Arial" w:hAnsi="Arial" w:eastAsia="Arial" w:cs="Arial"/>
                <w:kern w:val="0"/>
                <w:sz w:val="24"/>
                <w:szCs w:val="24"/>
              </w:rPr>
            </w:pPr>
            <w:r>
              <w:rPr>
                <w:rFonts w:ascii="Arial" w:hAnsi="Arial" w:eastAsia="Arial" w:cs="Arial"/>
                <w:color w:val="000000"/>
                <w:kern w:val="0"/>
                <w:sz w:val="24"/>
                <w:szCs w:val="24"/>
              </w:rPr>
              <w:t>所有的资审文件必须在资审文件递交截止时间前在线提交</w:t>
            </w:r>
          </w:p>
        </w:tc>
      </w:tr>
      <w:tr>
        <w:tblPrEx>
          <w:tblCellMar>
            <w:top w:w="15" w:type="dxa"/>
            <w:left w:w="15" w:type="dxa"/>
            <w:bottom w:w="15" w:type="dxa"/>
            <w:right w:w="15" w:type="dxa"/>
          </w:tblCellMar>
        </w:tblPrEx>
        <w:trPr>
          <w:tblCellSpacing w:w="15" w:type="dxa"/>
        </w:trPr>
        <w:tc>
          <w:tcPr>
            <w:tcW w:w="1999" w:type="dxa"/>
            <w:noWrap w:val="0"/>
            <w:tcMar>
              <w:top w:w="15" w:type="dxa"/>
              <w:left w:w="15" w:type="dxa"/>
              <w:bottom w:w="15" w:type="dxa"/>
              <w:right w:w="15" w:type="dxa"/>
            </w:tcMar>
            <w:vAlign w:val="top"/>
          </w:tcPr>
          <w:p>
            <w:pPr>
              <w:widowControl/>
              <w:jc w:val="right"/>
              <w:rPr>
                <w:rFonts w:ascii="Arial" w:hAnsi="Arial" w:eastAsia="Arial" w:cs="Arial"/>
                <w:kern w:val="0"/>
                <w:sz w:val="24"/>
                <w:szCs w:val="24"/>
              </w:rPr>
            </w:pPr>
            <w:r>
              <w:rPr>
                <w:rFonts w:ascii="Arial" w:hAnsi="Arial" w:eastAsia="Arial" w:cs="Arial"/>
                <w:color w:val="000000"/>
                <w:kern w:val="0"/>
                <w:sz w:val="24"/>
                <w:szCs w:val="24"/>
              </w:rPr>
              <w:t>资审申请文件递交方法：</w:t>
            </w:r>
          </w:p>
        </w:tc>
        <w:tc>
          <w:tcPr>
            <w:tcW w:w="6632" w:type="dxa"/>
            <w:noWrap w:val="0"/>
            <w:tcMar>
              <w:top w:w="15" w:type="dxa"/>
              <w:left w:w="15" w:type="dxa"/>
              <w:bottom w:w="15" w:type="dxa"/>
              <w:right w:w="15" w:type="dxa"/>
            </w:tcMar>
            <w:vAlign w:val="center"/>
          </w:tcPr>
          <w:p>
            <w:pPr>
              <w:widowControl/>
              <w:jc w:val="left"/>
              <w:rPr>
                <w:rFonts w:ascii="Arial" w:hAnsi="Arial" w:eastAsia="Arial" w:cs="Arial"/>
                <w:kern w:val="0"/>
                <w:sz w:val="24"/>
                <w:szCs w:val="24"/>
              </w:rPr>
            </w:pPr>
            <w:r>
              <w:rPr>
                <w:rFonts w:hint="eastAsia" w:ascii="Arial" w:hAnsi="Arial" w:eastAsia="Arial" w:cs="Arial"/>
                <w:color w:val="000000"/>
                <w:kern w:val="0"/>
                <w:sz w:val="24"/>
                <w:szCs w:val="24"/>
              </w:rPr>
              <w:t>所有的投标文件必须在投标文件截止时间前在线提交</w:t>
            </w:r>
          </w:p>
        </w:tc>
      </w:tr>
      <w:tr>
        <w:tblPrEx>
          <w:tblCellMar>
            <w:top w:w="15" w:type="dxa"/>
            <w:left w:w="15" w:type="dxa"/>
            <w:bottom w:w="15" w:type="dxa"/>
            <w:right w:w="15" w:type="dxa"/>
          </w:tblCellMar>
        </w:tblPrEx>
        <w:trPr>
          <w:tblCellSpacing w:w="15" w:type="dxa"/>
        </w:trPr>
        <w:tc>
          <w:tcPr>
            <w:tcW w:w="1999" w:type="dxa"/>
            <w:noWrap w:val="0"/>
            <w:tcMar>
              <w:top w:w="15" w:type="dxa"/>
              <w:left w:w="15" w:type="dxa"/>
              <w:bottom w:w="15" w:type="dxa"/>
              <w:right w:w="15" w:type="dxa"/>
            </w:tcMar>
            <w:vAlign w:val="top"/>
          </w:tcPr>
          <w:p>
            <w:pPr>
              <w:widowControl/>
              <w:jc w:val="right"/>
              <w:rPr>
                <w:rFonts w:ascii="Arial" w:hAnsi="Arial" w:eastAsia="Arial" w:cs="Arial"/>
                <w:kern w:val="0"/>
                <w:sz w:val="24"/>
                <w:szCs w:val="24"/>
              </w:rPr>
            </w:pPr>
            <w:r>
              <w:rPr>
                <w:rFonts w:ascii="Arial" w:hAnsi="Arial" w:eastAsia="Arial" w:cs="Arial"/>
                <w:color w:val="000000"/>
                <w:kern w:val="0"/>
                <w:sz w:val="24"/>
                <w:szCs w:val="24"/>
              </w:rPr>
              <w:t>发布媒介：</w:t>
            </w:r>
          </w:p>
        </w:tc>
        <w:tc>
          <w:tcPr>
            <w:tcW w:w="6632" w:type="dxa"/>
            <w:noWrap w:val="0"/>
            <w:tcMar>
              <w:top w:w="15" w:type="dxa"/>
              <w:left w:w="15" w:type="dxa"/>
              <w:bottom w:w="15" w:type="dxa"/>
              <w:right w:w="15" w:type="dxa"/>
            </w:tcMar>
            <w:vAlign w:val="center"/>
          </w:tcPr>
          <w:p>
            <w:pPr>
              <w:widowControl/>
              <w:jc w:val="left"/>
              <w:rPr>
                <w:rFonts w:hint="default" w:ascii="Arial" w:hAnsi="Arial" w:eastAsia="宋体" w:cs="Arial"/>
                <w:kern w:val="0"/>
                <w:sz w:val="24"/>
                <w:szCs w:val="24"/>
                <w:lang w:val="en-US" w:eastAsia="zh-CN"/>
              </w:rPr>
            </w:pPr>
            <w:r>
              <w:rPr>
                <w:rFonts w:ascii="Arial" w:hAnsi="Arial" w:eastAsia="Arial" w:cs="Arial"/>
                <w:color w:val="000000"/>
                <w:kern w:val="0"/>
                <w:sz w:val="24"/>
                <w:szCs w:val="24"/>
              </w:rPr>
              <w:t>中国招标投标公共服务平台、中国海洋石油集团有限公司采办业务管理与交易系统</w:t>
            </w:r>
            <w:r>
              <w:rPr>
                <w:rFonts w:hint="eastAsia" w:ascii="Arial" w:hAnsi="Arial" w:eastAsia="宋体" w:cs="Arial"/>
                <w:color w:val="000000"/>
                <w:kern w:val="0"/>
                <w:sz w:val="24"/>
                <w:szCs w:val="24"/>
                <w:lang w:eastAsia="zh-CN"/>
              </w:rPr>
              <w:t>、</w:t>
            </w:r>
            <w:r>
              <w:rPr>
                <w:rFonts w:ascii="Arial" w:hAnsi="Arial" w:eastAsia="Arial" w:cs="Arial"/>
                <w:color w:val="000000"/>
                <w:kern w:val="0"/>
                <w:sz w:val="24"/>
                <w:szCs w:val="24"/>
              </w:rPr>
              <w:t>中国海洋石油集团有限公司</w:t>
            </w:r>
            <w:r>
              <w:rPr>
                <w:rFonts w:hint="eastAsia" w:ascii="Arial" w:hAnsi="Arial" w:eastAsia="宋体" w:cs="Arial"/>
                <w:color w:val="000000"/>
                <w:kern w:val="0"/>
                <w:sz w:val="24"/>
                <w:szCs w:val="24"/>
                <w:lang w:val="en-US" w:eastAsia="zh-CN"/>
              </w:rPr>
              <w:t>供应链数字化平台</w:t>
            </w:r>
          </w:p>
        </w:tc>
      </w:tr>
      <w:tr>
        <w:tblPrEx>
          <w:tblCellMar>
            <w:top w:w="15" w:type="dxa"/>
            <w:left w:w="15" w:type="dxa"/>
            <w:bottom w:w="15" w:type="dxa"/>
            <w:right w:w="15" w:type="dxa"/>
          </w:tblCellMar>
        </w:tblPrEx>
        <w:trPr>
          <w:tblCellSpacing w:w="15" w:type="dxa"/>
        </w:trPr>
        <w:tc>
          <w:tcPr>
            <w:tcW w:w="1999" w:type="dxa"/>
            <w:noWrap w:val="0"/>
            <w:tcMar>
              <w:top w:w="15" w:type="dxa"/>
              <w:left w:w="15" w:type="dxa"/>
              <w:bottom w:w="15" w:type="dxa"/>
              <w:right w:w="15" w:type="dxa"/>
            </w:tcMar>
            <w:vAlign w:val="top"/>
          </w:tcPr>
          <w:p>
            <w:pPr>
              <w:widowControl/>
              <w:jc w:val="right"/>
              <w:rPr>
                <w:rFonts w:ascii="Arial" w:hAnsi="Arial" w:eastAsia="Arial" w:cs="Arial"/>
                <w:kern w:val="0"/>
                <w:sz w:val="24"/>
                <w:szCs w:val="24"/>
              </w:rPr>
            </w:pPr>
            <w:r>
              <w:rPr>
                <w:rFonts w:ascii="Arial" w:hAnsi="Arial" w:eastAsia="Arial" w:cs="Arial"/>
                <w:color w:val="000000"/>
                <w:kern w:val="0"/>
                <w:sz w:val="24"/>
                <w:szCs w:val="24"/>
              </w:rPr>
              <w:t>特殊说明：</w:t>
            </w:r>
          </w:p>
        </w:tc>
        <w:tc>
          <w:tcPr>
            <w:tcW w:w="6632" w:type="dxa"/>
            <w:noWrap w:val="0"/>
            <w:tcMar>
              <w:top w:w="15" w:type="dxa"/>
              <w:left w:w="15" w:type="dxa"/>
              <w:bottom w:w="15" w:type="dxa"/>
              <w:right w:w="15" w:type="dxa"/>
            </w:tcMar>
            <w:vAlign w:val="center"/>
          </w:tcPr>
          <w:p>
            <w:pPr>
              <w:widowControl/>
              <w:jc w:val="left"/>
              <w:rPr>
                <w:rFonts w:hint="eastAsia"/>
              </w:rPr>
            </w:pPr>
          </w:p>
          <w:p>
            <w:pPr>
              <w:pStyle w:val="2"/>
              <w:rPr>
                <w:rFonts w:hint="eastAsia"/>
              </w:rPr>
            </w:pPr>
            <w:r>
              <w:rPr>
                <w:rFonts w:hint="eastAsia"/>
              </w:rPr>
              <w:t>投标人必须使用系统提供的投标文件制作软件（门户首页＞下载专区）导入招标文件（如有招标文件澄清，须重新导入最后一次澄清文件）后编制投标文件。相关操作详见《中国海油供应链数字化平台-供应商操作手册》（门户首页＞下载专区）。超过投标截止时间送达的投标文件，系统将予以拒收。      中国海油严厉打击串通投标、弄虚作假等违法违规行为，每个招标项目均对投标人的文件制作机器码、文件创建标识码和投标电脑MAC地址、IP地址、投标文件内容进行查验。请各投标人高度重视投标工作，在本单位办公所在地、使用办公IP下载招标文件并自行独立编制、上传投标文件。      出现不同投标人的“文件制作机器码、文件创建标识码和投标电脑MAC地址”内容任何一项一致的，将直接视为“投标人相互串通投标”。      被认定为“属于投标人相互串通投标”“视为投标人相互串通投标”或“提供虚假投标资料”的供应商，将按照中国海油相关制度规定，对围标串标的投标人处于禁用两年及以上的处理，对提供虚假投标资料的投标人处于禁用一年及以上的处理，处理期内不能参与新的投标活动。      评标结束后投标人可以在中标候选人公示期间提出异议，进一步可通过投诉寻求行政救济，由行政监督部门做出认定。</w:t>
            </w:r>
          </w:p>
          <w:p>
            <w:pPr>
              <w:pStyle w:val="2"/>
              <w:rPr>
                <w:rFonts w:hint="eastAsia"/>
              </w:rPr>
            </w:pPr>
            <w:r>
              <w:rPr>
                <w:rFonts w:hint="eastAsia" w:ascii="宋体" w:hAnsi="宋体" w:eastAsia="宋体" w:cs="微软雅黑"/>
                <w:kern w:val="0"/>
                <w:sz w:val="21"/>
                <w:szCs w:val="21"/>
                <w:lang w:val="en-US" w:eastAsia="zh-CN" w:bidi="ar"/>
              </w:rPr>
              <w:t>1）本次为公开资格预审项目，通过资格评审的申请人参与后续采办工作，本项目采用兼投兼中的授标方式。</w:t>
            </w:r>
            <w:r>
              <w:rPr>
                <w:rFonts w:hint="eastAsia" w:ascii="宋体" w:hAnsi="宋体" w:eastAsia="宋体" w:cs="微软雅黑"/>
                <w:kern w:val="0"/>
                <w:sz w:val="21"/>
                <w:szCs w:val="21"/>
                <w:lang w:val="en-US" w:eastAsia="zh-CN" w:bidi="ar"/>
              </w:rPr>
              <w:br w:type="textWrapping"/>
            </w:r>
            <w:r>
              <w:rPr>
                <w:rFonts w:hint="eastAsia" w:ascii="宋体" w:hAnsi="宋体" w:eastAsia="宋体" w:cs="微软雅黑"/>
                <w:kern w:val="0"/>
                <w:sz w:val="21"/>
                <w:szCs w:val="21"/>
                <w:lang w:val="en-US" w:eastAsia="zh-CN" w:bidi="ar"/>
              </w:rPr>
              <w:t>2）若公开资审最终合格的供应商仅有1家，则按照单一来源采购方式办理；若2≤公开资审最终合格的供应商数量≤3，则按照</w:t>
            </w:r>
            <w:r>
              <w:rPr>
                <w:rFonts w:hint="eastAsia" w:ascii="宋体" w:hAnsi="宋体" w:cs="微软雅黑"/>
                <w:kern w:val="0"/>
                <w:sz w:val="21"/>
                <w:szCs w:val="21"/>
                <w:lang w:val="en-US" w:eastAsia="zh-CN" w:bidi="ar"/>
              </w:rPr>
              <w:t>竞争性谈判或单一来源</w:t>
            </w:r>
            <w:r>
              <w:rPr>
                <w:rFonts w:hint="eastAsia" w:ascii="宋体" w:hAnsi="宋体" w:eastAsia="宋体" w:cs="微软雅黑"/>
                <w:kern w:val="0"/>
                <w:sz w:val="21"/>
                <w:szCs w:val="21"/>
                <w:lang w:val="en-US" w:eastAsia="zh-CN" w:bidi="ar"/>
              </w:rPr>
              <w:t>采购方式和排名第一的供应商签订合同；若公开资格预审最终合格的供应商数量≥4，则按照</w:t>
            </w:r>
            <w:r>
              <w:rPr>
                <w:rFonts w:hint="eastAsia" w:ascii="宋体" w:hAnsi="宋体" w:cs="微软雅黑"/>
                <w:kern w:val="0"/>
                <w:sz w:val="21"/>
                <w:szCs w:val="21"/>
                <w:lang w:val="en-US" w:eastAsia="zh-CN" w:bidi="ar"/>
              </w:rPr>
              <w:t>竞争性谈判或单一来源</w:t>
            </w:r>
            <w:r>
              <w:rPr>
                <w:rFonts w:hint="eastAsia" w:ascii="宋体" w:hAnsi="宋体" w:eastAsia="宋体" w:cs="微软雅黑"/>
                <w:kern w:val="0"/>
                <w:sz w:val="21"/>
                <w:szCs w:val="21"/>
                <w:lang w:val="en-US" w:eastAsia="zh-CN" w:bidi="ar"/>
              </w:rPr>
              <w:t>采购方式办理，采用一主一备协议模式。</w:t>
            </w:r>
            <w:r>
              <w:rPr>
                <w:rFonts w:hint="eastAsia" w:ascii="宋体" w:hAnsi="宋体" w:eastAsia="宋体" w:cs="微软雅黑"/>
                <w:kern w:val="0"/>
                <w:sz w:val="21"/>
                <w:szCs w:val="21"/>
                <w:lang w:val="en-US" w:eastAsia="zh-CN" w:bidi="ar"/>
              </w:rPr>
              <w:br w:type="textWrapping"/>
            </w:r>
            <w:r>
              <w:rPr>
                <w:rFonts w:hint="eastAsia" w:ascii="宋体" w:hAnsi="宋体" w:eastAsia="宋体" w:cs="微软雅黑"/>
                <w:kern w:val="0"/>
                <w:sz w:val="21"/>
                <w:szCs w:val="21"/>
                <w:lang w:val="en-US" w:eastAsia="zh-CN" w:bidi="ar"/>
              </w:rPr>
              <w:t xml:space="preserve">3）拟签订合同模式为固定单价/费率合同，合同有效期：3年，采用1+1+1模式，协议期满后，如有未执行完毕的订单，该订单应履行完毕。 </w:t>
            </w:r>
            <w:r>
              <w:rPr>
                <w:rFonts w:hint="eastAsia" w:ascii="宋体" w:hAnsi="宋体" w:eastAsia="宋体" w:cs="微软雅黑"/>
                <w:kern w:val="0"/>
                <w:sz w:val="21"/>
                <w:szCs w:val="21"/>
                <w:lang w:val="en-US" w:eastAsia="zh-CN" w:bidi="ar"/>
              </w:rPr>
              <w:br w:type="textWrapping"/>
            </w:r>
            <w:r>
              <w:rPr>
                <w:rFonts w:hint="eastAsia" w:ascii="宋体" w:hAnsi="宋体" w:eastAsia="宋体" w:cs="微软雅黑"/>
                <w:kern w:val="0"/>
                <w:sz w:val="21"/>
                <w:szCs w:val="21"/>
                <w:lang w:val="en-US" w:eastAsia="zh-CN" w:bidi="ar"/>
              </w:rPr>
              <w:t xml:space="preserve">4）主备使用原则 </w:t>
            </w:r>
            <w:r>
              <w:rPr>
                <w:rFonts w:hint="eastAsia" w:ascii="宋体" w:hAnsi="宋体" w:eastAsia="宋体" w:cs="微软雅黑"/>
                <w:kern w:val="0"/>
                <w:sz w:val="21"/>
                <w:szCs w:val="21"/>
                <w:lang w:val="en-US" w:eastAsia="zh-CN" w:bidi="ar"/>
              </w:rPr>
              <w:br w:type="textWrapping"/>
            </w:r>
            <w:r>
              <w:rPr>
                <w:rFonts w:hint="eastAsia" w:ascii="宋体" w:hAnsi="宋体" w:eastAsia="宋体" w:cs="微软雅黑"/>
                <w:kern w:val="0"/>
                <w:sz w:val="21"/>
                <w:szCs w:val="21"/>
                <w:lang w:val="en-US" w:eastAsia="zh-CN" w:bidi="ar"/>
              </w:rPr>
              <w:t>1、主、备协议使用原则为主协议供应商无法供货或提供服务，须出具书面说明文件，方可启用备协议。</w:t>
            </w:r>
            <w:r>
              <w:rPr>
                <w:rFonts w:hint="eastAsia" w:ascii="宋体" w:hAnsi="宋体" w:eastAsia="宋体" w:cs="微软雅黑"/>
                <w:kern w:val="0"/>
                <w:sz w:val="21"/>
                <w:szCs w:val="21"/>
                <w:lang w:val="en-US" w:eastAsia="zh-CN" w:bidi="ar"/>
              </w:rPr>
              <w:br w:type="textWrapping"/>
            </w:r>
            <w:r>
              <w:rPr>
                <w:rFonts w:hint="eastAsia" w:ascii="宋体" w:hAnsi="宋体" w:eastAsia="宋体" w:cs="微软雅黑"/>
                <w:kern w:val="0"/>
                <w:sz w:val="21"/>
                <w:szCs w:val="21"/>
                <w:lang w:val="en-US" w:eastAsia="zh-CN" w:bidi="ar"/>
              </w:rPr>
              <w:t xml:space="preserve"> 2、主协议供应商自协议生效后连续两次或一年内三次无法承接订单（不可抗力除外），将视为供应商不能履约，此主协议终止，同时对主协议供应商按照《中海油能源发展股份有限公司供应链供应商管理办法》进行处理。</w:t>
            </w:r>
            <w:r>
              <w:rPr>
                <w:rFonts w:hint="eastAsia" w:ascii="宋体" w:hAnsi="宋体" w:eastAsia="宋体" w:cs="微软雅黑"/>
                <w:b/>
                <w:bCs/>
                <w:color w:val="FF0000"/>
                <w:kern w:val="0"/>
                <w:sz w:val="21"/>
                <w:szCs w:val="21"/>
                <w:highlight w:val="yellow"/>
                <w:lang w:val="en-US" w:eastAsia="zh-CN" w:bidi="ar"/>
              </w:rPr>
              <w:t>若主协议供应商因永磁电机自身质量问题导致一年内连续无故障运转时间低于3个月的情况出现2井次；或一年内陆地试验（检查）期间发现永磁电机自身存在质量问题或匹配性试验不合格的情况出现2次；或上述两种一年内故障情形各出现1次，则招标人有权解除主协议，同时可将备协议变更为主协议</w:t>
            </w:r>
            <w:r>
              <w:rPr>
                <w:rFonts w:hint="eastAsia" w:ascii="宋体" w:hAnsi="宋体" w:eastAsia="宋体" w:cs="微软雅黑"/>
                <w:kern w:val="0"/>
                <w:sz w:val="21"/>
                <w:szCs w:val="21"/>
                <w:lang w:val="en-US" w:eastAsia="zh-CN" w:bidi="ar"/>
              </w:rPr>
              <w:t xml:space="preserve">。 </w:t>
            </w:r>
            <w:r>
              <w:rPr>
                <w:rFonts w:hint="eastAsia" w:ascii="宋体" w:hAnsi="宋体" w:eastAsia="宋体" w:cs="微软雅黑"/>
                <w:kern w:val="0"/>
                <w:sz w:val="21"/>
                <w:szCs w:val="21"/>
                <w:lang w:val="en-US" w:eastAsia="zh-CN" w:bidi="ar"/>
              </w:rPr>
              <w:br w:type="textWrapping"/>
            </w:r>
            <w:r>
              <w:rPr>
                <w:rFonts w:hint="eastAsia" w:ascii="宋体" w:hAnsi="宋体" w:eastAsia="宋体" w:cs="微软雅黑"/>
                <w:kern w:val="0"/>
                <w:sz w:val="21"/>
                <w:szCs w:val="21"/>
                <w:lang w:val="en-US" w:eastAsia="zh-CN" w:bidi="ar"/>
              </w:rPr>
              <w:t>3、主协议供应商如不能履约，如备协议单价与主协议单价一致或备协议供应商接受将所有高于主协议的单价降为与主协议单价一致，则品类工程师可按照合同变更流程将备协议变更为主协议，并解除原主协议。如不满足上述条件，品类部应立即启动新协议签订。</w:t>
            </w:r>
          </w:p>
        </w:tc>
      </w:tr>
    </w:tbl>
    <w:p>
      <w:pPr>
        <w:widowControl/>
        <w:jc w:val="left"/>
        <w:rPr>
          <w:rFonts w:ascii="Arial" w:hAnsi="Arial" w:eastAsia="Arial" w:cs="Arial"/>
          <w:kern w:val="0"/>
          <w:sz w:val="24"/>
          <w:szCs w:val="24"/>
        </w:rPr>
      </w:pPr>
      <w:r>
        <w:rPr>
          <w:rFonts w:ascii="Arial" w:hAnsi="Arial" w:eastAsia="Arial" w:cs="Arial"/>
          <w:color w:val="000000"/>
          <w:kern w:val="0"/>
          <w:sz w:val="24"/>
          <w:szCs w:val="24"/>
        </w:rPr>
        <w:br w:type="textWrapping"/>
      </w:r>
    </w:p>
    <w:p>
      <w:pPr>
        <w:widowControl/>
        <w:spacing w:line="375" w:lineRule="atLeast"/>
        <w:jc w:val="left"/>
        <w:rPr>
          <w:rFonts w:ascii="Arial" w:hAnsi="Arial" w:eastAsia="Arial" w:cs="Arial"/>
          <w:kern w:val="0"/>
          <w:sz w:val="24"/>
          <w:szCs w:val="24"/>
        </w:rPr>
      </w:pPr>
      <w:r>
        <w:rPr>
          <w:rFonts w:ascii="Arial" w:hAnsi="Arial" w:eastAsia="Arial" w:cs="Arial"/>
          <w:color w:val="000000"/>
          <w:kern w:val="0"/>
          <w:sz w:val="24"/>
          <w:szCs w:val="24"/>
        </w:rPr>
        <w:t>联系方式</w:t>
      </w:r>
    </w:p>
    <w:p>
      <w:pPr>
        <w:widowControl/>
        <w:spacing w:line="375" w:lineRule="atLeast"/>
        <w:jc w:val="left"/>
        <w:rPr>
          <w:rFonts w:ascii="Arial" w:hAnsi="Arial" w:eastAsia="Arial" w:cs="Arial"/>
          <w:kern w:val="0"/>
          <w:sz w:val="24"/>
          <w:szCs w:val="24"/>
        </w:rPr>
      </w:pPr>
      <w:r>
        <w:rPr>
          <w:rFonts w:ascii="Arial" w:hAnsi="Arial" w:eastAsia="Arial" w:cs="Arial"/>
          <w:color w:val="000000"/>
          <w:kern w:val="0"/>
          <w:sz w:val="24"/>
          <w:szCs w:val="24"/>
        </w:rPr>
        <w:t>招标人：中海油能源发展股份有限公司</w:t>
      </w:r>
      <w:r>
        <w:rPr>
          <w:rFonts w:ascii="Arial" w:hAnsi="Arial" w:eastAsia="Arial" w:cs="Arial"/>
          <w:color w:val="000000"/>
          <w:kern w:val="0"/>
          <w:sz w:val="24"/>
          <w:szCs w:val="24"/>
        </w:rPr>
        <w:br w:type="textWrapping"/>
      </w:r>
      <w:r>
        <w:rPr>
          <w:rFonts w:ascii="Arial" w:hAnsi="Arial" w:eastAsia="Arial" w:cs="Arial"/>
          <w:color w:val="000000"/>
          <w:kern w:val="0"/>
          <w:sz w:val="24"/>
          <w:szCs w:val="24"/>
        </w:rPr>
        <w:t>地 址：天津市滨海新区渤海石油路688号海洋石油大厦</w:t>
      </w:r>
      <w:r>
        <w:rPr>
          <w:rFonts w:ascii="Arial" w:hAnsi="Arial" w:eastAsia="Arial" w:cs="Arial"/>
          <w:color w:val="000000"/>
          <w:kern w:val="0"/>
          <w:sz w:val="24"/>
          <w:szCs w:val="24"/>
        </w:rPr>
        <w:br w:type="textWrapping"/>
      </w:r>
      <w:r>
        <w:rPr>
          <w:rFonts w:ascii="Arial" w:hAnsi="Arial" w:eastAsia="Arial" w:cs="Arial"/>
          <w:color w:val="000000"/>
          <w:kern w:val="0"/>
          <w:sz w:val="24"/>
          <w:szCs w:val="24"/>
        </w:rPr>
        <w:t>联 系 人：</w:t>
      </w:r>
      <w:r>
        <w:rPr>
          <w:rFonts w:hint="eastAsia" w:ascii="Arial" w:hAnsi="Arial" w:eastAsia="宋体" w:cs="Arial"/>
          <w:color w:val="000000"/>
          <w:kern w:val="0"/>
          <w:sz w:val="24"/>
          <w:szCs w:val="24"/>
          <w:lang w:eastAsia="zh-CN"/>
        </w:rPr>
        <w:t>陈正龙</w:t>
      </w:r>
      <w:r>
        <w:rPr>
          <w:rFonts w:ascii="Arial" w:hAnsi="Arial" w:eastAsia="Arial" w:cs="Arial"/>
          <w:color w:val="000000"/>
          <w:kern w:val="0"/>
          <w:sz w:val="24"/>
          <w:szCs w:val="24"/>
        </w:rPr>
        <w:br w:type="textWrapping"/>
      </w:r>
      <w:r>
        <w:rPr>
          <w:rFonts w:ascii="Arial" w:hAnsi="Arial" w:eastAsia="Arial" w:cs="Arial"/>
          <w:color w:val="000000"/>
          <w:kern w:val="0"/>
          <w:sz w:val="24"/>
          <w:szCs w:val="24"/>
        </w:rPr>
        <w:t>电子邮箱：</w:t>
      </w:r>
      <w:r>
        <w:rPr>
          <w:rFonts w:hint="eastAsia" w:ascii="Arial" w:hAnsi="Arial" w:eastAsia="宋体" w:cs="Arial"/>
          <w:color w:val="000000"/>
          <w:kern w:val="0"/>
          <w:sz w:val="24"/>
          <w:szCs w:val="24"/>
          <w:lang w:eastAsia="zh-CN"/>
        </w:rPr>
        <w:t>chenzhl2</w:t>
      </w:r>
      <w:r>
        <w:rPr>
          <w:rFonts w:ascii="Arial" w:hAnsi="Arial" w:eastAsia="Arial" w:cs="Arial"/>
          <w:color w:val="000000"/>
          <w:kern w:val="0"/>
          <w:sz w:val="24"/>
          <w:szCs w:val="24"/>
        </w:rPr>
        <w:t>@cnooc.com.cn</w:t>
      </w:r>
      <w:r>
        <w:rPr>
          <w:rFonts w:ascii="Arial" w:hAnsi="Arial" w:eastAsia="Arial" w:cs="Arial"/>
          <w:color w:val="000000"/>
          <w:kern w:val="0"/>
          <w:sz w:val="24"/>
          <w:szCs w:val="24"/>
        </w:rPr>
        <w:br w:type="textWrapping"/>
      </w:r>
      <w:r>
        <w:rPr>
          <w:rFonts w:ascii="Arial" w:hAnsi="Arial" w:eastAsia="Arial" w:cs="Arial"/>
          <w:color w:val="000000"/>
          <w:kern w:val="0"/>
          <w:sz w:val="24"/>
          <w:szCs w:val="24"/>
        </w:rPr>
        <w:t>邮 编：300452</w:t>
      </w:r>
      <w:r>
        <w:rPr>
          <w:rFonts w:ascii="Arial" w:hAnsi="Arial" w:eastAsia="Arial" w:cs="Arial"/>
          <w:color w:val="000000"/>
          <w:kern w:val="0"/>
          <w:sz w:val="24"/>
          <w:szCs w:val="24"/>
        </w:rPr>
        <w:br w:type="textWrapping"/>
      </w:r>
      <w:r>
        <w:rPr>
          <w:rFonts w:ascii="Arial" w:hAnsi="Arial" w:eastAsia="Arial" w:cs="Arial"/>
          <w:color w:val="000000"/>
          <w:kern w:val="0"/>
          <w:sz w:val="24"/>
          <w:szCs w:val="24"/>
        </w:rPr>
        <w:t>联系电话：022-</w:t>
      </w:r>
      <w:r>
        <w:rPr>
          <w:rFonts w:hint="eastAsia" w:ascii="Arial" w:hAnsi="Arial" w:cs="Arial"/>
          <w:color w:val="000000"/>
          <w:kern w:val="0"/>
          <w:sz w:val="24"/>
          <w:szCs w:val="24"/>
        </w:rPr>
        <w:t>2580</w:t>
      </w:r>
      <w:r>
        <w:rPr>
          <w:rFonts w:hint="eastAsia" w:ascii="Arial" w:hAnsi="Arial" w:cs="Arial"/>
          <w:color w:val="000000"/>
          <w:kern w:val="0"/>
          <w:sz w:val="24"/>
          <w:szCs w:val="24"/>
          <w:lang w:eastAsia="zh-CN"/>
        </w:rPr>
        <w:t>0086</w:t>
      </w:r>
      <w:r>
        <w:rPr>
          <w:rFonts w:ascii="Arial" w:hAnsi="Arial" w:eastAsia="Arial" w:cs="Arial"/>
          <w:color w:val="000000"/>
          <w:kern w:val="0"/>
          <w:sz w:val="24"/>
          <w:szCs w:val="24"/>
        </w:rPr>
        <w:br w:type="textWrapping"/>
      </w:r>
      <w:r>
        <w:rPr>
          <w:rFonts w:ascii="Arial" w:hAnsi="Arial" w:eastAsia="Arial" w:cs="Arial"/>
          <w:color w:val="000000"/>
          <w:kern w:val="0"/>
          <w:sz w:val="24"/>
          <w:szCs w:val="24"/>
        </w:rPr>
        <w:br w:type="textWrapping"/>
      </w:r>
      <w:r>
        <w:rPr>
          <w:rFonts w:ascii="Arial" w:hAnsi="Arial" w:eastAsia="Arial" w:cs="Arial"/>
          <w:color w:val="000000"/>
          <w:kern w:val="0"/>
          <w:sz w:val="24"/>
          <w:szCs w:val="24"/>
        </w:rPr>
        <w:br w:type="textWrapping"/>
      </w:r>
      <w:r>
        <w:rPr>
          <w:rFonts w:hint="eastAsia" w:ascii="Arial" w:hAnsi="Arial" w:eastAsia="宋体" w:cs="Arial"/>
          <w:color w:val="000000"/>
          <w:kern w:val="0"/>
          <w:sz w:val="24"/>
          <w:szCs w:val="24"/>
          <w:lang w:val="en-US" w:eastAsia="zh-CN"/>
        </w:rPr>
        <w:t>异议受理人</w:t>
      </w:r>
      <w:r>
        <w:rPr>
          <w:rFonts w:ascii="Arial" w:hAnsi="Arial" w:eastAsia="Arial" w:cs="Arial"/>
          <w:color w:val="000000"/>
          <w:kern w:val="0"/>
          <w:sz w:val="24"/>
          <w:szCs w:val="24"/>
        </w:rPr>
        <w:br w:type="textWrapping"/>
      </w:r>
      <w:r>
        <w:rPr>
          <w:rFonts w:ascii="Arial" w:hAnsi="Arial" w:eastAsia="Arial" w:cs="Arial"/>
          <w:color w:val="000000"/>
          <w:kern w:val="0"/>
          <w:sz w:val="24"/>
          <w:szCs w:val="24"/>
        </w:rPr>
        <w:t>联 系 人：</w:t>
      </w:r>
      <w:r>
        <w:rPr>
          <w:rFonts w:hint="eastAsia" w:ascii="Arial" w:hAnsi="Arial" w:eastAsia="宋体" w:cs="Arial"/>
          <w:color w:val="000000"/>
          <w:kern w:val="0"/>
          <w:sz w:val="24"/>
          <w:szCs w:val="24"/>
          <w:lang w:eastAsia="zh-CN"/>
        </w:rPr>
        <w:t>陈正龙</w:t>
      </w:r>
      <w:r>
        <w:rPr>
          <w:rFonts w:ascii="Arial" w:hAnsi="Arial" w:eastAsia="Arial" w:cs="Arial"/>
          <w:color w:val="000000"/>
          <w:kern w:val="0"/>
          <w:sz w:val="24"/>
          <w:szCs w:val="24"/>
        </w:rPr>
        <w:br w:type="textWrapping"/>
      </w:r>
      <w:r>
        <w:rPr>
          <w:rFonts w:ascii="Arial" w:hAnsi="Arial" w:eastAsia="Arial" w:cs="Arial"/>
          <w:color w:val="000000"/>
          <w:kern w:val="0"/>
          <w:sz w:val="24"/>
          <w:szCs w:val="24"/>
        </w:rPr>
        <w:t>电子邮箱：</w:t>
      </w:r>
      <w:r>
        <w:rPr>
          <w:rFonts w:hint="eastAsia" w:ascii="Arial" w:hAnsi="Arial" w:eastAsia="宋体" w:cs="Arial"/>
          <w:color w:val="000000"/>
          <w:kern w:val="0"/>
          <w:sz w:val="24"/>
          <w:szCs w:val="24"/>
          <w:lang w:eastAsia="zh-CN"/>
        </w:rPr>
        <w:t>chenzhl2</w:t>
      </w:r>
      <w:r>
        <w:rPr>
          <w:rFonts w:ascii="Arial" w:hAnsi="Arial" w:eastAsia="Arial" w:cs="Arial"/>
          <w:color w:val="000000"/>
          <w:kern w:val="0"/>
          <w:sz w:val="24"/>
          <w:szCs w:val="24"/>
        </w:rPr>
        <w:t>@cnooc.com.cn</w:t>
      </w:r>
      <w:r>
        <w:rPr>
          <w:rFonts w:ascii="Arial" w:hAnsi="Arial" w:eastAsia="Arial" w:cs="Arial"/>
          <w:color w:val="000000"/>
          <w:kern w:val="0"/>
          <w:sz w:val="24"/>
          <w:szCs w:val="24"/>
        </w:rPr>
        <w:br w:type="textWrapping"/>
      </w:r>
      <w:r>
        <w:rPr>
          <w:rFonts w:ascii="Arial" w:hAnsi="Arial" w:eastAsia="Arial" w:cs="Arial"/>
          <w:color w:val="000000"/>
          <w:kern w:val="0"/>
          <w:sz w:val="24"/>
          <w:szCs w:val="24"/>
        </w:rPr>
        <w:t>邮 编：300452</w:t>
      </w:r>
      <w:r>
        <w:rPr>
          <w:rFonts w:ascii="Arial" w:hAnsi="Arial" w:eastAsia="Arial" w:cs="Arial"/>
          <w:color w:val="000000"/>
          <w:kern w:val="0"/>
          <w:sz w:val="24"/>
          <w:szCs w:val="24"/>
        </w:rPr>
        <w:br w:type="textWrapping"/>
      </w:r>
      <w:r>
        <w:rPr>
          <w:rFonts w:ascii="Arial" w:hAnsi="Arial" w:eastAsia="Arial" w:cs="Arial"/>
          <w:color w:val="000000"/>
          <w:kern w:val="0"/>
          <w:sz w:val="24"/>
          <w:szCs w:val="24"/>
        </w:rPr>
        <w:t>联系电话：022-</w:t>
      </w:r>
      <w:r>
        <w:rPr>
          <w:rFonts w:hint="eastAsia" w:ascii="Arial" w:hAnsi="Arial" w:cs="Arial"/>
          <w:color w:val="000000"/>
          <w:kern w:val="0"/>
          <w:sz w:val="24"/>
          <w:szCs w:val="24"/>
        </w:rPr>
        <w:t>2580</w:t>
      </w:r>
      <w:r>
        <w:rPr>
          <w:rFonts w:hint="eastAsia" w:ascii="Arial" w:hAnsi="Arial" w:cs="Arial"/>
          <w:color w:val="000000"/>
          <w:kern w:val="0"/>
          <w:sz w:val="24"/>
          <w:szCs w:val="24"/>
          <w:lang w:eastAsia="zh-CN"/>
        </w:rPr>
        <w:t>0086</w:t>
      </w:r>
      <w:r>
        <w:rPr>
          <w:rFonts w:ascii="Arial" w:hAnsi="Arial" w:eastAsia="Arial" w:cs="Arial"/>
          <w:color w:val="000000"/>
          <w:kern w:val="0"/>
          <w:sz w:val="24"/>
          <w:szCs w:val="24"/>
        </w:rPr>
        <w:br w:type="textWrapping"/>
      </w:r>
      <w:r>
        <w:rPr>
          <w:rFonts w:ascii="Arial" w:hAnsi="Arial" w:eastAsia="Arial" w:cs="Arial"/>
          <w:color w:val="000000"/>
          <w:kern w:val="0"/>
          <w:sz w:val="24"/>
          <w:szCs w:val="24"/>
        </w:rPr>
        <w:t>投诉受理人：</w:t>
      </w:r>
      <w:r>
        <w:rPr>
          <w:rFonts w:hint="eastAsia" w:ascii="Arial" w:hAnsi="Arial" w:cs="Arial"/>
          <w:color w:val="000000"/>
          <w:kern w:val="0"/>
          <w:sz w:val="24"/>
          <w:szCs w:val="24"/>
          <w:lang w:val="en-US" w:eastAsia="zh-CN"/>
        </w:rPr>
        <w:t>叶萍</w:t>
      </w:r>
      <w:r>
        <w:rPr>
          <w:rFonts w:ascii="Arial" w:hAnsi="Arial" w:eastAsia="Arial" w:cs="Arial"/>
          <w:color w:val="000000"/>
          <w:kern w:val="0"/>
          <w:sz w:val="24"/>
          <w:szCs w:val="24"/>
        </w:rPr>
        <w:br w:type="textWrapping"/>
      </w:r>
      <w:r>
        <w:rPr>
          <w:rFonts w:ascii="Arial" w:hAnsi="Arial" w:eastAsia="Arial" w:cs="Arial"/>
          <w:color w:val="000000"/>
          <w:kern w:val="0"/>
          <w:sz w:val="24"/>
          <w:szCs w:val="24"/>
        </w:rPr>
        <w:t>投诉受理人联系电话：</w:t>
      </w:r>
      <w:r>
        <w:rPr>
          <w:rFonts w:hint="eastAsia" w:ascii="Arial" w:hAnsi="Arial" w:eastAsia="宋体" w:cs="Arial"/>
          <w:color w:val="000000"/>
          <w:kern w:val="0"/>
          <w:sz w:val="24"/>
          <w:szCs w:val="24"/>
          <w:lang w:val="en-US" w:eastAsia="zh-CN"/>
        </w:rPr>
        <w:t>022-25801360</w:t>
      </w:r>
      <w:r>
        <w:rPr>
          <w:rFonts w:ascii="Arial" w:hAnsi="Arial" w:eastAsia="Arial" w:cs="Arial"/>
          <w:color w:val="000000"/>
          <w:kern w:val="0"/>
          <w:sz w:val="24"/>
          <w:szCs w:val="24"/>
        </w:rPr>
        <w:br w:type="textWrapping"/>
      </w:r>
      <w:r>
        <w:rPr>
          <w:rFonts w:ascii="Arial" w:hAnsi="Arial" w:eastAsia="Arial" w:cs="Arial"/>
          <w:color w:val="000000"/>
          <w:kern w:val="0"/>
          <w:sz w:val="24"/>
          <w:szCs w:val="24"/>
        </w:rPr>
        <w:t>投诉受理人邮箱：</w:t>
      </w:r>
      <w:r>
        <w:rPr>
          <w:rFonts w:hint="eastAsia" w:ascii="Arial" w:hAnsi="Arial" w:cs="Arial"/>
          <w:color w:val="000000"/>
          <w:kern w:val="0"/>
          <w:sz w:val="24"/>
          <w:szCs w:val="24"/>
          <w:lang w:val="en-US" w:eastAsia="zh-CN"/>
        </w:rPr>
        <w:t>yeping</w:t>
      </w:r>
      <w:r>
        <w:rPr>
          <w:rFonts w:ascii="Arial" w:hAnsi="Arial" w:eastAsia="Arial" w:cs="Arial"/>
          <w:color w:val="000000"/>
          <w:kern w:val="0"/>
          <w:sz w:val="24"/>
          <w:szCs w:val="24"/>
        </w:rPr>
        <w:t>@cnooc.com.cn</w:t>
      </w:r>
    </w:p>
    <w:bookmarkEnd w:id="1"/>
    <w:bookmarkEnd w:id="2"/>
    <w:bookmarkEnd w:id="3"/>
    <w:bookmarkEnd w:id="4"/>
    <w:bookmarkEnd w:id="5"/>
    <w:bookmarkEnd w:id="6"/>
    <w:bookmarkEnd w:id="7"/>
    <w:bookmarkEnd w:id="8"/>
    <w:bookmarkEnd w:id="9"/>
    <w:bookmarkEnd w:id="10"/>
    <w:p>
      <w:pPr>
        <w:rPr>
          <w:color w:val="000080"/>
          <w:sz w:val="20"/>
          <w:highlight w:val="white"/>
        </w:rPr>
      </w:pPr>
      <w:r>
        <w:rPr>
          <w:rFonts w:hint="eastAsia"/>
          <w:color w:val="000000"/>
          <w:sz w:val="20"/>
          <w:highlight w:val="white"/>
        </w:rPr>
        <w:t xml:space="preserve"> </w:t>
      </w:r>
      <w:bookmarkEnd w:id="17"/>
    </w:p>
    <w:p>
      <w:pPr>
        <w:sectPr>
          <w:footerReference r:id="rId4" w:type="default"/>
          <w:headerReference r:id="rId3" w:type="even"/>
          <w:footerReference r:id="rId5" w:type="even"/>
          <w:footnotePr>
            <w:numRestart w:val="eachPage"/>
          </w:footnotePr>
          <w:endnotePr>
            <w:numRestart w:val="eachSect"/>
          </w:endnotePr>
          <w:pgSz w:w="12240" w:h="15840"/>
          <w:pgMar w:top="1440" w:right="1797" w:bottom="1440" w:left="1797" w:header="851" w:footer="992" w:gutter="0"/>
          <w:cols w:space="720" w:num="1"/>
          <w:titlePg/>
        </w:sectPr>
      </w:pPr>
    </w:p>
    <w:p>
      <w:pPr>
        <w:pStyle w:val="23"/>
        <w:rPr>
          <w:color w:val="000080"/>
          <w:sz w:val="20"/>
          <w:highlight w:val="white"/>
        </w:rPr>
      </w:pPr>
      <w:bookmarkStart w:id="18" w:name="EB34d8666fe6f040578ea898e7eca70c01_0"/>
      <w:r>
        <w:rPr>
          <w:rFonts w:hint="eastAsia"/>
          <w:color w:val="000000"/>
          <w:sz w:val="20"/>
          <w:highlight w:val="white"/>
        </w:rPr>
        <w:t xml:space="preserve"> </w:t>
      </w:r>
      <w:bookmarkEnd w:id="18"/>
    </w:p>
    <w:p>
      <w:pPr>
        <w:pStyle w:val="16"/>
        <w:spacing w:after="50" w:line="360" w:lineRule="auto"/>
        <w:ind w:firstLine="2530" w:firstLineChars="700"/>
        <w:outlineLvl w:val="0"/>
        <w:rPr>
          <w:rFonts w:ascii="黑体" w:hAnsi="黑体" w:eastAsia="黑体"/>
          <w:b/>
          <w:bCs/>
          <w:sz w:val="36"/>
          <w:szCs w:val="36"/>
        </w:rPr>
      </w:pPr>
      <w:bookmarkStart w:id="19" w:name="_Toc2911"/>
      <w:bookmarkStart w:id="20" w:name="_Toc13227"/>
      <w:r>
        <w:rPr>
          <w:rFonts w:hint="eastAsia" w:ascii="黑体" w:hAnsi="黑体" w:eastAsia="黑体"/>
          <w:b/>
          <w:bCs/>
          <w:sz w:val="36"/>
          <w:szCs w:val="36"/>
        </w:rPr>
        <w:t>第二章 申请人须知</w:t>
      </w:r>
      <w:bookmarkEnd w:id="19"/>
      <w:bookmarkEnd w:id="20"/>
    </w:p>
    <w:p>
      <w:pPr>
        <w:pStyle w:val="25"/>
        <w:spacing w:line="360" w:lineRule="auto"/>
      </w:pPr>
      <w:r>
        <w:rPr>
          <w:rFonts w:hint="eastAsia"/>
        </w:rPr>
        <w:t xml:space="preserve"> 申请人须知前附表</w:t>
      </w:r>
    </w:p>
    <w:p>
      <w:pPr>
        <w:pStyle w:val="16"/>
        <w:spacing w:line="360" w:lineRule="auto"/>
        <w:ind w:right="-687" w:rightChars="-327"/>
      </w:pPr>
      <w:r>
        <w:rPr>
          <w:rFonts w:hint="eastAsia"/>
          <w:sz w:val="24"/>
        </w:rPr>
        <w:t>本附表是对申请人须知中相关条款的补充和修改，如有矛盾，以附表中规定的条款和内容为准。</w:t>
      </w:r>
    </w:p>
    <w:tbl>
      <w:tblPr>
        <w:tblStyle w:val="11"/>
        <w:tblW w:w="92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987"/>
        <w:gridCol w:w="6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pPr>
              <w:pStyle w:val="27"/>
              <w:topLinePunct/>
              <w:adjustRightInd w:val="0"/>
              <w:jc w:val="center"/>
              <w:textAlignment w:val="baseline"/>
              <w:rPr>
                <w:rFonts w:ascii="Times New Roman"/>
                <w:b/>
                <w:sz w:val="21"/>
                <w:szCs w:val="21"/>
              </w:rPr>
            </w:pPr>
            <w:r>
              <w:rPr>
                <w:rFonts w:ascii="Times New Roman"/>
                <w:b/>
                <w:sz w:val="21"/>
                <w:szCs w:val="21"/>
              </w:rPr>
              <w:t>条款号</w:t>
            </w:r>
          </w:p>
        </w:tc>
        <w:tc>
          <w:tcPr>
            <w:tcW w:w="1987" w:type="dxa"/>
            <w:noWrap w:val="0"/>
            <w:vAlign w:val="center"/>
          </w:tcPr>
          <w:p>
            <w:pPr>
              <w:pStyle w:val="27"/>
              <w:topLinePunct/>
              <w:adjustRightInd w:val="0"/>
              <w:jc w:val="center"/>
              <w:textAlignment w:val="baseline"/>
              <w:rPr>
                <w:rFonts w:ascii="Times New Roman"/>
                <w:b/>
                <w:sz w:val="21"/>
                <w:szCs w:val="21"/>
              </w:rPr>
            </w:pPr>
            <w:r>
              <w:rPr>
                <w:rFonts w:ascii="Times New Roman"/>
                <w:b/>
                <w:sz w:val="21"/>
                <w:szCs w:val="21"/>
              </w:rPr>
              <w:t>条款 名称</w:t>
            </w:r>
          </w:p>
        </w:tc>
        <w:tc>
          <w:tcPr>
            <w:tcW w:w="6614" w:type="dxa"/>
            <w:noWrap w:val="0"/>
            <w:vAlign w:val="center"/>
          </w:tcPr>
          <w:p>
            <w:pPr>
              <w:pStyle w:val="27"/>
              <w:topLinePunct/>
              <w:adjustRightInd w:val="0"/>
              <w:jc w:val="center"/>
              <w:textAlignment w:val="baseline"/>
              <w:rPr>
                <w:rFonts w:ascii="Times New Roman"/>
                <w:b/>
                <w:sz w:val="21"/>
                <w:szCs w:val="21"/>
              </w:rPr>
            </w:pPr>
            <w:r>
              <w:rPr>
                <w:rFonts w:ascii="Times New Roman"/>
                <w:b/>
                <w:sz w:val="21"/>
                <w:szCs w:val="21"/>
              </w:rPr>
              <w:t xml:space="preserve">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pPr>
              <w:pStyle w:val="27"/>
              <w:topLinePunct/>
              <w:adjustRightInd w:val="0"/>
              <w:jc w:val="center"/>
              <w:textAlignment w:val="baseline"/>
              <w:rPr>
                <w:rFonts w:ascii="Times New Roman"/>
                <w:sz w:val="21"/>
                <w:szCs w:val="21"/>
              </w:rPr>
            </w:pPr>
            <w:r>
              <w:rPr>
                <w:rFonts w:hint="eastAsia" w:ascii="Times New Roman"/>
                <w:sz w:val="21"/>
                <w:szCs w:val="21"/>
              </w:rPr>
              <w:t>1.1.2</w:t>
            </w:r>
          </w:p>
        </w:tc>
        <w:tc>
          <w:tcPr>
            <w:tcW w:w="1987" w:type="dxa"/>
            <w:noWrap w:val="0"/>
            <w:vAlign w:val="center"/>
          </w:tcPr>
          <w:p>
            <w:pPr>
              <w:pStyle w:val="27"/>
              <w:topLinePunct/>
              <w:adjustRightInd w:val="0"/>
              <w:jc w:val="left"/>
              <w:textAlignment w:val="baseline"/>
              <w:rPr>
                <w:rFonts w:ascii="Times New Roman"/>
                <w:sz w:val="21"/>
                <w:szCs w:val="21"/>
              </w:rPr>
            </w:pPr>
            <w:r>
              <w:rPr>
                <w:rFonts w:hint="eastAsia" w:ascii="Times New Roman"/>
                <w:sz w:val="21"/>
                <w:szCs w:val="21"/>
              </w:rPr>
              <w:t>招标人</w:t>
            </w:r>
          </w:p>
        </w:tc>
        <w:tc>
          <w:tcPr>
            <w:tcW w:w="6614" w:type="dxa"/>
            <w:noWrap w:val="0"/>
            <w:vAlign w:val="center"/>
          </w:tcPr>
          <w:p>
            <w:pPr>
              <w:pStyle w:val="27"/>
              <w:topLinePunct/>
              <w:adjustRightInd w:val="0"/>
              <w:jc w:val="left"/>
              <w:textAlignment w:val="baseline"/>
              <w:rPr>
                <w:rFonts w:hAnsi="宋体"/>
                <w:sz w:val="21"/>
                <w:szCs w:val="21"/>
              </w:rPr>
            </w:pPr>
            <w:r>
              <w:rPr>
                <w:rFonts w:hint="eastAsia" w:hAnsi="宋体"/>
                <w:sz w:val="21"/>
                <w:szCs w:val="21"/>
                <w:lang w:val="zh-CN"/>
              </w:rPr>
              <w:t>中海油能源发展股份有限公司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pPr>
              <w:pStyle w:val="27"/>
              <w:topLinePunct/>
              <w:adjustRightInd w:val="0"/>
              <w:jc w:val="center"/>
              <w:textAlignment w:val="baseline"/>
              <w:rPr>
                <w:rFonts w:ascii="Times New Roman"/>
                <w:sz w:val="21"/>
                <w:szCs w:val="21"/>
              </w:rPr>
            </w:pPr>
            <w:r>
              <w:rPr>
                <w:rFonts w:hint="eastAsia" w:ascii="Times New Roman"/>
                <w:sz w:val="21"/>
                <w:szCs w:val="21"/>
              </w:rPr>
              <w:t>1.1.3</w:t>
            </w:r>
          </w:p>
        </w:tc>
        <w:tc>
          <w:tcPr>
            <w:tcW w:w="1987" w:type="dxa"/>
            <w:noWrap w:val="0"/>
            <w:vAlign w:val="center"/>
          </w:tcPr>
          <w:p>
            <w:pPr>
              <w:pStyle w:val="27"/>
              <w:topLinePunct/>
              <w:adjustRightInd w:val="0"/>
              <w:jc w:val="left"/>
              <w:textAlignment w:val="baseline"/>
              <w:rPr>
                <w:rFonts w:ascii="Times New Roman"/>
                <w:sz w:val="21"/>
                <w:szCs w:val="21"/>
              </w:rPr>
            </w:pPr>
            <w:r>
              <w:rPr>
                <w:rFonts w:hint="eastAsia" w:ascii="Times New Roman"/>
                <w:sz w:val="21"/>
                <w:szCs w:val="21"/>
              </w:rPr>
              <w:t>招标代理机构</w:t>
            </w:r>
          </w:p>
        </w:tc>
        <w:tc>
          <w:tcPr>
            <w:tcW w:w="6614" w:type="dxa"/>
            <w:noWrap w:val="0"/>
            <w:vAlign w:val="center"/>
          </w:tcPr>
          <w:p>
            <w:pPr>
              <w:pStyle w:val="27"/>
              <w:topLinePunct/>
              <w:adjustRightInd w:val="0"/>
              <w:jc w:val="left"/>
              <w:textAlignment w:val="baseline"/>
              <w:rPr>
                <w:rFonts w:hint="eastAsia" w:ascii="Times New Roman" w:eastAsia="宋体"/>
                <w:sz w:val="21"/>
                <w:szCs w:val="21"/>
                <w:lang w:eastAsia="zh-CN"/>
              </w:rPr>
            </w:pPr>
            <w:r>
              <w:rPr>
                <w:rFonts w:hint="eastAsia"/>
                <w:sz w:val="21"/>
                <w:szCs w:val="21"/>
                <w:lang w:eastAsia="zh-CN"/>
              </w:rPr>
              <w:t>中海油能源发展股份有限公司采办共享中心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pPr>
              <w:pStyle w:val="27"/>
              <w:topLinePunct/>
              <w:adjustRightInd w:val="0"/>
              <w:jc w:val="center"/>
              <w:textAlignment w:val="baseline"/>
              <w:rPr>
                <w:rFonts w:ascii="Times New Roman"/>
                <w:sz w:val="21"/>
                <w:szCs w:val="21"/>
              </w:rPr>
            </w:pPr>
            <w:r>
              <w:rPr>
                <w:rFonts w:hint="eastAsia" w:ascii="Times New Roman"/>
                <w:sz w:val="21"/>
                <w:szCs w:val="21"/>
              </w:rPr>
              <w:t>1.2</w:t>
            </w:r>
          </w:p>
        </w:tc>
        <w:tc>
          <w:tcPr>
            <w:tcW w:w="1987" w:type="dxa"/>
            <w:noWrap w:val="0"/>
            <w:vAlign w:val="center"/>
          </w:tcPr>
          <w:p>
            <w:pPr>
              <w:pStyle w:val="27"/>
              <w:topLinePunct/>
              <w:adjustRightInd w:val="0"/>
              <w:jc w:val="left"/>
              <w:textAlignment w:val="baseline"/>
              <w:rPr>
                <w:rFonts w:ascii="Times New Roman"/>
                <w:sz w:val="21"/>
                <w:szCs w:val="21"/>
              </w:rPr>
            </w:pPr>
            <w:r>
              <w:rPr>
                <w:rFonts w:hint="eastAsia" w:ascii="Times New Roman"/>
                <w:sz w:val="21"/>
                <w:szCs w:val="21"/>
              </w:rPr>
              <w:t>资金来源</w:t>
            </w:r>
          </w:p>
        </w:tc>
        <w:tc>
          <w:tcPr>
            <w:tcW w:w="6614" w:type="dxa"/>
            <w:noWrap w:val="0"/>
            <w:vAlign w:val="center"/>
          </w:tcPr>
          <w:p>
            <w:pPr>
              <w:pStyle w:val="27"/>
              <w:topLinePunct/>
              <w:adjustRightInd w:val="0"/>
              <w:jc w:val="left"/>
              <w:textAlignment w:val="baseline"/>
              <w:rPr>
                <w:rFonts w:ascii="Times New Roman"/>
                <w:sz w:val="21"/>
                <w:szCs w:val="21"/>
              </w:rPr>
            </w:pPr>
            <w:r>
              <w:rPr>
                <w:rFonts w:hint="eastAsia" w:ascii="Times New Roman"/>
                <w:sz w:val="21"/>
                <w:szCs w:val="21"/>
              </w:rPr>
              <w:t>企业自筹。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pPr>
              <w:pStyle w:val="27"/>
              <w:topLinePunct/>
              <w:adjustRightInd w:val="0"/>
              <w:jc w:val="center"/>
              <w:textAlignment w:val="baseline"/>
              <w:rPr>
                <w:rFonts w:ascii="Times New Roman"/>
                <w:sz w:val="21"/>
                <w:szCs w:val="21"/>
              </w:rPr>
            </w:pPr>
            <w:r>
              <w:rPr>
                <w:rFonts w:hint="eastAsia" w:ascii="Times New Roman"/>
                <w:sz w:val="21"/>
                <w:szCs w:val="21"/>
              </w:rPr>
              <w:t>1.3</w:t>
            </w:r>
          </w:p>
        </w:tc>
        <w:tc>
          <w:tcPr>
            <w:tcW w:w="1987" w:type="dxa"/>
            <w:noWrap w:val="0"/>
            <w:vAlign w:val="center"/>
          </w:tcPr>
          <w:p>
            <w:pPr>
              <w:pStyle w:val="27"/>
              <w:topLinePunct/>
              <w:adjustRightInd w:val="0"/>
              <w:jc w:val="left"/>
              <w:textAlignment w:val="baseline"/>
              <w:rPr>
                <w:rFonts w:ascii="Times New Roman"/>
                <w:sz w:val="21"/>
                <w:szCs w:val="21"/>
              </w:rPr>
            </w:pPr>
            <w:r>
              <w:rPr>
                <w:rFonts w:hint="eastAsia" w:ascii="Times New Roman"/>
                <w:sz w:val="21"/>
                <w:szCs w:val="21"/>
              </w:rPr>
              <w:t>项目概况</w:t>
            </w:r>
          </w:p>
        </w:tc>
        <w:tc>
          <w:tcPr>
            <w:tcW w:w="6614" w:type="dxa"/>
            <w:noWrap w:val="0"/>
            <w:vAlign w:val="center"/>
          </w:tcPr>
          <w:p>
            <w:pPr>
              <w:pStyle w:val="16"/>
              <w:adjustRightInd w:val="0"/>
              <w:snapToGrid w:val="0"/>
              <w:spacing w:line="360" w:lineRule="auto"/>
              <w:rPr>
                <w:rFonts w:ascii="宋体" w:hAnsi="宋体" w:cs="宋体"/>
                <w:szCs w:val="21"/>
                <w:lang w:val="zh-CN"/>
              </w:rPr>
            </w:pPr>
            <w:r>
              <w:rPr>
                <w:rFonts w:hint="eastAsia" w:ascii="宋体" w:hAnsi="宋体" w:cs="宋体"/>
                <w:szCs w:val="21"/>
                <w:lang w:val="zh-CN"/>
              </w:rPr>
              <w:t>项目概况：为寻找优质供应商资源，现进行工程技术公司永磁系列潜油电机等物资采购专有协议--标段六供应商资格审查。</w:t>
            </w:r>
          </w:p>
          <w:p>
            <w:pPr>
              <w:pStyle w:val="16"/>
              <w:adjustRightInd w:val="0"/>
              <w:snapToGrid w:val="0"/>
              <w:spacing w:line="360" w:lineRule="auto"/>
              <w:rPr>
                <w:rFonts w:ascii="宋体" w:hAnsi="宋体" w:cs="宋体"/>
                <w:szCs w:val="21"/>
              </w:rPr>
            </w:pPr>
            <w:r>
              <w:rPr>
                <w:rFonts w:hint="eastAsia" w:ascii="宋体" w:hAnsi="宋体" w:cs="宋体"/>
                <w:szCs w:val="21"/>
                <w:lang w:val="zh-CN"/>
              </w:rPr>
              <w:t>本次公开资格预审项目，通过资格评审的申请人</w:t>
            </w:r>
            <w:r>
              <w:rPr>
                <w:rFonts w:hint="eastAsia" w:ascii="宋体" w:hAnsi="宋体" w:cs="宋体"/>
                <w:szCs w:val="21"/>
              </w:rPr>
              <w:t>最终将进入中海油能源发展股份有限公司</w:t>
            </w:r>
            <w:r>
              <w:rPr>
                <w:rFonts w:hint="eastAsia" w:ascii="宋体" w:hAnsi="宋体" w:cs="宋体"/>
                <w:szCs w:val="21"/>
                <w:lang w:eastAsia="zh-CN"/>
              </w:rPr>
              <w:t>工程技术公司永磁系列潜油电机等物资采购专有协议--标段六</w:t>
            </w:r>
            <w:r>
              <w:rPr>
                <w:rFonts w:hint="eastAsia" w:ascii="宋体" w:hAnsi="宋体" w:cs="宋体"/>
                <w:szCs w:val="21"/>
              </w:rPr>
              <w:t>的</w:t>
            </w:r>
            <w:r>
              <w:rPr>
                <w:rFonts w:hint="eastAsia" w:ascii="宋体" w:hAnsi="宋体" w:cs="宋体"/>
                <w:color w:val="auto"/>
                <w:szCs w:val="21"/>
                <w:highlight w:val="none"/>
                <w:lang w:val="en-US" w:eastAsia="zh-CN"/>
              </w:rPr>
              <w:t>后续采购</w:t>
            </w:r>
            <w:r>
              <w:rPr>
                <w:rFonts w:hint="eastAsia" w:ascii="宋体" w:hAnsi="宋体" w:cs="宋体"/>
                <w:szCs w:val="21"/>
              </w:rPr>
              <w:t>发标名单。</w:t>
            </w:r>
          </w:p>
          <w:p>
            <w:pPr>
              <w:pStyle w:val="16"/>
              <w:adjustRightInd w:val="0"/>
              <w:snapToGrid w:val="0"/>
              <w:spacing w:line="360" w:lineRule="auto"/>
              <w:rPr>
                <w:rFonts w:ascii="宋体" w:hAnsi="宋体" w:cs="宋体"/>
                <w:szCs w:val="21"/>
                <w:lang w:val="zh-CN"/>
              </w:rPr>
            </w:pPr>
            <w:r>
              <w:rPr>
                <w:rFonts w:hint="eastAsia" w:ascii="宋体" w:hAnsi="宋体" w:cs="宋体"/>
                <w:szCs w:val="21"/>
                <w:lang w:val="zh-CN"/>
              </w:rPr>
              <w:t>合同有效期：合同有效期自签订生效之日起 叁 年（在合同执行阶段采用“1+1+1”的方式，即合同届满1年，若买卖双方对合同条款及合同价格均无异议，继续沿用1年；若无法达成一致，则合同自动终止，以此类推；协议期满后，如有未执行完毕的订单，该订单应履行完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4" w:hRule="atLeast"/>
          <w:jc w:val="center"/>
        </w:trPr>
        <w:tc>
          <w:tcPr>
            <w:tcW w:w="696" w:type="dxa"/>
            <w:noWrap w:val="0"/>
            <w:vAlign w:val="center"/>
          </w:tcPr>
          <w:p>
            <w:pPr>
              <w:pStyle w:val="27"/>
              <w:topLinePunct/>
              <w:adjustRightInd w:val="0"/>
              <w:jc w:val="center"/>
              <w:textAlignment w:val="baseline"/>
              <w:rPr>
                <w:rFonts w:ascii="Times New Roman"/>
                <w:sz w:val="21"/>
                <w:szCs w:val="21"/>
              </w:rPr>
            </w:pPr>
            <w:r>
              <w:rPr>
                <w:rFonts w:hint="eastAsia" w:ascii="Times New Roman"/>
                <w:sz w:val="21"/>
                <w:szCs w:val="21"/>
              </w:rPr>
              <w:t>1.3.1</w:t>
            </w:r>
          </w:p>
        </w:tc>
        <w:tc>
          <w:tcPr>
            <w:tcW w:w="1987" w:type="dxa"/>
            <w:noWrap w:val="0"/>
            <w:vAlign w:val="center"/>
          </w:tcPr>
          <w:p>
            <w:pPr>
              <w:pStyle w:val="27"/>
              <w:topLinePunct/>
              <w:adjustRightInd w:val="0"/>
              <w:jc w:val="left"/>
              <w:textAlignment w:val="baseline"/>
              <w:rPr>
                <w:rFonts w:ascii="Times New Roman"/>
                <w:sz w:val="21"/>
                <w:szCs w:val="21"/>
              </w:rPr>
            </w:pPr>
            <w:r>
              <w:rPr>
                <w:rFonts w:hint="eastAsia" w:ascii="Times New Roman"/>
                <w:sz w:val="21"/>
                <w:szCs w:val="21"/>
              </w:rPr>
              <w:t>招标范围</w:t>
            </w:r>
          </w:p>
        </w:tc>
        <w:tc>
          <w:tcPr>
            <w:tcW w:w="6614" w:type="dxa"/>
            <w:noWrap w:val="0"/>
            <w:vAlign w:val="center"/>
          </w:tcPr>
          <w:p>
            <w:pPr>
              <w:pStyle w:val="16"/>
              <w:spacing w:line="360" w:lineRule="auto"/>
              <w:rPr>
                <w:rFonts w:cs="宋体"/>
                <w:szCs w:val="21"/>
              </w:rPr>
            </w:pPr>
            <w:r>
              <w:rPr>
                <w:rFonts w:hint="eastAsia" w:ascii="宋体" w:hAnsi="宋体" w:eastAsia="宋体" w:cs="微软雅黑"/>
                <w:kern w:val="2"/>
                <w:sz w:val="21"/>
                <w:szCs w:val="24"/>
                <w:lang w:eastAsia="zh-CN"/>
              </w:rPr>
              <w:t>350系列、450系列、562系列</w:t>
            </w:r>
            <w:r>
              <w:rPr>
                <w:rFonts w:hint="eastAsia" w:ascii="宋体" w:hAnsi="宋体" w:eastAsia="宋体" w:cs="微软雅黑"/>
                <w:kern w:val="2"/>
                <w:sz w:val="21"/>
                <w:szCs w:val="24"/>
                <w:lang w:val="en-US" w:eastAsia="zh-CN"/>
              </w:rPr>
              <w:t>高转速</w:t>
            </w:r>
            <w:r>
              <w:rPr>
                <w:rFonts w:hint="eastAsia" w:ascii="宋体" w:hAnsi="宋体" w:eastAsia="宋体" w:cs="微软雅黑"/>
                <w:kern w:val="2"/>
                <w:sz w:val="21"/>
                <w:szCs w:val="24"/>
                <w:lang w:eastAsia="zh-CN"/>
              </w:rPr>
              <w:t>永磁潜油电机；338系列、400系列、540系列潜油保护器；450系列、562系列永磁</w:t>
            </w:r>
            <w:r>
              <w:rPr>
                <w:rFonts w:hint="eastAsia" w:ascii="宋体" w:hAnsi="宋体" w:eastAsia="宋体" w:cs="微软雅黑"/>
                <w:kern w:val="2"/>
                <w:sz w:val="21"/>
                <w:szCs w:val="24"/>
                <w:lang w:val="en-US" w:eastAsia="zh-CN"/>
              </w:rPr>
              <w:t>高</w:t>
            </w:r>
            <w:r>
              <w:rPr>
                <w:rFonts w:hint="eastAsia" w:ascii="宋体" w:hAnsi="宋体" w:eastAsia="宋体" w:cs="微软雅黑"/>
                <w:kern w:val="2"/>
                <w:sz w:val="21"/>
                <w:szCs w:val="24"/>
                <w:lang w:eastAsia="zh-CN"/>
              </w:rPr>
              <w:t>速电机定子片等，详见招标文件供货要求描述。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4" w:hRule="atLeast"/>
          <w:jc w:val="center"/>
        </w:trPr>
        <w:tc>
          <w:tcPr>
            <w:tcW w:w="696" w:type="dxa"/>
            <w:noWrap w:val="0"/>
            <w:vAlign w:val="center"/>
          </w:tcPr>
          <w:p>
            <w:pPr>
              <w:pStyle w:val="27"/>
              <w:topLinePunct/>
              <w:adjustRightInd w:val="0"/>
              <w:jc w:val="center"/>
              <w:textAlignment w:val="baseline"/>
              <w:rPr>
                <w:rFonts w:ascii="Times New Roman"/>
                <w:sz w:val="21"/>
                <w:szCs w:val="21"/>
              </w:rPr>
            </w:pPr>
            <w:r>
              <w:rPr>
                <w:rFonts w:hint="eastAsia" w:ascii="Times New Roman"/>
                <w:sz w:val="21"/>
                <w:szCs w:val="21"/>
              </w:rPr>
              <w:t>1.4</w:t>
            </w:r>
          </w:p>
        </w:tc>
        <w:tc>
          <w:tcPr>
            <w:tcW w:w="1987" w:type="dxa"/>
            <w:noWrap w:val="0"/>
            <w:vAlign w:val="center"/>
          </w:tcPr>
          <w:p>
            <w:pPr>
              <w:pStyle w:val="27"/>
              <w:topLinePunct/>
              <w:adjustRightInd w:val="0"/>
              <w:jc w:val="left"/>
              <w:textAlignment w:val="baseline"/>
              <w:rPr>
                <w:rFonts w:ascii="Times New Roman" w:cs="宋体"/>
                <w:sz w:val="21"/>
                <w:szCs w:val="21"/>
              </w:rPr>
            </w:pPr>
            <w:r>
              <w:rPr>
                <w:rFonts w:hint="eastAsia" w:ascii="Times New Roman" w:cs="宋体"/>
                <w:sz w:val="21"/>
                <w:szCs w:val="21"/>
              </w:rPr>
              <w:t>★申请人必备条款指标（增加否决项内容）</w:t>
            </w:r>
          </w:p>
        </w:tc>
        <w:tc>
          <w:tcPr>
            <w:tcW w:w="6614" w:type="dxa"/>
            <w:noWrap w:val="0"/>
            <w:vAlign w:val="center"/>
          </w:tcPr>
          <w:p>
            <w:pPr>
              <w:pStyle w:val="17"/>
              <w:rPr>
                <w:rFonts w:hint="default" w:eastAsia="宋体" w:cs="宋体"/>
                <w:sz w:val="21"/>
                <w:szCs w:val="21"/>
                <w:lang w:val="en-US" w:eastAsia="zh-CN"/>
              </w:rPr>
            </w:pPr>
            <w:r>
              <w:rPr>
                <w:rFonts w:hint="eastAsia" w:cs="宋体"/>
                <w:sz w:val="21"/>
                <w:szCs w:val="21"/>
                <w:lang w:val="en-US" w:eastAsia="zh-CN"/>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696" w:type="dxa"/>
            <w:noWrap w:val="0"/>
            <w:vAlign w:val="center"/>
          </w:tcPr>
          <w:p>
            <w:pPr>
              <w:pStyle w:val="27"/>
              <w:topLinePunct/>
              <w:adjustRightInd w:val="0"/>
              <w:jc w:val="center"/>
              <w:textAlignment w:val="baseline"/>
              <w:rPr>
                <w:rFonts w:ascii="Times New Roman"/>
                <w:sz w:val="21"/>
                <w:szCs w:val="21"/>
              </w:rPr>
            </w:pPr>
            <w:r>
              <w:rPr>
                <w:rFonts w:hint="eastAsia" w:ascii="Times New Roman"/>
                <w:sz w:val="21"/>
                <w:szCs w:val="21"/>
              </w:rPr>
              <w:t>2.2.1</w:t>
            </w:r>
          </w:p>
        </w:tc>
        <w:tc>
          <w:tcPr>
            <w:tcW w:w="1987" w:type="dxa"/>
            <w:noWrap w:val="0"/>
            <w:vAlign w:val="center"/>
          </w:tcPr>
          <w:p>
            <w:pPr>
              <w:pStyle w:val="27"/>
              <w:topLinePunct/>
              <w:adjustRightInd w:val="0"/>
              <w:jc w:val="left"/>
              <w:textAlignment w:val="baseline"/>
              <w:rPr>
                <w:rFonts w:ascii="Calibri" w:cs="宋体"/>
                <w:sz w:val="21"/>
                <w:szCs w:val="21"/>
              </w:rPr>
            </w:pPr>
            <w:r>
              <w:rPr>
                <w:rFonts w:ascii="Calibri" w:cs="宋体"/>
                <w:sz w:val="21"/>
                <w:szCs w:val="21"/>
              </w:rPr>
              <w:t>申请人要求澄清</w:t>
            </w:r>
            <w:r>
              <w:rPr>
                <w:rFonts w:hint="eastAsia" w:ascii="Calibri" w:cs="宋体"/>
                <w:sz w:val="21"/>
                <w:szCs w:val="21"/>
              </w:rPr>
              <w:t>递交</w:t>
            </w:r>
            <w:r>
              <w:rPr>
                <w:rFonts w:ascii="Calibri" w:cs="宋体"/>
                <w:sz w:val="21"/>
                <w:szCs w:val="21"/>
              </w:rPr>
              <w:t>资格预审文件的截止时间</w:t>
            </w:r>
          </w:p>
        </w:tc>
        <w:tc>
          <w:tcPr>
            <w:tcW w:w="6614" w:type="dxa"/>
            <w:noWrap w:val="0"/>
            <w:vAlign w:val="center"/>
          </w:tcPr>
          <w:p>
            <w:pPr>
              <w:pStyle w:val="27"/>
              <w:topLinePunct/>
              <w:adjustRightInd w:val="0"/>
              <w:jc w:val="left"/>
              <w:textAlignment w:val="baseline"/>
              <w:rPr>
                <w:rFonts w:ascii="Calibri" w:cs="宋体"/>
                <w:sz w:val="21"/>
                <w:szCs w:val="21"/>
              </w:rPr>
            </w:pPr>
            <w:r>
              <w:rPr>
                <w:rFonts w:hint="eastAsia" w:ascii="Calibri" w:cs="宋体"/>
                <w:sz w:val="21"/>
                <w:szCs w:val="21"/>
              </w:rPr>
              <w:t>资格预审文件要求提交文件截止时间至少二日前。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696" w:type="dxa"/>
            <w:noWrap w:val="0"/>
            <w:vAlign w:val="center"/>
          </w:tcPr>
          <w:p>
            <w:pPr>
              <w:pStyle w:val="27"/>
              <w:topLinePunct/>
              <w:adjustRightInd w:val="0"/>
              <w:jc w:val="center"/>
              <w:textAlignment w:val="baseline"/>
              <w:rPr>
                <w:rFonts w:ascii="Times New Roman"/>
                <w:sz w:val="21"/>
                <w:szCs w:val="21"/>
              </w:rPr>
            </w:pPr>
            <w:r>
              <w:rPr>
                <w:rFonts w:hint="eastAsia" w:ascii="Times New Roman"/>
                <w:sz w:val="21"/>
                <w:szCs w:val="21"/>
              </w:rPr>
              <w:t>2.2.2</w:t>
            </w:r>
          </w:p>
        </w:tc>
        <w:tc>
          <w:tcPr>
            <w:tcW w:w="1987" w:type="dxa"/>
            <w:noWrap w:val="0"/>
            <w:vAlign w:val="center"/>
          </w:tcPr>
          <w:p>
            <w:pPr>
              <w:pStyle w:val="27"/>
              <w:topLinePunct/>
              <w:adjustRightInd w:val="0"/>
              <w:jc w:val="left"/>
              <w:textAlignment w:val="baseline"/>
              <w:rPr>
                <w:rFonts w:ascii="Times New Roman"/>
                <w:sz w:val="21"/>
                <w:szCs w:val="21"/>
              </w:rPr>
            </w:pPr>
            <w:r>
              <w:rPr>
                <w:rFonts w:ascii="Times New Roman"/>
                <w:sz w:val="21"/>
                <w:szCs w:val="21"/>
              </w:rPr>
              <w:t>招标人澄清资格预审文件的截止时间</w:t>
            </w:r>
          </w:p>
        </w:tc>
        <w:tc>
          <w:tcPr>
            <w:tcW w:w="6614" w:type="dxa"/>
            <w:noWrap w:val="0"/>
            <w:vAlign w:val="center"/>
          </w:tcPr>
          <w:p>
            <w:pPr>
              <w:pStyle w:val="27"/>
              <w:topLinePunct/>
              <w:adjustRightInd w:val="0"/>
              <w:jc w:val="left"/>
              <w:textAlignment w:val="baseline"/>
              <w:rPr>
                <w:rFonts w:ascii="Times New Roman"/>
                <w:sz w:val="21"/>
                <w:szCs w:val="21"/>
              </w:rPr>
            </w:pPr>
            <w:r>
              <w:rPr>
                <w:rFonts w:hint="eastAsia" w:ascii="Times New Roman"/>
                <w:sz w:val="21"/>
                <w:szCs w:val="21"/>
              </w:rPr>
              <w:t>资格预审文件要求提交文件截止时间至少三日前。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96" w:type="dxa"/>
            <w:noWrap w:val="0"/>
            <w:vAlign w:val="center"/>
          </w:tcPr>
          <w:p>
            <w:pPr>
              <w:pStyle w:val="27"/>
              <w:topLinePunct/>
              <w:adjustRightInd w:val="0"/>
              <w:jc w:val="center"/>
              <w:textAlignment w:val="baseline"/>
              <w:rPr>
                <w:rFonts w:ascii="Times New Roman"/>
                <w:sz w:val="21"/>
                <w:szCs w:val="21"/>
              </w:rPr>
            </w:pPr>
            <w:r>
              <w:rPr>
                <w:rFonts w:hint="eastAsia" w:ascii="Times New Roman"/>
                <w:sz w:val="21"/>
                <w:szCs w:val="21"/>
              </w:rPr>
              <w:t>2.2.3</w:t>
            </w:r>
          </w:p>
        </w:tc>
        <w:tc>
          <w:tcPr>
            <w:tcW w:w="1987" w:type="dxa"/>
            <w:noWrap w:val="0"/>
            <w:vAlign w:val="center"/>
          </w:tcPr>
          <w:p>
            <w:pPr>
              <w:pStyle w:val="27"/>
              <w:topLinePunct/>
              <w:adjustRightInd w:val="0"/>
              <w:jc w:val="left"/>
              <w:textAlignment w:val="baseline"/>
              <w:rPr>
                <w:rFonts w:ascii="Times New Roman"/>
                <w:sz w:val="21"/>
                <w:szCs w:val="21"/>
              </w:rPr>
            </w:pPr>
            <w:r>
              <w:rPr>
                <w:rFonts w:hint="eastAsia" w:ascii="Times New Roman"/>
                <w:sz w:val="21"/>
                <w:szCs w:val="21"/>
              </w:rPr>
              <w:t>申请人确认收到资格预审文件澄清的时间</w:t>
            </w:r>
          </w:p>
        </w:tc>
        <w:tc>
          <w:tcPr>
            <w:tcW w:w="6614" w:type="dxa"/>
            <w:noWrap w:val="0"/>
            <w:vAlign w:val="center"/>
          </w:tcPr>
          <w:p>
            <w:pPr>
              <w:pStyle w:val="27"/>
              <w:topLinePunct/>
              <w:adjustRightInd w:val="0"/>
              <w:jc w:val="left"/>
              <w:textAlignment w:val="baseline"/>
              <w:rPr>
                <w:rFonts w:ascii="Times New Roman"/>
                <w:sz w:val="21"/>
                <w:szCs w:val="21"/>
              </w:rPr>
            </w:pPr>
            <w:r>
              <w:rPr>
                <w:rFonts w:hint="eastAsia" w:ascii="Times New Roman"/>
                <w:sz w:val="21"/>
                <w:szCs w:val="21"/>
              </w:rPr>
              <w:t>二十四小时无回复，视同确认。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696" w:type="dxa"/>
            <w:noWrap w:val="0"/>
            <w:vAlign w:val="center"/>
          </w:tcPr>
          <w:p>
            <w:pPr>
              <w:pStyle w:val="27"/>
              <w:topLinePunct/>
              <w:adjustRightInd w:val="0"/>
              <w:jc w:val="center"/>
              <w:textAlignment w:val="baseline"/>
              <w:rPr>
                <w:rFonts w:ascii="Times New Roman"/>
                <w:sz w:val="21"/>
                <w:szCs w:val="21"/>
              </w:rPr>
            </w:pPr>
            <w:r>
              <w:rPr>
                <w:rFonts w:hint="eastAsia" w:ascii="Times New Roman"/>
                <w:sz w:val="21"/>
                <w:szCs w:val="21"/>
              </w:rPr>
              <w:t>2.3.1</w:t>
            </w:r>
          </w:p>
        </w:tc>
        <w:tc>
          <w:tcPr>
            <w:tcW w:w="1987" w:type="dxa"/>
            <w:noWrap w:val="0"/>
            <w:vAlign w:val="center"/>
          </w:tcPr>
          <w:p>
            <w:pPr>
              <w:pStyle w:val="27"/>
              <w:topLinePunct/>
              <w:adjustRightInd w:val="0"/>
              <w:jc w:val="left"/>
              <w:textAlignment w:val="baseline"/>
              <w:rPr>
                <w:rFonts w:ascii="Times New Roman"/>
                <w:sz w:val="21"/>
                <w:szCs w:val="21"/>
              </w:rPr>
            </w:pPr>
            <w:r>
              <w:rPr>
                <w:rFonts w:hint="eastAsia" w:ascii="Times New Roman"/>
                <w:sz w:val="21"/>
                <w:szCs w:val="21"/>
              </w:rPr>
              <w:t>招标人修改资格预审文件的截止时间</w:t>
            </w:r>
          </w:p>
        </w:tc>
        <w:tc>
          <w:tcPr>
            <w:tcW w:w="6614" w:type="dxa"/>
            <w:noWrap w:val="0"/>
            <w:vAlign w:val="center"/>
          </w:tcPr>
          <w:p>
            <w:pPr>
              <w:pStyle w:val="27"/>
              <w:topLinePunct/>
              <w:adjustRightInd w:val="0"/>
              <w:jc w:val="left"/>
              <w:textAlignment w:val="baseline"/>
              <w:rPr>
                <w:rFonts w:ascii="Times New Roman"/>
                <w:sz w:val="21"/>
                <w:szCs w:val="21"/>
              </w:rPr>
            </w:pPr>
            <w:r>
              <w:rPr>
                <w:rFonts w:hint="eastAsia" w:ascii="Times New Roman"/>
                <w:sz w:val="21"/>
                <w:szCs w:val="21"/>
              </w:rPr>
              <w:t>招标人对已发出的资格预审文件进行必要的修改或补遗的，应当在资格预审文件要求提交文件截止时间至少三日前。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6" w:type="dxa"/>
            <w:noWrap w:val="0"/>
            <w:vAlign w:val="center"/>
          </w:tcPr>
          <w:p>
            <w:pPr>
              <w:pStyle w:val="27"/>
              <w:topLinePunct/>
              <w:adjustRightInd w:val="0"/>
              <w:jc w:val="center"/>
              <w:textAlignment w:val="baseline"/>
              <w:rPr>
                <w:rFonts w:ascii="Times New Roman"/>
                <w:sz w:val="21"/>
                <w:szCs w:val="21"/>
              </w:rPr>
            </w:pPr>
            <w:r>
              <w:rPr>
                <w:rFonts w:hint="eastAsia" w:ascii="Times New Roman"/>
                <w:sz w:val="21"/>
                <w:szCs w:val="21"/>
              </w:rPr>
              <w:t>2.3.2</w:t>
            </w:r>
          </w:p>
        </w:tc>
        <w:tc>
          <w:tcPr>
            <w:tcW w:w="1987" w:type="dxa"/>
            <w:noWrap w:val="0"/>
            <w:vAlign w:val="center"/>
          </w:tcPr>
          <w:p>
            <w:pPr>
              <w:pStyle w:val="27"/>
              <w:topLinePunct/>
              <w:adjustRightInd w:val="0"/>
              <w:jc w:val="left"/>
              <w:textAlignment w:val="baseline"/>
              <w:rPr>
                <w:rFonts w:ascii="Times New Roman"/>
                <w:sz w:val="21"/>
                <w:szCs w:val="21"/>
              </w:rPr>
            </w:pPr>
            <w:r>
              <w:rPr>
                <w:rFonts w:hint="eastAsia" w:ascii="Times New Roman"/>
                <w:sz w:val="21"/>
                <w:szCs w:val="21"/>
              </w:rPr>
              <w:t>申请人确认收到资格预审文件修改的时间</w:t>
            </w:r>
          </w:p>
        </w:tc>
        <w:tc>
          <w:tcPr>
            <w:tcW w:w="6614" w:type="dxa"/>
            <w:noWrap w:val="0"/>
            <w:vAlign w:val="center"/>
          </w:tcPr>
          <w:p>
            <w:pPr>
              <w:pStyle w:val="27"/>
              <w:topLinePunct/>
              <w:adjustRightInd w:val="0"/>
              <w:jc w:val="left"/>
              <w:textAlignment w:val="baseline"/>
              <w:rPr>
                <w:rFonts w:ascii="Times New Roman"/>
                <w:sz w:val="21"/>
                <w:szCs w:val="21"/>
              </w:rPr>
            </w:pPr>
            <w:r>
              <w:rPr>
                <w:rFonts w:hint="eastAsia" w:ascii="Times New Roman"/>
                <w:sz w:val="21"/>
                <w:szCs w:val="21"/>
              </w:rPr>
              <w:t>二十四小时无回复，视同确认。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pPr>
              <w:pStyle w:val="27"/>
              <w:topLinePunct/>
              <w:adjustRightInd w:val="0"/>
              <w:jc w:val="center"/>
              <w:textAlignment w:val="baseline"/>
              <w:rPr>
                <w:rFonts w:ascii="Times New Roman"/>
                <w:sz w:val="21"/>
                <w:szCs w:val="21"/>
              </w:rPr>
            </w:pPr>
            <w:r>
              <w:rPr>
                <w:rFonts w:hint="eastAsia" w:ascii="Times New Roman"/>
                <w:sz w:val="21"/>
                <w:szCs w:val="21"/>
              </w:rPr>
              <w:t>3.1</w:t>
            </w:r>
          </w:p>
        </w:tc>
        <w:tc>
          <w:tcPr>
            <w:tcW w:w="1987" w:type="dxa"/>
            <w:noWrap w:val="0"/>
            <w:vAlign w:val="center"/>
          </w:tcPr>
          <w:p>
            <w:pPr>
              <w:pStyle w:val="27"/>
              <w:topLinePunct/>
              <w:adjustRightInd w:val="0"/>
              <w:jc w:val="left"/>
              <w:textAlignment w:val="baseline"/>
              <w:rPr>
                <w:rFonts w:ascii="Times New Roman"/>
                <w:sz w:val="21"/>
                <w:szCs w:val="21"/>
              </w:rPr>
            </w:pPr>
            <w:r>
              <w:rPr>
                <w:rFonts w:hint="eastAsia" w:ascii="Times New Roman"/>
                <w:sz w:val="21"/>
                <w:szCs w:val="21"/>
              </w:rPr>
              <w:t>资格预审申请文件的组成（即申请人需提供文件，包括但不限于）</w:t>
            </w:r>
          </w:p>
        </w:tc>
        <w:tc>
          <w:tcPr>
            <w:tcW w:w="6614" w:type="dxa"/>
            <w:noWrap w:val="0"/>
            <w:vAlign w:val="center"/>
          </w:tcPr>
          <w:p>
            <w:pPr>
              <w:pStyle w:val="16"/>
              <w:rPr>
                <w:szCs w:val="21"/>
              </w:rPr>
            </w:pPr>
            <w:r>
              <w:rPr>
                <w:rFonts w:hint="eastAsia"/>
                <w:szCs w:val="21"/>
              </w:rPr>
              <w:t>1、资格预审申请文件封面</w:t>
            </w:r>
          </w:p>
          <w:p>
            <w:pPr>
              <w:pStyle w:val="16"/>
              <w:rPr>
                <w:szCs w:val="21"/>
              </w:rPr>
            </w:pPr>
            <w:r>
              <w:rPr>
                <w:rFonts w:hint="eastAsia"/>
                <w:szCs w:val="21"/>
              </w:rPr>
              <w:t>2、否决项清单响应目录</w:t>
            </w:r>
          </w:p>
          <w:p>
            <w:pPr>
              <w:pStyle w:val="16"/>
              <w:rPr>
                <w:szCs w:val="21"/>
              </w:rPr>
            </w:pPr>
            <w:r>
              <w:rPr>
                <w:rFonts w:hint="eastAsia"/>
                <w:szCs w:val="21"/>
              </w:rPr>
              <w:t>3、法人代表授权书</w:t>
            </w:r>
          </w:p>
          <w:p>
            <w:pPr>
              <w:pStyle w:val="16"/>
              <w:rPr>
                <w:szCs w:val="21"/>
              </w:rPr>
            </w:pPr>
            <w:r>
              <w:rPr>
                <w:rFonts w:hint="eastAsia"/>
                <w:szCs w:val="21"/>
              </w:rPr>
              <w:t>4、法定代表人身份证明</w:t>
            </w:r>
          </w:p>
          <w:p>
            <w:pPr>
              <w:pStyle w:val="16"/>
              <w:rPr>
                <w:szCs w:val="21"/>
              </w:rPr>
            </w:pPr>
            <w:r>
              <w:rPr>
                <w:rFonts w:hint="eastAsia"/>
                <w:szCs w:val="21"/>
              </w:rPr>
              <w:t>5、营业执照</w:t>
            </w:r>
          </w:p>
          <w:p>
            <w:pPr>
              <w:pStyle w:val="16"/>
              <w:rPr>
                <w:szCs w:val="21"/>
              </w:rPr>
            </w:pPr>
            <w:r>
              <w:rPr>
                <w:rFonts w:hint="eastAsia"/>
                <w:szCs w:val="21"/>
              </w:rPr>
              <w:t>6、承诺书</w:t>
            </w:r>
          </w:p>
          <w:p>
            <w:pPr>
              <w:pStyle w:val="16"/>
              <w:rPr>
                <w:szCs w:val="21"/>
              </w:rPr>
            </w:pPr>
            <w:r>
              <w:rPr>
                <w:rFonts w:hint="eastAsia"/>
                <w:szCs w:val="21"/>
              </w:rPr>
              <w:t>7、公司简介及公司组织架构图</w:t>
            </w:r>
          </w:p>
          <w:p>
            <w:pPr>
              <w:pStyle w:val="16"/>
              <w:rPr>
                <w:szCs w:val="21"/>
              </w:rPr>
            </w:pPr>
            <w:r>
              <w:rPr>
                <w:rFonts w:hint="eastAsia"/>
                <w:szCs w:val="21"/>
              </w:rPr>
              <w:t>8、近三年（</w:t>
            </w:r>
            <w:r>
              <w:rPr>
                <w:rFonts w:hint="eastAsia"/>
                <w:szCs w:val="21"/>
                <w:lang w:eastAsia="zh-CN"/>
              </w:rPr>
              <w:t>2020-2022</w:t>
            </w:r>
            <w:r>
              <w:rPr>
                <w:rFonts w:hint="eastAsia"/>
                <w:szCs w:val="21"/>
              </w:rPr>
              <w:t>年）经审计的财务报表</w:t>
            </w:r>
          </w:p>
          <w:p>
            <w:pPr>
              <w:pStyle w:val="16"/>
              <w:rPr>
                <w:szCs w:val="21"/>
              </w:rPr>
            </w:pPr>
            <w:r>
              <w:rPr>
                <w:rFonts w:hint="eastAsia"/>
                <w:szCs w:val="21"/>
              </w:rPr>
              <w:t>9、相关证书（如有）</w:t>
            </w:r>
          </w:p>
          <w:p>
            <w:pPr>
              <w:pStyle w:val="16"/>
              <w:rPr>
                <w:szCs w:val="21"/>
              </w:rPr>
            </w:pPr>
            <w:r>
              <w:rPr>
                <w:rFonts w:hint="eastAsia"/>
                <w:szCs w:val="21"/>
              </w:rPr>
              <w:t>10、投标材料质量标准的详细描述</w:t>
            </w:r>
          </w:p>
          <w:p>
            <w:pPr>
              <w:pStyle w:val="16"/>
              <w:rPr>
                <w:szCs w:val="21"/>
              </w:rPr>
            </w:pPr>
            <w:r>
              <w:rPr>
                <w:rFonts w:hint="eastAsia"/>
                <w:szCs w:val="21"/>
              </w:rPr>
              <w:t>11、业绩合同扫描件</w:t>
            </w:r>
          </w:p>
          <w:p>
            <w:pPr>
              <w:pStyle w:val="16"/>
              <w:rPr>
                <w:szCs w:val="21"/>
              </w:rPr>
            </w:pPr>
            <w:r>
              <w:rPr>
                <w:rFonts w:hint="eastAsia"/>
                <w:szCs w:val="21"/>
              </w:rPr>
              <w:t>12、提交的资格预审申请文件的电子版</w:t>
            </w:r>
          </w:p>
          <w:p>
            <w:pPr>
              <w:pStyle w:val="16"/>
              <w:rPr>
                <w:szCs w:val="21"/>
              </w:rPr>
            </w:pPr>
            <w:r>
              <w:rPr>
                <w:rFonts w:hint="eastAsia"/>
                <w:szCs w:val="21"/>
              </w:rPr>
              <w:t>13、信誉证明文件</w:t>
            </w:r>
          </w:p>
          <w:p>
            <w:pPr>
              <w:pStyle w:val="16"/>
              <w:rPr>
                <w:szCs w:val="21"/>
              </w:rPr>
            </w:pPr>
            <w:r>
              <w:rPr>
                <w:rFonts w:hint="eastAsia"/>
                <w:szCs w:val="21"/>
              </w:rPr>
              <w:t>14、供货计划、生产能力和保障措施</w:t>
            </w:r>
          </w:p>
          <w:p>
            <w:pPr>
              <w:pStyle w:val="16"/>
              <w:rPr>
                <w:szCs w:val="21"/>
              </w:rPr>
            </w:pPr>
            <w:r>
              <w:rPr>
                <w:rFonts w:hint="eastAsia"/>
                <w:szCs w:val="21"/>
              </w:rPr>
              <w:t>15、售后服务和现场技术支持方案</w:t>
            </w:r>
          </w:p>
          <w:p>
            <w:pPr>
              <w:pStyle w:val="16"/>
              <w:rPr>
                <w:szCs w:val="21"/>
              </w:rPr>
            </w:pPr>
            <w:r>
              <w:rPr>
                <w:rFonts w:hint="eastAsia"/>
                <w:szCs w:val="21"/>
              </w:rPr>
              <w:t>16、申请人认为有必要提交的其他支持性材料</w:t>
            </w:r>
          </w:p>
          <w:p>
            <w:pPr>
              <w:pStyle w:val="16"/>
              <w:rPr>
                <w:szCs w:val="21"/>
              </w:rPr>
            </w:pPr>
            <w:r>
              <w:rPr>
                <w:rFonts w:hint="eastAsia"/>
                <w:szCs w:val="21"/>
              </w:rPr>
              <w:t>17、商务偏离表</w:t>
            </w:r>
          </w:p>
          <w:p>
            <w:pPr>
              <w:pStyle w:val="16"/>
              <w:rPr>
                <w:szCs w:val="21"/>
              </w:rPr>
            </w:pPr>
            <w:r>
              <w:rPr>
                <w:rFonts w:hint="eastAsia"/>
                <w:szCs w:val="21"/>
              </w:rPr>
              <w:t>18、技术偏离表</w:t>
            </w:r>
          </w:p>
          <w:p>
            <w:pPr>
              <w:pStyle w:val="16"/>
              <w:rPr>
                <w:szCs w:val="21"/>
              </w:rPr>
            </w:pPr>
            <w:r>
              <w:rPr>
                <w:rFonts w:hint="eastAsia"/>
                <w:szCs w:val="21"/>
              </w:rPr>
              <w:t>19、投标函</w:t>
            </w:r>
          </w:p>
          <w:p>
            <w:pPr>
              <w:pStyle w:val="16"/>
              <w:rPr>
                <w:szCs w:val="21"/>
              </w:rPr>
            </w:pPr>
            <w:r>
              <w:rPr>
                <w:rFonts w:hint="eastAsia"/>
                <w:szCs w:val="21"/>
              </w:rPr>
              <w:t>20、对本项目技术要求的其他响应文件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696" w:type="dxa"/>
            <w:noWrap w:val="0"/>
            <w:vAlign w:val="center"/>
          </w:tcPr>
          <w:p>
            <w:pPr>
              <w:pStyle w:val="27"/>
              <w:topLinePunct/>
              <w:adjustRightInd w:val="0"/>
              <w:jc w:val="center"/>
              <w:textAlignment w:val="baseline"/>
              <w:rPr>
                <w:rFonts w:ascii="Times New Roman"/>
                <w:sz w:val="21"/>
                <w:szCs w:val="21"/>
              </w:rPr>
            </w:pPr>
            <w:r>
              <w:rPr>
                <w:rFonts w:hint="eastAsia" w:ascii="Times New Roman"/>
                <w:sz w:val="21"/>
                <w:szCs w:val="21"/>
              </w:rPr>
              <w:t>4.2.1</w:t>
            </w:r>
          </w:p>
        </w:tc>
        <w:tc>
          <w:tcPr>
            <w:tcW w:w="1987" w:type="dxa"/>
            <w:noWrap w:val="0"/>
            <w:vAlign w:val="center"/>
          </w:tcPr>
          <w:p>
            <w:pPr>
              <w:pStyle w:val="27"/>
              <w:topLinePunct/>
              <w:adjustRightInd w:val="0"/>
              <w:jc w:val="left"/>
              <w:textAlignment w:val="baseline"/>
              <w:rPr>
                <w:rFonts w:ascii="Times New Roman"/>
                <w:sz w:val="21"/>
                <w:szCs w:val="21"/>
              </w:rPr>
            </w:pPr>
            <w:r>
              <w:rPr>
                <w:rFonts w:hint="eastAsia" w:ascii="Times New Roman"/>
                <w:sz w:val="21"/>
                <w:szCs w:val="21"/>
              </w:rPr>
              <w:t>申请截止时间</w:t>
            </w:r>
          </w:p>
        </w:tc>
        <w:tc>
          <w:tcPr>
            <w:tcW w:w="6614" w:type="dxa"/>
            <w:noWrap w:val="0"/>
            <w:vAlign w:val="center"/>
          </w:tcPr>
          <w:p>
            <w:pPr>
              <w:pStyle w:val="27"/>
              <w:topLinePunct/>
              <w:adjustRightInd w:val="0"/>
              <w:jc w:val="left"/>
              <w:textAlignment w:val="baseline"/>
              <w:rPr>
                <w:rFonts w:hint="default" w:ascii="Times New Roman" w:eastAsia="宋体"/>
                <w:b/>
                <w:sz w:val="21"/>
                <w:szCs w:val="21"/>
                <w:lang w:val="en-US" w:eastAsia="zh-CN"/>
              </w:rPr>
            </w:pPr>
            <w:r>
              <w:rPr>
                <w:rFonts w:hint="eastAsia"/>
                <w:color w:val="auto"/>
                <w:sz w:val="21"/>
                <w:szCs w:val="21"/>
                <w:highlight w:val="none"/>
                <w:lang w:val="en-US" w:eastAsia="zh-CN"/>
              </w:rPr>
              <w:t>详见系统时间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96" w:type="dxa"/>
            <w:noWrap w:val="0"/>
            <w:vAlign w:val="center"/>
          </w:tcPr>
          <w:p>
            <w:pPr>
              <w:pStyle w:val="27"/>
              <w:topLinePunct/>
              <w:adjustRightInd w:val="0"/>
              <w:jc w:val="center"/>
              <w:textAlignment w:val="baseline"/>
              <w:rPr>
                <w:rFonts w:ascii="Times New Roman"/>
                <w:sz w:val="21"/>
                <w:szCs w:val="21"/>
              </w:rPr>
            </w:pPr>
            <w:r>
              <w:rPr>
                <w:rFonts w:hint="eastAsia" w:ascii="Times New Roman"/>
                <w:sz w:val="21"/>
                <w:szCs w:val="21"/>
              </w:rPr>
              <w:t>4.2.2</w:t>
            </w:r>
          </w:p>
        </w:tc>
        <w:tc>
          <w:tcPr>
            <w:tcW w:w="1987" w:type="dxa"/>
            <w:noWrap w:val="0"/>
            <w:vAlign w:val="center"/>
          </w:tcPr>
          <w:p>
            <w:pPr>
              <w:pStyle w:val="27"/>
              <w:topLinePunct/>
              <w:adjustRightInd w:val="0"/>
              <w:jc w:val="left"/>
              <w:textAlignment w:val="baseline"/>
              <w:rPr>
                <w:rFonts w:ascii="Times New Roman"/>
                <w:sz w:val="21"/>
                <w:szCs w:val="21"/>
              </w:rPr>
            </w:pPr>
            <w:r>
              <w:rPr>
                <w:rFonts w:hint="eastAsia" w:ascii="Times New Roman"/>
                <w:sz w:val="21"/>
                <w:szCs w:val="21"/>
              </w:rPr>
              <w:t>递交资格预审申请文件的地点</w:t>
            </w:r>
          </w:p>
        </w:tc>
        <w:tc>
          <w:tcPr>
            <w:tcW w:w="6614" w:type="dxa"/>
            <w:noWrap w:val="0"/>
            <w:vAlign w:val="center"/>
          </w:tcPr>
          <w:p>
            <w:pPr>
              <w:pStyle w:val="27"/>
              <w:topLinePunct/>
              <w:adjustRightInd w:val="0"/>
              <w:jc w:val="left"/>
              <w:textAlignment w:val="baseline"/>
              <w:rPr>
                <w:rFonts w:hint="default" w:ascii="Times New Roman" w:eastAsia="宋体"/>
                <w:sz w:val="21"/>
                <w:szCs w:val="21"/>
                <w:lang w:val="en-US" w:eastAsia="zh-CN"/>
              </w:rPr>
            </w:pPr>
            <w:r>
              <w:rPr>
                <w:rFonts w:hint="eastAsia" w:ascii="Times New Roman"/>
                <w:sz w:val="21"/>
                <w:szCs w:val="21"/>
                <w:lang w:val="en-US" w:eastAsia="zh-CN"/>
              </w:rPr>
              <w:t>线上递交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6" w:type="dxa"/>
            <w:noWrap w:val="0"/>
            <w:vAlign w:val="center"/>
          </w:tcPr>
          <w:p>
            <w:pPr>
              <w:pStyle w:val="27"/>
              <w:topLinePunct/>
              <w:adjustRightInd w:val="0"/>
              <w:jc w:val="center"/>
              <w:textAlignment w:val="baseline"/>
              <w:rPr>
                <w:rFonts w:ascii="Times New Roman"/>
                <w:sz w:val="21"/>
                <w:szCs w:val="21"/>
              </w:rPr>
            </w:pPr>
            <w:r>
              <w:rPr>
                <w:rFonts w:hint="eastAsia" w:ascii="Times New Roman"/>
                <w:sz w:val="21"/>
                <w:szCs w:val="21"/>
              </w:rPr>
              <w:t>4.2.3</w:t>
            </w:r>
          </w:p>
        </w:tc>
        <w:tc>
          <w:tcPr>
            <w:tcW w:w="1987" w:type="dxa"/>
            <w:noWrap w:val="0"/>
            <w:vAlign w:val="center"/>
          </w:tcPr>
          <w:p>
            <w:pPr>
              <w:pStyle w:val="27"/>
              <w:topLinePunct/>
              <w:adjustRightInd w:val="0"/>
              <w:jc w:val="left"/>
              <w:textAlignment w:val="baseline"/>
              <w:rPr>
                <w:rFonts w:ascii="Times New Roman"/>
                <w:sz w:val="21"/>
                <w:szCs w:val="21"/>
              </w:rPr>
            </w:pPr>
            <w:r>
              <w:rPr>
                <w:rFonts w:hint="eastAsia" w:ascii="Times New Roman"/>
                <w:sz w:val="21"/>
                <w:szCs w:val="21"/>
              </w:rPr>
              <w:t>是否退还资格预审申请文件</w:t>
            </w:r>
          </w:p>
        </w:tc>
        <w:tc>
          <w:tcPr>
            <w:tcW w:w="6614" w:type="dxa"/>
            <w:noWrap w:val="0"/>
            <w:vAlign w:val="center"/>
          </w:tcPr>
          <w:p>
            <w:pPr>
              <w:pStyle w:val="27"/>
              <w:topLinePunct/>
              <w:adjustRightInd w:val="0"/>
              <w:jc w:val="left"/>
              <w:textAlignment w:val="baseline"/>
              <w:rPr>
                <w:rFonts w:ascii="Times New Roman"/>
                <w:sz w:val="21"/>
                <w:szCs w:val="21"/>
              </w:rPr>
            </w:pPr>
            <w:r>
              <w:rPr>
                <w:rFonts w:hint="eastAsia" w:ascii="Times New Roman"/>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696" w:type="dxa"/>
            <w:noWrap w:val="0"/>
            <w:vAlign w:val="center"/>
          </w:tcPr>
          <w:p>
            <w:pPr>
              <w:pStyle w:val="27"/>
              <w:topLinePunct/>
              <w:adjustRightInd w:val="0"/>
              <w:jc w:val="center"/>
              <w:textAlignment w:val="baseline"/>
              <w:rPr>
                <w:rFonts w:ascii="Times New Roman"/>
                <w:sz w:val="21"/>
                <w:szCs w:val="21"/>
              </w:rPr>
            </w:pPr>
            <w:r>
              <w:rPr>
                <w:rFonts w:hint="eastAsia" w:ascii="Times New Roman"/>
                <w:sz w:val="21"/>
                <w:szCs w:val="21"/>
              </w:rPr>
              <w:t>5.1</w:t>
            </w:r>
          </w:p>
        </w:tc>
        <w:tc>
          <w:tcPr>
            <w:tcW w:w="1987" w:type="dxa"/>
            <w:noWrap w:val="0"/>
            <w:vAlign w:val="center"/>
          </w:tcPr>
          <w:p>
            <w:pPr>
              <w:pStyle w:val="27"/>
              <w:topLinePunct/>
              <w:adjustRightInd w:val="0"/>
              <w:jc w:val="left"/>
              <w:textAlignment w:val="baseline"/>
              <w:rPr>
                <w:rFonts w:ascii="Times New Roman"/>
                <w:sz w:val="21"/>
                <w:szCs w:val="21"/>
              </w:rPr>
            </w:pPr>
            <w:r>
              <w:rPr>
                <w:rFonts w:hint="eastAsia" w:ascii="Times New Roman"/>
                <w:sz w:val="21"/>
                <w:szCs w:val="21"/>
              </w:rPr>
              <w:t>审查委员会人数</w:t>
            </w:r>
          </w:p>
        </w:tc>
        <w:tc>
          <w:tcPr>
            <w:tcW w:w="6614" w:type="dxa"/>
            <w:noWrap w:val="0"/>
            <w:vAlign w:val="center"/>
          </w:tcPr>
          <w:p>
            <w:pPr>
              <w:pStyle w:val="27"/>
              <w:topLinePunct/>
              <w:adjustRightInd w:val="0"/>
              <w:jc w:val="left"/>
              <w:textAlignment w:val="baseline"/>
              <w:rPr>
                <w:rFonts w:ascii="Times New Roman"/>
                <w:sz w:val="21"/>
                <w:szCs w:val="21"/>
              </w:rPr>
            </w:pPr>
            <w:r>
              <w:rPr>
                <w:rFonts w:hint="eastAsia" w:ascii="Times New Roman"/>
                <w:sz w:val="21"/>
                <w:szCs w:val="21"/>
              </w:rPr>
              <w:t>共5人（其中4人全部依法从中国海洋石油集团有限公司专家库中抽取，另1人为业主代表）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pPr>
              <w:pStyle w:val="27"/>
              <w:topLinePunct/>
              <w:adjustRightInd w:val="0"/>
              <w:jc w:val="center"/>
              <w:textAlignment w:val="baseline"/>
              <w:rPr>
                <w:rFonts w:ascii="Times New Roman"/>
                <w:sz w:val="21"/>
                <w:szCs w:val="21"/>
              </w:rPr>
            </w:pPr>
            <w:r>
              <w:rPr>
                <w:rFonts w:hint="eastAsia" w:ascii="Times New Roman"/>
                <w:sz w:val="21"/>
                <w:szCs w:val="21"/>
              </w:rPr>
              <w:t>5.2</w:t>
            </w:r>
          </w:p>
        </w:tc>
        <w:tc>
          <w:tcPr>
            <w:tcW w:w="1987" w:type="dxa"/>
            <w:noWrap w:val="0"/>
            <w:vAlign w:val="center"/>
          </w:tcPr>
          <w:p>
            <w:pPr>
              <w:pStyle w:val="27"/>
              <w:topLinePunct/>
              <w:adjustRightInd w:val="0"/>
              <w:jc w:val="left"/>
              <w:textAlignment w:val="baseline"/>
              <w:rPr>
                <w:rFonts w:ascii="Times New Roman"/>
                <w:sz w:val="21"/>
                <w:szCs w:val="21"/>
              </w:rPr>
            </w:pPr>
            <w:r>
              <w:rPr>
                <w:rFonts w:hint="eastAsia" w:ascii="Times New Roman"/>
                <w:sz w:val="21"/>
                <w:szCs w:val="21"/>
              </w:rPr>
              <w:t>资格审查办法</w:t>
            </w:r>
          </w:p>
        </w:tc>
        <w:tc>
          <w:tcPr>
            <w:tcW w:w="6614" w:type="dxa"/>
            <w:noWrap w:val="0"/>
            <w:vAlign w:val="center"/>
          </w:tcPr>
          <w:p>
            <w:pPr>
              <w:pStyle w:val="17"/>
              <w:rPr>
                <w:sz w:val="21"/>
                <w:szCs w:val="24"/>
              </w:rPr>
            </w:pPr>
            <w:r>
              <w:rPr>
                <w:rFonts w:hint="eastAsia"/>
                <w:b/>
                <w:bCs/>
                <w:sz w:val="21"/>
                <w:szCs w:val="24"/>
                <w:lang w:val="en-US" w:eastAsia="zh-CN"/>
              </w:rPr>
              <w:t>1、</w:t>
            </w:r>
            <w:r>
              <w:rPr>
                <w:rFonts w:hint="eastAsia"/>
                <w:sz w:val="21"/>
                <w:szCs w:val="24"/>
              </w:rPr>
              <w:t>本项目采用合格制。</w:t>
            </w:r>
          </w:p>
          <w:p>
            <w:pPr>
              <w:pStyle w:val="17"/>
              <w:rPr>
                <w:sz w:val="21"/>
                <w:szCs w:val="24"/>
              </w:rPr>
            </w:pPr>
          </w:p>
          <w:p>
            <w:pPr>
              <w:pStyle w:val="17"/>
              <w:rPr>
                <w:sz w:val="21"/>
                <w:szCs w:val="24"/>
              </w:rPr>
            </w:pPr>
            <w:r>
              <w:rPr>
                <w:rFonts w:hint="eastAsia"/>
                <w:b/>
                <w:bCs/>
                <w:sz w:val="21"/>
                <w:szCs w:val="24"/>
                <w:lang w:val="en-US" w:eastAsia="zh-CN"/>
              </w:rPr>
              <w:t>2、</w:t>
            </w:r>
            <w:r>
              <w:rPr>
                <w:rFonts w:hint="eastAsia"/>
                <w:sz w:val="21"/>
                <w:szCs w:val="24"/>
              </w:rPr>
              <w:t xml:space="preserve"> 审查委员会依据公开资格预审文件及附件中规定的标准，对资格预审申请文件否决项进行逐项审查，有一项审查因素不符合审查标准的，不能通过资格预审。</w:t>
            </w:r>
          </w:p>
          <w:p>
            <w:pPr>
              <w:pStyle w:val="17"/>
              <w:rPr>
                <w:sz w:val="21"/>
                <w:szCs w:val="24"/>
              </w:rPr>
            </w:pPr>
          </w:p>
          <w:p>
            <w:pPr>
              <w:pStyle w:val="17"/>
              <w:numPr>
                <w:ilvl w:val="0"/>
                <w:numId w:val="0"/>
              </w:numPr>
              <w:rPr>
                <w:rFonts w:hint="eastAsia"/>
                <w:sz w:val="21"/>
                <w:szCs w:val="24"/>
              </w:rPr>
            </w:pPr>
            <w:r>
              <w:rPr>
                <w:rFonts w:hint="eastAsia"/>
                <w:b/>
                <w:bCs/>
                <w:sz w:val="21"/>
                <w:szCs w:val="24"/>
                <w:lang w:val="en-US" w:eastAsia="zh-CN"/>
              </w:rPr>
              <w:t>3、</w:t>
            </w:r>
            <w:r>
              <w:rPr>
                <w:rFonts w:hint="eastAsia"/>
                <w:sz w:val="21"/>
                <w:szCs w:val="24"/>
              </w:rPr>
              <w:t>审查委员会按资格预审文件所附评议标准对通过否决项审查的申请人提交的资格预审申请文件进行资格审查，有一项关键指标（★号）不符合审查标准或一般指标超出允许接受范围的，不能通过资格预审</w:t>
            </w:r>
            <w:r>
              <w:rPr>
                <w:rFonts w:hint="eastAsia"/>
                <w:sz w:val="21"/>
                <w:szCs w:val="24"/>
                <w:lang w:val="en-US" w:eastAsia="zh-CN"/>
              </w:rPr>
              <w:t>初审</w:t>
            </w:r>
            <w:r>
              <w:rPr>
                <w:rFonts w:hint="eastAsia"/>
                <w:sz w:val="21"/>
                <w:szCs w:val="24"/>
              </w:rPr>
              <w:t>。</w:t>
            </w:r>
          </w:p>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b/>
                <w:bCs/>
                <w:i w:val="0"/>
                <w:iCs w:val="0"/>
                <w:color w:val="auto"/>
                <w:kern w:val="0"/>
                <w:sz w:val="18"/>
                <w:szCs w:val="18"/>
                <w:highlight w:val="yellow"/>
                <w:u w:val="none"/>
                <w:lang w:val="en-US" w:eastAsia="zh-CN" w:bidi="ar"/>
              </w:rPr>
              <w:t>4、</w:t>
            </w:r>
            <w:r>
              <w:rPr>
                <w:rFonts w:hint="eastAsia" w:ascii="宋体" w:hAnsi="宋体" w:eastAsia="宋体" w:cs="宋体"/>
                <w:i w:val="0"/>
                <w:iCs w:val="0"/>
                <w:color w:val="auto"/>
                <w:kern w:val="0"/>
                <w:sz w:val="18"/>
                <w:szCs w:val="18"/>
                <w:highlight w:val="yellow"/>
                <w:u w:val="none"/>
                <w:lang w:val="en-US" w:eastAsia="zh-CN" w:bidi="ar"/>
              </w:rPr>
              <w:t>由第三方实验机构（CCS、ABS、BV、DNV）中的任意一家、招标人机采公司以及公开资格预初步评审合格的投标人依次在招标人现场共同见证投标人所提供的电机</w:t>
            </w:r>
            <w:r>
              <w:rPr>
                <w:rFonts w:hint="eastAsia" w:ascii="宋体" w:hAnsi="宋体" w:eastAsia="宋体" w:cs="宋体"/>
                <w:i w:val="0"/>
                <w:iCs w:val="0"/>
                <w:color w:val="000000"/>
                <w:kern w:val="0"/>
                <w:sz w:val="18"/>
                <w:szCs w:val="18"/>
                <w:highlight w:val="yellow"/>
                <w:u w:val="none"/>
                <w:lang w:val="en-US" w:eastAsia="zh-CN" w:bidi="ar"/>
              </w:rPr>
              <w:t>和HAILOONG LIFT品牌的OTS400</w:t>
            </w:r>
            <w:r>
              <w:rPr>
                <w:rFonts w:hint="default" w:ascii="宋体" w:hAnsi="宋体" w:eastAsia="宋体" w:cs="宋体"/>
                <w:i w:val="0"/>
                <w:iCs w:val="0"/>
                <w:color w:val="000000"/>
                <w:kern w:val="0"/>
                <w:sz w:val="18"/>
                <w:szCs w:val="18"/>
                <w:highlight w:val="yellow"/>
                <w:u w:val="none"/>
                <w:lang w:val="en-US" w:eastAsia="zh-CN" w:bidi="ar"/>
              </w:rPr>
              <w:t>变频器</w:t>
            </w:r>
            <w:r>
              <w:rPr>
                <w:rFonts w:hint="eastAsia" w:ascii="宋体" w:hAnsi="宋体" w:eastAsia="宋体" w:cs="宋体"/>
                <w:i w:val="0"/>
                <w:iCs w:val="0"/>
                <w:color w:val="000000"/>
                <w:kern w:val="0"/>
                <w:sz w:val="18"/>
                <w:szCs w:val="18"/>
                <w:highlight w:val="yellow"/>
                <w:u w:val="none"/>
                <w:lang w:val="en-US" w:eastAsia="zh-CN" w:bidi="ar"/>
              </w:rPr>
              <w:t>匹配性试验。</w:t>
            </w:r>
            <w:r>
              <w:rPr>
                <w:rFonts w:hint="eastAsia" w:ascii="宋体" w:hAnsi="宋体" w:eastAsia="宋体" w:cs="宋体"/>
                <w:i w:val="0"/>
                <w:iCs w:val="0"/>
                <w:color w:val="000000"/>
                <w:kern w:val="0"/>
                <w:sz w:val="18"/>
                <w:szCs w:val="18"/>
                <w:u w:val="none"/>
                <w:lang w:val="en-US" w:eastAsia="zh-CN" w:bidi="ar"/>
              </w:rPr>
              <w:t>试验要求：</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r>
              <w:rPr>
                <w:rFonts w:hint="default" w:ascii="宋体" w:hAnsi="宋体" w:eastAsia="宋体" w:cs="宋体"/>
                <w:i w:val="0"/>
                <w:iCs w:val="0"/>
                <w:color w:val="000000"/>
                <w:kern w:val="0"/>
                <w:sz w:val="18"/>
                <w:szCs w:val="18"/>
                <w:u w:val="none"/>
                <w:lang w:val="en-US" w:eastAsia="zh-CN" w:bidi="ar"/>
              </w:rPr>
              <w:t>测试电机的型号要求如下：</w:t>
            </w:r>
            <w:r>
              <w:rPr>
                <w:rFonts w:hint="eastAsia" w:ascii="宋体" w:hAnsi="宋体" w:eastAsia="宋体" w:cs="宋体"/>
                <w:i w:val="0"/>
                <w:iCs w:val="0"/>
                <w:color w:val="000000"/>
                <w:kern w:val="0"/>
                <w:sz w:val="18"/>
                <w:szCs w:val="18"/>
                <w:highlight w:val="none"/>
                <w:u w:val="none"/>
                <w:lang w:val="en-US" w:eastAsia="zh-CN" w:bidi="ar"/>
              </w:rPr>
              <w:t>投标人</w:t>
            </w:r>
            <w:r>
              <w:rPr>
                <w:rFonts w:hint="default" w:ascii="宋体" w:hAnsi="宋体" w:eastAsia="宋体" w:cs="宋体"/>
                <w:i w:val="0"/>
                <w:iCs w:val="0"/>
                <w:color w:val="000000"/>
                <w:kern w:val="0"/>
                <w:sz w:val="18"/>
                <w:szCs w:val="18"/>
                <w:highlight w:val="none"/>
                <w:u w:val="none"/>
                <w:lang w:val="en-US" w:eastAsia="zh-CN" w:bidi="ar"/>
              </w:rPr>
              <w:t>提供450</w:t>
            </w:r>
            <w:r>
              <w:rPr>
                <w:rFonts w:hint="eastAsia" w:ascii="宋体" w:hAnsi="宋体" w:eastAsia="宋体" w:cs="宋体"/>
                <w:i w:val="0"/>
                <w:iCs w:val="0"/>
                <w:color w:val="000000"/>
                <w:kern w:val="0"/>
                <w:sz w:val="18"/>
                <w:szCs w:val="18"/>
                <w:highlight w:val="none"/>
                <w:u w:val="none"/>
                <w:lang w:val="en-US" w:eastAsia="zh-CN" w:bidi="ar"/>
              </w:rPr>
              <w:t>系列</w:t>
            </w:r>
            <w:r>
              <w:rPr>
                <w:rFonts w:hint="default" w:ascii="宋体" w:hAnsi="宋体" w:eastAsia="宋体" w:cs="宋体"/>
                <w:i w:val="0"/>
                <w:iCs w:val="0"/>
                <w:color w:val="000000"/>
                <w:kern w:val="0"/>
                <w:sz w:val="18"/>
                <w:szCs w:val="18"/>
                <w:highlight w:val="none"/>
                <w:u w:val="none"/>
                <w:lang w:val="en-US" w:eastAsia="zh-CN" w:bidi="ar"/>
              </w:rPr>
              <w:t>电机</w:t>
            </w:r>
            <w:r>
              <w:rPr>
                <w:rFonts w:hint="eastAsia" w:ascii="宋体" w:hAnsi="宋体" w:eastAsia="宋体" w:cs="宋体"/>
                <w:i w:val="0"/>
                <w:iCs w:val="0"/>
                <w:color w:val="000000"/>
                <w:kern w:val="0"/>
                <w:sz w:val="18"/>
                <w:szCs w:val="18"/>
                <w:highlight w:val="none"/>
                <w:u w:val="none"/>
                <w:lang w:val="en-US" w:eastAsia="zh-CN" w:bidi="ar"/>
              </w:rPr>
              <w:t>。</w:t>
            </w:r>
            <w:r>
              <w:rPr>
                <w:rFonts w:hint="default" w:ascii="宋体" w:hAnsi="宋体" w:eastAsia="宋体" w:cs="宋体"/>
                <w:i w:val="0"/>
                <w:iCs w:val="0"/>
                <w:color w:val="000000"/>
                <w:kern w:val="0"/>
                <w:sz w:val="18"/>
                <w:szCs w:val="18"/>
                <w:highlight w:val="none"/>
                <w:u w:val="none"/>
                <w:lang w:val="en-US" w:eastAsia="zh-CN" w:bidi="ar"/>
              </w:rPr>
              <w:t>电</w:t>
            </w:r>
            <w:r>
              <w:rPr>
                <w:rFonts w:hint="default" w:ascii="宋体" w:hAnsi="宋体" w:eastAsia="宋体" w:cs="宋体"/>
                <w:i w:val="0"/>
                <w:iCs w:val="0"/>
                <w:color w:val="000000"/>
                <w:kern w:val="0"/>
                <w:sz w:val="18"/>
                <w:szCs w:val="18"/>
                <w:u w:val="none"/>
                <w:lang w:val="en-US" w:eastAsia="zh-CN" w:bidi="ar"/>
              </w:rPr>
              <w:t>机运行额定转速4200</w:t>
            </w:r>
            <w:r>
              <w:rPr>
                <w:rFonts w:hint="eastAsia" w:ascii="宋体" w:hAnsi="宋体" w:eastAsia="宋体" w:cs="宋体"/>
                <w:i w:val="0"/>
                <w:iCs w:val="0"/>
                <w:color w:val="000000"/>
                <w:kern w:val="0"/>
                <w:sz w:val="18"/>
                <w:szCs w:val="18"/>
                <w:u w:val="none"/>
                <w:lang w:val="en-US" w:eastAsia="zh-CN" w:bidi="ar"/>
              </w:rPr>
              <w:t>RPM</w:t>
            </w:r>
            <w:r>
              <w:rPr>
                <w:rFonts w:hint="default"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测试</w:t>
            </w:r>
            <w:r>
              <w:rPr>
                <w:rFonts w:hint="default" w:ascii="宋体" w:hAnsi="宋体" w:eastAsia="宋体" w:cs="宋体"/>
                <w:i w:val="0"/>
                <w:iCs w:val="0"/>
                <w:color w:val="000000"/>
                <w:kern w:val="0"/>
                <w:sz w:val="18"/>
                <w:szCs w:val="18"/>
                <w:u w:val="none"/>
                <w:lang w:val="en-US" w:eastAsia="zh-CN" w:bidi="ar"/>
              </w:rPr>
              <w:t>在4200RPM@140Hz下可以稳定运行</w:t>
            </w:r>
            <w:r>
              <w:rPr>
                <w:rFonts w:hint="eastAsia" w:ascii="宋体" w:hAnsi="宋体" w:eastAsia="宋体" w:cs="宋体"/>
                <w:i w:val="0"/>
                <w:iCs w:val="0"/>
                <w:color w:val="000000"/>
                <w:kern w:val="0"/>
                <w:sz w:val="18"/>
                <w:szCs w:val="18"/>
                <w:u w:val="none"/>
                <w:lang w:val="en-US" w:eastAsia="zh-CN" w:bidi="ar"/>
              </w:rPr>
              <w:t>，并提供</w:t>
            </w:r>
            <w:r>
              <w:rPr>
                <w:rFonts w:hint="default" w:ascii="宋体" w:hAnsi="宋体" w:eastAsia="宋体" w:cs="宋体"/>
                <w:i w:val="0"/>
                <w:iCs w:val="0"/>
                <w:color w:val="000000"/>
                <w:kern w:val="0"/>
                <w:sz w:val="18"/>
                <w:szCs w:val="18"/>
                <w:u w:val="none"/>
                <w:lang w:val="en-US" w:eastAsia="zh-CN" w:bidi="ar"/>
              </w:rPr>
              <w:t>经CCS、ABS、BV、DNV第三方实验机构中的任意一家认证的测试报告</w:t>
            </w:r>
            <w:r>
              <w:rPr>
                <w:rFonts w:hint="eastAsia" w:ascii="宋体" w:hAnsi="宋体" w:eastAsia="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2）投标人</w:t>
            </w:r>
            <w:r>
              <w:rPr>
                <w:rFonts w:hint="default" w:ascii="宋体" w:hAnsi="宋体" w:eastAsia="宋体" w:cs="宋体"/>
                <w:i w:val="0"/>
                <w:iCs w:val="0"/>
                <w:color w:val="000000"/>
                <w:kern w:val="0"/>
                <w:sz w:val="18"/>
                <w:szCs w:val="18"/>
                <w:u w:val="none"/>
                <w:lang w:val="en-US" w:eastAsia="zh-CN" w:bidi="ar"/>
              </w:rPr>
              <w:t>在</w:t>
            </w:r>
            <w:r>
              <w:rPr>
                <w:rFonts w:hint="eastAsia" w:ascii="宋体" w:hAnsi="宋体" w:eastAsia="宋体" w:cs="宋体"/>
                <w:i w:val="0"/>
                <w:iCs w:val="0"/>
                <w:color w:val="000000"/>
                <w:kern w:val="0"/>
                <w:sz w:val="18"/>
                <w:szCs w:val="18"/>
                <w:u w:val="none"/>
                <w:lang w:val="en-US" w:eastAsia="zh-CN" w:bidi="ar"/>
              </w:rPr>
              <w:t>测试期间需</w:t>
            </w:r>
            <w:r>
              <w:rPr>
                <w:rFonts w:hint="default" w:ascii="宋体" w:hAnsi="宋体" w:eastAsia="宋体" w:cs="宋体"/>
                <w:i w:val="0"/>
                <w:iCs w:val="0"/>
                <w:color w:val="000000"/>
                <w:kern w:val="0"/>
                <w:sz w:val="18"/>
                <w:szCs w:val="18"/>
                <w:u w:val="none"/>
                <w:lang w:val="en-US" w:eastAsia="zh-CN" w:bidi="ar"/>
              </w:rPr>
              <w:t>提供变频器压频比控制设置参数表，</w:t>
            </w:r>
            <w:r>
              <w:rPr>
                <w:rFonts w:hint="eastAsia" w:ascii="宋体" w:hAnsi="宋体" w:eastAsia="宋体" w:cs="宋体"/>
                <w:i w:val="0"/>
                <w:iCs w:val="0"/>
                <w:color w:val="000000"/>
                <w:kern w:val="0"/>
                <w:sz w:val="18"/>
                <w:szCs w:val="18"/>
                <w:u w:val="none"/>
                <w:lang w:val="en-US" w:eastAsia="zh-CN" w:bidi="ar"/>
              </w:rPr>
              <w:t>由</w:t>
            </w:r>
            <w:r>
              <w:rPr>
                <w:rFonts w:hint="default" w:ascii="宋体" w:hAnsi="宋体" w:eastAsia="宋体" w:cs="宋体"/>
                <w:i w:val="0"/>
                <w:iCs w:val="0"/>
                <w:color w:val="000000"/>
                <w:kern w:val="0"/>
                <w:sz w:val="18"/>
                <w:szCs w:val="18"/>
                <w:u w:val="none"/>
                <w:lang w:val="en-US" w:eastAsia="zh-CN" w:bidi="ar"/>
              </w:rPr>
              <w:t>CCS、ABS、BV、DNV第三方实验机构中的任意一家</w:t>
            </w:r>
            <w:r>
              <w:rPr>
                <w:rFonts w:hint="eastAsia" w:ascii="宋体" w:hAnsi="宋体" w:eastAsia="宋体" w:cs="宋体"/>
                <w:i w:val="0"/>
                <w:iCs w:val="0"/>
                <w:color w:val="000000"/>
                <w:kern w:val="0"/>
                <w:sz w:val="18"/>
                <w:szCs w:val="18"/>
                <w:u w:val="none"/>
                <w:lang w:val="en-US" w:eastAsia="zh-CN" w:bidi="ar"/>
              </w:rPr>
              <w:t>在测试期间</w:t>
            </w:r>
            <w:r>
              <w:rPr>
                <w:rFonts w:hint="default" w:ascii="宋体" w:hAnsi="宋体" w:eastAsia="宋体" w:cs="宋体"/>
                <w:i w:val="0"/>
                <w:iCs w:val="0"/>
                <w:color w:val="000000"/>
                <w:kern w:val="0"/>
                <w:sz w:val="18"/>
                <w:szCs w:val="18"/>
                <w:u w:val="none"/>
                <w:lang w:val="en-US" w:eastAsia="zh-CN" w:bidi="ar"/>
              </w:rPr>
              <w:t>根据</w:t>
            </w:r>
            <w:r>
              <w:rPr>
                <w:rFonts w:hint="eastAsia" w:ascii="宋体" w:hAnsi="宋体" w:eastAsia="宋体" w:cs="宋体"/>
                <w:i w:val="0"/>
                <w:iCs w:val="0"/>
                <w:color w:val="000000"/>
                <w:kern w:val="0"/>
                <w:sz w:val="18"/>
                <w:szCs w:val="18"/>
                <w:u w:val="none"/>
                <w:lang w:val="en-US" w:eastAsia="zh-CN" w:bidi="ar"/>
              </w:rPr>
              <w:t>投标人</w:t>
            </w:r>
            <w:r>
              <w:rPr>
                <w:rFonts w:hint="default" w:ascii="宋体" w:hAnsi="宋体" w:eastAsia="宋体" w:cs="宋体"/>
                <w:i w:val="0"/>
                <w:iCs w:val="0"/>
                <w:color w:val="000000"/>
                <w:kern w:val="0"/>
                <w:sz w:val="18"/>
                <w:szCs w:val="18"/>
                <w:u w:val="none"/>
                <w:lang w:val="en-US" w:eastAsia="zh-CN" w:bidi="ar"/>
              </w:rPr>
              <w:t>提供的压频比参数设置表进行试验验证复核</w:t>
            </w:r>
            <w:r>
              <w:rPr>
                <w:rFonts w:hint="eastAsia" w:ascii="宋体" w:hAnsi="宋体" w:eastAsia="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①投标人的</w:t>
            </w:r>
            <w:r>
              <w:rPr>
                <w:rFonts w:hint="default" w:ascii="宋体" w:hAnsi="宋体" w:eastAsia="宋体" w:cs="宋体"/>
                <w:i w:val="0"/>
                <w:iCs w:val="0"/>
                <w:color w:val="000000"/>
                <w:kern w:val="0"/>
                <w:sz w:val="18"/>
                <w:szCs w:val="18"/>
                <w:u w:val="none"/>
                <w:lang w:val="en-US" w:eastAsia="zh-CN" w:bidi="ar"/>
              </w:rPr>
              <w:t>电机按照该设置参数表，能够顺畅空载启动和运行，启动及运行过程中振动值在各轴向低于1g（测试匹配HAILOONG DS1系列泵工况进行数据监视），三相电流不平衡度不高于3%；</w:t>
            </w:r>
          </w:p>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w:t>
            </w:r>
            <w:r>
              <w:rPr>
                <w:rFonts w:hint="default" w:ascii="宋体" w:hAnsi="宋体" w:eastAsia="宋体" w:cs="宋体"/>
                <w:i w:val="0"/>
                <w:iCs w:val="0"/>
                <w:color w:val="000000"/>
                <w:kern w:val="0"/>
                <w:sz w:val="18"/>
                <w:szCs w:val="18"/>
                <w:u w:val="none"/>
                <w:lang w:val="en-US" w:eastAsia="zh-CN" w:bidi="ar"/>
              </w:rPr>
              <w:t>在任意负载及负载变化工况下，可用相同的变频器设置正常启动和运行，加减速时间及V/F曲线无需根据负载情况调整修改。</w:t>
            </w:r>
          </w:p>
          <w:p>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u w:val="none"/>
                <w:lang w:val="en-US" w:eastAsia="zh-CN" w:bidi="ar"/>
              </w:rPr>
              <w:t>③</w:t>
            </w:r>
            <w:r>
              <w:rPr>
                <w:rFonts w:hint="default" w:ascii="宋体" w:hAnsi="宋体" w:eastAsia="宋体" w:cs="宋体"/>
                <w:i w:val="0"/>
                <w:iCs w:val="0"/>
                <w:color w:val="000000"/>
                <w:kern w:val="0"/>
                <w:sz w:val="18"/>
                <w:szCs w:val="18"/>
                <w:u w:val="none"/>
                <w:lang w:val="en-US" w:eastAsia="zh-CN" w:bidi="ar"/>
              </w:rPr>
              <w:t>见</w:t>
            </w:r>
            <w:r>
              <w:rPr>
                <w:rFonts w:hint="default" w:ascii="宋体" w:hAnsi="宋体" w:eastAsia="宋体" w:cs="宋体"/>
                <w:i w:val="0"/>
                <w:iCs w:val="0"/>
                <w:color w:val="000000"/>
                <w:kern w:val="0"/>
                <w:sz w:val="18"/>
                <w:szCs w:val="18"/>
                <w:highlight w:val="none"/>
                <w:u w:val="none"/>
                <w:lang w:val="en-US" w:eastAsia="zh-CN" w:bidi="ar"/>
              </w:rPr>
              <w:t>证测试项目及评价表</w:t>
            </w:r>
            <w:r>
              <w:rPr>
                <w:rFonts w:hint="eastAsia" w:ascii="宋体" w:hAnsi="宋体" w:eastAsia="宋体" w:cs="宋体"/>
                <w:i w:val="0"/>
                <w:iCs w:val="0"/>
                <w:color w:val="auto"/>
                <w:kern w:val="0"/>
                <w:sz w:val="18"/>
                <w:szCs w:val="18"/>
                <w:highlight w:val="none"/>
                <w:u w:val="none"/>
                <w:lang w:val="en-US" w:eastAsia="zh-CN" w:bidi="ar"/>
              </w:rPr>
              <w:t>见：技术要求内 六、检测检验 （5）-③项表格</w:t>
            </w:r>
            <w:r>
              <w:rPr>
                <w:rFonts w:hint="default" w:ascii="宋体" w:hAnsi="宋体" w:eastAsia="宋体" w:cs="宋体"/>
                <w:i w:val="0"/>
                <w:iCs w:val="0"/>
                <w:color w:val="auto"/>
                <w:kern w:val="0"/>
                <w:sz w:val="18"/>
                <w:szCs w:val="18"/>
                <w:highlight w:val="none"/>
                <w:u w:val="none"/>
                <w:lang w:val="en-US" w:eastAsia="zh-CN" w:bidi="ar"/>
              </w:rPr>
              <w:t>（按照各标段要求进行测试）</w:t>
            </w:r>
            <w:r>
              <w:rPr>
                <w:rFonts w:hint="eastAsia" w:ascii="宋体" w:hAnsi="宋体" w:eastAsia="宋体" w:cs="宋体"/>
                <w:i w:val="0"/>
                <w:iCs w:val="0"/>
                <w:color w:val="000000"/>
                <w:kern w:val="0"/>
                <w:sz w:val="18"/>
                <w:szCs w:val="18"/>
                <w:highlight w:val="none"/>
                <w:u w:val="none"/>
                <w:lang w:val="en-US" w:eastAsia="zh-CN" w:bidi="ar"/>
              </w:rPr>
              <w:t>注：表中见证测试项目如出现任意一项不合格，则由第三方实验机构（CCS、ABS、BV、DNV）中的任意一家出具报告判定该投标人的试验结果为不合格。若匹配试验全部合格，则由第三方实验机构（CCS、ABS、BV、DNV）中的任意一家出具报告判定该投标人的试验结果为合格。</w:t>
            </w:r>
          </w:p>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r>
              <w:rPr>
                <w:rFonts w:hint="default" w:ascii="宋体" w:hAnsi="宋体" w:eastAsia="宋体" w:cs="宋体"/>
                <w:i w:val="0"/>
                <w:iCs w:val="0"/>
                <w:color w:val="000000"/>
                <w:kern w:val="0"/>
                <w:sz w:val="18"/>
                <w:szCs w:val="18"/>
                <w:u w:val="none"/>
                <w:lang w:val="en-US" w:eastAsia="zh-CN" w:bidi="ar"/>
              </w:rPr>
              <w:t>试验方法应符合GB/T 16750-2015《潜油电泵机组》第6章 试验方法和检验规则要求。</w:t>
            </w:r>
            <w:r>
              <w:rPr>
                <w:rFonts w:hint="eastAsia" w:ascii="宋体" w:hAnsi="宋体" w:eastAsia="宋体" w:cs="宋体"/>
                <w:i w:val="0"/>
                <w:iCs w:val="0"/>
                <w:color w:val="auto"/>
                <w:kern w:val="0"/>
                <w:sz w:val="18"/>
                <w:szCs w:val="18"/>
                <w:highlight w:val="yellow"/>
                <w:u w:val="none"/>
                <w:lang w:val="en-US" w:eastAsia="zh-CN" w:bidi="ar"/>
              </w:rPr>
              <w:t>其中</w:t>
            </w:r>
            <w:r>
              <w:rPr>
                <w:rFonts w:hint="default" w:ascii="宋体" w:hAnsi="宋体" w:eastAsia="宋体" w:cs="宋体"/>
                <w:i w:val="0"/>
                <w:iCs w:val="0"/>
                <w:color w:val="auto"/>
                <w:kern w:val="0"/>
                <w:sz w:val="18"/>
                <w:szCs w:val="18"/>
                <w:highlight w:val="yellow"/>
                <w:u w:val="none"/>
                <w:lang w:val="en-US" w:eastAsia="zh-CN" w:bidi="ar"/>
              </w:rPr>
              <w:t>型式空载试验测量</w:t>
            </w:r>
            <w:r>
              <w:rPr>
                <w:rFonts w:hint="eastAsia" w:ascii="宋体" w:hAnsi="宋体" w:eastAsia="宋体" w:cs="宋体"/>
                <w:i w:val="0"/>
                <w:iCs w:val="0"/>
                <w:color w:val="auto"/>
                <w:kern w:val="0"/>
                <w:sz w:val="18"/>
                <w:szCs w:val="18"/>
                <w:highlight w:val="yellow"/>
                <w:u w:val="none"/>
                <w:lang w:val="en-US" w:eastAsia="zh-CN" w:bidi="ar"/>
              </w:rPr>
              <w:t>方法应满足</w:t>
            </w:r>
            <w:r>
              <w:rPr>
                <w:rFonts w:hint="default" w:ascii="宋体" w:hAnsi="宋体" w:eastAsia="宋体" w:cs="宋体"/>
                <w:i w:val="0"/>
                <w:iCs w:val="0"/>
                <w:color w:val="auto"/>
                <w:kern w:val="0"/>
                <w:sz w:val="18"/>
                <w:szCs w:val="18"/>
                <w:highlight w:val="yellow"/>
                <w:u w:val="none"/>
                <w:lang w:val="en-US" w:eastAsia="zh-CN" w:bidi="ar"/>
              </w:rPr>
              <w:t>GB/T 16750-2015《潜油电泵机组》第6章 试验方法和检验规则要求</w:t>
            </w:r>
            <w:r>
              <w:rPr>
                <w:rFonts w:hint="eastAsia" w:ascii="宋体" w:hAnsi="宋体" w:eastAsia="宋体" w:cs="宋体"/>
                <w:i w:val="0"/>
                <w:iCs w:val="0"/>
                <w:color w:val="auto"/>
                <w:kern w:val="0"/>
                <w:sz w:val="18"/>
                <w:szCs w:val="18"/>
                <w:highlight w:val="yellow"/>
                <w:u w:val="none"/>
                <w:lang w:val="en-US" w:eastAsia="zh-CN" w:bidi="ar"/>
              </w:rPr>
              <w:t xml:space="preserve"> 6.1 试验方法  6.1.2 电机 6.1.2.3 空载试验  6.1.2.3.2  测量方法  6.1.2.3.2.2 </w:t>
            </w:r>
            <w:r>
              <w:rPr>
                <w:rFonts w:hint="default" w:ascii="宋体" w:hAnsi="宋体" w:eastAsia="宋体" w:cs="宋体"/>
                <w:i w:val="0"/>
                <w:iCs w:val="0"/>
                <w:color w:val="auto"/>
                <w:kern w:val="0"/>
                <w:sz w:val="18"/>
                <w:szCs w:val="18"/>
                <w:highlight w:val="yellow"/>
                <w:u w:val="none"/>
                <w:lang w:val="en-US" w:eastAsia="zh-CN" w:bidi="ar"/>
              </w:rPr>
              <w:t>型式空载试验测量</w:t>
            </w:r>
            <w:r>
              <w:rPr>
                <w:rFonts w:hint="eastAsia" w:ascii="宋体" w:hAnsi="宋体" w:eastAsia="宋体" w:cs="宋体"/>
                <w:i w:val="0"/>
                <w:iCs w:val="0"/>
                <w:color w:val="auto"/>
                <w:kern w:val="0"/>
                <w:sz w:val="18"/>
                <w:szCs w:val="18"/>
                <w:highlight w:val="yellow"/>
                <w:u w:val="none"/>
                <w:lang w:val="en-US" w:eastAsia="zh-CN" w:bidi="ar"/>
              </w:rPr>
              <w:t>方法：电机在工频额定电压下空载启动运行，使机耗达到稳定，即输入功率在半小时前后的两个读数之差不大于前一个读数的3%开始测量。首先将电机工作电压提高到1.1~1.3倍额定电压，然后逐渐降低电机工作电压至可能达到的最低值（电流开始回升时为止），在此期间测7~9点，每点要同时测取三相电压、三相电流、输入功率、频率，其中额定电压时为必测点。试验结束应立即在电机出线端测量定子绕组的直流电阻（带试验电缆）</w:t>
            </w:r>
            <w:r>
              <w:rPr>
                <w:rFonts w:hint="default" w:ascii="宋体" w:hAnsi="宋体" w:eastAsia="宋体" w:cs="宋体"/>
                <w:i w:val="0"/>
                <w:iCs w:val="0"/>
                <w:color w:val="auto"/>
                <w:kern w:val="0"/>
                <w:sz w:val="18"/>
                <w:szCs w:val="18"/>
                <w:highlight w:val="yellow"/>
                <w:u w:val="none"/>
                <w:lang w:val="en-US" w:eastAsia="zh-CN" w:bidi="ar"/>
              </w:rPr>
              <w:t>。</w:t>
            </w:r>
          </w:p>
          <w:p>
            <w:pPr>
              <w:pStyle w:val="7"/>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4）招标方提供测试场地，</w:t>
            </w:r>
            <w:r>
              <w:rPr>
                <w:rFonts w:hint="eastAsia" w:ascii="宋体" w:hAnsi="宋体" w:eastAsia="宋体" w:cs="宋体"/>
                <w:i w:val="0"/>
                <w:iCs w:val="0"/>
                <w:color w:val="auto"/>
                <w:kern w:val="0"/>
                <w:sz w:val="18"/>
                <w:szCs w:val="18"/>
                <w:highlight w:val="yellow"/>
                <w:u w:val="none"/>
                <w:lang w:val="en-US" w:eastAsia="zh-CN" w:bidi="ar"/>
              </w:rPr>
              <w:t>公开资格预初步评审合格的投标人、招标人</w:t>
            </w:r>
            <w:r>
              <w:rPr>
                <w:rFonts w:hint="eastAsia" w:ascii="宋体" w:hAnsi="宋体" w:eastAsia="宋体" w:cs="宋体"/>
                <w:i w:val="0"/>
                <w:iCs w:val="0"/>
                <w:color w:val="000000"/>
                <w:kern w:val="0"/>
                <w:sz w:val="18"/>
                <w:szCs w:val="18"/>
                <w:u w:val="none"/>
                <w:lang w:val="en-US" w:eastAsia="zh-CN" w:bidi="ar"/>
              </w:rPr>
              <w:t>机采公司以及第三方实验机构（CCS、ABS、BV、DNV）中的任意一家在机械采油公司东沽试验车间共同见证测试试验，同时招标方提供</w:t>
            </w:r>
            <w:r>
              <w:rPr>
                <w:rFonts w:hint="default" w:ascii="宋体" w:hAnsi="宋体" w:eastAsia="宋体" w:cs="宋体"/>
                <w:i w:val="0"/>
                <w:iCs w:val="0"/>
                <w:color w:val="000000"/>
                <w:kern w:val="0"/>
                <w:sz w:val="18"/>
                <w:szCs w:val="18"/>
                <w:u w:val="none"/>
                <w:lang w:val="en-US" w:eastAsia="zh-CN" w:bidi="ar"/>
              </w:rPr>
              <w:t>HAILOONG LIFT品牌的</w:t>
            </w:r>
            <w:r>
              <w:rPr>
                <w:rFonts w:hint="eastAsia" w:ascii="宋体" w:hAnsi="宋体" w:eastAsia="宋体" w:cs="宋体"/>
                <w:i w:val="0"/>
                <w:iCs w:val="0"/>
                <w:color w:val="000000"/>
                <w:kern w:val="0"/>
                <w:sz w:val="18"/>
                <w:szCs w:val="18"/>
                <w:u w:val="none"/>
                <w:lang w:val="en-US" w:eastAsia="zh-CN" w:bidi="ar"/>
              </w:rPr>
              <w:t>OTS400</w:t>
            </w:r>
            <w:r>
              <w:rPr>
                <w:rFonts w:hint="default" w:ascii="宋体" w:hAnsi="宋体" w:eastAsia="宋体" w:cs="宋体"/>
                <w:i w:val="0"/>
                <w:iCs w:val="0"/>
                <w:color w:val="000000"/>
                <w:kern w:val="0"/>
                <w:sz w:val="18"/>
                <w:szCs w:val="18"/>
                <w:u w:val="none"/>
                <w:lang w:val="en-US" w:eastAsia="zh-CN" w:bidi="ar"/>
              </w:rPr>
              <w:t>变频器</w:t>
            </w:r>
            <w:r>
              <w:rPr>
                <w:rFonts w:hint="eastAsia" w:ascii="宋体" w:hAnsi="宋体" w:eastAsia="宋体" w:cs="宋体"/>
                <w:i w:val="0"/>
                <w:iCs w:val="0"/>
                <w:color w:val="000000"/>
                <w:kern w:val="0"/>
                <w:sz w:val="18"/>
                <w:szCs w:val="18"/>
                <w:u w:val="none"/>
                <w:lang w:val="en-US" w:eastAsia="zh-CN" w:bidi="ar"/>
              </w:rPr>
              <w:t>和</w:t>
            </w:r>
            <w:r>
              <w:rPr>
                <w:rFonts w:hint="default" w:ascii="宋体" w:hAnsi="宋体" w:eastAsia="宋体" w:cs="宋体"/>
                <w:i w:val="0"/>
                <w:iCs w:val="0"/>
                <w:color w:val="000000"/>
                <w:kern w:val="0"/>
                <w:sz w:val="18"/>
                <w:szCs w:val="18"/>
                <w:u w:val="none"/>
                <w:lang w:val="en-US" w:eastAsia="zh-CN" w:bidi="ar"/>
              </w:rPr>
              <w:t>HAILOONG DS1系列泵工况</w:t>
            </w:r>
            <w:r>
              <w:rPr>
                <w:rFonts w:hint="eastAsia" w:ascii="宋体" w:hAnsi="宋体" w:eastAsia="宋体" w:cs="宋体"/>
                <w:i w:val="0"/>
                <w:iCs w:val="0"/>
                <w:color w:val="000000"/>
                <w:kern w:val="0"/>
                <w:sz w:val="18"/>
                <w:szCs w:val="18"/>
                <w:u w:val="none"/>
                <w:lang w:val="en-US" w:eastAsia="zh-CN" w:bidi="ar"/>
              </w:rPr>
              <w:t>，投标人提供电机并送往机械采油东沽试验车间。</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r>
              <w:rPr>
                <w:rFonts w:hint="default" w:ascii="宋体" w:hAnsi="宋体" w:eastAsia="宋体" w:cs="宋体"/>
                <w:i w:val="0"/>
                <w:iCs w:val="0"/>
                <w:color w:val="000000"/>
                <w:kern w:val="0"/>
                <w:sz w:val="18"/>
                <w:szCs w:val="18"/>
                <w:u w:val="none"/>
                <w:lang w:val="en-US" w:eastAsia="zh-CN" w:bidi="ar"/>
              </w:rPr>
              <w:t>第三方机构测试期间发生的所有见证费用由</w:t>
            </w:r>
            <w:r>
              <w:rPr>
                <w:rFonts w:hint="eastAsia" w:ascii="宋体" w:hAnsi="宋体" w:eastAsia="宋体" w:cs="宋体"/>
                <w:i w:val="0"/>
                <w:iCs w:val="0"/>
                <w:color w:val="000000"/>
                <w:kern w:val="0"/>
                <w:sz w:val="18"/>
                <w:szCs w:val="18"/>
                <w:u w:val="none"/>
                <w:lang w:val="en-US" w:eastAsia="zh-CN" w:bidi="ar"/>
              </w:rPr>
              <w:t>投标人</w:t>
            </w:r>
            <w:r>
              <w:rPr>
                <w:rFonts w:hint="default" w:ascii="宋体" w:hAnsi="宋体" w:eastAsia="宋体" w:cs="宋体"/>
                <w:i w:val="0"/>
                <w:iCs w:val="0"/>
                <w:color w:val="000000"/>
                <w:kern w:val="0"/>
                <w:sz w:val="18"/>
                <w:szCs w:val="18"/>
                <w:u w:val="none"/>
                <w:lang w:val="en-US" w:eastAsia="zh-CN" w:bidi="ar"/>
              </w:rPr>
              <w:t>负责</w:t>
            </w:r>
            <w:r>
              <w:rPr>
                <w:rFonts w:hint="eastAsia" w:ascii="宋体" w:hAnsi="宋体" w:eastAsia="宋体" w:cs="宋体"/>
                <w:i w:val="0"/>
                <w:iCs w:val="0"/>
                <w:color w:val="000000"/>
                <w:kern w:val="0"/>
                <w:sz w:val="18"/>
                <w:szCs w:val="18"/>
                <w:u w:val="none"/>
                <w:lang w:val="en-US" w:eastAsia="zh-CN" w:bidi="ar"/>
              </w:rPr>
              <w:t>，测试期间运输电机等测试物资发生的往返运费由投标人</w:t>
            </w:r>
            <w:r>
              <w:rPr>
                <w:rFonts w:hint="default" w:ascii="宋体" w:hAnsi="宋体" w:eastAsia="宋体" w:cs="宋体"/>
                <w:i w:val="0"/>
                <w:iCs w:val="0"/>
                <w:color w:val="000000"/>
                <w:kern w:val="0"/>
                <w:sz w:val="18"/>
                <w:szCs w:val="18"/>
                <w:u w:val="none"/>
                <w:lang w:val="en-US" w:eastAsia="zh-CN" w:bidi="ar"/>
              </w:rPr>
              <w:t>负责</w:t>
            </w:r>
            <w:r>
              <w:rPr>
                <w:rFonts w:hint="eastAsia" w:ascii="宋体" w:hAnsi="宋体" w:eastAsia="宋体" w:cs="宋体"/>
                <w:i w:val="0"/>
                <w:iCs w:val="0"/>
                <w:color w:val="000000"/>
                <w:kern w:val="0"/>
                <w:sz w:val="18"/>
                <w:szCs w:val="18"/>
                <w:u w:val="none"/>
                <w:lang w:val="en-US" w:eastAsia="zh-CN" w:bidi="ar"/>
              </w:rPr>
              <w:t>，测试期间如出现因投标人的电机试验导致现场招标方和投标人的物资和设备损坏的情况，招标方的物资和设备损坏所产生的费用由投标人负责，投标人的物资和设备损坏所产生的费用由投标人自行承担。</w:t>
            </w:r>
          </w:p>
          <w:p>
            <w:pPr>
              <w:pStyle w:val="17"/>
              <w:numPr>
                <w:ilvl w:val="0"/>
                <w:numId w:val="0"/>
              </w:numPr>
              <w:rPr>
                <w:rFonts w:hint="eastAsia"/>
                <w:sz w:val="21"/>
                <w:szCs w:val="24"/>
              </w:rPr>
            </w:pPr>
            <w:r>
              <w:rPr>
                <w:rFonts w:hint="eastAsia" w:ascii="宋体" w:hAnsi="宋体" w:eastAsia="宋体" w:cs="宋体"/>
                <w:i w:val="0"/>
                <w:iCs w:val="0"/>
                <w:color w:val="000000"/>
                <w:kern w:val="0"/>
                <w:sz w:val="18"/>
                <w:szCs w:val="18"/>
                <w:u w:val="none"/>
                <w:lang w:val="en-US" w:eastAsia="zh-CN" w:bidi="ar"/>
              </w:rPr>
              <w:t>6）投标人的电机和</w:t>
            </w:r>
            <w:r>
              <w:rPr>
                <w:rFonts w:hint="default" w:ascii="宋体" w:hAnsi="宋体" w:eastAsia="宋体" w:cs="宋体"/>
                <w:i w:val="0"/>
                <w:iCs w:val="0"/>
                <w:color w:val="000000"/>
                <w:kern w:val="0"/>
                <w:sz w:val="18"/>
                <w:szCs w:val="18"/>
                <w:u w:val="none"/>
                <w:lang w:val="en-US" w:eastAsia="zh-CN" w:bidi="ar"/>
              </w:rPr>
              <w:t>HAILOONG LIFT品牌的</w:t>
            </w:r>
            <w:r>
              <w:rPr>
                <w:rFonts w:hint="eastAsia" w:ascii="宋体" w:hAnsi="宋体" w:eastAsia="宋体" w:cs="宋体"/>
                <w:i w:val="0"/>
                <w:iCs w:val="0"/>
                <w:color w:val="000000"/>
                <w:kern w:val="0"/>
                <w:sz w:val="18"/>
                <w:szCs w:val="18"/>
                <w:u w:val="none"/>
                <w:lang w:val="en-US" w:eastAsia="zh-CN" w:bidi="ar"/>
              </w:rPr>
              <w:t>OTS400</w:t>
            </w:r>
            <w:r>
              <w:rPr>
                <w:rFonts w:hint="default" w:ascii="宋体" w:hAnsi="宋体" w:eastAsia="宋体" w:cs="宋体"/>
                <w:i w:val="0"/>
                <w:iCs w:val="0"/>
                <w:color w:val="000000"/>
                <w:kern w:val="0"/>
                <w:sz w:val="18"/>
                <w:szCs w:val="18"/>
                <w:u w:val="none"/>
                <w:lang w:val="en-US" w:eastAsia="zh-CN" w:bidi="ar"/>
              </w:rPr>
              <w:t>变频器</w:t>
            </w:r>
            <w:r>
              <w:rPr>
                <w:rFonts w:hint="eastAsia" w:ascii="宋体" w:hAnsi="宋体" w:eastAsia="宋体" w:cs="宋体"/>
                <w:i w:val="0"/>
                <w:iCs w:val="0"/>
                <w:color w:val="000000"/>
                <w:kern w:val="0"/>
                <w:sz w:val="18"/>
                <w:szCs w:val="18"/>
                <w:u w:val="none"/>
                <w:lang w:val="en-US" w:eastAsia="zh-CN" w:bidi="ar"/>
              </w:rPr>
              <w:t>匹配性试验成功，该投标人被判定为资格预审合格。如投标人的电机和</w:t>
            </w:r>
            <w:r>
              <w:rPr>
                <w:rFonts w:hint="default" w:ascii="宋体" w:hAnsi="宋体" w:eastAsia="宋体" w:cs="宋体"/>
                <w:i w:val="0"/>
                <w:iCs w:val="0"/>
                <w:color w:val="000000"/>
                <w:kern w:val="0"/>
                <w:sz w:val="18"/>
                <w:szCs w:val="18"/>
                <w:u w:val="none"/>
                <w:lang w:val="en-US" w:eastAsia="zh-CN" w:bidi="ar"/>
              </w:rPr>
              <w:t>HAILOONG LIFT品牌的</w:t>
            </w:r>
            <w:r>
              <w:rPr>
                <w:rFonts w:hint="eastAsia" w:ascii="宋体" w:hAnsi="宋体" w:eastAsia="宋体" w:cs="宋体"/>
                <w:i w:val="0"/>
                <w:iCs w:val="0"/>
                <w:color w:val="000000"/>
                <w:kern w:val="0"/>
                <w:sz w:val="18"/>
                <w:szCs w:val="18"/>
                <w:u w:val="none"/>
                <w:lang w:val="en-US" w:eastAsia="zh-CN" w:bidi="ar"/>
              </w:rPr>
              <w:t>OTS400</w:t>
            </w:r>
            <w:r>
              <w:rPr>
                <w:rFonts w:hint="default" w:ascii="宋体" w:hAnsi="宋体" w:eastAsia="宋体" w:cs="宋体"/>
                <w:i w:val="0"/>
                <w:iCs w:val="0"/>
                <w:color w:val="000000"/>
                <w:kern w:val="0"/>
                <w:sz w:val="18"/>
                <w:szCs w:val="18"/>
                <w:u w:val="none"/>
                <w:lang w:val="en-US" w:eastAsia="zh-CN" w:bidi="ar"/>
              </w:rPr>
              <w:t>变频器</w:t>
            </w:r>
            <w:r>
              <w:rPr>
                <w:rFonts w:hint="eastAsia" w:ascii="宋体" w:hAnsi="宋体" w:eastAsia="宋体" w:cs="宋体"/>
                <w:i w:val="0"/>
                <w:iCs w:val="0"/>
                <w:color w:val="000000"/>
                <w:kern w:val="0"/>
                <w:sz w:val="18"/>
                <w:szCs w:val="18"/>
                <w:u w:val="none"/>
                <w:lang w:val="en-US" w:eastAsia="zh-CN" w:bidi="ar"/>
              </w:rPr>
              <w:t>匹配性试验失败，则投标人被判定为资格预审不合格</w:t>
            </w:r>
            <w:r>
              <w:rPr>
                <w:rFonts w:hint="eastAsia" w:ascii="宋体" w:hAnsi="宋体" w:eastAsia="宋体" w:cs="宋体"/>
                <w:i w:val="0"/>
                <w:iCs w:val="0"/>
                <w:color w:val="auto"/>
                <w:kern w:val="0"/>
                <w:sz w:val="18"/>
                <w:szCs w:val="18"/>
                <w:highlight w:val="none"/>
                <w:u w:val="none"/>
                <w:lang w:val="en-US" w:eastAsia="zh-CN" w:bidi="ar"/>
              </w:rPr>
              <w:t>。</w:t>
            </w:r>
          </w:p>
          <w:p>
            <w:pPr>
              <w:pStyle w:val="17"/>
              <w:rPr>
                <w:sz w:val="21"/>
                <w:szCs w:val="24"/>
              </w:rPr>
            </w:pPr>
          </w:p>
          <w:p>
            <w:pPr>
              <w:pStyle w:val="17"/>
              <w:rPr>
                <w:sz w:val="21"/>
                <w:szCs w:val="24"/>
              </w:rPr>
            </w:pPr>
            <w:r>
              <w:rPr>
                <w:rFonts w:hint="eastAsia"/>
                <w:b/>
                <w:bCs/>
                <w:sz w:val="21"/>
                <w:szCs w:val="24"/>
                <w:lang w:val="en-US" w:eastAsia="zh-CN"/>
              </w:rPr>
              <w:t>5、</w:t>
            </w:r>
            <w:r>
              <w:rPr>
                <w:rFonts w:hint="eastAsia"/>
                <w:sz w:val="21"/>
                <w:szCs w:val="24"/>
              </w:rPr>
              <w:t xml:space="preserve"> 通过</w:t>
            </w:r>
            <w:r>
              <w:rPr>
                <w:rFonts w:hint="eastAsia"/>
                <w:sz w:val="21"/>
                <w:szCs w:val="24"/>
                <w:lang w:eastAsia="zh-CN"/>
              </w:rPr>
              <w:t>评审</w:t>
            </w:r>
            <w:r>
              <w:rPr>
                <w:rFonts w:hint="eastAsia"/>
                <w:sz w:val="21"/>
                <w:szCs w:val="24"/>
              </w:rPr>
              <w:t>的申请人最终将进入</w:t>
            </w:r>
            <w:r>
              <w:rPr>
                <w:rFonts w:hint="eastAsia"/>
                <w:sz w:val="21"/>
                <w:szCs w:val="24"/>
                <w:lang w:eastAsia="zh-CN"/>
              </w:rPr>
              <w:t>工程技术公司永磁系列潜油电机等物资采购专有协议--标段六</w:t>
            </w:r>
            <w:r>
              <w:rPr>
                <w:rFonts w:hint="eastAsia"/>
                <w:sz w:val="21"/>
                <w:szCs w:val="24"/>
              </w:rPr>
              <w:t>的</w:t>
            </w:r>
            <w:r>
              <w:rPr>
                <w:rFonts w:hint="eastAsia"/>
                <w:color w:val="auto"/>
                <w:sz w:val="21"/>
                <w:szCs w:val="24"/>
                <w:highlight w:val="none"/>
                <w:lang w:val="en-US" w:eastAsia="zh-CN"/>
              </w:rPr>
              <w:t>后续采购</w:t>
            </w:r>
            <w:r>
              <w:rPr>
                <w:rFonts w:hint="eastAsia"/>
                <w:sz w:val="21"/>
                <w:szCs w:val="24"/>
              </w:rPr>
              <w:t>的流程。</w:t>
            </w:r>
          </w:p>
          <w:p>
            <w:pPr>
              <w:pStyle w:val="17"/>
              <w:rPr>
                <w:sz w:val="21"/>
                <w:szCs w:val="24"/>
              </w:rPr>
            </w:pPr>
          </w:p>
          <w:p>
            <w:pPr>
              <w:pStyle w:val="17"/>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96" w:type="dxa"/>
            <w:noWrap w:val="0"/>
            <w:vAlign w:val="center"/>
          </w:tcPr>
          <w:p>
            <w:pPr>
              <w:pStyle w:val="27"/>
              <w:topLinePunct/>
              <w:adjustRightInd w:val="0"/>
              <w:jc w:val="center"/>
              <w:textAlignment w:val="baseline"/>
              <w:rPr>
                <w:rFonts w:ascii="Times New Roman"/>
                <w:sz w:val="21"/>
                <w:szCs w:val="21"/>
              </w:rPr>
            </w:pPr>
            <w:r>
              <w:rPr>
                <w:rFonts w:hint="eastAsia" w:ascii="Times New Roman"/>
                <w:sz w:val="21"/>
                <w:szCs w:val="21"/>
              </w:rPr>
              <w:t>6.1</w:t>
            </w:r>
          </w:p>
        </w:tc>
        <w:tc>
          <w:tcPr>
            <w:tcW w:w="1987" w:type="dxa"/>
            <w:noWrap w:val="0"/>
            <w:vAlign w:val="center"/>
          </w:tcPr>
          <w:p>
            <w:pPr>
              <w:pStyle w:val="27"/>
              <w:topLinePunct/>
              <w:adjustRightInd w:val="0"/>
              <w:jc w:val="left"/>
              <w:textAlignment w:val="baseline"/>
              <w:rPr>
                <w:rFonts w:ascii="Times New Roman"/>
                <w:sz w:val="21"/>
                <w:szCs w:val="21"/>
              </w:rPr>
            </w:pPr>
            <w:r>
              <w:rPr>
                <w:rFonts w:hint="eastAsia" w:ascii="Times New Roman"/>
                <w:sz w:val="21"/>
                <w:szCs w:val="21"/>
              </w:rPr>
              <w:t>资格预审结果的通知时间</w:t>
            </w:r>
          </w:p>
        </w:tc>
        <w:tc>
          <w:tcPr>
            <w:tcW w:w="6614" w:type="dxa"/>
            <w:noWrap w:val="0"/>
            <w:vAlign w:val="center"/>
          </w:tcPr>
          <w:p>
            <w:pPr>
              <w:pStyle w:val="16"/>
              <w:widowControl/>
              <w:jc w:val="left"/>
              <w:rPr>
                <w:szCs w:val="21"/>
              </w:rPr>
            </w:pPr>
            <w:r>
              <w:rPr>
                <w:szCs w:val="21"/>
              </w:rPr>
              <w:t>以</w:t>
            </w:r>
            <w:r>
              <w:rPr>
                <w:rFonts w:hint="eastAsia"/>
                <w:szCs w:val="21"/>
              </w:rPr>
              <w:t>招标代理机构</w:t>
            </w:r>
            <w:r>
              <w:rPr>
                <w:szCs w:val="21"/>
              </w:rPr>
              <w:t>发出的</w:t>
            </w:r>
            <w:r>
              <w:rPr>
                <w:rFonts w:hint="eastAsia"/>
                <w:szCs w:val="21"/>
              </w:rPr>
              <w:t>资格审查结果通知</w:t>
            </w:r>
            <w:r>
              <w:rPr>
                <w:szCs w:val="21"/>
              </w:rPr>
              <w:t>为准。</w:t>
            </w:r>
          </w:p>
        </w:tc>
      </w:tr>
    </w:tbl>
    <w:p>
      <w:pPr>
        <w:pStyle w:val="16"/>
        <w:spacing w:line="360" w:lineRule="auto"/>
        <w:jc w:val="center"/>
        <w:outlineLvl w:val="1"/>
        <w:rPr>
          <w:sz w:val="24"/>
        </w:rPr>
      </w:pPr>
      <w:r>
        <w:br w:type="page"/>
      </w:r>
      <w:r>
        <w:rPr>
          <w:rFonts w:hint="eastAsia" w:ascii="宋体" w:hAnsi="宋体"/>
          <w:b/>
          <w:bCs/>
          <w:sz w:val="32"/>
          <w:szCs w:val="32"/>
          <w:lang w:val="zh-CN"/>
        </w:rPr>
        <w:t>1. 总则</w:t>
      </w:r>
    </w:p>
    <w:p>
      <w:pPr>
        <w:pStyle w:val="28"/>
        <w:spacing w:line="360" w:lineRule="auto"/>
        <w:rPr>
          <w:rFonts w:eastAsia="宋体"/>
        </w:rPr>
      </w:pPr>
      <w:r>
        <w:rPr>
          <w:rFonts w:hint="eastAsia" w:eastAsia="宋体"/>
        </w:rPr>
        <w:t>1.1 项目概况</w:t>
      </w:r>
    </w:p>
    <w:p>
      <w:pPr>
        <w:pStyle w:val="16"/>
        <w:spacing w:line="360" w:lineRule="auto"/>
        <w:rPr>
          <w:sz w:val="24"/>
        </w:rPr>
      </w:pPr>
      <w:r>
        <w:rPr>
          <w:rFonts w:hint="eastAsia"/>
          <w:sz w:val="24"/>
        </w:rPr>
        <w:t>1.1.1根据《中华人民共和国招标投标法》等有关法律、法规和规章的规定，本项目已具备招标条件，现进行公开招标，特邀请有兴趣承担本标段的申请人提出资格预审申请。</w:t>
      </w:r>
    </w:p>
    <w:p>
      <w:pPr>
        <w:pStyle w:val="16"/>
        <w:spacing w:line="360" w:lineRule="auto"/>
        <w:rPr>
          <w:sz w:val="24"/>
        </w:rPr>
      </w:pPr>
      <w:r>
        <w:rPr>
          <w:rFonts w:hint="eastAsia"/>
          <w:sz w:val="24"/>
        </w:rPr>
        <w:t>1.1.2 本项目招标人：</w:t>
      </w:r>
      <w:r>
        <w:rPr>
          <w:rFonts w:hint="eastAsia" w:ascii="宋体" w:hAnsi="宋体"/>
          <w:sz w:val="24"/>
          <w:lang w:val="zh-CN"/>
        </w:rPr>
        <w:t>中海油能源发展股份有限公司</w:t>
      </w:r>
    </w:p>
    <w:p>
      <w:pPr>
        <w:pStyle w:val="16"/>
        <w:spacing w:line="360" w:lineRule="auto"/>
        <w:rPr>
          <w:rFonts w:hint="eastAsia" w:eastAsia="宋体"/>
          <w:sz w:val="24"/>
          <w:lang w:eastAsia="zh-CN"/>
        </w:rPr>
      </w:pPr>
      <w:r>
        <w:rPr>
          <w:rFonts w:hint="eastAsia"/>
          <w:sz w:val="24"/>
        </w:rPr>
        <w:t>1.1.3 本项目招标代理机构：</w:t>
      </w:r>
      <w:r>
        <w:rPr>
          <w:rFonts w:hint="eastAsia"/>
          <w:sz w:val="24"/>
          <w:lang w:eastAsia="zh-CN"/>
        </w:rPr>
        <w:t>中海油能源发展股份有限公司采办共享中心</w:t>
      </w:r>
    </w:p>
    <w:p>
      <w:pPr>
        <w:pStyle w:val="16"/>
        <w:spacing w:line="360" w:lineRule="auto"/>
        <w:rPr>
          <w:bCs/>
          <w:sz w:val="24"/>
        </w:rPr>
      </w:pPr>
      <w:r>
        <w:rPr>
          <w:rFonts w:hint="eastAsia"/>
          <w:sz w:val="24"/>
        </w:rPr>
        <w:t>1.1.4 本项目名称：</w:t>
      </w:r>
      <w:r>
        <w:rPr>
          <w:rFonts w:hint="eastAsia" w:ascii="宋体" w:hAnsi="宋体"/>
          <w:sz w:val="24"/>
        </w:rPr>
        <w:t>中海油能源发展股份有限公司</w:t>
      </w:r>
      <w:r>
        <w:rPr>
          <w:rFonts w:hint="eastAsia" w:ascii="宋体" w:hAnsi="宋体"/>
          <w:sz w:val="24"/>
          <w:lang w:eastAsia="zh-CN"/>
        </w:rPr>
        <w:t>工程技术公司永磁系列潜油电机等物资采购专有协议--标段六</w:t>
      </w:r>
      <w:r>
        <w:rPr>
          <w:rFonts w:hint="eastAsia" w:ascii="宋体" w:hAnsi="宋体"/>
          <w:sz w:val="24"/>
        </w:rPr>
        <w:t xml:space="preserve"> </w:t>
      </w:r>
      <w:r>
        <w:rPr>
          <w:rFonts w:hint="eastAsia" w:cs="宋体"/>
          <w:sz w:val="24"/>
          <w:szCs w:val="20"/>
        </w:rPr>
        <w:t>资格审查项目</w:t>
      </w:r>
    </w:p>
    <w:p>
      <w:pPr>
        <w:pStyle w:val="28"/>
        <w:spacing w:line="360" w:lineRule="auto"/>
        <w:rPr>
          <w:rFonts w:eastAsia="宋体"/>
        </w:rPr>
      </w:pPr>
      <w:r>
        <w:rPr>
          <w:rFonts w:hint="eastAsia" w:eastAsia="宋体"/>
        </w:rPr>
        <w:t>1.2 资金来源和落实情况</w:t>
      </w:r>
    </w:p>
    <w:p>
      <w:pPr>
        <w:pStyle w:val="16"/>
        <w:spacing w:line="360" w:lineRule="auto"/>
        <w:rPr>
          <w:sz w:val="24"/>
        </w:rPr>
      </w:pPr>
      <w:r>
        <w:rPr>
          <w:rFonts w:hint="eastAsia"/>
          <w:sz w:val="24"/>
        </w:rPr>
        <w:t>本项目的资金来源：企业自筹</w:t>
      </w:r>
    </w:p>
    <w:p>
      <w:pPr>
        <w:pStyle w:val="28"/>
        <w:spacing w:line="360" w:lineRule="auto"/>
        <w:rPr>
          <w:rFonts w:eastAsia="宋体"/>
        </w:rPr>
      </w:pPr>
      <w:r>
        <w:rPr>
          <w:rFonts w:hint="eastAsia" w:eastAsia="宋体"/>
        </w:rPr>
        <w:t>1.3 招标范围</w:t>
      </w:r>
    </w:p>
    <w:p>
      <w:pPr>
        <w:pStyle w:val="16"/>
        <w:spacing w:line="360" w:lineRule="auto"/>
        <w:rPr>
          <w:rFonts w:cs="宋体"/>
          <w:sz w:val="24"/>
          <w:szCs w:val="20"/>
        </w:rPr>
      </w:pPr>
      <w:r>
        <w:rPr>
          <w:rFonts w:hint="eastAsia" w:cs="宋体"/>
          <w:sz w:val="24"/>
          <w:szCs w:val="20"/>
        </w:rPr>
        <w:t>本次公开资格预审的范围是</w:t>
      </w:r>
      <w:r>
        <w:rPr>
          <w:rFonts w:hint="eastAsia" w:ascii="宋体" w:hAnsi="宋体"/>
          <w:sz w:val="24"/>
          <w:lang w:val="zh-CN"/>
        </w:rPr>
        <w:t>中海油能源发展股份有限公司工程技术公司永磁系列潜油电机等物资采购专有协议--标段六 供应商</w:t>
      </w:r>
      <w:r>
        <w:rPr>
          <w:rFonts w:hint="eastAsia" w:ascii="Arial" w:hAnsi="宋体" w:cs="宋体"/>
          <w:bCs/>
          <w:kern w:val="0"/>
          <w:sz w:val="24"/>
          <w:lang w:val="zh-CN"/>
        </w:rPr>
        <w:t>投标资格审查项目</w:t>
      </w:r>
      <w:r>
        <w:rPr>
          <w:rFonts w:hint="eastAsia" w:cs="宋体"/>
          <w:sz w:val="24"/>
          <w:szCs w:val="20"/>
        </w:rPr>
        <w:t>。</w:t>
      </w:r>
    </w:p>
    <w:p>
      <w:pPr>
        <w:pStyle w:val="16"/>
        <w:spacing w:line="360" w:lineRule="auto"/>
        <w:rPr>
          <w:rFonts w:ascii="宋体" w:hAnsi="宋体"/>
          <w:sz w:val="24"/>
        </w:rPr>
      </w:pPr>
      <w:r>
        <w:rPr>
          <w:rFonts w:hint="eastAsia" w:ascii="宋体" w:hAnsi="宋体"/>
          <w:sz w:val="24"/>
        </w:rPr>
        <w:t>采办包：中海油能源发展股份有限公司</w:t>
      </w:r>
      <w:r>
        <w:rPr>
          <w:rFonts w:hint="eastAsia" w:ascii="宋体" w:hAnsi="宋体"/>
          <w:sz w:val="24"/>
          <w:lang w:eastAsia="zh-CN"/>
        </w:rPr>
        <w:t>工程技术公司永磁系列潜油电机等物资采购专有协议--标段六</w:t>
      </w:r>
      <w:r>
        <w:rPr>
          <w:rFonts w:hint="eastAsia" w:ascii="宋体" w:hAnsi="宋体"/>
          <w:sz w:val="24"/>
        </w:rPr>
        <w:t xml:space="preserve"> 供应商年度</w:t>
      </w:r>
      <w:r>
        <w:rPr>
          <w:rFonts w:hint="eastAsia" w:ascii="Arial" w:hAnsi="宋体" w:cs="宋体"/>
          <w:bCs/>
          <w:kern w:val="0"/>
          <w:sz w:val="24"/>
          <w:lang w:val="zh-CN"/>
        </w:rPr>
        <w:t>供应商资格审查</w:t>
      </w:r>
      <w:r>
        <w:rPr>
          <w:rFonts w:hint="eastAsia" w:ascii="宋体" w:hAnsi="宋体"/>
          <w:sz w:val="24"/>
        </w:rPr>
        <w:t>。</w:t>
      </w:r>
    </w:p>
    <w:p>
      <w:pPr>
        <w:pStyle w:val="28"/>
        <w:spacing w:line="360" w:lineRule="auto"/>
        <w:rPr>
          <w:rFonts w:eastAsia="宋体"/>
        </w:rPr>
      </w:pPr>
      <w:r>
        <w:rPr>
          <w:rFonts w:hint="eastAsia" w:eastAsia="宋体"/>
        </w:rPr>
        <w:t>1.4 申请人资格要求</w:t>
      </w:r>
    </w:p>
    <w:p>
      <w:pPr>
        <w:pStyle w:val="16"/>
        <w:spacing w:line="360" w:lineRule="auto"/>
        <w:rPr>
          <w:sz w:val="24"/>
        </w:rPr>
      </w:pPr>
      <w:r>
        <w:rPr>
          <w:rFonts w:hint="eastAsia"/>
          <w:sz w:val="24"/>
        </w:rPr>
        <w:t>申请人应具备相应的资质，详见申请人须知前附表。</w:t>
      </w:r>
    </w:p>
    <w:p>
      <w:pPr>
        <w:pStyle w:val="28"/>
        <w:spacing w:line="360" w:lineRule="auto"/>
        <w:rPr>
          <w:rFonts w:eastAsia="宋体"/>
        </w:rPr>
      </w:pPr>
      <w:r>
        <w:rPr>
          <w:rFonts w:hint="eastAsia" w:eastAsia="宋体"/>
        </w:rPr>
        <w:t>1.5 语言文字</w:t>
      </w:r>
    </w:p>
    <w:p>
      <w:pPr>
        <w:pStyle w:val="16"/>
        <w:spacing w:line="360" w:lineRule="auto"/>
        <w:rPr>
          <w:sz w:val="24"/>
        </w:rPr>
      </w:pPr>
      <w:r>
        <w:rPr>
          <w:rFonts w:hint="eastAsia"/>
          <w:sz w:val="24"/>
        </w:rPr>
        <w:t>除专用术语外，来往文件均使用中文。必要时专用术语应附有中文注释。</w:t>
      </w:r>
    </w:p>
    <w:p>
      <w:pPr>
        <w:pStyle w:val="28"/>
        <w:spacing w:line="360" w:lineRule="auto"/>
        <w:rPr>
          <w:rFonts w:eastAsia="宋体"/>
        </w:rPr>
      </w:pPr>
      <w:r>
        <w:rPr>
          <w:rFonts w:hint="eastAsia" w:eastAsia="宋体"/>
        </w:rPr>
        <w:t>1.6 费用承担</w:t>
      </w:r>
    </w:p>
    <w:p>
      <w:pPr>
        <w:pStyle w:val="16"/>
        <w:spacing w:line="360" w:lineRule="auto"/>
        <w:rPr>
          <w:sz w:val="24"/>
        </w:rPr>
      </w:pPr>
      <w:r>
        <w:rPr>
          <w:rFonts w:hint="eastAsia"/>
          <w:sz w:val="24"/>
        </w:rPr>
        <w:t>申请人准备和参加资格预审发生的费用自理。</w:t>
      </w:r>
    </w:p>
    <w:p>
      <w:pPr>
        <w:pStyle w:val="25"/>
        <w:spacing w:line="360" w:lineRule="auto"/>
        <w:rPr>
          <w:rFonts w:eastAsia="宋体"/>
          <w:sz w:val="24"/>
        </w:rPr>
      </w:pPr>
      <w:r>
        <w:rPr>
          <w:rFonts w:hint="eastAsia" w:eastAsia="宋体"/>
          <w:sz w:val="24"/>
        </w:rPr>
        <w:t>2. 资格预审文件</w:t>
      </w:r>
    </w:p>
    <w:p>
      <w:pPr>
        <w:pStyle w:val="28"/>
        <w:spacing w:line="360" w:lineRule="auto"/>
        <w:rPr>
          <w:rFonts w:eastAsia="宋体"/>
        </w:rPr>
      </w:pPr>
      <w:r>
        <w:rPr>
          <w:rFonts w:hint="eastAsia" w:eastAsia="宋体"/>
        </w:rPr>
        <w:t>2.1 资格预审文件的组成</w:t>
      </w:r>
    </w:p>
    <w:p>
      <w:pPr>
        <w:pStyle w:val="16"/>
        <w:spacing w:line="360" w:lineRule="auto"/>
        <w:rPr>
          <w:sz w:val="24"/>
        </w:rPr>
      </w:pPr>
      <w:r>
        <w:rPr>
          <w:rFonts w:hint="eastAsia"/>
          <w:sz w:val="24"/>
        </w:rPr>
        <w:t>2.1.1 本资格预审文件包括资格预审公告(代招标公告)、申请人须知、资格审查办法、资格预审申请文件格式，以及根据本章第2.2款对资格预审文件的澄清和第2.3款对资格预审文件的修改。</w:t>
      </w:r>
    </w:p>
    <w:p>
      <w:pPr>
        <w:pStyle w:val="16"/>
        <w:spacing w:line="360" w:lineRule="auto"/>
        <w:rPr>
          <w:sz w:val="24"/>
        </w:rPr>
      </w:pPr>
      <w:r>
        <w:rPr>
          <w:rFonts w:hint="eastAsia"/>
          <w:sz w:val="24"/>
        </w:rPr>
        <w:t>2.1.2 当资格预审文件、资格预审文件的澄清或修改等在同一内容的表述上不一致时，以最后发出的书面文件为准。</w:t>
      </w:r>
    </w:p>
    <w:p>
      <w:pPr>
        <w:pStyle w:val="28"/>
        <w:spacing w:line="360" w:lineRule="auto"/>
        <w:rPr>
          <w:rFonts w:eastAsia="宋体"/>
        </w:rPr>
      </w:pPr>
      <w:r>
        <w:rPr>
          <w:rFonts w:hint="eastAsia" w:eastAsia="宋体"/>
        </w:rPr>
        <w:t>2.2 资格预审文件的澄清</w:t>
      </w:r>
    </w:p>
    <w:p>
      <w:pPr>
        <w:pStyle w:val="16"/>
        <w:spacing w:line="360" w:lineRule="auto"/>
        <w:rPr>
          <w:sz w:val="24"/>
        </w:rPr>
      </w:pPr>
      <w:r>
        <w:rPr>
          <w:rFonts w:hint="eastAsia"/>
          <w:sz w:val="24"/>
        </w:rPr>
        <w:t>2.2.1 申请人应仔细阅读和检查资格预审文件的全部内容。如有疑问，应在申请人须知前附表规定的时间前以书面形式（包括信函、邮件、传真等可以有形表现所载内容的形式，下同），要求招标人对资格预审文件进行澄清。</w:t>
      </w:r>
    </w:p>
    <w:p>
      <w:pPr>
        <w:pStyle w:val="16"/>
        <w:spacing w:line="360" w:lineRule="auto"/>
        <w:rPr>
          <w:sz w:val="24"/>
        </w:rPr>
      </w:pPr>
      <w:r>
        <w:rPr>
          <w:rFonts w:hint="eastAsia"/>
          <w:sz w:val="24"/>
        </w:rPr>
        <w:t>2.2.2 招标人应在申请人须知前附表规定的时间前，以书面形式将澄清内容发给所有购买资格预审文件的申请人，但不指明澄清问题的来源。</w:t>
      </w:r>
    </w:p>
    <w:p>
      <w:pPr>
        <w:pStyle w:val="16"/>
        <w:spacing w:line="360" w:lineRule="auto"/>
        <w:rPr>
          <w:sz w:val="24"/>
        </w:rPr>
      </w:pPr>
      <w:r>
        <w:rPr>
          <w:rFonts w:hint="eastAsia"/>
          <w:sz w:val="24"/>
        </w:rPr>
        <w:t>2.2.3 申请人收到澄清后，应在申请人须知前附表规定的时间内以书面形式通知招标人，确认已收到该澄清。</w:t>
      </w:r>
    </w:p>
    <w:p>
      <w:pPr>
        <w:pStyle w:val="28"/>
        <w:spacing w:line="360" w:lineRule="auto"/>
        <w:rPr>
          <w:rFonts w:eastAsia="宋体"/>
        </w:rPr>
      </w:pPr>
      <w:r>
        <w:rPr>
          <w:rFonts w:hint="eastAsia" w:eastAsia="宋体"/>
        </w:rPr>
        <w:t>2.3 资格预审文件的修改</w:t>
      </w:r>
    </w:p>
    <w:p>
      <w:pPr>
        <w:pStyle w:val="16"/>
        <w:spacing w:line="360" w:lineRule="auto"/>
        <w:rPr>
          <w:sz w:val="24"/>
        </w:rPr>
      </w:pPr>
      <w:r>
        <w:rPr>
          <w:rFonts w:hint="eastAsia"/>
          <w:sz w:val="24"/>
        </w:rPr>
        <w:t>2.3.1 在申请人须知前附表规定的时间前，招标人可以书面形式通知申请人修改资格预审文件。在申请人须知前附表规定的时间后修改资格预审文件的，招标人应相应顺延申请截止时间。</w:t>
      </w:r>
    </w:p>
    <w:p>
      <w:pPr>
        <w:pStyle w:val="16"/>
        <w:spacing w:line="360" w:lineRule="auto"/>
        <w:rPr>
          <w:sz w:val="24"/>
        </w:rPr>
      </w:pPr>
      <w:r>
        <w:rPr>
          <w:rFonts w:hint="eastAsia"/>
          <w:sz w:val="24"/>
        </w:rPr>
        <w:t>2.3.2 申请人收到修改的内容后，应在申请人须知前附表规定的时间内以书面形式通知招标人，确认已收到该修改。</w:t>
      </w:r>
    </w:p>
    <w:p>
      <w:pPr>
        <w:pStyle w:val="25"/>
        <w:spacing w:line="360" w:lineRule="auto"/>
        <w:rPr>
          <w:rFonts w:eastAsia="宋体"/>
          <w:sz w:val="24"/>
        </w:rPr>
      </w:pPr>
      <w:r>
        <w:rPr>
          <w:rFonts w:hint="eastAsia" w:eastAsia="宋体"/>
          <w:sz w:val="24"/>
        </w:rPr>
        <w:t>3. 资格预审申请文件的编制</w:t>
      </w:r>
    </w:p>
    <w:p>
      <w:pPr>
        <w:pStyle w:val="28"/>
        <w:spacing w:line="360" w:lineRule="auto"/>
        <w:rPr>
          <w:rFonts w:eastAsia="宋体"/>
        </w:rPr>
      </w:pPr>
      <w:r>
        <w:rPr>
          <w:rFonts w:hint="eastAsia" w:eastAsia="宋体"/>
        </w:rPr>
        <w:t>3.1 资格预审申请文件的组成</w:t>
      </w:r>
    </w:p>
    <w:p>
      <w:pPr>
        <w:pStyle w:val="16"/>
        <w:spacing w:line="360" w:lineRule="auto"/>
        <w:rPr>
          <w:sz w:val="24"/>
        </w:rPr>
      </w:pPr>
      <w:r>
        <w:rPr>
          <w:rFonts w:hint="eastAsia"/>
          <w:sz w:val="24"/>
        </w:rPr>
        <w:t xml:space="preserve">资格预审申请文件应包括但不限于下列内容，并按下述顺序编辑提交： </w:t>
      </w:r>
    </w:p>
    <w:p>
      <w:pPr>
        <w:pStyle w:val="16"/>
        <w:spacing w:line="360" w:lineRule="auto"/>
        <w:rPr>
          <w:sz w:val="24"/>
        </w:rPr>
      </w:pPr>
      <w:r>
        <w:rPr>
          <w:rFonts w:hint="eastAsia"/>
          <w:sz w:val="24"/>
        </w:rPr>
        <w:t>否决项清单响应目录</w:t>
      </w:r>
    </w:p>
    <w:p>
      <w:pPr>
        <w:pStyle w:val="16"/>
        <w:spacing w:line="360" w:lineRule="auto"/>
        <w:rPr>
          <w:sz w:val="24"/>
        </w:rPr>
      </w:pPr>
      <w:r>
        <w:rPr>
          <w:rFonts w:hint="eastAsia"/>
          <w:sz w:val="24"/>
        </w:rPr>
        <w:t>资格预审申请文件封面</w:t>
      </w:r>
    </w:p>
    <w:p>
      <w:pPr>
        <w:pStyle w:val="16"/>
        <w:spacing w:line="360" w:lineRule="auto"/>
        <w:rPr>
          <w:sz w:val="24"/>
        </w:rPr>
      </w:pPr>
      <w:r>
        <w:rPr>
          <w:rFonts w:hint="eastAsia"/>
          <w:sz w:val="24"/>
        </w:rPr>
        <w:t>法人代表授权书</w:t>
      </w:r>
    </w:p>
    <w:p>
      <w:pPr>
        <w:pStyle w:val="16"/>
        <w:spacing w:line="360" w:lineRule="auto"/>
        <w:rPr>
          <w:sz w:val="24"/>
        </w:rPr>
      </w:pPr>
      <w:r>
        <w:rPr>
          <w:rFonts w:hint="eastAsia"/>
          <w:sz w:val="24"/>
        </w:rPr>
        <w:t>法定代表人身份证明</w:t>
      </w:r>
    </w:p>
    <w:p>
      <w:pPr>
        <w:pStyle w:val="16"/>
        <w:spacing w:line="360" w:lineRule="auto"/>
        <w:rPr>
          <w:sz w:val="24"/>
        </w:rPr>
      </w:pPr>
      <w:r>
        <w:rPr>
          <w:rFonts w:hint="eastAsia"/>
          <w:sz w:val="24"/>
        </w:rPr>
        <w:t>营业执照</w:t>
      </w:r>
    </w:p>
    <w:p>
      <w:pPr>
        <w:pStyle w:val="16"/>
        <w:spacing w:line="360" w:lineRule="auto"/>
        <w:rPr>
          <w:sz w:val="24"/>
        </w:rPr>
      </w:pPr>
      <w:r>
        <w:rPr>
          <w:rFonts w:hint="eastAsia"/>
          <w:sz w:val="24"/>
        </w:rPr>
        <w:t>承诺书</w:t>
      </w:r>
    </w:p>
    <w:p>
      <w:pPr>
        <w:pStyle w:val="16"/>
        <w:spacing w:line="360" w:lineRule="auto"/>
        <w:rPr>
          <w:sz w:val="24"/>
        </w:rPr>
      </w:pPr>
      <w:r>
        <w:rPr>
          <w:rFonts w:hint="eastAsia"/>
          <w:sz w:val="24"/>
        </w:rPr>
        <w:t>公司简介及公司组织架构图</w:t>
      </w:r>
    </w:p>
    <w:p>
      <w:pPr>
        <w:pStyle w:val="16"/>
        <w:spacing w:line="360" w:lineRule="auto"/>
        <w:rPr>
          <w:strike/>
          <w:sz w:val="24"/>
        </w:rPr>
      </w:pPr>
      <w:r>
        <w:rPr>
          <w:rFonts w:hint="eastAsia"/>
          <w:sz w:val="24"/>
        </w:rPr>
        <w:t>提供近三年（</w:t>
      </w:r>
      <w:r>
        <w:rPr>
          <w:rFonts w:hint="eastAsia"/>
          <w:sz w:val="24"/>
          <w:lang w:eastAsia="zh-CN"/>
        </w:rPr>
        <w:t>2020-2022</w:t>
      </w:r>
      <w:r>
        <w:rPr>
          <w:rFonts w:hint="eastAsia"/>
          <w:sz w:val="24"/>
        </w:rPr>
        <w:t>年）经审计的财务报表</w:t>
      </w:r>
    </w:p>
    <w:p>
      <w:pPr>
        <w:pStyle w:val="16"/>
        <w:spacing w:line="360" w:lineRule="auto"/>
        <w:rPr>
          <w:sz w:val="24"/>
        </w:rPr>
      </w:pPr>
      <w:r>
        <w:rPr>
          <w:rFonts w:hint="eastAsia"/>
          <w:sz w:val="24"/>
        </w:rPr>
        <w:t>相关证书（如有）</w:t>
      </w:r>
    </w:p>
    <w:p>
      <w:pPr>
        <w:pStyle w:val="16"/>
        <w:spacing w:line="360" w:lineRule="auto"/>
        <w:rPr>
          <w:sz w:val="24"/>
        </w:rPr>
      </w:pPr>
      <w:r>
        <w:rPr>
          <w:rFonts w:hint="eastAsia"/>
          <w:sz w:val="24"/>
        </w:rPr>
        <w:t>投标材料质量标准的详细描述</w:t>
      </w:r>
    </w:p>
    <w:p>
      <w:pPr>
        <w:pStyle w:val="16"/>
        <w:spacing w:line="360" w:lineRule="auto"/>
        <w:rPr>
          <w:sz w:val="24"/>
        </w:rPr>
      </w:pPr>
      <w:r>
        <w:rPr>
          <w:rFonts w:hint="eastAsia"/>
          <w:sz w:val="24"/>
        </w:rPr>
        <w:t>业绩合同扫描件</w:t>
      </w:r>
    </w:p>
    <w:p>
      <w:pPr>
        <w:pStyle w:val="16"/>
        <w:spacing w:line="360" w:lineRule="auto"/>
        <w:rPr>
          <w:sz w:val="24"/>
        </w:rPr>
      </w:pPr>
      <w:r>
        <w:rPr>
          <w:rFonts w:hint="eastAsia"/>
          <w:sz w:val="24"/>
        </w:rPr>
        <w:t>提交的资格预审申请文件的电子版</w:t>
      </w:r>
    </w:p>
    <w:p>
      <w:pPr>
        <w:pStyle w:val="16"/>
        <w:spacing w:line="360" w:lineRule="auto"/>
        <w:rPr>
          <w:sz w:val="24"/>
        </w:rPr>
      </w:pPr>
      <w:r>
        <w:rPr>
          <w:rFonts w:hint="eastAsia"/>
          <w:sz w:val="24"/>
        </w:rPr>
        <w:t>信誉证明文件</w:t>
      </w:r>
    </w:p>
    <w:p>
      <w:pPr>
        <w:pStyle w:val="16"/>
        <w:spacing w:line="360" w:lineRule="auto"/>
        <w:rPr>
          <w:sz w:val="24"/>
        </w:rPr>
      </w:pPr>
      <w:r>
        <w:rPr>
          <w:rFonts w:hint="eastAsia"/>
          <w:sz w:val="24"/>
        </w:rPr>
        <w:t>供货计划、生产能力和保障措施</w:t>
      </w:r>
    </w:p>
    <w:p>
      <w:pPr>
        <w:pStyle w:val="16"/>
        <w:spacing w:line="360" w:lineRule="auto"/>
        <w:rPr>
          <w:sz w:val="24"/>
        </w:rPr>
      </w:pPr>
      <w:r>
        <w:rPr>
          <w:rFonts w:hint="eastAsia"/>
          <w:sz w:val="24"/>
        </w:rPr>
        <w:t>售后服务和现场技术支持方案</w:t>
      </w:r>
    </w:p>
    <w:p>
      <w:pPr>
        <w:pStyle w:val="16"/>
        <w:spacing w:line="360" w:lineRule="auto"/>
        <w:rPr>
          <w:sz w:val="24"/>
        </w:rPr>
      </w:pPr>
      <w:r>
        <w:rPr>
          <w:rFonts w:hint="eastAsia"/>
          <w:sz w:val="24"/>
        </w:rPr>
        <w:t>申请人认为有必要提交的其他支持性材料</w:t>
      </w:r>
    </w:p>
    <w:p>
      <w:pPr>
        <w:pStyle w:val="16"/>
        <w:spacing w:line="360" w:lineRule="auto"/>
        <w:rPr>
          <w:sz w:val="24"/>
        </w:rPr>
      </w:pPr>
      <w:r>
        <w:rPr>
          <w:rFonts w:hint="eastAsia"/>
          <w:sz w:val="24"/>
        </w:rPr>
        <w:t>商务偏离表</w:t>
      </w:r>
    </w:p>
    <w:p>
      <w:pPr>
        <w:pStyle w:val="16"/>
        <w:spacing w:line="360" w:lineRule="auto"/>
        <w:rPr>
          <w:sz w:val="24"/>
        </w:rPr>
      </w:pPr>
      <w:r>
        <w:rPr>
          <w:rFonts w:hint="eastAsia"/>
          <w:sz w:val="24"/>
        </w:rPr>
        <w:t>技术偏离表</w:t>
      </w:r>
    </w:p>
    <w:p>
      <w:pPr>
        <w:pStyle w:val="16"/>
        <w:spacing w:line="360" w:lineRule="auto"/>
        <w:rPr>
          <w:sz w:val="24"/>
        </w:rPr>
      </w:pPr>
      <w:r>
        <w:rPr>
          <w:rFonts w:hint="eastAsia"/>
          <w:sz w:val="24"/>
        </w:rPr>
        <w:t>投标函</w:t>
      </w:r>
    </w:p>
    <w:p>
      <w:pPr>
        <w:pStyle w:val="16"/>
        <w:spacing w:line="360" w:lineRule="auto"/>
        <w:rPr>
          <w:sz w:val="24"/>
        </w:rPr>
      </w:pPr>
      <w:r>
        <w:rPr>
          <w:rFonts w:hint="eastAsia"/>
          <w:sz w:val="24"/>
        </w:rPr>
        <w:t>对本项目技术要求的其他响应文件</w:t>
      </w:r>
    </w:p>
    <w:p>
      <w:pPr>
        <w:pStyle w:val="28"/>
        <w:spacing w:line="360" w:lineRule="auto"/>
        <w:rPr>
          <w:rFonts w:eastAsia="宋体"/>
        </w:rPr>
      </w:pPr>
      <w:r>
        <w:rPr>
          <w:rFonts w:hint="eastAsia" w:eastAsia="宋体"/>
        </w:rPr>
        <w:t>3.2 资格预审申请文件的编制要求</w:t>
      </w:r>
    </w:p>
    <w:p>
      <w:pPr>
        <w:pStyle w:val="16"/>
        <w:spacing w:line="360" w:lineRule="auto"/>
        <w:rPr>
          <w:sz w:val="24"/>
        </w:rPr>
      </w:pPr>
      <w:r>
        <w:rPr>
          <w:rFonts w:hint="eastAsia"/>
          <w:sz w:val="24"/>
        </w:rPr>
        <w:t>3.2.1 资格预审申请文件应按3.1资格预审申请文件的组成内容顺序和第四章“资格预审申请文件格式”进行编写，如有必要，可以增加附页，并作为资格预审申请文件的组成部分。</w:t>
      </w:r>
    </w:p>
    <w:p>
      <w:pPr>
        <w:pStyle w:val="16"/>
        <w:spacing w:line="360" w:lineRule="auto"/>
        <w:rPr>
          <w:sz w:val="24"/>
        </w:rPr>
      </w:pPr>
      <w:r>
        <w:rPr>
          <w:rFonts w:hint="eastAsia"/>
          <w:sz w:val="24"/>
        </w:rPr>
        <w:t>3.2.2未按3.2.1要求提交完整的预审申请文件的申请人可能被拒绝。</w:t>
      </w:r>
    </w:p>
    <w:p>
      <w:pPr>
        <w:pStyle w:val="25"/>
        <w:spacing w:line="360" w:lineRule="auto"/>
        <w:rPr>
          <w:rFonts w:eastAsia="宋体"/>
          <w:sz w:val="24"/>
        </w:rPr>
      </w:pPr>
      <w:r>
        <w:rPr>
          <w:rFonts w:hint="eastAsia" w:eastAsia="宋体"/>
          <w:sz w:val="24"/>
        </w:rPr>
        <w:t>4. 资格预审申请文件的递交</w:t>
      </w:r>
    </w:p>
    <w:p>
      <w:pPr>
        <w:pStyle w:val="16"/>
        <w:spacing w:line="360" w:lineRule="auto"/>
        <w:rPr>
          <w:sz w:val="24"/>
        </w:rPr>
      </w:pPr>
      <w:r>
        <w:rPr>
          <w:rFonts w:hint="eastAsia"/>
          <w:sz w:val="24"/>
        </w:rPr>
        <w:t>4.</w:t>
      </w:r>
      <w:r>
        <w:rPr>
          <w:rFonts w:hint="eastAsia"/>
          <w:sz w:val="24"/>
          <w:lang w:val="en-US" w:eastAsia="zh-CN"/>
        </w:rPr>
        <w:t>1</w:t>
      </w:r>
      <w:r>
        <w:rPr>
          <w:rFonts w:hint="eastAsia"/>
          <w:sz w:val="24"/>
        </w:rPr>
        <w:t xml:space="preserve"> 申请截止时间：见申请人须知前附表。</w:t>
      </w:r>
    </w:p>
    <w:p>
      <w:pPr>
        <w:pStyle w:val="16"/>
        <w:spacing w:line="360" w:lineRule="auto"/>
        <w:rPr>
          <w:sz w:val="24"/>
        </w:rPr>
      </w:pPr>
      <w:r>
        <w:rPr>
          <w:rFonts w:hint="eastAsia"/>
          <w:sz w:val="24"/>
        </w:rPr>
        <w:t>4.2 除申请人须知前附表另有规定的外，申请人所递交的资格预审申请文件不予退还。</w:t>
      </w:r>
    </w:p>
    <w:p>
      <w:pPr>
        <w:pStyle w:val="16"/>
        <w:spacing w:line="360" w:lineRule="auto"/>
        <w:outlineLvl w:val="1"/>
        <w:rPr>
          <w:sz w:val="24"/>
        </w:rPr>
      </w:pPr>
      <w:r>
        <w:rPr>
          <w:rFonts w:hint="eastAsia"/>
          <w:sz w:val="24"/>
        </w:rPr>
        <w:t>5．资格预审申请文件的审查</w:t>
      </w:r>
    </w:p>
    <w:p>
      <w:pPr>
        <w:pStyle w:val="16"/>
        <w:spacing w:line="360" w:lineRule="auto"/>
        <w:outlineLvl w:val="2"/>
        <w:rPr>
          <w:sz w:val="24"/>
        </w:rPr>
      </w:pPr>
      <w:r>
        <w:rPr>
          <w:rFonts w:hint="eastAsia"/>
          <w:sz w:val="24"/>
        </w:rPr>
        <w:t>5.1 审查委员会</w:t>
      </w:r>
    </w:p>
    <w:p>
      <w:pPr>
        <w:pStyle w:val="16"/>
        <w:spacing w:line="360" w:lineRule="auto"/>
        <w:rPr>
          <w:sz w:val="24"/>
        </w:rPr>
      </w:pPr>
      <w:r>
        <w:rPr>
          <w:rFonts w:hint="eastAsia"/>
          <w:sz w:val="24"/>
        </w:rPr>
        <w:t>5.1.1资格预审申请文件由招标人组建的审查委员会负责审查。审查委员会参照《中华人民共和国招标投标法》第三十七条规定组建。</w:t>
      </w:r>
    </w:p>
    <w:p>
      <w:pPr>
        <w:pStyle w:val="16"/>
        <w:spacing w:line="360" w:lineRule="auto"/>
        <w:rPr>
          <w:sz w:val="24"/>
        </w:rPr>
      </w:pPr>
      <w:r>
        <w:rPr>
          <w:rFonts w:hint="eastAsia"/>
          <w:sz w:val="24"/>
        </w:rPr>
        <w:t>5.1.2 审查委员会人数：见申请人须知前附表。</w:t>
      </w:r>
    </w:p>
    <w:p>
      <w:pPr>
        <w:pStyle w:val="16"/>
        <w:spacing w:line="360" w:lineRule="auto"/>
        <w:outlineLvl w:val="2"/>
        <w:rPr>
          <w:sz w:val="24"/>
        </w:rPr>
      </w:pPr>
      <w:r>
        <w:rPr>
          <w:rFonts w:hint="eastAsia"/>
          <w:sz w:val="24"/>
        </w:rPr>
        <w:t>5.2 资格审查</w:t>
      </w:r>
    </w:p>
    <w:p>
      <w:pPr>
        <w:pStyle w:val="16"/>
        <w:spacing w:line="360" w:lineRule="auto"/>
        <w:rPr>
          <w:sz w:val="24"/>
        </w:rPr>
      </w:pPr>
      <w:r>
        <w:rPr>
          <w:rFonts w:hint="eastAsia"/>
          <w:sz w:val="24"/>
        </w:rPr>
        <w:t>审查委员会根据申请人须知前附表规定的方法和第三章“资格审查办法”中规定的审查标准，对所有已受理的资格预审申请文件进行审查。没有规定的方法和标准不得作为审查依据。</w:t>
      </w:r>
    </w:p>
    <w:p>
      <w:pPr>
        <w:pStyle w:val="16"/>
        <w:spacing w:line="360" w:lineRule="auto"/>
        <w:outlineLvl w:val="1"/>
        <w:rPr>
          <w:sz w:val="24"/>
        </w:rPr>
      </w:pPr>
      <w:r>
        <w:rPr>
          <w:rFonts w:hint="eastAsia"/>
          <w:sz w:val="24"/>
        </w:rPr>
        <w:t>6. 通知和确认</w:t>
      </w:r>
    </w:p>
    <w:p>
      <w:pPr>
        <w:pStyle w:val="16"/>
        <w:spacing w:line="360" w:lineRule="auto"/>
        <w:outlineLvl w:val="2"/>
        <w:rPr>
          <w:sz w:val="24"/>
        </w:rPr>
      </w:pPr>
      <w:r>
        <w:rPr>
          <w:rFonts w:hint="eastAsia"/>
          <w:sz w:val="24"/>
        </w:rPr>
        <w:t>6.1 通知</w:t>
      </w:r>
    </w:p>
    <w:p>
      <w:pPr>
        <w:pStyle w:val="16"/>
        <w:spacing w:line="360" w:lineRule="auto"/>
        <w:rPr>
          <w:sz w:val="24"/>
        </w:rPr>
      </w:pPr>
      <w:r>
        <w:rPr>
          <w:rFonts w:hint="eastAsia"/>
          <w:sz w:val="24"/>
        </w:rPr>
        <w:t>招标人在申请人须知前附表规定的时间内以书面形式将资格预审结果通知申请人，并向通过资格预审的申请人发出项目竞谈文件</w:t>
      </w:r>
      <w:r>
        <w:rPr>
          <w:rFonts w:hint="eastAsia"/>
          <w:sz w:val="24"/>
          <w:lang w:val="en-US" w:eastAsia="zh-CN"/>
        </w:rPr>
        <w:t>或单一来源采购文件</w:t>
      </w:r>
      <w:r>
        <w:rPr>
          <w:rFonts w:hint="eastAsia"/>
          <w:sz w:val="24"/>
        </w:rPr>
        <w:t>。</w:t>
      </w:r>
    </w:p>
    <w:p>
      <w:pPr>
        <w:pStyle w:val="16"/>
        <w:spacing w:line="360" w:lineRule="auto"/>
        <w:outlineLvl w:val="2"/>
        <w:rPr>
          <w:sz w:val="24"/>
        </w:rPr>
      </w:pPr>
      <w:r>
        <w:rPr>
          <w:rFonts w:hint="eastAsia"/>
          <w:sz w:val="24"/>
        </w:rPr>
        <w:t>6.2 解释</w:t>
      </w:r>
    </w:p>
    <w:p>
      <w:pPr>
        <w:pStyle w:val="16"/>
        <w:spacing w:line="360" w:lineRule="auto"/>
        <w:rPr>
          <w:sz w:val="24"/>
        </w:rPr>
      </w:pPr>
      <w:r>
        <w:rPr>
          <w:rFonts w:hint="eastAsia"/>
          <w:sz w:val="24"/>
        </w:rPr>
        <w:t>应申请人书面要求，招标人应对资格预审结果作出解释，但不保证申请人对解释内容满意。</w:t>
      </w:r>
    </w:p>
    <w:p>
      <w:pPr>
        <w:pStyle w:val="16"/>
        <w:spacing w:line="360" w:lineRule="auto"/>
        <w:outlineLvl w:val="2"/>
        <w:rPr>
          <w:sz w:val="24"/>
        </w:rPr>
      </w:pPr>
      <w:r>
        <w:rPr>
          <w:rFonts w:hint="eastAsia"/>
          <w:sz w:val="24"/>
        </w:rPr>
        <w:t>6.3 确认</w:t>
      </w:r>
    </w:p>
    <w:p>
      <w:pPr>
        <w:pStyle w:val="16"/>
        <w:spacing w:line="360" w:lineRule="auto"/>
        <w:rPr>
          <w:sz w:val="24"/>
        </w:rPr>
      </w:pPr>
      <w:r>
        <w:rPr>
          <w:rFonts w:hint="eastAsia"/>
          <w:sz w:val="24"/>
        </w:rPr>
        <w:t>通过资格预审的申请人收到项目竞谈</w:t>
      </w:r>
      <w:r>
        <w:rPr>
          <w:rFonts w:hint="eastAsia"/>
          <w:sz w:val="24"/>
          <w:lang w:val="en-US" w:eastAsia="zh-CN"/>
        </w:rPr>
        <w:t>邀请通知或单一来源采购邀请通知</w:t>
      </w:r>
      <w:r>
        <w:rPr>
          <w:rFonts w:hint="eastAsia"/>
          <w:sz w:val="24"/>
        </w:rPr>
        <w:t>后，应在项目规定的时间内以书面形式明确表示是否参加投标。在规定时间内未表示是否参加投标或明确表示不参加投标的，不得再参加投标。</w:t>
      </w:r>
    </w:p>
    <w:p>
      <w:pPr>
        <w:pStyle w:val="16"/>
        <w:spacing w:line="360" w:lineRule="auto"/>
        <w:outlineLvl w:val="1"/>
        <w:rPr>
          <w:sz w:val="24"/>
        </w:rPr>
      </w:pPr>
      <w:r>
        <w:rPr>
          <w:rFonts w:hint="eastAsia"/>
          <w:sz w:val="24"/>
        </w:rPr>
        <w:t>7. 申请人的资格改变</w:t>
      </w:r>
    </w:p>
    <w:p>
      <w:pPr>
        <w:pStyle w:val="16"/>
        <w:spacing w:line="360" w:lineRule="auto"/>
        <w:rPr>
          <w:sz w:val="24"/>
        </w:rPr>
      </w:pPr>
      <w:r>
        <w:rPr>
          <w:rFonts w:hint="eastAsia"/>
          <w:sz w:val="24"/>
        </w:rPr>
        <w:t>通过资格预审的申请人组织机构、财务能力、信誉情况等资格条件发生变化，使其不再实质上满足第三章“资格审查办法”规定标准的，其投标不被接受。</w:t>
      </w:r>
    </w:p>
    <w:p>
      <w:pPr>
        <w:pStyle w:val="16"/>
        <w:spacing w:line="360" w:lineRule="auto"/>
        <w:outlineLvl w:val="1"/>
        <w:rPr>
          <w:sz w:val="24"/>
        </w:rPr>
      </w:pPr>
      <w:r>
        <w:rPr>
          <w:rFonts w:hint="eastAsia"/>
          <w:sz w:val="24"/>
        </w:rPr>
        <w:t>8. 纪律与监督</w:t>
      </w:r>
    </w:p>
    <w:p>
      <w:pPr>
        <w:pStyle w:val="16"/>
        <w:spacing w:line="360" w:lineRule="auto"/>
        <w:outlineLvl w:val="2"/>
        <w:rPr>
          <w:sz w:val="24"/>
        </w:rPr>
      </w:pPr>
      <w:r>
        <w:rPr>
          <w:rFonts w:hint="eastAsia"/>
          <w:sz w:val="24"/>
        </w:rPr>
        <w:t>8.1 严禁贿赂</w:t>
      </w:r>
    </w:p>
    <w:p>
      <w:pPr>
        <w:pStyle w:val="16"/>
        <w:spacing w:line="360" w:lineRule="auto"/>
        <w:rPr>
          <w:sz w:val="24"/>
        </w:rPr>
      </w:pPr>
      <w:r>
        <w:rPr>
          <w:rFonts w:hint="eastAsia"/>
          <w:sz w:val="24"/>
        </w:rPr>
        <w:t>严禁申请人向招标人、审查委员会成员和与审查活动有关的其他工作人员行贿。在资格预审期间，不得邀请 招标人、审查委员会成员以及与审查活动有关的其他工作人员到申请人单位参观考察，或出席申请人主办、赞助的任何活动。</w:t>
      </w:r>
    </w:p>
    <w:p>
      <w:pPr>
        <w:pStyle w:val="16"/>
        <w:spacing w:line="360" w:lineRule="auto"/>
        <w:outlineLvl w:val="2"/>
        <w:rPr>
          <w:sz w:val="24"/>
        </w:rPr>
      </w:pPr>
      <w:r>
        <w:rPr>
          <w:rFonts w:hint="eastAsia"/>
          <w:sz w:val="24"/>
        </w:rPr>
        <w:t>8.2 不得干扰资格审查工作</w:t>
      </w:r>
    </w:p>
    <w:p>
      <w:pPr>
        <w:pStyle w:val="16"/>
        <w:spacing w:line="360" w:lineRule="auto"/>
        <w:rPr>
          <w:sz w:val="24"/>
        </w:rPr>
      </w:pPr>
      <w:r>
        <w:rPr>
          <w:rFonts w:hint="eastAsia"/>
          <w:sz w:val="24"/>
        </w:rPr>
        <w:t>申请人不得以任何方式干扰、影响资格预审的审查工作，否则将导致其不能通过资格预审。</w:t>
      </w:r>
    </w:p>
    <w:p>
      <w:pPr>
        <w:pStyle w:val="16"/>
        <w:spacing w:line="360" w:lineRule="auto"/>
        <w:outlineLvl w:val="2"/>
        <w:rPr>
          <w:sz w:val="24"/>
        </w:rPr>
      </w:pPr>
      <w:r>
        <w:rPr>
          <w:rFonts w:hint="eastAsia"/>
          <w:sz w:val="24"/>
        </w:rPr>
        <w:t>8.3 保密</w:t>
      </w:r>
    </w:p>
    <w:p>
      <w:pPr>
        <w:pStyle w:val="16"/>
        <w:spacing w:line="360" w:lineRule="auto"/>
        <w:rPr>
          <w:sz w:val="24"/>
        </w:rPr>
      </w:pPr>
      <w:r>
        <w:rPr>
          <w:rFonts w:hint="eastAsia"/>
          <w:sz w:val="24"/>
        </w:rPr>
        <w:t xml:space="preserve">招标人、审查委员会成员，以及与审查活动有关的其他工作人员应对资格预审申请文件的审查、比较进行保密，不得在资格预审结果公布前透露资格预审结果，不得向他人透露可能影响公平竞争的有关情况。 </w:t>
      </w:r>
    </w:p>
    <w:p>
      <w:pPr>
        <w:pStyle w:val="16"/>
        <w:spacing w:line="360" w:lineRule="auto"/>
        <w:outlineLvl w:val="2"/>
        <w:rPr>
          <w:sz w:val="24"/>
        </w:rPr>
      </w:pPr>
      <w:r>
        <w:rPr>
          <w:rFonts w:hint="eastAsia"/>
          <w:sz w:val="24"/>
        </w:rPr>
        <w:t>8.4 投诉</w:t>
      </w:r>
    </w:p>
    <w:p>
      <w:pPr>
        <w:pStyle w:val="16"/>
        <w:spacing w:line="360" w:lineRule="auto"/>
        <w:rPr>
          <w:sz w:val="24"/>
        </w:rPr>
      </w:pPr>
      <w:r>
        <w:rPr>
          <w:rFonts w:hint="eastAsia"/>
          <w:sz w:val="24"/>
        </w:rPr>
        <w:t>申请人和其他利害关系人认为本次资格预审活动违反法律、法规和规章规定的，有权向有关行政监督部门投诉。</w:t>
      </w:r>
    </w:p>
    <w:p>
      <w:pPr>
        <w:pStyle w:val="16"/>
        <w:spacing w:line="360" w:lineRule="auto"/>
        <w:sectPr>
          <w:footerReference r:id="rId8" w:type="first"/>
          <w:headerReference r:id="rId6" w:type="default"/>
          <w:footerReference r:id="rId7" w:type="default"/>
          <w:pgSz w:w="11906" w:h="16838"/>
          <w:pgMar w:top="1440" w:right="1800" w:bottom="1440" w:left="1800" w:header="851" w:footer="992" w:gutter="0"/>
          <w:cols w:space="720" w:num="1"/>
          <w:titlePg/>
          <w:docGrid w:linePitch="312" w:charSpace="0"/>
        </w:sectPr>
      </w:pPr>
    </w:p>
    <w:p>
      <w:pPr>
        <w:pStyle w:val="16"/>
        <w:spacing w:line="400" w:lineRule="exact"/>
        <w:rPr>
          <w:sz w:val="32"/>
          <w:szCs w:val="32"/>
        </w:rPr>
      </w:pPr>
    </w:p>
    <w:p>
      <w:pPr>
        <w:pStyle w:val="16"/>
        <w:sectPr>
          <w:footerReference r:id="rId9" w:type="first"/>
          <w:pgSz w:w="11906" w:h="16838"/>
          <w:pgMar w:top="1440" w:right="1800" w:bottom="1440" w:left="1800" w:header="851" w:footer="992" w:gutter="0"/>
          <w:cols w:space="720" w:num="1"/>
          <w:titlePg/>
          <w:docGrid w:linePitch="312" w:charSpace="0"/>
        </w:sectPr>
      </w:pPr>
    </w:p>
    <w:p>
      <w:pPr>
        <w:pStyle w:val="16"/>
        <w:spacing w:line="400" w:lineRule="exact"/>
        <w:jc w:val="center"/>
        <w:outlineLvl w:val="0"/>
        <w:rPr>
          <w:rFonts w:ascii="黑体" w:hAnsi="黑体" w:eastAsia="黑体"/>
          <w:b/>
          <w:bCs/>
          <w:sz w:val="36"/>
          <w:szCs w:val="36"/>
        </w:rPr>
      </w:pPr>
      <w:bookmarkStart w:id="21" w:name="_Toc31862"/>
      <w:bookmarkStart w:id="22" w:name="_Toc13432"/>
      <w:r>
        <w:rPr>
          <w:rFonts w:hint="eastAsia" w:ascii="黑体" w:hAnsi="黑体" w:eastAsia="黑体"/>
          <w:b/>
          <w:bCs/>
          <w:sz w:val="36"/>
          <w:szCs w:val="36"/>
        </w:rPr>
        <w:t>第三章 资格审查办法</w:t>
      </w:r>
      <w:bookmarkEnd w:id="21"/>
      <w:bookmarkEnd w:id="22"/>
    </w:p>
    <w:p>
      <w:pPr>
        <w:pStyle w:val="25"/>
        <w:spacing w:line="360" w:lineRule="auto"/>
        <w:rPr>
          <w:rFonts w:ascii="宋体" w:hAnsi="宋体" w:eastAsia="宋体" w:cs="Times New Roman"/>
          <w:sz w:val="24"/>
          <w:szCs w:val="24"/>
        </w:rPr>
      </w:pPr>
      <w:r>
        <w:rPr>
          <w:rFonts w:hint="eastAsia" w:ascii="宋体" w:hAnsi="宋体" w:eastAsia="宋体" w:cs="Times New Roman"/>
          <w:sz w:val="24"/>
          <w:szCs w:val="24"/>
        </w:rPr>
        <w:t>1. 审查方法</w:t>
      </w:r>
    </w:p>
    <w:p>
      <w:pPr>
        <w:pStyle w:val="16"/>
        <w:tabs>
          <w:tab w:val="left" w:pos="0"/>
        </w:tabs>
        <w:adjustRightInd w:val="0"/>
        <w:snapToGrid w:val="0"/>
        <w:spacing w:line="360" w:lineRule="auto"/>
        <w:jc w:val="left"/>
        <w:rPr>
          <w:sz w:val="24"/>
        </w:rPr>
      </w:pPr>
      <w:r>
        <w:rPr>
          <w:rFonts w:hint="eastAsia"/>
          <w:sz w:val="24"/>
        </w:rPr>
        <w:t>本项目审查为书面资格预审，采用评议合格制。招标人保留对资格预审的申请人进行现场考察的权利。</w:t>
      </w:r>
    </w:p>
    <w:p>
      <w:pPr>
        <w:pStyle w:val="25"/>
        <w:spacing w:line="360" w:lineRule="auto"/>
        <w:rPr>
          <w:rFonts w:cs="Times New Roman"/>
          <w:sz w:val="24"/>
          <w:szCs w:val="24"/>
        </w:rPr>
      </w:pPr>
      <w:r>
        <w:rPr>
          <w:rFonts w:hint="eastAsia" w:cs="Times New Roman"/>
          <w:sz w:val="24"/>
          <w:szCs w:val="24"/>
        </w:rPr>
        <w:t xml:space="preserve">2. </w:t>
      </w:r>
      <w:r>
        <w:rPr>
          <w:rFonts w:hint="eastAsia" w:eastAsia="宋体" w:cs="Times New Roman"/>
          <w:sz w:val="24"/>
          <w:szCs w:val="24"/>
        </w:rPr>
        <w:t>审查程序</w:t>
      </w:r>
    </w:p>
    <w:p>
      <w:pPr>
        <w:pStyle w:val="28"/>
        <w:spacing w:line="360" w:lineRule="auto"/>
        <w:rPr>
          <w:rFonts w:eastAsia="宋体" w:cs="Times New Roman"/>
          <w:szCs w:val="24"/>
        </w:rPr>
      </w:pPr>
      <w:r>
        <w:rPr>
          <w:rFonts w:hint="eastAsia"/>
        </w:rPr>
        <w:t xml:space="preserve">2.1 </w:t>
      </w:r>
      <w:r>
        <w:rPr>
          <w:rFonts w:hint="eastAsia" w:eastAsia="宋体" w:cs="Times New Roman"/>
          <w:szCs w:val="24"/>
        </w:rPr>
        <w:t xml:space="preserve">否决项检查 </w:t>
      </w:r>
    </w:p>
    <w:p>
      <w:pPr>
        <w:pStyle w:val="16"/>
        <w:spacing w:line="360" w:lineRule="auto"/>
        <w:rPr>
          <w:sz w:val="24"/>
        </w:rPr>
      </w:pPr>
      <w:r>
        <w:rPr>
          <w:rFonts w:hint="eastAsia"/>
          <w:sz w:val="24"/>
        </w:rPr>
        <w:t>2.1.1 审查委员会依据第二章“申请人须知”审查列表中规定的标准，对资格预审申请文件进行逐项审查。有一项审查因素不符合审查标准的，不能通过资格预审。</w:t>
      </w:r>
    </w:p>
    <w:p>
      <w:pPr>
        <w:pStyle w:val="16"/>
        <w:spacing w:line="360" w:lineRule="auto"/>
        <w:rPr>
          <w:sz w:val="24"/>
        </w:rPr>
      </w:pPr>
      <w:r>
        <w:rPr>
          <w:rFonts w:hint="eastAsia"/>
          <w:sz w:val="24"/>
        </w:rPr>
        <w:t>2.1.2 审查委员会可以要求在现场考察阶段核对申请人有关证明和证件的原件。</w:t>
      </w:r>
    </w:p>
    <w:p>
      <w:pPr>
        <w:pStyle w:val="28"/>
        <w:spacing w:line="360" w:lineRule="auto"/>
        <w:rPr>
          <w:rFonts w:eastAsia="宋体" w:cs="Times New Roman"/>
          <w:szCs w:val="24"/>
        </w:rPr>
      </w:pPr>
      <w:r>
        <w:rPr>
          <w:rFonts w:hint="eastAsia" w:eastAsia="宋体" w:cs="Times New Roman"/>
          <w:szCs w:val="24"/>
        </w:rPr>
        <w:t>2.2 供应商资格预审评议</w:t>
      </w:r>
    </w:p>
    <w:p>
      <w:pPr>
        <w:pStyle w:val="16"/>
        <w:spacing w:line="360" w:lineRule="auto"/>
        <w:rPr>
          <w:sz w:val="24"/>
        </w:rPr>
      </w:pPr>
      <w:r>
        <w:rPr>
          <w:rFonts w:hint="eastAsia"/>
          <w:sz w:val="24"/>
        </w:rPr>
        <w:t>2.2.1审查委员会按资格预审文件所附评议标准对申请人提交的资格预审申请文件进行资格审查。</w:t>
      </w:r>
    </w:p>
    <w:p>
      <w:pPr>
        <w:pStyle w:val="28"/>
        <w:spacing w:line="360" w:lineRule="auto"/>
        <w:rPr>
          <w:rFonts w:eastAsia="宋体" w:cs="Times New Roman"/>
          <w:szCs w:val="24"/>
        </w:rPr>
      </w:pPr>
      <w:r>
        <w:rPr>
          <w:rFonts w:hint="eastAsia"/>
        </w:rPr>
        <w:t>2.3</w:t>
      </w:r>
      <w:r>
        <w:rPr>
          <w:rFonts w:hint="eastAsia" w:eastAsia="宋体" w:cs="Times New Roman"/>
          <w:szCs w:val="24"/>
        </w:rPr>
        <w:t>其它审查</w:t>
      </w:r>
    </w:p>
    <w:p>
      <w:pPr>
        <w:pStyle w:val="16"/>
        <w:spacing w:line="360" w:lineRule="auto"/>
        <w:rPr>
          <w:sz w:val="24"/>
        </w:rPr>
      </w:pPr>
      <w:r>
        <w:rPr>
          <w:rFonts w:hint="eastAsia"/>
          <w:sz w:val="24"/>
        </w:rPr>
        <w:t>通过资格预审的申请人除应满足本章第2.1条款、第2.2条款规定的审查标准外，还不得存在下列任何一种情形：</w:t>
      </w:r>
    </w:p>
    <w:p>
      <w:pPr>
        <w:pStyle w:val="16"/>
        <w:spacing w:line="360" w:lineRule="auto"/>
        <w:rPr>
          <w:sz w:val="24"/>
        </w:rPr>
      </w:pPr>
      <w:r>
        <w:rPr>
          <w:rFonts w:hint="eastAsia"/>
          <w:sz w:val="24"/>
        </w:rPr>
        <w:t>（1）不按审查委员会要求澄清或说明的；</w:t>
      </w:r>
    </w:p>
    <w:p>
      <w:pPr>
        <w:pStyle w:val="16"/>
        <w:spacing w:line="360" w:lineRule="auto"/>
        <w:rPr>
          <w:sz w:val="24"/>
        </w:rPr>
      </w:pPr>
      <w:r>
        <w:rPr>
          <w:rFonts w:hint="eastAsia"/>
          <w:sz w:val="24"/>
        </w:rPr>
        <w:t>（2）有第二章“申请人须知”第1.4项规定的任何一种情形的；</w:t>
      </w:r>
    </w:p>
    <w:p>
      <w:pPr>
        <w:pStyle w:val="16"/>
        <w:spacing w:line="360" w:lineRule="auto"/>
        <w:rPr>
          <w:sz w:val="24"/>
        </w:rPr>
      </w:pPr>
      <w:r>
        <w:rPr>
          <w:rFonts w:hint="eastAsia"/>
          <w:sz w:val="24"/>
        </w:rPr>
        <w:t>（3）在资格预审过程中弄虚作假、行贿或有其他违法违规行为的。</w:t>
      </w:r>
    </w:p>
    <w:p>
      <w:pPr>
        <w:pStyle w:val="28"/>
        <w:spacing w:line="360" w:lineRule="auto"/>
        <w:rPr>
          <w:rFonts w:eastAsia="宋体" w:cs="Times New Roman"/>
          <w:szCs w:val="24"/>
        </w:rPr>
      </w:pPr>
      <w:r>
        <w:rPr>
          <w:rFonts w:hint="eastAsia" w:eastAsia="宋体" w:cs="Times New Roman"/>
          <w:szCs w:val="24"/>
        </w:rPr>
        <w:t>2.4 资格预审申请文件的澄清</w:t>
      </w:r>
    </w:p>
    <w:p>
      <w:pPr>
        <w:pStyle w:val="16"/>
        <w:spacing w:line="360" w:lineRule="auto"/>
        <w:rPr>
          <w:sz w:val="24"/>
        </w:rPr>
      </w:pPr>
      <w:r>
        <w:rPr>
          <w:rFonts w:hint="eastAsia"/>
          <w:sz w:val="24"/>
        </w:rPr>
        <w:t>在审查过程中，审查委员会可以书面形式，要求申请人对所提交的资格预审申请文件中不明确的内容进行必要的澄清或说明。申请人的澄清或说明应采用书面形式，并不得改变资格预审申请文件的实质性内容。申请人的澄清和说明内容属于资格预审申请文件的组成部分。招标人和审查委员会不接受申请人主动提出的澄清或说明。</w:t>
      </w:r>
    </w:p>
    <w:p>
      <w:pPr>
        <w:pStyle w:val="16"/>
        <w:spacing w:line="360" w:lineRule="auto"/>
        <w:rPr>
          <w:sz w:val="24"/>
        </w:rPr>
      </w:pPr>
      <w:r>
        <w:rPr>
          <w:rFonts w:hint="eastAsia"/>
          <w:sz w:val="24"/>
        </w:rPr>
        <w:t>2.5资格审查委员会要审查每份资格预审申请文件是否实质上响应了资格预审文件的要求。实质上响应的资格预审申请文件是与资格预审文件要求的重要条款、条件和规格相符，没有重大偏离或保留的申请文件。所谓重大偏离或保留是指实质上影响合同的供货范围、质量和性能；或者实质上与资格预审文件不一致，而且限制了将来合同中招标人的权利或申请人的义务。纠正这些偏离或保留将会对其他实质上响应要求的申请人的竞争地位产生不公正的影响。</w:t>
      </w:r>
    </w:p>
    <w:p>
      <w:pPr>
        <w:pStyle w:val="16"/>
        <w:spacing w:line="360" w:lineRule="auto"/>
        <w:rPr>
          <w:sz w:val="24"/>
        </w:rPr>
      </w:pPr>
      <w:r>
        <w:rPr>
          <w:rFonts w:hint="eastAsia"/>
          <w:sz w:val="24"/>
        </w:rPr>
        <w:t>2.6如果资格预审申请文件实质上没有响应资格预审文件的要求，招标人将予以拒绝，申请人不得通过修正或撤销不合要求的偏离或保留从而使其资格预审申请文件成为实质上响应的申请。</w:t>
      </w:r>
    </w:p>
    <w:p>
      <w:pPr>
        <w:pStyle w:val="16"/>
        <w:spacing w:line="360" w:lineRule="auto"/>
        <w:rPr>
          <w:sz w:val="24"/>
        </w:rPr>
      </w:pPr>
      <w:r>
        <w:rPr>
          <w:rFonts w:hint="eastAsia"/>
          <w:sz w:val="24"/>
        </w:rPr>
        <w:t>2.7 资格预审申请文件不满足任何一项本资格预审文件中加注星号（“★”）的主要商务条款和技术条款（参数），其申请文件将被拒绝。</w:t>
      </w:r>
    </w:p>
    <w:p>
      <w:pPr>
        <w:pStyle w:val="16"/>
        <w:tabs>
          <w:tab w:val="left" w:pos="469"/>
        </w:tabs>
        <w:adjustRightInd w:val="0"/>
        <w:snapToGrid w:val="0"/>
        <w:spacing w:line="360" w:lineRule="auto"/>
        <w:jc w:val="left"/>
        <w:rPr>
          <w:sz w:val="24"/>
          <w:highlight w:val="none"/>
        </w:rPr>
      </w:pPr>
      <w:r>
        <w:rPr>
          <w:rFonts w:hint="eastAsia"/>
          <w:sz w:val="24"/>
        </w:rPr>
        <w:t>2.8</w:t>
      </w:r>
      <w:r>
        <w:rPr>
          <w:rFonts w:hint="eastAsia"/>
          <w:sz w:val="24"/>
          <w:highlight w:val="none"/>
        </w:rPr>
        <w:t>一般技术指标和一般商务指标偏离数量累计超出</w:t>
      </w:r>
      <w:r>
        <w:rPr>
          <w:rFonts w:hint="eastAsia"/>
          <w:sz w:val="24"/>
          <w:highlight w:val="none"/>
          <w:lang w:val="en-US" w:eastAsia="zh-CN"/>
        </w:rPr>
        <w:t>2</w:t>
      </w:r>
      <w:r>
        <w:rPr>
          <w:rFonts w:hint="eastAsia"/>
          <w:sz w:val="24"/>
          <w:highlight w:val="none"/>
        </w:rPr>
        <w:t>项的投标，将被视为不满足招标文件实质性要求，否则其申请文件将被拒绝。</w:t>
      </w:r>
    </w:p>
    <w:p>
      <w:pPr>
        <w:pStyle w:val="28"/>
        <w:spacing w:line="360" w:lineRule="auto"/>
        <w:outlineLvl w:val="1"/>
        <w:rPr>
          <w:rFonts w:eastAsia="宋体" w:cs="Times New Roman"/>
          <w:szCs w:val="24"/>
        </w:rPr>
      </w:pPr>
      <w:r>
        <w:rPr>
          <w:rFonts w:hint="eastAsia" w:eastAsia="宋体" w:cs="Times New Roman"/>
          <w:szCs w:val="24"/>
        </w:rPr>
        <w:t>3. 审查结果</w:t>
      </w:r>
    </w:p>
    <w:p>
      <w:pPr>
        <w:pStyle w:val="16"/>
        <w:spacing w:line="360" w:lineRule="auto"/>
        <w:rPr>
          <w:sz w:val="24"/>
        </w:rPr>
      </w:pPr>
      <w:r>
        <w:rPr>
          <w:rFonts w:hint="eastAsia"/>
          <w:sz w:val="24"/>
        </w:rPr>
        <w:t>招标人将依照资格预审书面审查结果，确定中海油能源发展股份有限公司</w:t>
      </w:r>
      <w:r>
        <w:rPr>
          <w:rFonts w:hint="eastAsia"/>
          <w:sz w:val="24"/>
          <w:lang w:eastAsia="zh-CN"/>
        </w:rPr>
        <w:t>工程技术公司永磁系列潜油电机等物资采购专有协议--标段六</w:t>
      </w:r>
      <w:r>
        <w:rPr>
          <w:rFonts w:hint="eastAsia"/>
          <w:sz w:val="24"/>
        </w:rPr>
        <w:t xml:space="preserve"> 采办包的发标名单。</w:t>
      </w:r>
    </w:p>
    <w:p>
      <w:pPr>
        <w:pStyle w:val="28"/>
        <w:spacing w:line="360" w:lineRule="auto"/>
        <w:outlineLvl w:val="1"/>
        <w:rPr>
          <w:rFonts w:eastAsia="宋体" w:cs="Times New Roman"/>
          <w:szCs w:val="24"/>
        </w:rPr>
      </w:pPr>
      <w:r>
        <w:rPr>
          <w:rFonts w:hint="eastAsia" w:eastAsia="宋体" w:cs="Times New Roman"/>
          <w:szCs w:val="24"/>
        </w:rPr>
        <w:t xml:space="preserve">4. </w:t>
      </w:r>
      <w:r>
        <w:rPr>
          <w:rFonts w:hint="eastAsia" w:eastAsia="宋体" w:cs="Times New Roman"/>
          <w:szCs w:val="24"/>
          <w:lang w:eastAsia="zh-CN"/>
        </w:rPr>
        <w:t>竞争性谈判或单一来源</w:t>
      </w:r>
      <w:r>
        <w:rPr>
          <w:rFonts w:hint="eastAsia" w:eastAsia="宋体" w:cs="Times New Roman"/>
          <w:szCs w:val="24"/>
        </w:rPr>
        <w:t>程序</w:t>
      </w:r>
    </w:p>
    <w:p>
      <w:pPr>
        <w:pStyle w:val="25"/>
        <w:spacing w:line="360" w:lineRule="auto"/>
        <w:rPr>
          <w:rFonts w:ascii="宋体" w:hAnsi="宋体" w:eastAsia="宋体" w:cs="Cambria Math"/>
          <w:sz w:val="24"/>
          <w:szCs w:val="24"/>
        </w:rPr>
      </w:pPr>
      <w:r>
        <w:rPr>
          <w:rFonts w:hint="eastAsia" w:ascii="宋体" w:hAnsi="宋体" w:eastAsia="宋体" w:cs="Cambria Math"/>
          <w:sz w:val="24"/>
          <w:szCs w:val="24"/>
        </w:rPr>
        <w:t>4.1 邀请及应答文件的递交</w:t>
      </w:r>
    </w:p>
    <w:p>
      <w:pPr>
        <w:pStyle w:val="25"/>
        <w:keepNext w:val="0"/>
        <w:keepLines w:val="0"/>
        <w:widowControl/>
        <w:spacing w:line="360" w:lineRule="auto"/>
        <w:rPr>
          <w:rFonts w:ascii="宋体" w:hAnsi="宋体" w:eastAsia="宋体" w:cs="Cambria Math"/>
          <w:sz w:val="24"/>
          <w:szCs w:val="24"/>
        </w:rPr>
      </w:pPr>
      <w:r>
        <w:rPr>
          <w:rFonts w:hint="eastAsia" w:ascii="宋体" w:hAnsi="宋体" w:eastAsia="宋体" w:cs="Cambria Math"/>
          <w:sz w:val="24"/>
          <w:szCs w:val="24"/>
        </w:rPr>
        <w:t>根据具体项目要求，招标人向资格审查最终合格的申请人名单发出</w:t>
      </w:r>
      <w:r>
        <w:rPr>
          <w:rFonts w:hint="eastAsia" w:ascii="宋体" w:hAnsi="宋体" w:eastAsia="宋体" w:cs="Cambria Math"/>
          <w:sz w:val="24"/>
          <w:szCs w:val="24"/>
          <w:lang w:eastAsia="zh-CN"/>
        </w:rPr>
        <w:t>竞争性谈判或单一来源</w:t>
      </w:r>
      <w:r>
        <w:rPr>
          <w:rFonts w:hint="eastAsia" w:ascii="宋体" w:hAnsi="宋体" w:eastAsia="宋体" w:cs="Cambria Math"/>
          <w:sz w:val="24"/>
          <w:szCs w:val="24"/>
        </w:rPr>
        <w:t>文件，资格审查最终合格的申请人在中国海油供应链数字化平台（</w:t>
      </w:r>
      <w:r>
        <w:rPr>
          <w:rFonts w:ascii="宋体" w:hAnsi="宋体" w:eastAsia="宋体" w:cs="Cambria Math"/>
          <w:sz w:val="24"/>
          <w:szCs w:val="24"/>
        </w:rPr>
        <w:t>https://</w:t>
      </w:r>
      <w:r>
        <w:rPr>
          <w:rFonts w:hint="eastAsia" w:ascii="宋体" w:hAnsi="宋体" w:eastAsia="宋体" w:cs="Cambria Math"/>
          <w:sz w:val="24"/>
          <w:szCs w:val="24"/>
          <w:lang w:val="en-US" w:eastAsia="zh-CN"/>
        </w:rPr>
        <w:t>bid</w:t>
      </w:r>
      <w:r>
        <w:rPr>
          <w:rFonts w:ascii="宋体" w:hAnsi="宋体" w:eastAsia="宋体" w:cs="Cambria Math"/>
          <w:sz w:val="24"/>
          <w:szCs w:val="24"/>
        </w:rPr>
        <w:t>.cnooc.com.cn</w:t>
      </w:r>
      <w:r>
        <w:rPr>
          <w:rFonts w:hint="eastAsia" w:ascii="宋体" w:hAnsi="宋体" w:eastAsia="宋体" w:cs="Cambria Math"/>
          <w:sz w:val="24"/>
          <w:szCs w:val="24"/>
        </w:rPr>
        <w:t>）进行在线应答文件的递交。</w:t>
      </w:r>
    </w:p>
    <w:p>
      <w:pPr>
        <w:pStyle w:val="25"/>
        <w:widowControl/>
        <w:spacing w:line="360" w:lineRule="auto"/>
        <w:rPr>
          <w:rFonts w:ascii="宋体" w:hAnsi="宋体" w:eastAsia="宋体" w:cs="Cambria Math"/>
          <w:sz w:val="24"/>
          <w:szCs w:val="24"/>
        </w:rPr>
      </w:pPr>
      <w:r>
        <w:rPr>
          <w:rFonts w:hint="eastAsia" w:ascii="宋体" w:hAnsi="宋体" w:eastAsia="宋体" w:cs="Cambria Math"/>
          <w:sz w:val="24"/>
          <w:szCs w:val="24"/>
        </w:rPr>
        <w:t>4.2应答文件编制要求</w:t>
      </w:r>
    </w:p>
    <w:p>
      <w:pPr>
        <w:pStyle w:val="25"/>
        <w:keepNext w:val="0"/>
        <w:keepLines w:val="0"/>
        <w:spacing w:line="360" w:lineRule="auto"/>
        <w:rPr>
          <w:rFonts w:ascii="宋体" w:hAnsi="宋体" w:eastAsia="宋体" w:cs="Cambria Math"/>
          <w:sz w:val="24"/>
          <w:szCs w:val="24"/>
        </w:rPr>
      </w:pPr>
      <w:r>
        <w:rPr>
          <w:rFonts w:hint="eastAsia" w:ascii="宋体" w:hAnsi="宋体" w:eastAsia="宋体" w:cs="Cambria Math"/>
          <w:sz w:val="24"/>
          <w:szCs w:val="24"/>
        </w:rPr>
        <w:t>申请人需按招标人提供的报价单格式在线递交电子版报价单及相关商务技术文件。</w:t>
      </w:r>
    </w:p>
    <w:p>
      <w:pPr>
        <w:pStyle w:val="25"/>
        <w:spacing w:line="360" w:lineRule="auto"/>
        <w:rPr>
          <w:rFonts w:ascii="宋体" w:hAnsi="宋体" w:eastAsia="宋体" w:cs="Cambria Math"/>
          <w:sz w:val="24"/>
          <w:szCs w:val="24"/>
        </w:rPr>
      </w:pPr>
      <w:r>
        <w:rPr>
          <w:rFonts w:hint="eastAsia" w:ascii="宋体" w:hAnsi="宋体" w:eastAsia="宋体" w:cs="Cambria Math"/>
          <w:sz w:val="24"/>
          <w:szCs w:val="24"/>
        </w:rPr>
        <w:t>4.3 应答期限</w:t>
      </w:r>
    </w:p>
    <w:p>
      <w:pPr>
        <w:pStyle w:val="25"/>
        <w:keepNext w:val="0"/>
        <w:keepLines w:val="0"/>
        <w:spacing w:line="360" w:lineRule="auto"/>
        <w:rPr>
          <w:rFonts w:ascii="宋体" w:hAnsi="宋体" w:eastAsia="宋体" w:cs="Cambria Math"/>
          <w:sz w:val="24"/>
          <w:szCs w:val="24"/>
        </w:rPr>
      </w:pPr>
      <w:r>
        <w:rPr>
          <w:rFonts w:hint="eastAsia" w:ascii="宋体" w:hAnsi="宋体" w:eastAsia="宋体" w:cs="Cambria Math"/>
          <w:sz w:val="24"/>
          <w:szCs w:val="24"/>
          <w:lang w:eastAsia="zh-CN"/>
        </w:rPr>
        <w:t>竞争性谈判或单一来源</w:t>
      </w:r>
      <w:r>
        <w:rPr>
          <w:rFonts w:hint="eastAsia" w:ascii="宋体" w:hAnsi="宋体" w:eastAsia="宋体" w:cs="Cambria Math"/>
          <w:sz w:val="24"/>
          <w:szCs w:val="24"/>
        </w:rPr>
        <w:t>文件发出后，以系统中显示截至日期为准，</w:t>
      </w:r>
      <w:r>
        <w:rPr>
          <w:rFonts w:hint="eastAsia" w:ascii="宋体" w:hAnsi="宋体" w:eastAsia="宋体" w:cs="Cambria Math"/>
          <w:sz w:val="24"/>
          <w:szCs w:val="24"/>
          <w:lang w:eastAsia="zh-CN"/>
        </w:rPr>
        <w:t>竞争性谈判或单一来源</w:t>
      </w:r>
      <w:r>
        <w:rPr>
          <w:rFonts w:hint="eastAsia" w:ascii="宋体" w:hAnsi="宋体" w:eastAsia="宋体" w:cs="Cambria Math"/>
          <w:sz w:val="24"/>
          <w:szCs w:val="24"/>
        </w:rPr>
        <w:t>文件发放及应答期限为</w:t>
      </w:r>
      <w:r>
        <w:rPr>
          <w:rFonts w:hint="eastAsia" w:ascii="宋体" w:hAnsi="宋体" w:eastAsia="宋体" w:cs="Cambria Math"/>
          <w:sz w:val="24"/>
          <w:szCs w:val="24"/>
          <w:lang w:val="en-US" w:eastAsia="zh-CN"/>
        </w:rPr>
        <w:t>10</w:t>
      </w:r>
      <w:r>
        <w:rPr>
          <w:rFonts w:hint="eastAsia" w:ascii="宋体" w:hAnsi="宋体" w:eastAsia="宋体" w:cs="Cambria Math"/>
          <w:sz w:val="24"/>
          <w:szCs w:val="24"/>
        </w:rPr>
        <w:t>天。</w:t>
      </w:r>
    </w:p>
    <w:p>
      <w:pPr>
        <w:pStyle w:val="25"/>
        <w:spacing w:line="360" w:lineRule="auto"/>
        <w:rPr>
          <w:rFonts w:ascii="宋体" w:hAnsi="宋体" w:eastAsia="宋体" w:cs="Cambria Math"/>
          <w:sz w:val="24"/>
          <w:szCs w:val="24"/>
        </w:rPr>
      </w:pPr>
      <w:r>
        <w:rPr>
          <w:rFonts w:hint="eastAsia" w:ascii="宋体" w:hAnsi="宋体" w:eastAsia="宋体" w:cs="Cambria Math"/>
          <w:sz w:val="24"/>
          <w:szCs w:val="24"/>
        </w:rPr>
        <w:t>4.4报价有效期</w:t>
      </w:r>
    </w:p>
    <w:p>
      <w:pPr>
        <w:pStyle w:val="25"/>
        <w:keepNext w:val="0"/>
        <w:keepLines w:val="0"/>
        <w:spacing w:line="360" w:lineRule="auto"/>
        <w:rPr>
          <w:rFonts w:ascii="宋体" w:hAnsi="宋体" w:eastAsia="宋体" w:cs="Cambria Math"/>
          <w:sz w:val="24"/>
          <w:szCs w:val="24"/>
        </w:rPr>
      </w:pPr>
      <w:r>
        <w:rPr>
          <w:rFonts w:hint="eastAsia" w:ascii="宋体" w:hAnsi="宋体" w:eastAsia="宋体" w:cs="Cambria Math"/>
          <w:sz w:val="24"/>
          <w:szCs w:val="24"/>
        </w:rPr>
        <w:t>报价有效期为</w:t>
      </w:r>
      <w:r>
        <w:rPr>
          <w:rFonts w:ascii="宋体" w:hAnsi="宋体" w:eastAsia="宋体" w:cs="Cambria Math"/>
          <w:sz w:val="24"/>
          <w:szCs w:val="24"/>
        </w:rPr>
        <w:t>120</w:t>
      </w:r>
      <w:r>
        <w:rPr>
          <w:rFonts w:hint="eastAsia" w:ascii="宋体" w:hAnsi="宋体" w:eastAsia="宋体" w:cs="Cambria Math"/>
          <w:sz w:val="24"/>
          <w:szCs w:val="24"/>
        </w:rPr>
        <w:t>天。</w:t>
      </w:r>
    </w:p>
    <w:p>
      <w:pPr>
        <w:pStyle w:val="25"/>
        <w:spacing w:line="360" w:lineRule="auto"/>
        <w:rPr>
          <w:rFonts w:ascii="宋体" w:hAnsi="宋体" w:eastAsia="宋体" w:cs="Cambria Math"/>
          <w:sz w:val="24"/>
          <w:szCs w:val="24"/>
        </w:rPr>
      </w:pPr>
      <w:r>
        <w:rPr>
          <w:rFonts w:hint="eastAsia" w:ascii="宋体" w:hAnsi="宋体" w:eastAsia="宋体" w:cs="Cambria Math"/>
          <w:sz w:val="24"/>
          <w:szCs w:val="24"/>
        </w:rPr>
        <w:t>4.</w:t>
      </w:r>
      <w:r>
        <w:rPr>
          <w:rFonts w:ascii="宋体" w:hAnsi="宋体" w:eastAsia="宋体" w:cs="Cambria Math"/>
          <w:sz w:val="24"/>
          <w:szCs w:val="24"/>
        </w:rPr>
        <w:t>5</w:t>
      </w:r>
      <w:r>
        <w:rPr>
          <w:rFonts w:hint="eastAsia" w:ascii="宋体" w:hAnsi="宋体" w:eastAsia="宋体" w:cs="Cambria Math"/>
          <w:sz w:val="24"/>
          <w:szCs w:val="24"/>
        </w:rPr>
        <w:t>价格条件</w:t>
      </w:r>
    </w:p>
    <w:p>
      <w:pPr>
        <w:pStyle w:val="25"/>
        <w:keepNext w:val="0"/>
        <w:keepLines w:val="0"/>
        <w:spacing w:line="360" w:lineRule="auto"/>
        <w:rPr>
          <w:rFonts w:ascii="宋体" w:hAnsi="宋体" w:eastAsia="宋体" w:cs="Cambria Math"/>
          <w:sz w:val="24"/>
          <w:szCs w:val="24"/>
        </w:rPr>
      </w:pPr>
      <w:r>
        <w:rPr>
          <w:rFonts w:hint="eastAsia" w:ascii="宋体" w:hAnsi="宋体" w:eastAsia="宋体" w:cs="Cambria Math"/>
          <w:sz w:val="24"/>
          <w:szCs w:val="24"/>
        </w:rPr>
        <w:t>报价单标明的单价应为招标人指定地点交货固定含税价，应包括但不限于材料采购、制造、检验/试验、包装、运输及保险、现场服务、文件提交及其他附带服务等全部相关服务以及其他直接费、间接费、所有税款、利润及采用固定价格的风险金等完成本合同所需的全部费用。报价货币为人民币。</w:t>
      </w:r>
    </w:p>
    <w:p>
      <w:pPr>
        <w:pStyle w:val="25"/>
        <w:keepNext w:val="0"/>
        <w:spacing w:line="360" w:lineRule="auto"/>
        <w:rPr>
          <w:rFonts w:ascii="宋体" w:hAnsi="宋体" w:eastAsia="宋体" w:cs="Cambria Math"/>
          <w:sz w:val="24"/>
          <w:szCs w:val="24"/>
        </w:rPr>
      </w:pPr>
      <w:r>
        <w:rPr>
          <w:rFonts w:hint="eastAsia" w:ascii="宋体" w:hAnsi="宋体" w:eastAsia="宋体" w:cs="Cambria Math"/>
          <w:sz w:val="24"/>
          <w:szCs w:val="24"/>
        </w:rPr>
        <w:t>4.6报价评审</w:t>
      </w:r>
    </w:p>
    <w:p>
      <w:pPr>
        <w:pStyle w:val="25"/>
        <w:keepNext w:val="0"/>
        <w:keepLines w:val="0"/>
        <w:spacing w:line="360" w:lineRule="auto"/>
        <w:rPr>
          <w:rFonts w:ascii="宋体" w:hAnsi="宋体" w:eastAsia="宋体" w:cs="Cambria Math"/>
          <w:sz w:val="24"/>
          <w:szCs w:val="24"/>
        </w:rPr>
      </w:pPr>
      <w:r>
        <w:rPr>
          <w:rFonts w:hint="eastAsia" w:ascii="宋体" w:hAnsi="宋体" w:eastAsia="宋体" w:cs="Cambria Math"/>
          <w:sz w:val="24"/>
          <w:szCs w:val="24"/>
        </w:rPr>
        <w:t>招标人将组建价格评审小组对应答文件进行评审。</w:t>
      </w:r>
    </w:p>
    <w:p>
      <w:pPr>
        <w:pStyle w:val="25"/>
        <w:keepNext w:val="0"/>
        <w:spacing w:line="360" w:lineRule="auto"/>
        <w:rPr>
          <w:rFonts w:ascii="宋体" w:hAnsi="宋体" w:eastAsia="宋体" w:cs="Cambria Math"/>
          <w:sz w:val="24"/>
          <w:szCs w:val="24"/>
        </w:rPr>
      </w:pPr>
      <w:r>
        <w:rPr>
          <w:rFonts w:hint="eastAsia" w:ascii="宋体" w:hAnsi="宋体" w:eastAsia="宋体" w:cs="Cambria Math"/>
          <w:sz w:val="24"/>
          <w:szCs w:val="24"/>
        </w:rPr>
        <w:t>4.7确定成交人原则</w:t>
      </w:r>
    </w:p>
    <w:p>
      <w:pPr>
        <w:pStyle w:val="16"/>
        <w:rPr>
          <w:rFonts w:hint="eastAsia" w:eastAsia="宋体"/>
          <w:sz w:val="24"/>
          <w:lang w:eastAsia="zh-CN"/>
        </w:rPr>
      </w:pPr>
      <w:r>
        <w:rPr>
          <w:rFonts w:hint="eastAsia"/>
          <w:sz w:val="24"/>
        </w:rPr>
        <w:t>价格评审小组通过比价，得出最低报价。得出最低报价的第一名、第二名和第三名应答人为该项目中标候选人。</w:t>
      </w:r>
    </w:p>
    <w:p>
      <w:pPr>
        <w:pStyle w:val="25"/>
        <w:keepNext w:val="0"/>
        <w:spacing w:line="360" w:lineRule="auto"/>
        <w:rPr>
          <w:rFonts w:ascii="宋体" w:hAnsi="宋体" w:eastAsia="宋体" w:cs="Cambria Math"/>
          <w:sz w:val="24"/>
          <w:szCs w:val="24"/>
        </w:rPr>
      </w:pPr>
      <w:r>
        <w:rPr>
          <w:rFonts w:hint="eastAsia" w:ascii="宋体" w:hAnsi="宋体" w:eastAsia="宋体" w:cs="Cambria Math"/>
          <w:sz w:val="24"/>
          <w:szCs w:val="24"/>
        </w:rPr>
        <w:t>4.8签订合同</w:t>
      </w:r>
    </w:p>
    <w:p>
      <w:pPr>
        <w:pStyle w:val="16"/>
        <w:spacing w:line="360" w:lineRule="auto"/>
        <w:rPr>
          <w:sz w:val="24"/>
        </w:rPr>
        <w:sectPr>
          <w:type w:val="continuous"/>
          <w:pgSz w:w="11906" w:h="16838"/>
          <w:pgMar w:top="1440" w:right="1800" w:bottom="1440" w:left="1800" w:header="851" w:footer="992" w:gutter="0"/>
          <w:cols w:space="720" w:num="1"/>
          <w:titlePg/>
          <w:docGrid w:linePitch="312" w:charSpace="0"/>
        </w:sectPr>
      </w:pPr>
      <w:r>
        <w:rPr>
          <w:rFonts w:hint="eastAsia"/>
          <w:sz w:val="24"/>
        </w:rPr>
        <w:t>招标人与该项目推荐成交人签订购货合同。</w:t>
      </w:r>
    </w:p>
    <w:p>
      <w:pPr>
        <w:pStyle w:val="16"/>
      </w:pPr>
    </w:p>
    <w:p>
      <w:pPr>
        <w:pStyle w:val="16"/>
        <w:numPr>
          <w:ilvl w:val="0"/>
          <w:numId w:val="2"/>
        </w:numPr>
        <w:spacing w:line="360" w:lineRule="auto"/>
        <w:jc w:val="center"/>
        <w:outlineLvl w:val="0"/>
        <w:rPr>
          <w:rFonts w:hint="eastAsia" w:ascii="Arial Unicode MS" w:eastAsia="Arial Unicode MS" w:cs="Arial Unicode MS"/>
          <w:spacing w:val="2"/>
          <w:w w:val="99"/>
          <w:sz w:val="36"/>
          <w:szCs w:val="36"/>
        </w:rPr>
      </w:pPr>
      <w:bookmarkStart w:id="23" w:name="_Toc1821"/>
      <w:bookmarkStart w:id="24" w:name="_Toc7769"/>
      <w:r>
        <w:rPr>
          <w:rFonts w:hint="eastAsia" w:ascii="黑体" w:hAnsi="黑体" w:eastAsia="黑体"/>
          <w:b/>
          <w:bCs/>
          <w:sz w:val="44"/>
          <w:szCs w:val="44"/>
        </w:rPr>
        <w:t xml:space="preserve">  技术规范</w:t>
      </w:r>
      <w:bookmarkEnd w:id="23"/>
      <w:bookmarkEnd w:id="24"/>
      <w:r>
        <w:rPr>
          <w:rFonts w:hint="eastAsia" w:ascii="黑体" w:hAnsi="黑体" w:eastAsia="黑体"/>
          <w:b/>
          <w:bCs/>
          <w:sz w:val="44"/>
          <w:szCs w:val="44"/>
        </w:rPr>
        <w:t xml:space="preserve"> </w:t>
      </w:r>
      <w:r>
        <w:rPr>
          <w:rFonts w:hint="eastAsia" w:ascii="Arial Unicode MS" w:eastAsia="Arial Unicode MS" w:cs="Arial Unicode MS"/>
          <w:spacing w:val="2"/>
          <w:w w:val="99"/>
          <w:sz w:val="36"/>
          <w:szCs w:val="36"/>
        </w:rPr>
        <w:t xml:space="preserve">  </w:t>
      </w:r>
    </w:p>
    <w:p>
      <w:pPr>
        <w:keepNext/>
        <w:keepLines/>
        <w:widowControl w:val="0"/>
        <w:spacing w:before="240" w:after="240" w:line="578" w:lineRule="auto"/>
        <w:jc w:val="both"/>
        <w:outlineLvl w:val="0"/>
        <w:rPr>
          <w:rFonts w:ascii="黑体" w:hAnsi="黑体" w:eastAsia="黑体" w:cs="Times New Roman"/>
          <w:b w:val="0"/>
          <w:bCs w:val="0"/>
          <w:color w:val="auto"/>
          <w:kern w:val="44"/>
          <w:sz w:val="36"/>
          <w:szCs w:val="36"/>
          <w:highlight w:val="none"/>
          <w:lang w:val="en-US" w:eastAsia="zh-CN" w:bidi="ar-SA"/>
        </w:rPr>
      </w:pPr>
      <w:bookmarkStart w:id="25" w:name="_Toc9146"/>
      <w:bookmarkStart w:id="26" w:name="_Toc7894"/>
      <w:bookmarkStart w:id="27" w:name="_Toc22989"/>
      <w:bookmarkStart w:id="28" w:name="_Toc17782"/>
      <w:r>
        <w:rPr>
          <w:rFonts w:hint="eastAsia" w:ascii="黑体" w:hAnsi="黑体" w:eastAsia="黑体" w:cs="Times New Roman"/>
          <w:b w:val="0"/>
          <w:bCs w:val="0"/>
          <w:color w:val="auto"/>
          <w:kern w:val="44"/>
          <w:sz w:val="36"/>
          <w:szCs w:val="36"/>
          <w:highlight w:val="none"/>
          <w:lang w:val="en-US" w:eastAsia="zh-CN" w:bidi="ar-SA"/>
        </w:rPr>
        <w:t>一、</w:t>
      </w:r>
      <w:r>
        <w:rPr>
          <w:rFonts w:ascii="黑体" w:hAnsi="黑体" w:eastAsia="黑体" w:cs="Times New Roman"/>
          <w:b w:val="0"/>
          <w:bCs w:val="0"/>
          <w:color w:val="auto"/>
          <w:kern w:val="44"/>
          <w:sz w:val="36"/>
          <w:szCs w:val="36"/>
          <w:highlight w:val="none"/>
          <w:lang w:val="en-US" w:eastAsia="zh-CN" w:bidi="ar-SA"/>
        </w:rPr>
        <w:t>项目概况及总体要求</w:t>
      </w:r>
      <w:bookmarkEnd w:id="25"/>
      <w:bookmarkEnd w:id="26"/>
      <w:bookmarkEnd w:id="27"/>
      <w:bookmarkEnd w:id="28"/>
    </w:p>
    <w:p>
      <w:pPr>
        <w:keepNext w:val="0"/>
        <w:keepLines w:val="0"/>
        <w:pageBreakBefore w:val="0"/>
        <w:widowControl w:val="0"/>
        <w:kinsoku/>
        <w:wordWrap/>
        <w:overflowPunct/>
        <w:topLinePunct w:val="0"/>
        <w:autoSpaceDE/>
        <w:autoSpaceDN/>
        <w:bidi w:val="0"/>
        <w:adjustRightInd/>
        <w:snapToGrid/>
        <w:spacing w:before="2" w:line="360" w:lineRule="auto"/>
        <w:jc w:val="both"/>
        <w:textAlignment w:val="auto"/>
        <w:rPr>
          <w:rFonts w:ascii="微软雅黑" w:hAnsi="微软雅黑" w:eastAsia="微软雅黑" w:cstheme="minorBidi"/>
          <w:color w:val="auto"/>
          <w:kern w:val="0"/>
          <w:sz w:val="10"/>
          <w:szCs w:val="10"/>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GB" w:eastAsia="zh-CN" w:bidi="ar"/>
        </w:rPr>
      </w:pPr>
      <w:bookmarkStart w:id="29" w:name="_Toc13249325"/>
      <w:bookmarkStart w:id="30" w:name="_Toc13248928"/>
      <w:bookmarkStart w:id="31" w:name="_Toc27886"/>
      <w:bookmarkStart w:id="32" w:name="_Toc5344"/>
      <w:bookmarkStart w:id="33" w:name="_Toc29814"/>
      <w:bookmarkStart w:id="34" w:name="_Toc8145"/>
      <w:r>
        <w:rPr>
          <w:rFonts w:hint="eastAsia" w:ascii="宋体" w:hAnsi="宋体" w:eastAsia="宋体" w:cs="宋体"/>
          <w:color w:val="auto"/>
          <w:sz w:val="21"/>
          <w:szCs w:val="21"/>
          <w:highlight w:val="none"/>
          <w:lang w:val="en-GB" w:eastAsia="zh-CN" w:bidi="ar"/>
        </w:rPr>
        <w:t>为了实现海上油田进一步降低能耗，提升潜油电泵机组寿命，机采公司积极探索新技术的应用，引进了永磁潜油电机技术。与普通的潜油电机相比具有节能、效率高、电机温升低、启动扭矩大等优点，和延长潜油电泵在大斜度井、水平井、稠油井等复杂井况中的寿命。该技术目前在陆地油田，国外使用效果较好，且在渤海地区海上油田进行了试用。为了满足后续海上油田对供货时效与协助提升我们公司建立永磁电机自主生产能力，特申请签订永磁电机年度协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GB" w:eastAsia="zh-CN" w:bidi="ar"/>
        </w:rPr>
      </w:pPr>
      <w:r>
        <w:rPr>
          <w:rFonts w:hint="eastAsia" w:ascii="宋体" w:hAnsi="宋体" w:eastAsia="宋体" w:cs="宋体"/>
          <w:color w:val="auto"/>
          <w:sz w:val="21"/>
          <w:szCs w:val="21"/>
          <w:highlight w:val="none"/>
          <w:lang w:val="en-GB" w:eastAsia="zh-CN" w:bidi="ar"/>
        </w:rPr>
        <w:t>为了</w:t>
      </w:r>
      <w:r>
        <w:rPr>
          <w:rFonts w:hint="eastAsia" w:ascii="宋体" w:hAnsi="宋体" w:eastAsia="宋体" w:cs="宋体"/>
          <w:color w:val="auto"/>
          <w:sz w:val="21"/>
          <w:szCs w:val="21"/>
          <w:highlight w:val="none"/>
          <w:lang w:val="en-US" w:eastAsia="zh-CN" w:bidi="ar"/>
        </w:rPr>
        <w:t>永磁电机长效运转，通过匹配OTS400系列变频器提高永磁电机适配性和运转稳定性</w:t>
      </w:r>
      <w:r>
        <w:rPr>
          <w:rFonts w:hint="eastAsia" w:ascii="宋体" w:hAnsi="宋体" w:eastAsia="宋体" w:cs="宋体"/>
          <w:color w:val="auto"/>
          <w:sz w:val="21"/>
          <w:szCs w:val="21"/>
          <w:highlight w:val="none"/>
          <w:lang w:val="en-GB" w:eastAsia="zh-CN" w:bidi="ar"/>
        </w:rPr>
        <w:t>，同时也为了实现稳定的供应链提高产品质量，所以本次</w:t>
      </w:r>
      <w:r>
        <w:rPr>
          <w:rFonts w:hint="eastAsia" w:ascii="宋体" w:hAnsi="宋体" w:eastAsia="宋体" w:cs="宋体"/>
          <w:color w:val="auto"/>
          <w:sz w:val="21"/>
          <w:szCs w:val="21"/>
          <w:highlight w:val="none"/>
          <w:u w:val="single"/>
          <w:lang w:val="en-GB" w:eastAsia="zh-CN" w:bidi="ar"/>
        </w:rPr>
        <w:t>合同有效期计划为1+1+1年</w:t>
      </w:r>
      <w:r>
        <w:rPr>
          <w:rFonts w:hint="eastAsia" w:ascii="宋体" w:hAnsi="宋体" w:eastAsia="宋体" w:cs="宋体"/>
          <w:color w:val="auto"/>
          <w:sz w:val="21"/>
          <w:szCs w:val="21"/>
          <w:highlight w:val="none"/>
          <w:lang w:val="en-GB" w:eastAsia="zh-CN" w:bidi="ar"/>
        </w:rPr>
        <w:t>。并且</w:t>
      </w:r>
      <w:r>
        <w:rPr>
          <w:rFonts w:hint="eastAsia" w:ascii="宋体" w:hAnsi="宋体" w:eastAsia="宋体" w:cs="宋体"/>
          <w:color w:val="auto"/>
          <w:sz w:val="21"/>
          <w:szCs w:val="21"/>
          <w:highlight w:val="none"/>
          <w:lang w:val="en-US" w:eastAsia="zh-CN" w:bidi="ar"/>
        </w:rPr>
        <w:t>为了扩大市场资源提高市场竞争力,针对中、高速永磁适配3种变频器</w:t>
      </w:r>
      <w:r>
        <w:rPr>
          <w:rFonts w:hint="eastAsia" w:ascii="宋体" w:hAnsi="宋体" w:eastAsia="宋体" w:cs="宋体"/>
          <w:color w:val="auto"/>
          <w:sz w:val="21"/>
          <w:szCs w:val="21"/>
          <w:highlight w:val="none"/>
          <w:lang w:val="en-GB" w:eastAsia="zh-CN" w:bidi="ar"/>
        </w:rPr>
        <w:t>的模式</w:t>
      </w:r>
      <w:r>
        <w:rPr>
          <w:rFonts w:hint="eastAsia" w:ascii="宋体" w:hAnsi="宋体" w:eastAsia="宋体" w:cs="宋体"/>
          <w:color w:val="auto"/>
          <w:sz w:val="21"/>
          <w:szCs w:val="21"/>
          <w:highlight w:val="none"/>
          <w:u w:val="single"/>
          <w:lang w:val="en-US" w:eastAsia="zh-CN" w:bidi="ar"/>
        </w:rPr>
        <w:t>分为6个标段</w:t>
      </w:r>
      <w:r>
        <w:rPr>
          <w:rFonts w:hint="eastAsia" w:ascii="宋体" w:hAnsi="宋体" w:eastAsia="宋体" w:cs="宋体"/>
          <w:color w:val="auto"/>
          <w:sz w:val="21"/>
          <w:szCs w:val="21"/>
          <w:highlight w:val="none"/>
          <w:lang w:val="en-US" w:eastAsia="zh-CN" w:bidi="ar"/>
        </w:rPr>
        <w:t>，</w:t>
      </w:r>
      <w:r>
        <w:rPr>
          <w:rFonts w:hint="eastAsia" w:ascii="宋体" w:hAnsi="宋体" w:eastAsia="宋体" w:cs="宋体"/>
          <w:color w:val="auto"/>
          <w:sz w:val="21"/>
          <w:szCs w:val="21"/>
          <w:highlight w:val="none"/>
          <w:u w:val="single"/>
          <w:lang w:val="en-US" w:eastAsia="zh-CN" w:bidi="ar"/>
        </w:rPr>
        <w:t>兼投兼中</w:t>
      </w:r>
      <w:r>
        <w:rPr>
          <w:rFonts w:hint="eastAsia" w:ascii="宋体" w:hAnsi="宋体" w:eastAsia="宋体" w:cs="宋体"/>
          <w:color w:val="auto"/>
          <w:sz w:val="21"/>
          <w:szCs w:val="21"/>
          <w:highlight w:val="none"/>
          <w:lang w:val="en-US" w:eastAsia="zh-CN" w:bidi="ar"/>
        </w:rPr>
        <w:t>的方式进行采购</w:t>
      </w:r>
      <w:r>
        <w:rPr>
          <w:rFonts w:hint="eastAsia" w:ascii="宋体" w:hAnsi="宋体" w:eastAsia="宋体" w:cs="宋体"/>
          <w:color w:val="auto"/>
          <w:sz w:val="21"/>
          <w:szCs w:val="21"/>
          <w:highlight w:val="none"/>
          <w:lang w:val="en-GB" w:eastAsia="zh-CN" w:bidi="ar"/>
        </w:rPr>
        <w:t>。</w:t>
      </w:r>
    </w:p>
    <w:bookmarkEnd w:id="29"/>
    <w:bookmarkEnd w:id="30"/>
    <w:p>
      <w:pPr>
        <w:keepNext/>
        <w:keepLines/>
        <w:widowControl w:val="0"/>
        <w:numPr>
          <w:ilvl w:val="0"/>
          <w:numId w:val="3"/>
        </w:numPr>
        <w:spacing w:before="240" w:after="240" w:line="578" w:lineRule="auto"/>
        <w:jc w:val="both"/>
        <w:outlineLvl w:val="0"/>
        <w:rPr>
          <w:rFonts w:hint="default" w:ascii="Times New Roman" w:hAnsi="Times New Roman" w:eastAsia="宋体" w:cs="Times New Roman"/>
          <w:b/>
          <w:bCs/>
          <w:kern w:val="44"/>
          <w:sz w:val="44"/>
          <w:szCs w:val="44"/>
          <w:highlight w:val="none"/>
          <w:lang w:val="en-US" w:eastAsia="zh-CN" w:bidi="ar-SA"/>
        </w:rPr>
      </w:pPr>
      <w:r>
        <w:rPr>
          <w:rFonts w:ascii="黑体" w:hAnsi="黑体" w:eastAsia="黑体" w:cs="Times New Roman"/>
          <w:b w:val="0"/>
          <w:bCs w:val="0"/>
          <w:color w:val="auto"/>
          <w:kern w:val="44"/>
          <w:sz w:val="36"/>
          <w:szCs w:val="36"/>
          <w:highlight w:val="none"/>
          <w:lang w:val="en-US" w:eastAsia="zh-CN" w:bidi="ar-SA"/>
        </w:rPr>
        <w:t>需求一览表</w:t>
      </w:r>
      <w:bookmarkEnd w:id="31"/>
      <w:bookmarkEnd w:id="32"/>
      <w:bookmarkEnd w:id="33"/>
      <w:bookmarkEnd w:id="34"/>
      <w:bookmarkStart w:id="35" w:name="_Toc13249326"/>
      <w:bookmarkStart w:id="36" w:name="_Toc13248929"/>
    </w:p>
    <w:tbl>
      <w:tblPr>
        <w:tblStyle w:val="12"/>
        <w:tblW w:w="99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1011"/>
        <w:gridCol w:w="1214"/>
        <w:gridCol w:w="3818"/>
        <w:gridCol w:w="861"/>
        <w:gridCol w:w="640"/>
        <w:gridCol w:w="799"/>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2" w:type="dxa"/>
            <w:vAlign w:val="center"/>
          </w:tcPr>
          <w:p>
            <w:pPr>
              <w:widowControl w:val="0"/>
              <w:adjustRightInd w:val="0"/>
              <w:snapToGrid w:val="0"/>
              <w:spacing w:line="240" w:lineRule="auto"/>
              <w:jc w:val="center"/>
              <w:outlineLvl w:val="1"/>
              <w:rPr>
                <w:rFonts w:hint="default" w:ascii="Times New Roman" w:hAnsi="Times New Roman" w:eastAsia="微软雅黑" w:cs="Times New Roman"/>
                <w:color w:val="auto"/>
                <w:spacing w:val="0"/>
                <w:sz w:val="18"/>
                <w:szCs w:val="18"/>
                <w:highlight w:val="none"/>
                <w:lang w:val="en-US" w:eastAsia="zh-CN" w:bidi="ar-SA"/>
              </w:rPr>
            </w:pPr>
            <w:bookmarkStart w:id="37" w:name="_Toc697"/>
            <w:bookmarkStart w:id="38" w:name="_Toc23877"/>
            <w:bookmarkStart w:id="39" w:name="_Toc16389"/>
            <w:bookmarkStart w:id="40" w:name="_Toc28284"/>
            <w:r>
              <w:rPr>
                <w:rFonts w:hint="default" w:ascii="Times New Roman" w:hAnsi="Times New Roman" w:eastAsia="微软雅黑" w:cs="Times New Roman"/>
                <w:color w:val="auto"/>
                <w:spacing w:val="0"/>
                <w:sz w:val="18"/>
                <w:szCs w:val="18"/>
                <w:highlight w:val="none"/>
                <w:lang w:val="en-US" w:eastAsia="zh-CN" w:bidi="ar-SA"/>
              </w:rPr>
              <w:t>序号</w:t>
            </w:r>
            <w:bookmarkEnd w:id="37"/>
            <w:bookmarkEnd w:id="38"/>
            <w:bookmarkEnd w:id="39"/>
            <w:bookmarkEnd w:id="40"/>
          </w:p>
        </w:tc>
        <w:tc>
          <w:tcPr>
            <w:tcW w:w="1011" w:type="dxa"/>
            <w:vAlign w:val="center"/>
          </w:tcPr>
          <w:p>
            <w:pPr>
              <w:widowControl w:val="0"/>
              <w:adjustRightInd w:val="0"/>
              <w:snapToGrid w:val="0"/>
              <w:spacing w:line="240" w:lineRule="auto"/>
              <w:jc w:val="center"/>
              <w:outlineLvl w:val="1"/>
              <w:rPr>
                <w:rFonts w:hint="default" w:ascii="Times New Roman" w:hAnsi="Times New Roman" w:eastAsia="微软雅黑" w:cs="Times New Roman"/>
                <w:color w:val="auto"/>
                <w:spacing w:val="0"/>
                <w:sz w:val="18"/>
                <w:szCs w:val="18"/>
                <w:highlight w:val="none"/>
                <w:lang w:val="en-US" w:eastAsia="zh-CN" w:bidi="ar-SA"/>
              </w:rPr>
            </w:pPr>
            <w:bookmarkStart w:id="41" w:name="_Toc577"/>
            <w:bookmarkStart w:id="42" w:name="_Toc7655"/>
            <w:bookmarkStart w:id="43" w:name="_Toc12845"/>
            <w:bookmarkStart w:id="44" w:name="_Toc7965"/>
            <w:r>
              <w:rPr>
                <w:rFonts w:hint="default" w:ascii="Times New Roman" w:hAnsi="Times New Roman" w:eastAsia="微软雅黑" w:cs="Times New Roman"/>
                <w:color w:val="auto"/>
                <w:spacing w:val="0"/>
                <w:sz w:val="18"/>
                <w:szCs w:val="18"/>
                <w:highlight w:val="none"/>
                <w:lang w:val="en-US" w:eastAsia="zh-CN" w:bidi="ar-SA"/>
              </w:rPr>
              <w:t>物料编码</w:t>
            </w:r>
            <w:bookmarkEnd w:id="41"/>
            <w:bookmarkEnd w:id="42"/>
            <w:bookmarkEnd w:id="43"/>
            <w:bookmarkEnd w:id="44"/>
          </w:p>
        </w:tc>
        <w:tc>
          <w:tcPr>
            <w:tcW w:w="1214" w:type="dxa"/>
            <w:vAlign w:val="center"/>
          </w:tcPr>
          <w:p>
            <w:pPr>
              <w:widowControl w:val="0"/>
              <w:adjustRightInd w:val="0"/>
              <w:snapToGrid w:val="0"/>
              <w:spacing w:line="240" w:lineRule="auto"/>
              <w:jc w:val="center"/>
              <w:outlineLvl w:val="1"/>
              <w:rPr>
                <w:rFonts w:hint="default" w:ascii="Times New Roman" w:hAnsi="Times New Roman" w:eastAsia="微软雅黑" w:cs="Times New Roman"/>
                <w:color w:val="auto"/>
                <w:spacing w:val="0"/>
                <w:sz w:val="18"/>
                <w:szCs w:val="18"/>
                <w:highlight w:val="none"/>
                <w:lang w:val="en-US" w:eastAsia="zh-CN" w:bidi="ar-SA"/>
              </w:rPr>
            </w:pPr>
            <w:bookmarkStart w:id="45" w:name="_Toc14976"/>
            <w:bookmarkStart w:id="46" w:name="_Toc11735"/>
            <w:bookmarkStart w:id="47" w:name="_Toc29187"/>
            <w:bookmarkStart w:id="48" w:name="_Toc15931"/>
            <w:r>
              <w:rPr>
                <w:rFonts w:hint="default" w:ascii="Times New Roman" w:hAnsi="Times New Roman" w:eastAsia="微软雅黑" w:cs="Times New Roman"/>
                <w:color w:val="auto"/>
                <w:spacing w:val="0"/>
                <w:sz w:val="18"/>
                <w:szCs w:val="18"/>
                <w:highlight w:val="none"/>
                <w:lang w:val="en-US" w:eastAsia="zh-CN" w:bidi="ar-SA"/>
              </w:rPr>
              <w:t>物资名称</w:t>
            </w:r>
            <w:bookmarkEnd w:id="45"/>
            <w:bookmarkEnd w:id="46"/>
            <w:bookmarkEnd w:id="47"/>
            <w:bookmarkEnd w:id="48"/>
          </w:p>
        </w:tc>
        <w:tc>
          <w:tcPr>
            <w:tcW w:w="3818" w:type="dxa"/>
            <w:vAlign w:val="center"/>
          </w:tcPr>
          <w:p>
            <w:pPr>
              <w:widowControl w:val="0"/>
              <w:adjustRightInd w:val="0"/>
              <w:snapToGrid w:val="0"/>
              <w:spacing w:line="240" w:lineRule="auto"/>
              <w:jc w:val="center"/>
              <w:outlineLvl w:val="1"/>
              <w:rPr>
                <w:rFonts w:hint="default" w:ascii="Times New Roman" w:hAnsi="Times New Roman" w:eastAsia="微软雅黑" w:cs="Times New Roman"/>
                <w:color w:val="auto"/>
                <w:spacing w:val="0"/>
                <w:sz w:val="18"/>
                <w:szCs w:val="18"/>
                <w:highlight w:val="none"/>
                <w:lang w:val="en-US" w:eastAsia="zh-CN" w:bidi="ar-SA"/>
              </w:rPr>
            </w:pPr>
            <w:bookmarkStart w:id="49" w:name="_Toc9684"/>
            <w:bookmarkStart w:id="50" w:name="_Toc8701"/>
            <w:bookmarkStart w:id="51" w:name="_Toc6345"/>
            <w:bookmarkStart w:id="52" w:name="_Toc6695"/>
            <w:r>
              <w:rPr>
                <w:rFonts w:hint="default" w:ascii="Times New Roman" w:hAnsi="Times New Roman" w:eastAsia="微软雅黑" w:cs="Times New Roman"/>
                <w:color w:val="auto"/>
                <w:spacing w:val="0"/>
                <w:sz w:val="18"/>
                <w:szCs w:val="18"/>
                <w:highlight w:val="none"/>
                <w:lang w:val="en-US" w:eastAsia="zh-CN" w:bidi="ar-SA"/>
              </w:rPr>
              <w:t>规格型号</w:t>
            </w:r>
            <w:bookmarkEnd w:id="49"/>
            <w:bookmarkEnd w:id="50"/>
            <w:bookmarkEnd w:id="51"/>
            <w:bookmarkEnd w:id="52"/>
          </w:p>
        </w:tc>
        <w:tc>
          <w:tcPr>
            <w:tcW w:w="861" w:type="dxa"/>
            <w:vAlign w:val="center"/>
          </w:tcPr>
          <w:p>
            <w:pPr>
              <w:widowControl w:val="0"/>
              <w:adjustRightInd w:val="0"/>
              <w:snapToGrid w:val="0"/>
              <w:spacing w:line="240" w:lineRule="auto"/>
              <w:jc w:val="center"/>
              <w:outlineLvl w:val="1"/>
              <w:rPr>
                <w:rFonts w:hint="default" w:ascii="Times New Roman" w:hAnsi="Times New Roman" w:eastAsia="微软雅黑" w:cs="Times New Roman"/>
                <w:color w:val="auto"/>
                <w:spacing w:val="0"/>
                <w:sz w:val="18"/>
                <w:szCs w:val="18"/>
                <w:highlight w:val="none"/>
                <w:lang w:val="en-US" w:eastAsia="zh-CN" w:bidi="ar-SA"/>
              </w:rPr>
            </w:pPr>
            <w:bookmarkStart w:id="53" w:name="_Toc32587"/>
            <w:bookmarkStart w:id="54" w:name="_Toc6500"/>
            <w:bookmarkStart w:id="55" w:name="_Toc10252"/>
            <w:bookmarkStart w:id="56" w:name="_Toc15752"/>
            <w:r>
              <w:rPr>
                <w:rFonts w:hint="default" w:ascii="Times New Roman" w:hAnsi="Times New Roman" w:eastAsia="微软雅黑" w:cs="Times New Roman"/>
                <w:color w:val="auto"/>
                <w:spacing w:val="0"/>
                <w:sz w:val="18"/>
                <w:szCs w:val="18"/>
                <w:highlight w:val="none"/>
                <w:lang w:val="en-US" w:eastAsia="zh-CN" w:bidi="ar-SA"/>
              </w:rPr>
              <w:t>数量</w:t>
            </w:r>
            <w:bookmarkEnd w:id="53"/>
            <w:bookmarkEnd w:id="54"/>
            <w:bookmarkEnd w:id="55"/>
            <w:bookmarkEnd w:id="56"/>
          </w:p>
        </w:tc>
        <w:tc>
          <w:tcPr>
            <w:tcW w:w="640" w:type="dxa"/>
            <w:vAlign w:val="center"/>
          </w:tcPr>
          <w:p>
            <w:pPr>
              <w:widowControl w:val="0"/>
              <w:adjustRightInd w:val="0"/>
              <w:snapToGrid w:val="0"/>
              <w:spacing w:line="240" w:lineRule="auto"/>
              <w:jc w:val="center"/>
              <w:outlineLvl w:val="1"/>
              <w:rPr>
                <w:rFonts w:hint="default" w:ascii="Times New Roman" w:hAnsi="Times New Roman" w:eastAsia="微软雅黑" w:cs="Times New Roman"/>
                <w:color w:val="auto"/>
                <w:spacing w:val="0"/>
                <w:sz w:val="18"/>
                <w:szCs w:val="18"/>
                <w:highlight w:val="none"/>
                <w:lang w:val="en-US" w:eastAsia="zh-CN" w:bidi="ar-SA"/>
              </w:rPr>
            </w:pPr>
            <w:bookmarkStart w:id="57" w:name="_Toc22792"/>
            <w:bookmarkStart w:id="58" w:name="_Toc23515"/>
            <w:bookmarkStart w:id="59" w:name="_Toc22926"/>
            <w:bookmarkStart w:id="60" w:name="_Toc20539"/>
            <w:r>
              <w:rPr>
                <w:rFonts w:hint="default" w:ascii="Times New Roman" w:hAnsi="Times New Roman" w:eastAsia="微软雅黑" w:cs="Times New Roman"/>
                <w:color w:val="auto"/>
                <w:spacing w:val="0"/>
                <w:sz w:val="18"/>
                <w:szCs w:val="18"/>
                <w:highlight w:val="none"/>
                <w:lang w:val="en-US" w:eastAsia="zh-CN" w:bidi="ar-SA"/>
              </w:rPr>
              <w:t>交货期</w:t>
            </w:r>
            <w:bookmarkEnd w:id="57"/>
            <w:bookmarkEnd w:id="58"/>
            <w:bookmarkEnd w:id="59"/>
            <w:bookmarkEnd w:id="60"/>
          </w:p>
        </w:tc>
        <w:tc>
          <w:tcPr>
            <w:tcW w:w="799" w:type="dxa"/>
            <w:vAlign w:val="center"/>
          </w:tcPr>
          <w:p>
            <w:pPr>
              <w:widowControl w:val="0"/>
              <w:adjustRightInd w:val="0"/>
              <w:snapToGrid w:val="0"/>
              <w:spacing w:line="240" w:lineRule="auto"/>
              <w:jc w:val="center"/>
              <w:outlineLvl w:val="1"/>
              <w:rPr>
                <w:rFonts w:hint="default" w:ascii="Times New Roman" w:hAnsi="Times New Roman" w:eastAsia="微软雅黑" w:cs="Times New Roman"/>
                <w:color w:val="auto"/>
                <w:spacing w:val="0"/>
                <w:sz w:val="18"/>
                <w:szCs w:val="18"/>
                <w:highlight w:val="none"/>
                <w:lang w:val="en-US" w:eastAsia="zh-CN" w:bidi="ar-SA"/>
              </w:rPr>
            </w:pPr>
            <w:bookmarkStart w:id="61" w:name="_Toc22020"/>
            <w:bookmarkStart w:id="62" w:name="_Toc10876"/>
            <w:bookmarkStart w:id="63" w:name="_Toc10340"/>
            <w:bookmarkStart w:id="64" w:name="_Toc6342"/>
            <w:r>
              <w:rPr>
                <w:rFonts w:hint="default" w:ascii="Times New Roman" w:hAnsi="Times New Roman" w:eastAsia="微软雅黑" w:cs="Times New Roman"/>
                <w:color w:val="auto"/>
                <w:spacing w:val="0"/>
                <w:sz w:val="18"/>
                <w:szCs w:val="18"/>
                <w:highlight w:val="none"/>
                <w:lang w:val="en-US" w:eastAsia="zh-CN" w:bidi="ar-SA"/>
              </w:rPr>
              <w:t>交货地点</w:t>
            </w:r>
            <w:bookmarkEnd w:id="61"/>
            <w:bookmarkEnd w:id="62"/>
            <w:bookmarkEnd w:id="63"/>
            <w:bookmarkEnd w:id="64"/>
          </w:p>
        </w:tc>
        <w:tc>
          <w:tcPr>
            <w:tcW w:w="1184" w:type="dxa"/>
            <w:vAlign w:val="center"/>
          </w:tcPr>
          <w:p>
            <w:pPr>
              <w:widowControl w:val="0"/>
              <w:adjustRightInd w:val="0"/>
              <w:snapToGrid w:val="0"/>
              <w:spacing w:line="240" w:lineRule="auto"/>
              <w:jc w:val="center"/>
              <w:outlineLvl w:val="1"/>
              <w:rPr>
                <w:rFonts w:hint="default" w:ascii="Times New Roman" w:hAnsi="Times New Roman" w:eastAsia="微软雅黑" w:cs="Times New Roman"/>
                <w:color w:val="auto"/>
                <w:spacing w:val="0"/>
                <w:sz w:val="18"/>
                <w:szCs w:val="18"/>
                <w:highlight w:val="none"/>
                <w:lang w:val="en-US" w:eastAsia="zh-CN" w:bidi="ar-SA"/>
              </w:rPr>
            </w:pPr>
            <w:bookmarkStart w:id="65" w:name="_Toc16728"/>
            <w:bookmarkStart w:id="66" w:name="_Toc6099"/>
            <w:bookmarkStart w:id="67" w:name="_Toc7467"/>
            <w:bookmarkStart w:id="68" w:name="_Toc18101"/>
            <w:r>
              <w:rPr>
                <w:rFonts w:hint="default" w:ascii="Times New Roman" w:hAnsi="Times New Roman" w:eastAsia="微软雅黑" w:cs="Times New Roman"/>
                <w:color w:val="auto"/>
                <w:spacing w:val="0"/>
                <w:sz w:val="18"/>
                <w:szCs w:val="18"/>
                <w:highlight w:val="none"/>
                <w:lang w:val="en-US" w:eastAsia="zh-CN" w:bidi="ar-SA"/>
              </w:rPr>
              <w:t>备注</w:t>
            </w:r>
            <w:bookmarkEnd w:id="65"/>
            <w:bookmarkEnd w:id="66"/>
            <w:bookmarkEnd w:id="67"/>
            <w:bookmarkEnd w:id="6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989" w:type="dxa"/>
            <w:gridSpan w:val="8"/>
            <w:vAlign w:val="center"/>
          </w:tcPr>
          <w:p>
            <w:pPr>
              <w:widowControl/>
              <w:jc w:val="center"/>
              <w:rPr>
                <w:rFonts w:hint="default" w:ascii="Times New Roman" w:hAnsi="Times New Roman" w:cs="Times New Roman" w:eastAsiaTheme="minorEastAsia"/>
                <w:color w:val="auto"/>
                <w:kern w:val="0"/>
                <w:sz w:val="18"/>
                <w:szCs w:val="18"/>
                <w:highlight w:val="none"/>
                <w:lang w:eastAsia="en-US"/>
              </w:rPr>
            </w:pPr>
            <w:r>
              <w:rPr>
                <w:rFonts w:hint="default" w:ascii="Times New Roman" w:hAnsi="Times New Roman" w:cs="Times New Roman" w:eastAsiaTheme="minorEastAsia"/>
                <w:b/>
                <w:bCs/>
                <w:color w:val="auto"/>
                <w:kern w:val="0"/>
                <w:sz w:val="18"/>
                <w:szCs w:val="18"/>
                <w:highlight w:val="none"/>
                <w:lang w:eastAsia="en-US"/>
              </w:rPr>
              <w:t>标段</w:t>
            </w:r>
            <w:r>
              <w:rPr>
                <w:rFonts w:hint="default" w:ascii="Times New Roman" w:hAnsi="Times New Roman" w:cs="Times New Roman" w:eastAsiaTheme="minorEastAsia"/>
                <w:b/>
                <w:bCs/>
                <w:color w:val="auto"/>
                <w:kern w:val="0"/>
                <w:sz w:val="18"/>
                <w:szCs w:val="18"/>
                <w:highlight w:val="none"/>
                <w:lang w:val="en-US" w:eastAsia="zh-CN"/>
              </w:rPr>
              <w:t>六</w:t>
            </w:r>
            <w:r>
              <w:rPr>
                <w:rFonts w:hint="default" w:ascii="Times New Roman" w:hAnsi="Times New Roman" w:cs="Times New Roman" w:eastAsiaTheme="minorEastAsia"/>
                <w:b/>
                <w:bCs/>
                <w:color w:val="auto"/>
                <w:kern w:val="0"/>
                <w:sz w:val="18"/>
                <w:szCs w:val="18"/>
                <w:highlight w:val="none"/>
                <w:lang w:eastAsia="en-US"/>
              </w:rPr>
              <w:t xml:space="preserve"> </w:t>
            </w:r>
            <w:r>
              <w:rPr>
                <w:rFonts w:hint="default" w:ascii="Times New Roman" w:hAnsi="Times New Roman" w:cs="Times New Roman" w:eastAsiaTheme="minorEastAsia"/>
                <w:b/>
                <w:bCs/>
                <w:color w:val="auto"/>
                <w:kern w:val="0"/>
                <w:sz w:val="18"/>
                <w:szCs w:val="18"/>
                <w:highlight w:val="none"/>
                <w:lang w:val="en-US" w:eastAsia="zh-CN"/>
              </w:rPr>
              <w:t>（高速永磁变频器要求： HAILOONG LIFT 品牌的OTS400系列）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462" w:type="dxa"/>
            <w:vAlign w:val="center"/>
          </w:tcPr>
          <w:p>
            <w:pPr>
              <w:widowControl w:val="0"/>
              <w:numPr>
                <w:ilvl w:val="0"/>
                <w:numId w:val="4"/>
              </w:numPr>
              <w:spacing w:line="479" w:lineRule="exact"/>
              <w:jc w:val="center"/>
              <w:outlineLvl w:val="1"/>
              <w:rPr>
                <w:rFonts w:hint="default" w:ascii="Times New Roman" w:hAnsi="Times New Roman" w:cs="Times New Roman" w:eastAsiaTheme="minorEastAsia"/>
                <w:color w:val="auto"/>
                <w:spacing w:val="0"/>
                <w:sz w:val="18"/>
                <w:szCs w:val="18"/>
                <w:highlight w:val="none"/>
                <w:lang w:val="en-US" w:eastAsia="en-US" w:bidi="ar-SA"/>
              </w:rPr>
            </w:pPr>
            <w:bookmarkStart w:id="69" w:name="_Toc29744"/>
            <w:bookmarkEnd w:id="69"/>
            <w:bookmarkStart w:id="70" w:name="_Toc23114"/>
            <w:bookmarkEnd w:id="70"/>
            <w:bookmarkStart w:id="71" w:name="_Toc29582"/>
            <w:bookmarkEnd w:id="71"/>
            <w:bookmarkStart w:id="72" w:name="_Toc22228"/>
            <w:bookmarkEnd w:id="72"/>
          </w:p>
        </w:tc>
        <w:tc>
          <w:tcPr>
            <w:tcW w:w="101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84854154</w:t>
            </w:r>
          </w:p>
        </w:tc>
        <w:tc>
          <w:tcPr>
            <w:tcW w:w="1214"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D0D0D"/>
                <w:kern w:val="0"/>
                <w:sz w:val="18"/>
                <w:szCs w:val="18"/>
                <w:highlight w:val="none"/>
                <w:u w:val="none"/>
                <w:lang w:val="en-US" w:eastAsia="zh-CN" w:bidi="ar"/>
              </w:rPr>
              <w:t>潜油电机</w:t>
            </w:r>
          </w:p>
        </w:tc>
        <w:tc>
          <w:tcPr>
            <w:tcW w:w="3818"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PMM350-DS-HS-OTS400\ST\140hp\1635V\204℃</w:t>
            </w:r>
          </w:p>
        </w:tc>
        <w:tc>
          <w:tcPr>
            <w:tcW w:w="86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D0D0D"/>
                <w:kern w:val="0"/>
                <w:sz w:val="18"/>
                <w:szCs w:val="18"/>
                <w:highlight w:val="none"/>
                <w:u w:val="none"/>
                <w:lang w:val="en-US" w:eastAsia="zh-CN" w:bidi="ar"/>
              </w:rPr>
            </w:pPr>
            <w:r>
              <w:rPr>
                <w:rFonts w:hint="eastAsia" w:ascii="宋体" w:hAnsi="宋体" w:eastAsia="宋体" w:cs="宋体"/>
                <w:i w:val="0"/>
                <w:iCs w:val="0"/>
                <w:color w:val="0D0D0D"/>
                <w:kern w:val="0"/>
                <w:sz w:val="18"/>
                <w:szCs w:val="18"/>
                <w:u w:val="none"/>
                <w:lang w:val="en-US" w:eastAsia="zh-CN" w:bidi="ar"/>
              </w:rPr>
              <w:t>2件</w:t>
            </w:r>
          </w:p>
        </w:tc>
        <w:tc>
          <w:tcPr>
            <w:tcW w:w="640" w:type="dxa"/>
            <w:vMerge w:val="restart"/>
            <w:vAlign w:val="center"/>
          </w:tcPr>
          <w:p>
            <w:pPr>
              <w:jc w:val="both"/>
              <w:rPr>
                <w:rFonts w:hint="default" w:ascii="Times New Roman" w:hAnsi="Times New Roman" w:cs="Times New Roman" w:eastAsiaTheme="minorEastAsia"/>
                <w:color w:val="auto"/>
                <w:kern w:val="0"/>
                <w:sz w:val="18"/>
                <w:szCs w:val="18"/>
                <w:highlight w:val="none"/>
                <w:lang w:eastAsia="zh-CN"/>
              </w:rPr>
            </w:pPr>
          </w:p>
          <w:p>
            <w:pPr>
              <w:jc w:val="both"/>
              <w:rPr>
                <w:rFonts w:hint="default" w:ascii="Times New Roman" w:hAnsi="Times New Roman" w:cs="Times New Roman" w:eastAsiaTheme="minorEastAsia"/>
                <w:color w:val="auto"/>
                <w:kern w:val="0"/>
                <w:sz w:val="18"/>
                <w:szCs w:val="18"/>
                <w:highlight w:val="none"/>
                <w:lang w:eastAsia="zh-CN"/>
              </w:rPr>
            </w:pPr>
          </w:p>
          <w:p>
            <w:pPr>
              <w:jc w:val="both"/>
              <w:rPr>
                <w:rFonts w:hint="default" w:ascii="Times New Roman" w:hAnsi="Times New Roman" w:cs="Times New Roman" w:eastAsiaTheme="minorEastAsia"/>
                <w:color w:val="auto"/>
                <w:kern w:val="0"/>
                <w:sz w:val="18"/>
                <w:szCs w:val="18"/>
                <w:highlight w:val="none"/>
                <w:lang w:eastAsia="zh-CN"/>
              </w:rPr>
            </w:pPr>
          </w:p>
          <w:p>
            <w:pPr>
              <w:jc w:val="both"/>
              <w:rPr>
                <w:rFonts w:hint="default" w:ascii="Times New Roman" w:hAnsi="Times New Roman" w:cs="Times New Roman" w:eastAsiaTheme="minorEastAsia"/>
                <w:color w:val="auto"/>
                <w:kern w:val="0"/>
                <w:sz w:val="18"/>
                <w:szCs w:val="18"/>
                <w:highlight w:val="none"/>
                <w:lang w:eastAsia="zh-CN"/>
              </w:rPr>
            </w:pPr>
          </w:p>
          <w:p>
            <w:pPr>
              <w:jc w:val="both"/>
              <w:rPr>
                <w:rFonts w:hint="default" w:ascii="Times New Roman" w:hAnsi="Times New Roman" w:cs="Times New Roman" w:eastAsiaTheme="minorEastAsia"/>
                <w:color w:val="auto"/>
                <w:kern w:val="0"/>
                <w:sz w:val="18"/>
                <w:szCs w:val="18"/>
                <w:highlight w:val="none"/>
                <w:lang w:eastAsia="zh-CN"/>
              </w:rPr>
            </w:pPr>
          </w:p>
          <w:p>
            <w:pPr>
              <w:jc w:val="both"/>
              <w:rPr>
                <w:rFonts w:hint="default" w:ascii="Times New Roman" w:hAnsi="Times New Roman" w:cs="Times New Roman" w:eastAsiaTheme="minorEastAsia"/>
                <w:color w:val="auto"/>
                <w:kern w:val="0"/>
                <w:sz w:val="18"/>
                <w:szCs w:val="18"/>
                <w:highlight w:val="none"/>
                <w:lang w:eastAsia="zh-CN"/>
              </w:rPr>
            </w:pPr>
          </w:p>
          <w:p>
            <w:pPr>
              <w:jc w:val="both"/>
              <w:rPr>
                <w:rFonts w:hint="default" w:ascii="Times New Roman" w:hAnsi="Times New Roman" w:cs="Times New Roman" w:eastAsiaTheme="minorEastAsia"/>
                <w:color w:val="auto"/>
                <w:kern w:val="0"/>
                <w:sz w:val="18"/>
                <w:szCs w:val="18"/>
                <w:highlight w:val="none"/>
                <w:lang w:eastAsia="zh-CN"/>
              </w:rPr>
            </w:pPr>
          </w:p>
          <w:p>
            <w:pPr>
              <w:jc w:val="both"/>
              <w:rPr>
                <w:rFonts w:hint="default" w:ascii="Times New Roman" w:hAnsi="Times New Roman" w:cs="Times New Roman" w:eastAsiaTheme="minorEastAsia"/>
                <w:color w:val="auto"/>
                <w:kern w:val="0"/>
                <w:sz w:val="18"/>
                <w:szCs w:val="18"/>
                <w:highlight w:val="none"/>
                <w:lang w:eastAsia="zh-CN"/>
              </w:rPr>
            </w:pPr>
          </w:p>
          <w:p>
            <w:pPr>
              <w:jc w:val="both"/>
              <w:rPr>
                <w:rFonts w:hint="default" w:ascii="Times New Roman" w:hAnsi="Times New Roman" w:cs="Times New Roman" w:eastAsiaTheme="minorEastAsia"/>
                <w:color w:val="auto"/>
                <w:kern w:val="0"/>
                <w:sz w:val="18"/>
                <w:szCs w:val="18"/>
                <w:highlight w:val="none"/>
                <w:lang w:eastAsia="zh-CN"/>
              </w:rPr>
            </w:pPr>
          </w:p>
          <w:p>
            <w:pPr>
              <w:jc w:val="both"/>
              <w:rPr>
                <w:rFonts w:hint="default" w:ascii="Times New Roman" w:hAnsi="Times New Roman" w:cs="Times New Roman" w:eastAsiaTheme="minorEastAsia"/>
                <w:color w:val="auto"/>
                <w:kern w:val="0"/>
                <w:sz w:val="18"/>
                <w:szCs w:val="18"/>
                <w:highlight w:val="none"/>
                <w:lang w:eastAsia="zh-CN"/>
              </w:rPr>
            </w:pPr>
          </w:p>
          <w:p>
            <w:pPr>
              <w:jc w:val="both"/>
              <w:rPr>
                <w:rFonts w:hint="default" w:ascii="Times New Roman" w:hAnsi="Times New Roman" w:cs="Times New Roman" w:eastAsiaTheme="minorEastAsia"/>
                <w:color w:val="auto"/>
                <w:kern w:val="0"/>
                <w:sz w:val="18"/>
                <w:szCs w:val="18"/>
                <w:highlight w:val="none"/>
                <w:lang w:eastAsia="zh-CN"/>
              </w:rPr>
            </w:pPr>
            <w:r>
              <w:rPr>
                <w:rFonts w:hint="default" w:ascii="Times New Roman" w:hAnsi="Times New Roman" w:cs="Times New Roman" w:eastAsiaTheme="minorEastAsia"/>
                <w:color w:val="auto"/>
                <w:kern w:val="0"/>
                <w:sz w:val="18"/>
                <w:szCs w:val="18"/>
                <w:highlight w:val="none"/>
                <w:lang w:eastAsia="zh-CN"/>
              </w:rPr>
              <w:t>以采购订单为准</w:t>
            </w:r>
          </w:p>
        </w:tc>
        <w:tc>
          <w:tcPr>
            <w:tcW w:w="799" w:type="dxa"/>
            <w:vMerge w:val="restart"/>
            <w:vAlign w:val="center"/>
          </w:tcPr>
          <w:p>
            <w:pPr>
              <w:widowControl w:val="0"/>
              <w:spacing w:line="479" w:lineRule="exact"/>
              <w:jc w:val="center"/>
              <w:outlineLvl w:val="9"/>
              <w:rPr>
                <w:rFonts w:hint="default" w:ascii="Times New Roman" w:hAnsi="Times New Roman" w:cs="Times New Roman" w:eastAsiaTheme="minorEastAsia"/>
                <w:color w:val="auto"/>
                <w:spacing w:val="0"/>
                <w:sz w:val="18"/>
                <w:szCs w:val="18"/>
                <w:highlight w:val="none"/>
                <w:lang w:val="en-US" w:eastAsia="zh-CN" w:bidi="ar-SA"/>
              </w:rPr>
            </w:pPr>
          </w:p>
          <w:p>
            <w:pPr>
              <w:widowControl w:val="0"/>
              <w:spacing w:line="479" w:lineRule="exact"/>
              <w:jc w:val="center"/>
              <w:outlineLvl w:val="9"/>
              <w:rPr>
                <w:rFonts w:hint="default" w:ascii="Times New Roman" w:hAnsi="Times New Roman" w:cs="Times New Roman" w:eastAsiaTheme="minorEastAsia"/>
                <w:color w:val="auto"/>
                <w:spacing w:val="0"/>
                <w:sz w:val="18"/>
                <w:szCs w:val="18"/>
                <w:highlight w:val="none"/>
                <w:lang w:val="en-US" w:eastAsia="zh-CN" w:bidi="ar-SA"/>
              </w:rPr>
            </w:pPr>
          </w:p>
          <w:p>
            <w:pPr>
              <w:widowControl w:val="0"/>
              <w:spacing w:line="479" w:lineRule="exact"/>
              <w:jc w:val="center"/>
              <w:outlineLvl w:val="9"/>
              <w:rPr>
                <w:rFonts w:hint="default" w:ascii="Times New Roman" w:hAnsi="Times New Roman" w:cs="Times New Roman" w:eastAsiaTheme="minorEastAsia"/>
                <w:color w:val="auto"/>
                <w:spacing w:val="0"/>
                <w:sz w:val="18"/>
                <w:szCs w:val="18"/>
                <w:highlight w:val="none"/>
                <w:lang w:val="en-US" w:eastAsia="zh-CN" w:bidi="ar-SA"/>
              </w:rPr>
            </w:pPr>
          </w:p>
          <w:p>
            <w:pPr>
              <w:widowControl w:val="0"/>
              <w:spacing w:line="479" w:lineRule="exact"/>
              <w:jc w:val="center"/>
              <w:outlineLvl w:val="9"/>
              <w:rPr>
                <w:rFonts w:hint="default" w:ascii="Times New Roman" w:hAnsi="Times New Roman" w:cs="Times New Roman" w:eastAsiaTheme="minorEastAsia"/>
                <w:color w:val="auto"/>
                <w:spacing w:val="0"/>
                <w:sz w:val="18"/>
                <w:szCs w:val="18"/>
                <w:highlight w:val="none"/>
                <w:lang w:val="en-US" w:eastAsia="zh-CN" w:bidi="ar-SA"/>
              </w:rPr>
            </w:pPr>
          </w:p>
          <w:p>
            <w:pPr>
              <w:widowControl w:val="0"/>
              <w:spacing w:line="479" w:lineRule="exact"/>
              <w:jc w:val="center"/>
              <w:outlineLvl w:val="9"/>
              <w:rPr>
                <w:rFonts w:hint="default" w:ascii="Times New Roman" w:hAnsi="Times New Roman" w:cs="Times New Roman" w:eastAsiaTheme="minorEastAsia"/>
                <w:color w:val="auto"/>
                <w:spacing w:val="0"/>
                <w:sz w:val="18"/>
                <w:szCs w:val="18"/>
                <w:highlight w:val="none"/>
                <w:lang w:val="en-US" w:eastAsia="zh-CN" w:bidi="ar-SA"/>
              </w:rPr>
            </w:pPr>
          </w:p>
          <w:p>
            <w:pPr>
              <w:widowControl w:val="0"/>
              <w:spacing w:line="479" w:lineRule="exact"/>
              <w:jc w:val="center"/>
              <w:outlineLvl w:val="9"/>
              <w:rPr>
                <w:rFonts w:hint="default" w:ascii="Times New Roman" w:hAnsi="Times New Roman" w:cs="Times New Roman" w:eastAsiaTheme="minorEastAsia"/>
                <w:color w:val="auto"/>
                <w:spacing w:val="0"/>
                <w:sz w:val="18"/>
                <w:szCs w:val="18"/>
                <w:highlight w:val="none"/>
                <w:lang w:val="en-US" w:eastAsia="zh-CN" w:bidi="ar-SA"/>
              </w:rPr>
            </w:pPr>
          </w:p>
          <w:p>
            <w:pPr>
              <w:widowControl w:val="0"/>
              <w:spacing w:line="479" w:lineRule="exact"/>
              <w:jc w:val="both"/>
              <w:outlineLvl w:val="1"/>
              <w:rPr>
                <w:rFonts w:hint="default" w:ascii="Times New Roman" w:hAnsi="Times New Roman" w:cs="Times New Roman" w:eastAsiaTheme="minorEastAsia"/>
                <w:color w:val="auto"/>
                <w:spacing w:val="0"/>
                <w:sz w:val="18"/>
                <w:szCs w:val="18"/>
                <w:highlight w:val="none"/>
                <w:lang w:val="en-US" w:eastAsia="zh-CN" w:bidi="ar-SA"/>
              </w:rPr>
            </w:pPr>
            <w:bookmarkStart w:id="73" w:name="_Toc11796"/>
            <w:bookmarkStart w:id="74" w:name="_Toc25507"/>
            <w:bookmarkStart w:id="75" w:name="_Toc19150"/>
            <w:bookmarkStart w:id="76" w:name="_Toc15837"/>
            <w:r>
              <w:rPr>
                <w:rFonts w:hint="default" w:ascii="Times New Roman" w:hAnsi="Times New Roman" w:cs="Times New Roman" w:eastAsiaTheme="minorEastAsia"/>
                <w:color w:val="auto"/>
                <w:spacing w:val="0"/>
                <w:sz w:val="18"/>
                <w:szCs w:val="18"/>
                <w:highlight w:val="none"/>
                <w:lang w:val="en-US" w:eastAsia="zh-CN" w:bidi="ar-SA"/>
              </w:rPr>
              <w:t>机采</w:t>
            </w:r>
            <w:r>
              <w:rPr>
                <w:rFonts w:hint="default" w:ascii="Times New Roman" w:hAnsi="Times New Roman" w:cs="Times New Roman" w:eastAsiaTheme="minorEastAsia"/>
                <w:color w:val="auto"/>
                <w:spacing w:val="0"/>
                <w:sz w:val="18"/>
                <w:szCs w:val="18"/>
                <w:highlight w:val="none"/>
                <w:lang w:val="en-US" w:eastAsia="en-US" w:bidi="ar-SA"/>
              </w:rPr>
              <w:t>东沽库房</w:t>
            </w:r>
            <w:bookmarkEnd w:id="73"/>
            <w:bookmarkEnd w:id="74"/>
            <w:bookmarkEnd w:id="75"/>
            <w:bookmarkEnd w:id="76"/>
          </w:p>
        </w:tc>
        <w:tc>
          <w:tcPr>
            <w:tcW w:w="1184"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18"/>
                <w:szCs w:val="18"/>
                <w:highlight w:val="none"/>
                <w:lang w:eastAsia="en-US"/>
              </w:rPr>
            </w:pPr>
            <w:r>
              <w:rPr>
                <w:rFonts w:hint="default" w:ascii="Times New Roman" w:hAnsi="Times New Roman" w:eastAsia="宋体" w:cs="Times New Roman"/>
                <w:i w:val="0"/>
                <w:iCs w:val="0"/>
                <w:color w:val="0D0D0D"/>
                <w:kern w:val="0"/>
                <w:sz w:val="18"/>
                <w:szCs w:val="18"/>
                <w:highlight w:val="none"/>
                <w:u w:val="none"/>
                <w:lang w:val="en-US" w:eastAsia="zh-CN" w:bidi="ar"/>
              </w:rPr>
              <w:t>1635V\44A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462" w:type="dxa"/>
            <w:vAlign w:val="center"/>
          </w:tcPr>
          <w:p>
            <w:pPr>
              <w:widowControl w:val="0"/>
              <w:numPr>
                <w:ilvl w:val="0"/>
                <w:numId w:val="4"/>
              </w:numPr>
              <w:spacing w:line="479" w:lineRule="exact"/>
              <w:jc w:val="center"/>
              <w:outlineLvl w:val="1"/>
              <w:rPr>
                <w:rFonts w:hint="default" w:ascii="Times New Roman" w:hAnsi="Times New Roman" w:cs="Times New Roman" w:eastAsiaTheme="minorEastAsia"/>
                <w:color w:val="auto"/>
                <w:spacing w:val="0"/>
                <w:sz w:val="18"/>
                <w:szCs w:val="18"/>
                <w:highlight w:val="none"/>
                <w:lang w:val="en-US" w:eastAsia="en-US" w:bidi="ar-SA"/>
              </w:rPr>
            </w:pPr>
            <w:bookmarkStart w:id="77" w:name="_Toc31066"/>
            <w:bookmarkEnd w:id="77"/>
            <w:bookmarkStart w:id="78" w:name="_Toc28546"/>
            <w:bookmarkEnd w:id="78"/>
            <w:bookmarkStart w:id="79" w:name="_Toc12514"/>
            <w:bookmarkEnd w:id="79"/>
            <w:bookmarkStart w:id="80" w:name="_Toc8403"/>
            <w:bookmarkEnd w:id="80"/>
          </w:p>
        </w:tc>
        <w:tc>
          <w:tcPr>
            <w:tcW w:w="101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84854155</w:t>
            </w:r>
          </w:p>
        </w:tc>
        <w:tc>
          <w:tcPr>
            <w:tcW w:w="1214"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D0D0D"/>
                <w:kern w:val="0"/>
                <w:sz w:val="18"/>
                <w:szCs w:val="18"/>
                <w:highlight w:val="none"/>
                <w:u w:val="none"/>
                <w:lang w:val="en-US" w:eastAsia="zh-CN" w:bidi="ar"/>
              </w:rPr>
              <w:t>潜油电机</w:t>
            </w:r>
          </w:p>
        </w:tc>
        <w:tc>
          <w:tcPr>
            <w:tcW w:w="3818"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PMM450-DS-HS-OTS400\ST\140hp\2145V\204℃</w:t>
            </w:r>
          </w:p>
        </w:tc>
        <w:tc>
          <w:tcPr>
            <w:tcW w:w="86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D0D0D"/>
                <w:kern w:val="0"/>
                <w:sz w:val="18"/>
                <w:szCs w:val="18"/>
                <w:highlight w:val="none"/>
                <w:u w:val="none"/>
                <w:lang w:val="en-US" w:eastAsia="zh-CN" w:bidi="ar"/>
              </w:rPr>
            </w:pPr>
            <w:r>
              <w:rPr>
                <w:rFonts w:hint="eastAsia" w:ascii="宋体" w:hAnsi="宋体" w:eastAsia="宋体" w:cs="宋体"/>
                <w:i w:val="0"/>
                <w:iCs w:val="0"/>
                <w:color w:val="0D0D0D"/>
                <w:kern w:val="0"/>
                <w:sz w:val="18"/>
                <w:szCs w:val="18"/>
                <w:u w:val="none"/>
                <w:lang w:val="en-US" w:eastAsia="zh-CN" w:bidi="ar"/>
              </w:rPr>
              <w:t>15件</w:t>
            </w:r>
          </w:p>
        </w:tc>
        <w:tc>
          <w:tcPr>
            <w:tcW w:w="640" w:type="dxa"/>
            <w:vMerge w:val="continue"/>
            <w:vAlign w:val="center"/>
          </w:tcPr>
          <w:p>
            <w:pPr>
              <w:jc w:val="center"/>
              <w:rPr>
                <w:rFonts w:hint="default" w:ascii="Times New Roman" w:hAnsi="Times New Roman" w:cs="Times New Roman" w:eastAsiaTheme="minorEastAsia"/>
                <w:color w:val="auto"/>
                <w:kern w:val="0"/>
                <w:sz w:val="18"/>
                <w:szCs w:val="18"/>
                <w:highlight w:val="none"/>
                <w:lang w:eastAsia="zh-CN"/>
              </w:rPr>
            </w:pPr>
          </w:p>
        </w:tc>
        <w:tc>
          <w:tcPr>
            <w:tcW w:w="799" w:type="dxa"/>
            <w:vMerge w:val="continue"/>
          </w:tcPr>
          <w:p>
            <w:pPr>
              <w:widowControl w:val="0"/>
              <w:spacing w:line="479" w:lineRule="exact"/>
              <w:jc w:val="center"/>
              <w:outlineLvl w:val="9"/>
              <w:rPr>
                <w:rFonts w:hint="default" w:ascii="Times New Roman" w:hAnsi="Times New Roman" w:cs="Times New Roman" w:eastAsiaTheme="minorEastAsia"/>
                <w:color w:val="auto"/>
                <w:spacing w:val="0"/>
                <w:sz w:val="18"/>
                <w:szCs w:val="18"/>
                <w:highlight w:val="none"/>
                <w:lang w:val="en-US" w:eastAsia="zh-CN" w:bidi="ar-SA"/>
              </w:rPr>
            </w:pPr>
          </w:p>
        </w:tc>
        <w:tc>
          <w:tcPr>
            <w:tcW w:w="1184"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18"/>
                <w:szCs w:val="18"/>
                <w:highlight w:val="none"/>
                <w:lang w:eastAsia="en-US"/>
              </w:rPr>
            </w:pPr>
            <w:r>
              <w:rPr>
                <w:rFonts w:hint="default" w:ascii="Times New Roman" w:hAnsi="Times New Roman" w:eastAsia="宋体" w:cs="Times New Roman"/>
                <w:i w:val="0"/>
                <w:iCs w:val="0"/>
                <w:color w:val="0D0D0D"/>
                <w:kern w:val="0"/>
                <w:sz w:val="18"/>
                <w:szCs w:val="18"/>
                <w:highlight w:val="none"/>
                <w:u w:val="none"/>
                <w:lang w:val="en-US" w:eastAsia="zh-CN" w:bidi="ar"/>
              </w:rPr>
              <w:t>2145V/32A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462" w:type="dxa"/>
            <w:vAlign w:val="center"/>
          </w:tcPr>
          <w:p>
            <w:pPr>
              <w:widowControl w:val="0"/>
              <w:numPr>
                <w:ilvl w:val="0"/>
                <w:numId w:val="4"/>
              </w:numPr>
              <w:spacing w:line="479" w:lineRule="exact"/>
              <w:jc w:val="center"/>
              <w:outlineLvl w:val="1"/>
              <w:rPr>
                <w:rFonts w:hint="default" w:ascii="Times New Roman" w:hAnsi="Times New Roman" w:cs="Times New Roman" w:eastAsiaTheme="minorEastAsia"/>
                <w:color w:val="auto"/>
                <w:spacing w:val="0"/>
                <w:sz w:val="18"/>
                <w:szCs w:val="18"/>
                <w:highlight w:val="none"/>
                <w:lang w:val="en-US" w:eastAsia="en-US" w:bidi="ar-SA"/>
              </w:rPr>
            </w:pPr>
            <w:bookmarkStart w:id="81" w:name="_Toc25161"/>
            <w:bookmarkEnd w:id="81"/>
            <w:bookmarkStart w:id="82" w:name="_Toc23067"/>
            <w:bookmarkEnd w:id="82"/>
            <w:bookmarkStart w:id="83" w:name="_Toc5623"/>
            <w:bookmarkEnd w:id="83"/>
            <w:bookmarkStart w:id="84" w:name="_Toc20525"/>
            <w:bookmarkEnd w:id="84"/>
          </w:p>
        </w:tc>
        <w:tc>
          <w:tcPr>
            <w:tcW w:w="101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84854156</w:t>
            </w:r>
          </w:p>
        </w:tc>
        <w:tc>
          <w:tcPr>
            <w:tcW w:w="1214"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D0D0D"/>
                <w:kern w:val="0"/>
                <w:sz w:val="18"/>
                <w:szCs w:val="18"/>
                <w:highlight w:val="none"/>
                <w:u w:val="none"/>
                <w:lang w:val="en-US" w:eastAsia="zh-CN" w:bidi="ar"/>
              </w:rPr>
              <w:t>潜油电机</w:t>
            </w:r>
          </w:p>
        </w:tc>
        <w:tc>
          <w:tcPr>
            <w:tcW w:w="3818"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PMM450-DS-HS-OTS400\ST\200hp\2400V\204℃</w:t>
            </w:r>
          </w:p>
        </w:tc>
        <w:tc>
          <w:tcPr>
            <w:tcW w:w="86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D0D0D"/>
                <w:kern w:val="0"/>
                <w:sz w:val="18"/>
                <w:szCs w:val="18"/>
                <w:highlight w:val="none"/>
                <w:u w:val="none"/>
                <w:lang w:val="en-US" w:eastAsia="zh-CN" w:bidi="ar"/>
              </w:rPr>
            </w:pPr>
            <w:r>
              <w:rPr>
                <w:rFonts w:hint="eastAsia" w:ascii="宋体" w:hAnsi="宋体" w:eastAsia="宋体" w:cs="宋体"/>
                <w:i w:val="0"/>
                <w:iCs w:val="0"/>
                <w:color w:val="0D0D0D"/>
                <w:kern w:val="0"/>
                <w:sz w:val="18"/>
                <w:szCs w:val="18"/>
                <w:u w:val="none"/>
                <w:lang w:val="en-US" w:eastAsia="zh-CN" w:bidi="ar"/>
              </w:rPr>
              <w:t>10件</w:t>
            </w:r>
          </w:p>
        </w:tc>
        <w:tc>
          <w:tcPr>
            <w:tcW w:w="640" w:type="dxa"/>
            <w:vMerge w:val="continue"/>
            <w:vAlign w:val="center"/>
          </w:tcPr>
          <w:p>
            <w:pPr>
              <w:jc w:val="center"/>
              <w:rPr>
                <w:rFonts w:hint="default" w:ascii="Times New Roman" w:hAnsi="Times New Roman" w:cs="Times New Roman" w:eastAsiaTheme="minorEastAsia"/>
                <w:color w:val="auto"/>
                <w:kern w:val="0"/>
                <w:sz w:val="18"/>
                <w:szCs w:val="18"/>
                <w:highlight w:val="none"/>
                <w:lang w:eastAsia="zh-CN"/>
              </w:rPr>
            </w:pPr>
          </w:p>
        </w:tc>
        <w:tc>
          <w:tcPr>
            <w:tcW w:w="799" w:type="dxa"/>
            <w:vMerge w:val="continue"/>
          </w:tcPr>
          <w:p>
            <w:pPr>
              <w:widowControl w:val="0"/>
              <w:spacing w:line="479" w:lineRule="exact"/>
              <w:jc w:val="center"/>
              <w:outlineLvl w:val="9"/>
              <w:rPr>
                <w:rFonts w:hint="default" w:ascii="Times New Roman" w:hAnsi="Times New Roman" w:cs="Times New Roman" w:eastAsiaTheme="minorEastAsia"/>
                <w:color w:val="auto"/>
                <w:spacing w:val="0"/>
                <w:sz w:val="18"/>
                <w:szCs w:val="18"/>
                <w:highlight w:val="none"/>
                <w:lang w:val="en-US" w:eastAsia="zh-CN" w:bidi="ar-SA"/>
              </w:rPr>
            </w:pPr>
          </w:p>
        </w:tc>
        <w:tc>
          <w:tcPr>
            <w:tcW w:w="1184"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18"/>
                <w:szCs w:val="18"/>
                <w:highlight w:val="none"/>
                <w:lang w:eastAsia="en-US"/>
              </w:rPr>
            </w:pPr>
            <w:r>
              <w:rPr>
                <w:rFonts w:hint="default" w:ascii="Times New Roman" w:hAnsi="Times New Roman" w:eastAsia="宋体" w:cs="Times New Roman"/>
                <w:i w:val="0"/>
                <w:iCs w:val="0"/>
                <w:color w:val="0D0D0D"/>
                <w:kern w:val="0"/>
                <w:sz w:val="18"/>
                <w:szCs w:val="18"/>
                <w:highlight w:val="none"/>
                <w:u w:val="none"/>
                <w:lang w:val="en-US" w:eastAsia="zh-CN" w:bidi="ar"/>
              </w:rPr>
              <w:t>2400V\42A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462" w:type="dxa"/>
            <w:vAlign w:val="center"/>
          </w:tcPr>
          <w:p>
            <w:pPr>
              <w:widowControl w:val="0"/>
              <w:numPr>
                <w:ilvl w:val="0"/>
                <w:numId w:val="4"/>
              </w:numPr>
              <w:spacing w:line="479" w:lineRule="exact"/>
              <w:jc w:val="center"/>
              <w:outlineLvl w:val="1"/>
              <w:rPr>
                <w:rFonts w:hint="default" w:ascii="Times New Roman" w:hAnsi="Times New Roman" w:cs="Times New Roman" w:eastAsiaTheme="minorEastAsia"/>
                <w:color w:val="auto"/>
                <w:spacing w:val="0"/>
                <w:sz w:val="18"/>
                <w:szCs w:val="18"/>
                <w:highlight w:val="none"/>
                <w:lang w:val="en-US" w:eastAsia="en-US" w:bidi="ar-SA"/>
              </w:rPr>
            </w:pPr>
            <w:bookmarkStart w:id="85" w:name="_Toc4035"/>
            <w:bookmarkEnd w:id="85"/>
            <w:bookmarkStart w:id="86" w:name="_Toc24939"/>
            <w:bookmarkEnd w:id="86"/>
            <w:bookmarkStart w:id="87" w:name="_Toc28112"/>
            <w:bookmarkEnd w:id="87"/>
            <w:bookmarkStart w:id="88" w:name="_Toc3545"/>
            <w:bookmarkEnd w:id="88"/>
          </w:p>
        </w:tc>
        <w:tc>
          <w:tcPr>
            <w:tcW w:w="101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84854157</w:t>
            </w:r>
          </w:p>
        </w:tc>
        <w:tc>
          <w:tcPr>
            <w:tcW w:w="1214"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D0D0D"/>
                <w:kern w:val="0"/>
                <w:sz w:val="18"/>
                <w:szCs w:val="18"/>
                <w:highlight w:val="none"/>
                <w:u w:val="none"/>
                <w:lang w:val="en-US" w:eastAsia="zh-CN" w:bidi="ar"/>
              </w:rPr>
              <w:t>潜油电机</w:t>
            </w:r>
          </w:p>
        </w:tc>
        <w:tc>
          <w:tcPr>
            <w:tcW w:w="3818"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PMM450-DS-HS-OTS400\ST\260hp\2280V\204℃</w:t>
            </w:r>
          </w:p>
        </w:tc>
        <w:tc>
          <w:tcPr>
            <w:tcW w:w="86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D0D0D"/>
                <w:kern w:val="0"/>
                <w:sz w:val="18"/>
                <w:szCs w:val="18"/>
                <w:highlight w:val="none"/>
                <w:u w:val="none"/>
                <w:lang w:val="en-US" w:eastAsia="zh-CN" w:bidi="ar"/>
              </w:rPr>
            </w:pPr>
            <w:r>
              <w:rPr>
                <w:rFonts w:hint="eastAsia" w:ascii="宋体" w:hAnsi="宋体" w:eastAsia="宋体" w:cs="宋体"/>
                <w:i w:val="0"/>
                <w:iCs w:val="0"/>
                <w:color w:val="0D0D0D"/>
                <w:kern w:val="0"/>
                <w:sz w:val="18"/>
                <w:szCs w:val="18"/>
                <w:u w:val="none"/>
                <w:lang w:val="en-US" w:eastAsia="zh-CN" w:bidi="ar"/>
              </w:rPr>
              <w:t>12件</w:t>
            </w:r>
          </w:p>
        </w:tc>
        <w:tc>
          <w:tcPr>
            <w:tcW w:w="640" w:type="dxa"/>
            <w:vMerge w:val="continue"/>
            <w:vAlign w:val="center"/>
          </w:tcPr>
          <w:p>
            <w:pPr>
              <w:jc w:val="center"/>
              <w:rPr>
                <w:rFonts w:hint="default" w:ascii="Times New Roman" w:hAnsi="Times New Roman" w:cs="Times New Roman" w:eastAsiaTheme="minorEastAsia"/>
                <w:color w:val="auto"/>
                <w:kern w:val="0"/>
                <w:sz w:val="18"/>
                <w:szCs w:val="18"/>
                <w:highlight w:val="none"/>
                <w:lang w:eastAsia="zh-CN"/>
              </w:rPr>
            </w:pPr>
          </w:p>
        </w:tc>
        <w:tc>
          <w:tcPr>
            <w:tcW w:w="799" w:type="dxa"/>
            <w:vMerge w:val="continue"/>
          </w:tcPr>
          <w:p>
            <w:pPr>
              <w:widowControl w:val="0"/>
              <w:spacing w:line="479" w:lineRule="exact"/>
              <w:jc w:val="center"/>
              <w:outlineLvl w:val="9"/>
              <w:rPr>
                <w:rFonts w:hint="default" w:ascii="Times New Roman" w:hAnsi="Times New Roman" w:cs="Times New Roman" w:eastAsiaTheme="minorEastAsia"/>
                <w:color w:val="auto"/>
                <w:spacing w:val="0"/>
                <w:sz w:val="18"/>
                <w:szCs w:val="18"/>
                <w:highlight w:val="none"/>
                <w:lang w:val="en-US" w:eastAsia="zh-CN" w:bidi="ar-SA"/>
              </w:rPr>
            </w:pPr>
          </w:p>
        </w:tc>
        <w:tc>
          <w:tcPr>
            <w:tcW w:w="1184"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18"/>
                <w:szCs w:val="18"/>
                <w:highlight w:val="none"/>
                <w:lang w:eastAsia="en-US"/>
              </w:rPr>
            </w:pPr>
            <w:r>
              <w:rPr>
                <w:rFonts w:hint="default" w:ascii="Times New Roman" w:hAnsi="Times New Roman" w:eastAsia="宋体" w:cs="Times New Roman"/>
                <w:i w:val="0"/>
                <w:iCs w:val="0"/>
                <w:color w:val="0D0D0D"/>
                <w:kern w:val="0"/>
                <w:sz w:val="18"/>
                <w:szCs w:val="18"/>
                <w:highlight w:val="none"/>
                <w:u w:val="none"/>
                <w:lang w:val="en-US" w:eastAsia="zh-CN" w:bidi="ar"/>
              </w:rPr>
              <w:t>2280V/59A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462" w:type="dxa"/>
            <w:vAlign w:val="center"/>
          </w:tcPr>
          <w:p>
            <w:pPr>
              <w:widowControl w:val="0"/>
              <w:numPr>
                <w:ilvl w:val="0"/>
                <w:numId w:val="4"/>
              </w:numPr>
              <w:spacing w:line="479" w:lineRule="exact"/>
              <w:jc w:val="center"/>
              <w:outlineLvl w:val="1"/>
              <w:rPr>
                <w:rFonts w:hint="default" w:ascii="Times New Roman" w:hAnsi="Times New Roman" w:cs="Times New Roman" w:eastAsiaTheme="minorEastAsia"/>
                <w:color w:val="auto"/>
                <w:spacing w:val="0"/>
                <w:sz w:val="18"/>
                <w:szCs w:val="18"/>
                <w:highlight w:val="none"/>
                <w:lang w:val="en-US" w:eastAsia="en-US" w:bidi="ar-SA"/>
              </w:rPr>
            </w:pPr>
            <w:bookmarkStart w:id="89" w:name="_Toc8434"/>
            <w:bookmarkEnd w:id="89"/>
            <w:bookmarkStart w:id="90" w:name="_Toc17008"/>
            <w:bookmarkEnd w:id="90"/>
            <w:bookmarkStart w:id="91" w:name="_Toc19508"/>
            <w:bookmarkEnd w:id="91"/>
            <w:bookmarkStart w:id="92" w:name="_Toc17528"/>
            <w:bookmarkEnd w:id="92"/>
          </w:p>
        </w:tc>
        <w:tc>
          <w:tcPr>
            <w:tcW w:w="101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84854158</w:t>
            </w:r>
          </w:p>
        </w:tc>
        <w:tc>
          <w:tcPr>
            <w:tcW w:w="1214"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D0D0D"/>
                <w:kern w:val="0"/>
                <w:sz w:val="18"/>
                <w:szCs w:val="18"/>
                <w:highlight w:val="none"/>
                <w:u w:val="none"/>
                <w:lang w:val="en-US" w:eastAsia="zh-CN" w:bidi="ar"/>
              </w:rPr>
              <w:t>潜油电机</w:t>
            </w:r>
          </w:p>
        </w:tc>
        <w:tc>
          <w:tcPr>
            <w:tcW w:w="3818"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PMM562-DS-HS-OTS400\ST\352hp\2424V\204℃</w:t>
            </w:r>
          </w:p>
        </w:tc>
        <w:tc>
          <w:tcPr>
            <w:tcW w:w="86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D0D0D"/>
                <w:kern w:val="0"/>
                <w:sz w:val="18"/>
                <w:szCs w:val="18"/>
                <w:highlight w:val="none"/>
                <w:u w:val="none"/>
                <w:lang w:val="en-US" w:eastAsia="zh-CN" w:bidi="ar"/>
              </w:rPr>
            </w:pPr>
            <w:r>
              <w:rPr>
                <w:rFonts w:hint="eastAsia" w:ascii="宋体" w:hAnsi="宋体" w:eastAsia="宋体" w:cs="宋体"/>
                <w:i w:val="0"/>
                <w:iCs w:val="0"/>
                <w:color w:val="0D0D0D"/>
                <w:kern w:val="0"/>
                <w:sz w:val="18"/>
                <w:szCs w:val="18"/>
                <w:u w:val="none"/>
                <w:lang w:val="en-US" w:eastAsia="zh-CN" w:bidi="ar"/>
              </w:rPr>
              <w:t>4件</w:t>
            </w:r>
          </w:p>
        </w:tc>
        <w:tc>
          <w:tcPr>
            <w:tcW w:w="640" w:type="dxa"/>
            <w:vMerge w:val="continue"/>
            <w:vAlign w:val="center"/>
          </w:tcPr>
          <w:p>
            <w:pPr>
              <w:jc w:val="center"/>
              <w:rPr>
                <w:rFonts w:hint="default" w:ascii="Times New Roman" w:hAnsi="Times New Roman" w:cs="Times New Roman" w:eastAsiaTheme="minorEastAsia"/>
                <w:color w:val="auto"/>
                <w:kern w:val="0"/>
                <w:sz w:val="18"/>
                <w:szCs w:val="18"/>
                <w:highlight w:val="none"/>
                <w:lang w:eastAsia="zh-CN"/>
              </w:rPr>
            </w:pPr>
          </w:p>
        </w:tc>
        <w:tc>
          <w:tcPr>
            <w:tcW w:w="799" w:type="dxa"/>
            <w:vMerge w:val="continue"/>
          </w:tcPr>
          <w:p>
            <w:pPr>
              <w:widowControl w:val="0"/>
              <w:spacing w:line="479" w:lineRule="exact"/>
              <w:jc w:val="center"/>
              <w:outlineLvl w:val="9"/>
              <w:rPr>
                <w:rFonts w:hint="default" w:ascii="Times New Roman" w:hAnsi="Times New Roman" w:cs="Times New Roman" w:eastAsiaTheme="minorEastAsia"/>
                <w:color w:val="auto"/>
                <w:spacing w:val="0"/>
                <w:sz w:val="18"/>
                <w:szCs w:val="18"/>
                <w:highlight w:val="none"/>
                <w:lang w:val="en-US" w:eastAsia="zh-CN" w:bidi="ar-SA"/>
              </w:rPr>
            </w:pPr>
          </w:p>
        </w:tc>
        <w:tc>
          <w:tcPr>
            <w:tcW w:w="1184"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18"/>
                <w:szCs w:val="18"/>
                <w:highlight w:val="none"/>
                <w:lang w:eastAsia="en-US"/>
              </w:rPr>
            </w:pPr>
            <w:r>
              <w:rPr>
                <w:rFonts w:hint="default" w:ascii="Times New Roman" w:hAnsi="Times New Roman" w:eastAsia="宋体" w:cs="Times New Roman"/>
                <w:i w:val="0"/>
                <w:iCs w:val="0"/>
                <w:color w:val="0D0D0D"/>
                <w:kern w:val="0"/>
                <w:sz w:val="18"/>
                <w:szCs w:val="18"/>
                <w:highlight w:val="none"/>
                <w:u w:val="none"/>
                <w:lang w:val="en-US" w:eastAsia="zh-CN" w:bidi="ar"/>
              </w:rPr>
              <w:t>2424V/73A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462" w:type="dxa"/>
            <w:vAlign w:val="center"/>
          </w:tcPr>
          <w:p>
            <w:pPr>
              <w:widowControl w:val="0"/>
              <w:numPr>
                <w:ilvl w:val="0"/>
                <w:numId w:val="4"/>
              </w:numPr>
              <w:spacing w:line="479" w:lineRule="exact"/>
              <w:jc w:val="center"/>
              <w:outlineLvl w:val="1"/>
              <w:rPr>
                <w:rFonts w:hint="default" w:ascii="Times New Roman" w:hAnsi="Times New Roman" w:cs="Times New Roman" w:eastAsiaTheme="minorEastAsia"/>
                <w:color w:val="auto"/>
                <w:spacing w:val="0"/>
                <w:sz w:val="18"/>
                <w:szCs w:val="18"/>
                <w:highlight w:val="none"/>
                <w:lang w:val="en-US" w:eastAsia="en-US" w:bidi="ar-SA"/>
              </w:rPr>
            </w:pPr>
            <w:bookmarkStart w:id="93" w:name="_Toc24452"/>
            <w:bookmarkEnd w:id="93"/>
            <w:bookmarkStart w:id="94" w:name="_Toc18740"/>
            <w:bookmarkEnd w:id="94"/>
            <w:bookmarkStart w:id="95" w:name="_Toc12687"/>
            <w:bookmarkEnd w:id="95"/>
            <w:bookmarkStart w:id="96" w:name="_Toc2936"/>
            <w:bookmarkEnd w:id="96"/>
          </w:p>
        </w:tc>
        <w:tc>
          <w:tcPr>
            <w:tcW w:w="101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84854159</w:t>
            </w:r>
          </w:p>
        </w:tc>
        <w:tc>
          <w:tcPr>
            <w:tcW w:w="1214"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D0D0D"/>
                <w:kern w:val="0"/>
                <w:sz w:val="18"/>
                <w:szCs w:val="18"/>
                <w:highlight w:val="none"/>
                <w:u w:val="none"/>
                <w:lang w:val="en-US" w:eastAsia="zh-CN" w:bidi="ar"/>
              </w:rPr>
              <w:t>潜油电机</w:t>
            </w:r>
          </w:p>
        </w:tc>
        <w:tc>
          <w:tcPr>
            <w:tcW w:w="3818"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PMM562-DS-HS-OTS400\ST\440hp\3028V\204℃</w:t>
            </w:r>
          </w:p>
        </w:tc>
        <w:tc>
          <w:tcPr>
            <w:tcW w:w="86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D0D0D"/>
                <w:kern w:val="0"/>
                <w:sz w:val="18"/>
                <w:szCs w:val="18"/>
                <w:highlight w:val="none"/>
                <w:u w:val="none"/>
                <w:lang w:val="en-US" w:eastAsia="zh-CN" w:bidi="ar"/>
              </w:rPr>
            </w:pPr>
            <w:r>
              <w:rPr>
                <w:rFonts w:hint="eastAsia" w:ascii="宋体" w:hAnsi="宋体" w:eastAsia="宋体" w:cs="宋体"/>
                <w:i w:val="0"/>
                <w:iCs w:val="0"/>
                <w:color w:val="0D0D0D"/>
                <w:kern w:val="0"/>
                <w:sz w:val="18"/>
                <w:szCs w:val="18"/>
                <w:u w:val="none"/>
                <w:lang w:val="en-US" w:eastAsia="zh-CN" w:bidi="ar"/>
              </w:rPr>
              <w:t>2件</w:t>
            </w:r>
          </w:p>
        </w:tc>
        <w:tc>
          <w:tcPr>
            <w:tcW w:w="640" w:type="dxa"/>
            <w:vMerge w:val="continue"/>
            <w:vAlign w:val="center"/>
          </w:tcPr>
          <w:p>
            <w:pPr>
              <w:jc w:val="center"/>
              <w:rPr>
                <w:rFonts w:hint="default" w:ascii="Times New Roman" w:hAnsi="Times New Roman" w:cs="Times New Roman" w:eastAsiaTheme="minorEastAsia"/>
                <w:color w:val="auto"/>
                <w:kern w:val="0"/>
                <w:sz w:val="18"/>
                <w:szCs w:val="18"/>
                <w:highlight w:val="none"/>
                <w:lang w:eastAsia="zh-CN"/>
              </w:rPr>
            </w:pPr>
          </w:p>
        </w:tc>
        <w:tc>
          <w:tcPr>
            <w:tcW w:w="799" w:type="dxa"/>
            <w:vMerge w:val="continue"/>
          </w:tcPr>
          <w:p>
            <w:pPr>
              <w:widowControl w:val="0"/>
              <w:spacing w:line="479" w:lineRule="exact"/>
              <w:jc w:val="center"/>
              <w:outlineLvl w:val="9"/>
              <w:rPr>
                <w:rFonts w:hint="default" w:ascii="Times New Roman" w:hAnsi="Times New Roman" w:cs="Times New Roman" w:eastAsiaTheme="minorEastAsia"/>
                <w:color w:val="auto"/>
                <w:spacing w:val="0"/>
                <w:sz w:val="18"/>
                <w:szCs w:val="18"/>
                <w:highlight w:val="none"/>
                <w:lang w:val="en-US" w:eastAsia="zh-CN" w:bidi="ar-SA"/>
              </w:rPr>
            </w:pPr>
          </w:p>
        </w:tc>
        <w:tc>
          <w:tcPr>
            <w:tcW w:w="1184"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18"/>
                <w:szCs w:val="18"/>
                <w:highlight w:val="none"/>
                <w:lang w:eastAsia="en-US"/>
              </w:rPr>
            </w:pPr>
            <w:r>
              <w:rPr>
                <w:rFonts w:hint="default" w:ascii="Times New Roman" w:hAnsi="Times New Roman" w:eastAsia="宋体" w:cs="Times New Roman"/>
                <w:i w:val="0"/>
                <w:iCs w:val="0"/>
                <w:color w:val="0D0D0D"/>
                <w:kern w:val="0"/>
                <w:sz w:val="18"/>
                <w:szCs w:val="18"/>
                <w:highlight w:val="none"/>
                <w:u w:val="none"/>
                <w:lang w:val="en-US" w:eastAsia="zh-CN" w:bidi="ar"/>
              </w:rPr>
              <w:t>3028V/73A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462" w:type="dxa"/>
            <w:vAlign w:val="center"/>
          </w:tcPr>
          <w:p>
            <w:pPr>
              <w:widowControl w:val="0"/>
              <w:numPr>
                <w:ilvl w:val="0"/>
                <w:numId w:val="4"/>
              </w:numPr>
              <w:spacing w:line="479" w:lineRule="exact"/>
              <w:jc w:val="center"/>
              <w:outlineLvl w:val="1"/>
              <w:rPr>
                <w:rFonts w:hint="default" w:ascii="Times New Roman" w:hAnsi="Times New Roman" w:cs="Times New Roman" w:eastAsiaTheme="minorEastAsia"/>
                <w:color w:val="auto"/>
                <w:spacing w:val="0"/>
                <w:sz w:val="18"/>
                <w:szCs w:val="18"/>
                <w:highlight w:val="none"/>
                <w:lang w:val="en-US" w:eastAsia="en-US" w:bidi="ar-SA"/>
              </w:rPr>
            </w:pPr>
            <w:bookmarkStart w:id="97" w:name="_Toc19293"/>
            <w:bookmarkEnd w:id="97"/>
            <w:bookmarkStart w:id="98" w:name="_Toc26524"/>
            <w:bookmarkEnd w:id="98"/>
            <w:bookmarkStart w:id="99" w:name="_Toc10478"/>
            <w:bookmarkEnd w:id="99"/>
            <w:bookmarkStart w:id="100" w:name="_Toc29061"/>
            <w:bookmarkEnd w:id="100"/>
          </w:p>
        </w:tc>
        <w:tc>
          <w:tcPr>
            <w:tcW w:w="101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84854160</w:t>
            </w:r>
          </w:p>
        </w:tc>
        <w:tc>
          <w:tcPr>
            <w:tcW w:w="1214"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D0D0D"/>
                <w:kern w:val="0"/>
                <w:sz w:val="18"/>
                <w:szCs w:val="18"/>
                <w:highlight w:val="none"/>
                <w:u w:val="none"/>
                <w:lang w:val="en-US" w:eastAsia="zh-CN" w:bidi="ar"/>
              </w:rPr>
              <w:t>潜油电机</w:t>
            </w:r>
          </w:p>
        </w:tc>
        <w:tc>
          <w:tcPr>
            <w:tcW w:w="3818"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PMM562-DS-HS-OTS400\ST\572hp\3936V\204℃</w:t>
            </w:r>
          </w:p>
        </w:tc>
        <w:tc>
          <w:tcPr>
            <w:tcW w:w="86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D0D0D"/>
                <w:kern w:val="0"/>
                <w:sz w:val="18"/>
                <w:szCs w:val="18"/>
                <w:highlight w:val="none"/>
                <w:u w:val="none"/>
                <w:lang w:val="en-US" w:eastAsia="zh-CN" w:bidi="ar"/>
              </w:rPr>
            </w:pPr>
            <w:r>
              <w:rPr>
                <w:rFonts w:hint="eastAsia" w:ascii="宋体" w:hAnsi="宋体" w:eastAsia="宋体" w:cs="宋体"/>
                <w:i w:val="0"/>
                <w:iCs w:val="0"/>
                <w:color w:val="0D0D0D"/>
                <w:kern w:val="0"/>
                <w:sz w:val="18"/>
                <w:szCs w:val="18"/>
                <w:u w:val="none"/>
                <w:lang w:val="en-US" w:eastAsia="zh-CN" w:bidi="ar"/>
              </w:rPr>
              <w:t>4件</w:t>
            </w:r>
          </w:p>
        </w:tc>
        <w:tc>
          <w:tcPr>
            <w:tcW w:w="640" w:type="dxa"/>
            <w:vMerge w:val="continue"/>
            <w:vAlign w:val="center"/>
          </w:tcPr>
          <w:p>
            <w:pPr>
              <w:jc w:val="center"/>
              <w:rPr>
                <w:rFonts w:hint="default" w:ascii="Times New Roman" w:hAnsi="Times New Roman" w:cs="Times New Roman" w:eastAsiaTheme="minorEastAsia"/>
                <w:color w:val="auto"/>
                <w:kern w:val="0"/>
                <w:sz w:val="18"/>
                <w:szCs w:val="18"/>
                <w:highlight w:val="none"/>
                <w:lang w:eastAsia="zh-CN"/>
              </w:rPr>
            </w:pPr>
          </w:p>
        </w:tc>
        <w:tc>
          <w:tcPr>
            <w:tcW w:w="799" w:type="dxa"/>
            <w:vMerge w:val="continue"/>
          </w:tcPr>
          <w:p>
            <w:pPr>
              <w:widowControl w:val="0"/>
              <w:spacing w:line="479" w:lineRule="exact"/>
              <w:jc w:val="center"/>
              <w:outlineLvl w:val="9"/>
              <w:rPr>
                <w:rFonts w:hint="default" w:ascii="Times New Roman" w:hAnsi="Times New Roman" w:cs="Times New Roman" w:eastAsiaTheme="minorEastAsia"/>
                <w:color w:val="auto"/>
                <w:spacing w:val="0"/>
                <w:sz w:val="18"/>
                <w:szCs w:val="18"/>
                <w:highlight w:val="none"/>
                <w:lang w:val="en-US" w:eastAsia="zh-CN" w:bidi="ar-SA"/>
              </w:rPr>
            </w:pPr>
          </w:p>
        </w:tc>
        <w:tc>
          <w:tcPr>
            <w:tcW w:w="1184"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18"/>
                <w:szCs w:val="18"/>
                <w:highlight w:val="none"/>
                <w:lang w:eastAsia="en-US"/>
              </w:rPr>
            </w:pPr>
            <w:r>
              <w:rPr>
                <w:rFonts w:hint="default" w:ascii="Times New Roman" w:hAnsi="Times New Roman" w:eastAsia="宋体" w:cs="Times New Roman"/>
                <w:i w:val="0"/>
                <w:iCs w:val="0"/>
                <w:color w:val="0D0D0D"/>
                <w:kern w:val="0"/>
                <w:sz w:val="18"/>
                <w:szCs w:val="18"/>
                <w:highlight w:val="none"/>
                <w:u w:val="none"/>
                <w:lang w:val="en-US" w:eastAsia="zh-CN" w:bidi="ar"/>
              </w:rPr>
              <w:t>3936V/73A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462" w:type="dxa"/>
            <w:vAlign w:val="center"/>
          </w:tcPr>
          <w:p>
            <w:pPr>
              <w:widowControl w:val="0"/>
              <w:numPr>
                <w:ilvl w:val="0"/>
                <w:numId w:val="4"/>
              </w:numPr>
              <w:spacing w:line="479" w:lineRule="exact"/>
              <w:jc w:val="center"/>
              <w:outlineLvl w:val="1"/>
              <w:rPr>
                <w:rFonts w:hint="default" w:ascii="Times New Roman" w:hAnsi="Times New Roman" w:cs="Times New Roman" w:eastAsiaTheme="minorEastAsia"/>
                <w:color w:val="auto"/>
                <w:spacing w:val="0"/>
                <w:sz w:val="18"/>
                <w:szCs w:val="18"/>
                <w:highlight w:val="none"/>
                <w:lang w:val="en-US" w:eastAsia="en-US" w:bidi="ar-SA"/>
              </w:rPr>
            </w:pPr>
            <w:bookmarkStart w:id="101" w:name="_Toc1465"/>
            <w:bookmarkEnd w:id="101"/>
            <w:bookmarkStart w:id="102" w:name="_Toc29295"/>
            <w:bookmarkEnd w:id="102"/>
            <w:bookmarkStart w:id="103" w:name="_Toc30044"/>
            <w:bookmarkEnd w:id="103"/>
            <w:bookmarkStart w:id="104" w:name="_Toc31333"/>
            <w:bookmarkEnd w:id="104"/>
          </w:p>
        </w:tc>
        <w:tc>
          <w:tcPr>
            <w:tcW w:w="101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84854161</w:t>
            </w:r>
          </w:p>
        </w:tc>
        <w:tc>
          <w:tcPr>
            <w:tcW w:w="1214"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D0D0D"/>
                <w:kern w:val="0"/>
                <w:sz w:val="18"/>
                <w:szCs w:val="18"/>
                <w:highlight w:val="none"/>
                <w:u w:val="none"/>
                <w:lang w:val="en-US" w:eastAsia="zh-CN" w:bidi="ar"/>
              </w:rPr>
              <w:t>潜油电机</w:t>
            </w:r>
          </w:p>
        </w:tc>
        <w:tc>
          <w:tcPr>
            <w:tcW w:w="3818"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PMM562-DS-HS-OTS400\ST\704hp\3634V\204℃</w:t>
            </w:r>
          </w:p>
        </w:tc>
        <w:tc>
          <w:tcPr>
            <w:tcW w:w="86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D0D0D"/>
                <w:kern w:val="0"/>
                <w:sz w:val="18"/>
                <w:szCs w:val="18"/>
                <w:highlight w:val="none"/>
                <w:u w:val="none"/>
                <w:lang w:val="en-US" w:eastAsia="zh-CN" w:bidi="ar"/>
              </w:rPr>
            </w:pPr>
            <w:r>
              <w:rPr>
                <w:rFonts w:hint="eastAsia" w:ascii="宋体" w:hAnsi="宋体" w:eastAsia="宋体" w:cs="宋体"/>
                <w:i w:val="0"/>
                <w:iCs w:val="0"/>
                <w:color w:val="0D0D0D"/>
                <w:kern w:val="0"/>
                <w:sz w:val="18"/>
                <w:szCs w:val="18"/>
                <w:u w:val="none"/>
                <w:lang w:val="en-US" w:eastAsia="zh-CN" w:bidi="ar"/>
              </w:rPr>
              <w:t>2件</w:t>
            </w:r>
          </w:p>
        </w:tc>
        <w:tc>
          <w:tcPr>
            <w:tcW w:w="640" w:type="dxa"/>
            <w:vMerge w:val="continue"/>
            <w:vAlign w:val="center"/>
          </w:tcPr>
          <w:p>
            <w:pPr>
              <w:jc w:val="center"/>
              <w:rPr>
                <w:rFonts w:hint="default" w:ascii="Times New Roman" w:hAnsi="Times New Roman" w:cs="Times New Roman" w:eastAsiaTheme="minorEastAsia"/>
                <w:color w:val="auto"/>
                <w:kern w:val="0"/>
                <w:sz w:val="18"/>
                <w:szCs w:val="18"/>
                <w:highlight w:val="none"/>
                <w:lang w:eastAsia="zh-CN"/>
              </w:rPr>
            </w:pPr>
          </w:p>
        </w:tc>
        <w:tc>
          <w:tcPr>
            <w:tcW w:w="799" w:type="dxa"/>
            <w:vMerge w:val="continue"/>
          </w:tcPr>
          <w:p>
            <w:pPr>
              <w:widowControl w:val="0"/>
              <w:spacing w:line="479" w:lineRule="exact"/>
              <w:jc w:val="center"/>
              <w:outlineLvl w:val="9"/>
              <w:rPr>
                <w:rFonts w:hint="default" w:ascii="Times New Roman" w:hAnsi="Times New Roman" w:cs="Times New Roman" w:eastAsiaTheme="minorEastAsia"/>
                <w:color w:val="auto"/>
                <w:spacing w:val="0"/>
                <w:sz w:val="18"/>
                <w:szCs w:val="18"/>
                <w:highlight w:val="none"/>
                <w:lang w:val="en-US" w:eastAsia="zh-CN" w:bidi="ar-SA"/>
              </w:rPr>
            </w:pPr>
          </w:p>
        </w:tc>
        <w:tc>
          <w:tcPr>
            <w:tcW w:w="1184"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18"/>
                <w:szCs w:val="18"/>
                <w:highlight w:val="none"/>
                <w:lang w:eastAsia="en-US"/>
              </w:rPr>
            </w:pPr>
            <w:r>
              <w:rPr>
                <w:rFonts w:hint="default" w:ascii="Times New Roman" w:hAnsi="Times New Roman" w:eastAsia="宋体" w:cs="Times New Roman"/>
                <w:i w:val="0"/>
                <w:iCs w:val="0"/>
                <w:color w:val="0D0D0D"/>
                <w:kern w:val="0"/>
                <w:sz w:val="18"/>
                <w:szCs w:val="18"/>
                <w:highlight w:val="none"/>
                <w:u w:val="none"/>
                <w:lang w:val="en-US" w:eastAsia="zh-CN" w:bidi="ar"/>
              </w:rPr>
              <w:t>3634V/96A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462" w:type="dxa"/>
            <w:vAlign w:val="center"/>
          </w:tcPr>
          <w:p>
            <w:pPr>
              <w:widowControl w:val="0"/>
              <w:numPr>
                <w:ilvl w:val="0"/>
                <w:numId w:val="4"/>
              </w:numPr>
              <w:spacing w:line="479" w:lineRule="exact"/>
              <w:jc w:val="center"/>
              <w:outlineLvl w:val="1"/>
              <w:rPr>
                <w:rFonts w:hint="default" w:ascii="Times New Roman" w:hAnsi="Times New Roman" w:cs="Times New Roman" w:eastAsiaTheme="minorEastAsia"/>
                <w:color w:val="auto"/>
                <w:spacing w:val="0"/>
                <w:sz w:val="18"/>
                <w:szCs w:val="18"/>
                <w:highlight w:val="none"/>
                <w:lang w:val="en-US" w:eastAsia="en-US" w:bidi="ar-SA"/>
              </w:rPr>
            </w:pPr>
            <w:bookmarkStart w:id="105" w:name="_Toc21826"/>
            <w:bookmarkEnd w:id="105"/>
            <w:bookmarkStart w:id="106" w:name="_Toc17846"/>
            <w:bookmarkEnd w:id="106"/>
            <w:bookmarkStart w:id="107" w:name="_Toc10782"/>
            <w:bookmarkEnd w:id="107"/>
            <w:bookmarkStart w:id="108" w:name="_Toc18322"/>
            <w:bookmarkEnd w:id="108"/>
          </w:p>
        </w:tc>
        <w:tc>
          <w:tcPr>
            <w:tcW w:w="101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84854162</w:t>
            </w:r>
          </w:p>
        </w:tc>
        <w:tc>
          <w:tcPr>
            <w:tcW w:w="1214"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D0D0D"/>
                <w:kern w:val="0"/>
                <w:sz w:val="18"/>
                <w:szCs w:val="18"/>
                <w:highlight w:val="none"/>
                <w:u w:val="none"/>
                <w:lang w:val="en-US" w:eastAsia="zh-CN" w:bidi="ar"/>
              </w:rPr>
              <w:t>潜油电机</w:t>
            </w:r>
          </w:p>
        </w:tc>
        <w:tc>
          <w:tcPr>
            <w:tcW w:w="3818"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PMM562-DS-HS-OTS400\ST\836hp\4313V\204℃</w:t>
            </w:r>
          </w:p>
        </w:tc>
        <w:tc>
          <w:tcPr>
            <w:tcW w:w="86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D0D0D"/>
                <w:kern w:val="0"/>
                <w:sz w:val="18"/>
                <w:szCs w:val="18"/>
                <w:highlight w:val="none"/>
                <w:u w:val="none"/>
                <w:lang w:val="en-US" w:eastAsia="zh-CN" w:bidi="ar"/>
              </w:rPr>
            </w:pPr>
            <w:r>
              <w:rPr>
                <w:rFonts w:hint="eastAsia" w:ascii="宋体" w:hAnsi="宋体" w:eastAsia="宋体" w:cs="宋体"/>
                <w:i w:val="0"/>
                <w:iCs w:val="0"/>
                <w:color w:val="0D0D0D"/>
                <w:kern w:val="0"/>
                <w:sz w:val="18"/>
                <w:szCs w:val="18"/>
                <w:u w:val="none"/>
                <w:lang w:val="en-US" w:eastAsia="zh-CN" w:bidi="ar"/>
              </w:rPr>
              <w:t>1件</w:t>
            </w:r>
          </w:p>
        </w:tc>
        <w:tc>
          <w:tcPr>
            <w:tcW w:w="640" w:type="dxa"/>
            <w:vMerge w:val="continue"/>
            <w:vAlign w:val="center"/>
          </w:tcPr>
          <w:p>
            <w:pPr>
              <w:jc w:val="center"/>
              <w:rPr>
                <w:rFonts w:hint="default" w:ascii="Times New Roman" w:hAnsi="Times New Roman" w:cs="Times New Roman" w:eastAsiaTheme="minorEastAsia"/>
                <w:color w:val="auto"/>
                <w:kern w:val="0"/>
                <w:sz w:val="18"/>
                <w:szCs w:val="18"/>
                <w:highlight w:val="none"/>
                <w:lang w:eastAsia="zh-CN"/>
              </w:rPr>
            </w:pPr>
          </w:p>
        </w:tc>
        <w:tc>
          <w:tcPr>
            <w:tcW w:w="799" w:type="dxa"/>
            <w:vMerge w:val="continue"/>
          </w:tcPr>
          <w:p>
            <w:pPr>
              <w:widowControl w:val="0"/>
              <w:spacing w:line="479" w:lineRule="exact"/>
              <w:jc w:val="center"/>
              <w:outlineLvl w:val="9"/>
              <w:rPr>
                <w:rFonts w:hint="default" w:ascii="Times New Roman" w:hAnsi="Times New Roman" w:cs="Times New Roman" w:eastAsiaTheme="minorEastAsia"/>
                <w:color w:val="auto"/>
                <w:spacing w:val="0"/>
                <w:sz w:val="18"/>
                <w:szCs w:val="18"/>
                <w:highlight w:val="none"/>
                <w:lang w:val="en-US" w:eastAsia="zh-CN" w:bidi="ar-SA"/>
              </w:rPr>
            </w:pPr>
          </w:p>
        </w:tc>
        <w:tc>
          <w:tcPr>
            <w:tcW w:w="1184" w:type="dxa"/>
            <w:vAlign w:val="center"/>
          </w:tcPr>
          <w:p>
            <w:pPr>
              <w:keepNext w:val="0"/>
              <w:keepLines w:val="0"/>
              <w:widowControl/>
              <w:suppressLineNumbers w:val="0"/>
              <w:jc w:val="center"/>
              <w:textAlignment w:val="center"/>
              <w:rPr>
                <w:rFonts w:hint="default" w:ascii="Times New Roman" w:hAnsi="Times New Roman" w:cs="Times New Roman" w:eastAsiaTheme="minorEastAsia"/>
                <w:color w:val="auto"/>
                <w:kern w:val="0"/>
                <w:sz w:val="18"/>
                <w:szCs w:val="18"/>
                <w:highlight w:val="none"/>
                <w:lang w:eastAsia="en-US"/>
              </w:rPr>
            </w:pPr>
            <w:r>
              <w:rPr>
                <w:rFonts w:hint="default" w:ascii="Times New Roman" w:hAnsi="Times New Roman" w:eastAsia="宋体" w:cs="Times New Roman"/>
                <w:i w:val="0"/>
                <w:iCs w:val="0"/>
                <w:color w:val="0D0D0D"/>
                <w:kern w:val="0"/>
                <w:sz w:val="18"/>
                <w:szCs w:val="18"/>
                <w:highlight w:val="none"/>
                <w:u w:val="none"/>
                <w:lang w:val="en-US" w:eastAsia="zh-CN" w:bidi="ar"/>
              </w:rPr>
              <w:t>4313V/96A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462" w:type="dxa"/>
            <w:vAlign w:val="center"/>
          </w:tcPr>
          <w:p>
            <w:pPr>
              <w:widowControl w:val="0"/>
              <w:numPr>
                <w:ilvl w:val="0"/>
                <w:numId w:val="4"/>
              </w:numPr>
              <w:spacing w:line="479" w:lineRule="exact"/>
              <w:jc w:val="center"/>
              <w:outlineLvl w:val="1"/>
              <w:rPr>
                <w:rFonts w:hint="default" w:ascii="Times New Roman" w:hAnsi="Times New Roman" w:cs="Times New Roman" w:eastAsiaTheme="minorEastAsia"/>
                <w:color w:val="auto"/>
                <w:spacing w:val="0"/>
                <w:sz w:val="18"/>
                <w:szCs w:val="18"/>
                <w:highlight w:val="none"/>
                <w:lang w:val="en-US" w:eastAsia="en-US" w:bidi="ar-SA"/>
              </w:rPr>
            </w:pPr>
            <w:bookmarkStart w:id="109" w:name="_Toc17462"/>
            <w:bookmarkEnd w:id="109"/>
            <w:bookmarkStart w:id="110" w:name="_Toc21741"/>
            <w:bookmarkEnd w:id="110"/>
            <w:bookmarkStart w:id="111" w:name="_Toc25801"/>
            <w:bookmarkEnd w:id="111"/>
            <w:bookmarkStart w:id="112" w:name="_Toc2459"/>
            <w:bookmarkEnd w:id="112"/>
          </w:p>
        </w:tc>
        <w:tc>
          <w:tcPr>
            <w:tcW w:w="101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84615654</w:t>
            </w:r>
          </w:p>
        </w:tc>
        <w:tc>
          <w:tcPr>
            <w:tcW w:w="1214"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潜油保护器</w:t>
            </w:r>
          </w:p>
        </w:tc>
        <w:tc>
          <w:tcPr>
            <w:tcW w:w="3818" w:type="dxa"/>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BPR338-HS\BPBSL/BPBSL\高承载\180℃</w:t>
            </w:r>
          </w:p>
        </w:tc>
        <w:tc>
          <w:tcPr>
            <w:tcW w:w="86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D0D0D"/>
                <w:kern w:val="0"/>
                <w:sz w:val="18"/>
                <w:szCs w:val="18"/>
                <w:highlight w:val="none"/>
                <w:u w:val="none"/>
                <w:lang w:val="en-US" w:eastAsia="zh-CN" w:bidi="ar"/>
              </w:rPr>
            </w:pPr>
            <w:r>
              <w:rPr>
                <w:rFonts w:hint="eastAsia" w:ascii="宋体" w:hAnsi="宋体" w:eastAsia="宋体" w:cs="宋体"/>
                <w:i w:val="0"/>
                <w:iCs w:val="0"/>
                <w:color w:val="0D0D0D"/>
                <w:kern w:val="0"/>
                <w:sz w:val="18"/>
                <w:szCs w:val="18"/>
                <w:u w:val="none"/>
                <w:lang w:val="en-US" w:eastAsia="zh-CN" w:bidi="ar"/>
              </w:rPr>
              <w:t>2件</w:t>
            </w:r>
          </w:p>
        </w:tc>
        <w:tc>
          <w:tcPr>
            <w:tcW w:w="640" w:type="dxa"/>
            <w:vMerge w:val="continue"/>
            <w:vAlign w:val="center"/>
          </w:tcPr>
          <w:p>
            <w:pPr>
              <w:jc w:val="center"/>
              <w:rPr>
                <w:rFonts w:hint="default" w:ascii="Times New Roman" w:hAnsi="Times New Roman" w:cs="Times New Roman" w:eastAsiaTheme="minorEastAsia"/>
                <w:color w:val="auto"/>
                <w:kern w:val="0"/>
                <w:sz w:val="18"/>
                <w:szCs w:val="18"/>
                <w:highlight w:val="none"/>
                <w:lang w:eastAsia="zh-CN"/>
              </w:rPr>
            </w:pPr>
          </w:p>
        </w:tc>
        <w:tc>
          <w:tcPr>
            <w:tcW w:w="799" w:type="dxa"/>
            <w:vMerge w:val="continue"/>
            <w:vAlign w:val="center"/>
          </w:tcPr>
          <w:p>
            <w:pPr>
              <w:widowControl w:val="0"/>
              <w:spacing w:line="479" w:lineRule="exact"/>
              <w:jc w:val="both"/>
              <w:outlineLvl w:val="9"/>
              <w:rPr>
                <w:rFonts w:hint="default" w:ascii="Times New Roman" w:hAnsi="Times New Roman" w:cs="Times New Roman" w:eastAsiaTheme="minorEastAsia"/>
                <w:color w:val="auto"/>
                <w:spacing w:val="0"/>
                <w:sz w:val="18"/>
                <w:szCs w:val="18"/>
                <w:highlight w:val="none"/>
                <w:lang w:val="en-US" w:eastAsia="zh-CN" w:bidi="ar-SA"/>
              </w:rPr>
            </w:pPr>
          </w:p>
        </w:tc>
        <w:tc>
          <w:tcPr>
            <w:tcW w:w="1184" w:type="dxa"/>
            <w:vAlign w:val="center"/>
          </w:tcPr>
          <w:p>
            <w:pPr>
              <w:widowControl/>
              <w:jc w:val="center"/>
              <w:rPr>
                <w:rFonts w:hint="default" w:ascii="Times New Roman" w:hAnsi="Times New Roman" w:cs="Times New Roman" w:eastAsiaTheme="minorEastAsia"/>
                <w:color w:val="auto"/>
                <w:kern w:val="0"/>
                <w:sz w:val="18"/>
                <w:szCs w:val="18"/>
                <w:highlight w:val="none"/>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462" w:type="dxa"/>
            <w:vAlign w:val="center"/>
          </w:tcPr>
          <w:p>
            <w:pPr>
              <w:widowControl w:val="0"/>
              <w:numPr>
                <w:ilvl w:val="0"/>
                <w:numId w:val="4"/>
              </w:numPr>
              <w:spacing w:line="479" w:lineRule="exact"/>
              <w:jc w:val="center"/>
              <w:outlineLvl w:val="1"/>
              <w:rPr>
                <w:rFonts w:hint="default" w:ascii="Times New Roman" w:hAnsi="Times New Roman" w:cs="Times New Roman" w:eastAsiaTheme="minorEastAsia"/>
                <w:color w:val="auto"/>
                <w:spacing w:val="0"/>
                <w:sz w:val="18"/>
                <w:szCs w:val="18"/>
                <w:highlight w:val="none"/>
                <w:lang w:val="en-US" w:eastAsia="en-US" w:bidi="ar-SA"/>
              </w:rPr>
            </w:pPr>
            <w:bookmarkStart w:id="113" w:name="_Toc8284"/>
            <w:bookmarkEnd w:id="113"/>
            <w:bookmarkStart w:id="114" w:name="_Toc30232"/>
            <w:bookmarkEnd w:id="114"/>
            <w:bookmarkStart w:id="115" w:name="_Toc28869"/>
            <w:bookmarkEnd w:id="115"/>
            <w:bookmarkStart w:id="116" w:name="_Toc790"/>
            <w:bookmarkEnd w:id="116"/>
          </w:p>
        </w:tc>
        <w:tc>
          <w:tcPr>
            <w:tcW w:w="101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84619343</w:t>
            </w:r>
          </w:p>
        </w:tc>
        <w:tc>
          <w:tcPr>
            <w:tcW w:w="1214"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潜油保护器</w:t>
            </w:r>
          </w:p>
        </w:tc>
        <w:tc>
          <w:tcPr>
            <w:tcW w:w="3818" w:type="dxa"/>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BPR400-HS\结构:BPBSL/BPBSL\高承载\180℃</w:t>
            </w:r>
          </w:p>
        </w:tc>
        <w:tc>
          <w:tcPr>
            <w:tcW w:w="86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D0D0D"/>
                <w:kern w:val="0"/>
                <w:sz w:val="18"/>
                <w:szCs w:val="18"/>
                <w:highlight w:val="none"/>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37 </w:t>
            </w:r>
            <w:r>
              <w:rPr>
                <w:rFonts w:hint="eastAsia" w:ascii="宋体" w:hAnsi="宋体" w:eastAsia="宋体" w:cs="宋体"/>
                <w:i w:val="0"/>
                <w:iCs w:val="0"/>
                <w:color w:val="0D0D0D"/>
                <w:kern w:val="0"/>
                <w:sz w:val="18"/>
                <w:szCs w:val="18"/>
                <w:u w:val="none"/>
                <w:lang w:val="en-US" w:eastAsia="zh-CN" w:bidi="ar"/>
              </w:rPr>
              <w:t>件</w:t>
            </w:r>
          </w:p>
        </w:tc>
        <w:tc>
          <w:tcPr>
            <w:tcW w:w="640" w:type="dxa"/>
            <w:vMerge w:val="continue"/>
            <w:vAlign w:val="center"/>
          </w:tcPr>
          <w:p>
            <w:pPr>
              <w:jc w:val="center"/>
              <w:rPr>
                <w:rFonts w:hint="default" w:ascii="Times New Roman" w:hAnsi="Times New Roman" w:cs="Times New Roman" w:eastAsiaTheme="minorEastAsia"/>
                <w:color w:val="auto"/>
                <w:kern w:val="0"/>
                <w:sz w:val="18"/>
                <w:szCs w:val="18"/>
                <w:highlight w:val="none"/>
                <w:lang w:eastAsia="zh-CN"/>
              </w:rPr>
            </w:pPr>
          </w:p>
        </w:tc>
        <w:tc>
          <w:tcPr>
            <w:tcW w:w="799" w:type="dxa"/>
            <w:vMerge w:val="continue"/>
          </w:tcPr>
          <w:p>
            <w:pPr>
              <w:widowControl w:val="0"/>
              <w:spacing w:line="479" w:lineRule="exact"/>
              <w:jc w:val="center"/>
              <w:outlineLvl w:val="9"/>
              <w:rPr>
                <w:rFonts w:hint="default" w:ascii="Times New Roman" w:hAnsi="Times New Roman" w:cs="Times New Roman" w:eastAsiaTheme="minorEastAsia"/>
                <w:color w:val="auto"/>
                <w:spacing w:val="0"/>
                <w:sz w:val="18"/>
                <w:szCs w:val="18"/>
                <w:highlight w:val="none"/>
                <w:lang w:val="en-US" w:eastAsia="zh-CN" w:bidi="ar-SA"/>
              </w:rPr>
            </w:pPr>
          </w:p>
        </w:tc>
        <w:tc>
          <w:tcPr>
            <w:tcW w:w="1184" w:type="dxa"/>
            <w:vAlign w:val="center"/>
          </w:tcPr>
          <w:p>
            <w:pPr>
              <w:widowControl/>
              <w:jc w:val="center"/>
              <w:rPr>
                <w:rFonts w:hint="default" w:ascii="Times New Roman" w:hAnsi="Times New Roman" w:cs="Times New Roman" w:eastAsiaTheme="minorEastAsia"/>
                <w:color w:val="auto"/>
                <w:kern w:val="0"/>
                <w:sz w:val="18"/>
                <w:szCs w:val="18"/>
                <w:highlight w:val="none"/>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462" w:type="dxa"/>
            <w:vAlign w:val="center"/>
          </w:tcPr>
          <w:p>
            <w:pPr>
              <w:widowControl w:val="0"/>
              <w:numPr>
                <w:ilvl w:val="0"/>
                <w:numId w:val="4"/>
              </w:numPr>
              <w:spacing w:line="479" w:lineRule="exact"/>
              <w:jc w:val="center"/>
              <w:outlineLvl w:val="1"/>
              <w:rPr>
                <w:rFonts w:hint="default" w:ascii="Times New Roman" w:hAnsi="Times New Roman" w:cs="Times New Roman" w:eastAsiaTheme="minorEastAsia"/>
                <w:color w:val="auto"/>
                <w:spacing w:val="0"/>
                <w:sz w:val="18"/>
                <w:szCs w:val="18"/>
                <w:highlight w:val="none"/>
                <w:lang w:val="en-US" w:eastAsia="en-US" w:bidi="ar-SA"/>
              </w:rPr>
            </w:pPr>
            <w:bookmarkStart w:id="117" w:name="_Toc18714"/>
            <w:bookmarkEnd w:id="117"/>
            <w:bookmarkStart w:id="118" w:name="_Toc1960"/>
            <w:bookmarkEnd w:id="118"/>
            <w:bookmarkStart w:id="119" w:name="_Toc32709"/>
            <w:bookmarkEnd w:id="119"/>
            <w:bookmarkStart w:id="120" w:name="_Toc19185"/>
            <w:bookmarkEnd w:id="120"/>
          </w:p>
        </w:tc>
        <w:tc>
          <w:tcPr>
            <w:tcW w:w="101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84615658</w:t>
            </w:r>
          </w:p>
        </w:tc>
        <w:tc>
          <w:tcPr>
            <w:tcW w:w="1214"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潜油保护器</w:t>
            </w:r>
          </w:p>
        </w:tc>
        <w:tc>
          <w:tcPr>
            <w:tcW w:w="3818"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BPR540-HS\BPBSL/BPBSL\高承载\180℃</w:t>
            </w:r>
          </w:p>
        </w:tc>
        <w:tc>
          <w:tcPr>
            <w:tcW w:w="86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D0D0D"/>
                <w:kern w:val="0"/>
                <w:sz w:val="18"/>
                <w:szCs w:val="18"/>
                <w:highlight w:val="none"/>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r>
              <w:rPr>
                <w:rFonts w:hint="eastAsia" w:ascii="宋体" w:hAnsi="宋体" w:eastAsia="宋体" w:cs="宋体"/>
                <w:i w:val="0"/>
                <w:iCs w:val="0"/>
                <w:color w:val="0D0D0D"/>
                <w:kern w:val="0"/>
                <w:sz w:val="18"/>
                <w:szCs w:val="18"/>
                <w:u w:val="none"/>
                <w:lang w:val="en-US" w:eastAsia="zh-CN" w:bidi="ar"/>
              </w:rPr>
              <w:t>件</w:t>
            </w:r>
            <w:r>
              <w:rPr>
                <w:rFonts w:hint="eastAsia" w:ascii="宋体" w:hAnsi="宋体" w:eastAsia="宋体" w:cs="宋体"/>
                <w:i w:val="0"/>
                <w:iCs w:val="0"/>
                <w:color w:val="000000"/>
                <w:kern w:val="0"/>
                <w:sz w:val="18"/>
                <w:szCs w:val="18"/>
                <w:u w:val="none"/>
                <w:lang w:val="en-US" w:eastAsia="zh-CN" w:bidi="ar"/>
              </w:rPr>
              <w:t xml:space="preserve"> </w:t>
            </w:r>
          </w:p>
        </w:tc>
        <w:tc>
          <w:tcPr>
            <w:tcW w:w="640" w:type="dxa"/>
            <w:vMerge w:val="continue"/>
            <w:vAlign w:val="center"/>
          </w:tcPr>
          <w:p>
            <w:pPr>
              <w:jc w:val="center"/>
              <w:rPr>
                <w:rFonts w:hint="default" w:ascii="Times New Roman" w:hAnsi="Times New Roman" w:cs="Times New Roman" w:eastAsiaTheme="minorEastAsia"/>
                <w:color w:val="auto"/>
                <w:kern w:val="0"/>
                <w:sz w:val="18"/>
                <w:szCs w:val="18"/>
                <w:highlight w:val="none"/>
                <w:lang w:eastAsia="zh-CN"/>
              </w:rPr>
            </w:pPr>
          </w:p>
        </w:tc>
        <w:tc>
          <w:tcPr>
            <w:tcW w:w="799" w:type="dxa"/>
            <w:vMerge w:val="continue"/>
          </w:tcPr>
          <w:p>
            <w:pPr>
              <w:widowControl w:val="0"/>
              <w:spacing w:line="479" w:lineRule="exact"/>
              <w:jc w:val="center"/>
              <w:outlineLvl w:val="9"/>
              <w:rPr>
                <w:rFonts w:hint="default" w:ascii="Times New Roman" w:hAnsi="Times New Roman" w:cs="Times New Roman" w:eastAsiaTheme="minorEastAsia"/>
                <w:color w:val="auto"/>
                <w:spacing w:val="0"/>
                <w:sz w:val="18"/>
                <w:szCs w:val="18"/>
                <w:highlight w:val="none"/>
                <w:lang w:val="en-US" w:eastAsia="zh-CN" w:bidi="ar-SA"/>
              </w:rPr>
            </w:pPr>
          </w:p>
        </w:tc>
        <w:tc>
          <w:tcPr>
            <w:tcW w:w="1184" w:type="dxa"/>
            <w:vAlign w:val="center"/>
          </w:tcPr>
          <w:p>
            <w:pPr>
              <w:widowControl/>
              <w:jc w:val="center"/>
              <w:rPr>
                <w:rFonts w:hint="default" w:ascii="Times New Roman" w:hAnsi="Times New Roman" w:cs="Times New Roman" w:eastAsiaTheme="minorEastAsia"/>
                <w:color w:val="auto"/>
                <w:kern w:val="0"/>
                <w:sz w:val="18"/>
                <w:szCs w:val="18"/>
                <w:highlight w:val="none"/>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462" w:type="dxa"/>
            <w:vAlign w:val="center"/>
          </w:tcPr>
          <w:p>
            <w:pPr>
              <w:widowControl w:val="0"/>
              <w:numPr>
                <w:ilvl w:val="0"/>
                <w:numId w:val="4"/>
              </w:numPr>
              <w:spacing w:line="479" w:lineRule="exact"/>
              <w:jc w:val="center"/>
              <w:outlineLvl w:val="1"/>
              <w:rPr>
                <w:rFonts w:hint="default" w:ascii="Times New Roman" w:hAnsi="Times New Roman" w:cs="Times New Roman" w:eastAsiaTheme="minorEastAsia"/>
                <w:color w:val="auto"/>
                <w:spacing w:val="0"/>
                <w:sz w:val="18"/>
                <w:szCs w:val="18"/>
                <w:highlight w:val="none"/>
                <w:lang w:val="en-US" w:eastAsia="en-US" w:bidi="ar-SA"/>
              </w:rPr>
            </w:pPr>
            <w:bookmarkStart w:id="121" w:name="_Toc19458"/>
            <w:bookmarkEnd w:id="121"/>
            <w:bookmarkStart w:id="122" w:name="_Toc3044"/>
            <w:bookmarkEnd w:id="122"/>
            <w:bookmarkStart w:id="123" w:name="_Toc20973"/>
            <w:bookmarkEnd w:id="123"/>
            <w:bookmarkStart w:id="124" w:name="_Toc5734"/>
            <w:bookmarkEnd w:id="124"/>
          </w:p>
        </w:tc>
        <w:tc>
          <w:tcPr>
            <w:tcW w:w="101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84615615</w:t>
            </w:r>
          </w:p>
        </w:tc>
        <w:tc>
          <w:tcPr>
            <w:tcW w:w="1214"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高转速电机转子总成</w:t>
            </w:r>
          </w:p>
        </w:tc>
        <w:tc>
          <w:tcPr>
            <w:tcW w:w="3818"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高转速电机转子总成\450\中海油能源发展股份有限公司工程技术分公司</w:t>
            </w:r>
          </w:p>
        </w:tc>
        <w:tc>
          <w:tcPr>
            <w:tcW w:w="86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D0D0D"/>
                <w:kern w:val="0"/>
                <w:sz w:val="18"/>
                <w:szCs w:val="18"/>
                <w:highlight w:val="none"/>
                <w:u w:val="none"/>
                <w:lang w:val="en-US" w:eastAsia="zh-CN" w:bidi="ar"/>
              </w:rPr>
            </w:pPr>
            <w:r>
              <w:rPr>
                <w:rFonts w:hint="eastAsia" w:ascii="宋体" w:hAnsi="宋体" w:eastAsia="宋体" w:cs="宋体"/>
                <w:i w:val="0"/>
                <w:iCs w:val="0"/>
                <w:color w:val="000000"/>
                <w:kern w:val="0"/>
                <w:sz w:val="18"/>
                <w:szCs w:val="18"/>
                <w:u w:val="none"/>
                <w:lang w:val="en-US" w:eastAsia="zh-CN" w:bidi="ar"/>
              </w:rPr>
              <w:t>234 节</w:t>
            </w:r>
          </w:p>
        </w:tc>
        <w:tc>
          <w:tcPr>
            <w:tcW w:w="640" w:type="dxa"/>
            <w:vMerge w:val="continue"/>
            <w:vAlign w:val="center"/>
          </w:tcPr>
          <w:p>
            <w:pPr>
              <w:jc w:val="center"/>
              <w:rPr>
                <w:rFonts w:hint="default" w:ascii="Times New Roman" w:hAnsi="Times New Roman" w:cs="Times New Roman" w:eastAsiaTheme="minorEastAsia"/>
                <w:color w:val="auto"/>
                <w:kern w:val="0"/>
                <w:sz w:val="18"/>
                <w:szCs w:val="18"/>
                <w:highlight w:val="none"/>
                <w:lang w:eastAsia="zh-CN"/>
              </w:rPr>
            </w:pPr>
          </w:p>
        </w:tc>
        <w:tc>
          <w:tcPr>
            <w:tcW w:w="799" w:type="dxa"/>
            <w:vMerge w:val="continue"/>
          </w:tcPr>
          <w:p>
            <w:pPr>
              <w:widowControl w:val="0"/>
              <w:spacing w:line="479" w:lineRule="exact"/>
              <w:jc w:val="center"/>
              <w:outlineLvl w:val="9"/>
              <w:rPr>
                <w:rFonts w:hint="default" w:ascii="Times New Roman" w:hAnsi="Times New Roman" w:cs="Times New Roman" w:eastAsiaTheme="minorEastAsia"/>
                <w:color w:val="auto"/>
                <w:spacing w:val="0"/>
                <w:sz w:val="18"/>
                <w:szCs w:val="18"/>
                <w:highlight w:val="none"/>
                <w:lang w:val="en-US" w:eastAsia="zh-CN" w:bidi="ar-SA"/>
              </w:rPr>
            </w:pPr>
          </w:p>
        </w:tc>
        <w:tc>
          <w:tcPr>
            <w:tcW w:w="1184" w:type="dxa"/>
            <w:vAlign w:val="center"/>
          </w:tcPr>
          <w:p>
            <w:pPr>
              <w:widowControl/>
              <w:jc w:val="center"/>
              <w:rPr>
                <w:rFonts w:hint="default" w:ascii="Times New Roman" w:hAnsi="Times New Roman" w:cs="Times New Roman" w:eastAsiaTheme="minorEastAsia"/>
                <w:color w:val="auto"/>
                <w:kern w:val="0"/>
                <w:sz w:val="18"/>
                <w:szCs w:val="18"/>
                <w:highlight w:val="none"/>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462" w:type="dxa"/>
            <w:vAlign w:val="center"/>
          </w:tcPr>
          <w:p>
            <w:pPr>
              <w:widowControl w:val="0"/>
              <w:numPr>
                <w:ilvl w:val="0"/>
                <w:numId w:val="4"/>
              </w:numPr>
              <w:spacing w:line="479" w:lineRule="exact"/>
              <w:jc w:val="center"/>
              <w:outlineLvl w:val="1"/>
              <w:rPr>
                <w:rFonts w:hint="default" w:ascii="Times New Roman" w:hAnsi="Times New Roman" w:cs="Times New Roman" w:eastAsiaTheme="minorEastAsia"/>
                <w:color w:val="auto"/>
                <w:spacing w:val="0"/>
                <w:sz w:val="18"/>
                <w:szCs w:val="18"/>
                <w:highlight w:val="none"/>
                <w:lang w:val="en-US" w:eastAsia="en-US" w:bidi="ar-SA"/>
              </w:rPr>
            </w:pPr>
            <w:bookmarkStart w:id="125" w:name="_Toc9273"/>
            <w:bookmarkEnd w:id="125"/>
            <w:bookmarkStart w:id="126" w:name="_Toc12577"/>
            <w:bookmarkEnd w:id="126"/>
            <w:bookmarkStart w:id="127" w:name="_Toc8004"/>
            <w:bookmarkEnd w:id="127"/>
            <w:bookmarkStart w:id="128" w:name="_Toc26221"/>
            <w:bookmarkEnd w:id="128"/>
          </w:p>
        </w:tc>
        <w:tc>
          <w:tcPr>
            <w:tcW w:w="101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84615616</w:t>
            </w:r>
          </w:p>
        </w:tc>
        <w:tc>
          <w:tcPr>
            <w:tcW w:w="1214"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高转速电机定子片</w:t>
            </w:r>
          </w:p>
        </w:tc>
        <w:tc>
          <w:tcPr>
            <w:tcW w:w="3818"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高转速电机定子片\450\中海油能源发展股份有限公司工程技术分公司</w:t>
            </w:r>
          </w:p>
        </w:tc>
        <w:tc>
          <w:tcPr>
            <w:tcW w:w="86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D0D0D"/>
                <w:kern w:val="0"/>
                <w:sz w:val="18"/>
                <w:szCs w:val="18"/>
                <w:highlight w:val="none"/>
                <w:u w:val="none"/>
                <w:lang w:val="en-US" w:eastAsia="zh-CN" w:bidi="ar"/>
              </w:rPr>
            </w:pPr>
            <w:r>
              <w:rPr>
                <w:rFonts w:hint="eastAsia" w:ascii="宋体" w:hAnsi="宋体" w:eastAsia="宋体" w:cs="宋体"/>
                <w:i w:val="0"/>
                <w:iCs w:val="0"/>
                <w:color w:val="000000"/>
                <w:kern w:val="0"/>
                <w:sz w:val="18"/>
                <w:szCs w:val="18"/>
                <w:u w:val="none"/>
                <w:lang w:val="en-US" w:eastAsia="zh-CN" w:bidi="ar"/>
              </w:rPr>
              <w:t>260000 片</w:t>
            </w:r>
          </w:p>
        </w:tc>
        <w:tc>
          <w:tcPr>
            <w:tcW w:w="640" w:type="dxa"/>
            <w:vMerge w:val="continue"/>
            <w:vAlign w:val="center"/>
          </w:tcPr>
          <w:p>
            <w:pPr>
              <w:jc w:val="center"/>
              <w:rPr>
                <w:rFonts w:hint="default" w:ascii="Times New Roman" w:hAnsi="Times New Roman" w:cs="Times New Roman" w:eastAsiaTheme="minorEastAsia"/>
                <w:color w:val="auto"/>
                <w:kern w:val="0"/>
                <w:sz w:val="18"/>
                <w:szCs w:val="18"/>
                <w:highlight w:val="none"/>
                <w:lang w:eastAsia="zh-CN"/>
              </w:rPr>
            </w:pPr>
          </w:p>
        </w:tc>
        <w:tc>
          <w:tcPr>
            <w:tcW w:w="799" w:type="dxa"/>
            <w:vMerge w:val="continue"/>
          </w:tcPr>
          <w:p>
            <w:pPr>
              <w:widowControl w:val="0"/>
              <w:spacing w:line="479" w:lineRule="exact"/>
              <w:jc w:val="center"/>
              <w:outlineLvl w:val="9"/>
              <w:rPr>
                <w:rFonts w:hint="default" w:ascii="Times New Roman" w:hAnsi="Times New Roman" w:cs="Times New Roman" w:eastAsiaTheme="minorEastAsia"/>
                <w:color w:val="auto"/>
                <w:spacing w:val="0"/>
                <w:sz w:val="18"/>
                <w:szCs w:val="18"/>
                <w:highlight w:val="none"/>
                <w:lang w:val="en-US" w:eastAsia="zh-CN" w:bidi="ar-SA"/>
              </w:rPr>
            </w:pPr>
          </w:p>
        </w:tc>
        <w:tc>
          <w:tcPr>
            <w:tcW w:w="1184" w:type="dxa"/>
            <w:vAlign w:val="center"/>
          </w:tcPr>
          <w:p>
            <w:pPr>
              <w:widowControl/>
              <w:jc w:val="center"/>
              <w:rPr>
                <w:rFonts w:hint="default" w:ascii="Times New Roman" w:hAnsi="Times New Roman" w:cs="Times New Roman" w:eastAsiaTheme="minorEastAsia"/>
                <w:color w:val="auto"/>
                <w:kern w:val="0"/>
                <w:sz w:val="18"/>
                <w:szCs w:val="18"/>
                <w:highlight w:val="none"/>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462" w:type="dxa"/>
            <w:vAlign w:val="center"/>
          </w:tcPr>
          <w:p>
            <w:pPr>
              <w:widowControl w:val="0"/>
              <w:numPr>
                <w:ilvl w:val="0"/>
                <w:numId w:val="4"/>
              </w:numPr>
              <w:spacing w:line="479" w:lineRule="exact"/>
              <w:jc w:val="center"/>
              <w:outlineLvl w:val="1"/>
              <w:rPr>
                <w:rFonts w:hint="default" w:ascii="Times New Roman" w:hAnsi="Times New Roman" w:cs="Times New Roman" w:eastAsiaTheme="minorEastAsia"/>
                <w:color w:val="auto"/>
                <w:spacing w:val="0"/>
                <w:sz w:val="18"/>
                <w:szCs w:val="18"/>
                <w:highlight w:val="none"/>
                <w:lang w:val="en-US" w:eastAsia="en-US" w:bidi="ar-SA"/>
              </w:rPr>
            </w:pPr>
            <w:bookmarkStart w:id="129" w:name="_Toc25707"/>
            <w:bookmarkEnd w:id="129"/>
            <w:bookmarkStart w:id="130" w:name="_Toc11952"/>
            <w:bookmarkEnd w:id="130"/>
            <w:bookmarkStart w:id="131" w:name="_Toc12851"/>
            <w:bookmarkEnd w:id="131"/>
            <w:bookmarkStart w:id="132" w:name="_Toc29898"/>
            <w:bookmarkEnd w:id="132"/>
          </w:p>
        </w:tc>
        <w:tc>
          <w:tcPr>
            <w:tcW w:w="101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84615617</w:t>
            </w:r>
          </w:p>
        </w:tc>
        <w:tc>
          <w:tcPr>
            <w:tcW w:w="1214"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高转速电机转子总成</w:t>
            </w:r>
          </w:p>
        </w:tc>
        <w:tc>
          <w:tcPr>
            <w:tcW w:w="3818"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高转速电机转子总成\562\中海油能源发展股份有限公司工程技术分公司</w:t>
            </w:r>
          </w:p>
        </w:tc>
        <w:tc>
          <w:tcPr>
            <w:tcW w:w="86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D0D0D"/>
                <w:kern w:val="0"/>
                <w:sz w:val="18"/>
                <w:szCs w:val="18"/>
                <w:highlight w:val="none"/>
                <w:u w:val="none"/>
                <w:lang w:val="en-US" w:eastAsia="zh-CN" w:bidi="ar"/>
              </w:rPr>
            </w:pPr>
            <w:r>
              <w:rPr>
                <w:rFonts w:hint="eastAsia" w:ascii="宋体" w:hAnsi="宋体" w:eastAsia="宋体" w:cs="宋体"/>
                <w:i w:val="0"/>
                <w:iCs w:val="0"/>
                <w:color w:val="000000"/>
                <w:kern w:val="0"/>
                <w:sz w:val="18"/>
                <w:szCs w:val="18"/>
                <w:u w:val="none"/>
                <w:lang w:val="en-US" w:eastAsia="zh-CN" w:bidi="ar"/>
              </w:rPr>
              <w:t>208 节</w:t>
            </w:r>
          </w:p>
        </w:tc>
        <w:tc>
          <w:tcPr>
            <w:tcW w:w="640" w:type="dxa"/>
            <w:vMerge w:val="continue"/>
            <w:vAlign w:val="center"/>
          </w:tcPr>
          <w:p>
            <w:pPr>
              <w:jc w:val="center"/>
              <w:rPr>
                <w:rFonts w:hint="default" w:ascii="Times New Roman" w:hAnsi="Times New Roman" w:cs="Times New Roman" w:eastAsiaTheme="minorEastAsia"/>
                <w:color w:val="auto"/>
                <w:kern w:val="0"/>
                <w:sz w:val="18"/>
                <w:szCs w:val="18"/>
                <w:highlight w:val="none"/>
                <w:lang w:eastAsia="zh-CN"/>
              </w:rPr>
            </w:pPr>
          </w:p>
        </w:tc>
        <w:tc>
          <w:tcPr>
            <w:tcW w:w="799" w:type="dxa"/>
            <w:vMerge w:val="continue"/>
          </w:tcPr>
          <w:p>
            <w:pPr>
              <w:widowControl w:val="0"/>
              <w:spacing w:line="479" w:lineRule="exact"/>
              <w:jc w:val="center"/>
              <w:outlineLvl w:val="9"/>
              <w:rPr>
                <w:rFonts w:hint="default" w:ascii="Times New Roman" w:hAnsi="Times New Roman" w:cs="Times New Roman" w:eastAsiaTheme="minorEastAsia"/>
                <w:color w:val="auto"/>
                <w:spacing w:val="0"/>
                <w:sz w:val="18"/>
                <w:szCs w:val="18"/>
                <w:highlight w:val="none"/>
                <w:lang w:val="en-US" w:eastAsia="zh-CN" w:bidi="ar-SA"/>
              </w:rPr>
            </w:pPr>
          </w:p>
        </w:tc>
        <w:tc>
          <w:tcPr>
            <w:tcW w:w="1184" w:type="dxa"/>
            <w:vAlign w:val="center"/>
          </w:tcPr>
          <w:p>
            <w:pPr>
              <w:widowControl/>
              <w:jc w:val="center"/>
              <w:rPr>
                <w:rFonts w:hint="default" w:ascii="Times New Roman" w:hAnsi="Times New Roman" w:cs="Times New Roman" w:eastAsiaTheme="minorEastAsia"/>
                <w:color w:val="auto"/>
                <w:kern w:val="0"/>
                <w:sz w:val="18"/>
                <w:szCs w:val="18"/>
                <w:highlight w:val="none"/>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462" w:type="dxa"/>
            <w:vAlign w:val="center"/>
          </w:tcPr>
          <w:p>
            <w:pPr>
              <w:widowControl w:val="0"/>
              <w:numPr>
                <w:ilvl w:val="0"/>
                <w:numId w:val="4"/>
              </w:numPr>
              <w:spacing w:line="479" w:lineRule="exact"/>
              <w:jc w:val="center"/>
              <w:outlineLvl w:val="1"/>
              <w:rPr>
                <w:rFonts w:hint="default" w:ascii="Times New Roman" w:hAnsi="Times New Roman" w:cs="Times New Roman" w:eastAsiaTheme="minorEastAsia"/>
                <w:color w:val="auto"/>
                <w:spacing w:val="0"/>
                <w:sz w:val="18"/>
                <w:szCs w:val="18"/>
                <w:highlight w:val="none"/>
                <w:lang w:val="en-US" w:eastAsia="en-US" w:bidi="ar-SA"/>
              </w:rPr>
            </w:pPr>
            <w:bookmarkStart w:id="133" w:name="_Toc28640"/>
            <w:bookmarkEnd w:id="133"/>
            <w:bookmarkStart w:id="134" w:name="_Toc4240"/>
            <w:bookmarkEnd w:id="134"/>
            <w:bookmarkStart w:id="135" w:name="_Toc20813"/>
            <w:bookmarkEnd w:id="135"/>
            <w:bookmarkStart w:id="136" w:name="_Toc23654"/>
            <w:bookmarkEnd w:id="136"/>
          </w:p>
        </w:tc>
        <w:tc>
          <w:tcPr>
            <w:tcW w:w="101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84615618</w:t>
            </w:r>
          </w:p>
        </w:tc>
        <w:tc>
          <w:tcPr>
            <w:tcW w:w="1214"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高转速电机定子片</w:t>
            </w:r>
          </w:p>
        </w:tc>
        <w:tc>
          <w:tcPr>
            <w:tcW w:w="3818"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高转速电机定子片\562\中海油能源发展股份有限公司工程技术分公司</w:t>
            </w:r>
          </w:p>
        </w:tc>
        <w:tc>
          <w:tcPr>
            <w:tcW w:w="86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D0D0D"/>
                <w:kern w:val="0"/>
                <w:sz w:val="18"/>
                <w:szCs w:val="18"/>
                <w:highlight w:val="none"/>
                <w:u w:val="none"/>
                <w:lang w:val="en-US" w:eastAsia="zh-CN" w:bidi="ar"/>
              </w:rPr>
            </w:pPr>
            <w:r>
              <w:rPr>
                <w:rFonts w:hint="eastAsia" w:ascii="宋体" w:hAnsi="宋体" w:eastAsia="宋体" w:cs="宋体"/>
                <w:i w:val="0"/>
                <w:iCs w:val="0"/>
                <w:color w:val="000000"/>
                <w:kern w:val="0"/>
                <w:sz w:val="18"/>
                <w:szCs w:val="18"/>
                <w:u w:val="none"/>
                <w:lang w:val="en-US" w:eastAsia="zh-CN" w:bidi="ar"/>
              </w:rPr>
              <w:t>182000 片</w:t>
            </w:r>
          </w:p>
        </w:tc>
        <w:tc>
          <w:tcPr>
            <w:tcW w:w="640" w:type="dxa"/>
            <w:vMerge w:val="continue"/>
            <w:vAlign w:val="center"/>
          </w:tcPr>
          <w:p>
            <w:pPr>
              <w:jc w:val="center"/>
              <w:rPr>
                <w:rFonts w:hint="default" w:ascii="Times New Roman" w:hAnsi="Times New Roman" w:cs="Times New Roman" w:eastAsiaTheme="minorEastAsia"/>
                <w:color w:val="auto"/>
                <w:kern w:val="0"/>
                <w:sz w:val="18"/>
                <w:szCs w:val="18"/>
                <w:highlight w:val="none"/>
                <w:lang w:eastAsia="zh-CN"/>
              </w:rPr>
            </w:pPr>
          </w:p>
        </w:tc>
        <w:tc>
          <w:tcPr>
            <w:tcW w:w="799" w:type="dxa"/>
            <w:vMerge w:val="continue"/>
          </w:tcPr>
          <w:p>
            <w:pPr>
              <w:widowControl w:val="0"/>
              <w:spacing w:line="479" w:lineRule="exact"/>
              <w:jc w:val="center"/>
              <w:outlineLvl w:val="9"/>
              <w:rPr>
                <w:rFonts w:hint="default" w:ascii="Times New Roman" w:hAnsi="Times New Roman" w:cs="Times New Roman" w:eastAsiaTheme="minorEastAsia"/>
                <w:color w:val="auto"/>
                <w:spacing w:val="0"/>
                <w:sz w:val="18"/>
                <w:szCs w:val="18"/>
                <w:highlight w:val="none"/>
                <w:lang w:val="en-US" w:eastAsia="zh-CN" w:bidi="ar-SA"/>
              </w:rPr>
            </w:pPr>
          </w:p>
        </w:tc>
        <w:tc>
          <w:tcPr>
            <w:tcW w:w="1184" w:type="dxa"/>
            <w:vAlign w:val="center"/>
          </w:tcPr>
          <w:p>
            <w:pPr>
              <w:widowControl/>
              <w:jc w:val="center"/>
              <w:rPr>
                <w:rFonts w:hint="default" w:ascii="Times New Roman" w:hAnsi="Times New Roman" w:cs="Times New Roman" w:eastAsiaTheme="minorEastAsia"/>
                <w:color w:val="auto"/>
                <w:kern w:val="0"/>
                <w:sz w:val="18"/>
                <w:szCs w:val="18"/>
                <w:highlight w:val="none"/>
                <w:lang w:eastAsia="en-US"/>
              </w:rPr>
            </w:pPr>
          </w:p>
        </w:tc>
      </w:tr>
    </w:tbl>
    <w:p>
      <w:pPr>
        <w:widowControl w:val="0"/>
        <w:overflowPunct w:val="0"/>
        <w:autoSpaceDE w:val="0"/>
        <w:autoSpaceDN w:val="0"/>
        <w:adjustRightInd w:val="0"/>
        <w:spacing w:line="360" w:lineRule="auto"/>
        <w:ind w:left="-1" w:leftChars="-1" w:hanging="1" w:firstLineChars="0"/>
        <w:textAlignment w:val="baseline"/>
        <w:rPr>
          <w:rFonts w:hint="eastAsia" w:eastAsia="微软雅黑" w:cs="Times New Roman" w:asciiTheme="minorEastAsia" w:hAnsiTheme="minorEastAsia"/>
          <w:color w:val="auto"/>
          <w:sz w:val="24"/>
          <w:szCs w:val="24"/>
          <w:highlight w:val="none"/>
          <w:lang w:val="en-GB" w:eastAsia="zh-CN" w:bidi="ar"/>
        </w:rPr>
      </w:pPr>
    </w:p>
    <w:bookmarkEnd w:id="35"/>
    <w:bookmarkEnd w:id="36"/>
    <w:p>
      <w:pPr>
        <w:widowControl w:val="0"/>
        <w:overflowPunct w:val="0"/>
        <w:autoSpaceDE w:val="0"/>
        <w:autoSpaceDN w:val="0"/>
        <w:adjustRightInd w:val="0"/>
        <w:spacing w:line="360" w:lineRule="auto"/>
        <w:ind w:left="-1" w:leftChars="-1" w:hanging="1" w:firstLineChars="0"/>
        <w:textAlignment w:val="baseline"/>
        <w:rPr>
          <w:rFonts w:hint="eastAsia" w:eastAsia="微软雅黑" w:cs="Times New Roman" w:asciiTheme="minorEastAsia" w:hAnsiTheme="minorEastAsia"/>
          <w:color w:val="auto"/>
          <w:sz w:val="22"/>
          <w:szCs w:val="22"/>
          <w:highlight w:val="none"/>
          <w:lang w:val="en-GB" w:eastAsia="zh-CN" w:bidi="ar"/>
        </w:rPr>
      </w:pPr>
      <w:bookmarkStart w:id="137" w:name="_Toc8655"/>
      <w:bookmarkStart w:id="138" w:name="_Toc12456"/>
      <w:bookmarkStart w:id="139" w:name="_Toc6610"/>
      <w:bookmarkStart w:id="140" w:name="_Toc20142"/>
      <w:bookmarkStart w:id="141" w:name="_Toc14495"/>
      <w:r>
        <w:rPr>
          <w:rFonts w:hint="eastAsia" w:eastAsia="微软雅黑" w:cs="Times New Roman" w:asciiTheme="minorEastAsia" w:hAnsiTheme="minorEastAsia"/>
          <w:color w:val="auto"/>
          <w:sz w:val="22"/>
          <w:szCs w:val="22"/>
          <w:highlight w:val="none"/>
          <w:lang w:val="en-GB" w:eastAsia="zh-CN" w:bidi="ar"/>
        </w:rPr>
        <w:t>注：电机功率可以根据生产需求进行增加和减小；</w:t>
      </w:r>
    </w:p>
    <w:p>
      <w:pPr>
        <w:widowControl w:val="0"/>
        <w:overflowPunct w:val="0"/>
        <w:autoSpaceDE w:val="0"/>
        <w:autoSpaceDN w:val="0"/>
        <w:adjustRightInd w:val="0"/>
        <w:spacing w:line="360" w:lineRule="auto"/>
        <w:ind w:firstLine="440" w:firstLineChars="200"/>
        <w:textAlignment w:val="baseline"/>
        <w:rPr>
          <w:rFonts w:hint="eastAsia" w:eastAsia="微软雅黑" w:cs="Times New Roman" w:asciiTheme="minorEastAsia" w:hAnsiTheme="minorEastAsia"/>
          <w:color w:val="auto"/>
          <w:sz w:val="22"/>
          <w:szCs w:val="22"/>
          <w:highlight w:val="none"/>
          <w:lang w:val="en-GB" w:eastAsia="zh-CN" w:bidi="ar"/>
        </w:rPr>
      </w:pPr>
      <w:r>
        <w:rPr>
          <w:rFonts w:hint="eastAsia" w:eastAsia="微软雅黑" w:cs="Times New Roman" w:asciiTheme="minorEastAsia" w:hAnsiTheme="minorEastAsia"/>
          <w:color w:val="auto"/>
          <w:sz w:val="22"/>
          <w:szCs w:val="22"/>
          <w:highlight w:val="none"/>
          <w:lang w:val="en-GB" w:eastAsia="zh-CN" w:bidi="ar"/>
        </w:rPr>
        <w:t>具体交货物资明细和交货期以我方通知为准，分批送货，分批结算。</w:t>
      </w:r>
    </w:p>
    <w:p>
      <w:pPr>
        <w:keepNext/>
        <w:keepLines/>
        <w:widowControl w:val="0"/>
        <w:numPr>
          <w:ilvl w:val="0"/>
          <w:numId w:val="5"/>
        </w:numPr>
        <w:spacing w:before="240" w:after="240" w:line="578" w:lineRule="auto"/>
        <w:jc w:val="both"/>
        <w:outlineLvl w:val="0"/>
        <w:rPr>
          <w:rFonts w:hint="default" w:ascii="Times New Roman" w:hAnsi="Times New Roman" w:eastAsia="黑体" w:cs="Times New Roman"/>
          <w:b w:val="0"/>
          <w:bCs w:val="0"/>
          <w:kern w:val="44"/>
          <w:sz w:val="32"/>
          <w:szCs w:val="32"/>
          <w:lang w:val="en-US" w:eastAsia="zh-CN" w:bidi="ar-SA"/>
        </w:rPr>
      </w:pPr>
      <w:bookmarkStart w:id="142" w:name="_Toc854"/>
      <w:bookmarkStart w:id="143" w:name="_Toc5925"/>
      <w:bookmarkStart w:id="144" w:name="_Toc15775"/>
      <w:bookmarkStart w:id="145" w:name="_Toc26390"/>
      <w:bookmarkStart w:id="146" w:name="_Toc6935"/>
      <w:bookmarkStart w:id="147" w:name="_Toc19727"/>
      <w:bookmarkStart w:id="148" w:name="_Toc6673"/>
      <w:r>
        <w:rPr>
          <w:rFonts w:hint="default" w:ascii="Times New Roman" w:hAnsi="Times New Roman" w:eastAsia="黑体" w:cs="Times New Roman"/>
          <w:b w:val="0"/>
          <w:bCs w:val="0"/>
          <w:kern w:val="44"/>
          <w:sz w:val="32"/>
          <w:szCs w:val="32"/>
          <w:lang w:val="en-US" w:eastAsia="zh-CN" w:bidi="ar-SA"/>
        </w:rPr>
        <w:t>执行标准/规范</w:t>
      </w:r>
      <w:bookmarkEnd w:id="142"/>
      <w:bookmarkEnd w:id="143"/>
      <w:bookmarkEnd w:id="144"/>
      <w:bookmarkEnd w:id="145"/>
    </w:p>
    <w:p>
      <w:pPr>
        <w:widowControl w:val="0"/>
        <w:snapToGrid w:val="0"/>
        <w:rPr>
          <w:rFonts w:ascii="Times New Roman" w:hAnsi="Times New Roman" w:cs="Times New Roman" w:eastAsiaTheme="minorEastAsia"/>
          <w:sz w:val="16"/>
          <w:szCs w:val="16"/>
          <w:lang w:val="en-US" w:eastAsia="zh-CN" w:bidi="ar-SA"/>
        </w:rPr>
      </w:pPr>
    </w:p>
    <w:p>
      <w:pPr>
        <w:numPr>
          <w:ilvl w:val="2"/>
          <w:numId w:val="6"/>
        </w:numPr>
        <w:autoSpaceDE w:val="0"/>
        <w:autoSpaceDN w:val="0"/>
        <w:adjustRightInd w:val="0"/>
        <w:spacing w:line="360" w:lineRule="auto"/>
        <w:ind w:right="187" w:rightChars="89"/>
        <w:jc w:val="both"/>
        <w:rPr>
          <w:rFonts w:hint="default" w:ascii="Times New Roman" w:hAnsi="Times New Roman" w:cs="Times New Roman" w:eastAsiaTheme="minorEastAsia"/>
          <w:kern w:val="0"/>
          <w:sz w:val="22"/>
          <w:szCs w:val="22"/>
          <w:lang w:eastAsia="zh-CN"/>
        </w:rPr>
      </w:pPr>
      <w:r>
        <w:rPr>
          <w:rFonts w:hint="default" w:ascii="Times New Roman" w:hAnsi="Times New Roman" w:cs="Times New Roman" w:eastAsiaTheme="minorEastAsia"/>
          <w:kern w:val="0"/>
          <w:sz w:val="22"/>
          <w:szCs w:val="22"/>
          <w:lang w:eastAsia="zh-CN"/>
        </w:rPr>
        <w:t>《潜油电泵机组》国标GB/T 16750-2015</w:t>
      </w:r>
    </w:p>
    <w:p>
      <w:pPr>
        <w:numPr>
          <w:ilvl w:val="2"/>
          <w:numId w:val="6"/>
        </w:numPr>
        <w:autoSpaceDE w:val="0"/>
        <w:autoSpaceDN w:val="0"/>
        <w:adjustRightInd w:val="0"/>
        <w:spacing w:line="360" w:lineRule="auto"/>
        <w:ind w:right="187" w:rightChars="89"/>
        <w:jc w:val="both"/>
        <w:rPr>
          <w:rFonts w:hint="default" w:ascii="Times New Roman" w:hAnsi="Times New Roman" w:cs="Times New Roman" w:eastAsiaTheme="minorEastAsia"/>
          <w:kern w:val="0"/>
          <w:sz w:val="22"/>
          <w:szCs w:val="22"/>
          <w:lang w:eastAsia="zh-CN"/>
        </w:rPr>
      </w:pPr>
      <w:r>
        <w:rPr>
          <w:rFonts w:hint="default" w:ascii="Times New Roman" w:hAnsi="Times New Roman" w:cs="Times New Roman" w:eastAsiaTheme="minorEastAsia"/>
          <w:kern w:val="0"/>
          <w:sz w:val="22"/>
          <w:szCs w:val="22"/>
          <w:lang w:eastAsia="zh-CN"/>
        </w:rPr>
        <w:t>部分执行《中国海油采购标准体系建设采购技术标准潜油电机》CGBZ064-2020（JT）</w:t>
      </w:r>
    </w:p>
    <w:p>
      <w:pPr>
        <w:numPr>
          <w:ilvl w:val="2"/>
          <w:numId w:val="6"/>
        </w:numPr>
        <w:autoSpaceDE w:val="0"/>
        <w:autoSpaceDN w:val="0"/>
        <w:adjustRightInd w:val="0"/>
        <w:spacing w:line="360" w:lineRule="auto"/>
        <w:ind w:right="187" w:rightChars="89"/>
        <w:jc w:val="both"/>
        <w:rPr>
          <w:rFonts w:hint="default" w:ascii="Times New Roman" w:hAnsi="Times New Roman" w:cs="Times New Roman" w:eastAsiaTheme="minorEastAsia"/>
          <w:kern w:val="0"/>
          <w:sz w:val="22"/>
          <w:szCs w:val="22"/>
          <w:lang w:eastAsia="zh-CN"/>
        </w:rPr>
      </w:pPr>
      <w:r>
        <w:rPr>
          <w:rFonts w:hint="default" w:ascii="Times New Roman" w:hAnsi="Times New Roman" w:cs="Times New Roman" w:eastAsiaTheme="minorEastAsia"/>
          <w:kern w:val="0"/>
          <w:sz w:val="22"/>
          <w:szCs w:val="22"/>
          <w:lang w:eastAsia="zh-CN"/>
        </w:rPr>
        <w:t>部分执行《中国海油采购标准体系建设采购技术标准潜油保护器》CGBZ063-202</w:t>
      </w:r>
      <w:r>
        <w:rPr>
          <w:rFonts w:hint="eastAsia" w:ascii="Times New Roman" w:hAnsi="Times New Roman" w:cs="Times New Roman" w:eastAsiaTheme="minorEastAsia"/>
          <w:kern w:val="0"/>
          <w:sz w:val="22"/>
          <w:szCs w:val="22"/>
          <w:lang w:val="en-US" w:eastAsia="zh-CN"/>
        </w:rPr>
        <w:t>0</w:t>
      </w:r>
      <w:r>
        <w:rPr>
          <w:rFonts w:hint="default" w:ascii="Times New Roman" w:hAnsi="Times New Roman" w:cs="Times New Roman" w:eastAsiaTheme="minorEastAsia"/>
          <w:kern w:val="0"/>
          <w:sz w:val="22"/>
          <w:szCs w:val="22"/>
          <w:lang w:eastAsia="zh-CN"/>
        </w:rPr>
        <w:t>（JT）</w:t>
      </w:r>
    </w:p>
    <w:p>
      <w:pPr>
        <w:numPr>
          <w:ilvl w:val="2"/>
          <w:numId w:val="6"/>
        </w:numPr>
        <w:autoSpaceDE w:val="0"/>
        <w:autoSpaceDN w:val="0"/>
        <w:adjustRightInd w:val="0"/>
        <w:spacing w:line="360" w:lineRule="auto"/>
        <w:ind w:right="187" w:rightChars="89"/>
        <w:jc w:val="both"/>
        <w:rPr>
          <w:rFonts w:hint="default" w:ascii="Times New Roman" w:hAnsi="Times New Roman" w:cs="Times New Roman" w:eastAsiaTheme="minorEastAsia"/>
          <w:kern w:val="0"/>
          <w:sz w:val="22"/>
          <w:szCs w:val="22"/>
          <w:lang w:eastAsia="zh-CN"/>
        </w:rPr>
      </w:pPr>
      <w:r>
        <w:rPr>
          <w:rFonts w:hint="default" w:ascii="Times New Roman" w:hAnsi="Times New Roman" w:cs="Times New Roman" w:eastAsiaTheme="minorEastAsia"/>
          <w:kern w:val="0"/>
          <w:sz w:val="22"/>
          <w:szCs w:val="22"/>
          <w:lang w:eastAsia="zh-CN"/>
        </w:rPr>
        <w:t>G</w:t>
      </w:r>
      <w:r>
        <w:rPr>
          <w:rFonts w:ascii="Times New Roman" w:hAnsi="Times New Roman" w:cs="Times New Roman" w:eastAsiaTheme="minorEastAsia"/>
          <w:kern w:val="0"/>
          <w:sz w:val="22"/>
          <w:szCs w:val="22"/>
          <w:lang w:eastAsia="zh-CN"/>
        </w:rPr>
        <w:t>B/T 13914-2013</w:t>
      </w:r>
      <w:r>
        <w:rPr>
          <w:rFonts w:hint="default" w:ascii="Times New Roman" w:hAnsi="Times New Roman" w:cs="Times New Roman" w:eastAsiaTheme="minorEastAsia"/>
          <w:kern w:val="0"/>
          <w:sz w:val="22"/>
          <w:szCs w:val="22"/>
          <w:lang w:eastAsia="zh-CN"/>
        </w:rPr>
        <w:t>冲压件尺寸公差</w:t>
      </w:r>
    </w:p>
    <w:p>
      <w:pPr>
        <w:keepNext/>
        <w:keepLines/>
        <w:widowControl w:val="0"/>
        <w:numPr>
          <w:ilvl w:val="0"/>
          <w:numId w:val="5"/>
        </w:numPr>
        <w:spacing w:before="240" w:after="240" w:line="578" w:lineRule="auto"/>
        <w:ind w:left="1171" w:leftChars="0" w:hanging="1171" w:hangingChars="366"/>
        <w:jc w:val="both"/>
        <w:outlineLvl w:val="0"/>
        <w:rPr>
          <w:rFonts w:hint="eastAsia" w:ascii="黑体" w:hAnsi="黑体" w:eastAsia="黑体" w:cs="Times New Roman"/>
          <w:b w:val="0"/>
          <w:bCs w:val="0"/>
          <w:kern w:val="44"/>
          <w:sz w:val="32"/>
          <w:szCs w:val="32"/>
          <w:lang w:val="en-US" w:eastAsia="zh-CN" w:bidi="ar-SA"/>
        </w:rPr>
      </w:pPr>
      <w:r>
        <w:rPr>
          <w:rFonts w:hint="eastAsia" w:ascii="黑体" w:hAnsi="黑体" w:eastAsia="黑体" w:cs="Times New Roman"/>
          <w:b w:val="0"/>
          <w:bCs w:val="0"/>
          <w:kern w:val="44"/>
          <w:sz w:val="32"/>
          <w:szCs w:val="32"/>
          <w:lang w:val="en-US" w:eastAsia="zh-CN" w:bidi="ar-SA"/>
        </w:rPr>
        <w:t>设计/使用条件</w:t>
      </w:r>
    </w:p>
    <w:p>
      <w:pPr>
        <w:widowControl w:val="0"/>
        <w:overflowPunct w:val="0"/>
        <w:autoSpaceDE w:val="0"/>
        <w:autoSpaceDN w:val="0"/>
        <w:adjustRightInd w:val="0"/>
        <w:spacing w:line="360" w:lineRule="auto"/>
        <w:ind w:left="720" w:firstLine="0" w:firstLineChars="0"/>
        <w:textAlignment w:val="baseline"/>
        <w:rPr>
          <w:rFonts w:hint="default" w:ascii="Times New Roman" w:hAnsi="Times New Roman" w:eastAsia="微软雅黑" w:cs="Times New Roman"/>
          <w:sz w:val="22"/>
          <w:szCs w:val="22"/>
          <w:lang w:val="en-GB" w:eastAsia="zh-CN" w:bidi="ar"/>
        </w:rPr>
      </w:pPr>
      <w:r>
        <w:rPr>
          <w:rFonts w:hint="default" w:ascii="Times New Roman" w:hAnsi="Times New Roman" w:eastAsia="微软雅黑" w:cs="Times New Roman"/>
          <w:sz w:val="22"/>
          <w:szCs w:val="22"/>
          <w:lang w:val="en-GB" w:eastAsia="zh-CN" w:bidi="ar"/>
        </w:rPr>
        <w:t>适用海上油田高含砂、高含气、稠油井。</w:t>
      </w:r>
    </w:p>
    <w:p>
      <w:pPr>
        <w:keepNext/>
        <w:keepLines/>
        <w:widowControl w:val="0"/>
        <w:numPr>
          <w:ilvl w:val="0"/>
          <w:numId w:val="5"/>
        </w:numPr>
        <w:spacing w:before="240" w:after="240" w:line="578" w:lineRule="auto"/>
        <w:ind w:firstLineChars="0"/>
        <w:jc w:val="both"/>
        <w:outlineLvl w:val="0"/>
        <w:rPr>
          <w:rFonts w:hint="eastAsia" w:ascii="黑体" w:hAnsi="黑体" w:eastAsia="黑体" w:cs="Times New Roman"/>
          <w:b w:val="0"/>
          <w:bCs w:val="0"/>
          <w:kern w:val="44"/>
          <w:sz w:val="32"/>
          <w:szCs w:val="32"/>
          <w:lang w:val="en-US" w:eastAsia="zh-CN" w:bidi="ar-SA"/>
        </w:rPr>
      </w:pPr>
      <w:r>
        <w:rPr>
          <w:rFonts w:hint="eastAsia" w:ascii="黑体" w:hAnsi="黑体" w:eastAsia="黑体" w:cs="Times New Roman"/>
          <w:b w:val="0"/>
          <w:bCs w:val="0"/>
          <w:kern w:val="44"/>
          <w:sz w:val="32"/>
          <w:szCs w:val="32"/>
          <w:lang w:val="en-US" w:eastAsia="zh-CN" w:bidi="ar-SA"/>
        </w:rPr>
        <w:t>技术要求</w:t>
      </w:r>
    </w:p>
    <w:p>
      <w:pPr>
        <w:keepNext w:val="0"/>
        <w:keepLines w:val="0"/>
        <w:pageBreakBefore w:val="0"/>
        <w:widowControl w:val="0"/>
        <w:kinsoku/>
        <w:wordWrap/>
        <w:overflowPunct/>
        <w:topLinePunct w:val="0"/>
        <w:autoSpaceDE/>
        <w:autoSpaceDN/>
        <w:bidi w:val="0"/>
        <w:adjustRightInd/>
        <w:snapToGrid/>
        <w:spacing w:line="360" w:lineRule="auto"/>
        <w:ind w:left="7" w:leftChars="0" w:right="0" w:rightChars="0" w:firstLine="410" w:firstLineChars="200"/>
        <w:textAlignment w:val="auto"/>
        <w:outlineLvl w:val="1"/>
        <w:rPr>
          <w:rFonts w:hint="eastAsia" w:ascii="宋体" w:hAnsi="宋体" w:eastAsia="宋体" w:cs="宋体"/>
          <w:b/>
          <w:bCs/>
          <w:color w:val="auto"/>
          <w:sz w:val="20"/>
          <w:szCs w:val="20"/>
          <w:highlight w:val="none"/>
          <w:lang w:val="en-US" w:eastAsia="zh-CN" w:bidi="ar"/>
        </w:rPr>
      </w:pPr>
      <w:r>
        <w:rPr>
          <w:rFonts w:hint="eastAsia" w:ascii="宋体" w:hAnsi="宋体" w:eastAsia="宋体" w:cs="宋体"/>
          <w:b/>
          <w:bCs/>
          <w:color w:val="auto"/>
          <w:spacing w:val="2"/>
          <w:sz w:val="20"/>
          <w:szCs w:val="20"/>
          <w:highlight w:val="none"/>
          <w:lang w:val="en-US" w:eastAsia="zh-CN" w:bidi="ar-SA"/>
        </w:rPr>
        <w:t>5.1 高转速潜油永磁电机</w:t>
      </w:r>
      <w:bookmarkEnd w:id="146"/>
      <w:bookmarkEnd w:id="147"/>
      <w:bookmarkEnd w:id="148"/>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1"/>
        <w:rPr>
          <w:rFonts w:hint="eastAsia" w:ascii="宋体" w:hAnsi="宋体" w:eastAsia="宋体" w:cs="宋体"/>
          <w:b/>
          <w:bCs/>
          <w:color w:val="auto"/>
          <w:sz w:val="20"/>
          <w:szCs w:val="20"/>
          <w:highlight w:val="none"/>
          <w:lang w:val="en-US" w:eastAsia="zh-CN" w:bidi="ar"/>
        </w:rPr>
      </w:pPr>
    </w:p>
    <w:tbl>
      <w:tblPr>
        <w:tblStyle w:val="11"/>
        <w:tblW w:w="832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2"/>
        <w:gridCol w:w="900"/>
        <w:gridCol w:w="915"/>
        <w:gridCol w:w="4648"/>
        <w:gridCol w:w="396"/>
        <w:gridCol w:w="10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442" w:type="dxa"/>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序号</w:t>
            </w:r>
          </w:p>
        </w:tc>
        <w:tc>
          <w:tcPr>
            <w:tcW w:w="900"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物资编码</w:t>
            </w:r>
          </w:p>
        </w:tc>
        <w:tc>
          <w:tcPr>
            <w:tcW w:w="91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物资/服务名称</w:t>
            </w:r>
          </w:p>
        </w:tc>
        <w:tc>
          <w:tcPr>
            <w:tcW w:w="4648"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规格及型号/服务要求</w:t>
            </w:r>
          </w:p>
        </w:tc>
        <w:tc>
          <w:tcPr>
            <w:tcW w:w="396"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单位</w:t>
            </w:r>
          </w:p>
        </w:tc>
        <w:tc>
          <w:tcPr>
            <w:tcW w:w="1026"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8327"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标段</w:t>
            </w:r>
            <w:r>
              <w:rPr>
                <w:rFonts w:hint="eastAsia" w:ascii="Times New Roman" w:hAnsi="Times New Roman" w:eastAsia="宋体" w:cs="Times New Roman"/>
                <w:i w:val="0"/>
                <w:iCs w:val="0"/>
                <w:color w:val="000000"/>
                <w:kern w:val="0"/>
                <w:sz w:val="16"/>
                <w:szCs w:val="16"/>
                <w:highlight w:val="none"/>
                <w:u w:val="none"/>
                <w:lang w:val="en-US" w:eastAsia="zh-CN" w:bidi="ar"/>
              </w:rPr>
              <w:t>六</w:t>
            </w:r>
            <w:r>
              <w:rPr>
                <w:rFonts w:hint="default" w:ascii="Times New Roman" w:hAnsi="Times New Roman" w:eastAsia="宋体" w:cs="Times New Roman"/>
                <w:i w:val="0"/>
                <w:iCs w:val="0"/>
                <w:color w:val="000000"/>
                <w:kern w:val="0"/>
                <w:sz w:val="16"/>
                <w:szCs w:val="16"/>
                <w:highlight w:val="none"/>
                <w:u w:val="none"/>
                <w:lang w:val="en-US" w:eastAsia="zh-CN" w:bidi="ar"/>
              </w:rPr>
              <w:t xml:space="preserve"> OTS</w:t>
            </w:r>
            <w:r>
              <w:rPr>
                <w:rFonts w:hint="eastAsia" w:ascii="Times New Roman" w:hAnsi="Times New Roman" w:eastAsia="宋体" w:cs="Times New Roman"/>
                <w:i w:val="0"/>
                <w:iCs w:val="0"/>
                <w:color w:val="000000"/>
                <w:kern w:val="0"/>
                <w:sz w:val="16"/>
                <w:szCs w:val="16"/>
                <w:highlight w:val="none"/>
                <w:u w:val="none"/>
                <w:lang w:val="en-US" w:eastAsia="zh-CN" w:bidi="ar"/>
              </w:rPr>
              <w:t>4</w:t>
            </w:r>
            <w:r>
              <w:rPr>
                <w:rFonts w:hint="default" w:ascii="Times New Roman" w:hAnsi="Times New Roman" w:eastAsia="宋体" w:cs="Times New Roman"/>
                <w:i w:val="0"/>
                <w:iCs w:val="0"/>
                <w:color w:val="000000"/>
                <w:kern w:val="0"/>
                <w:sz w:val="16"/>
                <w:szCs w:val="16"/>
                <w:highlight w:val="none"/>
                <w:u w:val="none"/>
                <w:lang w:val="en-US" w:eastAsia="zh-CN" w:bidi="ar"/>
              </w:rPr>
              <w:t>00（高速永磁）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1</w:t>
            </w:r>
          </w:p>
        </w:tc>
        <w:tc>
          <w:tcPr>
            <w:tcW w:w="90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3"/>
                <w:szCs w:val="13"/>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84854154</w:t>
            </w:r>
          </w:p>
        </w:tc>
        <w:tc>
          <w:tcPr>
            <w:tcW w:w="915"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潜油电机</w:t>
            </w:r>
          </w:p>
        </w:tc>
        <w:tc>
          <w:tcPr>
            <w:tcW w:w="4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PMM350-DS-HS-OTS400\ST\140hp\1635V\204℃</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件</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D0D0D"/>
                <w:kern w:val="0"/>
                <w:sz w:val="16"/>
                <w:szCs w:val="16"/>
                <w:highlight w:val="none"/>
                <w:u w:val="none"/>
                <w:lang w:val="en-US" w:eastAsia="zh-CN" w:bidi="ar"/>
              </w:rPr>
              <w:t>1635V\44A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2</w:t>
            </w:r>
          </w:p>
        </w:tc>
        <w:tc>
          <w:tcPr>
            <w:tcW w:w="90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3"/>
                <w:szCs w:val="13"/>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84854155</w:t>
            </w:r>
          </w:p>
        </w:tc>
        <w:tc>
          <w:tcPr>
            <w:tcW w:w="915"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潜油电机</w:t>
            </w:r>
          </w:p>
        </w:tc>
        <w:tc>
          <w:tcPr>
            <w:tcW w:w="4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PMM450-DS-HS-OTS400\ST\140hp\2145V\204℃</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件</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D0D0D"/>
                <w:kern w:val="0"/>
                <w:sz w:val="16"/>
                <w:szCs w:val="16"/>
                <w:highlight w:val="none"/>
                <w:u w:val="none"/>
                <w:lang w:val="en-US" w:eastAsia="zh-CN" w:bidi="ar"/>
              </w:rPr>
              <w:t>2145V/32A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3</w:t>
            </w:r>
          </w:p>
        </w:tc>
        <w:tc>
          <w:tcPr>
            <w:tcW w:w="90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3"/>
                <w:szCs w:val="13"/>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84854156</w:t>
            </w:r>
          </w:p>
        </w:tc>
        <w:tc>
          <w:tcPr>
            <w:tcW w:w="915"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潜油电机</w:t>
            </w:r>
          </w:p>
        </w:tc>
        <w:tc>
          <w:tcPr>
            <w:tcW w:w="4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PMM450-DS-HS-OTS400\ST\200hp\2400V\204℃</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件</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D0D0D"/>
                <w:kern w:val="0"/>
                <w:sz w:val="16"/>
                <w:szCs w:val="16"/>
                <w:highlight w:val="none"/>
                <w:u w:val="none"/>
                <w:lang w:val="en-US" w:eastAsia="zh-CN" w:bidi="ar"/>
              </w:rPr>
              <w:t>2400V\42A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4</w:t>
            </w:r>
          </w:p>
        </w:tc>
        <w:tc>
          <w:tcPr>
            <w:tcW w:w="90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3"/>
                <w:szCs w:val="13"/>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84854157</w:t>
            </w:r>
          </w:p>
        </w:tc>
        <w:tc>
          <w:tcPr>
            <w:tcW w:w="915"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潜油电机</w:t>
            </w:r>
          </w:p>
        </w:tc>
        <w:tc>
          <w:tcPr>
            <w:tcW w:w="4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PMM450-DS-HS-OTS400\ST\260hp\2280V\204℃</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件</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D0D0D"/>
                <w:kern w:val="0"/>
                <w:sz w:val="16"/>
                <w:szCs w:val="16"/>
                <w:highlight w:val="none"/>
                <w:u w:val="none"/>
                <w:lang w:val="en-US" w:eastAsia="zh-CN" w:bidi="ar"/>
              </w:rPr>
              <w:t>2280V/59A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5</w:t>
            </w:r>
          </w:p>
        </w:tc>
        <w:tc>
          <w:tcPr>
            <w:tcW w:w="90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3"/>
                <w:szCs w:val="13"/>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84854158</w:t>
            </w:r>
          </w:p>
        </w:tc>
        <w:tc>
          <w:tcPr>
            <w:tcW w:w="915"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潜油电机</w:t>
            </w:r>
          </w:p>
        </w:tc>
        <w:tc>
          <w:tcPr>
            <w:tcW w:w="4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PMM562-DS-HS-OTS400\ST\352hp\2424V\204℃</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件</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D0D0D"/>
                <w:kern w:val="0"/>
                <w:sz w:val="16"/>
                <w:szCs w:val="16"/>
                <w:highlight w:val="none"/>
                <w:u w:val="none"/>
                <w:lang w:val="en-US" w:eastAsia="zh-CN" w:bidi="ar"/>
              </w:rPr>
              <w:t>2424V/73A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6</w:t>
            </w:r>
          </w:p>
        </w:tc>
        <w:tc>
          <w:tcPr>
            <w:tcW w:w="90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3"/>
                <w:szCs w:val="13"/>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84854159</w:t>
            </w:r>
          </w:p>
        </w:tc>
        <w:tc>
          <w:tcPr>
            <w:tcW w:w="915"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潜油电机</w:t>
            </w:r>
          </w:p>
        </w:tc>
        <w:tc>
          <w:tcPr>
            <w:tcW w:w="4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PMM562-DS-HS-OTS400\ST\440hp\3028V\204℃</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件</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D0D0D"/>
                <w:kern w:val="0"/>
                <w:sz w:val="16"/>
                <w:szCs w:val="16"/>
                <w:highlight w:val="none"/>
                <w:u w:val="none"/>
                <w:lang w:val="en-US" w:eastAsia="zh-CN" w:bidi="ar"/>
              </w:rPr>
              <w:t>3028V/73A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7</w:t>
            </w:r>
          </w:p>
        </w:tc>
        <w:tc>
          <w:tcPr>
            <w:tcW w:w="90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3"/>
                <w:szCs w:val="13"/>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84854160</w:t>
            </w:r>
          </w:p>
        </w:tc>
        <w:tc>
          <w:tcPr>
            <w:tcW w:w="915"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潜油电机</w:t>
            </w:r>
          </w:p>
        </w:tc>
        <w:tc>
          <w:tcPr>
            <w:tcW w:w="4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PMM562-DS-HS-OTS400\ST\572hp\3936V\204℃</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件</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D0D0D"/>
                <w:kern w:val="0"/>
                <w:sz w:val="16"/>
                <w:szCs w:val="16"/>
                <w:highlight w:val="none"/>
                <w:u w:val="none"/>
                <w:lang w:val="en-US" w:eastAsia="zh-CN" w:bidi="ar"/>
              </w:rPr>
              <w:t>3936V/73A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8</w:t>
            </w:r>
          </w:p>
        </w:tc>
        <w:tc>
          <w:tcPr>
            <w:tcW w:w="90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3"/>
                <w:szCs w:val="13"/>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84854161</w:t>
            </w:r>
          </w:p>
        </w:tc>
        <w:tc>
          <w:tcPr>
            <w:tcW w:w="915"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潜油电机</w:t>
            </w:r>
          </w:p>
        </w:tc>
        <w:tc>
          <w:tcPr>
            <w:tcW w:w="4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PMM562-DS-HS-OTS400\ST\704hp\3634V\204℃</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件</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D0D0D"/>
                <w:kern w:val="0"/>
                <w:sz w:val="16"/>
                <w:szCs w:val="16"/>
                <w:highlight w:val="none"/>
                <w:u w:val="none"/>
                <w:lang w:val="en-US" w:eastAsia="zh-CN" w:bidi="ar"/>
              </w:rPr>
              <w:t>3634V/96A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9</w:t>
            </w:r>
          </w:p>
        </w:tc>
        <w:tc>
          <w:tcPr>
            <w:tcW w:w="90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3"/>
                <w:szCs w:val="13"/>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84854162</w:t>
            </w:r>
          </w:p>
        </w:tc>
        <w:tc>
          <w:tcPr>
            <w:tcW w:w="915"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潜油电机</w:t>
            </w:r>
          </w:p>
        </w:tc>
        <w:tc>
          <w:tcPr>
            <w:tcW w:w="4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PMM562-DS-HS-OTS400\ST\836hp\4313V\204℃</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highlight w:val="none"/>
                <w:u w:val="none"/>
                <w:lang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件</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5"/>
                <w:szCs w:val="15"/>
                <w:u w:val="none"/>
                <w:lang w:val="en-US" w:eastAsia="zh-CN" w:bidi="ar"/>
              </w:rPr>
            </w:pPr>
            <w:r>
              <w:rPr>
                <w:rFonts w:hint="default" w:ascii="Times New Roman" w:hAnsi="Times New Roman" w:eastAsia="宋体" w:cs="Times New Roman"/>
                <w:i w:val="0"/>
                <w:iCs w:val="0"/>
                <w:color w:val="0D0D0D"/>
                <w:kern w:val="0"/>
                <w:sz w:val="16"/>
                <w:szCs w:val="16"/>
                <w:highlight w:val="none"/>
                <w:u w:val="none"/>
                <w:lang w:val="en-US" w:eastAsia="zh-CN" w:bidi="ar"/>
              </w:rPr>
              <w:t>4313V/96A</w:t>
            </w:r>
          </w:p>
        </w:tc>
      </w:tr>
    </w:tbl>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b/>
          <w:bCs/>
          <w:color w:val="auto"/>
          <w:sz w:val="20"/>
          <w:szCs w:val="20"/>
          <w:highlight w:val="none"/>
          <w:lang w:val="en-US" w:eastAsia="zh-CN" w:bidi="ar"/>
        </w:rPr>
      </w:pPr>
    </w:p>
    <w:p>
      <w:pPr>
        <w:keepNext w:val="0"/>
        <w:keepLines w:val="0"/>
        <w:pageBreakBefore w:val="0"/>
        <w:widowControl w:val="0"/>
        <w:numPr>
          <w:ilvl w:val="2"/>
          <w:numId w:val="7"/>
        </w:numPr>
        <w:kinsoku/>
        <w:wordWrap/>
        <w:overflowPunct/>
        <w:topLinePunct w:val="0"/>
        <w:autoSpaceDE w:val="0"/>
        <w:autoSpaceDN w:val="0"/>
        <w:bidi w:val="0"/>
        <w:adjustRightInd w:val="0"/>
        <w:snapToGrid/>
        <w:spacing w:line="360" w:lineRule="auto"/>
        <w:ind w:left="0" w:leftChars="0" w:right="0" w:rightChars="0" w:firstLine="40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Segoe UI Symbol" w:hAnsi="Segoe UI Symbol" w:eastAsia="宋体" w:cs="Segoe UI Symbol"/>
          <w:kern w:val="0"/>
          <w:sz w:val="20"/>
          <w:szCs w:val="20"/>
          <w:lang w:eastAsia="zh-CN"/>
        </w:rPr>
        <w:t>★</w:t>
      </w:r>
      <w:r>
        <w:rPr>
          <w:rFonts w:hint="default" w:ascii="Times New Roman" w:hAnsi="Times New Roman" w:cs="Times New Roman" w:eastAsiaTheme="minorEastAsia"/>
          <w:kern w:val="0"/>
          <w:sz w:val="21"/>
          <w:szCs w:val="21"/>
          <w:highlight w:val="none"/>
          <w:lang w:eastAsia="zh-CN"/>
        </w:rPr>
        <w:t>高转速潜油永磁同步电机350系列,额定功率为1</w:t>
      </w:r>
      <w:r>
        <w:rPr>
          <w:rFonts w:hint="default" w:ascii="Times New Roman" w:hAnsi="Times New Roman" w:cs="Times New Roman" w:eastAsiaTheme="minorEastAsia"/>
          <w:kern w:val="0"/>
          <w:sz w:val="21"/>
          <w:szCs w:val="21"/>
          <w:highlight w:val="none"/>
          <w:lang w:val="en-US" w:eastAsia="zh-CN"/>
        </w:rPr>
        <w:t>40</w:t>
      </w:r>
      <w:r>
        <w:rPr>
          <w:rFonts w:hint="default" w:ascii="Times New Roman" w:hAnsi="Times New Roman" w:cs="Times New Roman" w:eastAsiaTheme="minorEastAsia"/>
          <w:kern w:val="0"/>
          <w:sz w:val="21"/>
          <w:szCs w:val="21"/>
          <w:highlight w:val="none"/>
          <w:lang w:eastAsia="zh-CN"/>
        </w:rPr>
        <w:t>HP±5%,电机要求80%负载率以下时功率因数0.87以上，效率为85%以上。</w:t>
      </w:r>
      <w:r>
        <w:rPr>
          <w:rFonts w:hint="default" w:ascii="Times New Roman" w:hAnsi="Times New Roman" w:eastAsia="宋体" w:cs="Times New Roman"/>
          <w:color w:val="auto"/>
          <w:kern w:val="0"/>
          <w:sz w:val="20"/>
          <w:szCs w:val="20"/>
          <w:highlight w:val="none"/>
          <w:lang w:val="en-US" w:eastAsia="zh-CN"/>
        </w:rPr>
        <w:t>投标时</w:t>
      </w:r>
      <w:r>
        <w:rPr>
          <w:rFonts w:hint="default" w:ascii="Times New Roman" w:hAnsi="Times New Roman" w:cs="Times New Roman" w:eastAsiaTheme="minorEastAsia"/>
          <w:kern w:val="0"/>
          <w:sz w:val="21"/>
          <w:szCs w:val="21"/>
          <w:highlight w:val="none"/>
          <w:lang w:eastAsia="zh-CN"/>
        </w:rPr>
        <w:t>提供</w:t>
      </w:r>
      <w:r>
        <w:rPr>
          <w:rFonts w:hint="default" w:ascii="Times New Roman" w:hAnsi="Times New Roman" w:cs="Times New Roman" w:eastAsiaTheme="minorEastAsia"/>
          <w:kern w:val="0"/>
          <w:sz w:val="21"/>
          <w:szCs w:val="21"/>
          <w:highlight w:val="none"/>
          <w:lang w:val="en-US" w:eastAsia="zh-CN"/>
        </w:rPr>
        <w:t>经CCS、ABS、BV、DNV第三方实验机构中的任意一家认证的</w:t>
      </w:r>
      <w:r>
        <w:rPr>
          <w:rFonts w:hint="default" w:ascii="Times New Roman" w:hAnsi="Times New Roman" w:cs="Times New Roman" w:eastAsiaTheme="minorEastAsia"/>
          <w:kern w:val="0"/>
          <w:sz w:val="21"/>
          <w:szCs w:val="21"/>
          <w:highlight w:val="none"/>
          <w:lang w:eastAsia="zh-CN"/>
        </w:rPr>
        <w:t>测试报告（报告内容包括但不限于电机系列，额定功率，80%负载率以下时功率因数和效率等）。</w:t>
      </w:r>
    </w:p>
    <w:p>
      <w:pPr>
        <w:keepNext w:val="0"/>
        <w:keepLines w:val="0"/>
        <w:pageBreakBefore w:val="0"/>
        <w:widowControl w:val="0"/>
        <w:numPr>
          <w:ilvl w:val="2"/>
          <w:numId w:val="7"/>
        </w:numPr>
        <w:kinsoku/>
        <w:wordWrap/>
        <w:overflowPunct/>
        <w:topLinePunct w:val="0"/>
        <w:autoSpaceDE w:val="0"/>
        <w:autoSpaceDN w:val="0"/>
        <w:bidi w:val="0"/>
        <w:adjustRightInd w:val="0"/>
        <w:snapToGrid/>
        <w:spacing w:line="360" w:lineRule="auto"/>
        <w:ind w:left="0" w:leftChars="0" w:right="0" w:rightChars="0" w:firstLine="40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Segoe UI Symbol" w:hAnsi="Segoe UI Symbol" w:eastAsia="宋体" w:cs="Segoe UI Symbol"/>
          <w:kern w:val="0"/>
          <w:sz w:val="20"/>
          <w:szCs w:val="20"/>
          <w:lang w:eastAsia="zh-CN"/>
        </w:rPr>
        <w:t>★</w:t>
      </w:r>
      <w:r>
        <w:rPr>
          <w:rFonts w:hint="default" w:ascii="Times New Roman" w:hAnsi="Times New Roman" w:cs="Times New Roman" w:eastAsiaTheme="minorEastAsia"/>
          <w:kern w:val="0"/>
          <w:sz w:val="21"/>
          <w:szCs w:val="21"/>
          <w:highlight w:val="none"/>
          <w:lang w:eastAsia="zh-CN"/>
        </w:rPr>
        <w:t>高转速潜油永磁同步电机为450系列。额定功率为1</w:t>
      </w:r>
      <w:r>
        <w:rPr>
          <w:rFonts w:hint="default" w:ascii="Times New Roman" w:hAnsi="Times New Roman" w:cs="Times New Roman" w:eastAsiaTheme="minorEastAsia"/>
          <w:kern w:val="0"/>
          <w:sz w:val="21"/>
          <w:szCs w:val="21"/>
          <w:highlight w:val="none"/>
          <w:lang w:val="en-US" w:eastAsia="zh-CN"/>
        </w:rPr>
        <w:t>40</w:t>
      </w:r>
      <w:r>
        <w:rPr>
          <w:rFonts w:hint="default" w:ascii="Times New Roman" w:hAnsi="Times New Roman" w:cs="Times New Roman" w:eastAsiaTheme="minorEastAsia"/>
          <w:kern w:val="0"/>
          <w:sz w:val="21"/>
          <w:szCs w:val="21"/>
          <w:highlight w:val="none"/>
          <w:lang w:eastAsia="zh-CN"/>
        </w:rPr>
        <w:t>HP±5%、</w:t>
      </w:r>
      <w:r>
        <w:rPr>
          <w:rFonts w:hint="default" w:ascii="Times New Roman" w:hAnsi="Times New Roman" w:cs="Times New Roman" w:eastAsiaTheme="minorEastAsia"/>
          <w:kern w:val="0"/>
          <w:sz w:val="21"/>
          <w:szCs w:val="21"/>
          <w:highlight w:val="none"/>
          <w:lang w:val="en-US" w:eastAsia="zh-CN"/>
        </w:rPr>
        <w:t>200</w:t>
      </w:r>
      <w:r>
        <w:rPr>
          <w:rFonts w:hint="default" w:ascii="Times New Roman" w:hAnsi="Times New Roman" w:cs="Times New Roman" w:eastAsiaTheme="minorEastAsia"/>
          <w:kern w:val="0"/>
          <w:sz w:val="21"/>
          <w:szCs w:val="21"/>
          <w:highlight w:val="none"/>
          <w:lang w:eastAsia="zh-CN"/>
        </w:rPr>
        <w:t>HP±5%、2</w:t>
      </w:r>
      <w:r>
        <w:rPr>
          <w:rFonts w:hint="default" w:ascii="Times New Roman" w:hAnsi="Times New Roman" w:cs="Times New Roman" w:eastAsiaTheme="minorEastAsia"/>
          <w:kern w:val="0"/>
          <w:sz w:val="21"/>
          <w:szCs w:val="21"/>
          <w:highlight w:val="none"/>
          <w:lang w:val="en-US" w:eastAsia="zh-CN"/>
        </w:rPr>
        <w:t>60</w:t>
      </w:r>
      <w:r>
        <w:rPr>
          <w:rFonts w:hint="default" w:ascii="Times New Roman" w:hAnsi="Times New Roman" w:cs="Times New Roman" w:eastAsiaTheme="minorEastAsia"/>
          <w:kern w:val="0"/>
          <w:sz w:val="21"/>
          <w:szCs w:val="21"/>
          <w:highlight w:val="none"/>
          <w:lang w:eastAsia="zh-CN"/>
        </w:rPr>
        <w:t>HP±5%。全系列电机要求80%负载率下功率因数0.90以上，效率为88%以上。</w:t>
      </w:r>
      <w:r>
        <w:rPr>
          <w:rFonts w:hint="default" w:ascii="Times New Roman" w:hAnsi="Times New Roman" w:eastAsia="宋体" w:cs="Times New Roman"/>
          <w:color w:val="auto"/>
          <w:kern w:val="0"/>
          <w:sz w:val="20"/>
          <w:szCs w:val="20"/>
          <w:highlight w:val="none"/>
          <w:lang w:val="en-US" w:eastAsia="zh-CN"/>
        </w:rPr>
        <w:t>投标时</w:t>
      </w:r>
      <w:r>
        <w:rPr>
          <w:rFonts w:hint="default" w:ascii="Times New Roman" w:hAnsi="Times New Roman" w:cs="Times New Roman" w:eastAsiaTheme="minorEastAsia"/>
          <w:kern w:val="0"/>
          <w:sz w:val="21"/>
          <w:szCs w:val="21"/>
          <w:highlight w:val="none"/>
          <w:lang w:eastAsia="zh-CN"/>
        </w:rPr>
        <w:t>提供</w:t>
      </w:r>
      <w:r>
        <w:rPr>
          <w:rFonts w:hint="default" w:ascii="Times New Roman" w:hAnsi="Times New Roman" w:cs="Times New Roman" w:eastAsiaTheme="minorEastAsia"/>
          <w:kern w:val="0"/>
          <w:sz w:val="21"/>
          <w:szCs w:val="21"/>
          <w:highlight w:val="none"/>
          <w:lang w:val="en-US" w:eastAsia="zh-CN"/>
        </w:rPr>
        <w:t>经CCS、ABS、BV、DNV第三方实验机构中的任意一家认证的</w:t>
      </w:r>
      <w:r>
        <w:rPr>
          <w:rFonts w:hint="default" w:ascii="Times New Roman" w:hAnsi="Times New Roman" w:cs="Times New Roman" w:eastAsiaTheme="minorEastAsia"/>
          <w:kern w:val="0"/>
          <w:sz w:val="21"/>
          <w:szCs w:val="21"/>
          <w:highlight w:val="none"/>
          <w:lang w:eastAsia="zh-CN"/>
        </w:rPr>
        <w:t>测试报告（报告内容包括但不限于电机系列，额定功率，80%负载率以下时功率因数和效率等）。</w:t>
      </w:r>
    </w:p>
    <w:p>
      <w:pPr>
        <w:keepNext w:val="0"/>
        <w:keepLines w:val="0"/>
        <w:pageBreakBefore w:val="0"/>
        <w:widowControl w:val="0"/>
        <w:numPr>
          <w:ilvl w:val="2"/>
          <w:numId w:val="7"/>
        </w:numPr>
        <w:kinsoku/>
        <w:wordWrap/>
        <w:overflowPunct/>
        <w:topLinePunct w:val="0"/>
        <w:autoSpaceDE w:val="0"/>
        <w:autoSpaceDN w:val="0"/>
        <w:bidi w:val="0"/>
        <w:adjustRightInd w:val="0"/>
        <w:snapToGrid/>
        <w:spacing w:line="360" w:lineRule="auto"/>
        <w:ind w:left="0" w:leftChars="0" w:right="0" w:rightChars="0" w:firstLine="400" w:firstLineChars="200"/>
        <w:jc w:val="left"/>
        <w:textAlignment w:val="auto"/>
        <w:rPr>
          <w:rFonts w:hint="default" w:ascii="Times New Roman" w:hAnsi="Times New Roman" w:eastAsia="微软雅黑" w:cs="Times New Roman"/>
          <w:b/>
          <w:bCs/>
          <w:sz w:val="21"/>
          <w:szCs w:val="21"/>
          <w:highlight w:val="none"/>
          <w:lang w:val="en-GB" w:eastAsia="zh-CN" w:bidi="ar"/>
        </w:rPr>
      </w:pPr>
      <w:r>
        <w:rPr>
          <w:rFonts w:hint="default" w:ascii="Segoe UI Symbol" w:hAnsi="Segoe UI Symbol" w:eastAsia="宋体" w:cs="Segoe UI Symbol"/>
          <w:sz w:val="20"/>
          <w:szCs w:val="20"/>
          <w:lang w:val="en-GB" w:eastAsia="zh-CN" w:bidi="ar"/>
        </w:rPr>
        <w:t>★</w:t>
      </w:r>
      <w:r>
        <w:rPr>
          <w:rFonts w:hint="eastAsia" w:ascii="宋体" w:hAnsi="宋体" w:eastAsia="宋体" w:cs="宋体"/>
          <w:sz w:val="21"/>
          <w:szCs w:val="21"/>
          <w:highlight w:val="none"/>
          <w:lang w:val="en-GB" w:eastAsia="zh-CN" w:bidi="ar"/>
        </w:rPr>
        <w:t>高转</w:t>
      </w:r>
      <w:r>
        <w:rPr>
          <w:rFonts w:hint="default" w:ascii="Times New Roman" w:hAnsi="Times New Roman" w:cs="Times New Roman" w:eastAsiaTheme="minorEastAsia"/>
          <w:sz w:val="21"/>
          <w:szCs w:val="21"/>
          <w:highlight w:val="none"/>
          <w:lang w:val="en-US" w:eastAsia="zh-CN" w:bidi="ar-SA"/>
        </w:rPr>
        <w:t>速潜油永磁同步电机为562系列。额定功率为352HP±5%、440HP±5%、572HP±5%、704HP±5%、836HP±5%。全系列电机要求80%负载率下功率因数0.95以上，效率94%以上。投标时提供经CCS、ABS、BV、DNV第三方实验机构中的任意一家认证的测试报告（报告内容包括但不限于电机系列，额定功率，80%负载率以下时功率因数和效率等）</w:t>
      </w:r>
      <w:r>
        <w:rPr>
          <w:rFonts w:hint="default" w:ascii="Times New Roman" w:hAnsi="Times New Roman" w:eastAsia="微软雅黑" w:cs="Times New Roman"/>
          <w:sz w:val="21"/>
          <w:szCs w:val="21"/>
          <w:highlight w:val="none"/>
          <w:lang w:val="en-GB" w:eastAsia="zh-CN" w:bidi="ar"/>
        </w:rPr>
        <w:t>。</w:t>
      </w:r>
    </w:p>
    <w:p>
      <w:pPr>
        <w:keepNext w:val="0"/>
        <w:keepLines w:val="0"/>
        <w:pageBreakBefore w:val="0"/>
        <w:widowControl w:val="0"/>
        <w:numPr>
          <w:ilvl w:val="2"/>
          <w:numId w:val="7"/>
        </w:numPr>
        <w:kinsoku/>
        <w:wordWrap/>
        <w:overflowPunct/>
        <w:topLinePunct w:val="0"/>
        <w:autoSpaceDE w:val="0"/>
        <w:autoSpaceDN w:val="0"/>
        <w:bidi w:val="0"/>
        <w:adjustRightInd w:val="0"/>
        <w:snapToGrid/>
        <w:spacing w:line="360" w:lineRule="auto"/>
        <w:ind w:left="0" w:leftChars="0" w:right="0" w:rightChars="0" w:firstLine="40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Segoe UI Symbol" w:hAnsi="Segoe UI Symbol" w:eastAsia="宋体" w:cs="Segoe UI Symbol"/>
          <w:kern w:val="0"/>
          <w:sz w:val="20"/>
          <w:szCs w:val="20"/>
          <w:lang w:eastAsia="zh-CN"/>
        </w:rPr>
        <w:t>★</w:t>
      </w:r>
      <w:r>
        <w:rPr>
          <w:rFonts w:hint="default" w:ascii="Times New Roman" w:hAnsi="Times New Roman" w:cs="Times New Roman" w:eastAsiaTheme="minorEastAsia"/>
          <w:kern w:val="0"/>
          <w:sz w:val="21"/>
          <w:szCs w:val="21"/>
          <w:highlight w:val="none"/>
          <w:lang w:val="en-US" w:eastAsia="zh-CN"/>
        </w:rPr>
        <w:t>电机适用井温：180℃，本体耐温等级204℃。同时为保证电机效率，要求转子采用永磁体，永磁体耐温不低于204℃，材质选用钕铁硼（NdFeB）或更高级别的钐钴（SmCo）材质及以上等级，满足对磁场强度和温度稳定性的高要求。</w:t>
      </w:r>
    </w:p>
    <w:p>
      <w:pPr>
        <w:keepNext w:val="0"/>
        <w:keepLines w:val="0"/>
        <w:pageBreakBefore w:val="0"/>
        <w:widowControl w:val="0"/>
        <w:numPr>
          <w:ilvl w:val="2"/>
          <w:numId w:val="7"/>
        </w:numPr>
        <w:kinsoku/>
        <w:wordWrap/>
        <w:overflowPunct/>
        <w:topLinePunct w:val="0"/>
        <w:autoSpaceDE w:val="0"/>
        <w:autoSpaceDN w:val="0"/>
        <w:bidi w:val="0"/>
        <w:adjustRightInd w:val="0"/>
        <w:snapToGrid/>
        <w:spacing w:line="360" w:lineRule="auto"/>
        <w:ind w:left="0" w:leftChars="0" w:right="0" w:rightChars="0" w:firstLine="400" w:firstLineChars="200"/>
        <w:jc w:val="left"/>
        <w:textAlignment w:val="auto"/>
        <w:rPr>
          <w:rFonts w:hint="default" w:ascii="Times New Roman" w:hAnsi="Times New Roman" w:cs="Times New Roman" w:eastAsiaTheme="minorEastAsia"/>
          <w:b/>
          <w:bCs/>
          <w:kern w:val="0"/>
          <w:sz w:val="21"/>
          <w:szCs w:val="21"/>
          <w:highlight w:val="none"/>
          <w:lang w:eastAsia="zh-CN"/>
        </w:rPr>
      </w:pPr>
      <w:r>
        <w:rPr>
          <w:rFonts w:hint="default" w:ascii="Segoe UI Symbol" w:hAnsi="Segoe UI Symbol" w:eastAsia="宋体" w:cs="Segoe UI Symbol"/>
          <w:kern w:val="0"/>
          <w:sz w:val="20"/>
          <w:szCs w:val="20"/>
          <w:lang w:eastAsia="zh-CN"/>
        </w:rPr>
        <w:t>★</w:t>
      </w:r>
      <w:r>
        <w:rPr>
          <w:rFonts w:hint="default" w:ascii="Times New Roman" w:hAnsi="Times New Roman" w:cs="Times New Roman" w:eastAsiaTheme="minorEastAsia"/>
          <w:kern w:val="0"/>
          <w:sz w:val="21"/>
          <w:szCs w:val="21"/>
          <w:highlight w:val="none"/>
          <w:lang w:eastAsia="zh-CN"/>
        </w:rPr>
        <w:t>电机额定同步转速为</w:t>
      </w:r>
      <w:r>
        <w:rPr>
          <w:rFonts w:hint="eastAsia" w:ascii="Times New Roman" w:hAnsi="Times New Roman" w:cs="Times New Roman" w:eastAsiaTheme="minorEastAsia"/>
          <w:kern w:val="0"/>
          <w:sz w:val="21"/>
          <w:szCs w:val="21"/>
          <w:highlight w:val="none"/>
          <w:lang w:val="en-US" w:eastAsia="zh-CN"/>
        </w:rPr>
        <w:t>3600</w:t>
      </w:r>
      <w:r>
        <w:rPr>
          <w:rFonts w:hint="default" w:ascii="Times New Roman" w:hAnsi="Times New Roman" w:cs="Times New Roman" w:eastAsiaTheme="minorEastAsia"/>
          <w:kern w:val="0"/>
          <w:sz w:val="21"/>
          <w:szCs w:val="21"/>
          <w:highlight w:val="none"/>
          <w:lang w:eastAsia="zh-CN"/>
        </w:rPr>
        <w:t>-4200rpm，频率为</w:t>
      </w:r>
      <w:r>
        <w:rPr>
          <w:rFonts w:hint="eastAsia" w:ascii="Times New Roman" w:hAnsi="Times New Roman" w:cs="Times New Roman" w:eastAsiaTheme="minorEastAsia"/>
          <w:kern w:val="0"/>
          <w:sz w:val="21"/>
          <w:szCs w:val="21"/>
          <w:highlight w:val="none"/>
          <w:lang w:val="en-US" w:eastAsia="zh-CN"/>
        </w:rPr>
        <w:t>120</w:t>
      </w:r>
      <w:r>
        <w:rPr>
          <w:rFonts w:hint="default" w:ascii="Times New Roman" w:hAnsi="Times New Roman" w:cs="Times New Roman" w:eastAsiaTheme="minorEastAsia"/>
          <w:kern w:val="0"/>
          <w:sz w:val="21"/>
          <w:szCs w:val="21"/>
          <w:highlight w:val="none"/>
          <w:lang w:eastAsia="zh-CN"/>
        </w:rPr>
        <w:t>-140Hz，并且具备在此转速区间稳定运行的能力，</w:t>
      </w:r>
      <w:r>
        <w:rPr>
          <w:rFonts w:hint="default" w:ascii="Times New Roman" w:hAnsi="Times New Roman" w:cs="Times New Roman" w:eastAsiaTheme="minorEastAsia"/>
          <w:kern w:val="0"/>
          <w:sz w:val="21"/>
          <w:szCs w:val="21"/>
          <w:highlight w:val="none"/>
          <w:lang w:val="en-US" w:eastAsia="zh-CN"/>
        </w:rPr>
        <w:t>供货时</w:t>
      </w:r>
      <w:r>
        <w:rPr>
          <w:rFonts w:hint="default" w:ascii="Times New Roman" w:hAnsi="Times New Roman" w:cs="Times New Roman" w:eastAsiaTheme="minorEastAsia"/>
          <w:kern w:val="0"/>
          <w:sz w:val="21"/>
          <w:szCs w:val="21"/>
          <w:highlight w:val="none"/>
          <w:lang w:eastAsia="zh-CN"/>
        </w:rPr>
        <w:t>提供额定负载下转速3600rpm及4200rpm下的出厂测试报告。</w:t>
      </w:r>
    </w:p>
    <w:p>
      <w:pPr>
        <w:keepNext w:val="0"/>
        <w:keepLines w:val="0"/>
        <w:pageBreakBefore w:val="0"/>
        <w:widowControl w:val="0"/>
        <w:numPr>
          <w:ilvl w:val="2"/>
          <w:numId w:val="7"/>
        </w:numPr>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永磁电机为四极，转子永磁体采用内嵌式结构。</w:t>
      </w:r>
    </w:p>
    <w:p>
      <w:pPr>
        <w:keepNext w:val="0"/>
        <w:keepLines w:val="0"/>
        <w:pageBreakBefore w:val="0"/>
        <w:widowControl w:val="0"/>
        <w:numPr>
          <w:ilvl w:val="2"/>
          <w:numId w:val="7"/>
        </w:numPr>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永磁电机额定电压在2000V以下，电磁线采用耐交流电压等级不低于4000V，额定电压高于2000V低于3300V的，电磁线采用耐交流电压等级不低于7250V；额定电压高于3300V的，电磁线采用耐交流电压等级不低于10KV，聚酰亚胺膜每层的叠包率不低于48%，</w:t>
      </w:r>
      <w:r>
        <w:rPr>
          <w:rFonts w:hint="default" w:ascii="Times New Roman" w:hAnsi="Times New Roman" w:cs="Times New Roman" w:eastAsiaTheme="minorEastAsia"/>
          <w:kern w:val="0"/>
          <w:sz w:val="21"/>
          <w:szCs w:val="21"/>
          <w:highlight w:val="none"/>
          <w:lang w:val="en-US" w:eastAsia="zh-CN"/>
        </w:rPr>
        <w:t>电磁线的选择应具备</w:t>
      </w:r>
      <w:r>
        <w:rPr>
          <w:rFonts w:hint="default" w:ascii="Times New Roman" w:hAnsi="Times New Roman" w:cs="Times New Roman" w:eastAsiaTheme="minorEastAsia"/>
          <w:kern w:val="0"/>
          <w:sz w:val="21"/>
          <w:szCs w:val="21"/>
          <w:highlight w:val="none"/>
          <w:lang w:eastAsia="zh-CN"/>
        </w:rPr>
        <w:t>适用于高压、高频等复杂工况，在高电压下能够有效抵抗电晕放电现象，以降低电磁干扰和能量损失。</w:t>
      </w:r>
    </w:p>
    <w:p>
      <w:pPr>
        <w:keepNext w:val="0"/>
        <w:keepLines w:val="0"/>
        <w:pageBreakBefore w:val="0"/>
        <w:widowControl w:val="0"/>
        <w:numPr>
          <w:ilvl w:val="2"/>
          <w:numId w:val="7"/>
        </w:numPr>
        <w:kinsoku/>
        <w:wordWrap/>
        <w:overflowPunct/>
        <w:topLinePunct w:val="0"/>
        <w:autoSpaceDE w:val="0"/>
        <w:autoSpaceDN w:val="0"/>
        <w:bidi w:val="0"/>
        <w:adjustRightInd w:val="0"/>
        <w:snapToGrid/>
        <w:spacing w:line="360" w:lineRule="auto"/>
        <w:ind w:left="0" w:leftChars="0" w:right="0" w:rightChars="0" w:firstLine="40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Segoe UI Symbol" w:hAnsi="Segoe UI Symbol" w:eastAsia="宋体" w:cs="Segoe UI Symbol"/>
          <w:kern w:val="0"/>
          <w:sz w:val="20"/>
          <w:szCs w:val="20"/>
          <w:lang w:eastAsia="zh-CN"/>
        </w:rPr>
        <w:t>★</w:t>
      </w:r>
      <w:r>
        <w:rPr>
          <w:rFonts w:hint="default" w:ascii="Times New Roman" w:hAnsi="Times New Roman" w:cs="Times New Roman" w:eastAsiaTheme="minorEastAsia"/>
          <w:kern w:val="0"/>
          <w:sz w:val="21"/>
          <w:szCs w:val="21"/>
          <w:highlight w:val="none"/>
          <w:lang w:eastAsia="zh-CN"/>
        </w:rPr>
        <w:t>电机接口尺寸符合《机械采油公司潜油电泵产品接口参数明细》（见附件一）要求。</w:t>
      </w:r>
    </w:p>
    <w:p>
      <w:pPr>
        <w:keepNext w:val="0"/>
        <w:keepLines w:val="0"/>
        <w:pageBreakBefore w:val="0"/>
        <w:widowControl w:val="0"/>
        <w:numPr>
          <w:ilvl w:val="2"/>
          <w:numId w:val="7"/>
        </w:numPr>
        <w:kinsoku/>
        <w:wordWrap/>
        <w:overflowPunct/>
        <w:topLinePunct w:val="0"/>
        <w:autoSpaceDE w:val="0"/>
        <w:autoSpaceDN w:val="0"/>
        <w:bidi w:val="0"/>
        <w:adjustRightInd w:val="0"/>
        <w:snapToGrid/>
        <w:spacing w:line="360" w:lineRule="auto"/>
        <w:ind w:left="0" w:leftChars="0" w:right="0" w:rightChars="0" w:firstLine="40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Segoe UI Symbol" w:hAnsi="Segoe UI Symbol" w:eastAsia="宋体" w:cs="Segoe UI Symbol"/>
          <w:kern w:val="0"/>
          <w:sz w:val="20"/>
          <w:szCs w:val="20"/>
          <w:lang w:eastAsia="zh-CN"/>
        </w:rPr>
        <w:t>★</w:t>
      </w:r>
      <w:r>
        <w:rPr>
          <w:rFonts w:hint="default" w:ascii="Times New Roman" w:hAnsi="Times New Roman" w:cs="Times New Roman" w:eastAsiaTheme="minorEastAsia"/>
          <w:kern w:val="0"/>
          <w:sz w:val="21"/>
          <w:szCs w:val="21"/>
          <w:highlight w:val="none"/>
          <w:lang w:eastAsia="zh-CN"/>
        </w:rPr>
        <w:t>投标时提供电机规格如下数据表，至少包含：3600rpm、4200rpm转速下对应的额定功率、额定电压、额定电流、长度等数据，350系列功率范围至少覆盖：83~166HP，450系列功率范围至少覆盖：</w:t>
      </w:r>
      <w:r>
        <w:rPr>
          <w:rFonts w:hint="default" w:ascii="Times New Roman" w:hAnsi="Times New Roman" w:cs="Times New Roman" w:eastAsiaTheme="minorEastAsia"/>
          <w:kern w:val="0"/>
          <w:sz w:val="21"/>
          <w:szCs w:val="21"/>
          <w:highlight w:val="none"/>
          <w:lang w:val="en-US" w:eastAsia="zh-CN"/>
        </w:rPr>
        <w:t>140</w:t>
      </w:r>
      <w:r>
        <w:rPr>
          <w:rFonts w:hint="default" w:ascii="Times New Roman" w:hAnsi="Times New Roman" w:cs="Times New Roman" w:eastAsiaTheme="minorEastAsia"/>
          <w:kern w:val="0"/>
          <w:sz w:val="21"/>
          <w:szCs w:val="21"/>
          <w:highlight w:val="none"/>
          <w:lang w:eastAsia="zh-CN"/>
        </w:rPr>
        <w:t>~</w:t>
      </w:r>
      <w:r>
        <w:rPr>
          <w:rFonts w:hint="default" w:ascii="Times New Roman" w:hAnsi="Times New Roman" w:cs="Times New Roman" w:eastAsiaTheme="minorEastAsia"/>
          <w:kern w:val="0"/>
          <w:sz w:val="21"/>
          <w:szCs w:val="21"/>
          <w:highlight w:val="none"/>
          <w:lang w:val="en-US" w:eastAsia="zh-CN"/>
        </w:rPr>
        <w:t>260</w:t>
      </w:r>
      <w:r>
        <w:rPr>
          <w:rFonts w:hint="default" w:ascii="Times New Roman" w:hAnsi="Times New Roman" w:cs="Times New Roman" w:eastAsiaTheme="minorEastAsia"/>
          <w:kern w:val="0"/>
          <w:sz w:val="21"/>
          <w:szCs w:val="21"/>
          <w:highlight w:val="none"/>
          <w:lang w:eastAsia="zh-CN"/>
        </w:rPr>
        <w:t>HP、562系列功率范围至少覆盖183~</w:t>
      </w:r>
      <w:r>
        <w:rPr>
          <w:rFonts w:hint="default" w:ascii="Times New Roman" w:hAnsi="Times New Roman" w:cs="Times New Roman" w:eastAsiaTheme="minorEastAsia"/>
          <w:kern w:val="0"/>
          <w:sz w:val="21"/>
          <w:szCs w:val="21"/>
          <w:highlight w:val="none"/>
          <w:lang w:val="en-US" w:eastAsia="zh-CN"/>
        </w:rPr>
        <w:t>836</w:t>
      </w:r>
      <w:r>
        <w:rPr>
          <w:rFonts w:hint="default" w:ascii="Times New Roman" w:hAnsi="Times New Roman" w:cs="Times New Roman" w:eastAsiaTheme="minorEastAsia"/>
          <w:kern w:val="0"/>
          <w:sz w:val="21"/>
          <w:szCs w:val="21"/>
          <w:highlight w:val="none"/>
          <w:lang w:eastAsia="zh-CN"/>
        </w:rPr>
        <w:t>HP。</w:t>
      </w:r>
    </w:p>
    <w:p>
      <w:pPr>
        <w:widowControl w:val="0"/>
        <w:snapToGrid w:val="0"/>
        <w:rPr>
          <w:rFonts w:hint="default" w:ascii="Times New Roman" w:hAnsi="Times New Roman" w:cs="Times New Roman" w:eastAsiaTheme="minorEastAsia"/>
          <w:sz w:val="21"/>
          <w:szCs w:val="21"/>
          <w:highlight w:val="none"/>
          <w:lang w:val="en-US" w:eastAsia="zh-CN" w:bidi="ar-SA"/>
        </w:rPr>
      </w:pP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9"/>
        <w:gridCol w:w="976"/>
        <w:gridCol w:w="975"/>
        <w:gridCol w:w="975"/>
        <w:gridCol w:w="975"/>
        <w:gridCol w:w="973"/>
        <w:gridCol w:w="973"/>
        <w:gridCol w:w="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pct"/>
            <w:vMerge w:val="restart"/>
          </w:tcPr>
          <w:p>
            <w:pPr>
              <w:widowControl w:val="0"/>
              <w:snapToGrid w:val="0"/>
              <w:jc w:val="center"/>
              <w:rPr>
                <w:rFonts w:hint="default" w:ascii="Times New Roman" w:hAnsi="Times New Roman" w:cs="Times New Roman" w:eastAsiaTheme="minorEastAsia"/>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bidi="ar-SA"/>
              </w:rPr>
              <w:t>系列</w:t>
            </w:r>
          </w:p>
        </w:tc>
        <w:tc>
          <w:tcPr>
            <w:tcW w:w="1113" w:type="pct"/>
            <w:gridSpan w:val="2"/>
            <w:shd w:val="clear" w:color="auto" w:fill="FFFFFF" w:themeFill="background1"/>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bidi="ar-SA"/>
              </w:rPr>
              <w:t>额定功率（HP）</w:t>
            </w:r>
          </w:p>
        </w:tc>
        <w:tc>
          <w:tcPr>
            <w:tcW w:w="1111" w:type="pct"/>
            <w:gridSpan w:val="2"/>
            <w:shd w:val="clear" w:color="auto" w:fill="FFFFFF" w:themeFill="background1"/>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bidi="ar-SA"/>
              </w:rPr>
              <w:t>额定电压（V）</w:t>
            </w:r>
          </w:p>
        </w:tc>
        <w:tc>
          <w:tcPr>
            <w:tcW w:w="555" w:type="pct"/>
            <w:vMerge w:val="restart"/>
            <w:shd w:val="clear" w:color="auto" w:fill="FFFFFF" w:themeFill="background1"/>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bidi="ar-SA"/>
              </w:rPr>
              <w:t>额定电流（A）</w:t>
            </w:r>
          </w:p>
        </w:tc>
        <w:tc>
          <w:tcPr>
            <w:tcW w:w="555" w:type="pct"/>
            <w:vMerge w:val="restar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bidi="ar-SA"/>
              </w:rPr>
              <w:t>长度（m）</w:t>
            </w:r>
          </w:p>
        </w:tc>
        <w:tc>
          <w:tcPr>
            <w:tcW w:w="554" w:type="pct"/>
            <w:vMerge w:val="restar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bidi="ar-SA"/>
              </w:rPr>
              <w:t>重量（kg）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pct"/>
            <w:vMerge w:val="continue"/>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c>
          <w:tcPr>
            <w:tcW w:w="557" w:type="pc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bidi="ar-SA"/>
              </w:rPr>
              <w:t>3600rpm</w:t>
            </w:r>
          </w:p>
        </w:tc>
        <w:tc>
          <w:tcPr>
            <w:tcW w:w="556" w:type="pc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bidi="ar-SA"/>
              </w:rPr>
              <w:t>4200rpm</w:t>
            </w:r>
          </w:p>
        </w:tc>
        <w:tc>
          <w:tcPr>
            <w:tcW w:w="555" w:type="pc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bidi="ar-SA"/>
              </w:rPr>
              <w:t>3600rpm</w:t>
            </w:r>
          </w:p>
        </w:tc>
        <w:tc>
          <w:tcPr>
            <w:tcW w:w="556" w:type="pct"/>
            <w:shd w:val="clear" w:color="auto" w:fill="FFFFFF" w:themeFill="background1"/>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bidi="ar-SA"/>
              </w:rPr>
              <w:t>4200rpm</w:t>
            </w:r>
          </w:p>
        </w:tc>
        <w:tc>
          <w:tcPr>
            <w:tcW w:w="555" w:type="pct"/>
            <w:vMerge w:val="continue"/>
            <w:shd w:val="clear" w:color="auto" w:fill="FFFFFF" w:themeFill="background1"/>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c>
          <w:tcPr>
            <w:tcW w:w="555" w:type="pct"/>
            <w:vMerge w:val="continue"/>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c>
          <w:tcPr>
            <w:tcW w:w="554" w:type="pct"/>
            <w:vMerge w:val="continue"/>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pct"/>
          </w:tcPr>
          <w:p>
            <w:pPr>
              <w:widowControl w:val="0"/>
              <w:snapToGrid w:val="0"/>
              <w:jc w:val="center"/>
              <w:rPr>
                <w:rFonts w:hint="default" w:ascii="Times New Roman" w:hAnsi="Times New Roman" w:cs="Times New Roman" w:eastAsiaTheme="minorEastAsia"/>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bidi="ar-SA"/>
              </w:rPr>
              <w:t>350</w:t>
            </w:r>
          </w:p>
        </w:tc>
        <w:tc>
          <w:tcPr>
            <w:tcW w:w="557" w:type="pc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c>
          <w:tcPr>
            <w:tcW w:w="556" w:type="pc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c>
          <w:tcPr>
            <w:tcW w:w="555" w:type="pc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c>
          <w:tcPr>
            <w:tcW w:w="556" w:type="pc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c>
          <w:tcPr>
            <w:tcW w:w="555" w:type="pc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c>
          <w:tcPr>
            <w:tcW w:w="555" w:type="pc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c>
          <w:tcPr>
            <w:tcW w:w="554" w:type="pc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pct"/>
          </w:tcPr>
          <w:p>
            <w:pPr>
              <w:widowControl w:val="0"/>
              <w:snapToGrid w:val="0"/>
              <w:jc w:val="center"/>
              <w:rPr>
                <w:rFonts w:hint="default" w:ascii="Times New Roman" w:hAnsi="Times New Roman" w:cs="Times New Roman" w:eastAsiaTheme="minorEastAsia"/>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bidi="ar-SA"/>
              </w:rPr>
              <w:t>450</w:t>
            </w:r>
          </w:p>
        </w:tc>
        <w:tc>
          <w:tcPr>
            <w:tcW w:w="557" w:type="pc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c>
          <w:tcPr>
            <w:tcW w:w="556" w:type="pc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c>
          <w:tcPr>
            <w:tcW w:w="555" w:type="pc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c>
          <w:tcPr>
            <w:tcW w:w="556" w:type="pc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c>
          <w:tcPr>
            <w:tcW w:w="555" w:type="pc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c>
          <w:tcPr>
            <w:tcW w:w="555" w:type="pc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c>
          <w:tcPr>
            <w:tcW w:w="554" w:type="pc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pct"/>
          </w:tcPr>
          <w:p>
            <w:pPr>
              <w:widowControl w:val="0"/>
              <w:snapToGrid w:val="0"/>
              <w:jc w:val="center"/>
              <w:rPr>
                <w:rFonts w:hint="default" w:ascii="Times New Roman" w:hAnsi="Times New Roman" w:cs="Times New Roman" w:eastAsiaTheme="minorEastAsia"/>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bidi="ar-SA"/>
              </w:rPr>
              <w:t>562</w:t>
            </w:r>
          </w:p>
        </w:tc>
        <w:tc>
          <w:tcPr>
            <w:tcW w:w="557" w:type="pc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c>
          <w:tcPr>
            <w:tcW w:w="556" w:type="pc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c>
          <w:tcPr>
            <w:tcW w:w="555" w:type="pc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c>
          <w:tcPr>
            <w:tcW w:w="556" w:type="pc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c>
          <w:tcPr>
            <w:tcW w:w="555" w:type="pc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c>
          <w:tcPr>
            <w:tcW w:w="555" w:type="pc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c>
          <w:tcPr>
            <w:tcW w:w="554" w:type="pct"/>
            <w:vAlign w:val="center"/>
          </w:tcPr>
          <w:p>
            <w:pPr>
              <w:widowControl w:val="0"/>
              <w:snapToGrid w:val="0"/>
              <w:jc w:val="center"/>
              <w:rPr>
                <w:rFonts w:hint="default" w:ascii="Times New Roman" w:hAnsi="Times New Roman" w:cs="Times New Roman" w:eastAsiaTheme="minorEastAsia"/>
                <w:sz w:val="21"/>
                <w:szCs w:val="21"/>
                <w:highlight w:val="none"/>
                <w:lang w:val="en-US" w:eastAsia="zh-CN" w:bidi="ar-SA"/>
              </w:rPr>
            </w:pPr>
          </w:p>
        </w:tc>
      </w:tr>
    </w:tbl>
    <w:p>
      <w:pPr>
        <w:widowControl w:val="0"/>
        <w:snapToGrid w:val="0"/>
        <w:rPr>
          <w:rFonts w:hint="default" w:ascii="Times New Roman" w:hAnsi="Times New Roman" w:cs="Times New Roman" w:eastAsiaTheme="minorEastAsia"/>
          <w:sz w:val="15"/>
          <w:szCs w:val="15"/>
          <w:highlight w:val="none"/>
          <w:lang w:val="en-US" w:eastAsia="zh-CN" w:bidi="ar-SA"/>
        </w:rPr>
      </w:pPr>
    </w:p>
    <w:p>
      <w:pPr>
        <w:keepNext w:val="0"/>
        <w:keepLines w:val="0"/>
        <w:pageBreakBefore w:val="0"/>
        <w:widowControl w:val="0"/>
        <w:numPr>
          <w:ilvl w:val="2"/>
          <w:numId w:val="7"/>
        </w:numPr>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密封圈采用AFLAS材料，耐温等级不低于204℃，并提供AFLAS材质报告。</w:t>
      </w:r>
    </w:p>
    <w:p>
      <w:pPr>
        <w:keepNext w:val="0"/>
        <w:keepLines w:val="0"/>
        <w:pageBreakBefore w:val="0"/>
        <w:widowControl w:val="0"/>
        <w:numPr>
          <w:ilvl w:val="2"/>
          <w:numId w:val="7"/>
        </w:numPr>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电机轴采用42CrMo高强度合金钢及以上材质。</w:t>
      </w:r>
    </w:p>
    <w:p>
      <w:pPr>
        <w:keepNext w:val="0"/>
        <w:keepLines w:val="0"/>
        <w:pageBreakBefore w:val="0"/>
        <w:widowControl w:val="0"/>
        <w:numPr>
          <w:ilvl w:val="2"/>
          <w:numId w:val="7"/>
        </w:numPr>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接头、底座和壳体采用45钢，连接螺栓和垫片采用Monel K500，头、座采用45#钢材质(或相同性能的材质)</w:t>
      </w:r>
      <w:r>
        <w:rPr>
          <w:rFonts w:hint="eastAsia" w:ascii="Times New Roman" w:hAnsi="Times New Roman" w:cs="Times New Roman" w:eastAsiaTheme="minorEastAsia"/>
          <w:kern w:val="0"/>
          <w:sz w:val="21"/>
          <w:szCs w:val="21"/>
          <w:highlight w:val="none"/>
          <w:lang w:eastAsia="zh-CN"/>
        </w:rPr>
        <w:t>，</w:t>
      </w:r>
      <w:r>
        <w:rPr>
          <w:rFonts w:hint="default" w:ascii="Times New Roman" w:hAnsi="Times New Roman" w:cs="Times New Roman" w:eastAsiaTheme="minorEastAsia"/>
          <w:kern w:val="0"/>
          <w:sz w:val="21"/>
          <w:szCs w:val="21"/>
          <w:highlight w:val="none"/>
          <w:lang w:eastAsia="zh-CN"/>
        </w:rPr>
        <w:t>送货文件应提供材质化学成分及机械性能检测报告，并注明炉号等可追溯性标识信息。</w:t>
      </w:r>
    </w:p>
    <w:p>
      <w:pPr>
        <w:keepNext w:val="0"/>
        <w:keepLines w:val="0"/>
        <w:pageBreakBefore w:val="0"/>
        <w:widowControl w:val="0"/>
        <w:numPr>
          <w:ilvl w:val="2"/>
          <w:numId w:val="7"/>
        </w:numPr>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运输帽预留丝堵放气孔，运输帽螺栓必须齐全并旋紧，出厂时应按照法兰连接螺栓型号配置相应数量的内外六角螺钉及下井件（O圈、垫片等）主备各一套。</w:t>
      </w:r>
    </w:p>
    <w:p>
      <w:pPr>
        <w:keepNext w:val="0"/>
        <w:keepLines w:val="0"/>
        <w:pageBreakBefore w:val="0"/>
        <w:widowControl w:val="0"/>
        <w:numPr>
          <w:ilvl w:val="2"/>
          <w:numId w:val="7"/>
        </w:numPr>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电机底部留有能与电泵工况装置配合的连接法兰，并预留星点引出线，星点引出线长度应保证露出电机端部500mm。450及以上系列电机尾扣为2-3/8″EU母扣；350系列电机尾款为1.9″EU母扣。电机绕组线圈内加装泵工况测温用热电耦。</w:t>
      </w:r>
    </w:p>
    <w:p>
      <w:pPr>
        <w:keepNext w:val="0"/>
        <w:keepLines w:val="0"/>
        <w:pageBreakBefore w:val="0"/>
        <w:widowControl w:val="0"/>
        <w:numPr>
          <w:ilvl w:val="2"/>
          <w:numId w:val="7"/>
        </w:numPr>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val="en-US" w:eastAsia="zh-CN"/>
        </w:rPr>
        <w:t>0</w:t>
      </w:r>
      <w:r>
        <w:rPr>
          <w:rFonts w:hint="default" w:ascii="Times New Roman" w:hAnsi="Times New Roman" w:cs="Times New Roman" w:eastAsiaTheme="minorEastAsia"/>
          <w:kern w:val="0"/>
          <w:sz w:val="21"/>
          <w:szCs w:val="21"/>
          <w:highlight w:val="none"/>
          <w:lang w:eastAsia="zh-CN"/>
        </w:rPr>
        <w:t>℃</w:t>
      </w:r>
      <w:r>
        <w:rPr>
          <w:rFonts w:hint="default" w:ascii="Times New Roman" w:hAnsi="Times New Roman" w:cs="Times New Roman" w:eastAsiaTheme="minorEastAsia"/>
          <w:kern w:val="0"/>
          <w:sz w:val="21"/>
          <w:szCs w:val="21"/>
          <w:highlight w:val="none"/>
          <w:lang w:val="en-US" w:eastAsia="zh-CN"/>
        </w:rPr>
        <w:t>-</w:t>
      </w:r>
      <w:r>
        <w:rPr>
          <w:rFonts w:hint="default" w:ascii="Times New Roman" w:hAnsi="Times New Roman" w:cs="Times New Roman" w:eastAsiaTheme="minorEastAsia"/>
          <w:kern w:val="0"/>
          <w:sz w:val="21"/>
          <w:szCs w:val="21"/>
          <w:highlight w:val="none"/>
          <w:lang w:eastAsia="zh-CN"/>
        </w:rPr>
        <w:t>25℃环境温度下相间、对地绝缘电阻均应大于1000MΩ。</w:t>
      </w:r>
    </w:p>
    <w:p>
      <w:pPr>
        <w:keepNext w:val="0"/>
        <w:keepLines w:val="0"/>
        <w:pageBreakBefore w:val="0"/>
        <w:widowControl w:val="0"/>
        <w:numPr>
          <w:ilvl w:val="2"/>
          <w:numId w:val="7"/>
        </w:numPr>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电机三相绕组直流电阻不平衡率不得大于3%。</w:t>
      </w:r>
    </w:p>
    <w:p>
      <w:pPr>
        <w:keepNext w:val="0"/>
        <w:keepLines w:val="0"/>
        <w:pageBreakBefore w:val="0"/>
        <w:widowControl w:val="0"/>
        <w:numPr>
          <w:ilvl w:val="2"/>
          <w:numId w:val="7"/>
        </w:numPr>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成品电</w:t>
      </w:r>
      <w:r>
        <w:rPr>
          <w:rFonts w:hint="default" w:ascii="Times New Roman" w:hAnsi="Times New Roman" w:cs="Times New Roman" w:eastAsiaTheme="minorEastAsia"/>
          <w:color w:val="0D0D0D"/>
          <w:kern w:val="0"/>
          <w:sz w:val="20"/>
          <w:szCs w:val="18"/>
          <w:highlight w:val="none"/>
          <w:lang w:eastAsia="zh-CN"/>
        </w:rPr>
        <w:t>机应预</w:t>
      </w:r>
      <w:r>
        <w:rPr>
          <w:rFonts w:hint="default" w:ascii="Times New Roman" w:hAnsi="Times New Roman" w:cs="Times New Roman" w:eastAsiaTheme="minorEastAsia"/>
          <w:kern w:val="0"/>
          <w:sz w:val="21"/>
          <w:szCs w:val="21"/>
          <w:highlight w:val="none"/>
          <w:lang w:eastAsia="zh-CN"/>
        </w:rPr>
        <w:t>注新的合格电机油，电机油耐温不低于200℃，电机到货静置24小时后，无渗漏。</w:t>
      </w:r>
    </w:p>
    <w:p>
      <w:pPr>
        <w:keepNext w:val="0"/>
        <w:keepLines w:val="0"/>
        <w:pageBreakBefore w:val="0"/>
        <w:widowControl w:val="0"/>
        <w:numPr>
          <w:ilvl w:val="2"/>
          <w:numId w:val="7"/>
        </w:numPr>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电机本体上应有清晰牢固的产品标识及相关信息，包括：产品名称及型号，额定功率，额定频率，额定电压，额定电流，额定转速，出厂日期和产品出厂编号，重量，长度，制造厂名称、地址。非常规产品（防腐等）应进行标识。</w:t>
      </w:r>
    </w:p>
    <w:p>
      <w:pPr>
        <w:keepNext w:val="0"/>
        <w:keepLines w:val="0"/>
        <w:pageBreakBefore w:val="0"/>
        <w:widowControl w:val="0"/>
        <w:numPr>
          <w:ilvl w:val="2"/>
          <w:numId w:val="7"/>
        </w:numPr>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整机能承受压力为0.5MPa气压，历时5min的密封性能试验，各密封连接部位不泄漏。</w:t>
      </w:r>
    </w:p>
    <w:p>
      <w:pPr>
        <w:keepNext w:val="0"/>
        <w:keepLines w:val="0"/>
        <w:pageBreakBefore w:val="0"/>
        <w:widowControl w:val="0"/>
        <w:numPr>
          <w:ilvl w:val="2"/>
          <w:numId w:val="7"/>
        </w:numPr>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整机连接全部采用内外六角螺钉，采用法兰形式连接。</w:t>
      </w:r>
    </w:p>
    <w:p>
      <w:pPr>
        <w:numPr>
          <w:ilvl w:val="2"/>
          <w:numId w:val="7"/>
        </w:numPr>
        <w:autoSpaceDE w:val="0"/>
        <w:autoSpaceDN w:val="0"/>
        <w:adjustRightInd w:val="0"/>
        <w:spacing w:line="360" w:lineRule="auto"/>
        <w:ind w:left="1007" w:leftChars="0" w:firstLineChars="0"/>
        <w:jc w:val="both"/>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材质要求：</w:t>
      </w:r>
    </w:p>
    <w:p>
      <w:pPr>
        <w:numPr>
          <w:ilvl w:val="0"/>
          <w:numId w:val="8"/>
        </w:numPr>
        <w:autoSpaceDE w:val="0"/>
        <w:autoSpaceDN w:val="0"/>
        <w:adjustRightInd w:val="0"/>
        <w:spacing w:line="360" w:lineRule="auto"/>
        <w:ind w:left="440" w:leftChars="0" w:right="11" w:firstLine="0" w:firstLineChars="0"/>
        <w:jc w:val="left"/>
        <w:rPr>
          <w:rFonts w:hint="default" w:ascii="Times New Roman" w:hAnsi="Times New Roman" w:cs="Times New Roman" w:eastAsiaTheme="minorEastAsia"/>
          <w:kern w:val="0"/>
          <w:sz w:val="21"/>
          <w:szCs w:val="21"/>
          <w:highlight w:val="none"/>
          <w:lang w:eastAsia="zh-CN"/>
        </w:rPr>
      </w:pPr>
      <w:r>
        <w:rPr>
          <w:rFonts w:hint="eastAsia" w:ascii="Times New Roman" w:hAnsi="Times New Roman" w:cs="Times New Roman" w:eastAsiaTheme="minorEastAsia"/>
          <w:kern w:val="0"/>
          <w:sz w:val="21"/>
          <w:szCs w:val="21"/>
          <w:highlight w:val="none"/>
          <w:lang w:eastAsia="zh-CN"/>
        </w:rPr>
        <w:t>投标人</w:t>
      </w:r>
      <w:r>
        <w:rPr>
          <w:rFonts w:hint="default" w:ascii="Times New Roman" w:hAnsi="Times New Roman" w:cs="Times New Roman" w:eastAsiaTheme="minorEastAsia"/>
          <w:kern w:val="0"/>
          <w:sz w:val="21"/>
          <w:szCs w:val="21"/>
          <w:highlight w:val="none"/>
          <w:lang w:eastAsia="zh-CN"/>
        </w:rPr>
        <w:t>需提供永磁体的牌号，招标方可以进行检验验证。</w:t>
      </w:r>
    </w:p>
    <w:p>
      <w:pPr>
        <w:numPr>
          <w:ilvl w:val="0"/>
          <w:numId w:val="8"/>
        </w:numPr>
        <w:autoSpaceDE w:val="0"/>
        <w:autoSpaceDN w:val="0"/>
        <w:adjustRightInd w:val="0"/>
        <w:spacing w:line="360" w:lineRule="auto"/>
        <w:ind w:left="440" w:leftChars="0" w:right="11" w:firstLine="0" w:firstLineChars="0"/>
        <w:jc w:val="left"/>
        <w:rPr>
          <w:rFonts w:hint="default" w:ascii="Times New Roman" w:hAnsi="Times New Roman" w:cs="Times New Roman" w:eastAsiaTheme="minorEastAsia"/>
          <w:color w:val="0D0D0D"/>
          <w:kern w:val="0"/>
          <w:sz w:val="21"/>
          <w:szCs w:val="21"/>
          <w:highlight w:val="none"/>
          <w:lang w:eastAsia="zh-CN"/>
        </w:rPr>
      </w:pPr>
      <w:r>
        <w:rPr>
          <w:rFonts w:hint="default" w:ascii="Times New Roman" w:hAnsi="Times New Roman" w:cs="Times New Roman" w:eastAsiaTheme="minorEastAsia"/>
          <w:color w:val="0D0D0D"/>
          <w:kern w:val="0"/>
          <w:sz w:val="21"/>
          <w:szCs w:val="21"/>
          <w:highlight w:val="none"/>
          <w:lang w:eastAsia="zh-CN"/>
        </w:rPr>
        <w:t>壳体用45#钢，材质应满足</w:t>
      </w:r>
    </w:p>
    <w:tbl>
      <w:tblPr>
        <w:tblStyle w:val="11"/>
        <w:tblW w:w="4991"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873"/>
        <w:gridCol w:w="1167"/>
        <w:gridCol w:w="1167"/>
        <w:gridCol w:w="1020"/>
        <w:gridCol w:w="877"/>
        <w:gridCol w:w="876"/>
        <w:gridCol w:w="730"/>
        <w:gridCol w:w="730"/>
        <w:gridCol w:w="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334" w:type="pct"/>
            <w:vMerge w:val="restar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序号</w:t>
            </w:r>
          </w:p>
        </w:tc>
        <w:tc>
          <w:tcPr>
            <w:tcW w:w="499" w:type="pct"/>
            <w:vMerge w:val="restar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牌号</w:t>
            </w:r>
          </w:p>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名称</w:t>
            </w:r>
          </w:p>
        </w:tc>
        <w:tc>
          <w:tcPr>
            <w:tcW w:w="4167" w:type="pct"/>
            <w:gridSpan w:val="8"/>
          </w:tcPr>
          <w:p>
            <w:pPr>
              <w:ind w:right="11"/>
              <w:jc w:val="center"/>
              <w:rPr>
                <w:rFonts w:hint="default" w:ascii="Times New Roman" w:hAnsi="Times New Roman" w:cs="Times New Roman" w:eastAsiaTheme="minorEastAsia"/>
                <w:color w:val="0D0D0D"/>
                <w:kern w:val="0"/>
                <w:sz w:val="16"/>
                <w:szCs w:val="16"/>
                <w:highlight w:val="none"/>
                <w:lang w:eastAsia="zh-CN"/>
              </w:rPr>
            </w:pPr>
            <w:r>
              <w:rPr>
                <w:rFonts w:hint="default" w:ascii="Times New Roman" w:hAnsi="Times New Roman" w:cs="Times New Roman" w:eastAsiaTheme="minorEastAsia"/>
                <w:color w:val="0D0D0D"/>
                <w:kern w:val="0"/>
                <w:sz w:val="16"/>
                <w:szCs w:val="16"/>
                <w:highlight w:val="none"/>
                <w:lang w:eastAsia="zh-CN"/>
              </w:rPr>
              <w:t>化学成分（质量分数）%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4" w:type="pct"/>
            <w:vMerge w:val="continue"/>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zh-CN"/>
              </w:rPr>
            </w:pPr>
          </w:p>
        </w:tc>
        <w:tc>
          <w:tcPr>
            <w:tcW w:w="499" w:type="pct"/>
            <w:vMerge w:val="continue"/>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zh-CN"/>
              </w:rPr>
            </w:pPr>
          </w:p>
        </w:tc>
        <w:tc>
          <w:tcPr>
            <w:tcW w:w="667" w:type="pct"/>
            <w:vMerge w:val="restar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C</w:t>
            </w:r>
          </w:p>
        </w:tc>
        <w:tc>
          <w:tcPr>
            <w:tcW w:w="667" w:type="pct"/>
            <w:vMerge w:val="restar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Si</w:t>
            </w:r>
          </w:p>
        </w:tc>
        <w:tc>
          <w:tcPr>
            <w:tcW w:w="583" w:type="pct"/>
            <w:vMerge w:val="restar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Mn</w:t>
            </w:r>
          </w:p>
        </w:tc>
        <w:tc>
          <w:tcPr>
            <w:tcW w:w="501"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P</w:t>
            </w:r>
          </w:p>
        </w:tc>
        <w:tc>
          <w:tcPr>
            <w:tcW w:w="500"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S</w:t>
            </w:r>
          </w:p>
        </w:tc>
        <w:tc>
          <w:tcPr>
            <w:tcW w:w="417"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Cr</w:t>
            </w:r>
          </w:p>
        </w:tc>
        <w:tc>
          <w:tcPr>
            <w:tcW w:w="415"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Ni</w:t>
            </w:r>
          </w:p>
        </w:tc>
        <w:tc>
          <w:tcPr>
            <w:tcW w:w="417"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Cu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4" w:type="pct"/>
            <w:vMerge w:val="continue"/>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499" w:type="pct"/>
            <w:vMerge w:val="continue"/>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667" w:type="pct"/>
            <w:vMerge w:val="continue"/>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667" w:type="pct"/>
            <w:vMerge w:val="continue"/>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583" w:type="pct"/>
            <w:vMerge w:val="continue"/>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2250" w:type="pct"/>
            <w:gridSpan w:val="5"/>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不大于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34" w:type="pc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1</w:t>
            </w:r>
          </w:p>
        </w:tc>
        <w:tc>
          <w:tcPr>
            <w:tcW w:w="499" w:type="pc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45</w:t>
            </w:r>
            <w:r>
              <w:rPr>
                <w:rFonts w:hint="default" w:ascii="Times New Roman" w:hAnsi="Times New Roman" w:cs="Times New Roman" w:eastAsiaTheme="minorEastAsia"/>
                <w:color w:val="0D0D0D"/>
                <w:kern w:val="0"/>
                <w:sz w:val="16"/>
                <w:szCs w:val="16"/>
                <w:highlight w:val="none"/>
                <w:vertAlign w:val="superscript"/>
                <w:lang w:eastAsia="en-US"/>
              </w:rPr>
              <w:t>#</w:t>
            </w:r>
          </w:p>
        </w:tc>
        <w:tc>
          <w:tcPr>
            <w:tcW w:w="667"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0.42-0.5</w:t>
            </w:r>
          </w:p>
        </w:tc>
        <w:tc>
          <w:tcPr>
            <w:tcW w:w="667" w:type="pct"/>
            <w:vAlign w:val="center"/>
          </w:tcPr>
          <w:p>
            <w:pPr>
              <w:ind w:left="-107" w:leftChars="-51" w:right="-105" w:rightChars="-50"/>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0.17-0.37</w:t>
            </w:r>
          </w:p>
        </w:tc>
        <w:tc>
          <w:tcPr>
            <w:tcW w:w="583"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0.5-0.8</w:t>
            </w:r>
          </w:p>
        </w:tc>
        <w:tc>
          <w:tcPr>
            <w:tcW w:w="501"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0.035</w:t>
            </w:r>
          </w:p>
        </w:tc>
        <w:tc>
          <w:tcPr>
            <w:tcW w:w="500"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0.035</w:t>
            </w:r>
          </w:p>
        </w:tc>
        <w:tc>
          <w:tcPr>
            <w:tcW w:w="417"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0.25</w:t>
            </w:r>
          </w:p>
        </w:tc>
        <w:tc>
          <w:tcPr>
            <w:tcW w:w="417"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0.30</w:t>
            </w:r>
          </w:p>
        </w:tc>
        <w:tc>
          <w:tcPr>
            <w:tcW w:w="415" w:type="pct"/>
            <w:vAlign w:val="center"/>
          </w:tcPr>
          <w:p>
            <w:pPr>
              <w:ind w:right="11"/>
              <w:jc w:val="center"/>
              <w:rPr>
                <w:rFonts w:hint="default" w:ascii="Times New Roman" w:hAnsi="Times New Roman" w:cs="Times New Roman" w:eastAsiaTheme="minorEastAsia"/>
                <w:color w:val="0D0D0D"/>
                <w:kern w:val="0"/>
                <w:sz w:val="16"/>
                <w:szCs w:val="16"/>
                <w:highlight w:val="none"/>
                <w:lang w:eastAsia="zh-CN"/>
              </w:rPr>
            </w:pPr>
            <w:r>
              <w:rPr>
                <w:rFonts w:hint="default" w:ascii="Times New Roman" w:hAnsi="Times New Roman" w:cs="Times New Roman" w:eastAsiaTheme="minorEastAsia"/>
                <w:color w:val="0D0D0D"/>
                <w:kern w:val="0"/>
                <w:sz w:val="16"/>
                <w:szCs w:val="16"/>
                <w:highlight w:val="none"/>
                <w:lang w:eastAsia="en-US"/>
              </w:rPr>
              <w:t>0.2</w:t>
            </w:r>
            <w:r>
              <w:rPr>
                <w:rFonts w:hint="default" w:ascii="Times New Roman" w:hAnsi="Times New Roman" w:cs="Times New Roman" w:eastAsiaTheme="minorEastAsia"/>
                <w:color w:val="0D0D0D"/>
                <w:kern w:val="0"/>
                <w:sz w:val="16"/>
                <w:szCs w:val="16"/>
                <w:highlight w:val="none"/>
                <w:lang w:eastAsia="zh-CN"/>
              </w:rPr>
              <w:t>0</w:t>
            </w:r>
          </w:p>
        </w:tc>
      </w:tr>
    </w:tbl>
    <w:p>
      <w:pPr>
        <w:ind w:left="425" w:right="11"/>
        <w:jc w:val="left"/>
        <w:rPr>
          <w:rFonts w:hint="default" w:ascii="Times New Roman" w:hAnsi="Times New Roman" w:cs="Times New Roman" w:eastAsiaTheme="minorEastAsia"/>
          <w:vanish/>
          <w:color w:val="0D0D0D"/>
          <w:kern w:val="0"/>
          <w:sz w:val="20"/>
          <w:szCs w:val="20"/>
          <w:highlight w:val="none"/>
          <w:lang w:eastAsia="en-US"/>
        </w:rPr>
      </w:pPr>
    </w:p>
    <w:tbl>
      <w:tblPr>
        <w:tblStyle w:val="11"/>
        <w:tblW w:w="4991"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4"/>
        <w:gridCol w:w="1460"/>
        <w:gridCol w:w="2622"/>
        <w:gridCol w:w="2188"/>
        <w:gridCol w:w="1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 w:type="pct"/>
            <w:vMerge w:val="restar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序号</w:t>
            </w:r>
          </w:p>
        </w:tc>
        <w:tc>
          <w:tcPr>
            <w:tcW w:w="834" w:type="pct"/>
            <w:vMerge w:val="restar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牌号名称</w:t>
            </w:r>
          </w:p>
        </w:tc>
        <w:tc>
          <w:tcPr>
            <w:tcW w:w="3832" w:type="pct"/>
            <w:gridSpan w:val="3"/>
            <w:shd w:val="clear" w:color="auto" w:fill="auto"/>
            <w:vAlign w:val="center"/>
          </w:tcPr>
          <w:p>
            <w:pPr>
              <w:autoSpaceDE w:val="0"/>
              <w:autoSpaceDN w:val="0"/>
              <w:adjustRightInd w:val="0"/>
              <w:spacing w:line="360" w:lineRule="auto"/>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力学性能≥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 w:type="pct"/>
            <w:vMerge w:val="continue"/>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834" w:type="pct"/>
            <w:vMerge w:val="continue"/>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1498" w:type="pct"/>
            <w:shd w:val="clear" w:color="auto" w:fill="auto"/>
            <w:vAlign w:val="center"/>
          </w:tcPr>
          <w:p>
            <w:pPr>
              <w:autoSpaceDE w:val="0"/>
              <w:autoSpaceDN w:val="0"/>
              <w:adjustRightInd w:val="0"/>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抗拉强度R</w:t>
            </w:r>
            <w:r>
              <w:rPr>
                <w:rFonts w:hint="default" w:ascii="Times New Roman" w:hAnsi="Times New Roman" w:cs="Times New Roman" w:eastAsiaTheme="minorEastAsia"/>
                <w:color w:val="0D0D0D"/>
                <w:kern w:val="0"/>
                <w:sz w:val="16"/>
                <w:szCs w:val="16"/>
                <w:highlight w:val="none"/>
                <w:vertAlign w:val="subscript"/>
                <w:lang w:eastAsia="en-US"/>
              </w:rPr>
              <w:t>m</w:t>
            </w:r>
            <w:r>
              <w:rPr>
                <w:rFonts w:hint="default" w:ascii="Times New Roman" w:hAnsi="Times New Roman" w:cs="Times New Roman" w:eastAsiaTheme="minorEastAsia"/>
                <w:color w:val="0D0D0D"/>
                <w:kern w:val="0"/>
                <w:sz w:val="16"/>
                <w:szCs w:val="16"/>
                <w:highlight w:val="none"/>
                <w:lang w:eastAsia="en-US"/>
              </w:rPr>
              <w:t>/MPa</w:t>
            </w:r>
          </w:p>
        </w:tc>
        <w:tc>
          <w:tcPr>
            <w:tcW w:w="1250" w:type="pct"/>
            <w:shd w:val="clear" w:color="auto" w:fill="auto"/>
            <w:vAlign w:val="center"/>
          </w:tcPr>
          <w:p>
            <w:pPr>
              <w:autoSpaceDE w:val="0"/>
              <w:autoSpaceDN w:val="0"/>
              <w:adjustRightInd w:val="0"/>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下屈服强度R</w:t>
            </w:r>
            <w:r>
              <w:rPr>
                <w:rFonts w:hint="default" w:ascii="Times New Roman" w:hAnsi="Times New Roman" w:cs="Times New Roman" w:eastAsiaTheme="minorEastAsia"/>
                <w:color w:val="0D0D0D"/>
                <w:kern w:val="0"/>
                <w:sz w:val="16"/>
                <w:szCs w:val="16"/>
                <w:highlight w:val="none"/>
                <w:vertAlign w:val="subscript"/>
                <w:lang w:eastAsia="en-US"/>
              </w:rPr>
              <w:t>eL</w:t>
            </w:r>
            <w:r>
              <w:rPr>
                <w:rFonts w:hint="default" w:ascii="Times New Roman" w:hAnsi="Times New Roman" w:cs="Times New Roman" w:eastAsiaTheme="minorEastAsia"/>
                <w:color w:val="0D0D0D"/>
                <w:kern w:val="0"/>
                <w:sz w:val="16"/>
                <w:szCs w:val="16"/>
                <w:highlight w:val="none"/>
                <w:lang w:eastAsia="en-US"/>
              </w:rPr>
              <w:t>/ MPa</w:t>
            </w:r>
          </w:p>
        </w:tc>
        <w:tc>
          <w:tcPr>
            <w:tcW w:w="1084" w:type="pct"/>
            <w:shd w:val="clear" w:color="auto" w:fill="auto"/>
            <w:vAlign w:val="center"/>
          </w:tcPr>
          <w:p>
            <w:pPr>
              <w:autoSpaceDE w:val="0"/>
              <w:autoSpaceDN w:val="0"/>
              <w:adjustRightInd w:val="0"/>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断后伸长率A/%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334" w:type="pc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1</w:t>
            </w:r>
          </w:p>
        </w:tc>
        <w:tc>
          <w:tcPr>
            <w:tcW w:w="834" w:type="pc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45</w:t>
            </w:r>
            <w:r>
              <w:rPr>
                <w:rFonts w:hint="default" w:ascii="Times New Roman" w:hAnsi="Times New Roman" w:cs="Times New Roman" w:eastAsiaTheme="minorEastAsia"/>
                <w:color w:val="0D0D0D"/>
                <w:kern w:val="0"/>
                <w:sz w:val="16"/>
                <w:szCs w:val="16"/>
                <w:highlight w:val="none"/>
                <w:vertAlign w:val="superscript"/>
                <w:lang w:eastAsia="en-US"/>
              </w:rPr>
              <w:t>#</w:t>
            </w:r>
          </w:p>
        </w:tc>
        <w:tc>
          <w:tcPr>
            <w:tcW w:w="1498" w:type="pct"/>
            <w:shd w:val="clear" w:color="auto" w:fill="auto"/>
            <w:vAlign w:val="center"/>
          </w:tcPr>
          <w:p>
            <w:pPr>
              <w:autoSpaceDE w:val="0"/>
              <w:autoSpaceDN w:val="0"/>
              <w:adjustRightInd w:val="0"/>
              <w:spacing w:line="360" w:lineRule="auto"/>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590</w:t>
            </w:r>
          </w:p>
        </w:tc>
        <w:tc>
          <w:tcPr>
            <w:tcW w:w="1250" w:type="pct"/>
            <w:shd w:val="clear" w:color="auto" w:fill="auto"/>
            <w:vAlign w:val="center"/>
          </w:tcPr>
          <w:p>
            <w:pPr>
              <w:autoSpaceDE w:val="0"/>
              <w:autoSpaceDN w:val="0"/>
              <w:adjustRightInd w:val="0"/>
              <w:spacing w:line="360" w:lineRule="auto"/>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335</w:t>
            </w:r>
          </w:p>
        </w:tc>
        <w:tc>
          <w:tcPr>
            <w:tcW w:w="1084" w:type="pct"/>
            <w:shd w:val="clear" w:color="auto" w:fill="auto"/>
            <w:vAlign w:val="center"/>
          </w:tcPr>
          <w:p>
            <w:pPr>
              <w:autoSpaceDE w:val="0"/>
              <w:autoSpaceDN w:val="0"/>
              <w:adjustRightInd w:val="0"/>
              <w:spacing w:line="360" w:lineRule="auto"/>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14</w:t>
            </w:r>
          </w:p>
        </w:tc>
      </w:tr>
    </w:tbl>
    <w:p>
      <w:pPr>
        <w:numPr>
          <w:ilvl w:val="0"/>
          <w:numId w:val="8"/>
        </w:numPr>
        <w:autoSpaceDE w:val="0"/>
        <w:autoSpaceDN w:val="0"/>
        <w:adjustRightInd w:val="0"/>
        <w:spacing w:line="360" w:lineRule="auto"/>
        <w:ind w:left="440" w:leftChars="0" w:right="11" w:firstLine="0" w:firstLineChars="0"/>
        <w:jc w:val="left"/>
        <w:rPr>
          <w:rFonts w:hint="default" w:ascii="Times New Roman" w:hAnsi="Times New Roman" w:cs="Times New Roman" w:eastAsiaTheme="minorEastAsia"/>
          <w:color w:val="0D0D0D"/>
          <w:kern w:val="0"/>
          <w:sz w:val="21"/>
          <w:szCs w:val="21"/>
          <w:highlight w:val="none"/>
          <w:lang w:eastAsia="zh-CN"/>
        </w:rPr>
      </w:pPr>
      <w:r>
        <w:rPr>
          <w:rFonts w:hint="default" w:ascii="Times New Roman" w:hAnsi="Times New Roman" w:cs="Times New Roman" w:eastAsiaTheme="minorEastAsia"/>
          <w:color w:val="0D0D0D"/>
          <w:kern w:val="0"/>
          <w:sz w:val="21"/>
          <w:szCs w:val="21"/>
          <w:highlight w:val="none"/>
          <w:lang w:eastAsia="zh-CN"/>
        </w:rPr>
        <w:t>电机轴用42CrMo，材质应满足</w:t>
      </w:r>
    </w:p>
    <w:tbl>
      <w:tblPr>
        <w:tblStyle w:val="11"/>
        <w:tblW w:w="497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1"/>
        <w:gridCol w:w="874"/>
        <w:gridCol w:w="1013"/>
        <w:gridCol w:w="1149"/>
        <w:gridCol w:w="1019"/>
        <w:gridCol w:w="1168"/>
        <w:gridCol w:w="1313"/>
        <w:gridCol w:w="875"/>
        <w:gridCol w:w="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247" w:type="pct"/>
            <w:vMerge w:val="restar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序号</w:t>
            </w:r>
          </w:p>
        </w:tc>
        <w:tc>
          <w:tcPr>
            <w:tcW w:w="501" w:type="pct"/>
            <w:vMerge w:val="restar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牌号名称</w:t>
            </w:r>
          </w:p>
        </w:tc>
        <w:tc>
          <w:tcPr>
            <w:tcW w:w="3248" w:type="pct"/>
            <w:gridSpan w:val="5"/>
          </w:tcPr>
          <w:p>
            <w:pPr>
              <w:ind w:right="11"/>
              <w:jc w:val="center"/>
              <w:rPr>
                <w:rFonts w:hint="default" w:ascii="Times New Roman" w:hAnsi="Times New Roman" w:cs="Times New Roman" w:eastAsiaTheme="minorEastAsia"/>
                <w:color w:val="0D0D0D"/>
                <w:kern w:val="0"/>
                <w:sz w:val="16"/>
                <w:szCs w:val="16"/>
                <w:highlight w:val="none"/>
                <w:lang w:eastAsia="zh-CN"/>
              </w:rPr>
            </w:pPr>
            <w:r>
              <w:rPr>
                <w:rFonts w:hint="default" w:ascii="Times New Roman" w:hAnsi="Times New Roman" w:cs="Times New Roman" w:eastAsiaTheme="minorEastAsia"/>
                <w:color w:val="0D0D0D"/>
                <w:kern w:val="0"/>
                <w:sz w:val="16"/>
                <w:szCs w:val="16"/>
                <w:highlight w:val="none"/>
                <w:lang w:eastAsia="zh-CN"/>
              </w:rPr>
              <w:t>化学成分（质量分数）%</w:t>
            </w:r>
          </w:p>
        </w:tc>
        <w:tc>
          <w:tcPr>
            <w:tcW w:w="1004" w:type="pct"/>
            <w:gridSpan w:val="2"/>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不大于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7" w:type="pct"/>
            <w:vMerge w:val="continue"/>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501" w:type="pct"/>
            <w:vMerge w:val="continue"/>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581" w:type="pct"/>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C</w:t>
            </w:r>
          </w:p>
        </w:tc>
        <w:tc>
          <w:tcPr>
            <w:tcW w:w="659" w:type="pct"/>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Si</w:t>
            </w:r>
          </w:p>
        </w:tc>
        <w:tc>
          <w:tcPr>
            <w:tcW w:w="585" w:type="pct"/>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Mn</w:t>
            </w:r>
          </w:p>
        </w:tc>
        <w:tc>
          <w:tcPr>
            <w:tcW w:w="670" w:type="pct"/>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Cr</w:t>
            </w:r>
          </w:p>
        </w:tc>
        <w:tc>
          <w:tcPr>
            <w:tcW w:w="753" w:type="pct"/>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Mo</w:t>
            </w:r>
          </w:p>
        </w:tc>
        <w:tc>
          <w:tcPr>
            <w:tcW w:w="502" w:type="pct"/>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P</w:t>
            </w:r>
          </w:p>
        </w:tc>
        <w:tc>
          <w:tcPr>
            <w:tcW w:w="502" w:type="pct"/>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47" w:type="pc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1</w:t>
            </w:r>
          </w:p>
        </w:tc>
        <w:tc>
          <w:tcPr>
            <w:tcW w:w="501" w:type="pc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20"/>
                <w:szCs w:val="18"/>
                <w:highlight w:val="none"/>
                <w:lang w:eastAsia="zh-CN"/>
              </w:rPr>
              <w:t>42</w:t>
            </w:r>
            <w:r>
              <w:rPr>
                <w:rFonts w:hint="default" w:ascii="Times New Roman" w:hAnsi="Times New Roman" w:cs="Times New Roman" w:eastAsiaTheme="minorEastAsia"/>
                <w:color w:val="0D0D0D"/>
                <w:kern w:val="0"/>
                <w:sz w:val="20"/>
                <w:szCs w:val="18"/>
                <w:highlight w:val="none"/>
                <w:lang w:eastAsia="en-US"/>
              </w:rPr>
              <w:t>CrMo</w:t>
            </w:r>
          </w:p>
        </w:tc>
        <w:tc>
          <w:tcPr>
            <w:tcW w:w="581" w:type="pct"/>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w:t>
            </w:r>
            <w:r>
              <w:rPr>
                <w:rFonts w:hint="default" w:ascii="Times New Roman" w:hAnsi="Times New Roman" w:cs="Times New Roman" w:eastAsiaTheme="minorEastAsia"/>
                <w:color w:val="0D0D0D"/>
                <w:kern w:val="0"/>
                <w:sz w:val="16"/>
                <w:szCs w:val="16"/>
                <w:highlight w:val="none"/>
                <w:lang w:eastAsia="zh-CN"/>
              </w:rPr>
              <w:t>38</w:t>
            </w:r>
            <w:r>
              <w:rPr>
                <w:rFonts w:hint="default" w:ascii="Times New Roman" w:hAnsi="Times New Roman" w:cs="Times New Roman" w:eastAsiaTheme="minorEastAsia"/>
                <w:color w:val="0D0D0D"/>
                <w:kern w:val="0"/>
                <w:sz w:val="16"/>
                <w:szCs w:val="16"/>
                <w:highlight w:val="none"/>
                <w:lang w:eastAsia="en-US"/>
              </w:rPr>
              <w:t>-0.</w:t>
            </w:r>
            <w:r>
              <w:rPr>
                <w:rFonts w:hint="default" w:ascii="Times New Roman" w:hAnsi="Times New Roman" w:cs="Times New Roman" w:eastAsiaTheme="minorEastAsia"/>
                <w:color w:val="0D0D0D"/>
                <w:kern w:val="0"/>
                <w:sz w:val="16"/>
                <w:szCs w:val="16"/>
                <w:highlight w:val="none"/>
                <w:lang w:eastAsia="zh-CN"/>
              </w:rPr>
              <w:t>45</w:t>
            </w:r>
          </w:p>
        </w:tc>
        <w:tc>
          <w:tcPr>
            <w:tcW w:w="659" w:type="pct"/>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w:t>
            </w:r>
            <w:r>
              <w:rPr>
                <w:rFonts w:hint="default" w:ascii="Times New Roman" w:hAnsi="Times New Roman" w:cs="Times New Roman" w:eastAsiaTheme="minorEastAsia"/>
                <w:color w:val="0D0D0D"/>
                <w:kern w:val="0"/>
                <w:sz w:val="16"/>
                <w:szCs w:val="16"/>
                <w:highlight w:val="none"/>
                <w:lang w:eastAsia="zh-CN"/>
              </w:rPr>
              <w:t>20</w:t>
            </w:r>
            <w:r>
              <w:rPr>
                <w:rFonts w:hint="default" w:ascii="Times New Roman" w:hAnsi="Times New Roman" w:cs="Times New Roman" w:eastAsiaTheme="minorEastAsia"/>
                <w:color w:val="0D0D0D"/>
                <w:kern w:val="0"/>
                <w:sz w:val="16"/>
                <w:szCs w:val="16"/>
                <w:highlight w:val="none"/>
                <w:lang w:eastAsia="en-US"/>
              </w:rPr>
              <w:t>-0.</w:t>
            </w:r>
            <w:r>
              <w:rPr>
                <w:rFonts w:hint="default" w:ascii="Times New Roman" w:hAnsi="Times New Roman" w:cs="Times New Roman" w:eastAsiaTheme="minorEastAsia"/>
                <w:color w:val="0D0D0D"/>
                <w:kern w:val="0"/>
                <w:sz w:val="16"/>
                <w:szCs w:val="16"/>
                <w:highlight w:val="none"/>
                <w:lang w:eastAsia="zh-CN"/>
              </w:rPr>
              <w:t>40</w:t>
            </w:r>
          </w:p>
        </w:tc>
        <w:tc>
          <w:tcPr>
            <w:tcW w:w="585" w:type="pct"/>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w:t>
            </w:r>
            <w:r>
              <w:rPr>
                <w:rFonts w:hint="default" w:ascii="Times New Roman" w:hAnsi="Times New Roman" w:cs="Times New Roman" w:eastAsiaTheme="minorEastAsia"/>
                <w:color w:val="0D0D0D"/>
                <w:kern w:val="0"/>
                <w:sz w:val="16"/>
                <w:szCs w:val="16"/>
                <w:highlight w:val="none"/>
                <w:lang w:eastAsia="zh-CN"/>
              </w:rPr>
              <w:t>6</w:t>
            </w:r>
            <w:r>
              <w:rPr>
                <w:rFonts w:hint="default" w:ascii="Times New Roman" w:hAnsi="Times New Roman" w:cs="Times New Roman" w:eastAsiaTheme="minorEastAsia"/>
                <w:color w:val="0D0D0D"/>
                <w:kern w:val="0"/>
                <w:sz w:val="16"/>
                <w:szCs w:val="16"/>
                <w:highlight w:val="none"/>
                <w:lang w:eastAsia="en-US"/>
              </w:rPr>
              <w:t>0-0.</w:t>
            </w:r>
            <w:r>
              <w:rPr>
                <w:rFonts w:hint="default" w:ascii="Times New Roman" w:hAnsi="Times New Roman" w:cs="Times New Roman" w:eastAsiaTheme="minorEastAsia"/>
                <w:color w:val="0D0D0D"/>
                <w:kern w:val="0"/>
                <w:sz w:val="16"/>
                <w:szCs w:val="16"/>
                <w:highlight w:val="none"/>
                <w:lang w:eastAsia="zh-CN"/>
              </w:rPr>
              <w:t>9</w:t>
            </w:r>
            <w:r>
              <w:rPr>
                <w:rFonts w:hint="default" w:ascii="Times New Roman" w:hAnsi="Times New Roman" w:cs="Times New Roman" w:eastAsiaTheme="minorEastAsia"/>
                <w:color w:val="0D0D0D"/>
                <w:kern w:val="0"/>
                <w:sz w:val="16"/>
                <w:szCs w:val="16"/>
                <w:highlight w:val="none"/>
                <w:lang w:eastAsia="en-US"/>
              </w:rPr>
              <w:t>0</w:t>
            </w:r>
          </w:p>
        </w:tc>
        <w:tc>
          <w:tcPr>
            <w:tcW w:w="670" w:type="pct"/>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w:t>
            </w:r>
            <w:r>
              <w:rPr>
                <w:rFonts w:hint="default" w:ascii="Times New Roman" w:hAnsi="Times New Roman" w:cs="Times New Roman" w:eastAsiaTheme="minorEastAsia"/>
                <w:color w:val="0D0D0D"/>
                <w:kern w:val="0"/>
                <w:sz w:val="16"/>
                <w:szCs w:val="16"/>
                <w:highlight w:val="none"/>
                <w:lang w:eastAsia="zh-CN"/>
              </w:rPr>
              <w:t>9</w:t>
            </w:r>
            <w:r>
              <w:rPr>
                <w:rFonts w:hint="default" w:ascii="Times New Roman" w:hAnsi="Times New Roman" w:cs="Times New Roman" w:eastAsiaTheme="minorEastAsia"/>
                <w:color w:val="0D0D0D"/>
                <w:kern w:val="0"/>
                <w:sz w:val="16"/>
                <w:szCs w:val="16"/>
                <w:highlight w:val="none"/>
                <w:lang w:eastAsia="en-US"/>
              </w:rPr>
              <w:t>0-1.</w:t>
            </w:r>
            <w:r>
              <w:rPr>
                <w:rFonts w:hint="default" w:ascii="Times New Roman" w:hAnsi="Times New Roman" w:cs="Times New Roman" w:eastAsiaTheme="minorEastAsia"/>
                <w:color w:val="0D0D0D"/>
                <w:kern w:val="0"/>
                <w:sz w:val="16"/>
                <w:szCs w:val="16"/>
                <w:highlight w:val="none"/>
                <w:lang w:eastAsia="zh-CN"/>
              </w:rPr>
              <w:t>2</w:t>
            </w:r>
            <w:r>
              <w:rPr>
                <w:rFonts w:hint="default" w:ascii="Times New Roman" w:hAnsi="Times New Roman" w:cs="Times New Roman" w:eastAsiaTheme="minorEastAsia"/>
                <w:color w:val="0D0D0D"/>
                <w:kern w:val="0"/>
                <w:sz w:val="16"/>
                <w:szCs w:val="16"/>
                <w:highlight w:val="none"/>
                <w:lang w:eastAsia="en-US"/>
              </w:rPr>
              <w:t>0</w:t>
            </w:r>
          </w:p>
        </w:tc>
        <w:tc>
          <w:tcPr>
            <w:tcW w:w="753" w:type="pct"/>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0.15-0.</w:t>
            </w:r>
            <w:r>
              <w:rPr>
                <w:rFonts w:hint="default" w:ascii="Times New Roman" w:hAnsi="Times New Roman" w:cs="Times New Roman" w:eastAsiaTheme="minorEastAsia"/>
                <w:color w:val="0D0D0D"/>
                <w:kern w:val="0"/>
                <w:sz w:val="16"/>
                <w:szCs w:val="16"/>
                <w:highlight w:val="none"/>
                <w:lang w:eastAsia="zh-CN"/>
              </w:rPr>
              <w:t>30</w:t>
            </w:r>
          </w:p>
        </w:tc>
        <w:tc>
          <w:tcPr>
            <w:tcW w:w="502" w:type="pct"/>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0.035</w:t>
            </w:r>
          </w:p>
        </w:tc>
        <w:tc>
          <w:tcPr>
            <w:tcW w:w="502" w:type="pct"/>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0.035</w:t>
            </w:r>
          </w:p>
        </w:tc>
      </w:tr>
    </w:tbl>
    <w:p>
      <w:pPr>
        <w:ind w:right="11"/>
        <w:jc w:val="left"/>
        <w:rPr>
          <w:rFonts w:hint="default" w:ascii="Times New Roman" w:hAnsi="Times New Roman" w:cs="Times New Roman" w:eastAsiaTheme="minorEastAsia"/>
          <w:vanish/>
          <w:color w:val="0D0D0D"/>
          <w:kern w:val="0"/>
          <w:sz w:val="20"/>
          <w:szCs w:val="20"/>
          <w:highlight w:val="none"/>
          <w:lang w:eastAsia="en-US"/>
        </w:rPr>
      </w:pPr>
    </w:p>
    <w:tbl>
      <w:tblPr>
        <w:tblStyle w:val="11"/>
        <w:tblW w:w="497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
        <w:gridCol w:w="912"/>
        <w:gridCol w:w="2059"/>
        <w:gridCol w:w="2385"/>
        <w:gridCol w:w="2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vMerge w:val="restart"/>
            <w:shd w:val="clear" w:color="auto" w:fill="auto"/>
            <w:vAlign w:val="center"/>
          </w:tcPr>
          <w:p>
            <w:pPr>
              <w:ind w:right="11"/>
              <w:jc w:val="center"/>
              <w:rPr>
                <w:rFonts w:hint="default" w:ascii="Times New Roman" w:hAnsi="Times New Roman" w:cs="Times New Roman" w:eastAsiaTheme="minorEastAsia"/>
                <w:kern w:val="0"/>
                <w:sz w:val="20"/>
                <w:szCs w:val="20"/>
                <w:highlight w:val="none"/>
                <w:lang w:eastAsia="en-US"/>
              </w:rPr>
            </w:pPr>
            <w:r>
              <w:rPr>
                <w:rFonts w:hint="default" w:ascii="Times New Roman" w:hAnsi="Times New Roman" w:cs="Times New Roman" w:eastAsiaTheme="minorEastAsia"/>
                <w:kern w:val="0"/>
                <w:sz w:val="16"/>
                <w:szCs w:val="16"/>
                <w:highlight w:val="none"/>
                <w:lang w:eastAsia="en-US"/>
              </w:rPr>
              <w:t>序号</w:t>
            </w:r>
          </w:p>
        </w:tc>
        <w:tc>
          <w:tcPr>
            <w:tcW w:w="523" w:type="pct"/>
            <w:vMerge w:val="restart"/>
            <w:shd w:val="clear" w:color="auto" w:fill="auto"/>
            <w:vAlign w:val="center"/>
          </w:tcPr>
          <w:p>
            <w:pPr>
              <w:ind w:right="11"/>
              <w:jc w:val="center"/>
              <w:rPr>
                <w:rFonts w:hint="default" w:ascii="Times New Roman" w:hAnsi="Times New Roman" w:cs="Times New Roman" w:eastAsiaTheme="minorEastAsia"/>
                <w:kern w:val="0"/>
                <w:sz w:val="20"/>
                <w:szCs w:val="20"/>
                <w:highlight w:val="none"/>
                <w:lang w:eastAsia="en-US"/>
              </w:rPr>
            </w:pPr>
            <w:r>
              <w:rPr>
                <w:rFonts w:hint="default" w:ascii="Times New Roman" w:hAnsi="Times New Roman" w:cs="Times New Roman" w:eastAsiaTheme="minorEastAsia"/>
                <w:kern w:val="0"/>
                <w:sz w:val="16"/>
                <w:szCs w:val="16"/>
                <w:highlight w:val="none"/>
                <w:lang w:eastAsia="en-US"/>
              </w:rPr>
              <w:t>牌号名称</w:t>
            </w:r>
          </w:p>
        </w:tc>
        <w:tc>
          <w:tcPr>
            <w:tcW w:w="4185" w:type="pct"/>
            <w:gridSpan w:val="3"/>
            <w:shd w:val="clear" w:color="auto" w:fill="auto"/>
            <w:vAlign w:val="center"/>
          </w:tcPr>
          <w:p>
            <w:pPr>
              <w:autoSpaceDE w:val="0"/>
              <w:autoSpaceDN w:val="0"/>
              <w:adjustRightInd w:val="0"/>
              <w:ind w:right="11"/>
              <w:jc w:val="center"/>
              <w:rPr>
                <w:rFonts w:hint="default" w:ascii="Times New Roman" w:hAnsi="Times New Roman" w:cs="Times New Roman" w:eastAsiaTheme="minorEastAsia"/>
                <w:kern w:val="0"/>
                <w:sz w:val="20"/>
                <w:szCs w:val="20"/>
                <w:highlight w:val="none"/>
                <w:lang w:eastAsia="en-US"/>
              </w:rPr>
            </w:pPr>
            <w:r>
              <w:rPr>
                <w:rFonts w:hint="default" w:ascii="Times New Roman" w:hAnsi="Times New Roman" w:cs="Times New Roman" w:eastAsiaTheme="minorEastAsia"/>
                <w:kern w:val="0"/>
                <w:sz w:val="20"/>
                <w:szCs w:val="20"/>
                <w:highlight w:val="none"/>
                <w:lang w:eastAsia="en-US"/>
              </w:rPr>
              <w:t>力学性能不小于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vMerge w:val="continue"/>
            <w:shd w:val="clear" w:color="auto" w:fill="auto"/>
            <w:vAlign w:val="center"/>
          </w:tcPr>
          <w:p>
            <w:pPr>
              <w:ind w:right="11"/>
              <w:jc w:val="center"/>
              <w:rPr>
                <w:rFonts w:hint="default" w:ascii="Times New Roman" w:hAnsi="Times New Roman" w:cs="Times New Roman" w:eastAsiaTheme="minorEastAsia"/>
                <w:b/>
                <w:kern w:val="0"/>
                <w:sz w:val="16"/>
                <w:szCs w:val="16"/>
                <w:highlight w:val="none"/>
                <w:lang w:eastAsia="en-US"/>
              </w:rPr>
            </w:pPr>
          </w:p>
        </w:tc>
        <w:tc>
          <w:tcPr>
            <w:tcW w:w="523" w:type="pct"/>
            <w:vMerge w:val="continue"/>
            <w:shd w:val="clear" w:color="auto" w:fill="auto"/>
            <w:vAlign w:val="center"/>
          </w:tcPr>
          <w:p>
            <w:pPr>
              <w:ind w:right="11"/>
              <w:jc w:val="center"/>
              <w:rPr>
                <w:rFonts w:hint="default" w:ascii="Times New Roman" w:hAnsi="Times New Roman" w:cs="Times New Roman" w:eastAsiaTheme="minorEastAsia"/>
                <w:b/>
                <w:kern w:val="0"/>
                <w:sz w:val="16"/>
                <w:szCs w:val="16"/>
                <w:highlight w:val="none"/>
                <w:lang w:eastAsia="en-US"/>
              </w:rPr>
            </w:pPr>
          </w:p>
        </w:tc>
        <w:tc>
          <w:tcPr>
            <w:tcW w:w="1181" w:type="pct"/>
            <w:shd w:val="clear" w:color="auto" w:fill="auto"/>
            <w:vAlign w:val="center"/>
          </w:tcPr>
          <w:p>
            <w:pPr>
              <w:autoSpaceDE w:val="0"/>
              <w:autoSpaceDN w:val="0"/>
              <w:adjustRightInd w:val="0"/>
              <w:ind w:right="11"/>
              <w:jc w:val="center"/>
              <w:rPr>
                <w:rFonts w:hint="default" w:ascii="Times New Roman" w:hAnsi="Times New Roman" w:cs="Times New Roman" w:eastAsiaTheme="minorEastAsia"/>
                <w:kern w:val="0"/>
                <w:sz w:val="20"/>
                <w:szCs w:val="20"/>
                <w:highlight w:val="none"/>
                <w:lang w:eastAsia="en-US"/>
              </w:rPr>
            </w:pPr>
            <w:r>
              <w:rPr>
                <w:rFonts w:hint="default" w:ascii="Times New Roman" w:hAnsi="Times New Roman" w:cs="Times New Roman" w:eastAsiaTheme="minorEastAsia"/>
                <w:kern w:val="0"/>
                <w:sz w:val="20"/>
                <w:szCs w:val="20"/>
                <w:highlight w:val="none"/>
                <w:lang w:eastAsia="en-US"/>
              </w:rPr>
              <w:t>抗拉强度R</w:t>
            </w:r>
            <w:r>
              <w:rPr>
                <w:rFonts w:hint="default" w:ascii="Times New Roman" w:hAnsi="Times New Roman" w:cs="Times New Roman" w:eastAsiaTheme="minorEastAsia"/>
                <w:kern w:val="0"/>
                <w:sz w:val="20"/>
                <w:szCs w:val="20"/>
                <w:highlight w:val="none"/>
                <w:vertAlign w:val="subscript"/>
                <w:lang w:eastAsia="en-US"/>
              </w:rPr>
              <w:t>m</w:t>
            </w:r>
            <w:r>
              <w:rPr>
                <w:rFonts w:hint="default" w:ascii="Times New Roman" w:hAnsi="Times New Roman" w:cs="Times New Roman" w:eastAsiaTheme="minorEastAsia"/>
                <w:kern w:val="0"/>
                <w:sz w:val="20"/>
                <w:szCs w:val="20"/>
                <w:highlight w:val="none"/>
                <w:lang w:eastAsia="en-US"/>
              </w:rPr>
              <w:t>/MPa</w:t>
            </w:r>
          </w:p>
        </w:tc>
        <w:tc>
          <w:tcPr>
            <w:tcW w:w="1368" w:type="pct"/>
            <w:shd w:val="clear" w:color="auto" w:fill="auto"/>
            <w:vAlign w:val="center"/>
          </w:tcPr>
          <w:p>
            <w:pPr>
              <w:autoSpaceDE w:val="0"/>
              <w:autoSpaceDN w:val="0"/>
              <w:adjustRightInd w:val="0"/>
              <w:ind w:right="11"/>
              <w:jc w:val="center"/>
              <w:rPr>
                <w:rFonts w:hint="default" w:ascii="Times New Roman" w:hAnsi="Times New Roman" w:cs="Times New Roman" w:eastAsiaTheme="minorEastAsia"/>
                <w:kern w:val="0"/>
                <w:sz w:val="20"/>
                <w:szCs w:val="20"/>
                <w:highlight w:val="none"/>
                <w:lang w:eastAsia="en-US"/>
              </w:rPr>
            </w:pPr>
            <w:r>
              <w:rPr>
                <w:rFonts w:hint="default" w:ascii="Times New Roman" w:hAnsi="Times New Roman" w:cs="Times New Roman" w:eastAsiaTheme="minorEastAsia"/>
                <w:kern w:val="0"/>
                <w:sz w:val="20"/>
                <w:szCs w:val="20"/>
                <w:highlight w:val="none"/>
                <w:lang w:eastAsia="en-US"/>
              </w:rPr>
              <w:t>屈服强度</w:t>
            </w:r>
          </w:p>
          <w:p>
            <w:pPr>
              <w:autoSpaceDE w:val="0"/>
              <w:autoSpaceDN w:val="0"/>
              <w:adjustRightInd w:val="0"/>
              <w:ind w:right="11"/>
              <w:jc w:val="center"/>
              <w:rPr>
                <w:rFonts w:hint="default" w:ascii="Times New Roman" w:hAnsi="Times New Roman" w:cs="Times New Roman" w:eastAsiaTheme="minorEastAsia"/>
                <w:kern w:val="0"/>
                <w:sz w:val="20"/>
                <w:szCs w:val="20"/>
                <w:highlight w:val="none"/>
                <w:lang w:eastAsia="en-US"/>
              </w:rPr>
            </w:pPr>
            <w:r>
              <w:rPr>
                <w:rFonts w:hint="default" w:ascii="Times New Roman" w:hAnsi="Times New Roman" w:cs="Times New Roman" w:eastAsiaTheme="minorEastAsia"/>
                <w:kern w:val="0"/>
                <w:sz w:val="20"/>
                <w:szCs w:val="20"/>
                <w:highlight w:val="none"/>
                <w:lang w:eastAsia="en-US"/>
              </w:rPr>
              <w:t>R</w:t>
            </w:r>
            <w:r>
              <w:rPr>
                <w:rFonts w:hint="default" w:ascii="Times New Roman" w:hAnsi="Times New Roman" w:cs="Times New Roman" w:eastAsiaTheme="minorEastAsia"/>
                <w:kern w:val="0"/>
                <w:sz w:val="20"/>
                <w:szCs w:val="20"/>
                <w:highlight w:val="none"/>
                <w:vertAlign w:val="subscript"/>
                <w:lang w:eastAsia="en-US"/>
              </w:rPr>
              <w:t>eL或</w:t>
            </w:r>
            <w:r>
              <w:rPr>
                <w:rFonts w:hint="default" w:ascii="Times New Roman" w:hAnsi="Times New Roman" w:cs="Times New Roman" w:eastAsiaTheme="minorEastAsia"/>
                <w:kern w:val="0"/>
                <w:sz w:val="20"/>
                <w:szCs w:val="20"/>
                <w:highlight w:val="none"/>
                <w:lang w:eastAsia="en-US"/>
              </w:rPr>
              <w:t>R</w:t>
            </w:r>
            <w:r>
              <w:rPr>
                <w:rFonts w:hint="default" w:ascii="Times New Roman" w:hAnsi="Times New Roman" w:cs="Times New Roman" w:eastAsiaTheme="minorEastAsia"/>
                <w:kern w:val="0"/>
                <w:sz w:val="20"/>
                <w:szCs w:val="20"/>
                <w:highlight w:val="none"/>
                <w:vertAlign w:val="subscript"/>
                <w:lang w:eastAsia="en-US"/>
              </w:rPr>
              <w:t>P0.2</w:t>
            </w:r>
            <w:r>
              <w:rPr>
                <w:rFonts w:hint="default" w:ascii="Times New Roman" w:hAnsi="Times New Roman" w:cs="Times New Roman" w:eastAsiaTheme="minorEastAsia"/>
                <w:kern w:val="0"/>
                <w:sz w:val="20"/>
                <w:szCs w:val="20"/>
                <w:highlight w:val="none"/>
                <w:lang w:eastAsia="en-US"/>
              </w:rPr>
              <w:t>/ MPa</w:t>
            </w:r>
          </w:p>
        </w:tc>
        <w:tc>
          <w:tcPr>
            <w:tcW w:w="1635" w:type="pct"/>
            <w:shd w:val="clear" w:color="auto" w:fill="auto"/>
            <w:vAlign w:val="center"/>
          </w:tcPr>
          <w:p>
            <w:pPr>
              <w:autoSpaceDE w:val="0"/>
              <w:autoSpaceDN w:val="0"/>
              <w:adjustRightInd w:val="0"/>
              <w:ind w:right="11"/>
              <w:jc w:val="center"/>
              <w:rPr>
                <w:rFonts w:hint="default" w:ascii="Times New Roman" w:hAnsi="Times New Roman" w:cs="Times New Roman" w:eastAsiaTheme="minorEastAsia"/>
                <w:kern w:val="0"/>
                <w:sz w:val="20"/>
                <w:szCs w:val="20"/>
                <w:highlight w:val="none"/>
                <w:lang w:eastAsia="en-US"/>
              </w:rPr>
            </w:pPr>
            <w:r>
              <w:rPr>
                <w:rFonts w:hint="default" w:ascii="Times New Roman" w:hAnsi="Times New Roman" w:cs="Times New Roman" w:eastAsiaTheme="minorEastAsia"/>
                <w:kern w:val="0"/>
                <w:sz w:val="20"/>
                <w:szCs w:val="20"/>
                <w:highlight w:val="none"/>
                <w:lang w:eastAsia="en-US"/>
              </w:rPr>
              <w:t>断后伸长率A/%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shd w:val="clear" w:color="auto" w:fill="auto"/>
            <w:vAlign w:val="center"/>
          </w:tcPr>
          <w:p>
            <w:pPr>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1</w:t>
            </w:r>
          </w:p>
        </w:tc>
        <w:tc>
          <w:tcPr>
            <w:tcW w:w="523" w:type="pct"/>
            <w:shd w:val="clear" w:color="auto" w:fill="auto"/>
            <w:vAlign w:val="center"/>
          </w:tcPr>
          <w:p>
            <w:pPr>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20"/>
                <w:szCs w:val="18"/>
                <w:highlight w:val="none"/>
                <w:lang w:eastAsia="zh-CN"/>
              </w:rPr>
              <w:t>42</w:t>
            </w:r>
            <w:r>
              <w:rPr>
                <w:rFonts w:hint="default" w:ascii="Times New Roman" w:hAnsi="Times New Roman" w:cs="Times New Roman" w:eastAsiaTheme="minorEastAsia"/>
                <w:kern w:val="0"/>
                <w:sz w:val="20"/>
                <w:szCs w:val="18"/>
                <w:highlight w:val="none"/>
                <w:lang w:eastAsia="en-US"/>
              </w:rPr>
              <w:t>CrMo</w:t>
            </w:r>
          </w:p>
        </w:tc>
        <w:tc>
          <w:tcPr>
            <w:tcW w:w="1181" w:type="pct"/>
            <w:shd w:val="clear" w:color="auto" w:fill="auto"/>
            <w:vAlign w:val="center"/>
          </w:tcPr>
          <w:p>
            <w:pPr>
              <w:autoSpaceDE w:val="0"/>
              <w:autoSpaceDN w:val="0"/>
              <w:adjustRightInd w:val="0"/>
              <w:spacing w:line="360" w:lineRule="auto"/>
              <w:ind w:right="11"/>
              <w:jc w:val="center"/>
              <w:rPr>
                <w:rFonts w:hint="default" w:ascii="Times New Roman" w:hAnsi="Times New Roman" w:cs="Times New Roman" w:eastAsiaTheme="minorEastAsia"/>
                <w:kern w:val="0"/>
                <w:sz w:val="20"/>
                <w:szCs w:val="20"/>
                <w:highlight w:val="none"/>
                <w:lang w:eastAsia="en-US"/>
              </w:rPr>
            </w:pPr>
            <w:r>
              <w:rPr>
                <w:rFonts w:hint="default" w:ascii="Times New Roman" w:hAnsi="Times New Roman" w:cs="Times New Roman" w:eastAsiaTheme="minorEastAsia"/>
                <w:kern w:val="0"/>
                <w:sz w:val="20"/>
                <w:szCs w:val="20"/>
                <w:highlight w:val="none"/>
                <w:lang w:eastAsia="zh-CN"/>
              </w:rPr>
              <w:t>1080</w:t>
            </w:r>
          </w:p>
        </w:tc>
        <w:tc>
          <w:tcPr>
            <w:tcW w:w="1368" w:type="pct"/>
            <w:shd w:val="clear" w:color="auto" w:fill="auto"/>
            <w:vAlign w:val="center"/>
          </w:tcPr>
          <w:p>
            <w:pPr>
              <w:autoSpaceDE w:val="0"/>
              <w:autoSpaceDN w:val="0"/>
              <w:adjustRightInd w:val="0"/>
              <w:spacing w:line="360" w:lineRule="auto"/>
              <w:ind w:right="11"/>
              <w:jc w:val="center"/>
              <w:rPr>
                <w:rFonts w:hint="default" w:ascii="Times New Roman" w:hAnsi="Times New Roman" w:cs="Times New Roman" w:eastAsiaTheme="minorEastAsia"/>
                <w:kern w:val="0"/>
                <w:sz w:val="20"/>
                <w:szCs w:val="20"/>
                <w:highlight w:val="none"/>
                <w:lang w:eastAsia="en-US"/>
              </w:rPr>
            </w:pPr>
            <w:r>
              <w:rPr>
                <w:rFonts w:hint="default" w:ascii="Times New Roman" w:hAnsi="Times New Roman" w:cs="Times New Roman" w:eastAsiaTheme="minorEastAsia"/>
                <w:kern w:val="0"/>
                <w:sz w:val="20"/>
                <w:szCs w:val="20"/>
                <w:highlight w:val="none"/>
                <w:lang w:eastAsia="zh-CN"/>
              </w:rPr>
              <w:t>930</w:t>
            </w:r>
          </w:p>
        </w:tc>
        <w:tc>
          <w:tcPr>
            <w:tcW w:w="1635" w:type="pct"/>
            <w:shd w:val="clear" w:color="auto" w:fill="auto"/>
            <w:vAlign w:val="center"/>
          </w:tcPr>
          <w:p>
            <w:pPr>
              <w:autoSpaceDE w:val="0"/>
              <w:autoSpaceDN w:val="0"/>
              <w:adjustRightInd w:val="0"/>
              <w:spacing w:line="360" w:lineRule="auto"/>
              <w:ind w:right="11"/>
              <w:jc w:val="center"/>
              <w:rPr>
                <w:rFonts w:hint="default" w:ascii="Times New Roman" w:hAnsi="Times New Roman" w:cs="Times New Roman" w:eastAsiaTheme="minorEastAsia"/>
                <w:kern w:val="0"/>
                <w:sz w:val="20"/>
                <w:szCs w:val="20"/>
                <w:highlight w:val="none"/>
                <w:lang w:eastAsia="en-US"/>
              </w:rPr>
            </w:pPr>
            <w:r>
              <w:rPr>
                <w:rFonts w:hint="default" w:ascii="Times New Roman" w:hAnsi="Times New Roman" w:cs="Times New Roman" w:eastAsiaTheme="minorEastAsia"/>
                <w:kern w:val="0"/>
                <w:sz w:val="20"/>
                <w:szCs w:val="20"/>
                <w:highlight w:val="none"/>
                <w:lang w:eastAsia="en-US"/>
              </w:rPr>
              <w:t>12</w:t>
            </w:r>
          </w:p>
        </w:tc>
      </w:tr>
    </w:tbl>
    <w:p>
      <w:pPr>
        <w:numPr>
          <w:ilvl w:val="0"/>
          <w:numId w:val="8"/>
        </w:numPr>
        <w:autoSpaceDE w:val="0"/>
        <w:autoSpaceDN w:val="0"/>
        <w:adjustRightInd w:val="0"/>
        <w:spacing w:line="360" w:lineRule="auto"/>
        <w:ind w:left="440" w:leftChars="0" w:right="11" w:firstLine="0" w:firstLineChars="0"/>
        <w:jc w:val="left"/>
        <w:rPr>
          <w:rFonts w:hint="default" w:ascii="Times New Roman" w:hAnsi="Times New Roman" w:cs="Times New Roman" w:eastAsiaTheme="minorEastAsia"/>
          <w:color w:val="0D0D0D"/>
          <w:kern w:val="0"/>
          <w:sz w:val="21"/>
          <w:szCs w:val="21"/>
          <w:highlight w:val="none"/>
          <w:lang w:eastAsia="zh-CN"/>
        </w:rPr>
      </w:pPr>
      <w:r>
        <w:rPr>
          <w:rFonts w:hint="default" w:ascii="Times New Roman" w:hAnsi="Times New Roman" w:cs="Times New Roman" w:eastAsiaTheme="minorEastAsia"/>
          <w:color w:val="0D0D0D"/>
          <w:kern w:val="0"/>
          <w:sz w:val="21"/>
          <w:szCs w:val="21"/>
          <w:highlight w:val="none"/>
          <w:lang w:eastAsia="zh-CN"/>
        </w:rPr>
        <w:t>头座用45#钢，材质应满足</w:t>
      </w:r>
    </w:p>
    <w:tbl>
      <w:tblPr>
        <w:tblStyle w:val="11"/>
        <w:tblW w:w="4991"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873"/>
        <w:gridCol w:w="1167"/>
        <w:gridCol w:w="1167"/>
        <w:gridCol w:w="1020"/>
        <w:gridCol w:w="877"/>
        <w:gridCol w:w="876"/>
        <w:gridCol w:w="730"/>
        <w:gridCol w:w="730"/>
        <w:gridCol w:w="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334" w:type="pct"/>
            <w:vMerge w:val="restar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序号</w:t>
            </w:r>
          </w:p>
        </w:tc>
        <w:tc>
          <w:tcPr>
            <w:tcW w:w="499" w:type="pct"/>
            <w:vMerge w:val="restar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牌号</w:t>
            </w:r>
          </w:p>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名称</w:t>
            </w:r>
          </w:p>
        </w:tc>
        <w:tc>
          <w:tcPr>
            <w:tcW w:w="4167" w:type="pct"/>
            <w:gridSpan w:val="8"/>
          </w:tcPr>
          <w:p>
            <w:pPr>
              <w:ind w:right="11"/>
              <w:jc w:val="center"/>
              <w:rPr>
                <w:rFonts w:hint="default" w:ascii="Times New Roman" w:hAnsi="Times New Roman" w:cs="Times New Roman" w:eastAsiaTheme="minorEastAsia"/>
                <w:color w:val="0D0D0D"/>
                <w:kern w:val="0"/>
                <w:sz w:val="16"/>
                <w:szCs w:val="16"/>
                <w:highlight w:val="none"/>
                <w:lang w:eastAsia="zh-CN"/>
              </w:rPr>
            </w:pPr>
            <w:r>
              <w:rPr>
                <w:rFonts w:hint="default" w:ascii="Times New Roman" w:hAnsi="Times New Roman" w:cs="Times New Roman" w:eastAsiaTheme="minorEastAsia"/>
                <w:color w:val="0D0D0D"/>
                <w:kern w:val="0"/>
                <w:sz w:val="16"/>
                <w:szCs w:val="16"/>
                <w:highlight w:val="none"/>
                <w:lang w:eastAsia="zh-CN"/>
              </w:rPr>
              <w:t>化学成分（质量分数）%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4" w:type="pct"/>
            <w:vMerge w:val="continue"/>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zh-CN"/>
              </w:rPr>
            </w:pPr>
          </w:p>
        </w:tc>
        <w:tc>
          <w:tcPr>
            <w:tcW w:w="499" w:type="pct"/>
            <w:vMerge w:val="continue"/>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zh-CN"/>
              </w:rPr>
            </w:pPr>
          </w:p>
        </w:tc>
        <w:tc>
          <w:tcPr>
            <w:tcW w:w="667" w:type="pct"/>
            <w:vMerge w:val="restar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C</w:t>
            </w:r>
          </w:p>
        </w:tc>
        <w:tc>
          <w:tcPr>
            <w:tcW w:w="667" w:type="pct"/>
            <w:vMerge w:val="restar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Si</w:t>
            </w:r>
          </w:p>
        </w:tc>
        <w:tc>
          <w:tcPr>
            <w:tcW w:w="583" w:type="pct"/>
            <w:vMerge w:val="restar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Mn</w:t>
            </w:r>
          </w:p>
        </w:tc>
        <w:tc>
          <w:tcPr>
            <w:tcW w:w="501"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P</w:t>
            </w:r>
          </w:p>
        </w:tc>
        <w:tc>
          <w:tcPr>
            <w:tcW w:w="500"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S</w:t>
            </w:r>
          </w:p>
        </w:tc>
        <w:tc>
          <w:tcPr>
            <w:tcW w:w="417"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Cr</w:t>
            </w:r>
          </w:p>
        </w:tc>
        <w:tc>
          <w:tcPr>
            <w:tcW w:w="417"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Ni</w:t>
            </w:r>
          </w:p>
        </w:tc>
        <w:tc>
          <w:tcPr>
            <w:tcW w:w="415"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Cu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4" w:type="pct"/>
            <w:vMerge w:val="continue"/>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499" w:type="pct"/>
            <w:vMerge w:val="continue"/>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667" w:type="pct"/>
            <w:vMerge w:val="continue"/>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667" w:type="pct"/>
            <w:vMerge w:val="continue"/>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583" w:type="pct"/>
            <w:vMerge w:val="continue"/>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2249" w:type="pct"/>
            <w:gridSpan w:val="5"/>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不大于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34" w:type="pc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1</w:t>
            </w:r>
          </w:p>
        </w:tc>
        <w:tc>
          <w:tcPr>
            <w:tcW w:w="499" w:type="pc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45</w:t>
            </w:r>
            <w:r>
              <w:rPr>
                <w:rFonts w:hint="default" w:ascii="Times New Roman" w:hAnsi="Times New Roman" w:cs="Times New Roman" w:eastAsiaTheme="minorEastAsia"/>
                <w:color w:val="0D0D0D"/>
                <w:kern w:val="0"/>
                <w:sz w:val="16"/>
                <w:szCs w:val="16"/>
                <w:highlight w:val="none"/>
                <w:vertAlign w:val="superscript"/>
                <w:lang w:eastAsia="en-US"/>
              </w:rPr>
              <w:t>#</w:t>
            </w:r>
          </w:p>
        </w:tc>
        <w:tc>
          <w:tcPr>
            <w:tcW w:w="667"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0.42-0.5</w:t>
            </w:r>
          </w:p>
        </w:tc>
        <w:tc>
          <w:tcPr>
            <w:tcW w:w="667" w:type="pct"/>
            <w:vAlign w:val="center"/>
          </w:tcPr>
          <w:p>
            <w:pPr>
              <w:ind w:left="-107" w:leftChars="-51" w:right="-105" w:rightChars="-50"/>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0.17-0.37</w:t>
            </w:r>
          </w:p>
        </w:tc>
        <w:tc>
          <w:tcPr>
            <w:tcW w:w="583"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0.5-0.8</w:t>
            </w:r>
          </w:p>
        </w:tc>
        <w:tc>
          <w:tcPr>
            <w:tcW w:w="501"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0.035</w:t>
            </w:r>
          </w:p>
        </w:tc>
        <w:tc>
          <w:tcPr>
            <w:tcW w:w="500"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0.035</w:t>
            </w:r>
          </w:p>
        </w:tc>
        <w:tc>
          <w:tcPr>
            <w:tcW w:w="417"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0.25</w:t>
            </w:r>
          </w:p>
        </w:tc>
        <w:tc>
          <w:tcPr>
            <w:tcW w:w="417"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0.30</w:t>
            </w:r>
          </w:p>
        </w:tc>
        <w:tc>
          <w:tcPr>
            <w:tcW w:w="415" w:type="pct"/>
            <w:vAlign w:val="center"/>
          </w:tcPr>
          <w:p>
            <w:pPr>
              <w:ind w:right="11"/>
              <w:jc w:val="center"/>
              <w:rPr>
                <w:rFonts w:hint="default" w:ascii="Times New Roman" w:hAnsi="Times New Roman" w:cs="Times New Roman" w:eastAsiaTheme="minorEastAsia"/>
                <w:color w:val="0D0D0D"/>
                <w:kern w:val="0"/>
                <w:sz w:val="16"/>
                <w:szCs w:val="16"/>
                <w:highlight w:val="none"/>
                <w:lang w:eastAsia="zh-CN"/>
              </w:rPr>
            </w:pPr>
            <w:r>
              <w:rPr>
                <w:rFonts w:hint="default" w:ascii="Times New Roman" w:hAnsi="Times New Roman" w:cs="Times New Roman" w:eastAsiaTheme="minorEastAsia"/>
                <w:color w:val="0D0D0D"/>
                <w:kern w:val="0"/>
                <w:sz w:val="16"/>
                <w:szCs w:val="16"/>
                <w:highlight w:val="none"/>
                <w:lang w:eastAsia="en-US"/>
              </w:rPr>
              <w:t>0.2</w:t>
            </w:r>
            <w:r>
              <w:rPr>
                <w:rFonts w:hint="default" w:ascii="Times New Roman" w:hAnsi="Times New Roman" w:cs="Times New Roman" w:eastAsiaTheme="minorEastAsia"/>
                <w:color w:val="0D0D0D"/>
                <w:kern w:val="0"/>
                <w:sz w:val="16"/>
                <w:szCs w:val="16"/>
                <w:highlight w:val="none"/>
                <w:lang w:eastAsia="zh-CN"/>
              </w:rPr>
              <w:t>0</w:t>
            </w:r>
          </w:p>
        </w:tc>
      </w:tr>
    </w:tbl>
    <w:p>
      <w:pPr>
        <w:ind w:left="425" w:right="11"/>
        <w:jc w:val="left"/>
        <w:rPr>
          <w:rFonts w:hint="default" w:ascii="Times New Roman" w:hAnsi="Times New Roman" w:cs="Times New Roman" w:eastAsiaTheme="minorEastAsia"/>
          <w:vanish/>
          <w:color w:val="0D0D0D"/>
          <w:kern w:val="0"/>
          <w:sz w:val="20"/>
          <w:szCs w:val="20"/>
          <w:highlight w:val="none"/>
          <w:lang w:eastAsia="en-US"/>
        </w:rPr>
      </w:pPr>
    </w:p>
    <w:tbl>
      <w:tblPr>
        <w:tblStyle w:val="11"/>
        <w:tblW w:w="4991"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3"/>
        <w:gridCol w:w="1460"/>
        <w:gridCol w:w="1749"/>
        <w:gridCol w:w="2426"/>
        <w:gridCol w:w="2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3" w:type="pct"/>
            <w:vMerge w:val="restart"/>
            <w:shd w:val="clear" w:color="auto" w:fill="auto"/>
            <w:vAlign w:val="center"/>
          </w:tcPr>
          <w:p>
            <w:pPr>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序号</w:t>
            </w:r>
          </w:p>
        </w:tc>
        <w:tc>
          <w:tcPr>
            <w:tcW w:w="834" w:type="pct"/>
            <w:vMerge w:val="restart"/>
            <w:shd w:val="clear" w:color="auto" w:fill="auto"/>
            <w:vAlign w:val="center"/>
          </w:tcPr>
          <w:p>
            <w:pPr>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牌号名称</w:t>
            </w:r>
          </w:p>
        </w:tc>
        <w:tc>
          <w:tcPr>
            <w:tcW w:w="3832" w:type="pct"/>
            <w:gridSpan w:val="3"/>
            <w:shd w:val="clear" w:color="auto" w:fill="auto"/>
            <w:vAlign w:val="center"/>
          </w:tcPr>
          <w:p>
            <w:pPr>
              <w:autoSpaceDE w:val="0"/>
              <w:autoSpaceDN w:val="0"/>
              <w:adjustRightInd w:val="0"/>
              <w:spacing w:line="360" w:lineRule="auto"/>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力学性能≥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 w:type="pct"/>
            <w:vMerge w:val="continue"/>
            <w:shd w:val="clear" w:color="auto" w:fill="auto"/>
            <w:vAlign w:val="center"/>
          </w:tcPr>
          <w:p>
            <w:pPr>
              <w:ind w:right="11"/>
              <w:jc w:val="center"/>
              <w:rPr>
                <w:rFonts w:hint="default" w:ascii="Times New Roman" w:hAnsi="Times New Roman" w:cs="Times New Roman" w:eastAsiaTheme="minorEastAsia"/>
                <w:kern w:val="0"/>
                <w:sz w:val="16"/>
                <w:szCs w:val="16"/>
                <w:highlight w:val="none"/>
                <w:lang w:eastAsia="en-US"/>
              </w:rPr>
            </w:pPr>
          </w:p>
        </w:tc>
        <w:tc>
          <w:tcPr>
            <w:tcW w:w="834" w:type="pct"/>
            <w:vMerge w:val="continue"/>
            <w:shd w:val="clear" w:color="auto" w:fill="auto"/>
            <w:vAlign w:val="center"/>
          </w:tcPr>
          <w:p>
            <w:pPr>
              <w:ind w:right="11"/>
              <w:jc w:val="center"/>
              <w:rPr>
                <w:rFonts w:hint="default" w:ascii="Times New Roman" w:hAnsi="Times New Roman" w:cs="Times New Roman" w:eastAsiaTheme="minorEastAsia"/>
                <w:kern w:val="0"/>
                <w:sz w:val="16"/>
                <w:szCs w:val="16"/>
                <w:highlight w:val="none"/>
                <w:lang w:eastAsia="en-US"/>
              </w:rPr>
            </w:pPr>
          </w:p>
        </w:tc>
        <w:tc>
          <w:tcPr>
            <w:tcW w:w="999" w:type="pct"/>
            <w:shd w:val="clear" w:color="auto" w:fill="auto"/>
            <w:vAlign w:val="center"/>
          </w:tcPr>
          <w:p>
            <w:pPr>
              <w:autoSpaceDE w:val="0"/>
              <w:autoSpaceDN w:val="0"/>
              <w:adjustRightInd w:val="0"/>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抗拉强度R</w:t>
            </w:r>
            <w:r>
              <w:rPr>
                <w:rFonts w:hint="default" w:ascii="Times New Roman" w:hAnsi="Times New Roman" w:cs="Times New Roman" w:eastAsiaTheme="minorEastAsia"/>
                <w:kern w:val="0"/>
                <w:sz w:val="16"/>
                <w:szCs w:val="16"/>
                <w:highlight w:val="none"/>
                <w:vertAlign w:val="subscript"/>
                <w:lang w:eastAsia="en-US"/>
              </w:rPr>
              <w:t>m</w:t>
            </w:r>
            <w:r>
              <w:rPr>
                <w:rFonts w:hint="default" w:ascii="Times New Roman" w:hAnsi="Times New Roman" w:cs="Times New Roman" w:eastAsiaTheme="minorEastAsia"/>
                <w:kern w:val="0"/>
                <w:sz w:val="16"/>
                <w:szCs w:val="16"/>
                <w:highlight w:val="none"/>
                <w:lang w:eastAsia="en-US"/>
              </w:rPr>
              <w:t>/MPa</w:t>
            </w:r>
          </w:p>
        </w:tc>
        <w:tc>
          <w:tcPr>
            <w:tcW w:w="1386" w:type="pct"/>
            <w:shd w:val="clear" w:color="auto" w:fill="auto"/>
            <w:vAlign w:val="center"/>
          </w:tcPr>
          <w:p>
            <w:pPr>
              <w:autoSpaceDE w:val="0"/>
              <w:autoSpaceDN w:val="0"/>
              <w:adjustRightInd w:val="0"/>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下屈服强度R</w:t>
            </w:r>
            <w:r>
              <w:rPr>
                <w:rFonts w:hint="default" w:ascii="Times New Roman" w:hAnsi="Times New Roman" w:cs="Times New Roman" w:eastAsiaTheme="minorEastAsia"/>
                <w:kern w:val="0"/>
                <w:sz w:val="16"/>
                <w:szCs w:val="16"/>
                <w:highlight w:val="none"/>
                <w:vertAlign w:val="subscript"/>
                <w:lang w:eastAsia="en-US"/>
              </w:rPr>
              <w:t>eL或</w:t>
            </w:r>
            <w:r>
              <w:rPr>
                <w:rFonts w:hint="default" w:ascii="Times New Roman" w:hAnsi="Times New Roman" w:cs="Times New Roman" w:eastAsiaTheme="minorEastAsia"/>
                <w:kern w:val="0"/>
                <w:sz w:val="16"/>
                <w:szCs w:val="16"/>
                <w:highlight w:val="none"/>
                <w:lang w:eastAsia="en-US"/>
              </w:rPr>
              <w:t>R</w:t>
            </w:r>
            <w:r>
              <w:rPr>
                <w:rFonts w:hint="default" w:ascii="Times New Roman" w:hAnsi="Times New Roman" w:cs="Times New Roman" w:eastAsiaTheme="minorEastAsia"/>
                <w:kern w:val="0"/>
                <w:sz w:val="16"/>
                <w:szCs w:val="16"/>
                <w:highlight w:val="none"/>
                <w:vertAlign w:val="subscript"/>
                <w:lang w:eastAsia="en-US"/>
              </w:rPr>
              <w:t>P0.2</w:t>
            </w:r>
            <w:r>
              <w:rPr>
                <w:rFonts w:hint="default" w:ascii="Times New Roman" w:hAnsi="Times New Roman" w:cs="Times New Roman" w:eastAsiaTheme="minorEastAsia"/>
                <w:kern w:val="0"/>
                <w:sz w:val="16"/>
                <w:szCs w:val="16"/>
                <w:highlight w:val="none"/>
                <w:lang w:eastAsia="en-US"/>
              </w:rPr>
              <w:t>/ MPa</w:t>
            </w:r>
          </w:p>
        </w:tc>
        <w:tc>
          <w:tcPr>
            <w:tcW w:w="1447" w:type="pct"/>
            <w:shd w:val="clear" w:color="auto" w:fill="auto"/>
            <w:vAlign w:val="center"/>
          </w:tcPr>
          <w:p>
            <w:pPr>
              <w:autoSpaceDE w:val="0"/>
              <w:autoSpaceDN w:val="0"/>
              <w:adjustRightInd w:val="0"/>
              <w:ind w:right="11"/>
              <w:jc w:val="center"/>
              <w:rPr>
                <w:rFonts w:hint="default" w:ascii="Times New Roman" w:hAnsi="Times New Roman" w:cs="Times New Roman" w:eastAsiaTheme="minorEastAsia"/>
                <w:b/>
                <w:bCs/>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断后伸长率A/%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333" w:type="pct"/>
            <w:shd w:val="clear" w:color="auto" w:fill="auto"/>
            <w:vAlign w:val="center"/>
          </w:tcPr>
          <w:p>
            <w:pPr>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1</w:t>
            </w:r>
          </w:p>
        </w:tc>
        <w:tc>
          <w:tcPr>
            <w:tcW w:w="834" w:type="pct"/>
            <w:shd w:val="clear" w:color="auto" w:fill="auto"/>
            <w:vAlign w:val="center"/>
          </w:tcPr>
          <w:p>
            <w:pPr>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45</w:t>
            </w:r>
            <w:r>
              <w:rPr>
                <w:rFonts w:hint="default" w:ascii="Times New Roman" w:hAnsi="Times New Roman" w:cs="Times New Roman" w:eastAsiaTheme="minorEastAsia"/>
                <w:kern w:val="0"/>
                <w:sz w:val="16"/>
                <w:szCs w:val="16"/>
                <w:highlight w:val="none"/>
                <w:vertAlign w:val="superscript"/>
                <w:lang w:eastAsia="en-US"/>
              </w:rPr>
              <w:t>#</w:t>
            </w:r>
          </w:p>
        </w:tc>
        <w:tc>
          <w:tcPr>
            <w:tcW w:w="999" w:type="pct"/>
            <w:shd w:val="clear" w:color="auto" w:fill="auto"/>
            <w:vAlign w:val="center"/>
          </w:tcPr>
          <w:p>
            <w:pPr>
              <w:autoSpaceDE w:val="0"/>
              <w:autoSpaceDN w:val="0"/>
              <w:adjustRightInd w:val="0"/>
              <w:spacing w:line="360" w:lineRule="auto"/>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600</w:t>
            </w:r>
          </w:p>
        </w:tc>
        <w:tc>
          <w:tcPr>
            <w:tcW w:w="1386" w:type="pct"/>
            <w:shd w:val="clear" w:color="auto" w:fill="auto"/>
            <w:vAlign w:val="center"/>
          </w:tcPr>
          <w:p>
            <w:pPr>
              <w:autoSpaceDE w:val="0"/>
              <w:autoSpaceDN w:val="0"/>
              <w:adjustRightInd w:val="0"/>
              <w:spacing w:line="360" w:lineRule="auto"/>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355</w:t>
            </w:r>
          </w:p>
        </w:tc>
        <w:tc>
          <w:tcPr>
            <w:tcW w:w="1447" w:type="pct"/>
            <w:shd w:val="clear" w:color="auto" w:fill="auto"/>
            <w:vAlign w:val="center"/>
          </w:tcPr>
          <w:p>
            <w:pPr>
              <w:autoSpaceDE w:val="0"/>
              <w:autoSpaceDN w:val="0"/>
              <w:adjustRightInd w:val="0"/>
              <w:spacing w:line="360" w:lineRule="auto"/>
              <w:ind w:right="11"/>
              <w:jc w:val="center"/>
              <w:rPr>
                <w:rFonts w:hint="default" w:ascii="Times New Roman" w:hAnsi="Times New Roman" w:cs="Times New Roman" w:eastAsiaTheme="minorEastAsia"/>
                <w:b/>
                <w:bCs/>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16</w:t>
            </w:r>
          </w:p>
        </w:tc>
      </w:tr>
    </w:tbl>
    <w:p>
      <w:pPr>
        <w:keepNext w:val="0"/>
        <w:keepLines w:val="0"/>
        <w:pageBreakBefore w:val="0"/>
        <w:widowControl w:val="0"/>
        <w:numPr>
          <w:ilvl w:val="2"/>
          <w:numId w:val="7"/>
        </w:numPr>
        <w:kinsoku/>
        <w:wordWrap/>
        <w:overflowPunct/>
        <w:topLinePunct w:val="0"/>
        <w:autoSpaceDE w:val="0"/>
        <w:autoSpaceDN w:val="0"/>
        <w:bidi w:val="0"/>
        <w:adjustRightInd w:val="0"/>
        <w:snapToGrid/>
        <w:spacing w:line="360" w:lineRule="auto"/>
        <w:ind w:left="0" w:lef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每台潜油电机配送2桶型号：BH6（单桶16kG以上）20</w:t>
      </w:r>
      <w:r>
        <w:rPr>
          <w:rFonts w:hint="default" w:ascii="Times New Roman" w:hAnsi="Times New Roman" w:cs="Times New Roman" w:eastAsiaTheme="minorEastAsia"/>
          <w:kern w:val="0"/>
          <w:sz w:val="21"/>
          <w:szCs w:val="21"/>
          <w:highlight w:val="none"/>
          <w:lang w:val="en-US" w:eastAsia="zh-CN"/>
        </w:rPr>
        <w:t>4</w:t>
      </w:r>
      <w:r>
        <w:rPr>
          <w:rFonts w:hint="default" w:ascii="Times New Roman" w:hAnsi="Times New Roman" w:cs="Times New Roman" w:eastAsiaTheme="minorEastAsia"/>
          <w:kern w:val="0"/>
          <w:sz w:val="21"/>
          <w:szCs w:val="21"/>
          <w:highlight w:val="none"/>
          <w:lang w:eastAsia="zh-CN"/>
        </w:rPr>
        <w:t>℃合格电机油，符合下表技术要求，并附带电机油MSDS。</w:t>
      </w:r>
    </w:p>
    <w:tbl>
      <w:tblPr>
        <w:tblStyle w:val="11"/>
        <w:tblW w:w="47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2073"/>
        <w:gridCol w:w="2073"/>
        <w:gridCol w:w="2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79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序号</w:t>
            </w:r>
          </w:p>
        </w:tc>
        <w:tc>
          <w:tcPr>
            <w:tcW w:w="2496" w:type="pct"/>
            <w:gridSpan w:val="2"/>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项目</w:t>
            </w:r>
          </w:p>
        </w:tc>
        <w:tc>
          <w:tcPr>
            <w:tcW w:w="171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技术指标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92" w:type="pct"/>
            <w:vMerge w:val="restart"/>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1</w:t>
            </w:r>
          </w:p>
        </w:tc>
        <w:tc>
          <w:tcPr>
            <w:tcW w:w="1248" w:type="pct"/>
            <w:vMerge w:val="restart"/>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运动</w:t>
            </w:r>
          </w:p>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粘度</w:t>
            </w:r>
          </w:p>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mm</w:t>
            </w:r>
            <w:r>
              <w:rPr>
                <w:rFonts w:hint="default" w:ascii="Times New Roman" w:hAnsi="Times New Roman" w:cs="Times New Roman" w:eastAsiaTheme="minorEastAsia"/>
                <w:kern w:val="0"/>
                <w:sz w:val="16"/>
                <w:szCs w:val="16"/>
                <w:highlight w:val="none"/>
                <w:vertAlign w:val="superscript"/>
                <w:lang w:eastAsia="en-US"/>
              </w:rPr>
              <w:t>2</w:t>
            </w:r>
            <w:r>
              <w:rPr>
                <w:rFonts w:hint="default" w:ascii="Times New Roman" w:hAnsi="Times New Roman" w:cs="Times New Roman" w:eastAsiaTheme="minorEastAsia"/>
                <w:kern w:val="0"/>
                <w:sz w:val="16"/>
                <w:szCs w:val="16"/>
                <w:highlight w:val="none"/>
                <w:lang w:eastAsia="en-US"/>
              </w:rPr>
              <w:t>/s</w:t>
            </w:r>
          </w:p>
        </w:tc>
        <w:tc>
          <w:tcPr>
            <w:tcW w:w="1248"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40℃不大于</w:t>
            </w:r>
          </w:p>
        </w:tc>
        <w:tc>
          <w:tcPr>
            <w:tcW w:w="171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zh-CN"/>
              </w:rPr>
            </w:pPr>
            <w:r>
              <w:rPr>
                <w:rFonts w:hint="default" w:ascii="Times New Roman" w:hAnsi="Times New Roman" w:cs="Times New Roman" w:eastAsiaTheme="minorEastAsia"/>
                <w:kern w:val="0"/>
                <w:sz w:val="16"/>
                <w:szCs w:val="16"/>
                <w:highlight w:val="none"/>
                <w:lang w:eastAsia="zh-CN"/>
              </w:rPr>
              <w:t>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792" w:type="pct"/>
            <w:vMerge w:val="continue"/>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p>
        </w:tc>
        <w:tc>
          <w:tcPr>
            <w:tcW w:w="1248" w:type="pct"/>
            <w:vMerge w:val="continue"/>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p>
        </w:tc>
        <w:tc>
          <w:tcPr>
            <w:tcW w:w="1248"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100℃不小于</w:t>
            </w:r>
          </w:p>
        </w:tc>
        <w:tc>
          <w:tcPr>
            <w:tcW w:w="171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zh-CN"/>
              </w:rPr>
            </w:pPr>
            <w:r>
              <w:rPr>
                <w:rFonts w:hint="default" w:ascii="Times New Roman" w:hAnsi="Times New Roman" w:cs="Times New Roman" w:eastAsiaTheme="minorEastAsia"/>
                <w:kern w:val="0"/>
                <w:sz w:val="16"/>
                <w:szCs w:val="16"/>
                <w:highlight w:val="none"/>
                <w:lang w:eastAsia="zh-CN"/>
              </w:rPr>
              <w:t>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9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2</w:t>
            </w:r>
          </w:p>
        </w:tc>
        <w:tc>
          <w:tcPr>
            <w:tcW w:w="2496" w:type="pct"/>
            <w:gridSpan w:val="2"/>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开口闪点℃不低于</w:t>
            </w:r>
          </w:p>
        </w:tc>
        <w:tc>
          <w:tcPr>
            <w:tcW w:w="171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zh-CN"/>
              </w:rPr>
            </w:pPr>
            <w:r>
              <w:rPr>
                <w:rFonts w:hint="default" w:ascii="Times New Roman" w:hAnsi="Times New Roman" w:cs="Times New Roman" w:eastAsiaTheme="minorEastAsia"/>
                <w:kern w:val="0"/>
                <w:sz w:val="16"/>
                <w:szCs w:val="16"/>
                <w:highlight w:val="none"/>
                <w:lang w:eastAsia="zh-CN"/>
              </w:rP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9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3</w:t>
            </w:r>
          </w:p>
        </w:tc>
        <w:tc>
          <w:tcPr>
            <w:tcW w:w="2496" w:type="pct"/>
            <w:gridSpan w:val="2"/>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凝固点℃不高于</w:t>
            </w:r>
          </w:p>
        </w:tc>
        <w:tc>
          <w:tcPr>
            <w:tcW w:w="171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zh-CN"/>
              </w:rPr>
            </w:pPr>
            <w:r>
              <w:rPr>
                <w:rFonts w:hint="default" w:ascii="Times New Roman" w:hAnsi="Times New Roman" w:cs="Times New Roman" w:eastAsiaTheme="minorEastAsia"/>
                <w:kern w:val="0"/>
                <w:sz w:val="16"/>
                <w:szCs w:val="16"/>
                <w:highlight w:val="none"/>
                <w:lang w:eastAsia="en-US"/>
              </w:rPr>
              <w:t>-</w:t>
            </w:r>
            <w:r>
              <w:rPr>
                <w:rFonts w:hint="default" w:ascii="Times New Roman" w:hAnsi="Times New Roman" w:cs="Times New Roman" w:eastAsiaTheme="minorEastAsia"/>
                <w:kern w:val="0"/>
                <w:sz w:val="16"/>
                <w:szCs w:val="16"/>
                <w:highlight w:val="none"/>
                <w:lang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9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4</w:t>
            </w:r>
          </w:p>
        </w:tc>
        <w:tc>
          <w:tcPr>
            <w:tcW w:w="2496" w:type="pct"/>
            <w:gridSpan w:val="2"/>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酸值mgkoH/g不大于</w:t>
            </w:r>
          </w:p>
        </w:tc>
        <w:tc>
          <w:tcPr>
            <w:tcW w:w="171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zh-CN"/>
              </w:rPr>
            </w:pPr>
            <w:r>
              <w:rPr>
                <w:rFonts w:hint="default" w:ascii="Times New Roman" w:hAnsi="Times New Roman" w:cs="Times New Roman" w:eastAsiaTheme="minorEastAsia"/>
                <w:kern w:val="0"/>
                <w:sz w:val="16"/>
                <w:szCs w:val="16"/>
                <w:highlight w:val="none"/>
                <w:lang w:eastAsia="en-US"/>
              </w:rPr>
              <w:t>0.</w:t>
            </w:r>
            <w:r>
              <w:rPr>
                <w:rFonts w:hint="default" w:ascii="Times New Roman" w:hAnsi="Times New Roman" w:cs="Times New Roman" w:eastAsiaTheme="minorEastAsia"/>
                <w:kern w:val="0"/>
                <w:sz w:val="16"/>
                <w:szCs w:val="16"/>
                <w:highlight w:val="none"/>
                <w:lang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9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5</w:t>
            </w:r>
          </w:p>
        </w:tc>
        <w:tc>
          <w:tcPr>
            <w:tcW w:w="2496" w:type="pct"/>
            <w:gridSpan w:val="2"/>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机械杂质%</w:t>
            </w:r>
          </w:p>
        </w:tc>
        <w:tc>
          <w:tcPr>
            <w:tcW w:w="171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9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6</w:t>
            </w:r>
          </w:p>
        </w:tc>
        <w:tc>
          <w:tcPr>
            <w:tcW w:w="2496" w:type="pct"/>
            <w:gridSpan w:val="2"/>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水分%</w:t>
            </w:r>
          </w:p>
        </w:tc>
        <w:tc>
          <w:tcPr>
            <w:tcW w:w="171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9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7</w:t>
            </w:r>
          </w:p>
        </w:tc>
        <w:tc>
          <w:tcPr>
            <w:tcW w:w="2496" w:type="pct"/>
            <w:gridSpan w:val="2"/>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zh-CN"/>
              </w:rPr>
            </w:pPr>
            <w:r>
              <w:rPr>
                <w:rFonts w:hint="default" w:ascii="Times New Roman" w:hAnsi="Times New Roman" w:cs="Times New Roman" w:eastAsiaTheme="minorEastAsia"/>
                <w:kern w:val="0"/>
                <w:sz w:val="16"/>
                <w:szCs w:val="16"/>
                <w:highlight w:val="none"/>
                <w:lang w:eastAsia="zh-CN"/>
              </w:rPr>
              <w:t>介电强度（KV/2.5mm）不小于</w:t>
            </w:r>
          </w:p>
        </w:tc>
        <w:tc>
          <w:tcPr>
            <w:tcW w:w="171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zh-CN"/>
              </w:rPr>
            </w:pPr>
            <w:r>
              <w:rPr>
                <w:rFonts w:hint="default" w:ascii="Times New Roman" w:hAnsi="Times New Roman" w:cs="Times New Roman" w:eastAsiaTheme="minorEastAsia"/>
                <w:kern w:val="0"/>
                <w:sz w:val="16"/>
                <w:szCs w:val="16"/>
                <w:highlight w:val="none"/>
                <w:lang w:eastAsia="zh-CN"/>
              </w:rPr>
              <w:t>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9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8</w:t>
            </w:r>
          </w:p>
        </w:tc>
        <w:tc>
          <w:tcPr>
            <w:tcW w:w="2496" w:type="pct"/>
            <w:gridSpan w:val="2"/>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类型</w:t>
            </w:r>
          </w:p>
        </w:tc>
        <w:tc>
          <w:tcPr>
            <w:tcW w:w="171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6"/>
                <w:szCs w:val="16"/>
                <w:highlight w:val="none"/>
                <w:lang w:eastAsia="zh-CN"/>
              </w:rPr>
            </w:pPr>
            <w:r>
              <w:rPr>
                <w:rFonts w:hint="default" w:ascii="Times New Roman" w:hAnsi="Times New Roman" w:cs="Times New Roman" w:eastAsiaTheme="minorEastAsia"/>
                <w:kern w:val="0"/>
                <w:sz w:val="16"/>
                <w:szCs w:val="16"/>
                <w:highlight w:val="none"/>
                <w:lang w:eastAsia="zh-CN"/>
              </w:rPr>
              <w:t>全合成</w:t>
            </w:r>
          </w:p>
        </w:tc>
      </w:tr>
    </w:tbl>
    <w:p>
      <w:pPr>
        <w:numPr>
          <w:ilvl w:val="2"/>
          <w:numId w:val="7"/>
        </w:numPr>
        <w:autoSpaceDE w:val="0"/>
        <w:autoSpaceDN w:val="0"/>
        <w:adjustRightInd w:val="0"/>
        <w:spacing w:line="360" w:lineRule="auto"/>
        <w:ind w:left="1007" w:leftChars="0" w:firstLineChars="0"/>
        <w:jc w:val="both"/>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电机需根据买方订单要求配置相应长度的小扁电缆，具体技术要求如下：</w:t>
      </w:r>
    </w:p>
    <w:p>
      <w:pPr>
        <w:keepNext w:val="0"/>
        <w:keepLines w:val="0"/>
        <w:pageBreakBefore w:val="0"/>
        <w:widowControl w:val="0"/>
        <w:numPr>
          <w:ilvl w:val="0"/>
          <w:numId w:val="9"/>
        </w:numPr>
        <w:kinsoku/>
        <w:wordWrap/>
        <w:overflowPunct/>
        <w:topLinePunct w:val="0"/>
        <w:autoSpaceDE w:val="0"/>
        <w:autoSpaceDN w:val="0"/>
        <w:bidi w:val="0"/>
        <w:adjustRightInd w:val="0"/>
        <w:snapToGrid/>
        <w:spacing w:line="360" w:lineRule="auto"/>
        <w:ind w:left="0" w:leftChars="0" w:firstLine="420" w:firstLineChars="200"/>
        <w:jc w:val="left"/>
        <w:textAlignment w:val="auto"/>
        <w:rPr>
          <w:rFonts w:hint="default" w:ascii="Times New Roman" w:hAnsi="Times New Roman" w:eastAsia="微软雅黑" w:cs="Times New Roman"/>
          <w:sz w:val="21"/>
          <w:szCs w:val="21"/>
          <w:highlight w:val="none"/>
          <w:lang w:val="en-GB" w:eastAsia="zh-CN" w:bidi="ar"/>
        </w:rPr>
      </w:pPr>
      <w:r>
        <w:rPr>
          <w:rFonts w:hint="default" w:ascii="Times New Roman" w:hAnsi="Times New Roman" w:eastAsia="微软雅黑" w:cs="Times New Roman"/>
          <w:color w:val="0D0D0D"/>
          <w:sz w:val="21"/>
          <w:szCs w:val="21"/>
          <w:highlight w:val="none"/>
          <w:lang w:val="en-GB" w:eastAsia="zh-CN" w:bidi="ar"/>
        </w:rPr>
        <w:t>潜油引接电缆分为350系列、450系列和562系列。</w:t>
      </w:r>
    </w:p>
    <w:p>
      <w:pPr>
        <w:keepNext w:val="0"/>
        <w:keepLines w:val="0"/>
        <w:pageBreakBefore w:val="0"/>
        <w:widowControl w:val="0"/>
        <w:numPr>
          <w:ilvl w:val="0"/>
          <w:numId w:val="9"/>
        </w:numPr>
        <w:kinsoku/>
        <w:wordWrap/>
        <w:overflowPunct/>
        <w:topLinePunct w:val="0"/>
        <w:autoSpaceDE w:val="0"/>
        <w:autoSpaceDN w:val="0"/>
        <w:bidi w:val="0"/>
        <w:adjustRightInd w:val="0"/>
        <w:snapToGrid/>
        <w:spacing w:line="360" w:lineRule="auto"/>
        <w:ind w:left="0" w:leftChars="0" w:firstLine="420" w:firstLineChars="200"/>
        <w:jc w:val="left"/>
        <w:textAlignment w:val="auto"/>
        <w:rPr>
          <w:rFonts w:hint="default" w:ascii="Times New Roman" w:hAnsi="Times New Roman" w:eastAsia="微软雅黑" w:cs="Times New Roman"/>
          <w:color w:val="0D0D0D"/>
          <w:sz w:val="21"/>
          <w:szCs w:val="21"/>
          <w:highlight w:val="none"/>
          <w:lang w:val="en-GB" w:eastAsia="zh-CN" w:bidi="ar"/>
        </w:rPr>
      </w:pPr>
      <w:r>
        <w:rPr>
          <w:rFonts w:hint="default" w:ascii="Times New Roman" w:hAnsi="Times New Roman" w:eastAsia="微软雅黑" w:cs="Times New Roman"/>
          <w:color w:val="0D0D0D"/>
          <w:sz w:val="21"/>
          <w:szCs w:val="21"/>
          <w:highlight w:val="none"/>
          <w:lang w:val="en-GB" w:eastAsia="zh-CN" w:bidi="ar"/>
        </w:rPr>
        <w:t>电缆标称电压等级为6KV，AWG7#电缆芯线截面积为3×10mm2，AWG6#电缆芯线截面积为3×13mm2，AWG4#电缆芯线截面积为3×20mm2。</w:t>
      </w:r>
    </w:p>
    <w:p>
      <w:pPr>
        <w:keepNext w:val="0"/>
        <w:keepLines w:val="0"/>
        <w:pageBreakBefore w:val="0"/>
        <w:widowControl w:val="0"/>
        <w:numPr>
          <w:ilvl w:val="0"/>
          <w:numId w:val="9"/>
        </w:numPr>
        <w:kinsoku/>
        <w:wordWrap/>
        <w:overflowPunct/>
        <w:topLinePunct w:val="0"/>
        <w:autoSpaceDE w:val="0"/>
        <w:autoSpaceDN w:val="0"/>
        <w:bidi w:val="0"/>
        <w:adjustRightInd w:val="0"/>
        <w:snapToGrid/>
        <w:spacing w:line="360" w:lineRule="auto"/>
        <w:ind w:left="0" w:leftChars="0" w:firstLine="420" w:firstLineChars="200"/>
        <w:jc w:val="left"/>
        <w:textAlignment w:val="auto"/>
        <w:rPr>
          <w:rFonts w:hint="default" w:ascii="Times New Roman" w:hAnsi="Times New Roman" w:eastAsia="微软雅黑" w:cs="Times New Roman"/>
          <w:color w:val="0D0D0D"/>
          <w:sz w:val="21"/>
          <w:szCs w:val="21"/>
          <w:highlight w:val="none"/>
          <w:lang w:val="en-GB" w:eastAsia="zh-CN" w:bidi="ar"/>
        </w:rPr>
      </w:pPr>
      <w:r>
        <w:rPr>
          <w:rFonts w:hint="default" w:ascii="Times New Roman" w:hAnsi="Times New Roman" w:eastAsia="微软雅黑" w:cs="Times New Roman"/>
          <w:sz w:val="21"/>
          <w:szCs w:val="21"/>
          <w:highlight w:val="none"/>
          <w:lang w:val="en-GB" w:eastAsia="zh-CN" w:bidi="ar"/>
        </w:rPr>
        <w:t>适用井温为：180℃，本体耐温等级204℃。</w:t>
      </w:r>
    </w:p>
    <w:p>
      <w:pPr>
        <w:keepNext w:val="0"/>
        <w:keepLines w:val="0"/>
        <w:pageBreakBefore w:val="0"/>
        <w:widowControl w:val="0"/>
        <w:numPr>
          <w:ilvl w:val="0"/>
          <w:numId w:val="9"/>
        </w:numPr>
        <w:kinsoku/>
        <w:wordWrap/>
        <w:overflowPunct/>
        <w:topLinePunct w:val="0"/>
        <w:autoSpaceDE w:val="0"/>
        <w:autoSpaceDN w:val="0"/>
        <w:bidi w:val="0"/>
        <w:adjustRightInd w:val="0"/>
        <w:snapToGrid/>
        <w:spacing w:line="360" w:lineRule="auto"/>
        <w:ind w:left="0" w:leftChars="0" w:firstLine="420" w:firstLineChars="200"/>
        <w:jc w:val="left"/>
        <w:textAlignment w:val="auto"/>
        <w:rPr>
          <w:rFonts w:hint="default" w:ascii="Times New Roman" w:hAnsi="Times New Roman" w:eastAsia="微软雅黑" w:cs="Times New Roman"/>
          <w:color w:val="0D0D0D"/>
          <w:sz w:val="21"/>
          <w:szCs w:val="21"/>
          <w:highlight w:val="none"/>
          <w:lang w:val="en-GB" w:eastAsia="zh-CN" w:bidi="ar"/>
        </w:rPr>
      </w:pPr>
      <w:r>
        <w:rPr>
          <w:rFonts w:hint="default" w:ascii="Times New Roman" w:hAnsi="Times New Roman" w:eastAsia="微软雅黑" w:cs="Times New Roman"/>
          <w:color w:val="0D0D0D"/>
          <w:sz w:val="21"/>
          <w:szCs w:val="21"/>
          <w:highlight w:val="none"/>
          <w:lang w:val="en-GB" w:eastAsia="zh-CN" w:bidi="ar"/>
        </w:rPr>
        <w:t>潜油引接电缆上应标刻有产品编号、产品规格，执行标准代码，质量及制造商的地址信息。外观完好，标识清晰，无锈蚀，无裂痕，目测无变形。并应在包装内提供产品合格证及检测报告。</w:t>
      </w:r>
    </w:p>
    <w:p>
      <w:pPr>
        <w:keepNext w:val="0"/>
        <w:keepLines w:val="0"/>
        <w:pageBreakBefore w:val="0"/>
        <w:widowControl w:val="0"/>
        <w:numPr>
          <w:ilvl w:val="0"/>
          <w:numId w:val="9"/>
        </w:numPr>
        <w:kinsoku/>
        <w:wordWrap/>
        <w:overflowPunct/>
        <w:topLinePunct w:val="0"/>
        <w:autoSpaceDE w:val="0"/>
        <w:autoSpaceDN w:val="0"/>
        <w:bidi w:val="0"/>
        <w:adjustRightInd w:val="0"/>
        <w:snapToGrid/>
        <w:spacing w:line="360" w:lineRule="auto"/>
        <w:ind w:left="0" w:leftChars="0" w:firstLine="420" w:firstLineChars="200"/>
        <w:jc w:val="left"/>
        <w:textAlignment w:val="auto"/>
        <w:rPr>
          <w:rFonts w:hint="default" w:ascii="Times New Roman" w:hAnsi="Times New Roman" w:eastAsia="微软雅黑" w:cs="Times New Roman"/>
          <w:color w:val="0D0D0D"/>
          <w:sz w:val="21"/>
          <w:szCs w:val="21"/>
          <w:highlight w:val="none"/>
          <w:lang w:val="en-GB" w:eastAsia="zh-CN" w:bidi="ar"/>
        </w:rPr>
      </w:pPr>
      <w:r>
        <w:rPr>
          <w:rFonts w:hint="default" w:ascii="Times New Roman" w:hAnsi="Times New Roman" w:eastAsia="微软雅黑" w:cs="Times New Roman"/>
          <w:color w:val="0D0D0D"/>
          <w:sz w:val="21"/>
          <w:szCs w:val="21"/>
          <w:highlight w:val="none"/>
          <w:lang w:val="en-GB" w:eastAsia="zh-CN" w:bidi="ar"/>
        </w:rPr>
        <w:t>关键部件材质及力学性能要求：绝缘层为聚酰亚胺－F46膜三层绕包烧结和乙丙橡胶组合绝缘，护套层为铅护套。绝缘电阻大于1000M</w:t>
      </w:r>
      <w:r>
        <w:rPr>
          <w:rFonts w:hint="default" w:ascii="Times New Roman" w:hAnsi="Times New Roman" w:eastAsia="微软雅黑" w:cs="Times New Roman"/>
          <w:color w:val="0D0D0D"/>
          <w:sz w:val="21"/>
          <w:szCs w:val="21"/>
          <w:highlight w:val="none"/>
          <w:lang w:val="en-GB" w:eastAsia="nb-NO" w:bidi="ar"/>
        </w:rPr>
        <w:t>Ω</w:t>
      </w:r>
      <w:r>
        <w:rPr>
          <w:rFonts w:hint="default" w:ascii="Times New Roman" w:hAnsi="Times New Roman" w:eastAsia="微软雅黑" w:cs="Times New Roman"/>
          <w:color w:val="0D0D0D"/>
          <w:sz w:val="21"/>
          <w:szCs w:val="21"/>
          <w:highlight w:val="none"/>
          <w:lang w:val="en-GB" w:eastAsia="zh-CN" w:bidi="ar"/>
        </w:rPr>
        <w:t>·km。送货文件应提供性能检测报告，并注批次号等可追溯性标识信息。乙丙橡胶组其老化和耐油性能应符合GB/T16750－2015 表13要求。聚酰亚胺-F46复合薄膜指标满足GB/T 16750-2015《潜油电泵机组》中表18要求。合金铅护套表面应光滑无铅渣等夹杂物或破损，使用牌号Pb-Sb-Cu 合金。</w:t>
      </w:r>
    </w:p>
    <w:p>
      <w:pPr>
        <w:keepNext w:val="0"/>
        <w:keepLines w:val="0"/>
        <w:pageBreakBefore w:val="0"/>
        <w:widowControl w:val="0"/>
        <w:numPr>
          <w:ilvl w:val="0"/>
          <w:numId w:val="9"/>
        </w:numPr>
        <w:kinsoku/>
        <w:wordWrap/>
        <w:overflowPunct/>
        <w:topLinePunct w:val="0"/>
        <w:autoSpaceDE w:val="0"/>
        <w:autoSpaceDN w:val="0"/>
        <w:bidi w:val="0"/>
        <w:adjustRightInd w:val="0"/>
        <w:snapToGrid/>
        <w:spacing w:line="360" w:lineRule="auto"/>
        <w:ind w:left="0" w:leftChars="0" w:firstLine="420" w:firstLineChars="200"/>
        <w:jc w:val="left"/>
        <w:textAlignment w:val="auto"/>
        <w:rPr>
          <w:rFonts w:hint="eastAsia" w:ascii="宋体" w:hAnsi="宋体" w:eastAsia="微软雅黑" w:cs="黑体"/>
          <w:color w:val="0D0D0D"/>
          <w:sz w:val="21"/>
          <w:szCs w:val="21"/>
          <w:highlight w:val="none"/>
          <w:lang w:val="en-GB" w:eastAsia="zh-CN" w:bidi="ar"/>
        </w:rPr>
      </w:pPr>
      <w:r>
        <w:rPr>
          <w:rFonts w:hint="default" w:ascii="Times New Roman" w:hAnsi="Times New Roman" w:eastAsia="微软雅黑" w:cs="Times New Roman"/>
          <w:color w:val="0D0D0D"/>
          <w:sz w:val="21"/>
          <w:szCs w:val="21"/>
          <w:highlight w:val="none"/>
          <w:lang w:val="en-GB" w:eastAsia="zh-CN" w:bidi="ar"/>
        </w:rPr>
        <w:t>电缆头</w:t>
      </w:r>
      <w:r>
        <w:rPr>
          <w:rFonts w:hint="default" w:ascii="Times New Roman" w:hAnsi="Times New Roman" w:eastAsia="微软雅黑" w:cs="Times New Roman"/>
          <w:color w:val="0D0D0D"/>
          <w:sz w:val="21"/>
          <w:szCs w:val="21"/>
          <w:highlight w:val="none"/>
          <w:lang w:val="en-US" w:eastAsia="zh-CN" w:bidi="ar"/>
        </w:rPr>
        <w:t>参照“</w:t>
      </w:r>
      <w:r>
        <w:rPr>
          <w:rFonts w:hint="default" w:ascii="Times New Roman" w:hAnsi="Times New Roman" w:eastAsia="微软雅黑" w:cs="Times New Roman"/>
          <w:color w:val="0D0D0D"/>
          <w:sz w:val="21"/>
          <w:szCs w:val="21"/>
          <w:highlight w:val="none"/>
          <w:lang w:val="en-GB" w:eastAsia="zh-CN" w:bidi="ar"/>
        </w:rPr>
        <w:t>《潜油电泵机组》国标GB/T 16750-2015</w:t>
      </w:r>
      <w:r>
        <w:rPr>
          <w:rFonts w:hint="default" w:ascii="Times New Roman" w:hAnsi="Times New Roman" w:eastAsia="微软雅黑" w:cs="Times New Roman"/>
          <w:color w:val="0D0D0D"/>
          <w:sz w:val="21"/>
          <w:szCs w:val="21"/>
          <w:highlight w:val="none"/>
          <w:lang w:val="en-US" w:eastAsia="zh-CN" w:bidi="ar"/>
        </w:rPr>
        <w:t xml:space="preserve">  6.1.6电缆头”进行检测，并符合“</w:t>
      </w:r>
      <w:r>
        <w:rPr>
          <w:rFonts w:hint="default" w:ascii="Times New Roman" w:hAnsi="Times New Roman" w:eastAsia="微软雅黑" w:cs="Times New Roman"/>
          <w:color w:val="0D0D0D"/>
          <w:sz w:val="21"/>
          <w:szCs w:val="21"/>
          <w:highlight w:val="none"/>
          <w:lang w:val="en-GB" w:eastAsia="zh-CN" w:bidi="ar"/>
        </w:rPr>
        <w:t>《潜油电泵机组》国标GB/T 16750-2015</w:t>
      </w:r>
      <w:r>
        <w:rPr>
          <w:rFonts w:hint="default" w:ascii="Times New Roman" w:hAnsi="Times New Roman" w:eastAsia="微软雅黑" w:cs="Times New Roman"/>
          <w:color w:val="0D0D0D"/>
          <w:sz w:val="21"/>
          <w:szCs w:val="21"/>
          <w:highlight w:val="none"/>
          <w:lang w:val="en-US" w:eastAsia="zh-CN" w:bidi="ar"/>
        </w:rPr>
        <w:t xml:space="preserve"> 5.2.5.12”检测标准。</w:t>
      </w:r>
    </w:p>
    <w:p>
      <w:pPr>
        <w:keepNext w:val="0"/>
        <w:keepLines w:val="0"/>
        <w:pageBreakBefore w:val="0"/>
        <w:widowControl w:val="0"/>
        <w:numPr>
          <w:ilvl w:val="0"/>
          <w:numId w:val="9"/>
        </w:numPr>
        <w:kinsoku/>
        <w:wordWrap/>
        <w:overflowPunct/>
        <w:topLinePunct w:val="0"/>
        <w:autoSpaceDE w:val="0"/>
        <w:autoSpaceDN w:val="0"/>
        <w:bidi w:val="0"/>
        <w:adjustRightInd w:val="0"/>
        <w:snapToGrid/>
        <w:spacing w:line="360" w:lineRule="auto"/>
        <w:ind w:left="0" w:leftChars="0" w:firstLine="420" w:firstLineChars="200"/>
        <w:jc w:val="left"/>
        <w:textAlignment w:val="auto"/>
        <w:rPr>
          <w:rFonts w:hint="eastAsia" w:ascii="宋体" w:hAnsi="宋体" w:eastAsia="微软雅黑" w:cs="黑体"/>
          <w:color w:val="0D0D0D"/>
          <w:sz w:val="21"/>
          <w:szCs w:val="21"/>
          <w:highlight w:val="none"/>
          <w:lang w:val="en-GB" w:eastAsia="zh-CN" w:bidi="ar"/>
        </w:rPr>
      </w:pPr>
      <w:r>
        <w:rPr>
          <w:rFonts w:hint="eastAsia" w:ascii="宋体" w:hAnsi="宋体" w:eastAsia="微软雅黑" w:cs="黑体"/>
          <w:color w:val="0D0D0D"/>
          <w:sz w:val="21"/>
          <w:szCs w:val="21"/>
          <w:highlight w:val="none"/>
          <w:lang w:val="en-GB" w:eastAsia="zh-CN" w:bidi="ar"/>
        </w:rPr>
        <w:t>铠皮为镀锌钢带。</w:t>
      </w:r>
    </w:p>
    <w:p>
      <w:pPr>
        <w:widowControl w:val="0"/>
        <w:snapToGrid w:val="0"/>
        <w:rPr>
          <w:rFonts w:asciiTheme="minorHAnsi" w:hAnsiTheme="minorHAnsi" w:eastAsiaTheme="minorEastAsia" w:cstheme="minorBidi"/>
          <w:sz w:val="16"/>
          <w:szCs w:val="16"/>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10" w:firstLineChars="200"/>
        <w:textAlignment w:val="auto"/>
        <w:outlineLvl w:val="1"/>
        <w:rPr>
          <w:rFonts w:hint="eastAsia" w:ascii="宋体" w:hAnsi="宋体" w:eastAsia="宋体" w:cs="宋体"/>
          <w:b/>
          <w:bCs/>
          <w:color w:val="auto"/>
          <w:spacing w:val="2"/>
          <w:sz w:val="20"/>
          <w:szCs w:val="20"/>
          <w:highlight w:val="none"/>
          <w:lang w:val="en-US" w:eastAsia="zh-CN" w:bidi="ar-SA"/>
        </w:rPr>
      </w:pPr>
      <w:bookmarkStart w:id="149" w:name="_Toc21532"/>
      <w:bookmarkStart w:id="150" w:name="_Toc16459"/>
      <w:bookmarkStart w:id="151" w:name="_Toc30092"/>
      <w:r>
        <w:rPr>
          <w:rFonts w:hint="eastAsia" w:ascii="宋体" w:hAnsi="宋体" w:eastAsia="宋体" w:cs="宋体"/>
          <w:b/>
          <w:bCs/>
          <w:color w:val="auto"/>
          <w:spacing w:val="2"/>
          <w:sz w:val="20"/>
          <w:szCs w:val="20"/>
          <w:highlight w:val="none"/>
          <w:lang w:val="en-US" w:eastAsia="zh-CN" w:bidi="ar-SA"/>
        </w:rPr>
        <w:t>5.2 高转速潜油保护器</w:t>
      </w:r>
      <w:bookmarkEnd w:id="149"/>
      <w:bookmarkEnd w:id="150"/>
      <w:bookmarkEnd w:id="151"/>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30" w:firstLineChars="200"/>
        <w:textAlignment w:val="auto"/>
        <w:outlineLvl w:val="1"/>
        <w:rPr>
          <w:rFonts w:hint="eastAsia" w:ascii="宋体" w:hAnsi="宋体" w:eastAsia="宋体" w:cs="宋体"/>
          <w:b/>
          <w:bCs/>
          <w:color w:val="auto"/>
          <w:spacing w:val="2"/>
          <w:sz w:val="21"/>
          <w:szCs w:val="21"/>
          <w:highlight w:val="none"/>
          <w:lang w:val="en-US" w:eastAsia="zh-CN" w:bidi="ar-SA"/>
        </w:rPr>
      </w:pPr>
    </w:p>
    <w:tbl>
      <w:tblPr>
        <w:tblStyle w:val="12"/>
        <w:tblW w:w="91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276"/>
        <w:gridCol w:w="1701"/>
        <w:gridCol w:w="3827"/>
        <w:gridCol w:w="851"/>
        <w:gridCol w:w="7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widowControl w:val="0"/>
              <w:adjustRightInd w:val="0"/>
              <w:snapToGrid w:val="0"/>
              <w:spacing w:line="240" w:lineRule="auto"/>
              <w:jc w:val="center"/>
              <w:outlineLvl w:val="1"/>
              <w:rPr>
                <w:rFonts w:hint="eastAsia" w:ascii="宋体" w:hAnsi="宋体" w:eastAsia="宋体" w:cs="宋体"/>
                <w:spacing w:val="0"/>
                <w:sz w:val="20"/>
                <w:szCs w:val="20"/>
                <w:highlight w:val="none"/>
                <w:lang w:val="en-US" w:eastAsia="zh-CN" w:bidi="ar-SA"/>
              </w:rPr>
            </w:pPr>
            <w:bookmarkStart w:id="152" w:name="_Toc30657"/>
            <w:bookmarkStart w:id="153" w:name="_Toc1281"/>
            <w:bookmarkStart w:id="154" w:name="_Toc4811"/>
            <w:r>
              <w:rPr>
                <w:rFonts w:hint="eastAsia" w:ascii="宋体" w:hAnsi="宋体" w:eastAsia="宋体" w:cs="宋体"/>
                <w:spacing w:val="0"/>
                <w:sz w:val="20"/>
                <w:szCs w:val="20"/>
                <w:highlight w:val="none"/>
                <w:lang w:val="en-US" w:eastAsia="zh-CN" w:bidi="ar-SA"/>
              </w:rPr>
              <w:t>序号</w:t>
            </w:r>
            <w:bookmarkEnd w:id="152"/>
            <w:bookmarkEnd w:id="153"/>
            <w:bookmarkEnd w:id="154"/>
          </w:p>
        </w:tc>
        <w:tc>
          <w:tcPr>
            <w:tcW w:w="1276" w:type="dxa"/>
            <w:vAlign w:val="center"/>
          </w:tcPr>
          <w:p>
            <w:pPr>
              <w:widowControl w:val="0"/>
              <w:adjustRightInd w:val="0"/>
              <w:snapToGrid w:val="0"/>
              <w:spacing w:line="240" w:lineRule="auto"/>
              <w:jc w:val="center"/>
              <w:outlineLvl w:val="1"/>
              <w:rPr>
                <w:rFonts w:hint="eastAsia" w:ascii="宋体" w:hAnsi="宋体" w:eastAsia="宋体" w:cs="宋体"/>
                <w:spacing w:val="0"/>
                <w:sz w:val="20"/>
                <w:szCs w:val="20"/>
                <w:highlight w:val="none"/>
                <w:lang w:val="en-US" w:eastAsia="zh-CN" w:bidi="ar-SA"/>
              </w:rPr>
            </w:pPr>
            <w:bookmarkStart w:id="155" w:name="_Toc14350"/>
            <w:bookmarkStart w:id="156" w:name="_Toc28440"/>
            <w:bookmarkStart w:id="157" w:name="_Toc13679"/>
            <w:r>
              <w:rPr>
                <w:rFonts w:hint="eastAsia" w:ascii="宋体" w:hAnsi="宋体" w:eastAsia="宋体" w:cs="宋体"/>
                <w:spacing w:val="0"/>
                <w:sz w:val="20"/>
                <w:szCs w:val="20"/>
                <w:highlight w:val="none"/>
                <w:lang w:val="en-US" w:eastAsia="zh-CN" w:bidi="ar-SA"/>
              </w:rPr>
              <w:t>物料编码</w:t>
            </w:r>
            <w:bookmarkEnd w:id="155"/>
            <w:bookmarkEnd w:id="156"/>
            <w:bookmarkEnd w:id="157"/>
          </w:p>
        </w:tc>
        <w:tc>
          <w:tcPr>
            <w:tcW w:w="1701" w:type="dxa"/>
            <w:vAlign w:val="center"/>
          </w:tcPr>
          <w:p>
            <w:pPr>
              <w:widowControl w:val="0"/>
              <w:adjustRightInd w:val="0"/>
              <w:snapToGrid w:val="0"/>
              <w:spacing w:line="240" w:lineRule="auto"/>
              <w:jc w:val="center"/>
              <w:outlineLvl w:val="1"/>
              <w:rPr>
                <w:rFonts w:hint="eastAsia" w:ascii="宋体" w:hAnsi="宋体" w:eastAsia="宋体" w:cs="宋体"/>
                <w:spacing w:val="0"/>
                <w:sz w:val="20"/>
                <w:szCs w:val="20"/>
                <w:highlight w:val="none"/>
                <w:lang w:val="en-US" w:eastAsia="zh-CN" w:bidi="ar-SA"/>
              </w:rPr>
            </w:pPr>
            <w:bookmarkStart w:id="158" w:name="_Toc212"/>
            <w:bookmarkStart w:id="159" w:name="_Toc15920"/>
            <w:bookmarkStart w:id="160" w:name="_Toc518"/>
            <w:r>
              <w:rPr>
                <w:rFonts w:hint="eastAsia" w:ascii="宋体" w:hAnsi="宋体" w:eastAsia="宋体" w:cs="宋体"/>
                <w:spacing w:val="0"/>
                <w:sz w:val="20"/>
                <w:szCs w:val="20"/>
                <w:highlight w:val="none"/>
                <w:lang w:val="en-US" w:eastAsia="zh-CN" w:bidi="ar-SA"/>
              </w:rPr>
              <w:t>物资名称</w:t>
            </w:r>
            <w:bookmarkEnd w:id="158"/>
            <w:bookmarkEnd w:id="159"/>
            <w:bookmarkEnd w:id="160"/>
          </w:p>
        </w:tc>
        <w:tc>
          <w:tcPr>
            <w:tcW w:w="3827" w:type="dxa"/>
            <w:vAlign w:val="center"/>
          </w:tcPr>
          <w:p>
            <w:pPr>
              <w:widowControl w:val="0"/>
              <w:adjustRightInd w:val="0"/>
              <w:snapToGrid w:val="0"/>
              <w:spacing w:line="240" w:lineRule="auto"/>
              <w:jc w:val="center"/>
              <w:outlineLvl w:val="1"/>
              <w:rPr>
                <w:rFonts w:hint="eastAsia" w:ascii="宋体" w:hAnsi="宋体" w:eastAsia="宋体" w:cs="宋体"/>
                <w:spacing w:val="0"/>
                <w:sz w:val="20"/>
                <w:szCs w:val="20"/>
                <w:highlight w:val="none"/>
                <w:lang w:val="en-US" w:eastAsia="zh-CN" w:bidi="ar-SA"/>
              </w:rPr>
            </w:pPr>
            <w:bookmarkStart w:id="161" w:name="_Toc11821"/>
            <w:bookmarkStart w:id="162" w:name="_Toc24001"/>
            <w:bookmarkStart w:id="163" w:name="_Toc13797"/>
            <w:r>
              <w:rPr>
                <w:rFonts w:hint="eastAsia" w:ascii="宋体" w:hAnsi="宋体" w:eastAsia="宋体" w:cs="宋体"/>
                <w:spacing w:val="0"/>
                <w:sz w:val="20"/>
                <w:szCs w:val="20"/>
                <w:highlight w:val="none"/>
                <w:lang w:val="en-US" w:eastAsia="zh-CN" w:bidi="ar-SA"/>
              </w:rPr>
              <w:t>规格型号</w:t>
            </w:r>
            <w:bookmarkEnd w:id="161"/>
            <w:bookmarkEnd w:id="162"/>
            <w:bookmarkEnd w:id="163"/>
          </w:p>
        </w:tc>
        <w:tc>
          <w:tcPr>
            <w:tcW w:w="851" w:type="dxa"/>
            <w:vAlign w:val="center"/>
          </w:tcPr>
          <w:p>
            <w:pPr>
              <w:widowControl w:val="0"/>
              <w:adjustRightInd w:val="0"/>
              <w:snapToGrid w:val="0"/>
              <w:spacing w:line="240" w:lineRule="auto"/>
              <w:jc w:val="center"/>
              <w:outlineLvl w:val="1"/>
              <w:rPr>
                <w:rFonts w:hint="eastAsia" w:ascii="宋体" w:hAnsi="宋体" w:eastAsia="宋体" w:cs="宋体"/>
                <w:spacing w:val="0"/>
                <w:sz w:val="20"/>
                <w:szCs w:val="20"/>
                <w:highlight w:val="none"/>
                <w:lang w:val="en-US" w:eastAsia="zh-CN" w:bidi="ar-SA"/>
              </w:rPr>
            </w:pPr>
            <w:bookmarkStart w:id="164" w:name="_Toc5110"/>
            <w:bookmarkStart w:id="165" w:name="_Toc26573"/>
            <w:bookmarkStart w:id="166" w:name="_Toc18131"/>
            <w:r>
              <w:rPr>
                <w:rFonts w:hint="eastAsia" w:ascii="宋体" w:hAnsi="宋体" w:eastAsia="宋体" w:cs="宋体"/>
                <w:spacing w:val="0"/>
                <w:sz w:val="20"/>
                <w:szCs w:val="20"/>
                <w:highlight w:val="none"/>
                <w:lang w:val="en-US" w:eastAsia="zh-CN" w:bidi="ar-SA"/>
              </w:rPr>
              <w:t>单位</w:t>
            </w:r>
            <w:bookmarkEnd w:id="164"/>
            <w:bookmarkEnd w:id="165"/>
            <w:bookmarkEnd w:id="166"/>
          </w:p>
        </w:tc>
        <w:tc>
          <w:tcPr>
            <w:tcW w:w="752" w:type="dxa"/>
            <w:vAlign w:val="center"/>
          </w:tcPr>
          <w:p>
            <w:pPr>
              <w:widowControl w:val="0"/>
              <w:adjustRightInd w:val="0"/>
              <w:snapToGrid w:val="0"/>
              <w:spacing w:line="240" w:lineRule="auto"/>
              <w:jc w:val="center"/>
              <w:outlineLvl w:val="1"/>
              <w:rPr>
                <w:rFonts w:hint="eastAsia" w:ascii="宋体" w:hAnsi="宋体" w:eastAsia="宋体" w:cs="宋体"/>
                <w:spacing w:val="0"/>
                <w:sz w:val="20"/>
                <w:szCs w:val="20"/>
                <w:highlight w:val="none"/>
                <w:lang w:val="en-US" w:eastAsia="zh-CN" w:bidi="ar-SA"/>
              </w:rPr>
            </w:pPr>
            <w:bookmarkStart w:id="167" w:name="_Toc23096"/>
            <w:bookmarkStart w:id="168" w:name="_Toc16463"/>
            <w:bookmarkStart w:id="169" w:name="_Toc13245"/>
            <w:r>
              <w:rPr>
                <w:rFonts w:hint="eastAsia" w:ascii="宋体" w:hAnsi="宋体" w:eastAsia="宋体" w:cs="宋体"/>
                <w:spacing w:val="0"/>
                <w:sz w:val="20"/>
                <w:szCs w:val="20"/>
                <w:highlight w:val="none"/>
                <w:lang w:val="en-US" w:eastAsia="zh-CN" w:bidi="ar-SA"/>
              </w:rPr>
              <w:t>备注</w:t>
            </w:r>
            <w:bookmarkEnd w:id="167"/>
            <w:bookmarkEnd w:id="168"/>
            <w:bookmarkEnd w:id="16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704" w:type="dxa"/>
            <w:vAlign w:val="center"/>
          </w:tcPr>
          <w:p>
            <w:pPr>
              <w:widowControl w:val="0"/>
              <w:spacing w:line="360" w:lineRule="auto"/>
              <w:ind w:firstLine="150" w:firstLineChars="100"/>
              <w:jc w:val="both"/>
              <w:outlineLvl w:val="1"/>
              <w:rPr>
                <w:rFonts w:hint="default" w:ascii="Times New Roman" w:hAnsi="Times New Roman" w:eastAsia="宋体" w:cs="Times New Roman"/>
                <w:color w:val="000000"/>
                <w:spacing w:val="0"/>
                <w:sz w:val="13"/>
                <w:szCs w:val="13"/>
                <w:highlight w:val="none"/>
                <w:lang w:val="en-US" w:eastAsia="zh-CN" w:bidi="ar-SA"/>
              </w:rPr>
            </w:pPr>
            <w:r>
              <w:rPr>
                <w:rFonts w:hint="default" w:ascii="Times New Roman" w:hAnsi="Times New Roman" w:eastAsia="宋体" w:cs="Times New Roman"/>
                <w:color w:val="000000"/>
                <w:spacing w:val="0"/>
                <w:sz w:val="15"/>
                <w:szCs w:val="15"/>
                <w:highlight w:val="none"/>
                <w:lang w:val="en-US" w:eastAsia="zh-CN" w:bidi="ar-SA"/>
              </w:rPr>
              <w:t>1</w:t>
            </w:r>
          </w:p>
        </w:tc>
        <w:tc>
          <w:tcPr>
            <w:tcW w:w="1276"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spacing w:val="0"/>
                <w:kern w:val="0"/>
                <w:sz w:val="13"/>
                <w:szCs w:val="13"/>
                <w:highlight w:val="none"/>
                <w:lang w:val="en-US" w:eastAsia="zh-CN" w:bidi="ar"/>
              </w:rPr>
            </w:pPr>
            <w:r>
              <w:rPr>
                <w:rFonts w:hint="default" w:ascii="Times New Roman" w:hAnsi="Times New Roman" w:eastAsia="宋体" w:cs="Times New Roman"/>
                <w:i w:val="0"/>
                <w:iCs w:val="0"/>
                <w:color w:val="000000"/>
                <w:kern w:val="0"/>
                <w:sz w:val="15"/>
                <w:szCs w:val="15"/>
                <w:highlight w:val="none"/>
                <w:u w:val="none"/>
                <w:lang w:val="en-US" w:eastAsia="zh-CN" w:bidi="ar"/>
              </w:rPr>
              <w:t>84615654</w:t>
            </w:r>
          </w:p>
        </w:tc>
        <w:tc>
          <w:tcPr>
            <w:tcW w:w="1701" w:type="dxa"/>
            <w:vAlign w:val="center"/>
          </w:tcPr>
          <w:p>
            <w:pPr>
              <w:widowControl w:val="0"/>
              <w:spacing w:line="360" w:lineRule="auto"/>
              <w:jc w:val="center"/>
              <w:outlineLvl w:val="1"/>
              <w:rPr>
                <w:rFonts w:hint="default" w:ascii="Times New Roman" w:hAnsi="Times New Roman" w:eastAsia="宋体" w:cs="Times New Roman"/>
                <w:color w:val="000000"/>
                <w:spacing w:val="0"/>
                <w:sz w:val="13"/>
                <w:szCs w:val="13"/>
                <w:highlight w:val="none"/>
                <w:lang w:val="en-US" w:eastAsia="zh-CN" w:bidi="ar"/>
              </w:rPr>
            </w:pPr>
            <w:r>
              <w:rPr>
                <w:rFonts w:hint="default" w:ascii="Times New Roman" w:hAnsi="Times New Roman" w:eastAsia="宋体" w:cs="Times New Roman"/>
                <w:color w:val="000000"/>
                <w:spacing w:val="0"/>
                <w:sz w:val="15"/>
                <w:szCs w:val="15"/>
                <w:highlight w:val="none"/>
                <w:lang w:val="en-US" w:eastAsia="zh-CN" w:bidi="ar"/>
              </w:rPr>
              <w:t>潜油保护器</w:t>
            </w:r>
          </w:p>
        </w:tc>
        <w:tc>
          <w:tcPr>
            <w:tcW w:w="3827" w:type="dxa"/>
            <w:vAlign w:val="center"/>
          </w:tcPr>
          <w:p>
            <w:pPr>
              <w:keepNext w:val="0"/>
              <w:keepLines w:val="0"/>
              <w:widowControl/>
              <w:suppressLineNumbers w:val="0"/>
              <w:jc w:val="left"/>
              <w:textAlignment w:val="center"/>
              <w:rPr>
                <w:rFonts w:hint="default" w:ascii="Times New Roman" w:hAnsi="Times New Roman" w:eastAsia="宋体" w:cs="Times New Roman"/>
                <w:color w:val="000000"/>
                <w:kern w:val="0"/>
                <w:sz w:val="13"/>
                <w:szCs w:val="13"/>
                <w:highlight w:val="none"/>
                <w:lang w:eastAsia="zh-CN" w:bidi="ar"/>
              </w:rPr>
            </w:pPr>
            <w:r>
              <w:rPr>
                <w:rFonts w:hint="default" w:ascii="Times New Roman" w:hAnsi="Times New Roman" w:eastAsia="宋体" w:cs="Times New Roman"/>
                <w:i w:val="0"/>
                <w:iCs w:val="0"/>
                <w:color w:val="000000"/>
                <w:kern w:val="0"/>
                <w:sz w:val="15"/>
                <w:szCs w:val="15"/>
                <w:highlight w:val="none"/>
                <w:u w:val="none"/>
                <w:lang w:val="en-US" w:eastAsia="zh-CN" w:bidi="ar"/>
              </w:rPr>
              <w:t>BPR338-HS\BPBSL/BPBSL\高承载\180℃</w:t>
            </w:r>
          </w:p>
        </w:tc>
        <w:tc>
          <w:tcPr>
            <w:tcW w:w="851"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3"/>
                <w:szCs w:val="13"/>
                <w:highlight w:val="none"/>
                <w:lang w:eastAsia="zh-CN" w:bidi="ar"/>
              </w:rPr>
            </w:pPr>
            <w:r>
              <w:rPr>
                <w:rFonts w:hint="default" w:ascii="Times New Roman" w:hAnsi="Times New Roman" w:eastAsia="宋体" w:cs="Times New Roman"/>
                <w:i w:val="0"/>
                <w:iCs w:val="0"/>
                <w:color w:val="000000"/>
                <w:kern w:val="0"/>
                <w:sz w:val="15"/>
                <w:szCs w:val="15"/>
                <w:highlight w:val="none"/>
                <w:u w:val="none"/>
                <w:lang w:val="en-US" w:eastAsia="zh-CN" w:bidi="ar"/>
              </w:rPr>
              <w:t>件</w:t>
            </w:r>
          </w:p>
        </w:tc>
        <w:tc>
          <w:tcPr>
            <w:tcW w:w="752" w:type="dxa"/>
          </w:tcPr>
          <w:p>
            <w:pPr>
              <w:widowControl/>
              <w:jc w:val="center"/>
              <w:rPr>
                <w:rFonts w:hint="default" w:ascii="Times New Roman" w:hAnsi="Times New Roman" w:cs="Times New Roman" w:eastAsiaTheme="minorEastAsia"/>
                <w:kern w:val="0"/>
                <w:sz w:val="18"/>
                <w:szCs w:val="1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704" w:type="dxa"/>
            <w:vAlign w:val="center"/>
          </w:tcPr>
          <w:p>
            <w:pPr>
              <w:widowControl w:val="0"/>
              <w:spacing w:line="360" w:lineRule="auto"/>
              <w:ind w:firstLine="150" w:firstLineChars="100"/>
              <w:jc w:val="both"/>
              <w:outlineLvl w:val="1"/>
              <w:rPr>
                <w:rFonts w:hint="default" w:ascii="Times New Roman" w:hAnsi="Times New Roman" w:eastAsia="宋体" w:cs="Times New Roman"/>
                <w:color w:val="000000"/>
                <w:spacing w:val="0"/>
                <w:sz w:val="13"/>
                <w:szCs w:val="13"/>
                <w:highlight w:val="none"/>
                <w:lang w:val="en-US" w:eastAsia="zh-CN" w:bidi="ar-SA"/>
              </w:rPr>
            </w:pPr>
            <w:r>
              <w:rPr>
                <w:rFonts w:hint="default" w:ascii="Times New Roman" w:hAnsi="Times New Roman" w:eastAsia="宋体" w:cs="Times New Roman"/>
                <w:color w:val="000000"/>
                <w:spacing w:val="0"/>
                <w:sz w:val="15"/>
                <w:szCs w:val="15"/>
                <w:highlight w:val="none"/>
                <w:lang w:val="en-US" w:eastAsia="zh-CN" w:bidi="ar-SA"/>
              </w:rPr>
              <w:t>2</w:t>
            </w:r>
          </w:p>
        </w:tc>
        <w:tc>
          <w:tcPr>
            <w:tcW w:w="1276"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spacing w:val="0"/>
                <w:kern w:val="0"/>
                <w:sz w:val="13"/>
                <w:szCs w:val="13"/>
                <w:highlight w:val="none"/>
                <w:lang w:eastAsia="en-US" w:bidi="ar"/>
              </w:rPr>
            </w:pPr>
            <w:r>
              <w:rPr>
                <w:rFonts w:hint="default" w:ascii="Times New Roman" w:hAnsi="Times New Roman" w:eastAsia="宋体" w:cs="Times New Roman"/>
                <w:i w:val="0"/>
                <w:iCs w:val="0"/>
                <w:color w:val="000000"/>
                <w:kern w:val="0"/>
                <w:sz w:val="15"/>
                <w:szCs w:val="15"/>
                <w:highlight w:val="none"/>
                <w:u w:val="none"/>
                <w:lang w:val="en-US" w:eastAsia="zh-CN" w:bidi="ar"/>
              </w:rPr>
              <w:t>84619343</w:t>
            </w:r>
          </w:p>
        </w:tc>
        <w:tc>
          <w:tcPr>
            <w:tcW w:w="1701" w:type="dxa"/>
            <w:vAlign w:val="center"/>
          </w:tcPr>
          <w:p>
            <w:pPr>
              <w:widowControl w:val="0"/>
              <w:spacing w:line="360" w:lineRule="auto"/>
              <w:jc w:val="center"/>
              <w:outlineLvl w:val="1"/>
              <w:rPr>
                <w:rFonts w:hint="default" w:ascii="Times New Roman" w:hAnsi="Times New Roman" w:eastAsia="宋体" w:cs="Times New Roman"/>
                <w:color w:val="000000"/>
                <w:spacing w:val="0"/>
                <w:sz w:val="13"/>
                <w:szCs w:val="13"/>
                <w:highlight w:val="none"/>
                <w:lang w:val="en-US" w:eastAsia="zh-CN" w:bidi="ar"/>
              </w:rPr>
            </w:pPr>
            <w:r>
              <w:rPr>
                <w:rFonts w:hint="default" w:ascii="Times New Roman" w:hAnsi="Times New Roman" w:eastAsia="宋体" w:cs="Times New Roman"/>
                <w:color w:val="000000"/>
                <w:spacing w:val="0"/>
                <w:sz w:val="15"/>
                <w:szCs w:val="15"/>
                <w:highlight w:val="none"/>
                <w:lang w:val="en-US" w:eastAsia="zh-CN" w:bidi="ar"/>
              </w:rPr>
              <w:t>潜油保护器</w:t>
            </w:r>
          </w:p>
        </w:tc>
        <w:tc>
          <w:tcPr>
            <w:tcW w:w="3827" w:type="dxa"/>
            <w:vAlign w:val="center"/>
          </w:tcPr>
          <w:p>
            <w:pPr>
              <w:keepNext w:val="0"/>
              <w:keepLines w:val="0"/>
              <w:widowControl/>
              <w:suppressLineNumbers w:val="0"/>
              <w:jc w:val="left"/>
              <w:textAlignment w:val="center"/>
              <w:rPr>
                <w:rFonts w:hint="default" w:ascii="Times New Roman" w:hAnsi="Times New Roman" w:eastAsia="宋体" w:cs="Times New Roman"/>
                <w:color w:val="000000"/>
                <w:kern w:val="0"/>
                <w:sz w:val="13"/>
                <w:szCs w:val="13"/>
                <w:highlight w:val="none"/>
                <w:lang w:eastAsia="zh-CN" w:bidi="ar"/>
              </w:rPr>
            </w:pPr>
            <w:r>
              <w:rPr>
                <w:rFonts w:hint="default" w:ascii="Times New Roman" w:hAnsi="Times New Roman" w:eastAsia="宋体" w:cs="Times New Roman"/>
                <w:i w:val="0"/>
                <w:iCs w:val="0"/>
                <w:color w:val="000000"/>
                <w:kern w:val="0"/>
                <w:sz w:val="15"/>
                <w:szCs w:val="15"/>
                <w:highlight w:val="none"/>
                <w:u w:val="none"/>
                <w:lang w:val="en-US" w:eastAsia="zh-CN" w:bidi="ar"/>
              </w:rPr>
              <w:t>BPR400-HS\结构:BPBSL/BPBSL\高承载\180℃</w:t>
            </w:r>
          </w:p>
        </w:tc>
        <w:tc>
          <w:tcPr>
            <w:tcW w:w="851"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3"/>
                <w:szCs w:val="13"/>
                <w:highlight w:val="none"/>
                <w:lang w:eastAsia="zh-CN" w:bidi="ar"/>
              </w:rPr>
            </w:pPr>
            <w:r>
              <w:rPr>
                <w:rFonts w:hint="default" w:ascii="Times New Roman" w:hAnsi="Times New Roman" w:eastAsia="宋体" w:cs="Times New Roman"/>
                <w:i w:val="0"/>
                <w:iCs w:val="0"/>
                <w:color w:val="000000"/>
                <w:kern w:val="0"/>
                <w:sz w:val="15"/>
                <w:szCs w:val="15"/>
                <w:highlight w:val="none"/>
                <w:u w:val="none"/>
                <w:lang w:val="en-US" w:eastAsia="zh-CN" w:bidi="ar"/>
              </w:rPr>
              <w:t>件</w:t>
            </w:r>
          </w:p>
        </w:tc>
        <w:tc>
          <w:tcPr>
            <w:tcW w:w="752" w:type="dxa"/>
          </w:tcPr>
          <w:p>
            <w:pPr>
              <w:widowControl/>
              <w:jc w:val="center"/>
              <w:rPr>
                <w:rFonts w:hint="default" w:ascii="Times New Roman" w:hAnsi="Times New Roman" w:cs="Times New Roman" w:eastAsiaTheme="minorEastAsia"/>
                <w:kern w:val="0"/>
                <w:sz w:val="18"/>
                <w:szCs w:val="1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704" w:type="dxa"/>
            <w:vAlign w:val="center"/>
          </w:tcPr>
          <w:p>
            <w:pPr>
              <w:widowControl w:val="0"/>
              <w:spacing w:line="360" w:lineRule="auto"/>
              <w:ind w:firstLine="150" w:firstLineChars="100"/>
              <w:jc w:val="both"/>
              <w:outlineLvl w:val="1"/>
              <w:rPr>
                <w:rFonts w:hint="default" w:ascii="Times New Roman" w:hAnsi="Times New Roman" w:eastAsia="宋体" w:cs="Times New Roman"/>
                <w:color w:val="000000"/>
                <w:spacing w:val="0"/>
                <w:sz w:val="13"/>
                <w:szCs w:val="13"/>
                <w:highlight w:val="none"/>
                <w:lang w:val="en-US" w:eastAsia="zh-CN" w:bidi="ar-SA"/>
              </w:rPr>
            </w:pPr>
            <w:r>
              <w:rPr>
                <w:rFonts w:hint="default" w:ascii="Times New Roman" w:hAnsi="Times New Roman" w:eastAsia="宋体" w:cs="Times New Roman"/>
                <w:color w:val="000000"/>
                <w:spacing w:val="0"/>
                <w:sz w:val="15"/>
                <w:szCs w:val="15"/>
                <w:highlight w:val="none"/>
                <w:lang w:val="en-US" w:eastAsia="zh-CN" w:bidi="ar-SA"/>
              </w:rPr>
              <w:t>3</w:t>
            </w:r>
          </w:p>
        </w:tc>
        <w:tc>
          <w:tcPr>
            <w:tcW w:w="1276"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spacing w:val="0"/>
                <w:kern w:val="0"/>
                <w:sz w:val="13"/>
                <w:szCs w:val="13"/>
                <w:highlight w:val="none"/>
                <w:lang w:eastAsia="en-US" w:bidi="ar"/>
              </w:rPr>
            </w:pPr>
            <w:r>
              <w:rPr>
                <w:rFonts w:hint="default" w:ascii="Times New Roman" w:hAnsi="Times New Roman" w:eastAsia="宋体" w:cs="Times New Roman"/>
                <w:i w:val="0"/>
                <w:iCs w:val="0"/>
                <w:color w:val="000000"/>
                <w:kern w:val="0"/>
                <w:sz w:val="15"/>
                <w:szCs w:val="15"/>
                <w:highlight w:val="none"/>
                <w:u w:val="none"/>
                <w:lang w:val="en-US" w:eastAsia="zh-CN" w:bidi="ar"/>
              </w:rPr>
              <w:t>84615658</w:t>
            </w:r>
          </w:p>
        </w:tc>
        <w:tc>
          <w:tcPr>
            <w:tcW w:w="1701" w:type="dxa"/>
            <w:vAlign w:val="center"/>
          </w:tcPr>
          <w:p>
            <w:pPr>
              <w:widowControl w:val="0"/>
              <w:spacing w:line="360" w:lineRule="auto"/>
              <w:jc w:val="center"/>
              <w:outlineLvl w:val="1"/>
              <w:rPr>
                <w:rFonts w:hint="default" w:ascii="Times New Roman" w:hAnsi="Times New Roman" w:eastAsia="宋体" w:cs="Times New Roman"/>
                <w:color w:val="000000"/>
                <w:spacing w:val="0"/>
                <w:sz w:val="13"/>
                <w:szCs w:val="13"/>
                <w:highlight w:val="none"/>
                <w:lang w:val="en-US" w:eastAsia="zh-CN" w:bidi="ar"/>
              </w:rPr>
            </w:pPr>
            <w:r>
              <w:rPr>
                <w:rFonts w:hint="default" w:ascii="Times New Roman" w:hAnsi="Times New Roman" w:eastAsia="宋体" w:cs="Times New Roman"/>
                <w:color w:val="000000"/>
                <w:spacing w:val="0"/>
                <w:sz w:val="15"/>
                <w:szCs w:val="15"/>
                <w:highlight w:val="none"/>
                <w:lang w:val="en-US" w:eastAsia="zh-CN" w:bidi="ar"/>
              </w:rPr>
              <w:t>潜油保护器</w:t>
            </w:r>
          </w:p>
        </w:tc>
        <w:tc>
          <w:tcPr>
            <w:tcW w:w="3827" w:type="dxa"/>
            <w:vAlign w:val="center"/>
          </w:tcPr>
          <w:p>
            <w:pPr>
              <w:keepNext w:val="0"/>
              <w:keepLines w:val="0"/>
              <w:widowControl/>
              <w:suppressLineNumbers w:val="0"/>
              <w:jc w:val="both"/>
              <w:textAlignment w:val="center"/>
              <w:rPr>
                <w:rFonts w:hint="default" w:ascii="Times New Roman" w:hAnsi="Times New Roman" w:eastAsia="宋体" w:cs="Times New Roman"/>
                <w:color w:val="000000"/>
                <w:kern w:val="0"/>
                <w:sz w:val="13"/>
                <w:szCs w:val="13"/>
                <w:highlight w:val="none"/>
                <w:lang w:eastAsia="zh-CN" w:bidi="ar"/>
              </w:rPr>
            </w:pPr>
            <w:r>
              <w:rPr>
                <w:rFonts w:hint="default" w:ascii="Times New Roman" w:hAnsi="Times New Roman" w:eastAsia="宋体" w:cs="Times New Roman"/>
                <w:i w:val="0"/>
                <w:iCs w:val="0"/>
                <w:color w:val="000000"/>
                <w:kern w:val="0"/>
                <w:sz w:val="15"/>
                <w:szCs w:val="15"/>
                <w:highlight w:val="none"/>
                <w:u w:val="none"/>
                <w:lang w:val="en-US" w:eastAsia="zh-CN" w:bidi="ar"/>
              </w:rPr>
              <w:t>BPR540-HS\BPBSL/BPBSL\高承载\180℃</w:t>
            </w:r>
          </w:p>
        </w:tc>
        <w:tc>
          <w:tcPr>
            <w:tcW w:w="851"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3"/>
                <w:szCs w:val="13"/>
                <w:highlight w:val="none"/>
                <w:lang w:eastAsia="zh-CN" w:bidi="ar"/>
              </w:rPr>
            </w:pPr>
            <w:r>
              <w:rPr>
                <w:rFonts w:hint="default" w:ascii="Times New Roman" w:hAnsi="Times New Roman" w:eastAsia="宋体" w:cs="Times New Roman"/>
                <w:i w:val="0"/>
                <w:iCs w:val="0"/>
                <w:color w:val="000000"/>
                <w:kern w:val="0"/>
                <w:sz w:val="15"/>
                <w:szCs w:val="15"/>
                <w:highlight w:val="none"/>
                <w:u w:val="none"/>
                <w:lang w:val="en-US" w:eastAsia="zh-CN" w:bidi="ar"/>
              </w:rPr>
              <w:t>件</w:t>
            </w:r>
          </w:p>
        </w:tc>
        <w:tc>
          <w:tcPr>
            <w:tcW w:w="752" w:type="dxa"/>
          </w:tcPr>
          <w:p>
            <w:pPr>
              <w:widowControl/>
              <w:jc w:val="center"/>
              <w:rPr>
                <w:rFonts w:hint="default" w:ascii="Times New Roman" w:hAnsi="Times New Roman" w:cs="Times New Roman" w:eastAsiaTheme="minorEastAsia"/>
                <w:kern w:val="0"/>
                <w:sz w:val="16"/>
                <w:szCs w:val="16"/>
                <w:highlight w:val="none"/>
                <w:lang w:eastAsia="zh-CN"/>
              </w:rPr>
            </w:pPr>
          </w:p>
        </w:tc>
      </w:tr>
    </w:tbl>
    <w:p>
      <w:pPr>
        <w:keepNext w:val="0"/>
        <w:keepLines w:val="0"/>
        <w:pageBreakBefore w:val="0"/>
        <w:widowControl w:val="0"/>
        <w:numPr>
          <w:ilvl w:val="0"/>
          <w:numId w:val="10"/>
        </w:numPr>
        <w:tabs>
          <w:tab w:val="left" w:pos="2020"/>
        </w:tabs>
        <w:kinsoku/>
        <w:wordWrap/>
        <w:overflowPunct/>
        <w:topLinePunct w:val="0"/>
        <w:bidi w:val="0"/>
        <w:snapToGrid/>
        <w:spacing w:line="360" w:lineRule="auto"/>
        <w:ind w:left="0" w:leftChars="0" w:right="0" w:rightChars="0" w:firstLine="420" w:firstLineChars="200"/>
        <w:jc w:val="left"/>
        <w:textAlignment w:val="auto"/>
        <w:rPr>
          <w:rFonts w:hint="default" w:ascii="Times New Roman" w:hAnsi="Times New Roman" w:cs="Times New Roman" w:eastAsiaTheme="minorEastAsia"/>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bidi="ar-SA"/>
        </w:rPr>
        <w:t>保护器为 338、400和540 系列，型号为 BPBSL+BPBSL串接。</w:t>
      </w:r>
    </w:p>
    <w:p>
      <w:pPr>
        <w:keepNext w:val="0"/>
        <w:keepLines w:val="0"/>
        <w:pageBreakBefore w:val="0"/>
        <w:widowControl w:val="0"/>
        <w:numPr>
          <w:ilvl w:val="0"/>
          <w:numId w:val="10"/>
        </w:numPr>
        <w:tabs>
          <w:tab w:val="left" w:pos="2020"/>
        </w:tabs>
        <w:kinsoku/>
        <w:wordWrap/>
        <w:overflowPunct/>
        <w:topLinePunct w:val="0"/>
        <w:bidi w:val="0"/>
        <w:snapToGrid/>
        <w:spacing w:line="360" w:lineRule="auto"/>
        <w:ind w:left="0" w:leftChars="0" w:right="0" w:rightChars="0" w:firstLine="420" w:firstLineChars="200"/>
        <w:jc w:val="left"/>
        <w:textAlignment w:val="auto"/>
        <w:rPr>
          <w:rFonts w:hint="default" w:ascii="Times New Roman" w:hAnsi="Times New Roman" w:cs="Times New Roman" w:eastAsiaTheme="minorEastAsia"/>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bidi="ar-SA"/>
        </w:rPr>
        <w:t>适用井温：180℃，本体耐温等级204℃；</w:t>
      </w:r>
    </w:p>
    <w:p>
      <w:pPr>
        <w:keepNext w:val="0"/>
        <w:keepLines w:val="0"/>
        <w:pageBreakBefore w:val="0"/>
        <w:widowControl w:val="0"/>
        <w:numPr>
          <w:ilvl w:val="0"/>
          <w:numId w:val="10"/>
        </w:numPr>
        <w:tabs>
          <w:tab w:val="left" w:pos="2020"/>
        </w:tabs>
        <w:kinsoku/>
        <w:wordWrap/>
        <w:overflowPunct/>
        <w:topLinePunct w:val="0"/>
        <w:bidi w:val="0"/>
        <w:snapToGrid/>
        <w:spacing w:line="360" w:lineRule="auto"/>
        <w:ind w:left="0" w:leftChars="0" w:right="0" w:rightChars="0" w:firstLine="420" w:firstLineChars="200"/>
        <w:jc w:val="left"/>
        <w:textAlignment w:val="auto"/>
        <w:rPr>
          <w:rFonts w:hint="default" w:ascii="Times New Roman" w:hAnsi="Times New Roman" w:cs="Times New Roman" w:eastAsiaTheme="minorEastAsia"/>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bidi="ar-SA"/>
        </w:rPr>
        <w:t>保护器采用双节高承载止推轴承。为满足高转速要求，338系列保护器轴向承载力≥1.3吨；400系列保护器轴向承载力≥2.5吨.540系列保护器轴向承载力≥5吨。</w:t>
      </w:r>
    </w:p>
    <w:p>
      <w:pPr>
        <w:keepNext w:val="0"/>
        <w:keepLines w:val="0"/>
        <w:pageBreakBefore w:val="0"/>
        <w:widowControl w:val="0"/>
        <w:numPr>
          <w:ilvl w:val="0"/>
          <w:numId w:val="10"/>
        </w:numPr>
        <w:tabs>
          <w:tab w:val="left" w:pos="2020"/>
        </w:tabs>
        <w:kinsoku/>
        <w:wordWrap/>
        <w:overflowPunct/>
        <w:topLinePunct w:val="0"/>
        <w:bidi w:val="0"/>
        <w:snapToGrid/>
        <w:spacing w:line="360" w:lineRule="auto"/>
        <w:ind w:left="0" w:leftChars="0" w:right="0" w:rightChars="0" w:firstLine="400" w:firstLineChars="200"/>
        <w:jc w:val="left"/>
        <w:textAlignment w:val="auto"/>
        <w:rPr>
          <w:rFonts w:hint="default" w:ascii="Times New Roman" w:hAnsi="Times New Roman" w:cs="Times New Roman" w:eastAsiaTheme="minorEastAsia"/>
          <w:sz w:val="21"/>
          <w:szCs w:val="21"/>
          <w:highlight w:val="none"/>
          <w:lang w:val="en-US" w:eastAsia="zh-CN" w:bidi="ar-SA"/>
        </w:rPr>
      </w:pPr>
      <w:r>
        <w:rPr>
          <w:rFonts w:hint="default" w:ascii="Segoe UI Symbol" w:hAnsi="Segoe UI Symbol" w:eastAsia="宋体" w:cs="Segoe UI Symbol"/>
          <w:sz w:val="20"/>
          <w:szCs w:val="20"/>
          <w:lang w:val="en-US" w:eastAsia="zh-CN" w:bidi="ar-SA"/>
        </w:rPr>
        <w:t>★</w:t>
      </w:r>
      <w:r>
        <w:rPr>
          <w:rFonts w:hint="default" w:ascii="Times New Roman" w:hAnsi="Times New Roman" w:cs="Times New Roman" w:eastAsiaTheme="minorEastAsia"/>
          <w:sz w:val="21"/>
          <w:szCs w:val="21"/>
          <w:highlight w:val="none"/>
          <w:lang w:val="en-US" w:eastAsia="zh-CN" w:bidi="ar-SA"/>
        </w:rPr>
        <w:t>保护器在额定同步转速为3600-4200rpm区间内具备稳定运行的能力，提供额定负载下转速3600rpm及4200rpm下的出厂测试报告。</w:t>
      </w:r>
    </w:p>
    <w:p>
      <w:pPr>
        <w:keepNext w:val="0"/>
        <w:keepLines w:val="0"/>
        <w:pageBreakBefore w:val="0"/>
        <w:widowControl w:val="0"/>
        <w:numPr>
          <w:ilvl w:val="0"/>
          <w:numId w:val="10"/>
        </w:numPr>
        <w:tabs>
          <w:tab w:val="left" w:pos="2020"/>
        </w:tabs>
        <w:kinsoku/>
        <w:wordWrap/>
        <w:overflowPunct/>
        <w:topLinePunct w:val="0"/>
        <w:bidi w:val="0"/>
        <w:snapToGrid/>
        <w:spacing w:line="360" w:lineRule="auto"/>
        <w:ind w:left="0" w:leftChars="0" w:right="0" w:rightChars="0" w:firstLine="420" w:firstLineChars="200"/>
        <w:jc w:val="left"/>
        <w:textAlignment w:val="auto"/>
        <w:rPr>
          <w:rFonts w:hint="default" w:ascii="Times New Roman" w:hAnsi="Times New Roman" w:cs="Times New Roman" w:eastAsiaTheme="minorEastAsia"/>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bidi="ar-SA"/>
        </w:rPr>
        <w:t>保护器密封圈及胶囊采用AFLAS，耐温不低于204℃，并提供AFLAS材质报告。</w:t>
      </w:r>
    </w:p>
    <w:p>
      <w:pPr>
        <w:keepNext w:val="0"/>
        <w:keepLines w:val="0"/>
        <w:pageBreakBefore w:val="0"/>
        <w:widowControl w:val="0"/>
        <w:numPr>
          <w:ilvl w:val="0"/>
          <w:numId w:val="10"/>
        </w:numPr>
        <w:tabs>
          <w:tab w:val="left" w:pos="2020"/>
        </w:tabs>
        <w:kinsoku/>
        <w:wordWrap/>
        <w:overflowPunct/>
        <w:topLinePunct w:val="0"/>
        <w:bidi w:val="0"/>
        <w:snapToGrid/>
        <w:spacing w:line="360" w:lineRule="auto"/>
        <w:ind w:left="0" w:leftChars="0" w:right="0" w:rightChars="0" w:firstLine="420" w:firstLineChars="200"/>
        <w:jc w:val="left"/>
        <w:textAlignment w:val="auto"/>
        <w:rPr>
          <w:rFonts w:hint="default" w:ascii="Times New Roman" w:hAnsi="Times New Roman" w:cs="Times New Roman" w:eastAsiaTheme="minorEastAsia"/>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bidi="ar-SA"/>
        </w:rPr>
        <w:t>潜油保护器外观完好，目测无变形、无锈蚀。运输帽螺栓必须齐全并旋紧。</w:t>
      </w:r>
    </w:p>
    <w:p>
      <w:pPr>
        <w:keepNext w:val="0"/>
        <w:keepLines w:val="0"/>
        <w:pageBreakBefore w:val="0"/>
        <w:widowControl w:val="0"/>
        <w:numPr>
          <w:ilvl w:val="0"/>
          <w:numId w:val="10"/>
        </w:numPr>
        <w:tabs>
          <w:tab w:val="left" w:pos="2020"/>
        </w:tabs>
        <w:kinsoku/>
        <w:wordWrap/>
        <w:overflowPunct/>
        <w:topLinePunct w:val="0"/>
        <w:bidi w:val="0"/>
        <w:snapToGrid/>
        <w:spacing w:line="360" w:lineRule="auto"/>
        <w:ind w:left="0" w:leftChars="0" w:right="0" w:rightChars="0" w:firstLine="420" w:firstLineChars="200"/>
        <w:jc w:val="left"/>
        <w:textAlignment w:val="auto"/>
        <w:rPr>
          <w:rFonts w:hint="default" w:ascii="Times New Roman" w:hAnsi="Times New Roman" w:cs="Times New Roman" w:eastAsiaTheme="minorEastAsia"/>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bidi="ar-SA"/>
        </w:rPr>
        <w:t>潜油保护器水平状态盘轴应滑快无阻滞，盘轴力矩不大于7.5N.m/节。</w:t>
      </w:r>
    </w:p>
    <w:p>
      <w:pPr>
        <w:keepNext w:val="0"/>
        <w:keepLines w:val="0"/>
        <w:pageBreakBefore w:val="0"/>
        <w:widowControl w:val="0"/>
        <w:numPr>
          <w:ilvl w:val="0"/>
          <w:numId w:val="10"/>
        </w:numPr>
        <w:tabs>
          <w:tab w:val="left" w:pos="2020"/>
        </w:tabs>
        <w:kinsoku/>
        <w:wordWrap/>
        <w:overflowPunct/>
        <w:topLinePunct w:val="0"/>
        <w:bidi w:val="0"/>
        <w:snapToGrid/>
        <w:spacing w:line="360" w:lineRule="auto"/>
        <w:ind w:left="0" w:leftChars="0" w:right="0" w:rightChars="0" w:firstLine="400" w:firstLineChars="200"/>
        <w:jc w:val="left"/>
        <w:textAlignment w:val="auto"/>
        <w:rPr>
          <w:rFonts w:hint="default" w:ascii="Times New Roman" w:hAnsi="Times New Roman" w:cs="Times New Roman" w:eastAsiaTheme="minorEastAsia"/>
          <w:sz w:val="21"/>
          <w:szCs w:val="21"/>
          <w:highlight w:val="none"/>
          <w:lang w:val="en-US" w:eastAsia="zh-CN" w:bidi="ar-SA"/>
        </w:rPr>
      </w:pPr>
      <w:r>
        <w:rPr>
          <w:rFonts w:hint="default" w:ascii="Segoe UI Symbol" w:hAnsi="Segoe UI Symbol" w:eastAsia="宋体" w:cs="Segoe UI Symbol"/>
          <w:sz w:val="20"/>
          <w:szCs w:val="20"/>
          <w:lang w:val="en-US" w:eastAsia="zh-CN" w:bidi="ar-SA"/>
        </w:rPr>
        <w:t>★</w:t>
      </w:r>
      <w:r>
        <w:rPr>
          <w:rFonts w:hint="default" w:ascii="Times New Roman" w:hAnsi="Times New Roman" w:cs="Times New Roman" w:eastAsiaTheme="minorEastAsia"/>
          <w:sz w:val="21"/>
          <w:szCs w:val="21"/>
          <w:highlight w:val="none"/>
          <w:lang w:val="en-US" w:eastAsia="zh-CN" w:bidi="ar-SA"/>
        </w:rPr>
        <w:t>潜油保护器上下连接头尺寸及轴头窜量应满足《机械采油分公司潜油电泵产品接口参数明细》（见附件一）文件要求。</w:t>
      </w:r>
    </w:p>
    <w:p>
      <w:pPr>
        <w:keepNext w:val="0"/>
        <w:keepLines w:val="0"/>
        <w:pageBreakBefore w:val="0"/>
        <w:widowControl w:val="0"/>
        <w:numPr>
          <w:ilvl w:val="0"/>
          <w:numId w:val="10"/>
        </w:numPr>
        <w:tabs>
          <w:tab w:val="left" w:pos="2020"/>
        </w:tabs>
        <w:kinsoku/>
        <w:wordWrap/>
        <w:overflowPunct/>
        <w:topLinePunct w:val="0"/>
        <w:bidi w:val="0"/>
        <w:snapToGrid/>
        <w:spacing w:line="360" w:lineRule="auto"/>
        <w:ind w:left="0" w:leftChars="0" w:right="0" w:rightChars="0" w:firstLine="420" w:firstLineChars="200"/>
        <w:jc w:val="left"/>
        <w:textAlignment w:val="auto"/>
        <w:rPr>
          <w:rFonts w:hint="default" w:ascii="Times New Roman" w:hAnsi="Times New Roman" w:cs="Times New Roman" w:eastAsiaTheme="minorEastAsia"/>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bidi="ar-SA"/>
        </w:rPr>
        <w:t>潜油保护器本体上应有清晰牢固的产品标识及相关信息，包括不限于：产品名称及型号，出厂日期和产品出厂编号，重量，长度，制造厂名称、地址。非常规产品（防腐、防砂等）应进行标识。</w:t>
      </w:r>
    </w:p>
    <w:p>
      <w:pPr>
        <w:keepNext w:val="0"/>
        <w:keepLines w:val="0"/>
        <w:pageBreakBefore w:val="0"/>
        <w:widowControl w:val="0"/>
        <w:numPr>
          <w:ilvl w:val="0"/>
          <w:numId w:val="10"/>
        </w:numPr>
        <w:tabs>
          <w:tab w:val="left" w:pos="2020"/>
        </w:tabs>
        <w:kinsoku/>
        <w:wordWrap/>
        <w:overflowPunct/>
        <w:topLinePunct w:val="0"/>
        <w:bidi w:val="0"/>
        <w:snapToGrid/>
        <w:spacing w:line="360" w:lineRule="auto"/>
        <w:ind w:left="0" w:leftChars="0" w:right="0" w:rightChars="0" w:firstLine="420" w:firstLineChars="200"/>
        <w:jc w:val="left"/>
        <w:textAlignment w:val="auto"/>
        <w:rPr>
          <w:rFonts w:hint="default" w:ascii="Times New Roman" w:hAnsi="Times New Roman" w:cs="Times New Roman" w:eastAsiaTheme="minorEastAsia"/>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bidi="ar-SA"/>
        </w:rPr>
        <w:t>整机连接全部采用内外六角螺钉，采用法兰形式连接。</w:t>
      </w:r>
    </w:p>
    <w:p>
      <w:pPr>
        <w:keepNext w:val="0"/>
        <w:keepLines w:val="0"/>
        <w:pageBreakBefore w:val="0"/>
        <w:widowControl w:val="0"/>
        <w:numPr>
          <w:ilvl w:val="0"/>
          <w:numId w:val="10"/>
        </w:numPr>
        <w:tabs>
          <w:tab w:val="left" w:pos="2020"/>
        </w:tabs>
        <w:kinsoku/>
        <w:wordWrap/>
        <w:overflowPunct/>
        <w:topLinePunct w:val="0"/>
        <w:bidi w:val="0"/>
        <w:snapToGrid/>
        <w:spacing w:line="360" w:lineRule="auto"/>
        <w:ind w:left="0" w:leftChars="0" w:right="0" w:rightChars="0" w:firstLine="420" w:firstLineChars="200"/>
        <w:jc w:val="left"/>
        <w:textAlignment w:val="auto"/>
        <w:rPr>
          <w:rFonts w:hint="default" w:ascii="Times New Roman" w:hAnsi="Times New Roman" w:cs="Times New Roman" w:eastAsiaTheme="minorEastAsia"/>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bidi="ar-SA"/>
        </w:rPr>
        <w:t>保护器轴材质</w:t>
      </w:r>
      <w:r>
        <w:rPr>
          <w:rFonts w:hint="default" w:ascii="Times New Roman" w:hAnsi="Times New Roman" w:eastAsia="Microsoft YaHei UI" w:cs="Times New Roman"/>
          <w:sz w:val="21"/>
          <w:szCs w:val="21"/>
          <w:highlight w:val="none"/>
          <w:lang w:val="en-US" w:eastAsia="zh-CN" w:bidi="ar-SA"/>
        </w:rPr>
        <w:t>Inconel 718</w:t>
      </w:r>
      <w:r>
        <w:rPr>
          <w:rFonts w:hint="default" w:ascii="Times New Roman" w:hAnsi="Times New Roman" w:cs="Times New Roman" w:eastAsiaTheme="minorEastAsia"/>
          <w:sz w:val="21"/>
          <w:szCs w:val="21"/>
          <w:highlight w:val="none"/>
          <w:lang w:val="en-US" w:eastAsia="zh-CN" w:bidi="ar-SA"/>
        </w:rPr>
        <w:t>，头座为45号钢材质,壳体为45号钢材质，送货文件应提供材质化学成分及机械性能检测报告，并注明炉号等可追溯性标识信息。</w:t>
      </w:r>
    </w:p>
    <w:p>
      <w:pPr>
        <w:keepNext w:val="0"/>
        <w:keepLines w:val="0"/>
        <w:pageBreakBefore w:val="0"/>
        <w:widowControl w:val="0"/>
        <w:kinsoku/>
        <w:wordWrap/>
        <w:overflowPunct/>
        <w:topLinePunct w:val="0"/>
        <w:autoSpaceDE w:val="0"/>
        <w:autoSpaceDN w:val="0"/>
        <w:bidi w:val="0"/>
        <w:adjustRightInd w:val="0"/>
        <w:snapToGrid/>
        <w:ind w:right="0" w:rightChars="0"/>
        <w:jc w:val="left"/>
        <w:textAlignment w:val="auto"/>
        <w:rPr>
          <w:rFonts w:hint="default" w:ascii="Times New Roman" w:hAnsi="Times New Roman" w:cs="Times New Roman" w:eastAsiaTheme="minorEastAsia"/>
          <w:kern w:val="0"/>
          <w:sz w:val="21"/>
          <w:szCs w:val="21"/>
          <w:highlight w:val="none"/>
          <w:lang w:val="en-US" w:eastAsia="zh-CN" w:bidi="ar-SA"/>
        </w:rPr>
      </w:pPr>
      <w:r>
        <w:rPr>
          <w:rFonts w:hint="default" w:ascii="Times New Roman" w:hAnsi="Times New Roman" w:cs="Times New Roman" w:eastAsiaTheme="minorEastAsia"/>
          <w:kern w:val="0"/>
          <w:sz w:val="21"/>
          <w:szCs w:val="21"/>
          <w:highlight w:val="none"/>
          <w:lang w:val="en-US" w:eastAsia="zh-CN" w:bidi="ar-SA"/>
        </w:rPr>
        <w:t>轴用Inconel 718材质应满足</w:t>
      </w:r>
    </w:p>
    <w:tbl>
      <w:tblPr>
        <w:tblStyle w:val="11"/>
        <w:tblpPr w:leftFromText="180" w:rightFromText="180" w:vertAnchor="text" w:horzAnchor="margin" w:tblpY="217"/>
        <w:tblOverlap w:val="never"/>
        <w:tblW w:w="5000" w:type="pct"/>
        <w:tblInd w:w="0" w:type="dxa"/>
        <w:tblLayout w:type="autofit"/>
        <w:tblCellMar>
          <w:top w:w="0" w:type="dxa"/>
          <w:left w:w="108" w:type="dxa"/>
          <w:bottom w:w="0" w:type="dxa"/>
          <w:right w:w="108" w:type="dxa"/>
        </w:tblCellMar>
      </w:tblPr>
      <w:tblGrid>
        <w:gridCol w:w="317"/>
        <w:gridCol w:w="559"/>
        <w:gridCol w:w="449"/>
        <w:gridCol w:w="449"/>
        <w:gridCol w:w="449"/>
        <w:gridCol w:w="499"/>
        <w:gridCol w:w="499"/>
        <w:gridCol w:w="727"/>
        <w:gridCol w:w="727"/>
        <w:gridCol w:w="626"/>
        <w:gridCol w:w="449"/>
        <w:gridCol w:w="449"/>
        <w:gridCol w:w="317"/>
        <w:gridCol w:w="626"/>
        <w:gridCol w:w="499"/>
        <w:gridCol w:w="499"/>
        <w:gridCol w:w="627"/>
      </w:tblGrid>
      <w:tr>
        <w:tblPrEx>
          <w:tblCellMar>
            <w:top w:w="0" w:type="dxa"/>
            <w:left w:w="108" w:type="dxa"/>
            <w:bottom w:w="0" w:type="dxa"/>
            <w:right w:w="108" w:type="dxa"/>
          </w:tblCellMar>
        </w:tblPrEx>
        <w:trPr>
          <w:trHeight w:val="807" w:hRule="atLeast"/>
        </w:trPr>
        <w:tc>
          <w:tcPr>
            <w:tcW w:w="189" w:type="pct"/>
            <w:tcBorders>
              <w:top w:val="single" w:color="auto" w:sz="12" w:space="0"/>
              <w:left w:val="single" w:color="auto" w:sz="12" w:space="0"/>
              <w:bottom w:val="single" w:color="000000" w:sz="8"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序号</w:t>
            </w:r>
          </w:p>
        </w:tc>
        <w:tc>
          <w:tcPr>
            <w:tcW w:w="326" w:type="pct"/>
            <w:tcBorders>
              <w:top w:val="single" w:color="auto" w:sz="12" w:space="0"/>
              <w:left w:val="single" w:color="000000" w:sz="8" w:space="0"/>
              <w:bottom w:val="single" w:color="000000" w:sz="8"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牌号名称</w:t>
            </w:r>
          </w:p>
        </w:tc>
        <w:tc>
          <w:tcPr>
            <w:tcW w:w="4485" w:type="pct"/>
            <w:gridSpan w:val="15"/>
            <w:tcBorders>
              <w:top w:val="single" w:color="auto" w:sz="12" w:space="0"/>
              <w:left w:val="single" w:color="000000" w:sz="8" w:space="0"/>
              <w:bottom w:val="single" w:color="000000" w:sz="8" w:space="0"/>
              <w:right w:val="single" w:color="auto" w:sz="12" w:space="0"/>
            </w:tcBorders>
            <w:vAlign w:val="center"/>
          </w:tcPr>
          <w:p>
            <w:pPr>
              <w:jc w:val="left"/>
              <w:rPr>
                <w:rFonts w:hint="default" w:ascii="Times New Roman" w:hAnsi="Times New Roman" w:cs="Times New Roman" w:eastAsiaTheme="minorEastAsia"/>
                <w:kern w:val="0"/>
                <w:sz w:val="13"/>
                <w:szCs w:val="13"/>
                <w:highlight w:val="none"/>
                <w:lang w:eastAsia="zh-CN"/>
              </w:rPr>
            </w:pPr>
            <w:r>
              <w:rPr>
                <w:rFonts w:hint="default" w:ascii="Times New Roman" w:hAnsi="Times New Roman" w:cs="Times New Roman" w:eastAsiaTheme="minorEastAsia"/>
                <w:kern w:val="0"/>
                <w:sz w:val="13"/>
                <w:szCs w:val="13"/>
                <w:highlight w:val="none"/>
                <w:lang w:eastAsia="zh-CN"/>
              </w:rPr>
              <w:t>化学成分（质量分数）%</w:t>
            </w:r>
          </w:p>
        </w:tc>
      </w:tr>
      <w:tr>
        <w:tblPrEx>
          <w:tblCellMar>
            <w:top w:w="0" w:type="dxa"/>
            <w:left w:w="108" w:type="dxa"/>
            <w:bottom w:w="0" w:type="dxa"/>
            <w:right w:w="108" w:type="dxa"/>
          </w:tblCellMar>
        </w:tblPrEx>
        <w:trPr>
          <w:trHeight w:val="425" w:hRule="atLeast"/>
        </w:trPr>
        <w:tc>
          <w:tcPr>
            <w:tcW w:w="189" w:type="pct"/>
            <w:tcBorders>
              <w:top w:val="nil"/>
              <w:left w:val="single" w:color="auto" w:sz="12" w:space="0"/>
              <w:bottom w:val="single" w:color="000000" w:sz="8"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zh-CN"/>
              </w:rPr>
            </w:pPr>
          </w:p>
        </w:tc>
        <w:tc>
          <w:tcPr>
            <w:tcW w:w="326" w:type="pct"/>
            <w:tcBorders>
              <w:top w:val="nil"/>
              <w:left w:val="single" w:color="000000" w:sz="8" w:space="0"/>
              <w:bottom w:val="single" w:color="000000" w:sz="8"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zh-CN"/>
              </w:rPr>
            </w:pPr>
          </w:p>
        </w:tc>
        <w:tc>
          <w:tcPr>
            <w:tcW w:w="238" w:type="pct"/>
            <w:tcBorders>
              <w:top w:val="nil"/>
              <w:left w:val="single" w:color="000000" w:sz="8" w:space="0"/>
              <w:bottom w:val="single" w:color="000000" w:sz="8"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C</w:t>
            </w:r>
          </w:p>
        </w:tc>
        <w:tc>
          <w:tcPr>
            <w:tcW w:w="238" w:type="pct"/>
            <w:tcBorders>
              <w:top w:val="single" w:color="000000" w:sz="8" w:space="0"/>
              <w:left w:val="single" w:color="000000" w:sz="8" w:space="0"/>
              <w:bottom w:val="single" w:color="000000" w:sz="8"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Si</w:t>
            </w:r>
          </w:p>
        </w:tc>
        <w:tc>
          <w:tcPr>
            <w:tcW w:w="238" w:type="pct"/>
            <w:tcBorders>
              <w:top w:val="single" w:color="000000" w:sz="8" w:space="0"/>
              <w:left w:val="single" w:color="000000" w:sz="8" w:space="0"/>
              <w:bottom w:val="single" w:color="000000" w:sz="8"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Mn</w:t>
            </w:r>
          </w:p>
        </w:tc>
        <w:tc>
          <w:tcPr>
            <w:tcW w:w="269" w:type="pct"/>
            <w:tcBorders>
              <w:top w:val="single" w:color="000000" w:sz="8" w:space="0"/>
              <w:left w:val="single" w:color="000000" w:sz="8" w:space="0"/>
              <w:bottom w:val="single" w:color="000000" w:sz="8"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P</w:t>
            </w:r>
          </w:p>
        </w:tc>
        <w:tc>
          <w:tcPr>
            <w:tcW w:w="269" w:type="pct"/>
            <w:tcBorders>
              <w:top w:val="single" w:color="000000" w:sz="8" w:space="0"/>
              <w:left w:val="single" w:color="000000" w:sz="8" w:space="0"/>
              <w:bottom w:val="single" w:color="000000" w:sz="8"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S</w:t>
            </w:r>
          </w:p>
        </w:tc>
        <w:tc>
          <w:tcPr>
            <w:tcW w:w="444" w:type="pct"/>
            <w:tcBorders>
              <w:top w:val="single" w:color="000000" w:sz="8" w:space="0"/>
              <w:left w:val="single" w:color="000000" w:sz="8" w:space="0"/>
              <w:bottom w:val="single" w:color="000000" w:sz="8"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Cr</w:t>
            </w:r>
          </w:p>
        </w:tc>
        <w:tc>
          <w:tcPr>
            <w:tcW w:w="444" w:type="pct"/>
            <w:tcBorders>
              <w:top w:val="single" w:color="000000" w:sz="8" w:space="0"/>
              <w:left w:val="single" w:color="000000" w:sz="8" w:space="0"/>
              <w:bottom w:val="single" w:color="000000" w:sz="8"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Ni</w:t>
            </w:r>
          </w:p>
        </w:tc>
        <w:tc>
          <w:tcPr>
            <w:tcW w:w="380" w:type="pct"/>
            <w:tcBorders>
              <w:top w:val="single" w:color="000000" w:sz="8" w:space="0"/>
              <w:left w:val="single" w:color="000000" w:sz="8" w:space="0"/>
              <w:bottom w:val="single" w:color="000000" w:sz="8"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MO</w:t>
            </w:r>
          </w:p>
        </w:tc>
        <w:tc>
          <w:tcPr>
            <w:tcW w:w="238" w:type="pct"/>
            <w:tcBorders>
              <w:top w:val="single" w:color="000000" w:sz="8" w:space="0"/>
              <w:left w:val="single" w:color="000000" w:sz="8" w:space="0"/>
              <w:bottom w:val="single" w:color="000000" w:sz="8"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Co</w:t>
            </w:r>
          </w:p>
        </w:tc>
        <w:tc>
          <w:tcPr>
            <w:tcW w:w="238" w:type="pct"/>
            <w:tcBorders>
              <w:top w:val="single" w:color="000000" w:sz="8" w:space="0"/>
              <w:left w:val="single" w:color="000000" w:sz="8" w:space="0"/>
              <w:bottom w:val="single" w:color="000000" w:sz="8"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Cu</w:t>
            </w:r>
          </w:p>
        </w:tc>
        <w:tc>
          <w:tcPr>
            <w:tcW w:w="190" w:type="pct"/>
            <w:tcBorders>
              <w:top w:val="single" w:color="000000" w:sz="8" w:space="0"/>
              <w:left w:val="single" w:color="000000" w:sz="8" w:space="0"/>
              <w:bottom w:val="single" w:color="000000" w:sz="8"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Fe</w:t>
            </w:r>
          </w:p>
        </w:tc>
        <w:tc>
          <w:tcPr>
            <w:tcW w:w="380" w:type="pct"/>
            <w:tcBorders>
              <w:top w:val="single" w:color="000000" w:sz="8" w:space="0"/>
              <w:left w:val="single" w:color="000000" w:sz="8" w:space="0"/>
              <w:bottom w:val="single" w:color="000000" w:sz="8"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Al</w:t>
            </w:r>
          </w:p>
        </w:tc>
        <w:tc>
          <w:tcPr>
            <w:tcW w:w="269" w:type="pct"/>
            <w:tcBorders>
              <w:top w:val="single" w:color="000000" w:sz="8" w:space="0"/>
              <w:left w:val="single" w:color="000000" w:sz="8" w:space="0"/>
              <w:bottom w:val="single" w:color="000000" w:sz="8"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b</w:t>
            </w:r>
          </w:p>
        </w:tc>
        <w:tc>
          <w:tcPr>
            <w:tcW w:w="269" w:type="pct"/>
            <w:tcBorders>
              <w:top w:val="single" w:color="000000" w:sz="8" w:space="0"/>
              <w:left w:val="single" w:color="000000" w:sz="8" w:space="0"/>
              <w:bottom w:val="single" w:color="000000" w:sz="8"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Mg</w:t>
            </w:r>
          </w:p>
        </w:tc>
        <w:tc>
          <w:tcPr>
            <w:tcW w:w="380" w:type="pct"/>
            <w:tcBorders>
              <w:top w:val="single" w:color="000000" w:sz="8" w:space="0"/>
              <w:left w:val="single" w:color="000000" w:sz="8" w:space="0"/>
              <w:bottom w:val="single" w:color="000000" w:sz="8" w:space="0"/>
              <w:right w:val="single" w:color="auto" w:sz="12"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Nb</w:t>
            </w:r>
          </w:p>
        </w:tc>
      </w:tr>
      <w:tr>
        <w:tblPrEx>
          <w:tblCellMar>
            <w:top w:w="0" w:type="dxa"/>
            <w:left w:w="108" w:type="dxa"/>
            <w:bottom w:w="0" w:type="dxa"/>
            <w:right w:w="108" w:type="dxa"/>
          </w:tblCellMar>
        </w:tblPrEx>
        <w:trPr>
          <w:trHeight w:val="1022" w:hRule="atLeast"/>
        </w:trPr>
        <w:tc>
          <w:tcPr>
            <w:tcW w:w="189" w:type="pct"/>
            <w:tcBorders>
              <w:top w:val="nil"/>
              <w:left w:val="single" w:color="auto" w:sz="12" w:space="0"/>
              <w:bottom w:val="single" w:color="auto" w:sz="12"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1</w:t>
            </w:r>
          </w:p>
        </w:tc>
        <w:tc>
          <w:tcPr>
            <w:tcW w:w="326" w:type="pct"/>
            <w:tcBorders>
              <w:top w:val="nil"/>
              <w:left w:val="single" w:color="000000" w:sz="8" w:space="0"/>
              <w:bottom w:val="single" w:color="auto" w:sz="12"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CH4169</w:t>
            </w:r>
          </w:p>
        </w:tc>
        <w:tc>
          <w:tcPr>
            <w:tcW w:w="238" w:type="pct"/>
            <w:tcBorders>
              <w:top w:val="nil"/>
              <w:left w:val="single" w:color="000000" w:sz="8" w:space="0"/>
              <w:bottom w:val="single" w:color="auto" w:sz="12"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≤0.08</w:t>
            </w:r>
          </w:p>
        </w:tc>
        <w:tc>
          <w:tcPr>
            <w:tcW w:w="238" w:type="pct"/>
            <w:tcBorders>
              <w:top w:val="nil"/>
              <w:left w:val="single" w:color="000000" w:sz="8" w:space="0"/>
              <w:bottom w:val="single" w:color="auto" w:sz="12"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≤0.35</w:t>
            </w:r>
          </w:p>
        </w:tc>
        <w:tc>
          <w:tcPr>
            <w:tcW w:w="238" w:type="pct"/>
            <w:tcBorders>
              <w:top w:val="nil"/>
              <w:left w:val="single" w:color="000000" w:sz="8" w:space="0"/>
              <w:bottom w:val="single" w:color="auto" w:sz="12"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≤0.35</w:t>
            </w:r>
          </w:p>
        </w:tc>
        <w:tc>
          <w:tcPr>
            <w:tcW w:w="269" w:type="pct"/>
            <w:tcBorders>
              <w:top w:val="nil"/>
              <w:left w:val="single" w:color="000000" w:sz="8" w:space="0"/>
              <w:bottom w:val="single" w:color="auto" w:sz="12"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≤0.015</w:t>
            </w:r>
          </w:p>
        </w:tc>
        <w:tc>
          <w:tcPr>
            <w:tcW w:w="269" w:type="pct"/>
            <w:tcBorders>
              <w:top w:val="nil"/>
              <w:left w:val="single" w:color="000000" w:sz="8" w:space="0"/>
              <w:bottom w:val="single" w:color="auto" w:sz="12"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≤0.015</w:t>
            </w:r>
          </w:p>
        </w:tc>
        <w:tc>
          <w:tcPr>
            <w:tcW w:w="444" w:type="pct"/>
            <w:tcBorders>
              <w:top w:val="nil"/>
              <w:left w:val="single" w:color="000000" w:sz="8" w:space="0"/>
              <w:bottom w:val="single" w:color="auto" w:sz="12"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17.00~21.00</w:t>
            </w:r>
          </w:p>
        </w:tc>
        <w:tc>
          <w:tcPr>
            <w:tcW w:w="444" w:type="pct"/>
            <w:tcBorders>
              <w:top w:val="nil"/>
              <w:left w:val="single" w:color="000000" w:sz="8" w:space="0"/>
              <w:bottom w:val="single" w:color="auto" w:sz="12"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50.00~55.00</w:t>
            </w:r>
          </w:p>
        </w:tc>
        <w:tc>
          <w:tcPr>
            <w:tcW w:w="380" w:type="pct"/>
            <w:tcBorders>
              <w:top w:val="nil"/>
              <w:left w:val="single" w:color="000000" w:sz="8" w:space="0"/>
              <w:bottom w:val="single" w:color="auto" w:sz="12"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2.80~3.30</w:t>
            </w:r>
          </w:p>
        </w:tc>
        <w:tc>
          <w:tcPr>
            <w:tcW w:w="238" w:type="pct"/>
            <w:tcBorders>
              <w:top w:val="nil"/>
              <w:left w:val="single" w:color="000000" w:sz="8" w:space="0"/>
              <w:bottom w:val="single" w:color="auto" w:sz="12"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≤1.00</w:t>
            </w:r>
          </w:p>
        </w:tc>
        <w:tc>
          <w:tcPr>
            <w:tcW w:w="238" w:type="pct"/>
            <w:tcBorders>
              <w:top w:val="nil"/>
              <w:left w:val="single" w:color="000000" w:sz="8" w:space="0"/>
              <w:bottom w:val="single" w:color="auto" w:sz="12"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≤0.30</w:t>
            </w:r>
          </w:p>
        </w:tc>
        <w:tc>
          <w:tcPr>
            <w:tcW w:w="190" w:type="pct"/>
            <w:tcBorders>
              <w:top w:val="nil"/>
              <w:left w:val="single" w:color="000000" w:sz="8" w:space="0"/>
              <w:bottom w:val="single" w:color="auto" w:sz="12"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余</w:t>
            </w:r>
          </w:p>
        </w:tc>
        <w:tc>
          <w:tcPr>
            <w:tcW w:w="380" w:type="pct"/>
            <w:tcBorders>
              <w:top w:val="nil"/>
              <w:left w:val="single" w:color="000000" w:sz="8" w:space="0"/>
              <w:bottom w:val="single" w:color="auto" w:sz="12"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0.20~0.80</w:t>
            </w:r>
          </w:p>
        </w:tc>
        <w:tc>
          <w:tcPr>
            <w:tcW w:w="269" w:type="pct"/>
            <w:tcBorders>
              <w:top w:val="nil"/>
              <w:left w:val="single" w:color="000000" w:sz="8" w:space="0"/>
              <w:bottom w:val="single" w:color="auto" w:sz="12"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≤0.006</w:t>
            </w:r>
          </w:p>
        </w:tc>
        <w:tc>
          <w:tcPr>
            <w:tcW w:w="269" w:type="pct"/>
            <w:tcBorders>
              <w:top w:val="single" w:color="000000" w:sz="8" w:space="0"/>
              <w:left w:val="single" w:color="000000" w:sz="8" w:space="0"/>
              <w:bottom w:val="single" w:color="auto" w:sz="12"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≤0.010</w:t>
            </w:r>
          </w:p>
        </w:tc>
        <w:tc>
          <w:tcPr>
            <w:tcW w:w="380" w:type="pct"/>
            <w:tcBorders>
              <w:top w:val="single" w:color="000000" w:sz="8" w:space="0"/>
              <w:left w:val="single" w:color="000000" w:sz="8" w:space="0"/>
              <w:bottom w:val="single" w:color="auto" w:sz="12" w:space="0"/>
              <w:right w:val="single" w:color="auto" w:sz="12"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4.75~5.50</w:t>
            </w:r>
          </w:p>
        </w:tc>
      </w:tr>
      <w:tr>
        <w:tblPrEx>
          <w:tblCellMar>
            <w:top w:w="0" w:type="dxa"/>
            <w:left w:w="108" w:type="dxa"/>
            <w:bottom w:w="0" w:type="dxa"/>
            <w:right w:w="108" w:type="dxa"/>
          </w:tblCellMar>
        </w:tblPrEx>
        <w:trPr>
          <w:trHeight w:val="807" w:hRule="atLeast"/>
        </w:trPr>
        <w:tc>
          <w:tcPr>
            <w:tcW w:w="189" w:type="pct"/>
            <w:tcBorders>
              <w:top w:val="single" w:color="auto" w:sz="12" w:space="0"/>
              <w:left w:val="single" w:color="auto" w:sz="12" w:space="0"/>
              <w:bottom w:val="single" w:color="000000" w:sz="8"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序号</w:t>
            </w:r>
          </w:p>
        </w:tc>
        <w:tc>
          <w:tcPr>
            <w:tcW w:w="326" w:type="pct"/>
            <w:tcBorders>
              <w:top w:val="single" w:color="auto" w:sz="12" w:space="0"/>
              <w:left w:val="single" w:color="000000" w:sz="8" w:space="0"/>
              <w:bottom w:val="single" w:color="000000" w:sz="8"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牌号名称</w:t>
            </w:r>
          </w:p>
        </w:tc>
        <w:tc>
          <w:tcPr>
            <w:tcW w:w="3836" w:type="pct"/>
            <w:gridSpan w:val="13"/>
            <w:tcBorders>
              <w:top w:val="single" w:color="auto" w:sz="12" w:space="0"/>
              <w:left w:val="single" w:color="000000" w:sz="8" w:space="0"/>
              <w:bottom w:val="nil"/>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力学性能</w:t>
            </w:r>
          </w:p>
        </w:tc>
        <w:tc>
          <w:tcPr>
            <w:tcW w:w="269" w:type="pct"/>
            <w:tcBorders>
              <w:top w:val="single" w:color="auto" w:sz="12" w:space="0"/>
              <w:left w:val="single" w:color="000000" w:sz="8" w:space="0"/>
              <w:bottom w:val="nil"/>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p>
        </w:tc>
        <w:tc>
          <w:tcPr>
            <w:tcW w:w="380" w:type="pct"/>
            <w:tcBorders>
              <w:top w:val="single" w:color="auto" w:sz="12" w:space="0"/>
              <w:left w:val="single" w:color="000000" w:sz="8" w:space="0"/>
              <w:bottom w:val="nil"/>
              <w:right w:val="single" w:color="auto" w:sz="12" w:space="0"/>
            </w:tcBorders>
            <w:vAlign w:val="center"/>
          </w:tcPr>
          <w:p>
            <w:pPr>
              <w:jc w:val="left"/>
              <w:rPr>
                <w:rFonts w:hint="default" w:ascii="Times New Roman" w:hAnsi="Times New Roman" w:cs="Times New Roman" w:eastAsiaTheme="minorEastAsia"/>
                <w:kern w:val="0"/>
                <w:sz w:val="13"/>
                <w:szCs w:val="13"/>
                <w:highlight w:val="none"/>
                <w:lang w:eastAsia="en-US"/>
              </w:rPr>
            </w:pPr>
          </w:p>
        </w:tc>
      </w:tr>
      <w:tr>
        <w:tblPrEx>
          <w:tblCellMar>
            <w:top w:w="0" w:type="dxa"/>
            <w:left w:w="108" w:type="dxa"/>
            <w:bottom w:w="0" w:type="dxa"/>
            <w:right w:w="108" w:type="dxa"/>
          </w:tblCellMar>
        </w:tblPrEx>
        <w:trPr>
          <w:trHeight w:val="425" w:hRule="atLeast"/>
        </w:trPr>
        <w:tc>
          <w:tcPr>
            <w:tcW w:w="189" w:type="pct"/>
            <w:tcBorders>
              <w:top w:val="nil"/>
              <w:left w:val="single" w:color="auto" w:sz="12" w:space="0"/>
              <w:bottom w:val="single" w:color="000000" w:sz="8"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p>
        </w:tc>
        <w:tc>
          <w:tcPr>
            <w:tcW w:w="326" w:type="pct"/>
            <w:tcBorders>
              <w:top w:val="nil"/>
              <w:left w:val="single" w:color="000000" w:sz="8" w:space="0"/>
              <w:bottom w:val="single" w:color="000000" w:sz="8" w:space="0"/>
              <w:right w:val="nil"/>
            </w:tcBorders>
            <w:vAlign w:val="center"/>
          </w:tcPr>
          <w:p>
            <w:pPr>
              <w:jc w:val="left"/>
              <w:rPr>
                <w:rFonts w:hint="default" w:ascii="Times New Roman" w:hAnsi="Times New Roman" w:cs="Times New Roman" w:eastAsiaTheme="minorEastAsia"/>
                <w:kern w:val="0"/>
                <w:sz w:val="13"/>
                <w:szCs w:val="13"/>
                <w:highlight w:val="none"/>
                <w:lang w:eastAsia="en-US"/>
              </w:rPr>
            </w:pPr>
          </w:p>
        </w:tc>
        <w:tc>
          <w:tcPr>
            <w:tcW w:w="714" w:type="pct"/>
            <w:gridSpan w:val="3"/>
            <w:tcBorders>
              <w:top w:val="single" w:color="000000" w:sz="8" w:space="0"/>
              <w:left w:val="single" w:color="000000" w:sz="8" w:space="0"/>
              <w:bottom w:val="single" w:color="000000" w:sz="8" w:space="0"/>
              <w:right w:val="single" w:color="000000" w:sz="4"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抗拉强度Rm/MPa</w:t>
            </w:r>
          </w:p>
        </w:tc>
        <w:tc>
          <w:tcPr>
            <w:tcW w:w="1426" w:type="pct"/>
            <w:gridSpan w:val="4"/>
            <w:tcBorders>
              <w:top w:val="single" w:color="000000" w:sz="8" w:space="0"/>
              <w:left w:val="single" w:color="000000" w:sz="8" w:space="0"/>
              <w:bottom w:val="single" w:color="000000" w:sz="8" w:space="0"/>
              <w:right w:val="single" w:color="000000" w:sz="4"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硬度/HBW</w:t>
            </w:r>
          </w:p>
        </w:tc>
        <w:tc>
          <w:tcPr>
            <w:tcW w:w="1046" w:type="pct"/>
            <w:gridSpan w:val="4"/>
            <w:tcBorders>
              <w:top w:val="single" w:color="000000" w:sz="8" w:space="0"/>
              <w:left w:val="single" w:color="000000" w:sz="8" w:space="0"/>
              <w:bottom w:val="single" w:color="000000" w:sz="8" w:space="0"/>
              <w:right w:val="single" w:color="000000" w:sz="4"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断后伸长率A/%</w:t>
            </w:r>
          </w:p>
        </w:tc>
        <w:tc>
          <w:tcPr>
            <w:tcW w:w="1299" w:type="pct"/>
            <w:gridSpan w:val="4"/>
            <w:tcBorders>
              <w:top w:val="single" w:color="000000" w:sz="8" w:space="0"/>
              <w:left w:val="single" w:color="000000" w:sz="8" w:space="0"/>
              <w:bottom w:val="single" w:color="000000" w:sz="8" w:space="0"/>
              <w:right w:val="single" w:color="auto" w:sz="12"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断面收缩率Z/%</w:t>
            </w:r>
          </w:p>
        </w:tc>
      </w:tr>
      <w:tr>
        <w:tblPrEx>
          <w:tblCellMar>
            <w:top w:w="0" w:type="dxa"/>
            <w:left w:w="108" w:type="dxa"/>
            <w:bottom w:w="0" w:type="dxa"/>
            <w:right w:w="108" w:type="dxa"/>
          </w:tblCellMar>
        </w:tblPrEx>
        <w:trPr>
          <w:trHeight w:val="719" w:hRule="atLeast"/>
        </w:trPr>
        <w:tc>
          <w:tcPr>
            <w:tcW w:w="189" w:type="pct"/>
            <w:tcBorders>
              <w:top w:val="nil"/>
              <w:left w:val="single" w:color="auto" w:sz="12" w:space="0"/>
              <w:bottom w:val="single" w:color="auto" w:sz="12" w:space="0"/>
              <w:right w:val="single" w:color="000000" w:sz="8"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1</w:t>
            </w:r>
          </w:p>
        </w:tc>
        <w:tc>
          <w:tcPr>
            <w:tcW w:w="326" w:type="pct"/>
            <w:tcBorders>
              <w:top w:val="nil"/>
              <w:left w:val="single" w:color="000000" w:sz="8" w:space="0"/>
              <w:bottom w:val="single" w:color="auto" w:sz="12" w:space="0"/>
              <w:right w:val="nil"/>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CH4169</w:t>
            </w:r>
          </w:p>
        </w:tc>
        <w:tc>
          <w:tcPr>
            <w:tcW w:w="714" w:type="pct"/>
            <w:gridSpan w:val="3"/>
            <w:tcBorders>
              <w:top w:val="nil"/>
              <w:left w:val="single" w:color="000000" w:sz="8" w:space="0"/>
              <w:bottom w:val="single" w:color="auto" w:sz="12" w:space="0"/>
              <w:right w:val="single" w:color="000000" w:sz="4"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1270</w:t>
            </w:r>
          </w:p>
        </w:tc>
        <w:tc>
          <w:tcPr>
            <w:tcW w:w="1426" w:type="pct"/>
            <w:gridSpan w:val="4"/>
            <w:tcBorders>
              <w:top w:val="nil"/>
              <w:left w:val="single" w:color="000000" w:sz="8" w:space="0"/>
              <w:bottom w:val="single" w:color="auto" w:sz="12" w:space="0"/>
              <w:right w:val="single" w:color="000000" w:sz="4"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≥345</w:t>
            </w:r>
          </w:p>
        </w:tc>
        <w:tc>
          <w:tcPr>
            <w:tcW w:w="1046" w:type="pct"/>
            <w:gridSpan w:val="4"/>
            <w:tcBorders>
              <w:top w:val="nil"/>
              <w:left w:val="single" w:color="000000" w:sz="8" w:space="0"/>
              <w:bottom w:val="single" w:color="auto" w:sz="12" w:space="0"/>
              <w:right w:val="single" w:color="000000" w:sz="4"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12</w:t>
            </w:r>
          </w:p>
        </w:tc>
        <w:tc>
          <w:tcPr>
            <w:tcW w:w="1299" w:type="pct"/>
            <w:gridSpan w:val="4"/>
            <w:tcBorders>
              <w:top w:val="nil"/>
              <w:left w:val="nil"/>
              <w:bottom w:val="single" w:color="auto" w:sz="12" w:space="0"/>
              <w:right w:val="single" w:color="auto" w:sz="12" w:space="0"/>
            </w:tcBorders>
            <w:vAlign w:val="center"/>
          </w:tcPr>
          <w:p>
            <w:pPr>
              <w:jc w:val="left"/>
              <w:rPr>
                <w:rFonts w:hint="default" w:ascii="Times New Roman" w:hAnsi="Times New Roman" w:cs="Times New Roman" w:eastAsiaTheme="minorEastAsia"/>
                <w:kern w:val="0"/>
                <w:sz w:val="13"/>
                <w:szCs w:val="13"/>
                <w:highlight w:val="none"/>
                <w:lang w:eastAsia="en-US"/>
              </w:rPr>
            </w:pPr>
            <w:r>
              <w:rPr>
                <w:rFonts w:hint="default" w:ascii="Times New Roman" w:hAnsi="Times New Roman" w:cs="Times New Roman" w:eastAsiaTheme="minorEastAsia"/>
                <w:kern w:val="0"/>
                <w:sz w:val="13"/>
                <w:szCs w:val="13"/>
                <w:highlight w:val="none"/>
                <w:lang w:eastAsia="en-US"/>
              </w:rPr>
              <w:t>15</w:t>
            </w:r>
          </w:p>
        </w:tc>
      </w:tr>
    </w:tbl>
    <w:p>
      <w:pPr>
        <w:autoSpaceDE w:val="0"/>
        <w:autoSpaceDN w:val="0"/>
        <w:adjustRightInd w:val="0"/>
        <w:spacing w:line="360" w:lineRule="auto"/>
        <w:ind w:right="11"/>
        <w:jc w:val="left"/>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头座用45</w:t>
      </w:r>
      <w:r>
        <w:rPr>
          <w:rFonts w:hint="default" w:ascii="Times New Roman" w:hAnsi="Times New Roman" w:cs="Times New Roman" w:eastAsiaTheme="minorEastAsia"/>
          <w:color w:val="0D0D0D"/>
          <w:kern w:val="0"/>
          <w:sz w:val="16"/>
          <w:szCs w:val="16"/>
          <w:highlight w:val="none"/>
          <w:vertAlign w:val="superscript"/>
          <w:lang w:eastAsia="en-US"/>
        </w:rPr>
        <w:t>#</w:t>
      </w:r>
      <w:r>
        <w:rPr>
          <w:rFonts w:hint="default" w:ascii="Times New Roman" w:hAnsi="Times New Roman" w:cs="Times New Roman" w:eastAsiaTheme="minorEastAsia"/>
          <w:color w:val="0D0D0D"/>
          <w:kern w:val="0"/>
          <w:sz w:val="16"/>
          <w:szCs w:val="16"/>
          <w:highlight w:val="none"/>
          <w:lang w:eastAsia="en-US"/>
        </w:rPr>
        <w:t>钢材质应满足</w:t>
      </w:r>
    </w:p>
    <w:tbl>
      <w:tblPr>
        <w:tblStyle w:val="11"/>
        <w:tblW w:w="5000"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875"/>
        <w:gridCol w:w="1169"/>
        <w:gridCol w:w="1169"/>
        <w:gridCol w:w="1022"/>
        <w:gridCol w:w="879"/>
        <w:gridCol w:w="877"/>
        <w:gridCol w:w="730"/>
        <w:gridCol w:w="730"/>
        <w:gridCol w:w="7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34" w:type="pct"/>
            <w:vMerge w:val="restar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序号</w:t>
            </w:r>
          </w:p>
        </w:tc>
        <w:tc>
          <w:tcPr>
            <w:tcW w:w="499" w:type="pct"/>
            <w:vMerge w:val="restar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牌号</w:t>
            </w:r>
          </w:p>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名称</w:t>
            </w:r>
          </w:p>
        </w:tc>
        <w:tc>
          <w:tcPr>
            <w:tcW w:w="4167" w:type="pct"/>
            <w:gridSpan w:val="8"/>
          </w:tcPr>
          <w:p>
            <w:pPr>
              <w:ind w:right="11"/>
              <w:jc w:val="center"/>
              <w:rPr>
                <w:rFonts w:hint="default" w:ascii="Times New Roman" w:hAnsi="Times New Roman" w:cs="Times New Roman" w:eastAsiaTheme="minorEastAsia"/>
                <w:color w:val="0D0D0D"/>
                <w:kern w:val="0"/>
                <w:sz w:val="16"/>
                <w:szCs w:val="16"/>
                <w:highlight w:val="none"/>
                <w:lang w:eastAsia="zh-CN"/>
              </w:rPr>
            </w:pPr>
            <w:r>
              <w:rPr>
                <w:rFonts w:hint="default" w:ascii="Times New Roman" w:hAnsi="Times New Roman" w:cs="Times New Roman" w:eastAsiaTheme="minorEastAsia"/>
                <w:color w:val="0D0D0D"/>
                <w:kern w:val="0"/>
                <w:sz w:val="16"/>
                <w:szCs w:val="16"/>
                <w:highlight w:val="none"/>
                <w:lang w:eastAsia="zh-CN"/>
              </w:rPr>
              <w:t>化学成分（质量分数）%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334" w:type="pct"/>
            <w:vMerge w:val="continue"/>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zh-CN"/>
              </w:rPr>
            </w:pPr>
          </w:p>
        </w:tc>
        <w:tc>
          <w:tcPr>
            <w:tcW w:w="499" w:type="pct"/>
            <w:vMerge w:val="continue"/>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zh-CN"/>
              </w:rPr>
            </w:pPr>
          </w:p>
        </w:tc>
        <w:tc>
          <w:tcPr>
            <w:tcW w:w="667" w:type="pct"/>
            <w:vMerge w:val="restar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C</w:t>
            </w:r>
          </w:p>
        </w:tc>
        <w:tc>
          <w:tcPr>
            <w:tcW w:w="667" w:type="pct"/>
            <w:vMerge w:val="restar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Si</w:t>
            </w:r>
          </w:p>
        </w:tc>
        <w:tc>
          <w:tcPr>
            <w:tcW w:w="583" w:type="pct"/>
            <w:vMerge w:val="restar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Mn</w:t>
            </w:r>
          </w:p>
        </w:tc>
        <w:tc>
          <w:tcPr>
            <w:tcW w:w="501"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P</w:t>
            </w:r>
          </w:p>
        </w:tc>
        <w:tc>
          <w:tcPr>
            <w:tcW w:w="500"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S</w:t>
            </w:r>
          </w:p>
        </w:tc>
        <w:tc>
          <w:tcPr>
            <w:tcW w:w="417"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Cr</w:t>
            </w:r>
          </w:p>
        </w:tc>
        <w:tc>
          <w:tcPr>
            <w:tcW w:w="417"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Ni</w:t>
            </w:r>
          </w:p>
        </w:tc>
        <w:tc>
          <w:tcPr>
            <w:tcW w:w="415"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Cu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334" w:type="pct"/>
            <w:vMerge w:val="continue"/>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499" w:type="pct"/>
            <w:vMerge w:val="continue"/>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667" w:type="pct"/>
            <w:vMerge w:val="continue"/>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667" w:type="pct"/>
            <w:vMerge w:val="continue"/>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583" w:type="pct"/>
            <w:vMerge w:val="continue"/>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2249" w:type="pct"/>
            <w:gridSpan w:val="5"/>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不大于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34" w:type="pc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1</w:t>
            </w:r>
          </w:p>
        </w:tc>
        <w:tc>
          <w:tcPr>
            <w:tcW w:w="499" w:type="pc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45#</w:t>
            </w:r>
          </w:p>
        </w:tc>
        <w:tc>
          <w:tcPr>
            <w:tcW w:w="667"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0.42-0.5</w:t>
            </w:r>
          </w:p>
        </w:tc>
        <w:tc>
          <w:tcPr>
            <w:tcW w:w="667" w:type="pct"/>
            <w:vAlign w:val="center"/>
          </w:tcPr>
          <w:p>
            <w:pPr>
              <w:ind w:left="-107" w:leftChars="-51" w:right="-105" w:rightChars="-50"/>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0.17-0.37</w:t>
            </w:r>
          </w:p>
        </w:tc>
        <w:tc>
          <w:tcPr>
            <w:tcW w:w="583"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0.5-0.8</w:t>
            </w:r>
          </w:p>
        </w:tc>
        <w:tc>
          <w:tcPr>
            <w:tcW w:w="501"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0.035</w:t>
            </w:r>
          </w:p>
        </w:tc>
        <w:tc>
          <w:tcPr>
            <w:tcW w:w="500"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0.035</w:t>
            </w:r>
          </w:p>
        </w:tc>
        <w:tc>
          <w:tcPr>
            <w:tcW w:w="417"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0.25</w:t>
            </w:r>
          </w:p>
        </w:tc>
        <w:tc>
          <w:tcPr>
            <w:tcW w:w="417"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0.30</w:t>
            </w:r>
          </w:p>
        </w:tc>
        <w:tc>
          <w:tcPr>
            <w:tcW w:w="415"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0.20</w:t>
            </w:r>
          </w:p>
        </w:tc>
      </w:tr>
    </w:tbl>
    <w:p>
      <w:pPr>
        <w:ind w:left="425" w:right="11"/>
        <w:jc w:val="left"/>
        <w:rPr>
          <w:rFonts w:hint="default" w:ascii="Times New Roman" w:hAnsi="Times New Roman" w:cs="Times New Roman" w:eastAsiaTheme="minorEastAsia"/>
          <w:vanish/>
          <w:color w:val="0D0D0D"/>
          <w:kern w:val="0"/>
          <w:sz w:val="16"/>
          <w:szCs w:val="16"/>
          <w:highlight w:val="none"/>
          <w:lang w:eastAsia="en-US"/>
        </w:rPr>
      </w:pPr>
    </w:p>
    <w:tbl>
      <w:tblPr>
        <w:tblStyle w:val="11"/>
        <w:tblW w:w="4991"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3"/>
        <w:gridCol w:w="1460"/>
        <w:gridCol w:w="1759"/>
        <w:gridCol w:w="2435"/>
        <w:gridCol w:w="2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 w:type="pct"/>
            <w:vMerge w:val="restar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序号</w:t>
            </w:r>
          </w:p>
        </w:tc>
        <w:tc>
          <w:tcPr>
            <w:tcW w:w="834" w:type="pct"/>
            <w:vMerge w:val="restar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牌号名称</w:t>
            </w:r>
          </w:p>
        </w:tc>
        <w:tc>
          <w:tcPr>
            <w:tcW w:w="3832" w:type="pct"/>
            <w:gridSpan w:val="3"/>
            <w:shd w:val="clear" w:color="auto" w:fill="auto"/>
            <w:vAlign w:val="center"/>
          </w:tcPr>
          <w:p>
            <w:pPr>
              <w:autoSpaceDE w:val="0"/>
              <w:autoSpaceDN w:val="0"/>
              <w:adjustRightInd w:val="0"/>
              <w:spacing w:line="360" w:lineRule="auto"/>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力学性能≥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 w:type="pct"/>
            <w:vMerge w:val="continue"/>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834" w:type="pct"/>
            <w:vMerge w:val="continue"/>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1005" w:type="pct"/>
            <w:shd w:val="clear" w:color="auto" w:fill="auto"/>
            <w:vAlign w:val="center"/>
          </w:tcPr>
          <w:p>
            <w:pPr>
              <w:autoSpaceDE w:val="0"/>
              <w:autoSpaceDN w:val="0"/>
              <w:adjustRightInd w:val="0"/>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抗拉强度R</w:t>
            </w:r>
            <w:r>
              <w:rPr>
                <w:rFonts w:hint="default" w:ascii="Times New Roman" w:hAnsi="Times New Roman" w:cs="Times New Roman" w:eastAsiaTheme="minorEastAsia"/>
                <w:color w:val="0D0D0D"/>
                <w:kern w:val="0"/>
                <w:sz w:val="16"/>
                <w:szCs w:val="16"/>
                <w:highlight w:val="none"/>
                <w:vertAlign w:val="subscript"/>
                <w:lang w:eastAsia="en-US"/>
              </w:rPr>
              <w:t>m</w:t>
            </w:r>
            <w:r>
              <w:rPr>
                <w:rFonts w:hint="default" w:ascii="Times New Roman" w:hAnsi="Times New Roman" w:cs="Times New Roman" w:eastAsiaTheme="minorEastAsia"/>
                <w:color w:val="0D0D0D"/>
                <w:kern w:val="0"/>
                <w:sz w:val="16"/>
                <w:szCs w:val="16"/>
                <w:highlight w:val="none"/>
                <w:lang w:eastAsia="en-US"/>
              </w:rPr>
              <w:t>/MPa</w:t>
            </w:r>
          </w:p>
        </w:tc>
        <w:tc>
          <w:tcPr>
            <w:tcW w:w="1391" w:type="pct"/>
            <w:shd w:val="clear" w:color="auto" w:fill="auto"/>
            <w:vAlign w:val="center"/>
          </w:tcPr>
          <w:p>
            <w:pPr>
              <w:autoSpaceDE w:val="0"/>
              <w:autoSpaceDN w:val="0"/>
              <w:adjustRightInd w:val="0"/>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下屈服强度R</w:t>
            </w:r>
            <w:r>
              <w:rPr>
                <w:rFonts w:hint="default" w:ascii="Times New Roman" w:hAnsi="Times New Roman" w:cs="Times New Roman" w:eastAsiaTheme="minorEastAsia"/>
                <w:color w:val="0D0D0D"/>
                <w:kern w:val="0"/>
                <w:sz w:val="16"/>
                <w:szCs w:val="16"/>
                <w:highlight w:val="none"/>
                <w:vertAlign w:val="subscript"/>
                <w:lang w:eastAsia="en-US"/>
              </w:rPr>
              <w:t>eL或</w:t>
            </w:r>
            <w:r>
              <w:rPr>
                <w:rFonts w:hint="default" w:ascii="Times New Roman" w:hAnsi="Times New Roman" w:cs="Times New Roman" w:eastAsiaTheme="minorEastAsia"/>
                <w:color w:val="0D0D0D"/>
                <w:kern w:val="0"/>
                <w:sz w:val="16"/>
                <w:szCs w:val="16"/>
                <w:highlight w:val="none"/>
                <w:lang w:eastAsia="en-US"/>
              </w:rPr>
              <w:t>R</w:t>
            </w:r>
            <w:r>
              <w:rPr>
                <w:rFonts w:hint="default" w:ascii="Times New Roman" w:hAnsi="Times New Roman" w:cs="Times New Roman" w:eastAsiaTheme="minorEastAsia"/>
                <w:color w:val="0D0D0D"/>
                <w:kern w:val="0"/>
                <w:sz w:val="16"/>
                <w:szCs w:val="16"/>
                <w:highlight w:val="none"/>
                <w:vertAlign w:val="subscript"/>
                <w:lang w:eastAsia="en-US"/>
              </w:rPr>
              <w:t>P0.2</w:t>
            </w:r>
            <w:r>
              <w:rPr>
                <w:rFonts w:hint="default" w:ascii="Times New Roman" w:hAnsi="Times New Roman" w:cs="Times New Roman" w:eastAsiaTheme="minorEastAsia"/>
                <w:color w:val="0D0D0D"/>
                <w:kern w:val="0"/>
                <w:sz w:val="16"/>
                <w:szCs w:val="16"/>
                <w:highlight w:val="none"/>
                <w:lang w:eastAsia="en-US"/>
              </w:rPr>
              <w:t>/ MPa</w:t>
            </w:r>
          </w:p>
        </w:tc>
        <w:tc>
          <w:tcPr>
            <w:tcW w:w="1435" w:type="pct"/>
            <w:shd w:val="clear" w:color="auto" w:fill="auto"/>
            <w:vAlign w:val="center"/>
          </w:tcPr>
          <w:p>
            <w:pPr>
              <w:autoSpaceDE w:val="0"/>
              <w:autoSpaceDN w:val="0"/>
              <w:adjustRightInd w:val="0"/>
              <w:ind w:right="11"/>
              <w:jc w:val="center"/>
              <w:rPr>
                <w:rFonts w:hint="default" w:ascii="Times New Roman" w:hAnsi="Times New Roman" w:cs="Times New Roman" w:eastAsiaTheme="minorEastAsia"/>
                <w:b/>
                <w:bCs/>
                <w:color w:val="FF0000"/>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断后伸长率A/%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333" w:type="pc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1</w:t>
            </w:r>
          </w:p>
        </w:tc>
        <w:tc>
          <w:tcPr>
            <w:tcW w:w="834" w:type="pc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45#</w:t>
            </w:r>
          </w:p>
        </w:tc>
        <w:tc>
          <w:tcPr>
            <w:tcW w:w="1005" w:type="pct"/>
            <w:shd w:val="clear" w:color="auto" w:fill="auto"/>
            <w:vAlign w:val="center"/>
          </w:tcPr>
          <w:p>
            <w:pPr>
              <w:autoSpaceDE w:val="0"/>
              <w:autoSpaceDN w:val="0"/>
              <w:adjustRightInd w:val="0"/>
              <w:spacing w:line="360" w:lineRule="auto"/>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600</w:t>
            </w:r>
          </w:p>
        </w:tc>
        <w:tc>
          <w:tcPr>
            <w:tcW w:w="1391" w:type="pct"/>
            <w:shd w:val="clear" w:color="auto" w:fill="auto"/>
            <w:vAlign w:val="center"/>
          </w:tcPr>
          <w:p>
            <w:pPr>
              <w:autoSpaceDE w:val="0"/>
              <w:autoSpaceDN w:val="0"/>
              <w:adjustRightInd w:val="0"/>
              <w:spacing w:line="360" w:lineRule="auto"/>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355</w:t>
            </w:r>
          </w:p>
        </w:tc>
        <w:tc>
          <w:tcPr>
            <w:tcW w:w="1435" w:type="pct"/>
            <w:shd w:val="clear" w:color="auto" w:fill="auto"/>
            <w:vAlign w:val="center"/>
          </w:tcPr>
          <w:p>
            <w:pPr>
              <w:autoSpaceDE w:val="0"/>
              <w:autoSpaceDN w:val="0"/>
              <w:adjustRightInd w:val="0"/>
              <w:spacing w:line="360" w:lineRule="auto"/>
              <w:ind w:right="11"/>
              <w:jc w:val="center"/>
              <w:rPr>
                <w:rFonts w:hint="default" w:ascii="Times New Roman" w:hAnsi="Times New Roman" w:cs="Times New Roman" w:eastAsiaTheme="minorEastAsia"/>
                <w:b/>
                <w:bCs/>
                <w:color w:val="FF0000"/>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16</w:t>
            </w:r>
          </w:p>
        </w:tc>
      </w:tr>
    </w:tbl>
    <w:p>
      <w:pPr>
        <w:autoSpaceDE w:val="0"/>
        <w:autoSpaceDN w:val="0"/>
        <w:adjustRightInd w:val="0"/>
        <w:spacing w:line="360" w:lineRule="auto"/>
        <w:ind w:right="11"/>
        <w:jc w:val="left"/>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壳体用45</w:t>
      </w:r>
      <w:r>
        <w:rPr>
          <w:rFonts w:hint="default" w:ascii="Times New Roman" w:hAnsi="Times New Roman" w:cs="Times New Roman" w:eastAsiaTheme="minorEastAsia"/>
          <w:color w:val="0D0D0D"/>
          <w:kern w:val="0"/>
          <w:sz w:val="16"/>
          <w:szCs w:val="16"/>
          <w:highlight w:val="none"/>
          <w:vertAlign w:val="superscript"/>
          <w:lang w:eastAsia="en-US"/>
        </w:rPr>
        <w:t>#</w:t>
      </w:r>
      <w:r>
        <w:rPr>
          <w:rFonts w:hint="default" w:ascii="Times New Roman" w:hAnsi="Times New Roman" w:cs="Times New Roman" w:eastAsiaTheme="minorEastAsia"/>
          <w:color w:val="0D0D0D"/>
          <w:kern w:val="0"/>
          <w:sz w:val="16"/>
          <w:szCs w:val="16"/>
          <w:highlight w:val="none"/>
          <w:lang w:eastAsia="en-US"/>
        </w:rPr>
        <w:t>钢材质应满足</w:t>
      </w:r>
    </w:p>
    <w:tbl>
      <w:tblPr>
        <w:tblStyle w:val="11"/>
        <w:tblW w:w="5000"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875"/>
        <w:gridCol w:w="1169"/>
        <w:gridCol w:w="1169"/>
        <w:gridCol w:w="1022"/>
        <w:gridCol w:w="879"/>
        <w:gridCol w:w="877"/>
        <w:gridCol w:w="730"/>
        <w:gridCol w:w="730"/>
        <w:gridCol w:w="7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334" w:type="pct"/>
            <w:vMerge w:val="restar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序号</w:t>
            </w:r>
          </w:p>
        </w:tc>
        <w:tc>
          <w:tcPr>
            <w:tcW w:w="499" w:type="pct"/>
            <w:vMerge w:val="restar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牌号</w:t>
            </w:r>
          </w:p>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名称</w:t>
            </w:r>
          </w:p>
        </w:tc>
        <w:tc>
          <w:tcPr>
            <w:tcW w:w="4166" w:type="pct"/>
            <w:gridSpan w:val="8"/>
          </w:tcPr>
          <w:p>
            <w:pPr>
              <w:ind w:right="11"/>
              <w:jc w:val="center"/>
              <w:rPr>
                <w:rFonts w:hint="default" w:ascii="Times New Roman" w:hAnsi="Times New Roman" w:cs="Times New Roman" w:eastAsiaTheme="minorEastAsia"/>
                <w:color w:val="0D0D0D"/>
                <w:kern w:val="0"/>
                <w:sz w:val="16"/>
                <w:szCs w:val="16"/>
                <w:highlight w:val="none"/>
                <w:lang w:eastAsia="zh-CN"/>
              </w:rPr>
            </w:pPr>
            <w:r>
              <w:rPr>
                <w:rFonts w:hint="default" w:ascii="Times New Roman" w:hAnsi="Times New Roman" w:cs="Times New Roman" w:eastAsiaTheme="minorEastAsia"/>
                <w:color w:val="0D0D0D"/>
                <w:kern w:val="0"/>
                <w:sz w:val="16"/>
                <w:szCs w:val="16"/>
                <w:highlight w:val="none"/>
                <w:lang w:eastAsia="zh-CN"/>
              </w:rPr>
              <w:t>化学成分（质量分数）%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334" w:type="pct"/>
            <w:vMerge w:val="continue"/>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zh-CN"/>
              </w:rPr>
            </w:pPr>
          </w:p>
        </w:tc>
        <w:tc>
          <w:tcPr>
            <w:tcW w:w="499" w:type="pct"/>
            <w:vMerge w:val="continue"/>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zh-CN"/>
              </w:rPr>
            </w:pPr>
          </w:p>
        </w:tc>
        <w:tc>
          <w:tcPr>
            <w:tcW w:w="667" w:type="pct"/>
            <w:vMerge w:val="restar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C</w:t>
            </w:r>
          </w:p>
        </w:tc>
        <w:tc>
          <w:tcPr>
            <w:tcW w:w="667" w:type="pct"/>
            <w:vMerge w:val="restar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Si</w:t>
            </w:r>
          </w:p>
        </w:tc>
        <w:tc>
          <w:tcPr>
            <w:tcW w:w="583" w:type="pct"/>
            <w:vMerge w:val="restar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Mn</w:t>
            </w:r>
          </w:p>
        </w:tc>
        <w:tc>
          <w:tcPr>
            <w:tcW w:w="501"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P</w:t>
            </w:r>
          </w:p>
        </w:tc>
        <w:tc>
          <w:tcPr>
            <w:tcW w:w="500"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S</w:t>
            </w:r>
          </w:p>
        </w:tc>
        <w:tc>
          <w:tcPr>
            <w:tcW w:w="417"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Cr</w:t>
            </w:r>
          </w:p>
        </w:tc>
        <w:tc>
          <w:tcPr>
            <w:tcW w:w="417"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Ni</w:t>
            </w:r>
          </w:p>
        </w:tc>
        <w:tc>
          <w:tcPr>
            <w:tcW w:w="415"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Cu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334" w:type="pct"/>
            <w:vMerge w:val="continue"/>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499" w:type="pct"/>
            <w:vMerge w:val="continue"/>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667" w:type="pct"/>
            <w:vMerge w:val="continue"/>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667" w:type="pct"/>
            <w:vMerge w:val="continue"/>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583" w:type="pct"/>
            <w:vMerge w:val="continue"/>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2249" w:type="pct"/>
            <w:gridSpan w:val="5"/>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不大于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34" w:type="pc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1</w:t>
            </w:r>
          </w:p>
        </w:tc>
        <w:tc>
          <w:tcPr>
            <w:tcW w:w="499" w:type="pc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45#</w:t>
            </w:r>
          </w:p>
        </w:tc>
        <w:tc>
          <w:tcPr>
            <w:tcW w:w="667"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0.42-0.5</w:t>
            </w:r>
          </w:p>
        </w:tc>
        <w:tc>
          <w:tcPr>
            <w:tcW w:w="667" w:type="pct"/>
            <w:vAlign w:val="center"/>
          </w:tcPr>
          <w:p>
            <w:pPr>
              <w:ind w:left="-107" w:leftChars="-51" w:right="-105" w:rightChars="-50"/>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0.17-0.37</w:t>
            </w:r>
          </w:p>
        </w:tc>
        <w:tc>
          <w:tcPr>
            <w:tcW w:w="583"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0.5-0.8</w:t>
            </w:r>
          </w:p>
        </w:tc>
        <w:tc>
          <w:tcPr>
            <w:tcW w:w="501"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0.035</w:t>
            </w:r>
          </w:p>
        </w:tc>
        <w:tc>
          <w:tcPr>
            <w:tcW w:w="500"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0.035</w:t>
            </w:r>
          </w:p>
        </w:tc>
        <w:tc>
          <w:tcPr>
            <w:tcW w:w="417"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0.25</w:t>
            </w:r>
          </w:p>
        </w:tc>
        <w:tc>
          <w:tcPr>
            <w:tcW w:w="417"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0.30</w:t>
            </w:r>
          </w:p>
        </w:tc>
        <w:tc>
          <w:tcPr>
            <w:tcW w:w="415" w:type="pct"/>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0.20</w:t>
            </w:r>
          </w:p>
        </w:tc>
      </w:tr>
    </w:tbl>
    <w:p>
      <w:pPr>
        <w:ind w:left="425" w:right="11"/>
        <w:jc w:val="left"/>
        <w:rPr>
          <w:rFonts w:hint="default" w:ascii="Times New Roman" w:hAnsi="Times New Roman" w:cs="Times New Roman" w:eastAsiaTheme="minorEastAsia"/>
          <w:vanish/>
          <w:color w:val="0D0D0D"/>
          <w:kern w:val="0"/>
          <w:sz w:val="16"/>
          <w:szCs w:val="16"/>
          <w:highlight w:val="none"/>
          <w:lang w:eastAsia="en-US"/>
        </w:rPr>
      </w:pPr>
    </w:p>
    <w:tbl>
      <w:tblPr>
        <w:tblStyle w:val="11"/>
        <w:tblW w:w="4991"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4"/>
        <w:gridCol w:w="1460"/>
        <w:gridCol w:w="2622"/>
        <w:gridCol w:w="2188"/>
        <w:gridCol w:w="1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4" w:type="pct"/>
            <w:vMerge w:val="restar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序号</w:t>
            </w:r>
          </w:p>
        </w:tc>
        <w:tc>
          <w:tcPr>
            <w:tcW w:w="834" w:type="pct"/>
            <w:vMerge w:val="restar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牌号名称</w:t>
            </w:r>
          </w:p>
        </w:tc>
        <w:tc>
          <w:tcPr>
            <w:tcW w:w="3833" w:type="pct"/>
            <w:gridSpan w:val="3"/>
            <w:shd w:val="clear" w:color="auto" w:fill="auto"/>
            <w:vAlign w:val="center"/>
          </w:tcPr>
          <w:p>
            <w:pPr>
              <w:autoSpaceDE w:val="0"/>
              <w:autoSpaceDN w:val="0"/>
              <w:adjustRightInd w:val="0"/>
              <w:spacing w:line="360" w:lineRule="auto"/>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力学性能≥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 w:type="pct"/>
            <w:vMerge w:val="continue"/>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834" w:type="pct"/>
            <w:vMerge w:val="continue"/>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p>
        </w:tc>
        <w:tc>
          <w:tcPr>
            <w:tcW w:w="1498" w:type="pct"/>
            <w:shd w:val="clear" w:color="auto" w:fill="auto"/>
            <w:vAlign w:val="center"/>
          </w:tcPr>
          <w:p>
            <w:pPr>
              <w:autoSpaceDE w:val="0"/>
              <w:autoSpaceDN w:val="0"/>
              <w:adjustRightInd w:val="0"/>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抗拉强度R</w:t>
            </w:r>
            <w:r>
              <w:rPr>
                <w:rFonts w:hint="default" w:ascii="Times New Roman" w:hAnsi="Times New Roman" w:cs="Times New Roman" w:eastAsiaTheme="minorEastAsia"/>
                <w:color w:val="0D0D0D"/>
                <w:kern w:val="0"/>
                <w:sz w:val="16"/>
                <w:szCs w:val="16"/>
                <w:highlight w:val="none"/>
                <w:vertAlign w:val="subscript"/>
                <w:lang w:eastAsia="en-US"/>
              </w:rPr>
              <w:t>m</w:t>
            </w:r>
            <w:r>
              <w:rPr>
                <w:rFonts w:hint="default" w:ascii="Times New Roman" w:hAnsi="Times New Roman" w:cs="Times New Roman" w:eastAsiaTheme="minorEastAsia"/>
                <w:color w:val="0D0D0D"/>
                <w:kern w:val="0"/>
                <w:sz w:val="16"/>
                <w:szCs w:val="16"/>
                <w:highlight w:val="none"/>
                <w:lang w:eastAsia="en-US"/>
              </w:rPr>
              <w:t>/MPa</w:t>
            </w:r>
          </w:p>
        </w:tc>
        <w:tc>
          <w:tcPr>
            <w:tcW w:w="1250" w:type="pct"/>
            <w:shd w:val="clear" w:color="auto" w:fill="auto"/>
            <w:vAlign w:val="center"/>
          </w:tcPr>
          <w:p>
            <w:pPr>
              <w:autoSpaceDE w:val="0"/>
              <w:autoSpaceDN w:val="0"/>
              <w:adjustRightInd w:val="0"/>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下屈服强度R</w:t>
            </w:r>
            <w:r>
              <w:rPr>
                <w:rFonts w:hint="default" w:ascii="Times New Roman" w:hAnsi="Times New Roman" w:cs="Times New Roman" w:eastAsiaTheme="minorEastAsia"/>
                <w:color w:val="0D0D0D"/>
                <w:kern w:val="0"/>
                <w:sz w:val="16"/>
                <w:szCs w:val="16"/>
                <w:highlight w:val="none"/>
                <w:vertAlign w:val="subscript"/>
                <w:lang w:eastAsia="en-US"/>
              </w:rPr>
              <w:t>eL</w:t>
            </w:r>
            <w:r>
              <w:rPr>
                <w:rFonts w:hint="default" w:ascii="Times New Roman" w:hAnsi="Times New Roman" w:cs="Times New Roman" w:eastAsiaTheme="minorEastAsia"/>
                <w:color w:val="0D0D0D"/>
                <w:kern w:val="0"/>
                <w:sz w:val="16"/>
                <w:szCs w:val="16"/>
                <w:highlight w:val="none"/>
                <w:lang w:eastAsia="en-US"/>
              </w:rPr>
              <w:t>/ MPa</w:t>
            </w:r>
          </w:p>
        </w:tc>
        <w:tc>
          <w:tcPr>
            <w:tcW w:w="1084" w:type="pct"/>
            <w:shd w:val="clear" w:color="auto" w:fill="auto"/>
            <w:vAlign w:val="center"/>
          </w:tcPr>
          <w:p>
            <w:pPr>
              <w:autoSpaceDE w:val="0"/>
              <w:autoSpaceDN w:val="0"/>
              <w:adjustRightInd w:val="0"/>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断后伸长率A/%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334" w:type="pc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1</w:t>
            </w:r>
          </w:p>
        </w:tc>
        <w:tc>
          <w:tcPr>
            <w:tcW w:w="834" w:type="pct"/>
            <w:shd w:val="clear" w:color="auto" w:fill="auto"/>
            <w:vAlign w:val="center"/>
          </w:tcPr>
          <w:p>
            <w:pPr>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45#</w:t>
            </w:r>
          </w:p>
        </w:tc>
        <w:tc>
          <w:tcPr>
            <w:tcW w:w="1498" w:type="pct"/>
            <w:shd w:val="clear" w:color="auto" w:fill="auto"/>
            <w:vAlign w:val="center"/>
          </w:tcPr>
          <w:p>
            <w:pPr>
              <w:autoSpaceDE w:val="0"/>
              <w:autoSpaceDN w:val="0"/>
              <w:adjustRightInd w:val="0"/>
              <w:spacing w:line="360" w:lineRule="auto"/>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590</w:t>
            </w:r>
          </w:p>
        </w:tc>
        <w:tc>
          <w:tcPr>
            <w:tcW w:w="1250" w:type="pct"/>
            <w:shd w:val="clear" w:color="auto" w:fill="auto"/>
            <w:vAlign w:val="center"/>
          </w:tcPr>
          <w:p>
            <w:pPr>
              <w:autoSpaceDE w:val="0"/>
              <w:autoSpaceDN w:val="0"/>
              <w:adjustRightInd w:val="0"/>
              <w:spacing w:line="360" w:lineRule="auto"/>
              <w:ind w:right="11"/>
              <w:jc w:val="center"/>
              <w:rPr>
                <w:rFonts w:hint="default" w:ascii="Times New Roman" w:hAnsi="Times New Roman" w:cs="Times New Roman" w:eastAsiaTheme="minorEastAsia"/>
                <w:color w:val="0D0D0D"/>
                <w:kern w:val="0"/>
                <w:sz w:val="16"/>
                <w:szCs w:val="16"/>
                <w:highlight w:val="none"/>
                <w:lang w:eastAsia="en-US"/>
              </w:rPr>
            </w:pPr>
            <w:r>
              <w:rPr>
                <w:rFonts w:hint="default" w:ascii="Times New Roman" w:hAnsi="Times New Roman" w:cs="Times New Roman" w:eastAsiaTheme="minorEastAsia"/>
                <w:color w:val="0D0D0D"/>
                <w:kern w:val="0"/>
                <w:sz w:val="16"/>
                <w:szCs w:val="16"/>
                <w:highlight w:val="none"/>
                <w:lang w:eastAsia="en-US"/>
              </w:rPr>
              <w:t>335</w:t>
            </w:r>
          </w:p>
        </w:tc>
        <w:tc>
          <w:tcPr>
            <w:tcW w:w="1084" w:type="pct"/>
            <w:shd w:val="clear" w:color="auto" w:fill="auto"/>
            <w:vAlign w:val="center"/>
          </w:tcPr>
          <w:p>
            <w:pPr>
              <w:autoSpaceDE w:val="0"/>
              <w:autoSpaceDN w:val="0"/>
              <w:adjustRightInd w:val="0"/>
              <w:spacing w:line="360" w:lineRule="auto"/>
              <w:ind w:right="11"/>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14</w:t>
            </w:r>
          </w:p>
        </w:tc>
      </w:tr>
    </w:tbl>
    <w:p>
      <w:pPr>
        <w:numPr>
          <w:ilvl w:val="255"/>
          <w:numId w:val="0"/>
        </w:numPr>
        <w:autoSpaceDE w:val="0"/>
        <w:autoSpaceDN w:val="0"/>
        <w:adjustRightInd w:val="0"/>
        <w:spacing w:line="360" w:lineRule="auto"/>
        <w:ind w:firstLine="420" w:firstLineChars="200"/>
        <w:jc w:val="both"/>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潜油保护器使用电机油为型号：BH6, 204℃合格电机油，符合下表技术要求，并附带电机油MSDS。</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0"/>
        <w:gridCol w:w="2192"/>
        <w:gridCol w:w="2185"/>
        <w:gridCol w:w="3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93"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en-US"/>
              </w:rPr>
              <w:t>序号</w:t>
            </w:r>
          </w:p>
        </w:tc>
        <w:tc>
          <w:tcPr>
            <w:tcW w:w="2496" w:type="pct"/>
            <w:gridSpan w:val="2"/>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en-US"/>
              </w:rPr>
              <w:t>项目</w:t>
            </w:r>
          </w:p>
        </w:tc>
        <w:tc>
          <w:tcPr>
            <w:tcW w:w="171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en-US"/>
              </w:rPr>
              <w:t>技术指标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793" w:type="pct"/>
            <w:vMerge w:val="restart"/>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en-US"/>
              </w:rPr>
              <w:t>1</w:t>
            </w:r>
          </w:p>
        </w:tc>
        <w:tc>
          <w:tcPr>
            <w:tcW w:w="1250" w:type="pct"/>
            <w:vMerge w:val="restart"/>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en-US"/>
              </w:rPr>
              <w:t>运动</w:t>
            </w:r>
          </w:p>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en-US"/>
              </w:rPr>
              <w:t>粘度</w:t>
            </w:r>
          </w:p>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en-US"/>
              </w:rPr>
              <w:t>mm</w:t>
            </w:r>
            <w:r>
              <w:rPr>
                <w:rFonts w:hint="default" w:ascii="Times New Roman" w:hAnsi="Times New Roman" w:cs="Times New Roman" w:eastAsiaTheme="minorEastAsia"/>
                <w:kern w:val="0"/>
                <w:sz w:val="18"/>
                <w:szCs w:val="18"/>
                <w:highlight w:val="none"/>
                <w:vertAlign w:val="superscript"/>
                <w:lang w:eastAsia="en-US"/>
              </w:rPr>
              <w:t>2</w:t>
            </w:r>
            <w:r>
              <w:rPr>
                <w:rFonts w:hint="default" w:ascii="Times New Roman" w:hAnsi="Times New Roman" w:cs="Times New Roman" w:eastAsiaTheme="minorEastAsia"/>
                <w:kern w:val="0"/>
                <w:sz w:val="18"/>
                <w:szCs w:val="18"/>
                <w:highlight w:val="none"/>
                <w:lang w:eastAsia="en-US"/>
              </w:rPr>
              <w:t>/s</w:t>
            </w:r>
          </w:p>
        </w:tc>
        <w:tc>
          <w:tcPr>
            <w:tcW w:w="1246"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en-US"/>
              </w:rPr>
              <w:t>40℃不大于</w:t>
            </w:r>
          </w:p>
        </w:tc>
        <w:tc>
          <w:tcPr>
            <w:tcW w:w="171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zh-CN"/>
              </w:rPr>
            </w:pPr>
            <w:r>
              <w:rPr>
                <w:rFonts w:hint="default" w:ascii="Times New Roman" w:hAnsi="Times New Roman" w:cs="Times New Roman" w:eastAsiaTheme="minorEastAsia"/>
                <w:kern w:val="0"/>
                <w:sz w:val="18"/>
                <w:szCs w:val="18"/>
                <w:highlight w:val="none"/>
                <w:lang w:eastAsia="zh-CN"/>
              </w:rPr>
              <w:t>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793" w:type="pct"/>
            <w:vMerge w:val="continue"/>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p>
        </w:tc>
        <w:tc>
          <w:tcPr>
            <w:tcW w:w="1250" w:type="pct"/>
            <w:vMerge w:val="continue"/>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p>
        </w:tc>
        <w:tc>
          <w:tcPr>
            <w:tcW w:w="1246"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en-US"/>
              </w:rPr>
              <w:t>100℃不小于</w:t>
            </w:r>
          </w:p>
        </w:tc>
        <w:tc>
          <w:tcPr>
            <w:tcW w:w="171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zh-CN"/>
              </w:rPr>
            </w:pPr>
            <w:r>
              <w:rPr>
                <w:rFonts w:hint="default" w:ascii="Times New Roman" w:hAnsi="Times New Roman" w:cs="Times New Roman" w:eastAsiaTheme="minorEastAsia"/>
                <w:kern w:val="0"/>
                <w:sz w:val="18"/>
                <w:szCs w:val="18"/>
                <w:highlight w:val="none"/>
                <w:lang w:eastAsia="zh-CN"/>
              </w:rPr>
              <w:t>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793"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en-US"/>
              </w:rPr>
              <w:t>2</w:t>
            </w:r>
          </w:p>
        </w:tc>
        <w:tc>
          <w:tcPr>
            <w:tcW w:w="2496" w:type="pct"/>
            <w:gridSpan w:val="2"/>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en-US"/>
              </w:rPr>
              <w:t>开口闪点℃不低于</w:t>
            </w:r>
          </w:p>
        </w:tc>
        <w:tc>
          <w:tcPr>
            <w:tcW w:w="171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zh-CN"/>
              </w:rP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93"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en-US"/>
              </w:rPr>
              <w:t>3</w:t>
            </w:r>
          </w:p>
        </w:tc>
        <w:tc>
          <w:tcPr>
            <w:tcW w:w="2496" w:type="pct"/>
            <w:gridSpan w:val="2"/>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en-US"/>
              </w:rPr>
              <w:t>凝固点℃不高于</w:t>
            </w:r>
          </w:p>
        </w:tc>
        <w:tc>
          <w:tcPr>
            <w:tcW w:w="171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zh-CN"/>
              </w:rPr>
            </w:pPr>
            <w:r>
              <w:rPr>
                <w:rFonts w:hint="default" w:ascii="Times New Roman" w:hAnsi="Times New Roman" w:cs="Times New Roman" w:eastAsiaTheme="minorEastAsia"/>
                <w:kern w:val="0"/>
                <w:sz w:val="18"/>
                <w:szCs w:val="18"/>
                <w:highlight w:val="none"/>
                <w:lang w:eastAsia="en-US"/>
              </w:rPr>
              <w:t>-</w:t>
            </w:r>
            <w:r>
              <w:rPr>
                <w:rFonts w:hint="default" w:ascii="Times New Roman" w:hAnsi="Times New Roman" w:cs="Times New Roman" w:eastAsiaTheme="minorEastAsia"/>
                <w:kern w:val="0"/>
                <w:sz w:val="18"/>
                <w:szCs w:val="18"/>
                <w:highlight w:val="none"/>
                <w:lang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793"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en-US"/>
              </w:rPr>
              <w:t>4</w:t>
            </w:r>
          </w:p>
        </w:tc>
        <w:tc>
          <w:tcPr>
            <w:tcW w:w="2496" w:type="pct"/>
            <w:gridSpan w:val="2"/>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en-US"/>
              </w:rPr>
              <w:t>酸值mgkoH/g不大于</w:t>
            </w:r>
          </w:p>
        </w:tc>
        <w:tc>
          <w:tcPr>
            <w:tcW w:w="171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zh-CN"/>
              </w:rPr>
            </w:pPr>
            <w:r>
              <w:rPr>
                <w:rFonts w:hint="default" w:ascii="Times New Roman" w:hAnsi="Times New Roman" w:cs="Times New Roman" w:eastAsiaTheme="minorEastAsia"/>
                <w:kern w:val="0"/>
                <w:sz w:val="18"/>
                <w:szCs w:val="18"/>
                <w:highlight w:val="none"/>
                <w:lang w:eastAsia="en-US"/>
              </w:rPr>
              <w:t>0.</w:t>
            </w:r>
            <w:r>
              <w:rPr>
                <w:rFonts w:hint="default" w:ascii="Times New Roman" w:hAnsi="Times New Roman" w:cs="Times New Roman" w:eastAsiaTheme="minorEastAsia"/>
                <w:kern w:val="0"/>
                <w:sz w:val="18"/>
                <w:szCs w:val="18"/>
                <w:highlight w:val="none"/>
                <w:lang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793"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en-US"/>
              </w:rPr>
              <w:t>5</w:t>
            </w:r>
          </w:p>
        </w:tc>
        <w:tc>
          <w:tcPr>
            <w:tcW w:w="2496" w:type="pct"/>
            <w:gridSpan w:val="2"/>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en-US"/>
              </w:rPr>
              <w:t>机械杂质%</w:t>
            </w:r>
          </w:p>
        </w:tc>
        <w:tc>
          <w:tcPr>
            <w:tcW w:w="171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en-U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793"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en-US"/>
              </w:rPr>
              <w:t>6</w:t>
            </w:r>
          </w:p>
        </w:tc>
        <w:tc>
          <w:tcPr>
            <w:tcW w:w="2496" w:type="pct"/>
            <w:gridSpan w:val="2"/>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en-US"/>
              </w:rPr>
              <w:t>水分%</w:t>
            </w:r>
          </w:p>
        </w:tc>
        <w:tc>
          <w:tcPr>
            <w:tcW w:w="171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en-U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793"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en-US"/>
              </w:rPr>
              <w:t>7</w:t>
            </w:r>
          </w:p>
        </w:tc>
        <w:tc>
          <w:tcPr>
            <w:tcW w:w="2496" w:type="pct"/>
            <w:gridSpan w:val="2"/>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zh-CN"/>
              </w:rPr>
            </w:pPr>
            <w:r>
              <w:rPr>
                <w:rFonts w:hint="default" w:ascii="Times New Roman" w:hAnsi="Times New Roman" w:cs="Times New Roman" w:eastAsiaTheme="minorEastAsia"/>
                <w:kern w:val="0"/>
                <w:sz w:val="18"/>
                <w:szCs w:val="18"/>
                <w:highlight w:val="none"/>
                <w:lang w:eastAsia="zh-CN"/>
              </w:rPr>
              <w:t>介电强度（KV/2.5mm）不小于</w:t>
            </w:r>
          </w:p>
        </w:tc>
        <w:tc>
          <w:tcPr>
            <w:tcW w:w="171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zh-CN"/>
              </w:rPr>
              <w:t>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793"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en-US"/>
              </w:rPr>
              <w:t>8</w:t>
            </w:r>
          </w:p>
        </w:tc>
        <w:tc>
          <w:tcPr>
            <w:tcW w:w="2496" w:type="pct"/>
            <w:gridSpan w:val="2"/>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en-US"/>
              </w:rPr>
            </w:pPr>
            <w:r>
              <w:rPr>
                <w:rFonts w:hint="default" w:ascii="Times New Roman" w:hAnsi="Times New Roman" w:cs="Times New Roman" w:eastAsiaTheme="minorEastAsia"/>
                <w:kern w:val="0"/>
                <w:sz w:val="18"/>
                <w:szCs w:val="18"/>
                <w:highlight w:val="none"/>
                <w:lang w:eastAsia="en-US"/>
              </w:rPr>
              <w:t>类型</w:t>
            </w:r>
          </w:p>
        </w:tc>
        <w:tc>
          <w:tcPr>
            <w:tcW w:w="1712" w:type="pct"/>
            <w:vAlign w:val="center"/>
          </w:tcPr>
          <w:p>
            <w:pPr>
              <w:adjustRightInd w:val="0"/>
              <w:snapToGrid w:val="0"/>
              <w:spacing w:line="240" w:lineRule="atLeast"/>
              <w:ind w:right="11"/>
              <w:jc w:val="center"/>
              <w:rPr>
                <w:rFonts w:hint="default" w:ascii="Times New Roman" w:hAnsi="Times New Roman" w:cs="Times New Roman" w:eastAsiaTheme="minorEastAsia"/>
                <w:kern w:val="0"/>
                <w:sz w:val="18"/>
                <w:szCs w:val="18"/>
                <w:highlight w:val="none"/>
                <w:lang w:eastAsia="zh-CN"/>
              </w:rPr>
            </w:pPr>
            <w:r>
              <w:rPr>
                <w:rFonts w:hint="default" w:ascii="Times New Roman" w:hAnsi="Times New Roman" w:cs="Times New Roman" w:eastAsiaTheme="minorEastAsia"/>
                <w:kern w:val="0"/>
                <w:sz w:val="18"/>
                <w:szCs w:val="18"/>
                <w:highlight w:val="none"/>
                <w:lang w:eastAsia="zh-CN"/>
              </w:rPr>
              <w:t>全合成</w:t>
            </w:r>
          </w:p>
        </w:tc>
      </w:tr>
    </w:tbl>
    <w:p>
      <w:pPr>
        <w:numPr>
          <w:ilvl w:val="255"/>
          <w:numId w:val="0"/>
        </w:numPr>
        <w:jc w:val="left"/>
        <w:outlineLvl w:val="9"/>
        <w:rPr>
          <w:rFonts w:hint="default" w:ascii="Times New Roman" w:hAnsi="Times New Roman" w:eastAsia="黑体" w:cs="Times New Roman"/>
          <w:kern w:val="0"/>
          <w:sz w:val="21"/>
          <w:szCs w:val="21"/>
          <w:highlight w:val="none"/>
          <w:lang w:eastAsia="en-US"/>
        </w:rPr>
      </w:pPr>
    </w:p>
    <w:p>
      <w:pPr>
        <w:widowControl w:val="0"/>
        <w:snapToGrid w:val="0"/>
        <w:rPr>
          <w:rFonts w:hint="default" w:asciiTheme="minorHAnsi" w:hAnsiTheme="minorHAnsi" w:eastAsiaTheme="minorEastAsia" w:cstheme="minorBidi"/>
          <w:sz w:val="16"/>
          <w:szCs w:val="16"/>
          <w:lang w:val="en-US" w:eastAsia="en-US" w:bidi="ar-SA"/>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10" w:firstLineChars="200"/>
        <w:textAlignment w:val="auto"/>
        <w:outlineLvl w:val="1"/>
        <w:rPr>
          <w:rFonts w:hint="eastAsia" w:ascii="宋体" w:hAnsi="宋体" w:eastAsia="宋体" w:cs="宋体"/>
          <w:b/>
          <w:bCs/>
          <w:color w:val="auto"/>
          <w:spacing w:val="2"/>
          <w:sz w:val="20"/>
          <w:szCs w:val="20"/>
          <w:highlight w:val="none"/>
          <w:lang w:val="en-US" w:eastAsia="zh-CN" w:bidi="ar-SA"/>
        </w:rPr>
      </w:pPr>
      <w:bookmarkStart w:id="170" w:name="_Toc11953"/>
      <w:bookmarkStart w:id="171" w:name="_Toc1202"/>
      <w:bookmarkStart w:id="172" w:name="_Toc26694"/>
      <w:r>
        <w:rPr>
          <w:rFonts w:hint="eastAsia" w:ascii="宋体" w:hAnsi="宋体" w:eastAsia="宋体" w:cs="宋体"/>
          <w:b/>
          <w:bCs/>
          <w:color w:val="auto"/>
          <w:spacing w:val="2"/>
          <w:sz w:val="20"/>
          <w:szCs w:val="20"/>
          <w:highlight w:val="none"/>
          <w:lang w:val="en-US" w:eastAsia="zh-CN" w:bidi="ar-SA"/>
        </w:rPr>
        <w:t>5.3（防腐）高转速潜油永磁电机</w:t>
      </w:r>
      <w:bookmarkEnd w:id="170"/>
      <w:bookmarkEnd w:id="171"/>
      <w:bookmarkEnd w:id="172"/>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10" w:firstLineChars="200"/>
        <w:textAlignment w:val="auto"/>
        <w:outlineLvl w:val="1"/>
        <w:rPr>
          <w:rFonts w:hint="eastAsia" w:ascii="宋体" w:hAnsi="宋体" w:eastAsia="宋体" w:cs="宋体"/>
          <w:b/>
          <w:bCs/>
          <w:color w:val="auto"/>
          <w:spacing w:val="2"/>
          <w:sz w:val="20"/>
          <w:szCs w:val="20"/>
          <w:highlight w:val="none"/>
          <w:lang w:val="en-US" w:eastAsia="zh-CN" w:bidi="ar-SA"/>
        </w:rPr>
      </w:pPr>
    </w:p>
    <w:p>
      <w:pPr>
        <w:keepNext w:val="0"/>
        <w:keepLines w:val="0"/>
        <w:pageBreakBefore w:val="0"/>
        <w:widowControl w:val="0"/>
        <w:numPr>
          <w:ilvl w:val="2"/>
          <w:numId w:val="11"/>
        </w:numPr>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具体规格型号见“二、需求一览表，</w:t>
      </w:r>
      <w:r>
        <w:rPr>
          <w:rFonts w:hint="default" w:ascii="Times New Roman" w:hAnsi="Times New Roman" w:cs="Times New Roman" w:eastAsiaTheme="minorEastAsia"/>
          <w:kern w:val="0"/>
          <w:sz w:val="21"/>
          <w:szCs w:val="21"/>
          <w:highlight w:val="none"/>
          <w:lang w:val="en-US" w:eastAsia="zh-CN"/>
        </w:rPr>
        <w:t>行1-9项”</w:t>
      </w:r>
      <w:r>
        <w:rPr>
          <w:rFonts w:hint="default" w:ascii="Times New Roman" w:hAnsi="Times New Roman" w:cs="Times New Roman" w:eastAsiaTheme="minorEastAsia"/>
          <w:kern w:val="0"/>
          <w:sz w:val="21"/>
          <w:szCs w:val="21"/>
          <w:highlight w:val="none"/>
          <w:lang w:eastAsia="zh-CN"/>
        </w:rPr>
        <w:t>。</w:t>
      </w:r>
    </w:p>
    <w:p>
      <w:pPr>
        <w:keepNext w:val="0"/>
        <w:keepLines w:val="0"/>
        <w:pageBreakBefore w:val="0"/>
        <w:widowControl w:val="0"/>
        <w:numPr>
          <w:ilvl w:val="2"/>
          <w:numId w:val="11"/>
        </w:numPr>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适用井温：180℃，本体耐温等级204℃。同时为保证电机效率，要求转子采用永磁体，永磁体耐温不低于204℃，材质选用钕铁硼（NdFeB）或更高级别的钐钴（SmCo）材质及以上等级，满足对磁场强度和温度稳定性的高要求。</w:t>
      </w:r>
    </w:p>
    <w:p>
      <w:pPr>
        <w:keepNext w:val="0"/>
        <w:keepLines w:val="0"/>
        <w:pageBreakBefore w:val="0"/>
        <w:widowControl w:val="0"/>
        <w:numPr>
          <w:ilvl w:val="2"/>
          <w:numId w:val="11"/>
        </w:numPr>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电机额定同步转速为3</w:t>
      </w:r>
      <w:r>
        <w:rPr>
          <w:rFonts w:hint="default" w:ascii="Times New Roman" w:hAnsi="Times New Roman" w:cs="Times New Roman" w:eastAsiaTheme="minorEastAsia"/>
          <w:kern w:val="0"/>
          <w:sz w:val="21"/>
          <w:szCs w:val="21"/>
          <w:highlight w:val="none"/>
          <w:lang w:val="en-US" w:eastAsia="zh-CN"/>
        </w:rPr>
        <w:t>6</w:t>
      </w:r>
      <w:r>
        <w:rPr>
          <w:rFonts w:hint="default" w:ascii="Times New Roman" w:hAnsi="Times New Roman" w:cs="Times New Roman" w:eastAsiaTheme="minorEastAsia"/>
          <w:kern w:val="0"/>
          <w:sz w:val="21"/>
          <w:szCs w:val="21"/>
          <w:highlight w:val="none"/>
          <w:lang w:eastAsia="zh-CN"/>
        </w:rPr>
        <w:t>00-4200rpm，频率为1</w:t>
      </w:r>
      <w:r>
        <w:rPr>
          <w:rFonts w:hint="default" w:ascii="Times New Roman" w:hAnsi="Times New Roman" w:cs="Times New Roman" w:eastAsiaTheme="minorEastAsia"/>
          <w:kern w:val="0"/>
          <w:sz w:val="21"/>
          <w:szCs w:val="21"/>
          <w:highlight w:val="none"/>
          <w:lang w:val="en-US" w:eastAsia="zh-CN"/>
        </w:rPr>
        <w:t>2</w:t>
      </w:r>
      <w:r>
        <w:rPr>
          <w:rFonts w:hint="default" w:ascii="Times New Roman" w:hAnsi="Times New Roman" w:cs="Times New Roman" w:eastAsiaTheme="minorEastAsia"/>
          <w:kern w:val="0"/>
          <w:sz w:val="21"/>
          <w:szCs w:val="21"/>
          <w:highlight w:val="none"/>
          <w:lang w:eastAsia="zh-CN"/>
        </w:rPr>
        <w:t>0-140Hz，并且具备在此转速区间稳定运行的能力。</w:t>
      </w:r>
      <w:r>
        <w:rPr>
          <w:rFonts w:hint="default" w:ascii="Times New Roman" w:hAnsi="Times New Roman" w:cs="Times New Roman" w:eastAsiaTheme="minorEastAsia"/>
          <w:kern w:val="0"/>
          <w:sz w:val="21"/>
          <w:szCs w:val="21"/>
          <w:highlight w:val="none"/>
          <w:lang w:val="en-US" w:eastAsia="zh-CN"/>
        </w:rPr>
        <w:t>供货时</w:t>
      </w:r>
      <w:r>
        <w:rPr>
          <w:rFonts w:hint="default" w:ascii="Times New Roman" w:hAnsi="Times New Roman" w:cs="Times New Roman" w:eastAsiaTheme="minorEastAsia"/>
          <w:kern w:val="0"/>
          <w:sz w:val="21"/>
          <w:szCs w:val="21"/>
          <w:highlight w:val="none"/>
          <w:lang w:eastAsia="zh-CN"/>
        </w:rPr>
        <w:t>提供额定负载下转速3600rpm及4200rpm下的出厂测试报告。</w:t>
      </w:r>
    </w:p>
    <w:p>
      <w:pPr>
        <w:keepNext w:val="0"/>
        <w:keepLines w:val="0"/>
        <w:pageBreakBefore w:val="0"/>
        <w:widowControl w:val="0"/>
        <w:numPr>
          <w:ilvl w:val="2"/>
          <w:numId w:val="11"/>
        </w:numPr>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永磁电机为四极，转子永磁体采用内嵌式结构。</w:t>
      </w:r>
    </w:p>
    <w:p>
      <w:pPr>
        <w:keepNext w:val="0"/>
        <w:keepLines w:val="0"/>
        <w:pageBreakBefore w:val="0"/>
        <w:widowControl w:val="0"/>
        <w:numPr>
          <w:ilvl w:val="2"/>
          <w:numId w:val="11"/>
        </w:numPr>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永磁电机额定电压在2000V以下，电磁线采用耐交流电压等级不低于4000V，额定电压高于2000V低于3300V的，电磁线采用耐交流电压等级不低于7250V；额定电压高于3300V的，电磁线采用耐交流电压等级不低于10KV，聚酰亚胺膜每层的叠包率不低于48%。</w:t>
      </w:r>
      <w:r>
        <w:rPr>
          <w:rFonts w:hint="default" w:ascii="Times New Roman" w:hAnsi="Times New Roman" w:eastAsia="宋体" w:cs="Times New Roman"/>
          <w:kern w:val="0"/>
          <w:sz w:val="21"/>
          <w:szCs w:val="21"/>
          <w:highlight w:val="none"/>
          <w:lang w:eastAsia="en-US"/>
        </w:rPr>
        <w:t>电磁线的选择应具备适用于高压、高频等复杂工况，在高电压下能够有效抵抗电晕放电现象，以降低电磁干扰和能量损失。</w:t>
      </w:r>
    </w:p>
    <w:p>
      <w:pPr>
        <w:keepNext w:val="0"/>
        <w:keepLines w:val="0"/>
        <w:pageBreakBefore w:val="0"/>
        <w:widowControl w:val="0"/>
        <w:numPr>
          <w:ilvl w:val="2"/>
          <w:numId w:val="11"/>
        </w:numPr>
        <w:kinsoku/>
        <w:wordWrap/>
        <w:overflowPunct/>
        <w:topLinePunct w:val="0"/>
        <w:autoSpaceDE w:val="0"/>
        <w:autoSpaceDN w:val="0"/>
        <w:bidi w:val="0"/>
        <w:adjustRightInd w:val="0"/>
        <w:spacing w:line="360" w:lineRule="auto"/>
        <w:ind w:left="0" w:leftChars="0" w:right="0" w:rightChars="0" w:firstLine="40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Segoe UI Symbol" w:hAnsi="Segoe UI Symbol" w:eastAsia="宋体" w:cs="Segoe UI Symbol"/>
          <w:kern w:val="0"/>
          <w:sz w:val="20"/>
          <w:szCs w:val="20"/>
          <w:lang w:eastAsia="zh-CN"/>
        </w:rPr>
        <w:t>★</w:t>
      </w:r>
      <w:r>
        <w:rPr>
          <w:rFonts w:hint="default" w:ascii="Times New Roman" w:hAnsi="Times New Roman" w:cs="Times New Roman" w:eastAsiaTheme="minorEastAsia"/>
          <w:kern w:val="0"/>
          <w:sz w:val="21"/>
          <w:szCs w:val="21"/>
          <w:highlight w:val="none"/>
          <w:lang w:eastAsia="zh-CN"/>
        </w:rPr>
        <w:t>电机接口尺寸符合《机械采油公司潜油电泵产品接口参数明细》（见附件一）要求。</w:t>
      </w:r>
    </w:p>
    <w:p>
      <w:pPr>
        <w:keepNext w:val="0"/>
        <w:keepLines w:val="0"/>
        <w:pageBreakBefore w:val="0"/>
        <w:widowControl w:val="0"/>
        <w:numPr>
          <w:ilvl w:val="2"/>
          <w:numId w:val="11"/>
        </w:numPr>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密封圈采用AFLAS，适用井温不低于204℃，并具有防腐蚀性能，并提供AFLAS材质报告。</w:t>
      </w:r>
    </w:p>
    <w:p>
      <w:pPr>
        <w:keepNext w:val="0"/>
        <w:keepLines w:val="0"/>
        <w:pageBreakBefore w:val="0"/>
        <w:widowControl w:val="0"/>
        <w:numPr>
          <w:ilvl w:val="2"/>
          <w:numId w:val="11"/>
        </w:numPr>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电机轴采用42CrMo高强度合金钢及以上材质。</w:t>
      </w:r>
    </w:p>
    <w:p>
      <w:pPr>
        <w:keepNext w:val="0"/>
        <w:keepLines w:val="0"/>
        <w:pageBreakBefore w:val="0"/>
        <w:widowControl w:val="0"/>
        <w:numPr>
          <w:ilvl w:val="2"/>
          <w:numId w:val="11"/>
        </w:numPr>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val="en-US" w:eastAsia="zh-CN"/>
        </w:rPr>
        <w:t>在腐蚀环境下，与井液接触部件要求具有防腐蚀性能。壳体采用9Cr1Mo，接头、底座采用2Cr13，连接螺栓和垫片应采用MonelK-500，其他与井液接触的零部件按照CO2和H2S腐蚀要求进行配置。</w:t>
      </w:r>
      <w:r>
        <w:rPr>
          <w:rFonts w:hint="eastAsia" w:ascii="Times New Roman" w:hAnsi="Times New Roman" w:eastAsia="宋体" w:cs="Times New Roman"/>
          <w:kern w:val="0"/>
          <w:sz w:val="21"/>
          <w:szCs w:val="21"/>
          <w:lang w:val="en-US" w:eastAsia="zh-CN"/>
        </w:rPr>
        <w:t>送货文件</w:t>
      </w:r>
      <w:r>
        <w:rPr>
          <w:rFonts w:hint="default" w:ascii="Times New Roman" w:hAnsi="Times New Roman" w:cs="Times New Roman" w:eastAsiaTheme="minorEastAsia"/>
          <w:kern w:val="0"/>
          <w:sz w:val="21"/>
          <w:szCs w:val="21"/>
          <w:highlight w:val="none"/>
          <w:lang w:val="en-US" w:eastAsia="zh-CN"/>
        </w:rPr>
        <w:t>应提供材质化学成分及机械性能检测报告，并注明炉号等可追溯性标识信息。</w:t>
      </w:r>
    </w:p>
    <w:p>
      <w:pPr>
        <w:keepNext w:val="0"/>
        <w:keepLines w:val="0"/>
        <w:pageBreakBefore w:val="0"/>
        <w:widowControl w:val="0"/>
        <w:numPr>
          <w:ilvl w:val="2"/>
          <w:numId w:val="11"/>
        </w:numPr>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运输帽螺栓必须齐全并旋紧，出厂时应按照法兰连接螺栓型号配置相应数量的内外六角螺钉及下井件（O圈、垫片等）主备各一套。</w:t>
      </w:r>
    </w:p>
    <w:p>
      <w:pPr>
        <w:keepNext w:val="0"/>
        <w:keepLines w:val="0"/>
        <w:pageBreakBefore w:val="0"/>
        <w:widowControl w:val="0"/>
        <w:numPr>
          <w:ilvl w:val="2"/>
          <w:numId w:val="11"/>
        </w:numPr>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电机底部留有能与电泵工况装置配合的连接法兰，并预留星点引出线，星点引出线长度应保证露出电机端部500mm。450及以上系列电机尾扣为2-3/8″EU母扣；350系列电机尾款为1.9″EU母扣。电机绕组线圈内加装泵工况测温用热电耦。</w:t>
      </w:r>
    </w:p>
    <w:p>
      <w:pPr>
        <w:keepNext w:val="0"/>
        <w:keepLines w:val="0"/>
        <w:pageBreakBefore w:val="0"/>
        <w:widowControl w:val="0"/>
        <w:numPr>
          <w:ilvl w:val="2"/>
          <w:numId w:val="11"/>
        </w:numPr>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电机在</w:t>
      </w:r>
      <w:r>
        <w:rPr>
          <w:rFonts w:hint="default" w:ascii="Times New Roman" w:hAnsi="Times New Roman" w:cs="Times New Roman" w:eastAsiaTheme="minorEastAsia"/>
          <w:kern w:val="0"/>
          <w:sz w:val="21"/>
          <w:szCs w:val="21"/>
          <w:highlight w:val="none"/>
          <w:lang w:val="en-US" w:eastAsia="zh-CN"/>
        </w:rPr>
        <w:t>0</w:t>
      </w:r>
      <w:r>
        <w:rPr>
          <w:rFonts w:hint="default" w:ascii="Times New Roman" w:hAnsi="Times New Roman" w:cs="Times New Roman" w:eastAsiaTheme="minorEastAsia"/>
          <w:kern w:val="0"/>
          <w:sz w:val="21"/>
          <w:szCs w:val="21"/>
          <w:highlight w:val="none"/>
          <w:lang w:eastAsia="zh-CN"/>
        </w:rPr>
        <w:t>℃</w:t>
      </w:r>
      <w:r>
        <w:rPr>
          <w:rFonts w:hint="default" w:ascii="Times New Roman" w:hAnsi="Times New Roman" w:cs="Times New Roman" w:eastAsiaTheme="minorEastAsia"/>
          <w:kern w:val="0"/>
          <w:sz w:val="21"/>
          <w:szCs w:val="21"/>
          <w:highlight w:val="none"/>
          <w:lang w:val="en-US" w:eastAsia="zh-CN"/>
        </w:rPr>
        <w:t>-</w:t>
      </w:r>
      <w:r>
        <w:rPr>
          <w:rFonts w:hint="default" w:ascii="Times New Roman" w:hAnsi="Times New Roman" w:cs="Times New Roman" w:eastAsiaTheme="minorEastAsia"/>
          <w:kern w:val="0"/>
          <w:sz w:val="21"/>
          <w:szCs w:val="21"/>
          <w:highlight w:val="none"/>
          <w:lang w:eastAsia="zh-CN"/>
        </w:rPr>
        <w:t>25℃环境温度下相间、对地绝缘电阻均应大于1000MΩ。</w:t>
      </w:r>
    </w:p>
    <w:p>
      <w:pPr>
        <w:keepNext w:val="0"/>
        <w:keepLines w:val="0"/>
        <w:pageBreakBefore w:val="0"/>
        <w:widowControl w:val="0"/>
        <w:numPr>
          <w:ilvl w:val="2"/>
          <w:numId w:val="11"/>
        </w:numPr>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电机三相绕组直流电阻不平衡率不得大于3%。</w:t>
      </w:r>
    </w:p>
    <w:p>
      <w:pPr>
        <w:keepNext w:val="0"/>
        <w:keepLines w:val="0"/>
        <w:pageBreakBefore w:val="0"/>
        <w:widowControl w:val="0"/>
        <w:numPr>
          <w:ilvl w:val="2"/>
          <w:numId w:val="11"/>
        </w:numPr>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成品电</w:t>
      </w:r>
      <w:r>
        <w:rPr>
          <w:rFonts w:hint="default" w:ascii="Times New Roman" w:hAnsi="Times New Roman" w:cs="Times New Roman" w:eastAsiaTheme="minorEastAsia"/>
          <w:color w:val="0D0D0D"/>
          <w:kern w:val="0"/>
          <w:sz w:val="20"/>
          <w:szCs w:val="18"/>
          <w:highlight w:val="none"/>
          <w:lang w:eastAsia="zh-CN"/>
        </w:rPr>
        <w:t>机应预</w:t>
      </w:r>
      <w:r>
        <w:rPr>
          <w:rFonts w:hint="default" w:ascii="Times New Roman" w:hAnsi="Times New Roman" w:cs="Times New Roman" w:eastAsiaTheme="minorEastAsia"/>
          <w:kern w:val="0"/>
          <w:sz w:val="21"/>
          <w:szCs w:val="21"/>
          <w:highlight w:val="none"/>
          <w:lang w:eastAsia="zh-CN"/>
        </w:rPr>
        <w:t>注新的合格电机油，电机油耐温不低于200℃，电机到货静置24小时后，无渗漏。</w:t>
      </w:r>
    </w:p>
    <w:p>
      <w:pPr>
        <w:keepNext w:val="0"/>
        <w:keepLines w:val="0"/>
        <w:pageBreakBefore w:val="0"/>
        <w:widowControl w:val="0"/>
        <w:numPr>
          <w:ilvl w:val="2"/>
          <w:numId w:val="11"/>
        </w:numPr>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电机本体上应有清晰牢固的产品标识及相关信息，包括：产品名称及型号，额定功率，额定频率，额定电压，额定电流，额定转速，出厂日期和产品出厂编号，重量，长度，制造厂名称、地址。非常规产品（防腐等）应进行标识。</w:t>
      </w:r>
    </w:p>
    <w:p>
      <w:pPr>
        <w:keepNext w:val="0"/>
        <w:keepLines w:val="0"/>
        <w:pageBreakBefore w:val="0"/>
        <w:widowControl w:val="0"/>
        <w:numPr>
          <w:ilvl w:val="2"/>
          <w:numId w:val="11"/>
        </w:numPr>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整机能承受压力为0.5MPa气压，历时5min的密封性能试验，各密封连接部位不泄漏。</w:t>
      </w:r>
    </w:p>
    <w:p>
      <w:pPr>
        <w:keepNext w:val="0"/>
        <w:keepLines w:val="0"/>
        <w:pageBreakBefore w:val="0"/>
        <w:widowControl w:val="0"/>
        <w:numPr>
          <w:ilvl w:val="2"/>
          <w:numId w:val="11"/>
        </w:numPr>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整机连接全部采用内外六角螺钉，采用法兰形式连接。</w:t>
      </w:r>
    </w:p>
    <w:p>
      <w:pPr>
        <w:numPr>
          <w:ilvl w:val="2"/>
          <w:numId w:val="11"/>
        </w:numPr>
        <w:autoSpaceDE w:val="0"/>
        <w:autoSpaceDN w:val="0"/>
        <w:adjustRightInd w:val="0"/>
        <w:spacing w:line="360" w:lineRule="auto"/>
        <w:ind w:left="567" w:hanging="567"/>
        <w:jc w:val="both"/>
        <w:rPr>
          <w:rFonts w:hint="eastAsia" w:cs="黑体" w:asciiTheme="minorEastAsia" w:hAnsiTheme="minorEastAsia" w:eastAsiaTheme="minorEastAsia"/>
          <w:kern w:val="0"/>
          <w:sz w:val="22"/>
          <w:szCs w:val="22"/>
          <w:highlight w:val="none"/>
          <w:lang w:eastAsia="zh-CN"/>
        </w:rPr>
      </w:pPr>
      <w:r>
        <w:rPr>
          <w:rFonts w:hint="eastAsia" w:cs="黑体" w:asciiTheme="minorEastAsia" w:hAnsiTheme="minorEastAsia" w:eastAsiaTheme="minorEastAsia"/>
          <w:kern w:val="0"/>
          <w:sz w:val="22"/>
          <w:szCs w:val="22"/>
          <w:highlight w:val="none"/>
          <w:lang w:eastAsia="zh-CN"/>
        </w:rPr>
        <w:t>其它材质要求：</w:t>
      </w:r>
    </w:p>
    <w:p>
      <w:pPr>
        <w:numPr>
          <w:ilvl w:val="0"/>
          <w:numId w:val="12"/>
        </w:numPr>
        <w:autoSpaceDE w:val="0"/>
        <w:autoSpaceDN w:val="0"/>
        <w:adjustRightInd w:val="0"/>
        <w:spacing w:line="360" w:lineRule="auto"/>
        <w:ind w:right="11" w:firstLine="0"/>
        <w:jc w:val="both"/>
        <w:rPr>
          <w:rFonts w:ascii="Times New Roman" w:hAnsi="Times New Roman" w:cs="Times New Roman" w:eastAsiaTheme="minorEastAsia"/>
          <w:kern w:val="0"/>
          <w:sz w:val="21"/>
          <w:szCs w:val="20"/>
          <w:highlight w:val="none"/>
          <w:lang w:eastAsia="zh-CN"/>
        </w:rPr>
      </w:pPr>
      <w:r>
        <w:rPr>
          <w:rFonts w:hint="eastAsia" w:cs="黑体" w:asciiTheme="minorEastAsia" w:hAnsiTheme="minorEastAsia" w:eastAsiaTheme="minorEastAsia"/>
          <w:kern w:val="0"/>
          <w:sz w:val="22"/>
          <w:szCs w:val="22"/>
          <w:highlight w:val="none"/>
          <w:lang w:eastAsia="zh-CN"/>
        </w:rPr>
        <w:t>投标人需提供永磁体的牌号，招标方可以进行检验验证。</w:t>
      </w:r>
    </w:p>
    <w:p>
      <w:pPr>
        <w:numPr>
          <w:ilvl w:val="0"/>
          <w:numId w:val="12"/>
        </w:numPr>
        <w:autoSpaceDE w:val="0"/>
        <w:autoSpaceDN w:val="0"/>
        <w:adjustRightInd w:val="0"/>
        <w:spacing w:line="360" w:lineRule="auto"/>
        <w:ind w:right="11" w:firstLine="0"/>
        <w:jc w:val="both"/>
        <w:rPr>
          <w:rFonts w:ascii="Times New Roman" w:hAnsi="Times New Roman" w:cs="Times New Roman" w:eastAsiaTheme="minorEastAsia"/>
          <w:kern w:val="0"/>
          <w:sz w:val="21"/>
          <w:szCs w:val="20"/>
          <w:highlight w:val="none"/>
          <w:lang w:eastAsia="zh-CN"/>
        </w:rPr>
      </w:pPr>
      <w:r>
        <w:rPr>
          <w:rFonts w:hint="eastAsia" w:cs="黑体" w:asciiTheme="minorEastAsia" w:hAnsiTheme="minorEastAsia" w:eastAsiaTheme="minorEastAsia"/>
          <w:color w:val="0D0D0D"/>
          <w:kern w:val="0"/>
          <w:sz w:val="22"/>
          <w:szCs w:val="22"/>
          <w:highlight w:val="none"/>
          <w:lang w:eastAsia="zh-CN"/>
        </w:rPr>
        <w:t>电壳体用</w:t>
      </w:r>
      <w:r>
        <w:rPr>
          <w:rFonts w:hint="eastAsia" w:ascii="Times New Roman" w:hAnsi="Times New Roman" w:cs="Times New Roman" w:eastAsiaTheme="minorEastAsia"/>
          <w:kern w:val="0"/>
          <w:sz w:val="21"/>
          <w:szCs w:val="20"/>
          <w:highlight w:val="none"/>
          <w:lang w:eastAsia="zh-CN"/>
        </w:rPr>
        <w:t>9Cr1Mo，材质应满足</w:t>
      </w:r>
    </w:p>
    <w:tbl>
      <w:tblPr>
        <w:tblStyle w:val="11"/>
        <w:tblW w:w="4991" w:type="pct"/>
        <w:tblInd w:w="-34" w:type="dxa"/>
        <w:tblLayout w:type="fixed"/>
        <w:tblCellMar>
          <w:top w:w="0" w:type="dxa"/>
          <w:left w:w="0" w:type="dxa"/>
          <w:bottom w:w="0" w:type="dxa"/>
          <w:right w:w="0" w:type="dxa"/>
        </w:tblCellMar>
      </w:tblPr>
      <w:tblGrid>
        <w:gridCol w:w="731"/>
        <w:gridCol w:w="1315"/>
        <w:gridCol w:w="177"/>
        <w:gridCol w:w="553"/>
        <w:gridCol w:w="532"/>
        <w:gridCol w:w="340"/>
        <w:gridCol w:w="877"/>
        <w:gridCol w:w="730"/>
        <w:gridCol w:w="728"/>
        <w:gridCol w:w="685"/>
        <w:gridCol w:w="723"/>
        <w:gridCol w:w="723"/>
        <w:gridCol w:w="640"/>
      </w:tblGrid>
      <w:tr>
        <w:tblPrEx>
          <w:tblCellMar>
            <w:top w:w="0" w:type="dxa"/>
            <w:left w:w="0" w:type="dxa"/>
            <w:bottom w:w="0" w:type="dxa"/>
            <w:right w:w="0" w:type="dxa"/>
          </w:tblCellMar>
        </w:tblPrEx>
        <w:trPr>
          <w:trHeight w:val="331" w:hRule="atLeast"/>
        </w:trPr>
        <w:tc>
          <w:tcPr>
            <w:tcW w:w="417" w:type="pct"/>
            <w:vMerge w:val="restart"/>
            <w:tcBorders>
              <w:top w:val="single" w:color="auto" w:sz="4" w:space="0"/>
              <w:left w:val="single" w:color="auto" w:sz="4"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序号</w:t>
            </w:r>
          </w:p>
        </w:tc>
        <w:tc>
          <w:tcPr>
            <w:tcW w:w="751" w:type="pct"/>
            <w:vMerge w:val="restart"/>
            <w:tcBorders>
              <w:top w:val="single" w:color="auto" w:sz="4"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牌号名称</w:t>
            </w:r>
          </w:p>
        </w:tc>
        <w:tc>
          <w:tcPr>
            <w:tcW w:w="101" w:type="pct"/>
            <w:tcBorders>
              <w:top w:val="single" w:color="auto" w:sz="4" w:space="0"/>
              <w:left w:val="nil"/>
              <w:bottom w:val="single" w:color="auto" w:sz="8" w:space="0"/>
              <w:right w:val="nil"/>
            </w:tcBorders>
          </w:tcPr>
          <w:p>
            <w:pPr>
              <w:jc w:val="center"/>
              <w:rPr>
                <w:rFonts w:ascii="Times New Roman" w:hAnsi="Times New Roman" w:cs="Times New Roman" w:eastAsiaTheme="minorEastAsia"/>
                <w:color w:val="0D0D0D"/>
                <w:kern w:val="0"/>
                <w:sz w:val="18"/>
                <w:szCs w:val="18"/>
                <w:highlight w:val="none"/>
                <w:lang w:eastAsia="en-US"/>
              </w:rPr>
            </w:pPr>
          </w:p>
        </w:tc>
        <w:tc>
          <w:tcPr>
            <w:tcW w:w="620" w:type="pct"/>
            <w:gridSpan w:val="2"/>
            <w:tcBorders>
              <w:top w:val="single" w:color="auto" w:sz="4" w:space="0"/>
              <w:left w:val="nil"/>
              <w:bottom w:val="single" w:color="auto" w:sz="8" w:space="0"/>
              <w:right w:val="nil"/>
            </w:tcBorders>
          </w:tcPr>
          <w:p>
            <w:pPr>
              <w:jc w:val="center"/>
              <w:rPr>
                <w:rFonts w:ascii="Times New Roman" w:hAnsi="Times New Roman" w:cs="Times New Roman" w:eastAsiaTheme="minorEastAsia"/>
                <w:color w:val="0D0D0D"/>
                <w:kern w:val="0"/>
                <w:sz w:val="18"/>
                <w:szCs w:val="18"/>
                <w:highlight w:val="none"/>
                <w:lang w:eastAsia="en-US"/>
              </w:rPr>
            </w:pPr>
          </w:p>
        </w:tc>
        <w:tc>
          <w:tcPr>
            <w:tcW w:w="3112" w:type="pct"/>
            <w:gridSpan w:val="8"/>
            <w:tcBorders>
              <w:top w:val="single" w:color="auto" w:sz="4" w:space="0"/>
              <w:left w:val="nil"/>
              <w:bottom w:val="single" w:color="auto" w:sz="8" w:space="0"/>
              <w:right w:val="single" w:color="auto" w:sz="4" w:space="0"/>
            </w:tcBorders>
            <w:tcMar>
              <w:top w:w="0" w:type="dxa"/>
              <w:left w:w="108" w:type="dxa"/>
              <w:bottom w:w="0" w:type="dxa"/>
              <w:right w:w="108" w:type="dxa"/>
            </w:tcMar>
          </w:tcPr>
          <w:p>
            <w:pPr>
              <w:jc w:val="center"/>
              <w:rPr>
                <w:rFonts w:ascii="Times New Roman" w:hAnsi="Times New Roman" w:cs="Times New Roman" w:eastAsiaTheme="minorEastAsia"/>
                <w:color w:val="0D0D0D"/>
                <w:kern w:val="0"/>
                <w:sz w:val="18"/>
                <w:szCs w:val="18"/>
                <w:highlight w:val="none"/>
                <w:lang w:eastAsia="zh-CN"/>
              </w:rPr>
            </w:pPr>
            <w:r>
              <w:rPr>
                <w:rFonts w:ascii="Times New Roman" w:hAnsi="Times New Roman" w:cs="Times New Roman" w:eastAsiaTheme="minorEastAsia"/>
                <w:color w:val="0D0D0D"/>
                <w:kern w:val="0"/>
                <w:sz w:val="18"/>
                <w:szCs w:val="18"/>
                <w:highlight w:val="none"/>
                <w:lang w:eastAsia="zh-CN"/>
              </w:rPr>
              <w:t>化学成分（质量分数）%</w:t>
            </w:r>
          </w:p>
        </w:tc>
      </w:tr>
      <w:tr>
        <w:tblPrEx>
          <w:tblCellMar>
            <w:top w:w="0" w:type="dxa"/>
            <w:left w:w="0" w:type="dxa"/>
            <w:bottom w:w="0" w:type="dxa"/>
            <w:right w:w="0" w:type="dxa"/>
          </w:tblCellMar>
        </w:tblPrEx>
        <w:trPr>
          <w:trHeight w:val="407" w:hRule="atLeast"/>
        </w:trPr>
        <w:tc>
          <w:tcPr>
            <w:tcW w:w="417" w:type="pct"/>
            <w:vMerge w:val="continue"/>
            <w:tcBorders>
              <w:top w:val="single" w:color="auto" w:sz="8" w:space="0"/>
              <w:left w:val="single" w:color="auto" w:sz="4" w:space="0"/>
              <w:bottom w:val="single" w:color="auto" w:sz="8" w:space="0"/>
              <w:right w:val="single" w:color="auto" w:sz="8" w:space="0"/>
            </w:tcBorders>
            <w:vAlign w:val="center"/>
          </w:tcPr>
          <w:p>
            <w:pPr>
              <w:jc w:val="left"/>
              <w:rPr>
                <w:rFonts w:ascii="Times New Roman" w:hAnsi="Times New Roman" w:cs="Times New Roman" w:eastAsiaTheme="minorEastAsia"/>
                <w:color w:val="0D0D0D"/>
                <w:kern w:val="0"/>
                <w:sz w:val="18"/>
                <w:szCs w:val="18"/>
                <w:highlight w:val="none"/>
                <w:lang w:eastAsia="zh-CN"/>
              </w:rPr>
            </w:pPr>
          </w:p>
        </w:tc>
        <w:tc>
          <w:tcPr>
            <w:tcW w:w="751" w:type="pct"/>
            <w:vMerge w:val="continue"/>
            <w:tcBorders>
              <w:top w:val="single" w:color="auto" w:sz="8" w:space="0"/>
              <w:left w:val="nil"/>
              <w:bottom w:val="single" w:color="auto" w:sz="8" w:space="0"/>
              <w:right w:val="single" w:color="auto" w:sz="8" w:space="0"/>
            </w:tcBorders>
            <w:vAlign w:val="center"/>
          </w:tcPr>
          <w:p>
            <w:pPr>
              <w:jc w:val="left"/>
              <w:rPr>
                <w:rFonts w:ascii="Times New Roman" w:hAnsi="Times New Roman" w:cs="Times New Roman" w:eastAsiaTheme="minorEastAsia"/>
                <w:color w:val="0D0D0D"/>
                <w:kern w:val="0"/>
                <w:sz w:val="18"/>
                <w:szCs w:val="18"/>
                <w:highlight w:val="none"/>
                <w:lang w:eastAsia="zh-CN"/>
              </w:rPr>
            </w:pPr>
          </w:p>
        </w:tc>
        <w:tc>
          <w:tcPr>
            <w:tcW w:w="417" w:type="pct"/>
            <w:gridSpan w:val="2"/>
            <w:tcBorders>
              <w:top w:val="nil"/>
              <w:left w:val="nil"/>
              <w:bottom w:val="single" w:color="auto" w:sz="8" w:space="0"/>
              <w:right w:val="single" w:color="auto" w:sz="4" w:space="0"/>
            </w:tcBorders>
            <w:tcMar>
              <w:top w:w="0" w:type="dxa"/>
              <w:left w:w="108" w:type="dxa"/>
              <w:bottom w:w="0" w:type="dxa"/>
              <w:right w:w="108" w:type="dxa"/>
            </w:tcMar>
          </w:tcPr>
          <w:p>
            <w:pPr>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C</w:t>
            </w:r>
          </w:p>
        </w:tc>
        <w:tc>
          <w:tcPr>
            <w:tcW w:w="498" w:type="pct"/>
            <w:gridSpan w:val="2"/>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Mn</w:t>
            </w:r>
          </w:p>
        </w:tc>
        <w:tc>
          <w:tcPr>
            <w:tcW w:w="501" w:type="pct"/>
            <w:tcBorders>
              <w:top w:val="nil"/>
              <w:left w:val="single" w:color="auto" w:sz="4" w:space="0"/>
              <w:bottom w:val="single" w:color="auto" w:sz="8" w:space="0"/>
              <w:right w:val="single" w:color="auto" w:sz="8" w:space="0"/>
            </w:tcBorders>
            <w:tcMar>
              <w:top w:w="0" w:type="dxa"/>
              <w:left w:w="108" w:type="dxa"/>
              <w:bottom w:w="0" w:type="dxa"/>
              <w:right w:w="108" w:type="dxa"/>
            </w:tcMar>
          </w:tcPr>
          <w:p>
            <w:pPr>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Mo</w:t>
            </w:r>
          </w:p>
        </w:tc>
        <w:tc>
          <w:tcPr>
            <w:tcW w:w="417" w:type="pct"/>
            <w:tcBorders>
              <w:top w:val="nil"/>
              <w:left w:val="nil"/>
              <w:bottom w:val="single" w:color="auto" w:sz="8" w:space="0"/>
              <w:right w:val="single" w:color="auto" w:sz="8" w:space="0"/>
            </w:tcBorders>
            <w:tcMar>
              <w:top w:w="0" w:type="dxa"/>
              <w:left w:w="108" w:type="dxa"/>
              <w:bottom w:w="0" w:type="dxa"/>
              <w:right w:w="108" w:type="dxa"/>
            </w:tcMar>
          </w:tcPr>
          <w:p>
            <w:pPr>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Cr</w:t>
            </w:r>
          </w:p>
        </w:tc>
        <w:tc>
          <w:tcPr>
            <w:tcW w:w="416" w:type="pct"/>
            <w:tcBorders>
              <w:top w:val="nil"/>
              <w:left w:val="nil"/>
              <w:bottom w:val="single" w:color="auto" w:sz="8" w:space="0"/>
              <w:right w:val="single" w:color="auto" w:sz="8" w:space="0"/>
            </w:tcBorders>
            <w:tcMar>
              <w:top w:w="0" w:type="dxa"/>
              <w:left w:w="108" w:type="dxa"/>
              <w:bottom w:w="0" w:type="dxa"/>
              <w:right w:w="108" w:type="dxa"/>
            </w:tcMar>
          </w:tcPr>
          <w:p>
            <w:pPr>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Ni</w:t>
            </w:r>
          </w:p>
        </w:tc>
        <w:tc>
          <w:tcPr>
            <w:tcW w:w="391" w:type="pct"/>
            <w:tcBorders>
              <w:top w:val="nil"/>
              <w:left w:val="nil"/>
              <w:bottom w:val="single" w:color="auto" w:sz="8" w:space="0"/>
              <w:right w:val="single" w:color="auto" w:sz="8" w:space="0"/>
            </w:tcBorders>
            <w:tcMar>
              <w:top w:w="0" w:type="dxa"/>
              <w:left w:w="108" w:type="dxa"/>
              <w:bottom w:w="0" w:type="dxa"/>
              <w:right w:w="108" w:type="dxa"/>
            </w:tcMar>
          </w:tcPr>
          <w:p>
            <w:pPr>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Cu</w:t>
            </w:r>
          </w:p>
        </w:tc>
        <w:tc>
          <w:tcPr>
            <w:tcW w:w="413" w:type="pct"/>
            <w:tcBorders>
              <w:top w:val="nil"/>
              <w:left w:val="nil"/>
              <w:bottom w:val="single" w:color="auto" w:sz="8" w:space="0"/>
              <w:right w:val="single" w:color="auto" w:sz="8" w:space="0"/>
            </w:tcBorders>
            <w:tcMar>
              <w:top w:w="0" w:type="dxa"/>
              <w:left w:w="108" w:type="dxa"/>
              <w:bottom w:w="0" w:type="dxa"/>
              <w:right w:w="108" w:type="dxa"/>
            </w:tcMar>
          </w:tcPr>
          <w:p>
            <w:pPr>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P</w:t>
            </w:r>
          </w:p>
        </w:tc>
        <w:tc>
          <w:tcPr>
            <w:tcW w:w="413" w:type="pct"/>
            <w:tcBorders>
              <w:top w:val="nil"/>
              <w:left w:val="nil"/>
              <w:bottom w:val="single" w:color="auto" w:sz="8" w:space="0"/>
              <w:right w:val="single" w:color="auto" w:sz="8" w:space="0"/>
            </w:tcBorders>
            <w:tcMar>
              <w:top w:w="0" w:type="dxa"/>
              <w:left w:w="108" w:type="dxa"/>
              <w:bottom w:w="0" w:type="dxa"/>
              <w:right w:w="108" w:type="dxa"/>
            </w:tcMar>
          </w:tcPr>
          <w:p>
            <w:pPr>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S</w:t>
            </w:r>
          </w:p>
        </w:tc>
        <w:tc>
          <w:tcPr>
            <w:tcW w:w="367" w:type="pct"/>
            <w:tcBorders>
              <w:top w:val="nil"/>
              <w:left w:val="nil"/>
              <w:bottom w:val="single" w:color="auto" w:sz="8" w:space="0"/>
              <w:right w:val="single" w:color="auto" w:sz="4" w:space="0"/>
            </w:tcBorders>
            <w:tcMar>
              <w:top w:w="0" w:type="dxa"/>
              <w:left w:w="108" w:type="dxa"/>
              <w:bottom w:w="0" w:type="dxa"/>
              <w:right w:w="108" w:type="dxa"/>
            </w:tcMar>
          </w:tcPr>
          <w:p>
            <w:pPr>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Si</w:t>
            </w:r>
          </w:p>
        </w:tc>
      </w:tr>
      <w:tr>
        <w:tblPrEx>
          <w:tblCellMar>
            <w:top w:w="0" w:type="dxa"/>
            <w:left w:w="0" w:type="dxa"/>
            <w:bottom w:w="0" w:type="dxa"/>
            <w:right w:w="0" w:type="dxa"/>
          </w:tblCellMar>
        </w:tblPrEx>
        <w:trPr>
          <w:trHeight w:val="369" w:hRule="atLeast"/>
        </w:trPr>
        <w:tc>
          <w:tcPr>
            <w:tcW w:w="417" w:type="pct"/>
            <w:tcBorders>
              <w:top w:val="nil"/>
              <w:left w:val="single" w:color="auto" w:sz="4" w:space="0"/>
              <w:bottom w:val="single" w:color="auto" w:sz="4"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1</w:t>
            </w:r>
          </w:p>
        </w:tc>
        <w:tc>
          <w:tcPr>
            <w:tcW w:w="751" w:type="pct"/>
            <w:tcBorders>
              <w:top w:val="nil"/>
              <w:left w:val="nil"/>
              <w:bottom w:val="single" w:color="auto" w:sz="4" w:space="0"/>
              <w:right w:val="single" w:color="auto" w:sz="8" w:space="0"/>
            </w:tcBorders>
            <w:tcMar>
              <w:top w:w="0" w:type="dxa"/>
              <w:left w:w="108" w:type="dxa"/>
              <w:bottom w:w="0" w:type="dxa"/>
              <w:right w:w="108" w:type="dxa"/>
            </w:tcMar>
            <w:vAlign w:val="center"/>
          </w:tcPr>
          <w:p>
            <w:pPr>
              <w:autoSpaceDE w:val="0"/>
              <w:autoSpaceDN w:val="0"/>
              <w:spacing w:line="360" w:lineRule="auto"/>
              <w:ind w:right="-109" w:rightChars="-52"/>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9Cr1Mo</w:t>
            </w:r>
          </w:p>
        </w:tc>
        <w:tc>
          <w:tcPr>
            <w:tcW w:w="417" w:type="pct"/>
            <w:gridSpan w:val="2"/>
            <w:tcBorders>
              <w:top w:val="nil"/>
              <w:left w:val="nil"/>
              <w:bottom w:val="single" w:color="auto" w:sz="4" w:space="0"/>
              <w:right w:val="single" w:color="auto" w:sz="4" w:space="0"/>
            </w:tcBorders>
            <w:tcMar>
              <w:top w:w="0" w:type="dxa"/>
              <w:left w:w="108" w:type="dxa"/>
              <w:bottom w:w="0" w:type="dxa"/>
              <w:right w:w="108" w:type="dxa"/>
            </w:tcMar>
            <w:vAlign w:val="center"/>
          </w:tcPr>
          <w:p>
            <w:pPr>
              <w:ind w:left="-107" w:leftChars="-51" w:right="-105" w:rightChars="-50"/>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0.15</w:t>
            </w:r>
          </w:p>
          <w:p>
            <w:pPr>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max</w:t>
            </w:r>
          </w:p>
        </w:tc>
        <w:tc>
          <w:tcPr>
            <w:tcW w:w="498" w:type="pct"/>
            <w:gridSpan w:val="2"/>
            <w:tcBorders>
              <w:top w:val="single" w:color="auto" w:sz="4" w:space="0"/>
              <w:left w:val="single" w:color="auto" w:sz="4" w:space="0"/>
              <w:bottom w:val="single" w:color="auto" w:sz="4" w:space="0"/>
              <w:right w:val="single" w:color="auto" w:sz="4" w:space="0"/>
            </w:tcBorders>
            <w:vAlign w:val="center"/>
          </w:tcPr>
          <w:p>
            <w:pPr>
              <w:ind w:left="-4" w:leftChars="-2" w:right="-42" w:rightChars="-20"/>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0.3-0.6</w:t>
            </w:r>
          </w:p>
        </w:tc>
        <w:tc>
          <w:tcPr>
            <w:tcW w:w="501" w:type="pct"/>
            <w:tcBorders>
              <w:top w:val="nil"/>
              <w:left w:val="single" w:color="auto" w:sz="4" w:space="0"/>
              <w:bottom w:val="single" w:color="auto" w:sz="4" w:space="0"/>
              <w:right w:val="single" w:color="auto" w:sz="8" w:space="0"/>
            </w:tcBorders>
            <w:tcMar>
              <w:top w:w="0" w:type="dxa"/>
              <w:left w:w="108" w:type="dxa"/>
              <w:bottom w:w="0" w:type="dxa"/>
              <w:right w:w="108" w:type="dxa"/>
            </w:tcMar>
            <w:vAlign w:val="center"/>
          </w:tcPr>
          <w:p>
            <w:pPr>
              <w:ind w:left="-92" w:leftChars="-44" w:right="-107" w:rightChars="-51"/>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0.9-1.1</w:t>
            </w:r>
          </w:p>
        </w:tc>
        <w:tc>
          <w:tcPr>
            <w:tcW w:w="417" w:type="pct"/>
            <w:tcBorders>
              <w:top w:val="nil"/>
              <w:left w:val="nil"/>
              <w:bottom w:val="single" w:color="auto" w:sz="4" w:space="0"/>
              <w:right w:val="single" w:color="auto" w:sz="8" w:space="0"/>
            </w:tcBorders>
            <w:tcMar>
              <w:top w:w="0" w:type="dxa"/>
              <w:left w:w="108" w:type="dxa"/>
              <w:bottom w:w="0" w:type="dxa"/>
              <w:right w:w="108" w:type="dxa"/>
            </w:tcMar>
            <w:vAlign w:val="center"/>
          </w:tcPr>
          <w:p>
            <w:pPr>
              <w:ind w:right="-109" w:rightChars="-52"/>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8-10</w:t>
            </w:r>
          </w:p>
        </w:tc>
        <w:tc>
          <w:tcPr>
            <w:tcW w:w="416" w:type="pct"/>
            <w:tcBorders>
              <w:top w:val="nil"/>
              <w:left w:val="nil"/>
              <w:bottom w:val="single" w:color="auto" w:sz="4" w:space="0"/>
              <w:right w:val="single" w:color="auto" w:sz="8" w:space="0"/>
            </w:tcBorders>
            <w:tcMar>
              <w:top w:w="0" w:type="dxa"/>
              <w:left w:w="108" w:type="dxa"/>
              <w:bottom w:w="0" w:type="dxa"/>
              <w:right w:w="108" w:type="dxa"/>
            </w:tcMar>
            <w:vAlign w:val="center"/>
          </w:tcPr>
          <w:p>
            <w:pPr>
              <w:ind w:left="-103" w:leftChars="-49" w:right="-109" w:rightChars="-52" w:firstLine="28" w:firstLineChars="16"/>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0.5</w:t>
            </w:r>
          </w:p>
          <w:p>
            <w:pPr>
              <w:ind w:left="-103" w:leftChars="-49" w:right="-109" w:rightChars="-52" w:firstLine="28" w:firstLineChars="16"/>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max</w:t>
            </w:r>
          </w:p>
        </w:tc>
        <w:tc>
          <w:tcPr>
            <w:tcW w:w="391" w:type="pct"/>
            <w:tcBorders>
              <w:top w:val="nil"/>
              <w:left w:val="nil"/>
              <w:bottom w:val="single" w:color="auto" w:sz="4"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0.20</w:t>
            </w:r>
          </w:p>
          <w:p>
            <w:pPr>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max</w:t>
            </w:r>
          </w:p>
        </w:tc>
        <w:tc>
          <w:tcPr>
            <w:tcW w:w="413" w:type="pct"/>
            <w:tcBorders>
              <w:top w:val="nil"/>
              <w:left w:val="nil"/>
              <w:bottom w:val="single" w:color="auto" w:sz="4" w:space="0"/>
              <w:right w:val="single" w:color="auto" w:sz="8" w:space="0"/>
            </w:tcBorders>
            <w:tcMar>
              <w:top w:w="0" w:type="dxa"/>
              <w:left w:w="108" w:type="dxa"/>
              <w:bottom w:w="0" w:type="dxa"/>
              <w:right w:w="108" w:type="dxa"/>
            </w:tcMar>
            <w:vAlign w:val="center"/>
          </w:tcPr>
          <w:p>
            <w:pPr>
              <w:ind w:left="-88" w:leftChars="-42" w:right="-126" w:rightChars="-60"/>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0.02</w:t>
            </w:r>
          </w:p>
          <w:p>
            <w:pPr>
              <w:ind w:left="-88" w:leftChars="-42" w:right="-126" w:rightChars="-60"/>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max</w:t>
            </w:r>
          </w:p>
        </w:tc>
        <w:tc>
          <w:tcPr>
            <w:tcW w:w="413" w:type="pct"/>
            <w:tcBorders>
              <w:top w:val="nil"/>
              <w:left w:val="nil"/>
              <w:bottom w:val="single" w:color="auto" w:sz="4" w:space="0"/>
              <w:right w:val="single" w:color="auto" w:sz="8" w:space="0"/>
            </w:tcBorders>
            <w:tcMar>
              <w:top w:w="0" w:type="dxa"/>
              <w:left w:w="108" w:type="dxa"/>
              <w:bottom w:w="0" w:type="dxa"/>
              <w:right w:w="108" w:type="dxa"/>
            </w:tcMar>
            <w:vAlign w:val="center"/>
          </w:tcPr>
          <w:p>
            <w:pPr>
              <w:ind w:left="-94" w:leftChars="-45" w:right="-103" w:rightChars="-49"/>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0.01</w:t>
            </w:r>
          </w:p>
          <w:p>
            <w:pPr>
              <w:ind w:left="-94" w:leftChars="-45" w:right="-103" w:rightChars="-49"/>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max</w:t>
            </w:r>
          </w:p>
        </w:tc>
        <w:tc>
          <w:tcPr>
            <w:tcW w:w="367" w:type="pct"/>
            <w:tcBorders>
              <w:top w:val="nil"/>
              <w:left w:val="nil"/>
              <w:bottom w:val="single" w:color="auto" w:sz="4" w:space="0"/>
              <w:right w:val="single" w:color="auto" w:sz="4" w:space="0"/>
            </w:tcBorders>
            <w:tcMar>
              <w:top w:w="0" w:type="dxa"/>
              <w:left w:w="108" w:type="dxa"/>
              <w:bottom w:w="0" w:type="dxa"/>
              <w:right w:w="108" w:type="dxa"/>
            </w:tcMar>
            <w:vAlign w:val="center"/>
          </w:tcPr>
          <w:p>
            <w:pPr>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1</w:t>
            </w:r>
          </w:p>
          <w:p>
            <w:pPr>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max</w:t>
            </w:r>
          </w:p>
        </w:tc>
      </w:tr>
    </w:tbl>
    <w:p>
      <w:pPr>
        <w:jc w:val="both"/>
        <w:rPr>
          <w:rFonts w:ascii="Times New Roman" w:hAnsi="Times New Roman" w:cs="Times New Roman" w:eastAsiaTheme="minorEastAsia"/>
          <w:vanish/>
          <w:color w:val="0D0D0D"/>
          <w:kern w:val="0"/>
          <w:sz w:val="21"/>
          <w:szCs w:val="20"/>
          <w:highlight w:val="none"/>
          <w:lang w:eastAsia="en-US"/>
        </w:rPr>
      </w:pPr>
    </w:p>
    <w:tbl>
      <w:tblPr>
        <w:tblStyle w:val="11"/>
        <w:tblW w:w="4991" w:type="pct"/>
        <w:tblInd w:w="-34" w:type="dxa"/>
        <w:tblLayout w:type="autofit"/>
        <w:tblCellMar>
          <w:top w:w="0" w:type="dxa"/>
          <w:left w:w="0" w:type="dxa"/>
          <w:bottom w:w="0" w:type="dxa"/>
          <w:right w:w="0" w:type="dxa"/>
        </w:tblCellMar>
      </w:tblPr>
      <w:tblGrid>
        <w:gridCol w:w="730"/>
        <w:gridCol w:w="1314"/>
        <w:gridCol w:w="2184"/>
        <w:gridCol w:w="2480"/>
        <w:gridCol w:w="2043"/>
      </w:tblGrid>
      <w:tr>
        <w:tblPrEx>
          <w:tblCellMar>
            <w:top w:w="0" w:type="dxa"/>
            <w:left w:w="0" w:type="dxa"/>
            <w:bottom w:w="0" w:type="dxa"/>
            <w:right w:w="0" w:type="dxa"/>
          </w:tblCellMar>
        </w:tblPrEx>
        <w:tc>
          <w:tcPr>
            <w:tcW w:w="417" w:type="pct"/>
            <w:vMerge w:val="restart"/>
            <w:tcBorders>
              <w:top w:val="single" w:color="auto" w:sz="4" w:space="0"/>
              <w:left w:val="single" w:color="auto" w:sz="4"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序号</w:t>
            </w:r>
          </w:p>
        </w:tc>
        <w:tc>
          <w:tcPr>
            <w:tcW w:w="751" w:type="pct"/>
            <w:vMerge w:val="restart"/>
            <w:tcBorders>
              <w:top w:val="single" w:color="auto" w:sz="4" w:space="0"/>
              <w:left w:val="nil"/>
              <w:bottom w:val="single" w:color="auto" w:sz="8" w:space="0"/>
              <w:right w:val="single" w:color="auto" w:sz="8" w:space="0"/>
            </w:tcBorders>
            <w:tcMar>
              <w:top w:w="0" w:type="dxa"/>
              <w:left w:w="108" w:type="dxa"/>
              <w:bottom w:w="0" w:type="dxa"/>
              <w:right w:w="108" w:type="dxa"/>
            </w:tcMar>
            <w:vAlign w:val="center"/>
          </w:tcPr>
          <w:p>
            <w:pPr>
              <w:autoSpaceDE w:val="0"/>
              <w:autoSpaceDN w:val="0"/>
              <w:spacing w:line="360" w:lineRule="auto"/>
              <w:jc w:val="center"/>
              <w:rPr>
                <w:rFonts w:ascii="Times New Roman" w:hAnsi="Times New Roman" w:cs="Times New Roman" w:eastAsiaTheme="minorEastAsia"/>
                <w:color w:val="0D0D0D"/>
                <w:kern w:val="0"/>
                <w:sz w:val="21"/>
                <w:szCs w:val="20"/>
                <w:highlight w:val="none"/>
                <w:lang w:eastAsia="en-US"/>
              </w:rPr>
            </w:pPr>
            <w:r>
              <w:rPr>
                <w:rFonts w:ascii="Times New Roman" w:hAnsi="Times New Roman" w:cs="Times New Roman" w:eastAsiaTheme="minorEastAsia"/>
                <w:color w:val="0D0D0D"/>
                <w:kern w:val="0"/>
                <w:sz w:val="18"/>
                <w:szCs w:val="18"/>
                <w:highlight w:val="none"/>
                <w:lang w:eastAsia="en-US"/>
              </w:rPr>
              <w:t>牌号名称</w:t>
            </w:r>
          </w:p>
        </w:tc>
        <w:tc>
          <w:tcPr>
            <w:tcW w:w="3832" w:type="pct"/>
            <w:gridSpan w:val="3"/>
            <w:tcBorders>
              <w:top w:val="single" w:color="auto" w:sz="4" w:space="0"/>
              <w:left w:val="nil"/>
              <w:bottom w:val="single" w:color="auto" w:sz="8" w:space="0"/>
              <w:right w:val="single" w:color="auto" w:sz="4" w:space="0"/>
            </w:tcBorders>
            <w:tcMar>
              <w:top w:w="0" w:type="dxa"/>
              <w:left w:w="108" w:type="dxa"/>
              <w:bottom w:w="0" w:type="dxa"/>
              <w:right w:w="108" w:type="dxa"/>
            </w:tcMar>
            <w:vAlign w:val="center"/>
          </w:tcPr>
          <w:p>
            <w:pPr>
              <w:autoSpaceDE w:val="0"/>
              <w:autoSpaceDN w:val="0"/>
              <w:spacing w:line="360" w:lineRule="auto"/>
              <w:jc w:val="center"/>
              <w:rPr>
                <w:rFonts w:ascii="Times New Roman" w:hAnsi="Times New Roman" w:cs="Times New Roman" w:eastAsiaTheme="minorEastAsia"/>
                <w:color w:val="0D0D0D"/>
                <w:kern w:val="0"/>
                <w:sz w:val="21"/>
                <w:szCs w:val="21"/>
                <w:highlight w:val="none"/>
                <w:lang w:eastAsia="en-US"/>
              </w:rPr>
            </w:pPr>
            <w:r>
              <w:rPr>
                <w:rFonts w:ascii="Times New Roman" w:hAnsi="Times New Roman" w:cs="Times New Roman" w:eastAsiaTheme="minorEastAsia"/>
                <w:color w:val="0D0D0D"/>
                <w:kern w:val="0"/>
                <w:sz w:val="21"/>
                <w:szCs w:val="21"/>
                <w:highlight w:val="none"/>
                <w:lang w:eastAsia="en-US"/>
              </w:rPr>
              <w:t>力学性能</w:t>
            </w:r>
          </w:p>
        </w:tc>
      </w:tr>
      <w:tr>
        <w:tblPrEx>
          <w:tblCellMar>
            <w:top w:w="0" w:type="dxa"/>
            <w:left w:w="0" w:type="dxa"/>
            <w:bottom w:w="0" w:type="dxa"/>
            <w:right w:w="0" w:type="dxa"/>
          </w:tblCellMar>
        </w:tblPrEx>
        <w:tc>
          <w:tcPr>
            <w:tcW w:w="417" w:type="pct"/>
            <w:vMerge w:val="continue"/>
            <w:tcBorders>
              <w:top w:val="single" w:color="auto" w:sz="8" w:space="0"/>
              <w:left w:val="single" w:color="auto" w:sz="4" w:space="0"/>
              <w:bottom w:val="single" w:color="auto" w:sz="8" w:space="0"/>
              <w:right w:val="single" w:color="auto" w:sz="8" w:space="0"/>
            </w:tcBorders>
            <w:vAlign w:val="center"/>
          </w:tcPr>
          <w:p>
            <w:pPr>
              <w:jc w:val="left"/>
              <w:rPr>
                <w:rFonts w:ascii="Times New Roman" w:hAnsi="Times New Roman" w:cs="Times New Roman" w:eastAsiaTheme="minorEastAsia"/>
                <w:color w:val="0D0D0D"/>
                <w:kern w:val="0"/>
                <w:sz w:val="18"/>
                <w:szCs w:val="18"/>
                <w:highlight w:val="none"/>
                <w:lang w:eastAsia="en-US"/>
              </w:rPr>
            </w:pPr>
          </w:p>
        </w:tc>
        <w:tc>
          <w:tcPr>
            <w:tcW w:w="751" w:type="pct"/>
            <w:vMerge w:val="continue"/>
            <w:tcBorders>
              <w:top w:val="single" w:color="auto" w:sz="8" w:space="0"/>
              <w:left w:val="nil"/>
              <w:bottom w:val="single" w:color="auto" w:sz="8" w:space="0"/>
              <w:right w:val="single" w:color="auto" w:sz="8" w:space="0"/>
            </w:tcBorders>
            <w:vAlign w:val="center"/>
          </w:tcPr>
          <w:p>
            <w:pPr>
              <w:jc w:val="left"/>
              <w:rPr>
                <w:rFonts w:ascii="Times New Roman" w:hAnsi="Times New Roman" w:cs="Times New Roman" w:eastAsiaTheme="minorEastAsia"/>
                <w:color w:val="0D0D0D"/>
                <w:kern w:val="0"/>
                <w:sz w:val="21"/>
                <w:szCs w:val="20"/>
                <w:highlight w:val="none"/>
                <w:lang w:eastAsia="en-US"/>
              </w:rPr>
            </w:pPr>
          </w:p>
        </w:tc>
        <w:tc>
          <w:tcPr>
            <w:tcW w:w="1248" w:type="pct"/>
            <w:tcBorders>
              <w:top w:val="nil"/>
              <w:left w:val="nil"/>
              <w:bottom w:val="single" w:color="auto" w:sz="8" w:space="0"/>
              <w:right w:val="single" w:color="auto" w:sz="8" w:space="0"/>
            </w:tcBorders>
            <w:tcMar>
              <w:top w:w="0" w:type="dxa"/>
              <w:left w:w="108" w:type="dxa"/>
              <w:bottom w:w="0" w:type="dxa"/>
              <w:right w:w="108" w:type="dxa"/>
            </w:tcMar>
            <w:vAlign w:val="center"/>
          </w:tcPr>
          <w:p>
            <w:pPr>
              <w:autoSpaceDE w:val="0"/>
              <w:autoSpaceDN w:val="0"/>
              <w:jc w:val="center"/>
              <w:rPr>
                <w:rFonts w:ascii="Times New Roman" w:hAnsi="Times New Roman" w:cs="Times New Roman" w:eastAsiaTheme="minorEastAsia"/>
                <w:color w:val="0D0D0D"/>
                <w:kern w:val="0"/>
                <w:sz w:val="16"/>
                <w:szCs w:val="16"/>
                <w:highlight w:val="none"/>
                <w:lang w:eastAsia="en-US"/>
              </w:rPr>
            </w:pPr>
            <w:r>
              <w:rPr>
                <w:rFonts w:ascii="Times New Roman" w:hAnsi="Times New Roman" w:cs="Times New Roman" w:eastAsiaTheme="minorEastAsia"/>
                <w:color w:val="0D0D0D"/>
                <w:kern w:val="0"/>
                <w:sz w:val="16"/>
                <w:szCs w:val="16"/>
                <w:highlight w:val="none"/>
                <w:lang w:eastAsia="en-US"/>
              </w:rPr>
              <w:t>抗拉强度R</w:t>
            </w:r>
            <w:r>
              <w:rPr>
                <w:rFonts w:ascii="Times New Roman" w:hAnsi="Times New Roman" w:cs="Times New Roman" w:eastAsiaTheme="minorEastAsia"/>
                <w:color w:val="0D0D0D"/>
                <w:kern w:val="0"/>
                <w:sz w:val="16"/>
                <w:szCs w:val="16"/>
                <w:highlight w:val="none"/>
                <w:vertAlign w:val="subscript"/>
                <w:lang w:eastAsia="en-US"/>
              </w:rPr>
              <w:t>m</w:t>
            </w:r>
            <w:r>
              <w:rPr>
                <w:rFonts w:ascii="Times New Roman" w:hAnsi="Times New Roman" w:cs="Times New Roman" w:eastAsiaTheme="minorEastAsia"/>
                <w:color w:val="0D0D0D"/>
                <w:kern w:val="0"/>
                <w:sz w:val="16"/>
                <w:szCs w:val="16"/>
                <w:highlight w:val="none"/>
                <w:lang w:eastAsia="en-US"/>
              </w:rPr>
              <w:t>/MPa</w:t>
            </w:r>
          </w:p>
        </w:tc>
        <w:tc>
          <w:tcPr>
            <w:tcW w:w="1417" w:type="pct"/>
            <w:tcBorders>
              <w:top w:val="nil"/>
              <w:left w:val="nil"/>
              <w:bottom w:val="single" w:color="auto" w:sz="8" w:space="0"/>
              <w:right w:val="single" w:color="auto" w:sz="8" w:space="0"/>
            </w:tcBorders>
            <w:tcMar>
              <w:top w:w="0" w:type="dxa"/>
              <w:left w:w="108" w:type="dxa"/>
              <w:bottom w:w="0" w:type="dxa"/>
              <w:right w:w="108" w:type="dxa"/>
            </w:tcMar>
            <w:vAlign w:val="center"/>
          </w:tcPr>
          <w:p>
            <w:pPr>
              <w:autoSpaceDE w:val="0"/>
              <w:autoSpaceDN w:val="0"/>
              <w:jc w:val="center"/>
              <w:rPr>
                <w:rFonts w:ascii="Times New Roman" w:hAnsi="Times New Roman" w:cs="Times New Roman" w:eastAsiaTheme="minorEastAsia"/>
                <w:color w:val="0D0D0D"/>
                <w:kern w:val="0"/>
                <w:sz w:val="16"/>
                <w:szCs w:val="16"/>
                <w:highlight w:val="none"/>
                <w:lang w:eastAsia="en-US"/>
              </w:rPr>
            </w:pPr>
            <w:r>
              <w:rPr>
                <w:rFonts w:ascii="Times New Roman" w:hAnsi="Times New Roman" w:cs="Times New Roman" w:eastAsiaTheme="minorEastAsia"/>
                <w:color w:val="0D0D0D"/>
                <w:kern w:val="0"/>
                <w:sz w:val="16"/>
                <w:szCs w:val="16"/>
                <w:highlight w:val="none"/>
                <w:lang w:eastAsia="en-US"/>
              </w:rPr>
              <w:t>屈服强度</w:t>
            </w:r>
            <w:r>
              <w:rPr>
                <w:rFonts w:ascii="Times New Roman" w:hAnsi="Times New Roman" w:cs="Times New Roman" w:eastAsiaTheme="minorEastAsia"/>
                <w:color w:val="0D0D0D"/>
                <w:kern w:val="0"/>
                <w:sz w:val="21"/>
                <w:szCs w:val="21"/>
                <w:highlight w:val="none"/>
                <w:lang w:eastAsia="en-US"/>
              </w:rPr>
              <w:t>R</w:t>
            </w:r>
            <w:r>
              <w:rPr>
                <w:rFonts w:ascii="Times New Roman" w:hAnsi="Times New Roman" w:cs="Times New Roman" w:eastAsiaTheme="minorEastAsia"/>
                <w:color w:val="0D0D0D"/>
                <w:kern w:val="0"/>
                <w:sz w:val="21"/>
                <w:szCs w:val="21"/>
                <w:highlight w:val="none"/>
                <w:vertAlign w:val="subscript"/>
                <w:lang w:eastAsia="en-US"/>
              </w:rPr>
              <w:t>P0.2</w:t>
            </w:r>
            <w:r>
              <w:rPr>
                <w:rFonts w:ascii="Times New Roman" w:hAnsi="Times New Roman" w:cs="Times New Roman" w:eastAsiaTheme="minorEastAsia"/>
                <w:color w:val="0D0D0D"/>
                <w:kern w:val="0"/>
                <w:sz w:val="21"/>
                <w:szCs w:val="21"/>
                <w:highlight w:val="none"/>
                <w:lang w:eastAsia="en-US"/>
              </w:rPr>
              <w:t>/</w:t>
            </w:r>
            <w:r>
              <w:rPr>
                <w:rFonts w:ascii="Times New Roman" w:hAnsi="Times New Roman" w:cs="Times New Roman" w:eastAsiaTheme="minorEastAsia"/>
                <w:color w:val="0D0D0D"/>
                <w:kern w:val="0"/>
                <w:sz w:val="16"/>
                <w:szCs w:val="16"/>
                <w:highlight w:val="none"/>
                <w:lang w:eastAsia="en-US"/>
              </w:rPr>
              <w:t xml:space="preserve"> (MPa)</w:t>
            </w:r>
          </w:p>
        </w:tc>
        <w:tc>
          <w:tcPr>
            <w:tcW w:w="1167" w:type="pct"/>
            <w:tcBorders>
              <w:top w:val="nil"/>
              <w:left w:val="nil"/>
              <w:bottom w:val="single" w:color="auto" w:sz="8" w:space="0"/>
              <w:right w:val="single" w:color="auto" w:sz="4" w:space="0"/>
            </w:tcBorders>
            <w:tcMar>
              <w:top w:w="0" w:type="dxa"/>
              <w:left w:w="108" w:type="dxa"/>
              <w:bottom w:w="0" w:type="dxa"/>
              <w:right w:w="108" w:type="dxa"/>
            </w:tcMar>
            <w:vAlign w:val="center"/>
          </w:tcPr>
          <w:p>
            <w:pPr>
              <w:autoSpaceDE w:val="0"/>
              <w:autoSpaceDN w:val="0"/>
              <w:jc w:val="center"/>
              <w:rPr>
                <w:rFonts w:ascii="Times New Roman" w:hAnsi="Times New Roman" w:cs="Times New Roman" w:eastAsiaTheme="minorEastAsia"/>
                <w:color w:val="0D0D0D"/>
                <w:kern w:val="0"/>
                <w:sz w:val="16"/>
                <w:szCs w:val="16"/>
                <w:highlight w:val="none"/>
                <w:lang w:eastAsia="en-US"/>
              </w:rPr>
            </w:pPr>
            <w:r>
              <w:rPr>
                <w:rFonts w:ascii="Times New Roman" w:hAnsi="Times New Roman" w:cs="Times New Roman" w:eastAsiaTheme="minorEastAsia"/>
                <w:color w:val="0D0D0D"/>
                <w:kern w:val="0"/>
                <w:sz w:val="16"/>
                <w:szCs w:val="16"/>
                <w:highlight w:val="none"/>
                <w:lang w:eastAsia="en-US"/>
              </w:rPr>
              <w:t>布氏硬度HBW</w:t>
            </w:r>
          </w:p>
        </w:tc>
      </w:tr>
      <w:tr>
        <w:tblPrEx>
          <w:tblCellMar>
            <w:top w:w="0" w:type="dxa"/>
            <w:left w:w="0" w:type="dxa"/>
            <w:bottom w:w="0" w:type="dxa"/>
            <w:right w:w="0" w:type="dxa"/>
          </w:tblCellMar>
        </w:tblPrEx>
        <w:tc>
          <w:tcPr>
            <w:tcW w:w="417" w:type="pct"/>
            <w:tcBorders>
              <w:top w:val="nil"/>
              <w:left w:val="single" w:color="auto" w:sz="4" w:space="0"/>
              <w:bottom w:val="single" w:color="auto" w:sz="4"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color w:val="0D0D0D"/>
                <w:kern w:val="0"/>
                <w:sz w:val="18"/>
                <w:szCs w:val="18"/>
                <w:highlight w:val="none"/>
                <w:lang w:eastAsia="en-US"/>
              </w:rPr>
            </w:pPr>
            <w:r>
              <w:rPr>
                <w:rFonts w:ascii="Times New Roman" w:hAnsi="Times New Roman" w:cs="Times New Roman" w:eastAsiaTheme="minorEastAsia"/>
                <w:color w:val="0D0D0D"/>
                <w:kern w:val="0"/>
                <w:sz w:val="18"/>
                <w:szCs w:val="18"/>
                <w:highlight w:val="none"/>
                <w:lang w:eastAsia="en-US"/>
              </w:rPr>
              <w:t>1</w:t>
            </w:r>
          </w:p>
        </w:tc>
        <w:tc>
          <w:tcPr>
            <w:tcW w:w="751" w:type="pct"/>
            <w:tcBorders>
              <w:top w:val="nil"/>
              <w:left w:val="nil"/>
              <w:bottom w:val="single" w:color="auto" w:sz="4" w:space="0"/>
              <w:right w:val="single" w:color="auto" w:sz="8" w:space="0"/>
            </w:tcBorders>
            <w:tcMar>
              <w:top w:w="0" w:type="dxa"/>
              <w:left w:w="108" w:type="dxa"/>
              <w:bottom w:w="0" w:type="dxa"/>
              <w:right w:w="108" w:type="dxa"/>
            </w:tcMar>
            <w:vAlign w:val="center"/>
          </w:tcPr>
          <w:p>
            <w:pPr>
              <w:autoSpaceDE w:val="0"/>
              <w:autoSpaceDN w:val="0"/>
              <w:spacing w:line="360" w:lineRule="auto"/>
              <w:jc w:val="center"/>
              <w:rPr>
                <w:rFonts w:ascii="Times New Roman" w:hAnsi="Times New Roman" w:cs="Times New Roman" w:eastAsiaTheme="minorEastAsia"/>
                <w:color w:val="0D0D0D"/>
                <w:kern w:val="0"/>
                <w:sz w:val="21"/>
                <w:szCs w:val="20"/>
                <w:highlight w:val="none"/>
                <w:lang w:eastAsia="en-US"/>
              </w:rPr>
            </w:pPr>
            <w:r>
              <w:rPr>
                <w:rFonts w:ascii="Times New Roman" w:hAnsi="Times New Roman" w:cs="Times New Roman" w:eastAsiaTheme="minorEastAsia"/>
                <w:color w:val="0D0D0D"/>
                <w:kern w:val="0"/>
                <w:sz w:val="16"/>
                <w:szCs w:val="16"/>
                <w:highlight w:val="none"/>
                <w:lang w:eastAsia="en-US"/>
              </w:rPr>
              <w:t>9Cr1Mo</w:t>
            </w:r>
          </w:p>
        </w:tc>
        <w:tc>
          <w:tcPr>
            <w:tcW w:w="1248" w:type="pct"/>
            <w:tcBorders>
              <w:top w:val="nil"/>
              <w:left w:val="nil"/>
              <w:bottom w:val="single" w:color="auto" w:sz="4" w:space="0"/>
              <w:right w:val="single" w:color="auto" w:sz="8" w:space="0"/>
            </w:tcBorders>
            <w:tcMar>
              <w:top w:w="0" w:type="dxa"/>
              <w:left w:w="108" w:type="dxa"/>
              <w:bottom w:w="0" w:type="dxa"/>
              <w:right w:w="108" w:type="dxa"/>
            </w:tcMar>
            <w:vAlign w:val="center"/>
          </w:tcPr>
          <w:p>
            <w:pPr>
              <w:autoSpaceDE w:val="0"/>
              <w:autoSpaceDN w:val="0"/>
              <w:jc w:val="center"/>
              <w:rPr>
                <w:rFonts w:ascii="Times New Roman" w:hAnsi="Times New Roman" w:cs="Times New Roman" w:eastAsiaTheme="minorEastAsia"/>
                <w:color w:val="0D0D0D"/>
                <w:kern w:val="0"/>
                <w:sz w:val="16"/>
                <w:szCs w:val="16"/>
                <w:highlight w:val="none"/>
                <w:lang w:eastAsia="en-US"/>
              </w:rPr>
            </w:pPr>
            <w:r>
              <w:rPr>
                <w:rFonts w:ascii="Times New Roman" w:hAnsi="Times New Roman" w:cs="Times New Roman" w:eastAsiaTheme="minorEastAsia"/>
                <w:color w:val="0D0D0D"/>
                <w:kern w:val="0"/>
                <w:sz w:val="21"/>
                <w:szCs w:val="21"/>
                <w:highlight w:val="none"/>
                <w:lang w:eastAsia="en-US"/>
              </w:rPr>
              <w:t>≥</w:t>
            </w:r>
            <w:r>
              <w:rPr>
                <w:rFonts w:ascii="Times New Roman" w:hAnsi="Times New Roman" w:cs="Times New Roman" w:eastAsiaTheme="minorEastAsia"/>
                <w:color w:val="0D0D0D"/>
                <w:kern w:val="0"/>
                <w:sz w:val="16"/>
                <w:szCs w:val="16"/>
                <w:highlight w:val="none"/>
                <w:lang w:eastAsia="en-US"/>
              </w:rPr>
              <w:t>655</w:t>
            </w:r>
          </w:p>
        </w:tc>
        <w:tc>
          <w:tcPr>
            <w:tcW w:w="1417" w:type="pct"/>
            <w:tcBorders>
              <w:top w:val="nil"/>
              <w:left w:val="nil"/>
              <w:bottom w:val="single" w:color="auto" w:sz="4" w:space="0"/>
              <w:right w:val="single" w:color="auto" w:sz="8" w:space="0"/>
            </w:tcBorders>
            <w:tcMar>
              <w:top w:w="0" w:type="dxa"/>
              <w:left w:w="108" w:type="dxa"/>
              <w:bottom w:w="0" w:type="dxa"/>
              <w:right w:w="108" w:type="dxa"/>
            </w:tcMar>
            <w:vAlign w:val="center"/>
          </w:tcPr>
          <w:p>
            <w:pPr>
              <w:autoSpaceDE w:val="0"/>
              <w:autoSpaceDN w:val="0"/>
              <w:jc w:val="center"/>
              <w:rPr>
                <w:rFonts w:ascii="Times New Roman" w:hAnsi="Times New Roman" w:cs="Times New Roman" w:eastAsiaTheme="minorEastAsia"/>
                <w:color w:val="0D0D0D"/>
                <w:kern w:val="0"/>
                <w:sz w:val="16"/>
                <w:szCs w:val="16"/>
                <w:highlight w:val="none"/>
                <w:lang w:eastAsia="en-US"/>
              </w:rPr>
            </w:pPr>
            <w:r>
              <w:rPr>
                <w:rFonts w:ascii="Times New Roman" w:hAnsi="Times New Roman" w:cs="Times New Roman" w:eastAsiaTheme="minorEastAsia"/>
                <w:color w:val="0D0D0D"/>
                <w:kern w:val="0"/>
                <w:sz w:val="16"/>
                <w:szCs w:val="16"/>
                <w:highlight w:val="none"/>
                <w:lang w:eastAsia="en-US"/>
              </w:rPr>
              <w:t>552-655</w:t>
            </w:r>
          </w:p>
        </w:tc>
        <w:tc>
          <w:tcPr>
            <w:tcW w:w="1167" w:type="pct"/>
            <w:tcBorders>
              <w:top w:val="nil"/>
              <w:left w:val="nil"/>
              <w:bottom w:val="single" w:color="auto" w:sz="4" w:space="0"/>
              <w:right w:val="single" w:color="auto" w:sz="4" w:space="0"/>
            </w:tcBorders>
            <w:tcMar>
              <w:top w:w="0" w:type="dxa"/>
              <w:left w:w="108" w:type="dxa"/>
              <w:bottom w:w="0" w:type="dxa"/>
              <w:right w:w="108" w:type="dxa"/>
            </w:tcMar>
            <w:vAlign w:val="center"/>
          </w:tcPr>
          <w:p>
            <w:pPr>
              <w:autoSpaceDE w:val="0"/>
              <w:autoSpaceDN w:val="0"/>
              <w:jc w:val="center"/>
              <w:rPr>
                <w:rFonts w:ascii="Times New Roman" w:hAnsi="Times New Roman" w:cs="Times New Roman" w:eastAsiaTheme="minorEastAsia"/>
                <w:color w:val="0D0D0D"/>
                <w:kern w:val="0"/>
                <w:sz w:val="16"/>
                <w:szCs w:val="16"/>
                <w:highlight w:val="none"/>
                <w:lang w:eastAsia="en-US"/>
              </w:rPr>
            </w:pPr>
            <w:r>
              <w:rPr>
                <w:rFonts w:ascii="Times New Roman" w:hAnsi="Times New Roman" w:cs="Times New Roman" w:eastAsiaTheme="minorEastAsia"/>
                <w:color w:val="0D0D0D"/>
                <w:kern w:val="0"/>
                <w:sz w:val="21"/>
                <w:szCs w:val="21"/>
                <w:highlight w:val="none"/>
                <w:lang w:eastAsia="en-US"/>
              </w:rPr>
              <w:t>241</w:t>
            </w:r>
            <w:r>
              <w:rPr>
                <w:rFonts w:ascii="Times New Roman" w:hAnsi="Times New Roman" w:cs="Times New Roman" w:eastAsiaTheme="minorEastAsia"/>
                <w:color w:val="0D0D0D"/>
                <w:kern w:val="0"/>
                <w:sz w:val="18"/>
                <w:szCs w:val="18"/>
                <w:highlight w:val="none"/>
                <w:lang w:eastAsia="en-US"/>
              </w:rPr>
              <w:t xml:space="preserve"> max</w:t>
            </w:r>
          </w:p>
        </w:tc>
      </w:tr>
    </w:tbl>
    <w:p>
      <w:pPr>
        <w:numPr>
          <w:ilvl w:val="0"/>
          <w:numId w:val="12"/>
        </w:numPr>
        <w:autoSpaceDE w:val="0"/>
        <w:autoSpaceDN w:val="0"/>
        <w:adjustRightInd w:val="0"/>
        <w:spacing w:line="360" w:lineRule="auto"/>
        <w:ind w:right="11" w:firstLine="0"/>
        <w:jc w:val="left"/>
        <w:rPr>
          <w:rFonts w:hint="eastAsia" w:cs="黑体" w:asciiTheme="minorEastAsia" w:hAnsiTheme="minorEastAsia" w:eastAsiaTheme="minorEastAsia"/>
          <w:color w:val="0D0D0D"/>
          <w:kern w:val="0"/>
          <w:sz w:val="22"/>
          <w:szCs w:val="22"/>
          <w:highlight w:val="none"/>
          <w:lang w:eastAsia="zh-CN"/>
        </w:rPr>
      </w:pPr>
      <w:r>
        <w:rPr>
          <w:rFonts w:hint="eastAsia" w:cs="黑体" w:asciiTheme="minorEastAsia" w:hAnsiTheme="minorEastAsia" w:eastAsiaTheme="minorEastAsia"/>
          <w:color w:val="0D0D0D"/>
          <w:kern w:val="0"/>
          <w:sz w:val="22"/>
          <w:szCs w:val="22"/>
          <w:highlight w:val="none"/>
          <w:lang w:eastAsia="zh-CN"/>
        </w:rPr>
        <w:t>电机轴用42CrMo，材质应满足</w:t>
      </w:r>
    </w:p>
    <w:tbl>
      <w:tblPr>
        <w:tblStyle w:val="11"/>
        <w:tblW w:w="497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1"/>
        <w:gridCol w:w="874"/>
        <w:gridCol w:w="1013"/>
        <w:gridCol w:w="1149"/>
        <w:gridCol w:w="1019"/>
        <w:gridCol w:w="1168"/>
        <w:gridCol w:w="1313"/>
        <w:gridCol w:w="875"/>
        <w:gridCol w:w="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247" w:type="pct"/>
            <w:vMerge w:val="restart"/>
            <w:shd w:val="clear" w:color="auto" w:fill="auto"/>
            <w:vAlign w:val="center"/>
          </w:tcPr>
          <w:p>
            <w:pPr>
              <w:ind w:right="11"/>
              <w:jc w:val="center"/>
              <w:rPr>
                <w:rFonts w:asciiTheme="minorHAnsi" w:hAnsiTheme="minorHAnsi" w:eastAsiaTheme="minorEastAsia" w:cstheme="minorBidi"/>
                <w:color w:val="0D0D0D"/>
                <w:kern w:val="0"/>
                <w:sz w:val="18"/>
                <w:szCs w:val="18"/>
                <w:highlight w:val="none"/>
                <w:lang w:eastAsia="en-US"/>
              </w:rPr>
            </w:pPr>
            <w:r>
              <w:rPr>
                <w:rFonts w:hint="eastAsia" w:asciiTheme="minorHAnsi" w:hAnsiTheme="minorHAnsi" w:eastAsiaTheme="minorEastAsia" w:cstheme="minorBidi"/>
                <w:color w:val="0D0D0D"/>
                <w:kern w:val="0"/>
                <w:sz w:val="18"/>
                <w:szCs w:val="18"/>
                <w:highlight w:val="none"/>
                <w:lang w:eastAsia="en-US"/>
              </w:rPr>
              <w:t>序号</w:t>
            </w:r>
          </w:p>
        </w:tc>
        <w:tc>
          <w:tcPr>
            <w:tcW w:w="501" w:type="pct"/>
            <w:vMerge w:val="restart"/>
            <w:shd w:val="clear" w:color="auto" w:fill="auto"/>
            <w:vAlign w:val="center"/>
          </w:tcPr>
          <w:p>
            <w:pPr>
              <w:ind w:right="11"/>
              <w:jc w:val="center"/>
              <w:rPr>
                <w:rFonts w:asciiTheme="minorHAnsi" w:hAnsiTheme="minorHAnsi" w:eastAsiaTheme="minorEastAsia" w:cstheme="minorBidi"/>
                <w:color w:val="0D0D0D"/>
                <w:kern w:val="0"/>
                <w:sz w:val="18"/>
                <w:szCs w:val="18"/>
                <w:highlight w:val="none"/>
                <w:lang w:eastAsia="en-US"/>
              </w:rPr>
            </w:pPr>
            <w:r>
              <w:rPr>
                <w:rFonts w:hint="eastAsia" w:asciiTheme="minorHAnsi" w:hAnsiTheme="minorHAnsi" w:eastAsiaTheme="minorEastAsia" w:cstheme="minorBidi"/>
                <w:color w:val="0D0D0D"/>
                <w:kern w:val="0"/>
                <w:sz w:val="18"/>
                <w:szCs w:val="18"/>
                <w:highlight w:val="none"/>
                <w:lang w:eastAsia="en-US"/>
              </w:rPr>
              <w:t>牌号名称</w:t>
            </w:r>
          </w:p>
        </w:tc>
        <w:tc>
          <w:tcPr>
            <w:tcW w:w="3248" w:type="pct"/>
            <w:gridSpan w:val="5"/>
          </w:tcPr>
          <w:p>
            <w:pPr>
              <w:ind w:right="11"/>
              <w:jc w:val="center"/>
              <w:rPr>
                <w:rFonts w:asciiTheme="minorHAnsi" w:hAnsiTheme="minorHAnsi" w:eastAsiaTheme="minorEastAsia" w:cstheme="minorBidi"/>
                <w:color w:val="0D0D0D"/>
                <w:kern w:val="0"/>
                <w:sz w:val="18"/>
                <w:szCs w:val="18"/>
                <w:highlight w:val="none"/>
                <w:lang w:eastAsia="zh-CN"/>
              </w:rPr>
            </w:pPr>
            <w:r>
              <w:rPr>
                <w:rFonts w:hint="eastAsia" w:asciiTheme="minorHAnsi" w:hAnsiTheme="minorHAnsi" w:eastAsiaTheme="minorEastAsia" w:cstheme="minorBidi"/>
                <w:color w:val="0D0D0D"/>
                <w:kern w:val="0"/>
                <w:sz w:val="18"/>
                <w:szCs w:val="18"/>
                <w:highlight w:val="none"/>
                <w:lang w:eastAsia="zh-CN"/>
              </w:rPr>
              <w:t>化学成分（质量分数）%</w:t>
            </w:r>
          </w:p>
        </w:tc>
        <w:tc>
          <w:tcPr>
            <w:tcW w:w="1004" w:type="pct"/>
            <w:gridSpan w:val="2"/>
          </w:tcPr>
          <w:p>
            <w:pPr>
              <w:ind w:right="11"/>
              <w:jc w:val="center"/>
              <w:rPr>
                <w:rFonts w:asciiTheme="minorHAnsi" w:hAnsiTheme="minorHAnsi" w:eastAsiaTheme="minorEastAsia" w:cstheme="minorBidi"/>
                <w:color w:val="0D0D0D"/>
                <w:kern w:val="0"/>
                <w:sz w:val="18"/>
                <w:szCs w:val="18"/>
                <w:highlight w:val="none"/>
                <w:lang w:eastAsia="en-US"/>
              </w:rPr>
            </w:pPr>
            <w:r>
              <w:rPr>
                <w:rFonts w:hint="eastAsia" w:asciiTheme="minorHAnsi" w:hAnsiTheme="minorHAnsi" w:eastAsiaTheme="minorEastAsia" w:cstheme="minorBidi"/>
                <w:color w:val="0D0D0D"/>
                <w:kern w:val="0"/>
                <w:sz w:val="18"/>
                <w:szCs w:val="18"/>
                <w:highlight w:val="none"/>
                <w:lang w:eastAsia="en-US"/>
              </w:rPr>
              <w:t>不大于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7" w:type="pct"/>
            <w:vMerge w:val="continue"/>
            <w:shd w:val="clear" w:color="auto" w:fill="auto"/>
            <w:vAlign w:val="center"/>
          </w:tcPr>
          <w:p>
            <w:pPr>
              <w:ind w:right="11"/>
              <w:jc w:val="center"/>
              <w:rPr>
                <w:rFonts w:asciiTheme="minorHAnsi" w:hAnsiTheme="minorHAnsi" w:eastAsiaTheme="minorEastAsia" w:cstheme="minorBidi"/>
                <w:color w:val="0D0D0D"/>
                <w:kern w:val="0"/>
                <w:sz w:val="18"/>
                <w:szCs w:val="18"/>
                <w:highlight w:val="none"/>
                <w:lang w:eastAsia="en-US"/>
              </w:rPr>
            </w:pPr>
          </w:p>
        </w:tc>
        <w:tc>
          <w:tcPr>
            <w:tcW w:w="501" w:type="pct"/>
            <w:vMerge w:val="continue"/>
            <w:shd w:val="clear" w:color="auto" w:fill="auto"/>
            <w:vAlign w:val="center"/>
          </w:tcPr>
          <w:p>
            <w:pPr>
              <w:ind w:right="11"/>
              <w:jc w:val="center"/>
              <w:rPr>
                <w:rFonts w:asciiTheme="minorHAnsi" w:hAnsiTheme="minorHAnsi" w:eastAsiaTheme="minorEastAsia" w:cstheme="minorBidi"/>
                <w:color w:val="0D0D0D"/>
                <w:kern w:val="0"/>
                <w:sz w:val="18"/>
                <w:szCs w:val="18"/>
                <w:highlight w:val="none"/>
                <w:lang w:eastAsia="en-US"/>
              </w:rPr>
            </w:pPr>
          </w:p>
        </w:tc>
        <w:tc>
          <w:tcPr>
            <w:tcW w:w="581" w:type="pct"/>
          </w:tcPr>
          <w:p>
            <w:pPr>
              <w:ind w:right="11"/>
              <w:jc w:val="center"/>
              <w:rPr>
                <w:rFonts w:asciiTheme="minorHAnsi" w:hAnsiTheme="minorHAnsi" w:eastAsiaTheme="minorEastAsia" w:cstheme="minorBidi"/>
                <w:color w:val="0D0D0D"/>
                <w:kern w:val="0"/>
                <w:sz w:val="18"/>
                <w:szCs w:val="18"/>
                <w:highlight w:val="none"/>
                <w:lang w:eastAsia="en-US"/>
              </w:rPr>
            </w:pPr>
            <w:r>
              <w:rPr>
                <w:rFonts w:hint="eastAsia" w:asciiTheme="minorHAnsi" w:hAnsiTheme="minorHAnsi" w:eastAsiaTheme="minorEastAsia" w:cstheme="minorBidi"/>
                <w:color w:val="0D0D0D"/>
                <w:kern w:val="0"/>
                <w:sz w:val="18"/>
                <w:szCs w:val="18"/>
                <w:highlight w:val="none"/>
                <w:lang w:eastAsia="en-US"/>
              </w:rPr>
              <w:t>C</w:t>
            </w:r>
          </w:p>
        </w:tc>
        <w:tc>
          <w:tcPr>
            <w:tcW w:w="659" w:type="pct"/>
          </w:tcPr>
          <w:p>
            <w:pPr>
              <w:ind w:right="11"/>
              <w:jc w:val="center"/>
              <w:rPr>
                <w:rFonts w:asciiTheme="minorHAnsi" w:hAnsiTheme="minorHAnsi" w:eastAsiaTheme="minorEastAsia" w:cstheme="minorBidi"/>
                <w:color w:val="0D0D0D"/>
                <w:kern w:val="0"/>
                <w:sz w:val="18"/>
                <w:szCs w:val="18"/>
                <w:highlight w:val="none"/>
                <w:lang w:eastAsia="en-US"/>
              </w:rPr>
            </w:pPr>
            <w:r>
              <w:rPr>
                <w:rFonts w:hint="eastAsia" w:asciiTheme="minorHAnsi" w:hAnsiTheme="minorHAnsi" w:eastAsiaTheme="minorEastAsia" w:cstheme="minorBidi"/>
                <w:color w:val="0D0D0D"/>
                <w:kern w:val="0"/>
                <w:sz w:val="18"/>
                <w:szCs w:val="18"/>
                <w:highlight w:val="none"/>
                <w:lang w:eastAsia="en-US"/>
              </w:rPr>
              <w:t>Si</w:t>
            </w:r>
          </w:p>
        </w:tc>
        <w:tc>
          <w:tcPr>
            <w:tcW w:w="585" w:type="pct"/>
          </w:tcPr>
          <w:p>
            <w:pPr>
              <w:ind w:right="11"/>
              <w:jc w:val="center"/>
              <w:rPr>
                <w:rFonts w:asciiTheme="minorHAnsi" w:hAnsiTheme="minorHAnsi" w:eastAsiaTheme="minorEastAsia" w:cstheme="minorBidi"/>
                <w:color w:val="0D0D0D"/>
                <w:kern w:val="0"/>
                <w:sz w:val="18"/>
                <w:szCs w:val="18"/>
                <w:highlight w:val="none"/>
                <w:lang w:eastAsia="en-US"/>
              </w:rPr>
            </w:pPr>
            <w:r>
              <w:rPr>
                <w:rFonts w:hint="eastAsia" w:asciiTheme="minorHAnsi" w:hAnsiTheme="minorHAnsi" w:eastAsiaTheme="minorEastAsia" w:cstheme="minorBidi"/>
                <w:color w:val="0D0D0D"/>
                <w:kern w:val="0"/>
                <w:sz w:val="18"/>
                <w:szCs w:val="18"/>
                <w:highlight w:val="none"/>
                <w:lang w:eastAsia="en-US"/>
              </w:rPr>
              <w:t>Mn</w:t>
            </w:r>
          </w:p>
        </w:tc>
        <w:tc>
          <w:tcPr>
            <w:tcW w:w="670" w:type="pct"/>
          </w:tcPr>
          <w:p>
            <w:pPr>
              <w:ind w:right="11"/>
              <w:jc w:val="center"/>
              <w:rPr>
                <w:rFonts w:asciiTheme="minorHAnsi" w:hAnsiTheme="minorHAnsi" w:eastAsiaTheme="minorEastAsia" w:cstheme="minorBidi"/>
                <w:color w:val="0D0D0D"/>
                <w:kern w:val="0"/>
                <w:sz w:val="18"/>
                <w:szCs w:val="18"/>
                <w:highlight w:val="none"/>
                <w:lang w:eastAsia="en-US"/>
              </w:rPr>
            </w:pPr>
            <w:r>
              <w:rPr>
                <w:rFonts w:hint="eastAsia" w:asciiTheme="minorHAnsi" w:hAnsiTheme="minorHAnsi" w:eastAsiaTheme="minorEastAsia" w:cstheme="minorBidi"/>
                <w:color w:val="0D0D0D"/>
                <w:kern w:val="0"/>
                <w:sz w:val="18"/>
                <w:szCs w:val="18"/>
                <w:highlight w:val="none"/>
                <w:lang w:eastAsia="en-US"/>
              </w:rPr>
              <w:t>Cr</w:t>
            </w:r>
          </w:p>
        </w:tc>
        <w:tc>
          <w:tcPr>
            <w:tcW w:w="753" w:type="pct"/>
          </w:tcPr>
          <w:p>
            <w:pPr>
              <w:ind w:right="11"/>
              <w:jc w:val="center"/>
              <w:rPr>
                <w:rFonts w:asciiTheme="minorHAnsi" w:hAnsiTheme="minorHAnsi" w:eastAsiaTheme="minorEastAsia" w:cstheme="minorBidi"/>
                <w:color w:val="0D0D0D"/>
                <w:kern w:val="0"/>
                <w:sz w:val="18"/>
                <w:szCs w:val="18"/>
                <w:highlight w:val="none"/>
                <w:lang w:eastAsia="en-US"/>
              </w:rPr>
            </w:pPr>
            <w:r>
              <w:rPr>
                <w:rFonts w:hint="eastAsia" w:asciiTheme="minorHAnsi" w:hAnsiTheme="minorHAnsi" w:eastAsiaTheme="minorEastAsia" w:cstheme="minorBidi"/>
                <w:color w:val="0D0D0D"/>
                <w:kern w:val="0"/>
                <w:sz w:val="18"/>
                <w:szCs w:val="18"/>
                <w:highlight w:val="none"/>
                <w:lang w:eastAsia="en-US"/>
              </w:rPr>
              <w:t>Mo</w:t>
            </w:r>
          </w:p>
        </w:tc>
        <w:tc>
          <w:tcPr>
            <w:tcW w:w="502" w:type="pct"/>
          </w:tcPr>
          <w:p>
            <w:pPr>
              <w:ind w:right="11"/>
              <w:jc w:val="center"/>
              <w:rPr>
                <w:rFonts w:asciiTheme="minorHAnsi" w:hAnsiTheme="minorHAnsi" w:eastAsiaTheme="minorEastAsia" w:cstheme="minorBidi"/>
                <w:color w:val="0D0D0D"/>
                <w:kern w:val="0"/>
                <w:sz w:val="18"/>
                <w:szCs w:val="18"/>
                <w:highlight w:val="none"/>
                <w:lang w:eastAsia="en-US"/>
              </w:rPr>
            </w:pPr>
            <w:r>
              <w:rPr>
                <w:rFonts w:hint="eastAsia" w:asciiTheme="minorHAnsi" w:hAnsiTheme="minorHAnsi" w:eastAsiaTheme="minorEastAsia" w:cstheme="minorBidi"/>
                <w:color w:val="0D0D0D"/>
                <w:kern w:val="0"/>
                <w:sz w:val="18"/>
                <w:szCs w:val="18"/>
                <w:highlight w:val="none"/>
                <w:lang w:eastAsia="en-US"/>
              </w:rPr>
              <w:t>P</w:t>
            </w:r>
          </w:p>
        </w:tc>
        <w:tc>
          <w:tcPr>
            <w:tcW w:w="502" w:type="pct"/>
          </w:tcPr>
          <w:p>
            <w:pPr>
              <w:ind w:right="11"/>
              <w:jc w:val="center"/>
              <w:rPr>
                <w:rFonts w:asciiTheme="minorHAnsi" w:hAnsiTheme="minorHAnsi" w:eastAsiaTheme="minorEastAsia" w:cstheme="minorBidi"/>
                <w:color w:val="0D0D0D"/>
                <w:kern w:val="0"/>
                <w:sz w:val="18"/>
                <w:szCs w:val="18"/>
                <w:highlight w:val="none"/>
                <w:lang w:eastAsia="en-US"/>
              </w:rPr>
            </w:pPr>
            <w:r>
              <w:rPr>
                <w:rFonts w:hint="eastAsia" w:asciiTheme="minorHAnsi" w:hAnsiTheme="minorHAnsi" w:eastAsiaTheme="minorEastAsia" w:cstheme="minorBidi"/>
                <w:color w:val="0D0D0D"/>
                <w:kern w:val="0"/>
                <w:sz w:val="18"/>
                <w:szCs w:val="18"/>
                <w:highlight w:val="none"/>
                <w:lang w:eastAsia="en-US"/>
              </w:rPr>
              <w: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47" w:type="pct"/>
            <w:shd w:val="clear" w:color="auto" w:fill="auto"/>
            <w:vAlign w:val="center"/>
          </w:tcPr>
          <w:p>
            <w:pPr>
              <w:ind w:right="11"/>
              <w:jc w:val="center"/>
              <w:rPr>
                <w:rFonts w:hint="eastAsia" w:ascii="宋体" w:hAnsi="宋体" w:cs="宋体" w:eastAsiaTheme="minorEastAsia"/>
                <w:color w:val="0D0D0D"/>
                <w:kern w:val="0"/>
                <w:sz w:val="18"/>
                <w:szCs w:val="18"/>
                <w:highlight w:val="none"/>
                <w:lang w:eastAsia="en-US"/>
              </w:rPr>
            </w:pPr>
            <w:r>
              <w:rPr>
                <w:rFonts w:hint="eastAsia" w:asciiTheme="minorHAnsi" w:hAnsiTheme="minorHAnsi" w:eastAsiaTheme="minorEastAsia" w:cstheme="minorBidi"/>
                <w:color w:val="0D0D0D"/>
                <w:kern w:val="0"/>
                <w:sz w:val="18"/>
                <w:szCs w:val="18"/>
                <w:highlight w:val="none"/>
                <w:lang w:eastAsia="en-US"/>
              </w:rPr>
              <w:t>1</w:t>
            </w:r>
          </w:p>
        </w:tc>
        <w:tc>
          <w:tcPr>
            <w:tcW w:w="501" w:type="pct"/>
            <w:shd w:val="clear" w:color="auto" w:fill="auto"/>
            <w:vAlign w:val="center"/>
          </w:tcPr>
          <w:p>
            <w:pPr>
              <w:ind w:right="11"/>
              <w:jc w:val="center"/>
              <w:rPr>
                <w:rFonts w:hint="eastAsia" w:ascii="宋体" w:hAnsi="宋体" w:cs="宋体" w:eastAsiaTheme="minorEastAsia"/>
                <w:color w:val="0D0D0D"/>
                <w:kern w:val="0"/>
                <w:sz w:val="18"/>
                <w:szCs w:val="18"/>
                <w:highlight w:val="none"/>
                <w:lang w:eastAsia="en-US"/>
              </w:rPr>
            </w:pPr>
            <w:r>
              <w:rPr>
                <w:rFonts w:hint="eastAsia" w:ascii="宋体" w:hAnsi="宋体" w:cs="黑体" w:eastAsiaTheme="minorEastAsia"/>
                <w:color w:val="0D0D0D"/>
                <w:kern w:val="0"/>
                <w:sz w:val="21"/>
                <w:szCs w:val="20"/>
                <w:highlight w:val="none"/>
                <w:lang w:eastAsia="zh-CN"/>
              </w:rPr>
              <w:t>42</w:t>
            </w:r>
            <w:r>
              <w:rPr>
                <w:rFonts w:hint="eastAsia" w:ascii="宋体" w:hAnsi="宋体" w:cs="黑体" w:eastAsiaTheme="minorEastAsia"/>
                <w:color w:val="0D0D0D"/>
                <w:kern w:val="0"/>
                <w:sz w:val="21"/>
                <w:szCs w:val="20"/>
                <w:highlight w:val="none"/>
                <w:lang w:eastAsia="en-US"/>
              </w:rPr>
              <w:t>CrMo</w:t>
            </w:r>
          </w:p>
        </w:tc>
        <w:tc>
          <w:tcPr>
            <w:tcW w:w="581" w:type="pct"/>
          </w:tcPr>
          <w:p>
            <w:pPr>
              <w:ind w:right="11"/>
              <w:jc w:val="center"/>
              <w:rPr>
                <w:rFonts w:asciiTheme="minorHAnsi" w:hAnsiTheme="minorHAnsi" w:eastAsiaTheme="minorEastAsia" w:cstheme="minorBidi"/>
                <w:color w:val="0D0D0D"/>
                <w:kern w:val="0"/>
                <w:sz w:val="18"/>
                <w:szCs w:val="18"/>
                <w:highlight w:val="none"/>
                <w:lang w:eastAsia="en-US"/>
              </w:rPr>
            </w:pPr>
            <w:r>
              <w:rPr>
                <w:rFonts w:hint="eastAsia" w:asciiTheme="minorHAnsi" w:hAnsiTheme="minorHAnsi" w:eastAsiaTheme="minorEastAsia" w:cstheme="minorBidi"/>
                <w:color w:val="0D0D0D"/>
                <w:kern w:val="0"/>
                <w:sz w:val="18"/>
                <w:szCs w:val="18"/>
                <w:highlight w:val="none"/>
                <w:lang w:eastAsia="en-US"/>
              </w:rPr>
              <w:t>0.</w:t>
            </w:r>
            <w:r>
              <w:rPr>
                <w:rFonts w:hint="eastAsia" w:asciiTheme="minorHAnsi" w:hAnsiTheme="minorHAnsi" w:eastAsiaTheme="minorEastAsia" w:cstheme="minorBidi"/>
                <w:color w:val="0D0D0D"/>
                <w:kern w:val="0"/>
                <w:sz w:val="18"/>
                <w:szCs w:val="18"/>
                <w:highlight w:val="none"/>
                <w:lang w:eastAsia="zh-CN"/>
              </w:rPr>
              <w:t>38</w:t>
            </w:r>
            <w:r>
              <w:rPr>
                <w:rFonts w:hint="eastAsia" w:asciiTheme="minorHAnsi" w:hAnsiTheme="minorHAnsi" w:eastAsiaTheme="minorEastAsia" w:cstheme="minorBidi"/>
                <w:color w:val="0D0D0D"/>
                <w:kern w:val="0"/>
                <w:sz w:val="18"/>
                <w:szCs w:val="18"/>
                <w:highlight w:val="none"/>
                <w:lang w:eastAsia="en-US"/>
              </w:rPr>
              <w:t>-0.</w:t>
            </w:r>
            <w:r>
              <w:rPr>
                <w:rFonts w:hint="eastAsia" w:asciiTheme="minorHAnsi" w:hAnsiTheme="minorHAnsi" w:eastAsiaTheme="minorEastAsia" w:cstheme="minorBidi"/>
                <w:color w:val="0D0D0D"/>
                <w:kern w:val="0"/>
                <w:sz w:val="18"/>
                <w:szCs w:val="18"/>
                <w:highlight w:val="none"/>
                <w:lang w:eastAsia="zh-CN"/>
              </w:rPr>
              <w:t>45</w:t>
            </w:r>
          </w:p>
        </w:tc>
        <w:tc>
          <w:tcPr>
            <w:tcW w:w="659" w:type="pct"/>
          </w:tcPr>
          <w:p>
            <w:pPr>
              <w:ind w:right="11"/>
              <w:jc w:val="center"/>
              <w:rPr>
                <w:rFonts w:asciiTheme="minorHAnsi" w:hAnsiTheme="minorHAnsi" w:eastAsiaTheme="minorEastAsia" w:cstheme="minorBidi"/>
                <w:color w:val="0D0D0D"/>
                <w:kern w:val="0"/>
                <w:sz w:val="18"/>
                <w:szCs w:val="18"/>
                <w:highlight w:val="none"/>
                <w:lang w:eastAsia="en-US"/>
              </w:rPr>
            </w:pPr>
            <w:r>
              <w:rPr>
                <w:rFonts w:hint="eastAsia" w:asciiTheme="minorHAnsi" w:hAnsiTheme="minorHAnsi" w:eastAsiaTheme="minorEastAsia" w:cstheme="minorBidi"/>
                <w:color w:val="0D0D0D"/>
                <w:kern w:val="0"/>
                <w:sz w:val="18"/>
                <w:szCs w:val="18"/>
                <w:highlight w:val="none"/>
                <w:lang w:eastAsia="en-US"/>
              </w:rPr>
              <w:t>0.</w:t>
            </w:r>
            <w:r>
              <w:rPr>
                <w:rFonts w:hint="eastAsia" w:asciiTheme="minorHAnsi" w:hAnsiTheme="minorHAnsi" w:eastAsiaTheme="minorEastAsia" w:cstheme="minorBidi"/>
                <w:color w:val="0D0D0D"/>
                <w:kern w:val="0"/>
                <w:sz w:val="18"/>
                <w:szCs w:val="18"/>
                <w:highlight w:val="none"/>
                <w:lang w:eastAsia="zh-CN"/>
              </w:rPr>
              <w:t>20</w:t>
            </w:r>
            <w:r>
              <w:rPr>
                <w:rFonts w:hint="eastAsia" w:asciiTheme="minorHAnsi" w:hAnsiTheme="minorHAnsi" w:eastAsiaTheme="minorEastAsia" w:cstheme="minorBidi"/>
                <w:color w:val="0D0D0D"/>
                <w:kern w:val="0"/>
                <w:sz w:val="18"/>
                <w:szCs w:val="18"/>
                <w:highlight w:val="none"/>
                <w:lang w:eastAsia="en-US"/>
              </w:rPr>
              <w:t>-0.</w:t>
            </w:r>
            <w:r>
              <w:rPr>
                <w:rFonts w:hint="eastAsia" w:asciiTheme="minorHAnsi" w:hAnsiTheme="minorHAnsi" w:eastAsiaTheme="minorEastAsia" w:cstheme="minorBidi"/>
                <w:color w:val="0D0D0D"/>
                <w:kern w:val="0"/>
                <w:sz w:val="18"/>
                <w:szCs w:val="18"/>
                <w:highlight w:val="none"/>
                <w:lang w:eastAsia="zh-CN"/>
              </w:rPr>
              <w:t>40</w:t>
            </w:r>
          </w:p>
        </w:tc>
        <w:tc>
          <w:tcPr>
            <w:tcW w:w="585" w:type="pct"/>
          </w:tcPr>
          <w:p>
            <w:pPr>
              <w:ind w:right="11"/>
              <w:jc w:val="center"/>
              <w:rPr>
                <w:rFonts w:asciiTheme="minorHAnsi" w:hAnsiTheme="minorHAnsi" w:eastAsiaTheme="minorEastAsia" w:cstheme="minorBidi"/>
                <w:color w:val="0D0D0D"/>
                <w:kern w:val="0"/>
                <w:sz w:val="18"/>
                <w:szCs w:val="18"/>
                <w:highlight w:val="none"/>
                <w:lang w:eastAsia="en-US"/>
              </w:rPr>
            </w:pPr>
            <w:r>
              <w:rPr>
                <w:rFonts w:hint="eastAsia" w:asciiTheme="minorHAnsi" w:hAnsiTheme="minorHAnsi" w:eastAsiaTheme="minorEastAsia" w:cstheme="minorBidi"/>
                <w:color w:val="0D0D0D"/>
                <w:kern w:val="0"/>
                <w:sz w:val="18"/>
                <w:szCs w:val="18"/>
                <w:highlight w:val="none"/>
                <w:lang w:eastAsia="en-US"/>
              </w:rPr>
              <w:t>0.</w:t>
            </w:r>
            <w:r>
              <w:rPr>
                <w:rFonts w:hint="eastAsia" w:asciiTheme="minorHAnsi" w:hAnsiTheme="minorHAnsi" w:eastAsiaTheme="minorEastAsia" w:cstheme="minorBidi"/>
                <w:color w:val="0D0D0D"/>
                <w:kern w:val="0"/>
                <w:sz w:val="18"/>
                <w:szCs w:val="18"/>
                <w:highlight w:val="none"/>
                <w:lang w:eastAsia="zh-CN"/>
              </w:rPr>
              <w:t>6</w:t>
            </w:r>
            <w:r>
              <w:rPr>
                <w:rFonts w:hint="eastAsia" w:asciiTheme="minorHAnsi" w:hAnsiTheme="minorHAnsi" w:eastAsiaTheme="minorEastAsia" w:cstheme="minorBidi"/>
                <w:color w:val="0D0D0D"/>
                <w:kern w:val="0"/>
                <w:sz w:val="18"/>
                <w:szCs w:val="18"/>
                <w:highlight w:val="none"/>
                <w:lang w:eastAsia="en-US"/>
              </w:rPr>
              <w:t>0-0.</w:t>
            </w:r>
            <w:r>
              <w:rPr>
                <w:rFonts w:hint="eastAsia" w:asciiTheme="minorHAnsi" w:hAnsiTheme="minorHAnsi" w:eastAsiaTheme="minorEastAsia" w:cstheme="minorBidi"/>
                <w:color w:val="0D0D0D"/>
                <w:kern w:val="0"/>
                <w:sz w:val="18"/>
                <w:szCs w:val="18"/>
                <w:highlight w:val="none"/>
                <w:lang w:eastAsia="zh-CN"/>
              </w:rPr>
              <w:t>9</w:t>
            </w:r>
            <w:r>
              <w:rPr>
                <w:rFonts w:hint="eastAsia" w:asciiTheme="minorHAnsi" w:hAnsiTheme="minorHAnsi" w:eastAsiaTheme="minorEastAsia" w:cstheme="minorBidi"/>
                <w:color w:val="0D0D0D"/>
                <w:kern w:val="0"/>
                <w:sz w:val="18"/>
                <w:szCs w:val="18"/>
                <w:highlight w:val="none"/>
                <w:lang w:eastAsia="en-US"/>
              </w:rPr>
              <w:t>0</w:t>
            </w:r>
          </w:p>
        </w:tc>
        <w:tc>
          <w:tcPr>
            <w:tcW w:w="670" w:type="pct"/>
          </w:tcPr>
          <w:p>
            <w:pPr>
              <w:ind w:right="11"/>
              <w:jc w:val="center"/>
              <w:rPr>
                <w:rFonts w:asciiTheme="minorHAnsi" w:hAnsiTheme="minorHAnsi" w:eastAsiaTheme="minorEastAsia" w:cstheme="minorBidi"/>
                <w:color w:val="0D0D0D"/>
                <w:kern w:val="0"/>
                <w:sz w:val="18"/>
                <w:szCs w:val="18"/>
                <w:highlight w:val="none"/>
                <w:lang w:eastAsia="en-US"/>
              </w:rPr>
            </w:pPr>
            <w:r>
              <w:rPr>
                <w:rFonts w:hint="eastAsia" w:asciiTheme="minorHAnsi" w:hAnsiTheme="minorHAnsi" w:eastAsiaTheme="minorEastAsia" w:cstheme="minorBidi"/>
                <w:color w:val="0D0D0D"/>
                <w:kern w:val="0"/>
                <w:sz w:val="18"/>
                <w:szCs w:val="18"/>
                <w:highlight w:val="none"/>
                <w:lang w:eastAsia="en-US"/>
              </w:rPr>
              <w:t>0.</w:t>
            </w:r>
            <w:r>
              <w:rPr>
                <w:rFonts w:hint="eastAsia" w:asciiTheme="minorHAnsi" w:hAnsiTheme="minorHAnsi" w:eastAsiaTheme="minorEastAsia" w:cstheme="minorBidi"/>
                <w:color w:val="0D0D0D"/>
                <w:kern w:val="0"/>
                <w:sz w:val="18"/>
                <w:szCs w:val="18"/>
                <w:highlight w:val="none"/>
                <w:lang w:eastAsia="zh-CN"/>
              </w:rPr>
              <w:t>9</w:t>
            </w:r>
            <w:r>
              <w:rPr>
                <w:rFonts w:hint="eastAsia" w:asciiTheme="minorHAnsi" w:hAnsiTheme="minorHAnsi" w:eastAsiaTheme="minorEastAsia" w:cstheme="minorBidi"/>
                <w:color w:val="0D0D0D"/>
                <w:kern w:val="0"/>
                <w:sz w:val="18"/>
                <w:szCs w:val="18"/>
                <w:highlight w:val="none"/>
                <w:lang w:eastAsia="en-US"/>
              </w:rPr>
              <w:t>0-1.</w:t>
            </w:r>
            <w:r>
              <w:rPr>
                <w:rFonts w:hint="eastAsia" w:asciiTheme="minorHAnsi" w:hAnsiTheme="minorHAnsi" w:eastAsiaTheme="minorEastAsia" w:cstheme="minorBidi"/>
                <w:color w:val="0D0D0D"/>
                <w:kern w:val="0"/>
                <w:sz w:val="18"/>
                <w:szCs w:val="18"/>
                <w:highlight w:val="none"/>
                <w:lang w:eastAsia="zh-CN"/>
              </w:rPr>
              <w:t>2</w:t>
            </w:r>
            <w:r>
              <w:rPr>
                <w:rFonts w:hint="eastAsia" w:asciiTheme="minorHAnsi" w:hAnsiTheme="minorHAnsi" w:eastAsiaTheme="minorEastAsia" w:cstheme="minorBidi"/>
                <w:color w:val="0D0D0D"/>
                <w:kern w:val="0"/>
                <w:sz w:val="18"/>
                <w:szCs w:val="18"/>
                <w:highlight w:val="none"/>
                <w:lang w:eastAsia="en-US"/>
              </w:rPr>
              <w:t>0</w:t>
            </w:r>
          </w:p>
        </w:tc>
        <w:tc>
          <w:tcPr>
            <w:tcW w:w="753" w:type="pct"/>
          </w:tcPr>
          <w:p>
            <w:pPr>
              <w:ind w:right="11"/>
              <w:jc w:val="center"/>
              <w:rPr>
                <w:rFonts w:asciiTheme="minorHAnsi" w:hAnsiTheme="minorHAnsi" w:eastAsiaTheme="minorEastAsia" w:cstheme="minorBidi"/>
                <w:color w:val="0D0D0D"/>
                <w:kern w:val="0"/>
                <w:sz w:val="18"/>
                <w:szCs w:val="18"/>
                <w:highlight w:val="none"/>
                <w:lang w:eastAsia="en-US"/>
              </w:rPr>
            </w:pPr>
            <w:r>
              <w:rPr>
                <w:rFonts w:hint="eastAsia" w:asciiTheme="minorHAnsi" w:hAnsiTheme="minorHAnsi" w:eastAsiaTheme="minorEastAsia" w:cstheme="minorBidi"/>
                <w:color w:val="0D0D0D"/>
                <w:kern w:val="0"/>
                <w:sz w:val="18"/>
                <w:szCs w:val="18"/>
                <w:highlight w:val="none"/>
                <w:lang w:eastAsia="en-US"/>
              </w:rPr>
              <w:t>0.15-0.</w:t>
            </w:r>
            <w:r>
              <w:rPr>
                <w:rFonts w:hint="eastAsia" w:asciiTheme="minorHAnsi" w:hAnsiTheme="minorHAnsi" w:eastAsiaTheme="minorEastAsia" w:cstheme="minorBidi"/>
                <w:color w:val="0D0D0D"/>
                <w:kern w:val="0"/>
                <w:sz w:val="18"/>
                <w:szCs w:val="18"/>
                <w:highlight w:val="none"/>
                <w:lang w:eastAsia="zh-CN"/>
              </w:rPr>
              <w:t>30</w:t>
            </w:r>
          </w:p>
        </w:tc>
        <w:tc>
          <w:tcPr>
            <w:tcW w:w="502" w:type="pct"/>
          </w:tcPr>
          <w:p>
            <w:pPr>
              <w:ind w:right="11"/>
              <w:jc w:val="center"/>
              <w:rPr>
                <w:rFonts w:asciiTheme="minorHAnsi" w:hAnsiTheme="minorHAnsi" w:eastAsiaTheme="minorEastAsia" w:cstheme="minorBidi"/>
                <w:color w:val="0D0D0D"/>
                <w:kern w:val="0"/>
                <w:sz w:val="18"/>
                <w:szCs w:val="18"/>
                <w:highlight w:val="none"/>
                <w:lang w:eastAsia="en-US"/>
              </w:rPr>
            </w:pPr>
            <w:r>
              <w:rPr>
                <w:rFonts w:hint="eastAsia" w:asciiTheme="minorHAnsi" w:hAnsiTheme="minorHAnsi" w:eastAsiaTheme="minorEastAsia" w:cstheme="minorBidi"/>
                <w:color w:val="0D0D0D"/>
                <w:kern w:val="0"/>
                <w:sz w:val="18"/>
                <w:szCs w:val="18"/>
                <w:highlight w:val="none"/>
                <w:lang w:eastAsia="en-US"/>
              </w:rPr>
              <w:t>0.035</w:t>
            </w:r>
          </w:p>
        </w:tc>
        <w:tc>
          <w:tcPr>
            <w:tcW w:w="502" w:type="pct"/>
          </w:tcPr>
          <w:p>
            <w:pPr>
              <w:ind w:right="11"/>
              <w:jc w:val="center"/>
              <w:rPr>
                <w:rFonts w:asciiTheme="minorHAnsi" w:hAnsiTheme="minorHAnsi" w:eastAsiaTheme="minorEastAsia" w:cstheme="minorBidi"/>
                <w:color w:val="0D0D0D"/>
                <w:kern w:val="0"/>
                <w:sz w:val="18"/>
                <w:szCs w:val="18"/>
                <w:highlight w:val="none"/>
                <w:lang w:eastAsia="en-US"/>
              </w:rPr>
            </w:pPr>
            <w:r>
              <w:rPr>
                <w:rFonts w:hint="eastAsia" w:asciiTheme="minorHAnsi" w:hAnsiTheme="minorHAnsi" w:eastAsiaTheme="minorEastAsia" w:cstheme="minorBidi"/>
                <w:color w:val="0D0D0D"/>
                <w:kern w:val="0"/>
                <w:sz w:val="18"/>
                <w:szCs w:val="18"/>
                <w:highlight w:val="none"/>
                <w:lang w:eastAsia="en-US"/>
              </w:rPr>
              <w:t>0.035</w:t>
            </w:r>
          </w:p>
        </w:tc>
      </w:tr>
    </w:tbl>
    <w:p>
      <w:pPr>
        <w:ind w:right="11"/>
        <w:jc w:val="left"/>
        <w:rPr>
          <w:rFonts w:asciiTheme="minorHAnsi" w:hAnsiTheme="minorHAnsi" w:eastAsiaTheme="minorEastAsia" w:cstheme="minorBidi"/>
          <w:vanish/>
          <w:color w:val="0D0D0D"/>
          <w:kern w:val="0"/>
          <w:sz w:val="21"/>
          <w:szCs w:val="21"/>
          <w:highlight w:val="none"/>
          <w:lang w:eastAsia="en-US"/>
        </w:rPr>
      </w:pPr>
    </w:p>
    <w:tbl>
      <w:tblPr>
        <w:tblStyle w:val="11"/>
        <w:tblW w:w="497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3"/>
        <w:gridCol w:w="912"/>
        <w:gridCol w:w="2049"/>
        <w:gridCol w:w="2748"/>
        <w:gridCol w:w="2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 w:type="pct"/>
            <w:vMerge w:val="restart"/>
            <w:shd w:val="clear" w:color="auto" w:fill="auto"/>
            <w:vAlign w:val="center"/>
          </w:tcPr>
          <w:p>
            <w:pPr>
              <w:ind w:right="11"/>
              <w:jc w:val="center"/>
              <w:rPr>
                <w:rFonts w:asciiTheme="minorHAnsi" w:hAnsiTheme="minorHAnsi" w:eastAsiaTheme="minorEastAsia" w:cstheme="minorBidi"/>
                <w:color w:val="0D0D0D"/>
                <w:kern w:val="0"/>
                <w:sz w:val="21"/>
                <w:szCs w:val="21"/>
                <w:highlight w:val="none"/>
                <w:lang w:eastAsia="en-US"/>
              </w:rPr>
            </w:pPr>
            <w:r>
              <w:rPr>
                <w:rFonts w:hint="eastAsia" w:asciiTheme="minorHAnsi" w:hAnsiTheme="minorHAnsi" w:eastAsiaTheme="minorEastAsia" w:cstheme="minorBidi"/>
                <w:color w:val="0D0D0D"/>
                <w:kern w:val="0"/>
                <w:sz w:val="18"/>
                <w:szCs w:val="18"/>
                <w:highlight w:val="none"/>
                <w:lang w:eastAsia="en-US"/>
              </w:rPr>
              <w:t>序号</w:t>
            </w:r>
          </w:p>
        </w:tc>
        <w:tc>
          <w:tcPr>
            <w:tcW w:w="523" w:type="pct"/>
            <w:vMerge w:val="restart"/>
            <w:shd w:val="clear" w:color="auto" w:fill="auto"/>
            <w:vAlign w:val="center"/>
          </w:tcPr>
          <w:p>
            <w:pPr>
              <w:ind w:right="11"/>
              <w:jc w:val="center"/>
              <w:rPr>
                <w:rFonts w:asciiTheme="minorHAnsi" w:hAnsiTheme="minorHAnsi" w:eastAsiaTheme="minorEastAsia" w:cstheme="minorBidi"/>
                <w:color w:val="0D0D0D"/>
                <w:kern w:val="0"/>
                <w:sz w:val="21"/>
                <w:szCs w:val="21"/>
                <w:highlight w:val="none"/>
                <w:lang w:eastAsia="en-US"/>
              </w:rPr>
            </w:pPr>
            <w:r>
              <w:rPr>
                <w:rFonts w:hint="eastAsia" w:asciiTheme="minorHAnsi" w:hAnsiTheme="minorHAnsi" w:eastAsiaTheme="minorEastAsia" w:cstheme="minorBidi"/>
                <w:color w:val="0D0D0D"/>
                <w:kern w:val="0"/>
                <w:sz w:val="18"/>
                <w:szCs w:val="18"/>
                <w:highlight w:val="none"/>
                <w:lang w:eastAsia="en-US"/>
              </w:rPr>
              <w:t>牌号名称</w:t>
            </w:r>
          </w:p>
        </w:tc>
        <w:tc>
          <w:tcPr>
            <w:tcW w:w="4187" w:type="pct"/>
            <w:gridSpan w:val="3"/>
            <w:shd w:val="clear" w:color="auto" w:fill="auto"/>
            <w:vAlign w:val="center"/>
          </w:tcPr>
          <w:p>
            <w:pPr>
              <w:autoSpaceDE w:val="0"/>
              <w:autoSpaceDN w:val="0"/>
              <w:adjustRightInd w:val="0"/>
              <w:ind w:right="11"/>
              <w:jc w:val="center"/>
              <w:rPr>
                <w:rFonts w:asciiTheme="minorHAnsi" w:hAnsiTheme="minorHAnsi" w:eastAsiaTheme="minorEastAsia" w:cstheme="minorBidi"/>
                <w:color w:val="0D0D0D"/>
                <w:kern w:val="0"/>
                <w:sz w:val="21"/>
                <w:szCs w:val="21"/>
                <w:highlight w:val="none"/>
                <w:lang w:eastAsia="en-US"/>
              </w:rPr>
            </w:pPr>
            <w:r>
              <w:rPr>
                <w:rFonts w:hint="eastAsia" w:asciiTheme="minorHAnsi" w:hAnsiTheme="minorHAnsi" w:eastAsiaTheme="minorEastAsia" w:cstheme="minorBidi"/>
                <w:color w:val="0D0D0D"/>
                <w:kern w:val="0"/>
                <w:sz w:val="21"/>
                <w:szCs w:val="21"/>
                <w:highlight w:val="none"/>
                <w:lang w:eastAsia="en-US"/>
              </w:rPr>
              <w:t>力学性能不小于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 w:type="pct"/>
            <w:vMerge w:val="continue"/>
            <w:shd w:val="clear" w:color="auto" w:fill="auto"/>
            <w:vAlign w:val="center"/>
          </w:tcPr>
          <w:p>
            <w:pPr>
              <w:ind w:right="11"/>
              <w:jc w:val="center"/>
              <w:rPr>
                <w:rFonts w:asciiTheme="minorHAnsi" w:hAnsiTheme="minorHAnsi" w:eastAsiaTheme="minorEastAsia" w:cstheme="minorBidi"/>
                <w:b/>
                <w:color w:val="0D0D0D"/>
                <w:kern w:val="0"/>
                <w:sz w:val="18"/>
                <w:szCs w:val="18"/>
                <w:highlight w:val="none"/>
                <w:lang w:eastAsia="en-US"/>
              </w:rPr>
            </w:pPr>
          </w:p>
        </w:tc>
        <w:tc>
          <w:tcPr>
            <w:tcW w:w="523" w:type="pct"/>
            <w:vMerge w:val="continue"/>
            <w:shd w:val="clear" w:color="auto" w:fill="auto"/>
            <w:vAlign w:val="center"/>
          </w:tcPr>
          <w:p>
            <w:pPr>
              <w:ind w:right="11"/>
              <w:jc w:val="center"/>
              <w:rPr>
                <w:rFonts w:asciiTheme="minorHAnsi" w:hAnsiTheme="minorHAnsi" w:eastAsiaTheme="minorEastAsia" w:cstheme="minorBidi"/>
                <w:b/>
                <w:color w:val="0D0D0D"/>
                <w:kern w:val="0"/>
                <w:sz w:val="18"/>
                <w:szCs w:val="18"/>
                <w:highlight w:val="none"/>
                <w:lang w:eastAsia="en-US"/>
              </w:rPr>
            </w:pPr>
          </w:p>
        </w:tc>
        <w:tc>
          <w:tcPr>
            <w:tcW w:w="1175" w:type="pct"/>
            <w:shd w:val="clear" w:color="auto" w:fill="auto"/>
            <w:vAlign w:val="center"/>
          </w:tcPr>
          <w:p>
            <w:pPr>
              <w:autoSpaceDE w:val="0"/>
              <w:autoSpaceDN w:val="0"/>
              <w:adjustRightInd w:val="0"/>
              <w:ind w:right="11"/>
              <w:jc w:val="center"/>
              <w:rPr>
                <w:rFonts w:asciiTheme="minorHAnsi" w:hAnsiTheme="minorHAnsi" w:eastAsiaTheme="minorEastAsia" w:cstheme="minorBidi"/>
                <w:kern w:val="0"/>
                <w:sz w:val="21"/>
                <w:szCs w:val="21"/>
                <w:highlight w:val="none"/>
                <w:lang w:eastAsia="en-US"/>
              </w:rPr>
            </w:pPr>
            <w:r>
              <w:rPr>
                <w:rFonts w:hint="eastAsia" w:asciiTheme="minorHAnsi" w:hAnsiTheme="minorHAnsi" w:eastAsiaTheme="minorEastAsia" w:cstheme="minorBidi"/>
                <w:kern w:val="0"/>
                <w:sz w:val="21"/>
                <w:szCs w:val="21"/>
                <w:highlight w:val="none"/>
                <w:lang w:eastAsia="en-US"/>
              </w:rPr>
              <w:t>抗拉强度R</w:t>
            </w:r>
            <w:r>
              <w:rPr>
                <w:rFonts w:hint="eastAsia" w:asciiTheme="minorHAnsi" w:hAnsiTheme="minorHAnsi" w:eastAsiaTheme="minorEastAsia" w:cstheme="minorBidi"/>
                <w:kern w:val="0"/>
                <w:sz w:val="21"/>
                <w:szCs w:val="21"/>
                <w:highlight w:val="none"/>
                <w:vertAlign w:val="subscript"/>
                <w:lang w:eastAsia="en-US"/>
              </w:rPr>
              <w:t>m</w:t>
            </w:r>
            <w:r>
              <w:rPr>
                <w:rFonts w:hint="eastAsia" w:asciiTheme="minorHAnsi" w:hAnsiTheme="minorHAnsi" w:eastAsiaTheme="minorEastAsia" w:cstheme="minorBidi"/>
                <w:kern w:val="0"/>
                <w:sz w:val="21"/>
                <w:szCs w:val="21"/>
                <w:highlight w:val="none"/>
                <w:lang w:eastAsia="en-US"/>
              </w:rPr>
              <w:t>/MPa</w:t>
            </w:r>
          </w:p>
        </w:tc>
        <w:tc>
          <w:tcPr>
            <w:tcW w:w="1576" w:type="pct"/>
            <w:shd w:val="clear" w:color="auto" w:fill="auto"/>
            <w:vAlign w:val="center"/>
          </w:tcPr>
          <w:p>
            <w:pPr>
              <w:autoSpaceDE w:val="0"/>
              <w:autoSpaceDN w:val="0"/>
              <w:adjustRightInd w:val="0"/>
              <w:ind w:right="11"/>
              <w:jc w:val="center"/>
              <w:rPr>
                <w:rFonts w:asciiTheme="minorHAnsi" w:hAnsiTheme="minorHAnsi" w:eastAsiaTheme="minorEastAsia" w:cstheme="minorBidi"/>
                <w:kern w:val="0"/>
                <w:sz w:val="21"/>
                <w:szCs w:val="21"/>
                <w:highlight w:val="none"/>
                <w:lang w:eastAsia="en-US"/>
              </w:rPr>
            </w:pPr>
            <w:r>
              <w:rPr>
                <w:rFonts w:hint="eastAsia" w:asciiTheme="minorHAnsi" w:hAnsiTheme="minorHAnsi" w:eastAsiaTheme="minorEastAsia" w:cstheme="minorBidi"/>
                <w:kern w:val="0"/>
                <w:sz w:val="21"/>
                <w:szCs w:val="21"/>
                <w:highlight w:val="none"/>
                <w:lang w:eastAsia="en-US"/>
              </w:rPr>
              <w:t>屈服强度</w:t>
            </w:r>
          </w:p>
          <w:p>
            <w:pPr>
              <w:autoSpaceDE w:val="0"/>
              <w:autoSpaceDN w:val="0"/>
              <w:adjustRightInd w:val="0"/>
              <w:ind w:right="11"/>
              <w:jc w:val="center"/>
              <w:rPr>
                <w:rFonts w:asciiTheme="minorHAnsi" w:hAnsiTheme="minorHAnsi" w:eastAsiaTheme="minorEastAsia" w:cstheme="minorBidi"/>
                <w:kern w:val="0"/>
                <w:sz w:val="21"/>
                <w:szCs w:val="21"/>
                <w:highlight w:val="none"/>
                <w:lang w:eastAsia="en-US"/>
              </w:rPr>
            </w:pPr>
            <w:r>
              <w:rPr>
                <w:rFonts w:asciiTheme="minorHAnsi" w:hAnsiTheme="minorHAnsi" w:eastAsiaTheme="minorEastAsia" w:cstheme="minorBidi"/>
                <w:kern w:val="0"/>
                <w:sz w:val="21"/>
                <w:szCs w:val="21"/>
                <w:highlight w:val="none"/>
                <w:lang w:eastAsia="en-US"/>
              </w:rPr>
              <w:t>R</w:t>
            </w:r>
            <w:r>
              <w:rPr>
                <w:rFonts w:asciiTheme="minorHAnsi" w:hAnsiTheme="minorHAnsi" w:eastAsiaTheme="minorEastAsia" w:cstheme="minorBidi"/>
                <w:kern w:val="0"/>
                <w:sz w:val="21"/>
                <w:szCs w:val="21"/>
                <w:highlight w:val="none"/>
                <w:vertAlign w:val="subscript"/>
                <w:lang w:eastAsia="en-US"/>
              </w:rPr>
              <w:t>eL</w:t>
            </w:r>
            <w:r>
              <w:rPr>
                <w:rFonts w:hint="eastAsia" w:asciiTheme="minorHAnsi" w:hAnsiTheme="minorHAnsi" w:eastAsiaTheme="minorEastAsia" w:cstheme="minorBidi"/>
                <w:kern w:val="0"/>
                <w:sz w:val="21"/>
                <w:szCs w:val="21"/>
                <w:highlight w:val="none"/>
                <w:vertAlign w:val="subscript"/>
                <w:lang w:eastAsia="en-US"/>
              </w:rPr>
              <w:t>或</w:t>
            </w:r>
            <w:r>
              <w:rPr>
                <w:rFonts w:hint="eastAsia" w:asciiTheme="minorHAnsi" w:hAnsiTheme="minorHAnsi" w:eastAsiaTheme="minorEastAsia" w:cstheme="minorBidi"/>
                <w:kern w:val="0"/>
                <w:sz w:val="21"/>
                <w:szCs w:val="21"/>
                <w:highlight w:val="none"/>
                <w:lang w:eastAsia="en-US"/>
              </w:rPr>
              <w:t>R</w:t>
            </w:r>
            <w:r>
              <w:rPr>
                <w:rFonts w:hint="eastAsia" w:asciiTheme="minorHAnsi" w:hAnsiTheme="minorHAnsi" w:eastAsiaTheme="minorEastAsia" w:cstheme="minorBidi"/>
                <w:kern w:val="0"/>
                <w:sz w:val="21"/>
                <w:szCs w:val="21"/>
                <w:highlight w:val="none"/>
                <w:vertAlign w:val="subscript"/>
                <w:lang w:eastAsia="en-US"/>
              </w:rPr>
              <w:t>P0.2</w:t>
            </w:r>
            <w:r>
              <w:rPr>
                <w:rFonts w:hint="eastAsia" w:asciiTheme="minorHAnsi" w:hAnsiTheme="minorHAnsi" w:eastAsiaTheme="minorEastAsia" w:cstheme="minorBidi"/>
                <w:kern w:val="0"/>
                <w:sz w:val="21"/>
                <w:szCs w:val="21"/>
                <w:highlight w:val="none"/>
                <w:lang w:eastAsia="en-US"/>
              </w:rPr>
              <w:t>/ MPa</w:t>
            </w:r>
          </w:p>
        </w:tc>
        <w:tc>
          <w:tcPr>
            <w:tcW w:w="1435" w:type="pct"/>
            <w:shd w:val="clear" w:color="auto" w:fill="auto"/>
            <w:vAlign w:val="center"/>
          </w:tcPr>
          <w:p>
            <w:pPr>
              <w:autoSpaceDE w:val="0"/>
              <w:autoSpaceDN w:val="0"/>
              <w:adjustRightInd w:val="0"/>
              <w:ind w:right="11"/>
              <w:jc w:val="center"/>
              <w:rPr>
                <w:rFonts w:asciiTheme="minorHAnsi" w:hAnsiTheme="minorHAnsi" w:eastAsiaTheme="minorEastAsia" w:cstheme="minorBidi"/>
                <w:kern w:val="0"/>
                <w:sz w:val="21"/>
                <w:szCs w:val="21"/>
                <w:highlight w:val="none"/>
                <w:lang w:eastAsia="en-US"/>
              </w:rPr>
            </w:pPr>
            <w:r>
              <w:rPr>
                <w:rFonts w:hint="eastAsia" w:asciiTheme="minorHAnsi" w:hAnsiTheme="minorHAnsi" w:eastAsiaTheme="minorEastAsia" w:cstheme="minorBidi"/>
                <w:kern w:val="0"/>
                <w:sz w:val="21"/>
                <w:szCs w:val="21"/>
                <w:highlight w:val="none"/>
                <w:lang w:eastAsia="en-US"/>
              </w:rPr>
              <w:t>断后伸长率</w:t>
            </w:r>
            <w:r>
              <w:rPr>
                <w:rFonts w:asciiTheme="minorHAnsi" w:hAnsiTheme="minorHAnsi" w:eastAsiaTheme="minorEastAsia" w:cstheme="minorBidi"/>
                <w:kern w:val="0"/>
                <w:sz w:val="21"/>
                <w:szCs w:val="21"/>
                <w:highlight w:val="none"/>
                <w:lang w:eastAsia="en-US"/>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 w:type="pct"/>
            <w:shd w:val="clear" w:color="auto" w:fill="auto"/>
            <w:vAlign w:val="center"/>
          </w:tcPr>
          <w:p>
            <w:pPr>
              <w:ind w:right="11"/>
              <w:jc w:val="center"/>
              <w:rPr>
                <w:rFonts w:hint="eastAsia" w:ascii="宋体" w:hAnsi="宋体" w:cs="宋体" w:eastAsiaTheme="minorEastAsia"/>
                <w:color w:val="0D0D0D"/>
                <w:kern w:val="0"/>
                <w:sz w:val="18"/>
                <w:szCs w:val="18"/>
                <w:highlight w:val="none"/>
                <w:lang w:eastAsia="en-US"/>
              </w:rPr>
            </w:pPr>
            <w:r>
              <w:rPr>
                <w:rFonts w:hint="eastAsia" w:asciiTheme="minorHAnsi" w:hAnsiTheme="minorHAnsi" w:eastAsiaTheme="minorEastAsia" w:cstheme="minorBidi"/>
                <w:color w:val="0D0D0D"/>
                <w:kern w:val="0"/>
                <w:sz w:val="18"/>
                <w:szCs w:val="18"/>
                <w:highlight w:val="none"/>
                <w:lang w:eastAsia="en-US"/>
              </w:rPr>
              <w:t>1</w:t>
            </w:r>
          </w:p>
        </w:tc>
        <w:tc>
          <w:tcPr>
            <w:tcW w:w="523" w:type="pct"/>
            <w:shd w:val="clear" w:color="auto" w:fill="auto"/>
            <w:vAlign w:val="center"/>
          </w:tcPr>
          <w:p>
            <w:pPr>
              <w:ind w:right="11"/>
              <w:jc w:val="center"/>
              <w:rPr>
                <w:rFonts w:hint="eastAsia" w:ascii="宋体" w:hAnsi="宋体" w:cs="宋体" w:eastAsiaTheme="minorEastAsia"/>
                <w:color w:val="0D0D0D"/>
                <w:kern w:val="0"/>
                <w:sz w:val="18"/>
                <w:szCs w:val="18"/>
                <w:highlight w:val="none"/>
                <w:lang w:eastAsia="en-US"/>
              </w:rPr>
            </w:pPr>
            <w:r>
              <w:rPr>
                <w:rFonts w:hint="eastAsia" w:ascii="宋体" w:hAnsi="宋体" w:cs="黑体" w:eastAsiaTheme="minorEastAsia"/>
                <w:color w:val="0D0D0D"/>
                <w:kern w:val="0"/>
                <w:sz w:val="21"/>
                <w:szCs w:val="20"/>
                <w:highlight w:val="none"/>
                <w:lang w:eastAsia="zh-CN"/>
              </w:rPr>
              <w:t>42</w:t>
            </w:r>
            <w:r>
              <w:rPr>
                <w:rFonts w:hint="eastAsia" w:ascii="宋体" w:hAnsi="宋体" w:cs="黑体" w:eastAsiaTheme="minorEastAsia"/>
                <w:color w:val="0D0D0D"/>
                <w:kern w:val="0"/>
                <w:sz w:val="21"/>
                <w:szCs w:val="20"/>
                <w:highlight w:val="none"/>
                <w:lang w:eastAsia="en-US"/>
              </w:rPr>
              <w:t>CrMo</w:t>
            </w:r>
          </w:p>
        </w:tc>
        <w:tc>
          <w:tcPr>
            <w:tcW w:w="1175" w:type="pct"/>
            <w:shd w:val="clear" w:color="auto" w:fill="auto"/>
            <w:vAlign w:val="center"/>
          </w:tcPr>
          <w:p>
            <w:pPr>
              <w:autoSpaceDE w:val="0"/>
              <w:autoSpaceDN w:val="0"/>
              <w:adjustRightInd w:val="0"/>
              <w:spacing w:line="360" w:lineRule="auto"/>
              <w:ind w:right="11"/>
              <w:jc w:val="center"/>
              <w:rPr>
                <w:rFonts w:asciiTheme="minorHAnsi" w:hAnsiTheme="minorHAnsi" w:eastAsiaTheme="minorEastAsia" w:cstheme="minorBidi"/>
                <w:kern w:val="0"/>
                <w:sz w:val="21"/>
                <w:szCs w:val="21"/>
                <w:highlight w:val="none"/>
                <w:lang w:eastAsia="en-US"/>
              </w:rPr>
            </w:pPr>
            <w:r>
              <w:rPr>
                <w:rFonts w:hint="eastAsia" w:asciiTheme="minorHAnsi" w:hAnsiTheme="minorHAnsi" w:eastAsiaTheme="minorEastAsia" w:cstheme="minorBidi"/>
                <w:kern w:val="0"/>
                <w:sz w:val="21"/>
                <w:szCs w:val="21"/>
                <w:highlight w:val="none"/>
                <w:lang w:eastAsia="zh-CN"/>
              </w:rPr>
              <w:t>1080</w:t>
            </w:r>
          </w:p>
        </w:tc>
        <w:tc>
          <w:tcPr>
            <w:tcW w:w="1576" w:type="pct"/>
            <w:shd w:val="clear" w:color="auto" w:fill="auto"/>
            <w:vAlign w:val="center"/>
          </w:tcPr>
          <w:p>
            <w:pPr>
              <w:autoSpaceDE w:val="0"/>
              <w:autoSpaceDN w:val="0"/>
              <w:adjustRightInd w:val="0"/>
              <w:spacing w:line="360" w:lineRule="auto"/>
              <w:ind w:right="11"/>
              <w:jc w:val="center"/>
              <w:rPr>
                <w:rFonts w:asciiTheme="minorHAnsi" w:hAnsiTheme="minorHAnsi" w:eastAsiaTheme="minorEastAsia" w:cstheme="minorBidi"/>
                <w:kern w:val="0"/>
                <w:sz w:val="21"/>
                <w:szCs w:val="21"/>
                <w:highlight w:val="none"/>
                <w:lang w:eastAsia="en-US"/>
              </w:rPr>
            </w:pPr>
            <w:r>
              <w:rPr>
                <w:rFonts w:hint="eastAsia" w:asciiTheme="minorHAnsi" w:hAnsiTheme="minorHAnsi" w:eastAsiaTheme="minorEastAsia" w:cstheme="minorBidi"/>
                <w:kern w:val="0"/>
                <w:sz w:val="21"/>
                <w:szCs w:val="21"/>
                <w:highlight w:val="none"/>
                <w:lang w:eastAsia="zh-CN"/>
              </w:rPr>
              <w:t>930</w:t>
            </w:r>
          </w:p>
        </w:tc>
        <w:tc>
          <w:tcPr>
            <w:tcW w:w="1435" w:type="pct"/>
            <w:shd w:val="clear" w:color="auto" w:fill="auto"/>
            <w:vAlign w:val="center"/>
          </w:tcPr>
          <w:p>
            <w:pPr>
              <w:autoSpaceDE w:val="0"/>
              <w:autoSpaceDN w:val="0"/>
              <w:adjustRightInd w:val="0"/>
              <w:spacing w:line="360" w:lineRule="auto"/>
              <w:ind w:right="11"/>
              <w:jc w:val="center"/>
              <w:rPr>
                <w:rFonts w:asciiTheme="minorHAnsi" w:hAnsiTheme="minorHAnsi" w:eastAsiaTheme="minorEastAsia" w:cstheme="minorBidi"/>
                <w:kern w:val="0"/>
                <w:sz w:val="21"/>
                <w:szCs w:val="21"/>
                <w:highlight w:val="none"/>
                <w:lang w:eastAsia="en-US"/>
              </w:rPr>
            </w:pPr>
            <w:r>
              <w:rPr>
                <w:rFonts w:asciiTheme="minorHAnsi" w:hAnsiTheme="minorHAnsi" w:eastAsiaTheme="minorEastAsia" w:cstheme="minorBidi"/>
                <w:kern w:val="0"/>
                <w:sz w:val="21"/>
                <w:szCs w:val="21"/>
                <w:highlight w:val="none"/>
                <w:lang w:eastAsia="en-US"/>
              </w:rPr>
              <w:t>12</w:t>
            </w:r>
          </w:p>
        </w:tc>
      </w:tr>
    </w:tbl>
    <w:p>
      <w:pPr>
        <w:numPr>
          <w:ilvl w:val="0"/>
          <w:numId w:val="12"/>
        </w:numPr>
        <w:autoSpaceDE w:val="0"/>
        <w:autoSpaceDN w:val="0"/>
        <w:adjustRightInd w:val="0"/>
        <w:spacing w:line="360" w:lineRule="auto"/>
        <w:ind w:right="11" w:firstLine="0"/>
        <w:jc w:val="left"/>
        <w:rPr>
          <w:rFonts w:hint="eastAsia" w:cs="黑体" w:asciiTheme="minorEastAsia" w:hAnsiTheme="minorEastAsia" w:eastAsiaTheme="minorEastAsia"/>
          <w:kern w:val="0"/>
          <w:sz w:val="22"/>
          <w:szCs w:val="22"/>
          <w:highlight w:val="none"/>
          <w:lang w:eastAsia="zh-CN"/>
        </w:rPr>
      </w:pPr>
      <w:r>
        <w:rPr>
          <w:rFonts w:hint="eastAsia" w:cs="黑体" w:asciiTheme="minorEastAsia" w:hAnsiTheme="minorEastAsia" w:eastAsiaTheme="minorEastAsia"/>
          <w:kern w:val="0"/>
          <w:sz w:val="22"/>
          <w:szCs w:val="22"/>
          <w:highlight w:val="none"/>
          <w:lang w:eastAsia="zh-CN"/>
        </w:rPr>
        <w:t>头座用2Cr13，材质应满足</w:t>
      </w:r>
    </w:p>
    <w:tbl>
      <w:tblPr>
        <w:tblStyle w:val="11"/>
        <w:tblW w:w="4997" w:type="pct"/>
        <w:tblInd w:w="0" w:type="dxa"/>
        <w:tblLayout w:type="fixed"/>
        <w:tblCellMar>
          <w:top w:w="0" w:type="dxa"/>
          <w:left w:w="0" w:type="dxa"/>
          <w:bottom w:w="0" w:type="dxa"/>
          <w:right w:w="0" w:type="dxa"/>
        </w:tblCellMar>
      </w:tblPr>
      <w:tblGrid>
        <w:gridCol w:w="537"/>
        <w:gridCol w:w="16"/>
        <w:gridCol w:w="1141"/>
        <w:gridCol w:w="33"/>
        <w:gridCol w:w="1225"/>
        <w:gridCol w:w="47"/>
        <w:gridCol w:w="542"/>
        <w:gridCol w:w="319"/>
        <w:gridCol w:w="869"/>
        <w:gridCol w:w="1016"/>
        <w:gridCol w:w="333"/>
        <w:gridCol w:w="674"/>
        <w:gridCol w:w="869"/>
        <w:gridCol w:w="1139"/>
      </w:tblGrid>
      <w:tr>
        <w:tblPrEx>
          <w:tblCellMar>
            <w:top w:w="0" w:type="dxa"/>
            <w:left w:w="0" w:type="dxa"/>
            <w:bottom w:w="0" w:type="dxa"/>
            <w:right w:w="0" w:type="dxa"/>
          </w:tblCellMar>
        </w:tblPrEx>
        <w:trPr>
          <w:trHeight w:val="331" w:hRule="atLeast"/>
        </w:trPr>
        <w:tc>
          <w:tcPr>
            <w:tcW w:w="306" w:type="pct"/>
            <w:vMerge w:val="restart"/>
            <w:tcBorders>
              <w:top w:val="single" w:color="auto" w:sz="4" w:space="0"/>
              <w:left w:val="single" w:color="auto" w:sz="4"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序号</w:t>
            </w:r>
          </w:p>
        </w:tc>
        <w:tc>
          <w:tcPr>
            <w:tcW w:w="660" w:type="pct"/>
            <w:gridSpan w:val="2"/>
            <w:vMerge w:val="restart"/>
            <w:tcBorders>
              <w:top w:val="single" w:color="auto" w:sz="4"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牌号名称</w:t>
            </w:r>
          </w:p>
        </w:tc>
        <w:tc>
          <w:tcPr>
            <w:tcW w:w="717" w:type="pct"/>
            <w:gridSpan w:val="2"/>
            <w:tcBorders>
              <w:top w:val="single" w:color="auto" w:sz="4" w:space="0"/>
              <w:left w:val="nil"/>
              <w:bottom w:val="single" w:color="auto" w:sz="8" w:space="0"/>
              <w:right w:val="nil"/>
            </w:tcBorders>
          </w:tcPr>
          <w:p>
            <w:pPr>
              <w:jc w:val="center"/>
              <w:rPr>
                <w:rFonts w:ascii="Times New Roman" w:hAnsi="Times New Roman" w:cs="Times New Roman" w:eastAsiaTheme="minorEastAsia"/>
                <w:color w:val="0D0D0D"/>
                <w:kern w:val="0"/>
                <w:sz w:val="20"/>
                <w:szCs w:val="21"/>
                <w:highlight w:val="none"/>
                <w:lang w:eastAsia="en-US"/>
              </w:rPr>
            </w:pPr>
          </w:p>
        </w:tc>
        <w:tc>
          <w:tcPr>
            <w:tcW w:w="3315" w:type="pct"/>
            <w:gridSpan w:val="9"/>
            <w:tcBorders>
              <w:top w:val="single" w:color="auto" w:sz="4" w:space="0"/>
              <w:left w:val="nil"/>
              <w:bottom w:val="single" w:color="auto" w:sz="8" w:space="0"/>
              <w:right w:val="single" w:color="auto" w:sz="4" w:space="0"/>
            </w:tcBorders>
            <w:tcMar>
              <w:top w:w="0" w:type="dxa"/>
              <w:left w:w="108" w:type="dxa"/>
              <w:bottom w:w="0" w:type="dxa"/>
              <w:right w:w="108" w:type="dxa"/>
            </w:tcMar>
          </w:tcPr>
          <w:p>
            <w:pPr>
              <w:jc w:val="center"/>
              <w:rPr>
                <w:rFonts w:ascii="Times New Roman" w:hAnsi="Times New Roman" w:cs="Times New Roman" w:eastAsiaTheme="minorEastAsia"/>
                <w:color w:val="0D0D0D"/>
                <w:kern w:val="0"/>
                <w:sz w:val="20"/>
                <w:szCs w:val="21"/>
                <w:highlight w:val="none"/>
                <w:lang w:eastAsia="zh-CN"/>
              </w:rPr>
            </w:pPr>
            <w:r>
              <w:rPr>
                <w:rFonts w:ascii="Times New Roman" w:hAnsi="Times New Roman" w:cs="Times New Roman" w:eastAsiaTheme="minorEastAsia"/>
                <w:color w:val="0D0D0D"/>
                <w:kern w:val="0"/>
                <w:sz w:val="20"/>
                <w:szCs w:val="21"/>
                <w:highlight w:val="none"/>
                <w:lang w:eastAsia="zh-CN"/>
              </w:rPr>
              <w:t>化学成分（质量分数）%</w:t>
            </w:r>
          </w:p>
        </w:tc>
      </w:tr>
      <w:tr>
        <w:tblPrEx>
          <w:tblCellMar>
            <w:top w:w="0" w:type="dxa"/>
            <w:left w:w="0" w:type="dxa"/>
            <w:bottom w:w="0" w:type="dxa"/>
            <w:right w:w="0" w:type="dxa"/>
          </w:tblCellMar>
        </w:tblPrEx>
        <w:trPr>
          <w:trHeight w:val="407" w:hRule="atLeast"/>
        </w:trPr>
        <w:tc>
          <w:tcPr>
            <w:tcW w:w="306" w:type="pct"/>
            <w:vMerge w:val="continue"/>
            <w:tcBorders>
              <w:top w:val="single" w:color="auto" w:sz="8" w:space="0"/>
              <w:left w:val="single" w:color="auto" w:sz="4" w:space="0"/>
              <w:bottom w:val="single" w:color="auto" w:sz="8" w:space="0"/>
              <w:right w:val="single" w:color="auto" w:sz="8" w:space="0"/>
            </w:tcBorders>
            <w:vAlign w:val="center"/>
          </w:tcPr>
          <w:p>
            <w:pPr>
              <w:jc w:val="left"/>
              <w:rPr>
                <w:rFonts w:ascii="Times New Roman" w:hAnsi="Times New Roman" w:cs="Times New Roman" w:eastAsiaTheme="minorEastAsia"/>
                <w:color w:val="0D0D0D"/>
                <w:kern w:val="0"/>
                <w:sz w:val="20"/>
                <w:szCs w:val="21"/>
                <w:highlight w:val="none"/>
                <w:lang w:eastAsia="zh-CN"/>
              </w:rPr>
            </w:pPr>
          </w:p>
        </w:tc>
        <w:tc>
          <w:tcPr>
            <w:tcW w:w="660" w:type="pct"/>
            <w:gridSpan w:val="2"/>
            <w:vMerge w:val="continue"/>
            <w:tcBorders>
              <w:top w:val="single" w:color="auto" w:sz="8" w:space="0"/>
              <w:left w:val="nil"/>
              <w:bottom w:val="single" w:color="auto" w:sz="8" w:space="0"/>
              <w:right w:val="single" w:color="auto" w:sz="8" w:space="0"/>
            </w:tcBorders>
            <w:vAlign w:val="center"/>
          </w:tcPr>
          <w:p>
            <w:pPr>
              <w:jc w:val="left"/>
              <w:rPr>
                <w:rFonts w:ascii="Times New Roman" w:hAnsi="Times New Roman" w:cs="Times New Roman" w:eastAsiaTheme="minorEastAsia"/>
                <w:color w:val="0D0D0D"/>
                <w:kern w:val="0"/>
                <w:sz w:val="20"/>
                <w:szCs w:val="21"/>
                <w:highlight w:val="none"/>
                <w:lang w:eastAsia="zh-CN"/>
              </w:rPr>
            </w:pPr>
          </w:p>
        </w:tc>
        <w:tc>
          <w:tcPr>
            <w:tcW w:w="744" w:type="pct"/>
            <w:gridSpan w:val="3"/>
            <w:tcBorders>
              <w:top w:val="nil"/>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C</w:t>
            </w:r>
          </w:p>
        </w:tc>
        <w:tc>
          <w:tcPr>
            <w:tcW w:w="491" w:type="pct"/>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Si</w:t>
            </w:r>
          </w:p>
        </w:tc>
        <w:tc>
          <w:tcPr>
            <w:tcW w:w="496" w:type="pct"/>
            <w:tcBorders>
              <w:top w:val="nil"/>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Mn</w:t>
            </w:r>
          </w:p>
        </w:tc>
        <w:tc>
          <w:tcPr>
            <w:tcW w:w="580" w:type="pct"/>
            <w:tcBorders>
              <w:top w:val="nil"/>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p</w:t>
            </w:r>
          </w:p>
        </w:tc>
        <w:tc>
          <w:tcPr>
            <w:tcW w:w="575" w:type="pct"/>
            <w:gridSpan w:val="2"/>
            <w:tcBorders>
              <w:top w:val="nil"/>
              <w:left w:val="nil"/>
              <w:bottom w:val="single" w:color="auto" w:sz="8" w:space="0"/>
              <w:right w:val="single" w:color="auto" w:sz="4" w:space="0"/>
            </w:tcBorders>
            <w:tcMar>
              <w:top w:w="0" w:type="dxa"/>
              <w:left w:w="108" w:type="dxa"/>
              <w:bottom w:w="0" w:type="dxa"/>
              <w:right w:w="108" w:type="dxa"/>
            </w:tcMar>
            <w:vAlign w:val="center"/>
          </w:tcPr>
          <w:p>
            <w:pPr>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S</w:t>
            </w:r>
          </w:p>
        </w:tc>
        <w:tc>
          <w:tcPr>
            <w:tcW w:w="496"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Ni</w:t>
            </w:r>
          </w:p>
        </w:tc>
        <w:tc>
          <w:tcPr>
            <w:tcW w:w="647" w:type="pct"/>
            <w:tcBorders>
              <w:top w:val="nil"/>
              <w:left w:val="single" w:color="auto" w:sz="4" w:space="0"/>
              <w:bottom w:val="single" w:color="auto" w:sz="8" w:space="0"/>
              <w:right w:val="single" w:color="auto" w:sz="4" w:space="0"/>
            </w:tcBorders>
            <w:tcMar>
              <w:top w:w="0" w:type="dxa"/>
              <w:left w:w="108" w:type="dxa"/>
              <w:bottom w:w="0" w:type="dxa"/>
              <w:right w:w="108" w:type="dxa"/>
            </w:tcMar>
            <w:vAlign w:val="center"/>
          </w:tcPr>
          <w:p>
            <w:pPr>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Cr</w:t>
            </w:r>
          </w:p>
        </w:tc>
      </w:tr>
      <w:tr>
        <w:tblPrEx>
          <w:tblCellMar>
            <w:top w:w="0" w:type="dxa"/>
            <w:left w:w="0" w:type="dxa"/>
            <w:bottom w:w="0" w:type="dxa"/>
            <w:right w:w="0" w:type="dxa"/>
          </w:tblCellMar>
        </w:tblPrEx>
        <w:trPr>
          <w:trHeight w:val="369" w:hRule="atLeast"/>
        </w:trPr>
        <w:tc>
          <w:tcPr>
            <w:tcW w:w="306" w:type="pct"/>
            <w:tcBorders>
              <w:top w:val="nil"/>
              <w:left w:val="single" w:color="auto" w:sz="4" w:space="0"/>
              <w:bottom w:val="single" w:color="auto" w:sz="4"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1</w:t>
            </w:r>
          </w:p>
        </w:tc>
        <w:tc>
          <w:tcPr>
            <w:tcW w:w="660" w:type="pct"/>
            <w:gridSpan w:val="2"/>
            <w:tcBorders>
              <w:top w:val="nil"/>
              <w:left w:val="nil"/>
              <w:bottom w:val="single" w:color="auto" w:sz="4" w:space="0"/>
              <w:right w:val="single" w:color="auto" w:sz="8" w:space="0"/>
            </w:tcBorders>
            <w:tcMar>
              <w:top w:w="0" w:type="dxa"/>
              <w:left w:w="108" w:type="dxa"/>
              <w:bottom w:w="0" w:type="dxa"/>
              <w:right w:w="108" w:type="dxa"/>
            </w:tcMar>
            <w:vAlign w:val="center"/>
          </w:tcPr>
          <w:p>
            <w:pPr>
              <w:autoSpaceDE w:val="0"/>
              <w:autoSpaceDN w:val="0"/>
              <w:spacing w:line="360" w:lineRule="auto"/>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2Cr13</w:t>
            </w:r>
          </w:p>
        </w:tc>
        <w:tc>
          <w:tcPr>
            <w:tcW w:w="744" w:type="pct"/>
            <w:gridSpan w:val="3"/>
            <w:tcBorders>
              <w:top w:val="nil"/>
              <w:left w:val="nil"/>
              <w:bottom w:val="single" w:color="auto" w:sz="4"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0.16-0.25</w:t>
            </w:r>
          </w:p>
        </w:tc>
        <w:tc>
          <w:tcPr>
            <w:tcW w:w="491" w:type="pct"/>
            <w:gridSpan w:val="2"/>
            <w:tcBorders>
              <w:top w:val="nil"/>
              <w:left w:val="nil"/>
              <w:bottom w:val="single" w:color="auto" w:sz="4"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1max</w:t>
            </w:r>
          </w:p>
        </w:tc>
        <w:tc>
          <w:tcPr>
            <w:tcW w:w="496" w:type="pct"/>
            <w:tcBorders>
              <w:top w:val="nil"/>
              <w:left w:val="nil"/>
              <w:bottom w:val="single" w:color="auto" w:sz="4"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1max</w:t>
            </w:r>
          </w:p>
        </w:tc>
        <w:tc>
          <w:tcPr>
            <w:tcW w:w="580" w:type="pct"/>
            <w:tcBorders>
              <w:top w:val="nil"/>
              <w:left w:val="nil"/>
              <w:bottom w:val="single" w:color="auto" w:sz="4"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0.04max</w:t>
            </w:r>
          </w:p>
        </w:tc>
        <w:tc>
          <w:tcPr>
            <w:tcW w:w="575" w:type="pct"/>
            <w:gridSpan w:val="2"/>
            <w:tcBorders>
              <w:top w:val="nil"/>
              <w:left w:val="nil"/>
              <w:bottom w:val="single" w:color="auto" w:sz="4" w:space="0"/>
              <w:right w:val="single" w:color="auto" w:sz="4" w:space="0"/>
            </w:tcBorders>
            <w:tcMar>
              <w:top w:w="0" w:type="dxa"/>
              <w:left w:w="108" w:type="dxa"/>
              <w:bottom w:w="0" w:type="dxa"/>
              <w:right w:w="108" w:type="dxa"/>
            </w:tcMar>
            <w:vAlign w:val="center"/>
          </w:tcPr>
          <w:p>
            <w:pPr>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0.03max</w:t>
            </w:r>
          </w:p>
        </w:tc>
        <w:tc>
          <w:tcPr>
            <w:tcW w:w="496"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0.6max</w:t>
            </w:r>
          </w:p>
        </w:tc>
        <w:tc>
          <w:tcPr>
            <w:tcW w:w="647" w:type="pct"/>
            <w:tcBorders>
              <w:top w:val="nil"/>
              <w:left w:val="single" w:color="auto" w:sz="4" w:space="0"/>
              <w:bottom w:val="single" w:color="auto" w:sz="4" w:space="0"/>
              <w:right w:val="single" w:color="auto" w:sz="4" w:space="0"/>
            </w:tcBorders>
            <w:tcMar>
              <w:top w:w="0" w:type="dxa"/>
              <w:left w:w="108" w:type="dxa"/>
              <w:bottom w:w="0" w:type="dxa"/>
              <w:right w:w="108" w:type="dxa"/>
            </w:tcMar>
            <w:vAlign w:val="center"/>
          </w:tcPr>
          <w:p>
            <w:pPr>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12-14</w:t>
            </w:r>
          </w:p>
        </w:tc>
      </w:tr>
      <w:tr>
        <w:tblPrEx>
          <w:tblCellMar>
            <w:top w:w="0" w:type="dxa"/>
            <w:left w:w="0" w:type="dxa"/>
            <w:bottom w:w="0" w:type="dxa"/>
            <w:right w:w="0" w:type="dxa"/>
          </w:tblCellMar>
        </w:tblPrEx>
        <w:tc>
          <w:tcPr>
            <w:tcW w:w="315" w:type="pct"/>
            <w:gridSpan w:val="2"/>
            <w:vMerge w:val="restart"/>
            <w:tcBorders>
              <w:top w:val="single" w:color="auto" w:sz="4" w:space="0"/>
              <w:left w:val="single" w:color="auto" w:sz="4"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序号</w:t>
            </w:r>
          </w:p>
        </w:tc>
        <w:tc>
          <w:tcPr>
            <w:tcW w:w="669" w:type="pct"/>
            <w:gridSpan w:val="2"/>
            <w:vMerge w:val="restart"/>
            <w:tcBorders>
              <w:top w:val="single" w:color="auto" w:sz="4" w:space="0"/>
              <w:left w:val="nil"/>
              <w:bottom w:val="single" w:color="auto" w:sz="8" w:space="0"/>
              <w:right w:val="single" w:color="auto" w:sz="8" w:space="0"/>
            </w:tcBorders>
            <w:tcMar>
              <w:top w:w="0" w:type="dxa"/>
              <w:left w:w="108" w:type="dxa"/>
              <w:bottom w:w="0" w:type="dxa"/>
              <w:right w:w="108" w:type="dxa"/>
            </w:tcMar>
            <w:vAlign w:val="center"/>
          </w:tcPr>
          <w:p>
            <w:pPr>
              <w:autoSpaceDE w:val="0"/>
              <w:autoSpaceDN w:val="0"/>
              <w:spacing w:line="360" w:lineRule="auto"/>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牌号名称</w:t>
            </w:r>
          </w:p>
        </w:tc>
        <w:tc>
          <w:tcPr>
            <w:tcW w:w="4014" w:type="pct"/>
            <w:gridSpan w:val="10"/>
            <w:tcBorders>
              <w:top w:val="single" w:color="auto" w:sz="4" w:space="0"/>
              <w:left w:val="nil"/>
              <w:bottom w:val="single" w:color="auto" w:sz="4" w:space="0"/>
              <w:right w:val="single" w:color="auto" w:sz="4" w:space="0"/>
            </w:tcBorders>
          </w:tcPr>
          <w:p>
            <w:pPr>
              <w:autoSpaceDE w:val="0"/>
              <w:autoSpaceDN w:val="0"/>
              <w:spacing w:line="360" w:lineRule="auto"/>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力学性能</w:t>
            </w:r>
          </w:p>
        </w:tc>
      </w:tr>
      <w:tr>
        <w:tblPrEx>
          <w:tblCellMar>
            <w:top w:w="0" w:type="dxa"/>
            <w:left w:w="0" w:type="dxa"/>
            <w:bottom w:w="0" w:type="dxa"/>
            <w:right w:w="0" w:type="dxa"/>
          </w:tblCellMar>
        </w:tblPrEx>
        <w:tc>
          <w:tcPr>
            <w:tcW w:w="315" w:type="pct"/>
            <w:gridSpan w:val="2"/>
            <w:vMerge w:val="continue"/>
            <w:tcBorders>
              <w:top w:val="single" w:color="auto" w:sz="8" w:space="0"/>
              <w:left w:val="single" w:color="auto" w:sz="4" w:space="0"/>
              <w:bottom w:val="single" w:color="auto" w:sz="8" w:space="0"/>
              <w:right w:val="single" w:color="auto" w:sz="8" w:space="0"/>
            </w:tcBorders>
            <w:vAlign w:val="center"/>
          </w:tcPr>
          <w:p>
            <w:pPr>
              <w:jc w:val="left"/>
              <w:rPr>
                <w:rFonts w:ascii="Times New Roman" w:hAnsi="Times New Roman" w:cs="Times New Roman" w:eastAsiaTheme="minorEastAsia"/>
                <w:color w:val="0D0D0D"/>
                <w:kern w:val="0"/>
                <w:sz w:val="20"/>
                <w:szCs w:val="21"/>
                <w:highlight w:val="none"/>
                <w:lang w:eastAsia="en-US"/>
              </w:rPr>
            </w:pPr>
          </w:p>
        </w:tc>
        <w:tc>
          <w:tcPr>
            <w:tcW w:w="669" w:type="pct"/>
            <w:gridSpan w:val="2"/>
            <w:vMerge w:val="continue"/>
            <w:tcBorders>
              <w:top w:val="single" w:color="auto" w:sz="8" w:space="0"/>
              <w:left w:val="nil"/>
              <w:bottom w:val="single" w:color="auto" w:sz="8" w:space="0"/>
              <w:right w:val="single" w:color="auto" w:sz="4" w:space="0"/>
            </w:tcBorders>
            <w:vAlign w:val="center"/>
          </w:tcPr>
          <w:p>
            <w:pPr>
              <w:jc w:val="left"/>
              <w:rPr>
                <w:rFonts w:ascii="Times New Roman" w:hAnsi="Times New Roman" w:cs="Times New Roman" w:eastAsiaTheme="minorEastAsia"/>
                <w:color w:val="0D0D0D"/>
                <w:kern w:val="0"/>
                <w:sz w:val="20"/>
                <w:szCs w:val="21"/>
                <w:highlight w:val="none"/>
                <w:lang w:eastAsia="en-US"/>
              </w:rPr>
            </w:pPr>
          </w:p>
        </w:tc>
        <w:tc>
          <w:tcPr>
            <w:tcW w:w="1035" w:type="pct"/>
            <w:gridSpan w:val="3"/>
            <w:tcBorders>
              <w:top w:val="single" w:color="auto" w:sz="4" w:space="0"/>
              <w:left w:val="single" w:color="auto" w:sz="4" w:space="0"/>
              <w:bottom w:val="single" w:color="auto" w:sz="4" w:space="0"/>
              <w:right w:val="single" w:color="auto" w:sz="4" w:space="0"/>
            </w:tcBorders>
          </w:tcPr>
          <w:p>
            <w:pPr>
              <w:tabs>
                <w:tab w:val="left" w:pos="698"/>
              </w:tabs>
              <w:autoSpaceDE w:val="0"/>
              <w:autoSpaceDN w:val="0"/>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非比例延伸强度</w:t>
            </w:r>
          </w:p>
          <w:p>
            <w:pPr>
              <w:tabs>
                <w:tab w:val="left" w:pos="698"/>
              </w:tabs>
              <w:autoSpaceDE w:val="0"/>
              <w:autoSpaceDN w:val="0"/>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R</w:t>
            </w:r>
            <w:r>
              <w:rPr>
                <w:rFonts w:ascii="Times New Roman" w:hAnsi="Times New Roman" w:cs="Times New Roman" w:eastAsiaTheme="minorEastAsia"/>
                <w:color w:val="0D0D0D"/>
                <w:kern w:val="0"/>
                <w:sz w:val="20"/>
                <w:szCs w:val="21"/>
                <w:highlight w:val="none"/>
                <w:vertAlign w:val="subscript"/>
                <w:lang w:eastAsia="en-US"/>
              </w:rPr>
              <w:t>p0.2</w:t>
            </w:r>
            <w:r>
              <w:rPr>
                <w:rFonts w:ascii="Times New Roman" w:hAnsi="Times New Roman" w:cs="Times New Roman" w:eastAsiaTheme="minorEastAsia"/>
                <w:color w:val="0D0D0D"/>
                <w:kern w:val="0"/>
                <w:sz w:val="20"/>
                <w:szCs w:val="21"/>
                <w:highlight w:val="none"/>
                <w:lang w:eastAsia="en-US"/>
              </w:rPr>
              <w:t>/ MPa</w:t>
            </w:r>
          </w:p>
        </w:tc>
        <w:tc>
          <w:tcPr>
            <w:tcW w:w="1448" w:type="pct"/>
            <w:gridSpan w:val="4"/>
            <w:tcBorders>
              <w:top w:val="nil"/>
              <w:left w:val="single" w:color="auto" w:sz="4" w:space="0"/>
              <w:bottom w:val="single" w:color="auto" w:sz="8" w:space="0"/>
              <w:right w:val="single" w:color="auto" w:sz="8" w:space="0"/>
            </w:tcBorders>
            <w:tcMar>
              <w:top w:w="0" w:type="dxa"/>
              <w:left w:w="108" w:type="dxa"/>
              <w:bottom w:w="0" w:type="dxa"/>
              <w:right w:w="108" w:type="dxa"/>
            </w:tcMar>
            <w:vAlign w:val="center"/>
          </w:tcPr>
          <w:p>
            <w:pPr>
              <w:autoSpaceDE w:val="0"/>
              <w:autoSpaceDN w:val="0"/>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抗拉强度R</w:t>
            </w:r>
            <w:r>
              <w:rPr>
                <w:rFonts w:ascii="Times New Roman" w:hAnsi="Times New Roman" w:cs="Times New Roman" w:eastAsiaTheme="minorEastAsia"/>
                <w:color w:val="0D0D0D"/>
                <w:kern w:val="0"/>
                <w:sz w:val="20"/>
                <w:szCs w:val="21"/>
                <w:highlight w:val="none"/>
                <w:vertAlign w:val="subscript"/>
                <w:lang w:eastAsia="en-US"/>
              </w:rPr>
              <w:t>m</w:t>
            </w:r>
            <w:r>
              <w:rPr>
                <w:rFonts w:ascii="Times New Roman" w:hAnsi="Times New Roman" w:cs="Times New Roman" w:eastAsiaTheme="minorEastAsia"/>
                <w:color w:val="0D0D0D"/>
                <w:kern w:val="0"/>
                <w:sz w:val="20"/>
                <w:szCs w:val="21"/>
                <w:highlight w:val="none"/>
                <w:lang w:eastAsia="en-US"/>
              </w:rPr>
              <w:t>/MPa</w:t>
            </w:r>
          </w:p>
        </w:tc>
        <w:tc>
          <w:tcPr>
            <w:tcW w:w="1530" w:type="pct"/>
            <w:gridSpan w:val="3"/>
            <w:tcBorders>
              <w:top w:val="nil"/>
              <w:left w:val="nil"/>
              <w:bottom w:val="single" w:color="auto" w:sz="8" w:space="0"/>
              <w:right w:val="single" w:color="auto" w:sz="4" w:space="0"/>
            </w:tcBorders>
            <w:tcMar>
              <w:top w:w="0" w:type="dxa"/>
              <w:left w:w="108" w:type="dxa"/>
              <w:bottom w:w="0" w:type="dxa"/>
              <w:right w:w="108" w:type="dxa"/>
            </w:tcMar>
            <w:vAlign w:val="center"/>
          </w:tcPr>
          <w:p>
            <w:pPr>
              <w:autoSpaceDE w:val="0"/>
              <w:autoSpaceDN w:val="0"/>
              <w:jc w:val="center"/>
              <w:rPr>
                <w:rFonts w:ascii="Times New Roman" w:hAnsi="Times New Roman" w:cs="Times New Roman" w:eastAsiaTheme="minorEastAsia"/>
                <w:b/>
                <w:bCs/>
                <w:color w:val="FF0000"/>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伸长率A%</w:t>
            </w:r>
          </w:p>
        </w:tc>
      </w:tr>
      <w:tr>
        <w:tblPrEx>
          <w:tblCellMar>
            <w:top w:w="0" w:type="dxa"/>
            <w:left w:w="0" w:type="dxa"/>
            <w:bottom w:w="0" w:type="dxa"/>
            <w:right w:w="0" w:type="dxa"/>
          </w:tblCellMar>
        </w:tblPrEx>
        <w:tc>
          <w:tcPr>
            <w:tcW w:w="315" w:type="pct"/>
            <w:gridSpan w:val="2"/>
            <w:tcBorders>
              <w:top w:val="nil"/>
              <w:left w:val="single" w:color="auto" w:sz="4" w:space="0"/>
              <w:bottom w:val="single" w:color="auto" w:sz="4"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1</w:t>
            </w:r>
          </w:p>
        </w:tc>
        <w:tc>
          <w:tcPr>
            <w:tcW w:w="669" w:type="pct"/>
            <w:gridSpan w:val="2"/>
            <w:tcBorders>
              <w:top w:val="nil"/>
              <w:left w:val="nil"/>
              <w:bottom w:val="single" w:color="auto" w:sz="4" w:space="0"/>
              <w:right w:val="single" w:color="auto" w:sz="4" w:space="0"/>
            </w:tcBorders>
            <w:tcMar>
              <w:top w:w="0" w:type="dxa"/>
              <w:left w:w="108" w:type="dxa"/>
              <w:bottom w:w="0" w:type="dxa"/>
              <w:right w:w="108" w:type="dxa"/>
            </w:tcMar>
            <w:vAlign w:val="center"/>
          </w:tcPr>
          <w:p>
            <w:pPr>
              <w:autoSpaceDE w:val="0"/>
              <w:autoSpaceDN w:val="0"/>
              <w:spacing w:line="360" w:lineRule="auto"/>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2Cr13</w:t>
            </w:r>
          </w:p>
        </w:tc>
        <w:tc>
          <w:tcPr>
            <w:tcW w:w="1035" w:type="pct"/>
            <w:gridSpan w:val="3"/>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≥440</w:t>
            </w:r>
          </w:p>
        </w:tc>
        <w:tc>
          <w:tcPr>
            <w:tcW w:w="1448" w:type="pct"/>
            <w:gridSpan w:val="4"/>
            <w:tcBorders>
              <w:top w:val="nil"/>
              <w:left w:val="single" w:color="auto" w:sz="4" w:space="0"/>
              <w:bottom w:val="single" w:color="auto" w:sz="4" w:space="0"/>
              <w:right w:val="single" w:color="auto" w:sz="8" w:space="0"/>
            </w:tcBorders>
            <w:tcMar>
              <w:top w:w="0" w:type="dxa"/>
              <w:left w:w="108" w:type="dxa"/>
              <w:bottom w:w="0" w:type="dxa"/>
              <w:right w:w="108" w:type="dxa"/>
            </w:tcMar>
            <w:vAlign w:val="center"/>
          </w:tcPr>
          <w:p>
            <w:pPr>
              <w:autoSpaceDE w:val="0"/>
              <w:autoSpaceDN w:val="0"/>
              <w:jc w:val="center"/>
              <w:rPr>
                <w:rFonts w:ascii="Times New Roman" w:hAnsi="Times New Roman" w:cs="Times New Roman" w:eastAsiaTheme="minorEastAsia"/>
                <w:color w:val="0D0D0D"/>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≥640</w:t>
            </w:r>
          </w:p>
        </w:tc>
        <w:tc>
          <w:tcPr>
            <w:tcW w:w="1530" w:type="pct"/>
            <w:gridSpan w:val="3"/>
            <w:tcBorders>
              <w:top w:val="nil"/>
              <w:left w:val="nil"/>
              <w:bottom w:val="single" w:color="auto" w:sz="4" w:space="0"/>
              <w:right w:val="single" w:color="auto" w:sz="4" w:space="0"/>
            </w:tcBorders>
            <w:tcMar>
              <w:top w:w="0" w:type="dxa"/>
              <w:left w:w="108" w:type="dxa"/>
              <w:bottom w:w="0" w:type="dxa"/>
              <w:right w:w="108" w:type="dxa"/>
            </w:tcMar>
            <w:vAlign w:val="center"/>
          </w:tcPr>
          <w:p>
            <w:pPr>
              <w:autoSpaceDE w:val="0"/>
              <w:autoSpaceDN w:val="0"/>
              <w:jc w:val="center"/>
              <w:rPr>
                <w:rFonts w:ascii="Times New Roman" w:hAnsi="Times New Roman" w:cs="Times New Roman" w:eastAsiaTheme="minorEastAsia"/>
                <w:b/>
                <w:bCs/>
                <w:color w:val="FF0000"/>
                <w:kern w:val="0"/>
                <w:sz w:val="20"/>
                <w:szCs w:val="21"/>
                <w:highlight w:val="none"/>
                <w:lang w:eastAsia="en-US"/>
              </w:rPr>
            </w:pPr>
            <w:r>
              <w:rPr>
                <w:rFonts w:ascii="Times New Roman" w:hAnsi="Times New Roman" w:cs="Times New Roman" w:eastAsiaTheme="minorEastAsia"/>
                <w:color w:val="0D0D0D"/>
                <w:kern w:val="0"/>
                <w:sz w:val="20"/>
                <w:szCs w:val="21"/>
                <w:highlight w:val="none"/>
                <w:lang w:eastAsia="en-US"/>
              </w:rPr>
              <w:t>≥20</w:t>
            </w:r>
          </w:p>
        </w:tc>
      </w:tr>
    </w:tbl>
    <w:p>
      <w:pPr>
        <w:keepNext w:val="0"/>
        <w:keepLines w:val="0"/>
        <w:pageBreakBefore w:val="0"/>
        <w:widowControl w:val="0"/>
        <w:numPr>
          <w:ilvl w:val="2"/>
          <w:numId w:val="11"/>
        </w:numPr>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每台潜油电机配送2桶型号：BH6（单桶16kG以上）204℃合格电机油，符合下表技术要求，并附带电机油MSDS。</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0"/>
        <w:gridCol w:w="2192"/>
        <w:gridCol w:w="2185"/>
        <w:gridCol w:w="3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390" w:type="dxa"/>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r>
              <w:rPr>
                <w:rFonts w:hint="eastAsia" w:ascii="宋体" w:hAnsi="宋体" w:eastAsiaTheme="minorEastAsia" w:cstheme="minorBidi"/>
                <w:kern w:val="0"/>
                <w:sz w:val="18"/>
                <w:szCs w:val="18"/>
                <w:highlight w:val="none"/>
                <w:lang w:eastAsia="en-US"/>
              </w:rPr>
              <w:t>序号</w:t>
            </w:r>
          </w:p>
        </w:tc>
        <w:tc>
          <w:tcPr>
            <w:tcW w:w="4377" w:type="dxa"/>
            <w:gridSpan w:val="2"/>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r>
              <w:rPr>
                <w:rFonts w:hint="eastAsia" w:ascii="宋体" w:hAnsi="宋体" w:eastAsiaTheme="minorEastAsia" w:cstheme="minorBidi"/>
                <w:kern w:val="0"/>
                <w:sz w:val="18"/>
                <w:szCs w:val="18"/>
                <w:highlight w:val="none"/>
                <w:lang w:eastAsia="en-US"/>
              </w:rPr>
              <w:t>项目</w:t>
            </w:r>
          </w:p>
        </w:tc>
        <w:tc>
          <w:tcPr>
            <w:tcW w:w="3000" w:type="dxa"/>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r>
              <w:rPr>
                <w:rFonts w:hint="eastAsia" w:ascii="宋体" w:hAnsi="宋体" w:eastAsiaTheme="minorEastAsia" w:cstheme="minorBidi"/>
                <w:kern w:val="0"/>
                <w:sz w:val="18"/>
                <w:szCs w:val="18"/>
                <w:highlight w:val="none"/>
                <w:lang w:eastAsia="en-US"/>
              </w:rPr>
              <w:t>技术指标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390" w:type="dxa"/>
            <w:vMerge w:val="restart"/>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r>
              <w:rPr>
                <w:rFonts w:ascii="宋体" w:hAnsi="宋体" w:eastAsiaTheme="minorEastAsia" w:cstheme="minorBidi"/>
                <w:kern w:val="0"/>
                <w:sz w:val="18"/>
                <w:szCs w:val="18"/>
                <w:highlight w:val="none"/>
                <w:lang w:eastAsia="en-US"/>
              </w:rPr>
              <w:t>1</w:t>
            </w:r>
          </w:p>
        </w:tc>
        <w:tc>
          <w:tcPr>
            <w:tcW w:w="2192" w:type="dxa"/>
            <w:vMerge w:val="restart"/>
            <w:vAlign w:val="center"/>
          </w:tcPr>
          <w:p>
            <w:pPr>
              <w:adjustRightInd w:val="0"/>
              <w:snapToGrid w:val="0"/>
              <w:spacing w:line="240" w:lineRule="atLeast"/>
              <w:ind w:right="11"/>
              <w:jc w:val="center"/>
              <w:rPr>
                <w:rFonts w:hint="eastAsia" w:ascii="宋体" w:hAnsi="宋体" w:eastAsiaTheme="minorEastAsia" w:cstheme="minorBidi"/>
                <w:kern w:val="0"/>
                <w:sz w:val="18"/>
                <w:szCs w:val="18"/>
                <w:highlight w:val="none"/>
                <w:lang w:eastAsia="en-US"/>
              </w:rPr>
            </w:pPr>
            <w:r>
              <w:rPr>
                <w:rFonts w:hint="eastAsia" w:ascii="宋体" w:hAnsi="宋体" w:eastAsiaTheme="minorEastAsia" w:cstheme="minorBidi"/>
                <w:kern w:val="0"/>
                <w:sz w:val="18"/>
                <w:szCs w:val="18"/>
                <w:highlight w:val="none"/>
                <w:lang w:eastAsia="en-US"/>
              </w:rPr>
              <w:t>运动</w:t>
            </w:r>
          </w:p>
          <w:p>
            <w:pPr>
              <w:adjustRightInd w:val="0"/>
              <w:snapToGrid w:val="0"/>
              <w:spacing w:line="240" w:lineRule="atLeast"/>
              <w:ind w:right="11"/>
              <w:jc w:val="center"/>
              <w:rPr>
                <w:rFonts w:hint="eastAsia" w:ascii="宋体" w:hAnsi="宋体" w:eastAsiaTheme="minorEastAsia" w:cstheme="minorBidi"/>
                <w:kern w:val="0"/>
                <w:sz w:val="18"/>
                <w:szCs w:val="18"/>
                <w:highlight w:val="none"/>
                <w:lang w:eastAsia="en-US"/>
              </w:rPr>
            </w:pPr>
            <w:r>
              <w:rPr>
                <w:rFonts w:hint="eastAsia" w:ascii="宋体" w:hAnsi="宋体" w:eastAsiaTheme="minorEastAsia" w:cstheme="minorBidi"/>
                <w:kern w:val="0"/>
                <w:sz w:val="18"/>
                <w:szCs w:val="18"/>
                <w:highlight w:val="none"/>
                <w:lang w:eastAsia="en-US"/>
              </w:rPr>
              <w:t>粘度</w:t>
            </w:r>
          </w:p>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r>
              <w:rPr>
                <w:rFonts w:ascii="宋体" w:hAnsi="宋体" w:eastAsiaTheme="minorEastAsia" w:cstheme="minorBidi"/>
                <w:kern w:val="0"/>
                <w:sz w:val="18"/>
                <w:szCs w:val="18"/>
                <w:highlight w:val="none"/>
                <w:lang w:eastAsia="en-US"/>
              </w:rPr>
              <w:t>mm</w:t>
            </w:r>
            <w:r>
              <w:rPr>
                <w:rFonts w:ascii="宋体" w:hAnsi="宋体" w:eastAsiaTheme="minorEastAsia" w:cstheme="minorBidi"/>
                <w:kern w:val="0"/>
                <w:sz w:val="18"/>
                <w:szCs w:val="18"/>
                <w:highlight w:val="none"/>
                <w:vertAlign w:val="superscript"/>
                <w:lang w:eastAsia="en-US"/>
              </w:rPr>
              <w:t>2</w:t>
            </w:r>
            <w:r>
              <w:rPr>
                <w:rFonts w:ascii="宋体" w:hAnsi="宋体" w:eastAsiaTheme="minorEastAsia" w:cstheme="minorBidi"/>
                <w:kern w:val="0"/>
                <w:sz w:val="18"/>
                <w:szCs w:val="18"/>
                <w:highlight w:val="none"/>
                <w:lang w:eastAsia="en-US"/>
              </w:rPr>
              <w:t>/s</w:t>
            </w:r>
          </w:p>
        </w:tc>
        <w:tc>
          <w:tcPr>
            <w:tcW w:w="2185" w:type="dxa"/>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r>
              <w:rPr>
                <w:rFonts w:ascii="宋体" w:hAnsi="宋体" w:eastAsiaTheme="minorEastAsia" w:cstheme="minorBidi"/>
                <w:kern w:val="0"/>
                <w:sz w:val="18"/>
                <w:szCs w:val="18"/>
                <w:highlight w:val="none"/>
                <w:lang w:eastAsia="en-US"/>
              </w:rPr>
              <w:t>40℃不大于</w:t>
            </w:r>
          </w:p>
        </w:tc>
        <w:tc>
          <w:tcPr>
            <w:tcW w:w="3000" w:type="dxa"/>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zh-CN"/>
              </w:rPr>
            </w:pPr>
            <w:r>
              <w:rPr>
                <w:rFonts w:hint="eastAsia" w:ascii="宋体" w:hAnsi="宋体" w:eastAsiaTheme="minorEastAsia" w:cstheme="minorBidi"/>
                <w:kern w:val="0"/>
                <w:sz w:val="18"/>
                <w:szCs w:val="18"/>
                <w:highlight w:val="none"/>
                <w:lang w:eastAsia="zh-CN"/>
              </w:rPr>
              <w:t>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390" w:type="dxa"/>
            <w:vMerge w:val="continue"/>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p>
        </w:tc>
        <w:tc>
          <w:tcPr>
            <w:tcW w:w="2192" w:type="dxa"/>
            <w:vMerge w:val="continue"/>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p>
        </w:tc>
        <w:tc>
          <w:tcPr>
            <w:tcW w:w="2185" w:type="dxa"/>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r>
              <w:rPr>
                <w:rFonts w:ascii="宋体" w:hAnsi="宋体" w:eastAsiaTheme="minorEastAsia" w:cstheme="minorBidi"/>
                <w:kern w:val="0"/>
                <w:sz w:val="18"/>
                <w:szCs w:val="18"/>
                <w:highlight w:val="none"/>
                <w:lang w:eastAsia="en-US"/>
              </w:rPr>
              <w:t>100℃不小于</w:t>
            </w:r>
          </w:p>
        </w:tc>
        <w:tc>
          <w:tcPr>
            <w:tcW w:w="3000" w:type="dxa"/>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zh-CN"/>
              </w:rPr>
            </w:pPr>
            <w:r>
              <w:rPr>
                <w:rFonts w:hint="eastAsia" w:ascii="宋体" w:hAnsi="宋体" w:eastAsiaTheme="minorEastAsia" w:cstheme="minorBidi"/>
                <w:kern w:val="0"/>
                <w:sz w:val="18"/>
                <w:szCs w:val="18"/>
                <w:highlight w:val="none"/>
                <w:lang w:eastAsia="zh-CN"/>
              </w:rPr>
              <w:t>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390" w:type="dxa"/>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r>
              <w:rPr>
                <w:rFonts w:ascii="宋体" w:hAnsi="宋体" w:eastAsiaTheme="minorEastAsia" w:cstheme="minorBidi"/>
                <w:kern w:val="0"/>
                <w:sz w:val="18"/>
                <w:szCs w:val="18"/>
                <w:highlight w:val="none"/>
                <w:lang w:eastAsia="en-US"/>
              </w:rPr>
              <w:t>2</w:t>
            </w:r>
          </w:p>
        </w:tc>
        <w:tc>
          <w:tcPr>
            <w:tcW w:w="4377" w:type="dxa"/>
            <w:gridSpan w:val="2"/>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r>
              <w:rPr>
                <w:rFonts w:hint="eastAsia" w:ascii="宋体" w:hAnsi="宋体" w:eastAsiaTheme="minorEastAsia" w:cstheme="minorBidi"/>
                <w:kern w:val="0"/>
                <w:sz w:val="18"/>
                <w:szCs w:val="18"/>
                <w:highlight w:val="none"/>
                <w:lang w:eastAsia="en-US"/>
              </w:rPr>
              <w:t>开口闪点℃不低于</w:t>
            </w:r>
          </w:p>
        </w:tc>
        <w:tc>
          <w:tcPr>
            <w:tcW w:w="3000" w:type="dxa"/>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r>
              <w:rPr>
                <w:rFonts w:hint="eastAsia" w:ascii="宋体" w:hAnsi="宋体" w:eastAsiaTheme="minorEastAsia" w:cstheme="minorBidi"/>
                <w:kern w:val="0"/>
                <w:sz w:val="18"/>
                <w:szCs w:val="18"/>
                <w:highlight w:val="none"/>
                <w:lang w:eastAsia="zh-CN"/>
              </w:rP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390" w:type="dxa"/>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r>
              <w:rPr>
                <w:rFonts w:ascii="宋体" w:hAnsi="宋体" w:eastAsiaTheme="minorEastAsia" w:cstheme="minorBidi"/>
                <w:kern w:val="0"/>
                <w:sz w:val="18"/>
                <w:szCs w:val="18"/>
                <w:highlight w:val="none"/>
                <w:lang w:eastAsia="en-US"/>
              </w:rPr>
              <w:t>3</w:t>
            </w:r>
          </w:p>
        </w:tc>
        <w:tc>
          <w:tcPr>
            <w:tcW w:w="4377" w:type="dxa"/>
            <w:gridSpan w:val="2"/>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r>
              <w:rPr>
                <w:rFonts w:hint="eastAsia" w:ascii="宋体" w:hAnsi="宋体" w:eastAsiaTheme="minorEastAsia" w:cstheme="minorBidi"/>
                <w:kern w:val="0"/>
                <w:sz w:val="18"/>
                <w:szCs w:val="18"/>
                <w:highlight w:val="none"/>
                <w:lang w:eastAsia="en-US"/>
              </w:rPr>
              <w:t>凝固点℃不高于</w:t>
            </w:r>
          </w:p>
        </w:tc>
        <w:tc>
          <w:tcPr>
            <w:tcW w:w="3000" w:type="dxa"/>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zh-CN"/>
              </w:rPr>
            </w:pPr>
            <w:r>
              <w:rPr>
                <w:rFonts w:ascii="宋体" w:hAnsi="宋体" w:eastAsiaTheme="minorEastAsia" w:cstheme="minorBidi"/>
                <w:kern w:val="0"/>
                <w:sz w:val="18"/>
                <w:szCs w:val="18"/>
                <w:highlight w:val="none"/>
                <w:lang w:eastAsia="en-US"/>
              </w:rPr>
              <w:t>-</w:t>
            </w:r>
            <w:r>
              <w:rPr>
                <w:rFonts w:ascii="宋体" w:hAnsi="宋体" w:eastAsiaTheme="minorEastAsia" w:cstheme="minorBidi"/>
                <w:kern w:val="0"/>
                <w:sz w:val="18"/>
                <w:szCs w:val="18"/>
                <w:highlight w:val="none"/>
                <w:lang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390" w:type="dxa"/>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r>
              <w:rPr>
                <w:rFonts w:ascii="宋体" w:hAnsi="宋体" w:eastAsiaTheme="minorEastAsia" w:cstheme="minorBidi"/>
                <w:kern w:val="0"/>
                <w:sz w:val="18"/>
                <w:szCs w:val="18"/>
                <w:highlight w:val="none"/>
                <w:lang w:eastAsia="en-US"/>
              </w:rPr>
              <w:t>4</w:t>
            </w:r>
          </w:p>
        </w:tc>
        <w:tc>
          <w:tcPr>
            <w:tcW w:w="4377" w:type="dxa"/>
            <w:gridSpan w:val="2"/>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r>
              <w:rPr>
                <w:rFonts w:hint="eastAsia" w:ascii="宋体" w:hAnsi="宋体" w:eastAsiaTheme="minorEastAsia" w:cstheme="minorBidi"/>
                <w:kern w:val="0"/>
                <w:sz w:val="18"/>
                <w:szCs w:val="18"/>
                <w:highlight w:val="none"/>
                <w:lang w:eastAsia="en-US"/>
              </w:rPr>
              <w:t>酸值</w:t>
            </w:r>
            <w:r>
              <w:rPr>
                <w:rFonts w:ascii="宋体" w:hAnsi="宋体" w:eastAsiaTheme="minorEastAsia" w:cstheme="minorBidi"/>
                <w:kern w:val="0"/>
                <w:sz w:val="18"/>
                <w:szCs w:val="18"/>
                <w:highlight w:val="none"/>
                <w:lang w:eastAsia="en-US"/>
              </w:rPr>
              <w:t>mgkoH/g不大于</w:t>
            </w:r>
          </w:p>
        </w:tc>
        <w:tc>
          <w:tcPr>
            <w:tcW w:w="3000" w:type="dxa"/>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zh-CN"/>
              </w:rPr>
            </w:pPr>
            <w:r>
              <w:rPr>
                <w:rFonts w:ascii="宋体" w:hAnsi="宋体" w:eastAsiaTheme="minorEastAsia" w:cstheme="minorBidi"/>
                <w:kern w:val="0"/>
                <w:sz w:val="18"/>
                <w:szCs w:val="18"/>
                <w:highlight w:val="none"/>
                <w:lang w:eastAsia="en-US"/>
              </w:rPr>
              <w:t>0.</w:t>
            </w:r>
            <w:r>
              <w:rPr>
                <w:rFonts w:hint="eastAsia" w:ascii="宋体" w:hAnsi="宋体" w:eastAsiaTheme="minorEastAsia" w:cstheme="minorBidi"/>
                <w:kern w:val="0"/>
                <w:sz w:val="18"/>
                <w:szCs w:val="18"/>
                <w:highlight w:val="none"/>
                <w:lang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390" w:type="dxa"/>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r>
              <w:rPr>
                <w:rFonts w:ascii="宋体" w:hAnsi="宋体" w:eastAsiaTheme="minorEastAsia" w:cstheme="minorBidi"/>
                <w:kern w:val="0"/>
                <w:sz w:val="18"/>
                <w:szCs w:val="18"/>
                <w:highlight w:val="none"/>
                <w:lang w:eastAsia="en-US"/>
              </w:rPr>
              <w:t>5</w:t>
            </w:r>
          </w:p>
        </w:tc>
        <w:tc>
          <w:tcPr>
            <w:tcW w:w="4377" w:type="dxa"/>
            <w:gridSpan w:val="2"/>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r>
              <w:rPr>
                <w:rFonts w:hint="eastAsia" w:ascii="宋体" w:hAnsi="宋体" w:eastAsiaTheme="minorEastAsia" w:cstheme="minorBidi"/>
                <w:kern w:val="0"/>
                <w:sz w:val="18"/>
                <w:szCs w:val="18"/>
                <w:highlight w:val="none"/>
                <w:lang w:eastAsia="en-US"/>
              </w:rPr>
              <w:t>机械杂质</w:t>
            </w:r>
            <w:r>
              <w:rPr>
                <w:rFonts w:ascii="宋体" w:hAnsi="宋体" w:eastAsiaTheme="minorEastAsia" w:cstheme="minorBidi"/>
                <w:kern w:val="0"/>
                <w:sz w:val="18"/>
                <w:szCs w:val="18"/>
                <w:highlight w:val="none"/>
                <w:lang w:eastAsia="en-US"/>
              </w:rPr>
              <w:t>%</w:t>
            </w:r>
          </w:p>
        </w:tc>
        <w:tc>
          <w:tcPr>
            <w:tcW w:w="3000" w:type="dxa"/>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r>
              <w:rPr>
                <w:rFonts w:ascii="宋体" w:hAnsi="宋体" w:eastAsiaTheme="minorEastAsia" w:cstheme="minorBidi"/>
                <w:kern w:val="0"/>
                <w:sz w:val="18"/>
                <w:szCs w:val="18"/>
                <w:highlight w:val="none"/>
                <w:lang w:eastAsia="en-U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390" w:type="dxa"/>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r>
              <w:rPr>
                <w:rFonts w:ascii="宋体" w:hAnsi="宋体" w:eastAsiaTheme="minorEastAsia" w:cstheme="minorBidi"/>
                <w:kern w:val="0"/>
                <w:sz w:val="18"/>
                <w:szCs w:val="18"/>
                <w:highlight w:val="none"/>
                <w:lang w:eastAsia="en-US"/>
              </w:rPr>
              <w:t>6</w:t>
            </w:r>
          </w:p>
        </w:tc>
        <w:tc>
          <w:tcPr>
            <w:tcW w:w="4377" w:type="dxa"/>
            <w:gridSpan w:val="2"/>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r>
              <w:rPr>
                <w:rFonts w:hint="eastAsia" w:ascii="宋体" w:hAnsi="宋体" w:eastAsiaTheme="minorEastAsia" w:cstheme="minorBidi"/>
                <w:kern w:val="0"/>
                <w:sz w:val="18"/>
                <w:szCs w:val="18"/>
                <w:highlight w:val="none"/>
                <w:lang w:eastAsia="en-US"/>
              </w:rPr>
              <w:t>水分</w:t>
            </w:r>
            <w:r>
              <w:rPr>
                <w:rFonts w:ascii="宋体" w:hAnsi="宋体" w:eastAsiaTheme="minorEastAsia" w:cstheme="minorBidi"/>
                <w:kern w:val="0"/>
                <w:sz w:val="18"/>
                <w:szCs w:val="18"/>
                <w:highlight w:val="none"/>
                <w:lang w:eastAsia="en-US"/>
              </w:rPr>
              <w:t>%</w:t>
            </w:r>
          </w:p>
        </w:tc>
        <w:tc>
          <w:tcPr>
            <w:tcW w:w="3000" w:type="dxa"/>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r>
              <w:rPr>
                <w:rFonts w:ascii="宋体" w:hAnsi="宋体" w:eastAsiaTheme="minorEastAsia" w:cstheme="minorBidi"/>
                <w:kern w:val="0"/>
                <w:sz w:val="18"/>
                <w:szCs w:val="18"/>
                <w:highlight w:val="none"/>
                <w:lang w:eastAsia="en-U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390" w:type="dxa"/>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r>
              <w:rPr>
                <w:rFonts w:ascii="宋体" w:hAnsi="宋体" w:eastAsiaTheme="minorEastAsia" w:cstheme="minorBidi"/>
                <w:kern w:val="0"/>
                <w:sz w:val="18"/>
                <w:szCs w:val="18"/>
                <w:highlight w:val="none"/>
                <w:lang w:eastAsia="en-US"/>
              </w:rPr>
              <w:t>7</w:t>
            </w:r>
          </w:p>
        </w:tc>
        <w:tc>
          <w:tcPr>
            <w:tcW w:w="4377" w:type="dxa"/>
            <w:gridSpan w:val="2"/>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zh-CN"/>
              </w:rPr>
            </w:pPr>
            <w:r>
              <w:rPr>
                <w:rFonts w:hint="eastAsia" w:ascii="宋体" w:hAnsi="宋体" w:eastAsiaTheme="minorEastAsia" w:cstheme="minorBidi"/>
                <w:kern w:val="0"/>
                <w:sz w:val="18"/>
                <w:szCs w:val="18"/>
                <w:highlight w:val="none"/>
                <w:lang w:eastAsia="zh-CN"/>
              </w:rPr>
              <w:t>介电强度（</w:t>
            </w:r>
            <w:r>
              <w:rPr>
                <w:rFonts w:ascii="宋体" w:hAnsi="宋体" w:eastAsiaTheme="minorEastAsia" w:cstheme="minorBidi"/>
                <w:kern w:val="0"/>
                <w:sz w:val="18"/>
                <w:szCs w:val="18"/>
                <w:highlight w:val="none"/>
                <w:lang w:eastAsia="zh-CN"/>
              </w:rPr>
              <w:t>KV/2.5mm）不小于</w:t>
            </w:r>
          </w:p>
        </w:tc>
        <w:tc>
          <w:tcPr>
            <w:tcW w:w="3000" w:type="dxa"/>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r>
              <w:rPr>
                <w:rFonts w:hint="eastAsia" w:ascii="宋体" w:hAnsi="宋体" w:eastAsiaTheme="minorEastAsia" w:cstheme="minorBidi"/>
                <w:kern w:val="0"/>
                <w:sz w:val="18"/>
                <w:szCs w:val="18"/>
                <w:highlight w:val="none"/>
                <w:lang w:eastAsia="zh-CN"/>
              </w:rPr>
              <w:t>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390" w:type="dxa"/>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r>
              <w:rPr>
                <w:rFonts w:ascii="宋体" w:hAnsi="宋体" w:eastAsiaTheme="minorEastAsia" w:cstheme="minorBidi"/>
                <w:kern w:val="0"/>
                <w:sz w:val="18"/>
                <w:szCs w:val="18"/>
                <w:highlight w:val="none"/>
                <w:lang w:eastAsia="en-US"/>
              </w:rPr>
              <w:t>8</w:t>
            </w:r>
          </w:p>
        </w:tc>
        <w:tc>
          <w:tcPr>
            <w:tcW w:w="4377" w:type="dxa"/>
            <w:gridSpan w:val="2"/>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en-US"/>
              </w:rPr>
            </w:pPr>
            <w:r>
              <w:rPr>
                <w:rFonts w:hint="eastAsia" w:ascii="宋体" w:hAnsi="宋体" w:eastAsiaTheme="minorEastAsia" w:cstheme="minorBidi"/>
                <w:kern w:val="0"/>
                <w:sz w:val="18"/>
                <w:szCs w:val="18"/>
                <w:highlight w:val="none"/>
                <w:lang w:eastAsia="en-US"/>
              </w:rPr>
              <w:t>类型</w:t>
            </w:r>
          </w:p>
        </w:tc>
        <w:tc>
          <w:tcPr>
            <w:tcW w:w="3000" w:type="dxa"/>
            <w:vAlign w:val="center"/>
          </w:tcPr>
          <w:p>
            <w:pPr>
              <w:adjustRightInd w:val="0"/>
              <w:snapToGrid w:val="0"/>
              <w:spacing w:line="240" w:lineRule="atLeast"/>
              <w:ind w:right="11" w:rightChars="0"/>
              <w:jc w:val="center"/>
              <w:rPr>
                <w:rFonts w:hint="default" w:ascii="Times New Roman" w:hAnsi="Times New Roman" w:cs="Times New Roman" w:eastAsiaTheme="minorEastAsia"/>
                <w:kern w:val="0"/>
                <w:sz w:val="16"/>
                <w:szCs w:val="16"/>
                <w:highlight w:val="none"/>
                <w:lang w:eastAsia="zh-CN"/>
              </w:rPr>
            </w:pPr>
            <w:r>
              <w:rPr>
                <w:rFonts w:hint="eastAsia" w:ascii="宋体" w:hAnsi="宋体" w:eastAsiaTheme="minorEastAsia" w:cstheme="minorBidi"/>
                <w:kern w:val="0"/>
                <w:sz w:val="18"/>
                <w:szCs w:val="18"/>
                <w:highlight w:val="none"/>
                <w:lang w:eastAsia="zh-CN"/>
              </w:rPr>
              <w:t>全合成</w:t>
            </w:r>
          </w:p>
        </w:tc>
      </w:tr>
    </w:tbl>
    <w:p>
      <w:pPr>
        <w:keepNext w:val="0"/>
        <w:keepLines w:val="0"/>
        <w:pageBreakBefore w:val="0"/>
        <w:widowControl w:val="0"/>
        <w:kinsoku/>
        <w:wordWrap/>
        <w:overflowPunct/>
        <w:topLinePunct w:val="0"/>
        <w:bidi w:val="0"/>
        <w:ind w:left="0" w:leftChars="0" w:right="0" w:rightChars="0" w:firstLine="400" w:firstLineChars="200"/>
        <w:jc w:val="left"/>
        <w:textAlignment w:val="auto"/>
        <w:rPr>
          <w:rFonts w:hint="default" w:ascii="Times New Roman" w:hAnsi="Times New Roman" w:cs="Times New Roman" w:eastAsiaTheme="minorEastAsia"/>
          <w:kern w:val="0"/>
          <w:sz w:val="20"/>
          <w:szCs w:val="20"/>
          <w:highlight w:val="none"/>
          <w:lang w:eastAsia="zh-CN"/>
        </w:rPr>
      </w:pPr>
    </w:p>
    <w:p>
      <w:pPr>
        <w:keepNext w:val="0"/>
        <w:keepLines w:val="0"/>
        <w:pageBreakBefore w:val="0"/>
        <w:widowControl w:val="0"/>
        <w:numPr>
          <w:ilvl w:val="2"/>
          <w:numId w:val="11"/>
        </w:numPr>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cs="Times New Roman" w:eastAsiaTheme="minorEastAsia"/>
          <w:kern w:val="0"/>
          <w:sz w:val="21"/>
          <w:szCs w:val="21"/>
          <w:highlight w:val="none"/>
          <w:lang w:eastAsia="zh-CN"/>
        </w:rPr>
        <w:t>电机需根据订单要求配置相应长度的防腐小扁电缆，具体技术要求如下：</w:t>
      </w:r>
    </w:p>
    <w:p>
      <w:pPr>
        <w:keepNext w:val="0"/>
        <w:keepLines w:val="0"/>
        <w:pageBreakBefore w:val="0"/>
        <w:widowControl w:val="0"/>
        <w:numPr>
          <w:ilvl w:val="0"/>
          <w:numId w:val="13"/>
        </w:numPr>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rPr>
          <w:rFonts w:hint="default" w:ascii="Times New Roman" w:hAnsi="Times New Roman" w:eastAsia="微软雅黑" w:cs="Times New Roman"/>
          <w:sz w:val="21"/>
          <w:szCs w:val="21"/>
          <w:highlight w:val="none"/>
          <w:lang w:val="en-GB" w:eastAsia="zh-CN" w:bidi="ar"/>
        </w:rPr>
      </w:pPr>
      <w:r>
        <w:rPr>
          <w:rFonts w:hint="default" w:ascii="Times New Roman" w:hAnsi="Times New Roman" w:eastAsia="微软雅黑" w:cs="Times New Roman"/>
          <w:color w:val="0D0D0D"/>
          <w:sz w:val="21"/>
          <w:szCs w:val="21"/>
          <w:highlight w:val="none"/>
          <w:lang w:val="en-GB" w:eastAsia="zh-CN" w:bidi="ar"/>
        </w:rPr>
        <w:t>潜油引接电缆分为350系列、450系列和562系列。</w:t>
      </w:r>
    </w:p>
    <w:p>
      <w:pPr>
        <w:keepNext w:val="0"/>
        <w:keepLines w:val="0"/>
        <w:pageBreakBefore w:val="0"/>
        <w:widowControl w:val="0"/>
        <w:numPr>
          <w:ilvl w:val="0"/>
          <w:numId w:val="13"/>
        </w:numPr>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rPr>
          <w:rFonts w:hint="default" w:ascii="Times New Roman" w:hAnsi="Times New Roman" w:eastAsia="微软雅黑" w:cs="Times New Roman"/>
          <w:color w:val="0D0D0D"/>
          <w:sz w:val="21"/>
          <w:szCs w:val="21"/>
          <w:highlight w:val="none"/>
          <w:lang w:val="en-GB" w:eastAsia="zh-CN" w:bidi="ar"/>
        </w:rPr>
      </w:pPr>
      <w:r>
        <w:rPr>
          <w:rFonts w:hint="default" w:ascii="Times New Roman" w:hAnsi="Times New Roman" w:eastAsia="微软雅黑" w:cs="Times New Roman"/>
          <w:color w:val="0D0D0D"/>
          <w:sz w:val="21"/>
          <w:szCs w:val="21"/>
          <w:highlight w:val="none"/>
          <w:lang w:val="en-GB" w:eastAsia="zh-CN" w:bidi="ar"/>
        </w:rPr>
        <w:t>电缆标称电压等级为6KV，AWG7#电缆芯线截面积为3×10mm2，AWG6#电缆芯线截面积为3×13mm2，AWG4#电缆芯线截面积为3×20mm。</w:t>
      </w:r>
    </w:p>
    <w:p>
      <w:pPr>
        <w:keepNext w:val="0"/>
        <w:keepLines w:val="0"/>
        <w:pageBreakBefore w:val="0"/>
        <w:widowControl w:val="0"/>
        <w:numPr>
          <w:ilvl w:val="0"/>
          <w:numId w:val="13"/>
        </w:numPr>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rPr>
          <w:rFonts w:hint="default" w:ascii="Times New Roman" w:hAnsi="Times New Roman" w:eastAsia="微软雅黑" w:cs="Times New Roman"/>
          <w:color w:val="0D0D0D"/>
          <w:sz w:val="21"/>
          <w:szCs w:val="21"/>
          <w:highlight w:val="none"/>
          <w:lang w:val="en-GB" w:eastAsia="zh-CN" w:bidi="ar"/>
        </w:rPr>
      </w:pPr>
      <w:r>
        <w:rPr>
          <w:rFonts w:hint="default" w:ascii="Times New Roman" w:hAnsi="Times New Roman" w:eastAsia="微软雅黑" w:cs="Times New Roman"/>
          <w:sz w:val="21"/>
          <w:szCs w:val="21"/>
          <w:highlight w:val="none"/>
          <w:lang w:val="en-GB" w:eastAsia="zh-CN" w:bidi="ar"/>
        </w:rPr>
        <w:t>适用井温为：180℃，本体耐温等级204℃。</w:t>
      </w:r>
    </w:p>
    <w:p>
      <w:pPr>
        <w:keepNext w:val="0"/>
        <w:keepLines w:val="0"/>
        <w:pageBreakBefore w:val="0"/>
        <w:widowControl w:val="0"/>
        <w:numPr>
          <w:ilvl w:val="0"/>
          <w:numId w:val="13"/>
        </w:numPr>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rPr>
          <w:rFonts w:hint="default" w:ascii="Times New Roman" w:hAnsi="Times New Roman" w:eastAsia="微软雅黑" w:cs="Times New Roman"/>
          <w:color w:val="0D0D0D"/>
          <w:sz w:val="21"/>
          <w:szCs w:val="21"/>
          <w:highlight w:val="none"/>
          <w:lang w:val="en-GB" w:eastAsia="zh-CN" w:bidi="ar"/>
        </w:rPr>
      </w:pPr>
      <w:r>
        <w:rPr>
          <w:rFonts w:hint="default" w:ascii="Times New Roman" w:hAnsi="Times New Roman" w:eastAsia="微软雅黑" w:cs="Times New Roman"/>
          <w:color w:val="0D0D0D"/>
          <w:sz w:val="21"/>
          <w:szCs w:val="21"/>
          <w:highlight w:val="none"/>
          <w:lang w:val="en-GB" w:eastAsia="zh-CN" w:bidi="ar"/>
        </w:rPr>
        <w:t>潜油引接电缆上应标刻有产品编号、产品规格，执行标准代码，质量及制造商的地址信息。外观完好，标识清晰，无锈蚀，无裂痕，目测无变形。并应在包装内提供产品合格证及检测报告。</w:t>
      </w:r>
    </w:p>
    <w:p>
      <w:pPr>
        <w:keepNext w:val="0"/>
        <w:keepLines w:val="0"/>
        <w:pageBreakBefore w:val="0"/>
        <w:widowControl w:val="0"/>
        <w:numPr>
          <w:ilvl w:val="0"/>
          <w:numId w:val="13"/>
        </w:numPr>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rPr>
          <w:rFonts w:hint="default" w:ascii="Times New Roman" w:hAnsi="Times New Roman" w:eastAsia="微软雅黑" w:cs="Times New Roman"/>
          <w:color w:val="0D0D0D"/>
          <w:sz w:val="21"/>
          <w:szCs w:val="21"/>
          <w:highlight w:val="none"/>
          <w:lang w:val="en-GB" w:eastAsia="zh-CN" w:bidi="ar"/>
        </w:rPr>
      </w:pPr>
      <w:r>
        <w:rPr>
          <w:rFonts w:hint="default" w:ascii="Times New Roman" w:hAnsi="Times New Roman" w:eastAsia="微软雅黑" w:cs="Times New Roman"/>
          <w:color w:val="0D0D0D"/>
          <w:sz w:val="21"/>
          <w:szCs w:val="21"/>
          <w:highlight w:val="none"/>
          <w:lang w:val="en-GB" w:eastAsia="zh-CN" w:bidi="ar"/>
        </w:rPr>
        <w:t>关键部件材质及力学性能要求：绝缘层为聚酰亚胺－F46膜三层绕包烧结和乙丙橡胶组合绝缘，护套层为铅护套。绝缘电阻大于1000M</w:t>
      </w:r>
      <w:r>
        <w:rPr>
          <w:rFonts w:hint="default" w:ascii="Times New Roman" w:hAnsi="Times New Roman" w:eastAsia="微软雅黑" w:cs="Times New Roman"/>
          <w:color w:val="0D0D0D"/>
          <w:sz w:val="21"/>
          <w:szCs w:val="21"/>
          <w:highlight w:val="none"/>
          <w:lang w:val="en-GB" w:eastAsia="nb-NO" w:bidi="ar"/>
        </w:rPr>
        <w:t>Ω</w:t>
      </w:r>
      <w:r>
        <w:rPr>
          <w:rFonts w:hint="default" w:ascii="Times New Roman" w:hAnsi="Times New Roman" w:eastAsia="微软雅黑" w:cs="Times New Roman"/>
          <w:color w:val="0D0D0D"/>
          <w:sz w:val="21"/>
          <w:szCs w:val="21"/>
          <w:highlight w:val="none"/>
          <w:lang w:val="en-GB" w:eastAsia="zh-CN" w:bidi="ar"/>
        </w:rPr>
        <w:t>·km。送货文件应提供性能检测报告，并注批次号等可追溯性标识信息。乙丙橡胶组其老化和耐油性能应符合GB/T16750－2015 表13要求。聚酰亚胺-F46复合薄膜指标满足GB/T 16750-2015《潜油电泵机组》中表18要求。合金铅护套表面应光滑无铅渣等夹杂物或破损，使用牌号Pb-Sb-Cu 合金。</w:t>
      </w:r>
    </w:p>
    <w:p>
      <w:pPr>
        <w:keepNext w:val="0"/>
        <w:keepLines w:val="0"/>
        <w:pageBreakBefore w:val="0"/>
        <w:widowControl w:val="0"/>
        <w:numPr>
          <w:ilvl w:val="0"/>
          <w:numId w:val="13"/>
        </w:numPr>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rPr>
          <w:rFonts w:hint="default" w:ascii="Times New Roman" w:hAnsi="Times New Roman" w:eastAsia="微软雅黑" w:cs="Times New Roman"/>
          <w:color w:val="0D0D0D"/>
          <w:sz w:val="21"/>
          <w:szCs w:val="21"/>
          <w:highlight w:val="none"/>
          <w:lang w:val="en-GB" w:eastAsia="zh-CN" w:bidi="ar"/>
        </w:rPr>
      </w:pPr>
      <w:r>
        <w:rPr>
          <w:rFonts w:hint="default" w:ascii="Times New Roman" w:hAnsi="Times New Roman" w:eastAsia="微软雅黑" w:cs="Times New Roman"/>
          <w:color w:val="0D0D0D"/>
          <w:sz w:val="21"/>
          <w:szCs w:val="21"/>
          <w:highlight w:val="none"/>
          <w:lang w:val="en-GB" w:eastAsia="zh-CN" w:bidi="ar"/>
        </w:rPr>
        <w:t>电缆头</w:t>
      </w:r>
      <w:r>
        <w:rPr>
          <w:rFonts w:hint="default" w:ascii="Times New Roman" w:hAnsi="Times New Roman" w:eastAsia="微软雅黑" w:cs="Times New Roman"/>
          <w:color w:val="0D0D0D"/>
          <w:sz w:val="21"/>
          <w:szCs w:val="21"/>
          <w:highlight w:val="none"/>
          <w:lang w:val="en-US" w:eastAsia="zh-CN" w:bidi="ar"/>
        </w:rPr>
        <w:t>参照“</w:t>
      </w:r>
      <w:r>
        <w:rPr>
          <w:rFonts w:hint="default" w:ascii="Times New Roman" w:hAnsi="Times New Roman" w:eastAsia="微软雅黑" w:cs="Times New Roman"/>
          <w:color w:val="0D0D0D"/>
          <w:sz w:val="21"/>
          <w:szCs w:val="21"/>
          <w:highlight w:val="none"/>
          <w:lang w:val="en-GB" w:eastAsia="zh-CN" w:bidi="ar"/>
        </w:rPr>
        <w:t>《潜油电泵机组》国标GB/T 16750-2015</w:t>
      </w:r>
      <w:r>
        <w:rPr>
          <w:rFonts w:hint="default" w:ascii="Times New Roman" w:hAnsi="Times New Roman" w:eastAsia="微软雅黑" w:cs="Times New Roman"/>
          <w:color w:val="0D0D0D"/>
          <w:sz w:val="21"/>
          <w:szCs w:val="21"/>
          <w:highlight w:val="none"/>
          <w:lang w:val="en-US" w:eastAsia="zh-CN" w:bidi="ar"/>
        </w:rPr>
        <w:t xml:space="preserve">  6.1.6电缆头”进行检测，并符合“</w:t>
      </w:r>
      <w:r>
        <w:rPr>
          <w:rFonts w:hint="default" w:ascii="Times New Roman" w:hAnsi="Times New Roman" w:eastAsia="微软雅黑" w:cs="Times New Roman"/>
          <w:color w:val="0D0D0D"/>
          <w:sz w:val="21"/>
          <w:szCs w:val="21"/>
          <w:highlight w:val="none"/>
          <w:lang w:val="en-GB" w:eastAsia="zh-CN" w:bidi="ar"/>
        </w:rPr>
        <w:t>《潜油电泵机组》国标GB/T 16750-2015</w:t>
      </w:r>
      <w:r>
        <w:rPr>
          <w:rFonts w:hint="default" w:ascii="Times New Roman" w:hAnsi="Times New Roman" w:eastAsia="微软雅黑" w:cs="Times New Roman"/>
          <w:color w:val="0D0D0D"/>
          <w:sz w:val="21"/>
          <w:szCs w:val="21"/>
          <w:highlight w:val="none"/>
          <w:lang w:val="en-US" w:eastAsia="zh-CN" w:bidi="ar"/>
        </w:rPr>
        <w:t xml:space="preserve"> 5.2.5.12”检测标准。</w:t>
      </w:r>
    </w:p>
    <w:p>
      <w:pPr>
        <w:keepNext w:val="0"/>
        <w:keepLines w:val="0"/>
        <w:pageBreakBefore w:val="0"/>
        <w:widowControl w:val="0"/>
        <w:numPr>
          <w:ilvl w:val="0"/>
          <w:numId w:val="13"/>
        </w:numPr>
        <w:kinsoku/>
        <w:wordWrap/>
        <w:overflowPunct/>
        <w:topLinePunct w:val="0"/>
        <w:autoSpaceDE w:val="0"/>
        <w:autoSpaceDN w:val="0"/>
        <w:bidi w:val="0"/>
        <w:adjustRightInd w:val="0"/>
        <w:snapToGrid/>
        <w:spacing w:line="360" w:lineRule="auto"/>
        <w:ind w:left="0" w:leftChars="0" w:right="0" w:rightChars="0" w:firstLine="420" w:firstLineChars="200"/>
        <w:jc w:val="left"/>
        <w:textAlignment w:val="auto"/>
        <w:rPr>
          <w:rFonts w:hint="default" w:ascii="Times New Roman" w:hAnsi="Times New Roman" w:eastAsia="微软雅黑" w:cs="Times New Roman"/>
          <w:color w:val="0D0D0D"/>
          <w:sz w:val="21"/>
          <w:szCs w:val="21"/>
          <w:highlight w:val="none"/>
          <w:lang w:val="en-GB" w:eastAsia="zh-CN" w:bidi="ar"/>
        </w:rPr>
      </w:pPr>
      <w:r>
        <w:rPr>
          <w:rFonts w:hint="default" w:ascii="Times New Roman" w:hAnsi="Times New Roman" w:eastAsia="微软雅黑" w:cs="Times New Roman"/>
          <w:color w:val="0D0D0D"/>
          <w:sz w:val="21"/>
          <w:szCs w:val="21"/>
          <w:highlight w:val="none"/>
          <w:lang w:val="en-GB" w:eastAsia="zh-CN" w:bidi="ar"/>
        </w:rPr>
        <w:t>铠皮为304不锈钢铠皮。</w:t>
      </w:r>
    </w:p>
    <w:p>
      <w:pPr>
        <w:jc w:val="left"/>
        <w:rPr>
          <w:rFonts w:hint="default" w:ascii="Times New Roman" w:hAnsi="Times New Roman" w:eastAsia="黑体" w:cs="Times New Roman"/>
          <w:kern w:val="0"/>
          <w:sz w:val="21"/>
          <w:szCs w:val="21"/>
          <w:highlight w:val="none"/>
          <w:lang w:eastAsia="en-US"/>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30" w:firstLineChars="200"/>
        <w:textAlignment w:val="auto"/>
        <w:outlineLvl w:val="1"/>
        <w:rPr>
          <w:rFonts w:hint="default" w:ascii="Times New Roman" w:hAnsi="Times New Roman" w:eastAsia="宋体" w:cs="Times New Roman"/>
          <w:b/>
          <w:bCs/>
          <w:color w:val="auto"/>
          <w:spacing w:val="2"/>
          <w:sz w:val="21"/>
          <w:szCs w:val="21"/>
          <w:highlight w:val="none"/>
          <w:lang w:val="en-US" w:eastAsia="zh-CN" w:bidi="ar-SA"/>
        </w:rPr>
      </w:pPr>
      <w:bookmarkStart w:id="173" w:name="_Toc28418"/>
      <w:bookmarkStart w:id="174" w:name="_Toc31259"/>
      <w:bookmarkStart w:id="175" w:name="_Toc28404"/>
      <w:r>
        <w:rPr>
          <w:rFonts w:hint="eastAsia" w:ascii="Times New Roman" w:hAnsi="Times New Roman" w:eastAsia="宋体" w:cs="Times New Roman"/>
          <w:b/>
          <w:bCs/>
          <w:color w:val="auto"/>
          <w:spacing w:val="2"/>
          <w:sz w:val="21"/>
          <w:szCs w:val="21"/>
          <w:highlight w:val="none"/>
          <w:lang w:val="en-US" w:eastAsia="zh-CN" w:bidi="ar-SA"/>
        </w:rPr>
        <w:t xml:space="preserve">5.4 </w:t>
      </w:r>
      <w:r>
        <w:rPr>
          <w:rFonts w:hint="default" w:ascii="Times New Roman" w:hAnsi="Times New Roman" w:eastAsia="宋体" w:cs="Times New Roman"/>
          <w:b/>
          <w:bCs/>
          <w:color w:val="auto"/>
          <w:spacing w:val="2"/>
          <w:sz w:val="21"/>
          <w:szCs w:val="21"/>
          <w:highlight w:val="none"/>
          <w:lang w:val="en-US" w:eastAsia="zh-CN" w:bidi="ar-SA"/>
        </w:rPr>
        <w:t>（防腐）高转速潜油保护器</w:t>
      </w:r>
      <w:bookmarkEnd w:id="173"/>
      <w:bookmarkEnd w:id="174"/>
      <w:bookmarkEnd w:id="175"/>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30" w:firstLineChars="200"/>
        <w:textAlignment w:val="auto"/>
        <w:outlineLvl w:val="1"/>
        <w:rPr>
          <w:rFonts w:hint="default" w:ascii="Times New Roman" w:hAnsi="Times New Roman" w:eastAsia="宋体" w:cs="Times New Roman"/>
          <w:b/>
          <w:bCs/>
          <w:color w:val="auto"/>
          <w:spacing w:val="2"/>
          <w:sz w:val="21"/>
          <w:szCs w:val="21"/>
          <w:highlight w:val="none"/>
          <w:lang w:val="en-US" w:eastAsia="zh-CN" w:bidi="ar-SA"/>
        </w:rPr>
      </w:pP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微软雅黑" w:cs="Times New Roman"/>
          <w:sz w:val="21"/>
          <w:szCs w:val="21"/>
          <w:highlight w:val="none"/>
          <w:lang w:val="en-GB" w:eastAsia="zh-CN" w:bidi="ar"/>
        </w:rPr>
      </w:pPr>
      <w:r>
        <w:rPr>
          <w:rFonts w:hint="default" w:ascii="Times New Roman" w:hAnsi="Times New Roman" w:eastAsia="微软雅黑" w:cs="Times New Roman"/>
          <w:sz w:val="21"/>
          <w:szCs w:val="21"/>
          <w:highlight w:val="none"/>
          <w:lang w:val="en-GB" w:eastAsia="zh-CN" w:bidi="ar"/>
        </w:rPr>
        <w:t>具体规格型号见“二、需求一览表，</w:t>
      </w:r>
      <w:r>
        <w:rPr>
          <w:rFonts w:hint="default" w:ascii="Times New Roman" w:hAnsi="Times New Roman" w:eastAsia="微软雅黑" w:cs="Times New Roman"/>
          <w:sz w:val="21"/>
          <w:szCs w:val="21"/>
          <w:highlight w:val="none"/>
          <w:lang w:val="en-US" w:eastAsia="zh-CN" w:bidi="ar"/>
        </w:rPr>
        <w:t>行10-12项”</w:t>
      </w:r>
      <w:r>
        <w:rPr>
          <w:rFonts w:hint="default" w:ascii="Times New Roman" w:hAnsi="Times New Roman" w:eastAsia="微软雅黑" w:cs="Times New Roman"/>
          <w:sz w:val="21"/>
          <w:szCs w:val="21"/>
          <w:highlight w:val="none"/>
          <w:lang w:val="en-GB" w:eastAsia="zh-CN" w:bidi="ar"/>
        </w:rPr>
        <w:t>。</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微软雅黑" w:cs="Times New Roman"/>
          <w:sz w:val="21"/>
          <w:szCs w:val="21"/>
          <w:highlight w:val="none"/>
          <w:lang w:val="en-GB" w:eastAsia="zh-CN" w:bidi="ar"/>
        </w:rPr>
      </w:pPr>
      <w:r>
        <w:rPr>
          <w:rFonts w:hint="default" w:ascii="Times New Roman" w:hAnsi="Times New Roman" w:eastAsia="微软雅黑" w:cs="Times New Roman"/>
          <w:sz w:val="21"/>
          <w:szCs w:val="21"/>
          <w:highlight w:val="none"/>
          <w:lang w:val="en-GB" w:eastAsia="zh-CN" w:bidi="ar"/>
        </w:rPr>
        <w:t>保护器为 338、400及540 系列，型号为 BPBSL+BPBSL串接。</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微软雅黑" w:cs="Times New Roman"/>
          <w:sz w:val="21"/>
          <w:szCs w:val="21"/>
          <w:highlight w:val="none"/>
          <w:lang w:val="en-GB" w:eastAsia="zh-CN" w:bidi="ar"/>
        </w:rPr>
      </w:pPr>
      <w:r>
        <w:rPr>
          <w:rFonts w:hint="default" w:ascii="Times New Roman" w:hAnsi="Times New Roman" w:eastAsia="微软雅黑" w:cs="Times New Roman"/>
          <w:sz w:val="21"/>
          <w:szCs w:val="21"/>
          <w:highlight w:val="none"/>
          <w:lang w:val="en-GB" w:eastAsia="zh-CN" w:bidi="ar"/>
        </w:rPr>
        <w:t>适用井温为：180℃，本体耐温等级204℃。</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微软雅黑" w:cs="Times New Roman"/>
          <w:sz w:val="21"/>
          <w:szCs w:val="21"/>
          <w:highlight w:val="none"/>
          <w:lang w:val="en-GB" w:eastAsia="zh-CN" w:bidi="ar"/>
        </w:rPr>
      </w:pPr>
      <w:r>
        <w:rPr>
          <w:rFonts w:hint="default" w:ascii="Times New Roman" w:hAnsi="Times New Roman" w:eastAsia="微软雅黑" w:cs="Times New Roman"/>
          <w:sz w:val="21"/>
          <w:szCs w:val="21"/>
          <w:highlight w:val="none"/>
          <w:lang w:val="en-GB" w:eastAsia="zh-CN" w:bidi="ar"/>
        </w:rPr>
        <w:t>采用防腐材质，与井液接触部件具有防 CO2腐蚀功能。要求的防腐配置如下：保护器轴材质Inconel 718，头、座采用 416 SS，壳体采用 9Cr1Mo，花键套采用 1Cr18Ni9Ti 或 2Cr13，连接螺栓、丝堵、注油阀采用 Monel K500。</w:t>
      </w:r>
      <w:r>
        <w:rPr>
          <w:rFonts w:hint="eastAsia" w:ascii="Times New Roman" w:hAnsi="Times New Roman" w:eastAsia="微软雅黑" w:cs="Times New Roman"/>
          <w:sz w:val="21"/>
          <w:szCs w:val="21"/>
          <w:highlight w:val="none"/>
          <w:lang w:val="en-US" w:eastAsia="zh-CN" w:bidi="ar"/>
        </w:rPr>
        <w:t>送货文件</w:t>
      </w:r>
      <w:r>
        <w:rPr>
          <w:rFonts w:hint="default" w:ascii="Times New Roman" w:hAnsi="Times New Roman" w:eastAsia="微软雅黑" w:cs="Times New Roman"/>
          <w:sz w:val="21"/>
          <w:szCs w:val="21"/>
          <w:highlight w:val="none"/>
          <w:lang w:val="en-GB" w:eastAsia="zh-CN" w:bidi="ar"/>
        </w:rPr>
        <w:t>应提供材质化学成分及机械性能检测报告，并注明炉号等可追溯性标识信。</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微软雅黑" w:cs="Times New Roman"/>
          <w:sz w:val="21"/>
          <w:szCs w:val="21"/>
          <w:highlight w:val="none"/>
          <w:lang w:val="en-GB" w:eastAsia="zh-CN" w:bidi="ar"/>
        </w:rPr>
      </w:pPr>
      <w:r>
        <w:rPr>
          <w:rFonts w:hint="default" w:ascii="Times New Roman" w:hAnsi="Times New Roman" w:eastAsia="微软雅黑" w:cs="Times New Roman"/>
          <w:sz w:val="21"/>
          <w:szCs w:val="21"/>
          <w:highlight w:val="none"/>
          <w:lang w:val="en-GB" w:eastAsia="zh-CN" w:bidi="ar"/>
        </w:rPr>
        <w:t>保护器采用</w:t>
      </w:r>
      <w:r>
        <w:rPr>
          <w:rFonts w:hint="default" w:ascii="Times New Roman" w:hAnsi="Times New Roman" w:eastAsia="微软雅黑" w:cs="Times New Roman"/>
          <w:sz w:val="21"/>
          <w:szCs w:val="21"/>
          <w:highlight w:val="none"/>
          <w:lang w:val="en-US" w:eastAsia="zh-CN" w:bidi="ar"/>
        </w:rPr>
        <w:t>双节</w:t>
      </w:r>
      <w:r>
        <w:rPr>
          <w:rFonts w:hint="default" w:ascii="Times New Roman" w:hAnsi="Times New Roman" w:eastAsia="微软雅黑" w:cs="Times New Roman"/>
          <w:sz w:val="21"/>
          <w:szCs w:val="21"/>
          <w:highlight w:val="none"/>
          <w:lang w:val="en-GB" w:eastAsia="zh-CN" w:bidi="ar"/>
        </w:rPr>
        <w:t>高承载止推轴承。为满足高转速要求，338系列保护器轴向承载力≥1.3吨；400系列保护器轴向承载力≥2.5吨.540系列保护器轴向承载力≥5吨。</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微软雅黑" w:cs="Times New Roman"/>
          <w:sz w:val="21"/>
          <w:szCs w:val="21"/>
          <w:highlight w:val="none"/>
          <w:lang w:val="en-GB" w:eastAsia="zh-CN" w:bidi="ar"/>
        </w:rPr>
      </w:pPr>
      <w:r>
        <w:rPr>
          <w:rFonts w:hint="default" w:ascii="Times New Roman" w:hAnsi="Times New Roman" w:eastAsia="微软雅黑" w:cs="Times New Roman"/>
          <w:sz w:val="21"/>
          <w:szCs w:val="21"/>
          <w:highlight w:val="none"/>
          <w:lang w:val="en-GB" w:eastAsia="zh-CN" w:bidi="ar"/>
        </w:rPr>
        <w:t>保护器在额定同步转速为3600-4200rpm区间内具备稳定运行的能力，提供额定负载下转速3600rpm及4200rpm下的出厂测试报告。</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微软雅黑" w:cs="Times New Roman"/>
          <w:sz w:val="21"/>
          <w:szCs w:val="21"/>
          <w:highlight w:val="none"/>
          <w:lang w:val="en-GB" w:eastAsia="zh-CN" w:bidi="ar"/>
        </w:rPr>
      </w:pPr>
      <w:bookmarkStart w:id="176" w:name="_Hlk160382669"/>
      <w:r>
        <w:rPr>
          <w:rFonts w:hint="default" w:ascii="Times New Roman" w:hAnsi="Times New Roman" w:eastAsia="微软雅黑" w:cs="Times New Roman"/>
          <w:color w:val="000000" w:themeColor="text1"/>
          <w:sz w:val="21"/>
          <w:szCs w:val="21"/>
          <w:highlight w:val="none"/>
          <w:lang w:val="en-GB" w:eastAsia="zh-CN" w:bidi="ar"/>
          <w14:textFill>
            <w14:solidFill>
              <w14:schemeClr w14:val="tx1"/>
            </w14:solidFill>
          </w14:textFill>
        </w:rPr>
        <w:t>保护器</w:t>
      </w:r>
      <w:r>
        <w:rPr>
          <w:rFonts w:hint="default" w:ascii="Times New Roman" w:hAnsi="Times New Roman" w:eastAsia="微软雅黑" w:cs="Times New Roman"/>
          <w:sz w:val="21"/>
          <w:szCs w:val="21"/>
          <w:highlight w:val="none"/>
          <w:lang w:val="en-GB" w:eastAsia="zh-CN" w:bidi="ar"/>
        </w:rPr>
        <w:t>密封圈及胶囊采用AFLAS，耐温不低于204℃，并提供AFLAS材质报告</w:t>
      </w:r>
      <w:r>
        <w:rPr>
          <w:rFonts w:hint="default" w:ascii="Times New Roman" w:hAnsi="Times New Roman" w:eastAsia="微软雅黑" w:cs="Times New Roman"/>
          <w:color w:val="000000" w:themeColor="text1"/>
          <w:sz w:val="21"/>
          <w:szCs w:val="21"/>
          <w:highlight w:val="none"/>
          <w:lang w:val="en-GB" w:eastAsia="zh-CN" w:bidi="ar"/>
          <w14:textFill>
            <w14:solidFill>
              <w14:schemeClr w14:val="tx1"/>
            </w14:solidFill>
          </w14:textFill>
        </w:rPr>
        <w:t>。</w:t>
      </w:r>
    </w:p>
    <w:bookmarkEnd w:id="176"/>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微软雅黑" w:cs="Times New Roman"/>
          <w:sz w:val="21"/>
          <w:szCs w:val="21"/>
          <w:highlight w:val="none"/>
          <w:lang w:val="en-GB" w:eastAsia="zh-CN" w:bidi="ar"/>
        </w:rPr>
      </w:pPr>
      <w:r>
        <w:rPr>
          <w:rFonts w:hint="default" w:ascii="Times New Roman" w:hAnsi="Times New Roman" w:eastAsia="微软雅黑" w:cs="Times New Roman"/>
          <w:sz w:val="21"/>
          <w:szCs w:val="21"/>
          <w:highlight w:val="none"/>
          <w:lang w:val="en-GB" w:eastAsia="zh-CN" w:bidi="ar"/>
        </w:rPr>
        <w:t>潜油保护器外观完好，目测无变形、无锈蚀。运输帽螺栓必须齐全并旋紧。</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微软雅黑" w:cs="Times New Roman"/>
          <w:sz w:val="21"/>
          <w:szCs w:val="21"/>
          <w:highlight w:val="none"/>
          <w:lang w:val="en-GB" w:eastAsia="zh-CN" w:bidi="ar"/>
        </w:rPr>
      </w:pPr>
      <w:r>
        <w:rPr>
          <w:rFonts w:hint="default" w:ascii="Times New Roman" w:hAnsi="Times New Roman" w:eastAsia="微软雅黑" w:cs="Times New Roman"/>
          <w:sz w:val="21"/>
          <w:szCs w:val="21"/>
          <w:highlight w:val="none"/>
          <w:lang w:val="en-GB" w:eastAsia="zh-CN" w:bidi="ar"/>
        </w:rPr>
        <w:t>潜油保护器水平状态盘轴应滑快无阻滞，盘轴力矩不大于7.5N.m/节。</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400" w:firstLineChars="200"/>
        <w:jc w:val="left"/>
        <w:textAlignment w:val="auto"/>
        <w:rPr>
          <w:rFonts w:hint="default" w:ascii="Times New Roman" w:hAnsi="Times New Roman" w:eastAsia="微软雅黑" w:cs="Times New Roman"/>
          <w:sz w:val="21"/>
          <w:szCs w:val="21"/>
          <w:highlight w:val="none"/>
          <w:lang w:val="en-GB" w:eastAsia="zh-CN" w:bidi="ar"/>
        </w:rPr>
      </w:pPr>
      <w:r>
        <w:rPr>
          <w:rFonts w:hint="default" w:ascii="Segoe UI Symbol" w:hAnsi="Segoe UI Symbol" w:eastAsia="宋体" w:cs="Segoe UI Symbol"/>
          <w:sz w:val="20"/>
          <w:szCs w:val="20"/>
          <w:lang w:val="en-GB" w:eastAsia="zh-CN" w:bidi="ar"/>
        </w:rPr>
        <w:t>★</w:t>
      </w:r>
      <w:r>
        <w:rPr>
          <w:rFonts w:hint="default" w:ascii="Times New Roman" w:hAnsi="Times New Roman" w:eastAsia="微软雅黑" w:cs="Times New Roman"/>
          <w:sz w:val="21"/>
          <w:szCs w:val="21"/>
          <w:highlight w:val="none"/>
          <w:lang w:val="en-GB" w:eastAsia="zh-CN" w:bidi="ar"/>
        </w:rPr>
        <w:t>潜油保护器上下连接头尺寸及轴头窜量应满足《机械采油分公司潜油电泵产品接口参数明细》（见附件一）文件要求。</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微软雅黑" w:cs="Times New Roman"/>
          <w:sz w:val="21"/>
          <w:szCs w:val="21"/>
          <w:highlight w:val="none"/>
          <w:lang w:val="en-GB" w:eastAsia="zh-CN" w:bidi="ar"/>
        </w:rPr>
      </w:pPr>
      <w:r>
        <w:rPr>
          <w:rFonts w:hint="default" w:ascii="Times New Roman" w:hAnsi="Times New Roman" w:eastAsia="微软雅黑" w:cs="Times New Roman"/>
          <w:sz w:val="21"/>
          <w:szCs w:val="21"/>
          <w:highlight w:val="none"/>
          <w:lang w:val="en-GB" w:eastAsia="zh-CN" w:bidi="ar"/>
        </w:rPr>
        <w:t>潜油保护器本体上应有清晰牢固的产品标识及相关信息，包括不限于：产品名称及型号，出厂日期和产品出厂编号，重量，长度，制造厂名称、地址。非常规产品（防腐、防砂等）应进行标识。</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微软雅黑" w:cs="Times New Roman"/>
          <w:sz w:val="21"/>
          <w:szCs w:val="21"/>
          <w:highlight w:val="none"/>
          <w:lang w:val="en-GB" w:eastAsia="zh-CN" w:bidi="ar"/>
        </w:rPr>
      </w:pPr>
      <w:r>
        <w:rPr>
          <w:rFonts w:hint="default" w:ascii="Times New Roman" w:hAnsi="Times New Roman" w:eastAsia="微软雅黑" w:cs="Times New Roman"/>
          <w:sz w:val="21"/>
          <w:szCs w:val="21"/>
          <w:highlight w:val="none"/>
          <w:lang w:val="en-GB" w:eastAsia="zh-CN" w:bidi="ar"/>
        </w:rPr>
        <w:t>整机连接全部采用内外六角螺钉，采用法兰形式连接。</w:t>
      </w:r>
    </w:p>
    <w:p>
      <w:pPr>
        <w:widowControl w:val="0"/>
        <w:numPr>
          <w:ilvl w:val="0"/>
          <w:numId w:val="0"/>
        </w:numPr>
        <w:overflowPunct w:val="0"/>
        <w:autoSpaceDE w:val="0"/>
        <w:autoSpaceDN w:val="0"/>
        <w:adjustRightInd w:val="0"/>
        <w:spacing w:line="360" w:lineRule="auto"/>
        <w:ind w:left="104" w:leftChars="0" w:firstLine="420" w:firstLineChars="200"/>
        <w:jc w:val="both"/>
        <w:textAlignment w:val="baseline"/>
        <w:rPr>
          <w:rFonts w:hint="default" w:ascii="Times New Roman" w:hAnsi="Times New Roman" w:eastAsia="微软雅黑" w:cs="Times New Roman"/>
          <w:sz w:val="21"/>
          <w:szCs w:val="21"/>
          <w:highlight w:val="none"/>
          <w:lang w:val="en-GB" w:eastAsia="zh-CN" w:bidi="ar"/>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30" w:firstLineChars="200"/>
        <w:textAlignment w:val="auto"/>
        <w:outlineLvl w:val="1"/>
        <w:rPr>
          <w:rFonts w:hint="default" w:ascii="Times New Roman" w:hAnsi="Times New Roman" w:eastAsia="宋体" w:cs="Times New Roman"/>
          <w:b/>
          <w:bCs/>
          <w:color w:val="auto"/>
          <w:spacing w:val="2"/>
          <w:sz w:val="21"/>
          <w:szCs w:val="21"/>
          <w:highlight w:val="none"/>
          <w:lang w:val="en-US" w:eastAsia="zh-CN" w:bidi="ar-SA"/>
        </w:rPr>
      </w:pPr>
      <w:bookmarkStart w:id="177" w:name="_Toc9540"/>
      <w:bookmarkStart w:id="178" w:name="_Toc29038"/>
      <w:bookmarkStart w:id="179" w:name="_Toc2890"/>
      <w:r>
        <w:rPr>
          <w:rFonts w:hint="eastAsia" w:ascii="Times New Roman" w:hAnsi="Times New Roman" w:eastAsia="宋体" w:cs="Times New Roman"/>
          <w:b/>
          <w:bCs/>
          <w:color w:val="auto"/>
          <w:spacing w:val="2"/>
          <w:sz w:val="21"/>
          <w:szCs w:val="21"/>
          <w:highlight w:val="none"/>
          <w:lang w:val="en-US" w:eastAsia="zh-CN" w:bidi="ar-SA"/>
        </w:rPr>
        <w:t xml:space="preserve">5.5 </w:t>
      </w:r>
      <w:r>
        <w:rPr>
          <w:rFonts w:hint="default" w:ascii="Times New Roman" w:hAnsi="Times New Roman" w:eastAsia="宋体" w:cs="Times New Roman"/>
          <w:b/>
          <w:bCs/>
          <w:color w:val="auto"/>
          <w:spacing w:val="2"/>
          <w:sz w:val="21"/>
          <w:szCs w:val="21"/>
          <w:highlight w:val="none"/>
          <w:lang w:val="en-US" w:eastAsia="zh-CN" w:bidi="ar-SA"/>
        </w:rPr>
        <w:t>（防砂）高转速潜油保护器</w:t>
      </w:r>
      <w:bookmarkEnd w:id="177"/>
      <w:bookmarkEnd w:id="178"/>
      <w:bookmarkEnd w:id="179"/>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1"/>
        <w:rPr>
          <w:rFonts w:hint="default" w:ascii="Times New Roman" w:hAnsi="Times New Roman" w:eastAsia="宋体" w:cs="Times New Roman"/>
          <w:b/>
          <w:bCs/>
          <w:color w:val="auto"/>
          <w:spacing w:val="2"/>
          <w:sz w:val="21"/>
          <w:szCs w:val="21"/>
          <w:highlight w:val="none"/>
          <w:lang w:val="en-US" w:eastAsia="zh-CN" w:bidi="ar-SA"/>
        </w:rPr>
      </w:pPr>
    </w:p>
    <w:p>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微软雅黑" w:cs="Times New Roman"/>
          <w:sz w:val="21"/>
          <w:szCs w:val="21"/>
          <w:highlight w:val="none"/>
          <w:lang w:val="en-GB" w:eastAsia="zh-CN" w:bidi="ar"/>
        </w:rPr>
      </w:pPr>
      <w:r>
        <w:rPr>
          <w:rFonts w:hint="default" w:ascii="Times New Roman" w:hAnsi="Times New Roman" w:eastAsia="微软雅黑" w:cs="Times New Roman"/>
          <w:sz w:val="21"/>
          <w:szCs w:val="21"/>
          <w:highlight w:val="none"/>
          <w:lang w:val="en-GB" w:eastAsia="zh-CN" w:bidi="ar"/>
        </w:rPr>
        <w:t>具体规格型号见“二、需求一览表，</w:t>
      </w:r>
      <w:r>
        <w:rPr>
          <w:rFonts w:hint="default" w:ascii="Times New Roman" w:hAnsi="Times New Roman" w:eastAsia="微软雅黑" w:cs="Times New Roman"/>
          <w:sz w:val="21"/>
          <w:szCs w:val="21"/>
          <w:highlight w:val="none"/>
          <w:lang w:val="en-US" w:eastAsia="zh-CN" w:bidi="ar"/>
        </w:rPr>
        <w:t>行10-12项”</w:t>
      </w:r>
      <w:r>
        <w:rPr>
          <w:rFonts w:hint="default" w:ascii="Times New Roman" w:hAnsi="Times New Roman" w:eastAsia="微软雅黑" w:cs="Times New Roman"/>
          <w:sz w:val="21"/>
          <w:szCs w:val="21"/>
          <w:highlight w:val="none"/>
          <w:lang w:val="en-GB" w:eastAsia="zh-CN" w:bidi="ar"/>
        </w:rPr>
        <w:t>。</w:t>
      </w:r>
    </w:p>
    <w:p>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微软雅黑" w:cs="Times New Roman"/>
          <w:sz w:val="21"/>
          <w:szCs w:val="21"/>
          <w:highlight w:val="none"/>
          <w:lang w:val="en-GB" w:eastAsia="zh-CN" w:bidi="ar"/>
        </w:rPr>
      </w:pPr>
      <w:r>
        <w:rPr>
          <w:rFonts w:hint="default" w:ascii="Times New Roman" w:hAnsi="Times New Roman" w:eastAsia="微软雅黑" w:cs="Times New Roman"/>
          <w:sz w:val="21"/>
          <w:szCs w:val="21"/>
          <w:highlight w:val="none"/>
          <w:lang w:val="en-GB" w:eastAsia="zh-CN" w:bidi="ar"/>
        </w:rPr>
        <w:t>保护器为 338、400及540 系列，型号为 BPBSL+BPBSL串接。</w:t>
      </w:r>
    </w:p>
    <w:p>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微软雅黑" w:cs="Times New Roman"/>
          <w:sz w:val="21"/>
          <w:szCs w:val="21"/>
          <w:highlight w:val="none"/>
          <w:lang w:val="en-GB" w:eastAsia="zh-CN" w:bidi="ar"/>
        </w:rPr>
      </w:pPr>
      <w:r>
        <w:rPr>
          <w:rFonts w:hint="default" w:ascii="Times New Roman" w:hAnsi="Times New Roman" w:eastAsia="微软雅黑" w:cs="Times New Roman"/>
          <w:sz w:val="21"/>
          <w:szCs w:val="21"/>
          <w:highlight w:val="none"/>
          <w:lang w:val="en-GB" w:eastAsia="zh-CN" w:bidi="ar"/>
        </w:rPr>
        <w:t>适用井温为：180℃，本体耐温等级204℃。</w:t>
      </w:r>
    </w:p>
    <w:p>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cs="Times New Roman" w:eastAsiaTheme="minorEastAsia"/>
          <w:sz w:val="21"/>
          <w:szCs w:val="21"/>
          <w:highlight w:val="none"/>
          <w:lang w:val="en-GB" w:eastAsia="zh-CN" w:bidi="ar"/>
        </w:rPr>
      </w:pPr>
      <w:r>
        <w:rPr>
          <w:rFonts w:hint="default" w:ascii="Times New Roman" w:hAnsi="Times New Roman" w:eastAsia="微软雅黑" w:cs="Times New Roman"/>
          <w:sz w:val="21"/>
          <w:szCs w:val="21"/>
          <w:highlight w:val="none"/>
          <w:lang w:val="en-GB" w:eastAsia="zh-CN" w:bidi="ar"/>
        </w:rPr>
        <w:t>潜油防砂保护器上端采用工程技术甩砂环结构、设计有沉砂腔和泄砂孔。</w:t>
      </w:r>
    </w:p>
    <w:p>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cs="Times New Roman" w:eastAsiaTheme="minorEastAsia"/>
          <w:sz w:val="21"/>
          <w:szCs w:val="21"/>
          <w:highlight w:val="none"/>
          <w:lang w:val="en-GB" w:eastAsia="zh-CN" w:bidi="ar"/>
        </w:rPr>
      </w:pPr>
      <w:r>
        <w:rPr>
          <w:rFonts w:hint="default" w:ascii="Times New Roman" w:hAnsi="Times New Roman" w:cs="Times New Roman" w:eastAsiaTheme="minorEastAsia"/>
          <w:sz w:val="21"/>
          <w:szCs w:val="21"/>
          <w:highlight w:val="none"/>
          <w:lang w:val="en-GB" w:eastAsia="zh-CN" w:bidi="ar"/>
        </w:rPr>
        <w:t>保护器采用</w:t>
      </w:r>
      <w:r>
        <w:rPr>
          <w:rFonts w:hint="default" w:ascii="Times New Roman" w:hAnsi="Times New Roman" w:cs="Times New Roman" w:eastAsiaTheme="minorEastAsia"/>
          <w:sz w:val="21"/>
          <w:szCs w:val="21"/>
          <w:highlight w:val="none"/>
          <w:lang w:val="en-US" w:eastAsia="zh-CN" w:bidi="ar"/>
        </w:rPr>
        <w:t>双节</w:t>
      </w:r>
      <w:r>
        <w:rPr>
          <w:rFonts w:hint="default" w:ascii="Times New Roman" w:hAnsi="Times New Roman" w:cs="Times New Roman" w:eastAsiaTheme="minorEastAsia"/>
          <w:sz w:val="21"/>
          <w:szCs w:val="21"/>
          <w:highlight w:val="none"/>
          <w:lang w:val="en-GB" w:eastAsia="zh-CN" w:bidi="ar"/>
        </w:rPr>
        <w:t>高承载止推轴承。为满足高转速要求，338系列保护器轴向承载力≥1.3吨；400系列保护器轴向承载力≥2.5吨.540系列保护器轴向承载力≥5吨。</w:t>
      </w:r>
    </w:p>
    <w:p>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cs="Times New Roman" w:eastAsiaTheme="minorEastAsia"/>
          <w:sz w:val="21"/>
          <w:szCs w:val="21"/>
          <w:highlight w:val="none"/>
          <w:lang w:val="en-GB" w:eastAsia="zh-CN" w:bidi="ar"/>
        </w:rPr>
      </w:pPr>
      <w:r>
        <w:rPr>
          <w:rFonts w:hint="default" w:ascii="Times New Roman" w:hAnsi="Times New Roman" w:cs="Times New Roman" w:eastAsiaTheme="minorEastAsia"/>
          <w:sz w:val="21"/>
          <w:szCs w:val="21"/>
          <w:highlight w:val="none"/>
          <w:lang w:val="en-GB" w:eastAsia="zh-CN" w:bidi="ar"/>
        </w:rPr>
        <w:t>保护器在额定同步转速为3600-4200rpm区间内具备稳定运行的能力，提供额定负载下转速3600rpm及4200rpm下的出厂测试报告。</w:t>
      </w:r>
    </w:p>
    <w:p>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cs="Times New Roman" w:eastAsiaTheme="minorEastAsia"/>
          <w:sz w:val="21"/>
          <w:szCs w:val="21"/>
          <w:highlight w:val="none"/>
          <w:lang w:val="en-GB" w:eastAsia="zh-CN" w:bidi="ar"/>
        </w:rPr>
      </w:pPr>
      <w:r>
        <w:rPr>
          <w:rFonts w:hint="default" w:ascii="Times New Roman" w:hAnsi="Times New Roman" w:cs="Times New Roman" w:eastAsiaTheme="minorEastAsia"/>
          <w:sz w:val="21"/>
          <w:szCs w:val="21"/>
          <w:highlight w:val="none"/>
          <w:lang w:val="en-GB" w:eastAsia="zh-CN" w:bidi="ar"/>
        </w:rPr>
        <w:t>保护器密封圈及胶囊采用AFLAS，耐温不低于204℃，并提供AFLAS材质报告。</w:t>
      </w:r>
    </w:p>
    <w:p>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微软雅黑" w:cs="Times New Roman"/>
          <w:sz w:val="21"/>
          <w:szCs w:val="21"/>
          <w:highlight w:val="none"/>
          <w:lang w:val="en-GB" w:eastAsia="zh-CN" w:bidi="ar"/>
        </w:rPr>
      </w:pPr>
      <w:r>
        <w:rPr>
          <w:rFonts w:hint="default" w:ascii="Times New Roman" w:hAnsi="Times New Roman" w:eastAsia="微软雅黑" w:cs="Times New Roman"/>
          <w:sz w:val="21"/>
          <w:szCs w:val="21"/>
          <w:highlight w:val="none"/>
          <w:lang w:val="en-GB" w:eastAsia="zh-CN" w:bidi="ar"/>
        </w:rPr>
        <w:t>潜油保护器外观完好，目测无变形、无锈蚀。运输帽螺栓必须齐全并旋紧。</w:t>
      </w:r>
    </w:p>
    <w:p>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微软雅黑" w:cs="Times New Roman"/>
          <w:sz w:val="21"/>
          <w:szCs w:val="21"/>
          <w:highlight w:val="none"/>
          <w:lang w:val="en-GB" w:eastAsia="zh-CN" w:bidi="ar"/>
        </w:rPr>
      </w:pPr>
      <w:r>
        <w:rPr>
          <w:rFonts w:hint="default" w:ascii="Times New Roman" w:hAnsi="Times New Roman" w:eastAsia="微软雅黑" w:cs="Times New Roman"/>
          <w:sz w:val="21"/>
          <w:szCs w:val="21"/>
          <w:highlight w:val="none"/>
          <w:lang w:val="en-GB" w:eastAsia="zh-CN" w:bidi="ar"/>
        </w:rPr>
        <w:t>潜油保护器水平状态盘轴应滑快无阻滞，盘轴力矩不大于7.5N.m/节。</w:t>
      </w:r>
    </w:p>
    <w:p>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00" w:firstLineChars="200"/>
        <w:jc w:val="left"/>
        <w:textAlignment w:val="auto"/>
        <w:rPr>
          <w:rFonts w:hint="default" w:ascii="Times New Roman" w:hAnsi="Times New Roman" w:eastAsia="微软雅黑" w:cs="Times New Roman"/>
          <w:sz w:val="21"/>
          <w:szCs w:val="21"/>
          <w:highlight w:val="none"/>
          <w:lang w:val="en-GB" w:eastAsia="zh-CN" w:bidi="ar"/>
        </w:rPr>
      </w:pPr>
      <w:r>
        <w:rPr>
          <w:rFonts w:hint="default" w:ascii="Segoe UI Symbol" w:hAnsi="Segoe UI Symbol" w:eastAsia="宋体" w:cs="Segoe UI Symbol"/>
          <w:sz w:val="20"/>
          <w:szCs w:val="20"/>
          <w:lang w:val="en-GB" w:eastAsia="zh-CN" w:bidi="ar"/>
        </w:rPr>
        <w:t>★</w:t>
      </w:r>
      <w:r>
        <w:rPr>
          <w:rFonts w:hint="default" w:ascii="Times New Roman" w:hAnsi="Times New Roman" w:eastAsia="微软雅黑" w:cs="Times New Roman"/>
          <w:sz w:val="21"/>
          <w:szCs w:val="21"/>
          <w:highlight w:val="none"/>
          <w:lang w:val="en-GB" w:eastAsia="zh-CN" w:bidi="ar"/>
        </w:rPr>
        <w:t>潜油保护器上下连接头尺寸及轴头窜量应满足《机械采油分公司潜油电泵产品接口参数明细》（见附件一）文件要求。</w:t>
      </w:r>
    </w:p>
    <w:p>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微软雅黑" w:cs="Times New Roman"/>
          <w:sz w:val="21"/>
          <w:szCs w:val="21"/>
          <w:highlight w:val="none"/>
          <w:lang w:val="en-GB" w:eastAsia="zh-CN" w:bidi="ar"/>
        </w:rPr>
      </w:pPr>
      <w:r>
        <w:rPr>
          <w:rFonts w:hint="default" w:ascii="Times New Roman" w:hAnsi="Times New Roman" w:eastAsia="微软雅黑" w:cs="Times New Roman"/>
          <w:sz w:val="21"/>
          <w:szCs w:val="21"/>
          <w:highlight w:val="none"/>
          <w:lang w:val="en-GB" w:eastAsia="zh-CN" w:bidi="ar"/>
        </w:rPr>
        <w:t>潜油保护器本体上应有清晰牢固的产品标识及相关信息，包括不限于：产品名称及型号，出厂日期和产品出厂编号，重量，长度，制造厂名称、地址。非常规产品（防腐、防砂等）应进行标识。</w:t>
      </w:r>
    </w:p>
    <w:p>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微软雅黑" w:cs="Times New Roman"/>
          <w:sz w:val="21"/>
          <w:szCs w:val="21"/>
          <w:highlight w:val="none"/>
          <w:lang w:val="en-GB" w:eastAsia="zh-CN" w:bidi="ar"/>
        </w:rPr>
      </w:pPr>
      <w:r>
        <w:rPr>
          <w:rFonts w:hint="default" w:ascii="Times New Roman" w:hAnsi="Times New Roman" w:eastAsia="微软雅黑" w:cs="Times New Roman"/>
          <w:sz w:val="21"/>
          <w:szCs w:val="21"/>
          <w:highlight w:val="none"/>
          <w:lang w:val="en-GB" w:eastAsia="zh-CN" w:bidi="ar"/>
        </w:rPr>
        <w:t>保护器轴材质Inconel 718，头座为45号钢材质,壳体为45号钢材质，送货文件应提供材质化学成分及机械性能检测报告，并注明炉号等可追溯性标识信息。</w:t>
      </w:r>
    </w:p>
    <w:p>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微软雅黑" w:cs="Times New Roman"/>
          <w:sz w:val="21"/>
          <w:szCs w:val="21"/>
          <w:highlight w:val="none"/>
          <w:lang w:val="en-GB" w:eastAsia="zh-CN" w:bidi="ar"/>
        </w:rPr>
      </w:pPr>
      <w:r>
        <w:rPr>
          <w:rFonts w:hint="default" w:ascii="Times New Roman" w:hAnsi="Times New Roman" w:eastAsia="微软雅黑" w:cs="Times New Roman"/>
          <w:sz w:val="21"/>
          <w:szCs w:val="21"/>
          <w:highlight w:val="none"/>
          <w:lang w:val="en-GB" w:eastAsia="zh-CN" w:bidi="ar"/>
        </w:rPr>
        <w:t>整机连接全部采用内外六角螺钉，采用法兰形式连接。</w:t>
      </w:r>
    </w:p>
    <w:p>
      <w:pPr>
        <w:widowControl w:val="0"/>
        <w:snapToGrid w:val="0"/>
        <w:rPr>
          <w:rFonts w:hint="default" w:ascii="Times New Roman" w:hAnsi="Times New Roman" w:cs="Times New Roman" w:eastAsiaTheme="minorEastAsia"/>
          <w:sz w:val="16"/>
          <w:szCs w:val="16"/>
          <w:highlight w:val="none"/>
          <w:lang w:val="en-US" w:eastAsia="zh-CN" w:bidi="ar-SA"/>
        </w:rPr>
      </w:pPr>
    </w:p>
    <w:p>
      <w:pPr>
        <w:widowControl w:val="0"/>
        <w:overflowPunct w:val="0"/>
        <w:autoSpaceDE w:val="0"/>
        <w:autoSpaceDN w:val="0"/>
        <w:adjustRightInd w:val="0"/>
        <w:spacing w:line="360" w:lineRule="auto"/>
        <w:ind w:firstLine="0" w:firstLineChars="0"/>
        <w:textAlignment w:val="baseline"/>
        <w:rPr>
          <w:rFonts w:hint="default" w:ascii="Times New Roman" w:hAnsi="Times New Roman" w:eastAsia="微软雅黑" w:cs="Times New Roman"/>
          <w:sz w:val="22"/>
          <w:szCs w:val="22"/>
          <w:highlight w:val="none"/>
          <w:lang w:val="en-GB" w:eastAsia="zh-CN" w:bidi="ar"/>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30" w:firstLineChars="200"/>
        <w:textAlignment w:val="auto"/>
        <w:outlineLvl w:val="1"/>
        <w:rPr>
          <w:rFonts w:hint="default" w:ascii="Times New Roman" w:hAnsi="Times New Roman" w:eastAsia="宋体" w:cs="Times New Roman"/>
          <w:b/>
          <w:bCs/>
          <w:color w:val="auto"/>
          <w:spacing w:val="2"/>
          <w:sz w:val="21"/>
          <w:szCs w:val="21"/>
          <w:highlight w:val="none"/>
          <w:lang w:val="en-US" w:eastAsia="zh-CN" w:bidi="ar-SA"/>
        </w:rPr>
      </w:pPr>
      <w:bookmarkStart w:id="180" w:name="_Toc3256"/>
      <w:bookmarkStart w:id="181" w:name="_Toc13947"/>
      <w:bookmarkStart w:id="182" w:name="_Toc2349"/>
      <w:r>
        <w:rPr>
          <w:rFonts w:hint="eastAsia" w:ascii="Times New Roman" w:hAnsi="Times New Roman" w:eastAsia="宋体" w:cs="Times New Roman"/>
          <w:b/>
          <w:bCs/>
          <w:color w:val="auto"/>
          <w:spacing w:val="2"/>
          <w:sz w:val="21"/>
          <w:szCs w:val="21"/>
          <w:highlight w:val="none"/>
          <w:lang w:val="en-US" w:eastAsia="zh-CN" w:bidi="ar-SA"/>
        </w:rPr>
        <w:t xml:space="preserve">5.6 </w:t>
      </w:r>
      <w:r>
        <w:rPr>
          <w:rFonts w:hint="default" w:ascii="Times New Roman" w:hAnsi="Times New Roman" w:eastAsia="宋体" w:cs="Times New Roman"/>
          <w:b/>
          <w:bCs/>
          <w:color w:val="auto"/>
          <w:spacing w:val="2"/>
          <w:sz w:val="21"/>
          <w:szCs w:val="21"/>
          <w:highlight w:val="none"/>
          <w:lang w:val="en-US" w:eastAsia="zh-CN" w:bidi="ar-SA"/>
        </w:rPr>
        <w:t>高转速电机转子与定子</w:t>
      </w:r>
      <w:bookmarkEnd w:id="180"/>
      <w:bookmarkEnd w:id="181"/>
      <w:bookmarkEnd w:id="182"/>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30" w:firstLineChars="200"/>
        <w:textAlignment w:val="auto"/>
        <w:outlineLvl w:val="1"/>
        <w:rPr>
          <w:rFonts w:hint="default" w:ascii="Times New Roman" w:hAnsi="Times New Roman" w:eastAsia="宋体" w:cs="Times New Roman"/>
          <w:b/>
          <w:bCs/>
          <w:color w:val="auto"/>
          <w:spacing w:val="2"/>
          <w:sz w:val="21"/>
          <w:szCs w:val="21"/>
          <w:highlight w:val="none"/>
          <w:lang w:val="en-US" w:eastAsia="zh-CN" w:bidi="ar-SA"/>
        </w:rPr>
      </w:pPr>
    </w:p>
    <w:tbl>
      <w:tblPr>
        <w:tblStyle w:val="12"/>
        <w:tblW w:w="8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1083"/>
        <w:gridCol w:w="1870"/>
        <w:gridCol w:w="3162"/>
        <w:gridCol w:w="955"/>
        <w:gridCol w:w="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668" w:type="dxa"/>
            <w:vAlign w:val="center"/>
          </w:tcPr>
          <w:p>
            <w:pPr>
              <w:spacing w:line="360" w:lineRule="auto"/>
              <w:jc w:val="both"/>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序号</w:t>
            </w:r>
          </w:p>
        </w:tc>
        <w:tc>
          <w:tcPr>
            <w:tcW w:w="1083" w:type="dxa"/>
            <w:vAlign w:val="center"/>
          </w:tcPr>
          <w:p>
            <w:pPr>
              <w:spacing w:line="360" w:lineRule="auto"/>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物料编码</w:t>
            </w:r>
          </w:p>
        </w:tc>
        <w:tc>
          <w:tcPr>
            <w:tcW w:w="1870" w:type="dxa"/>
            <w:vAlign w:val="center"/>
          </w:tcPr>
          <w:p>
            <w:pPr>
              <w:spacing w:line="360" w:lineRule="auto"/>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物资名称</w:t>
            </w:r>
          </w:p>
        </w:tc>
        <w:tc>
          <w:tcPr>
            <w:tcW w:w="3162" w:type="dxa"/>
            <w:vAlign w:val="center"/>
          </w:tcPr>
          <w:p>
            <w:pPr>
              <w:spacing w:line="360" w:lineRule="auto"/>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规格型号</w:t>
            </w:r>
          </w:p>
        </w:tc>
        <w:tc>
          <w:tcPr>
            <w:tcW w:w="955" w:type="dxa"/>
            <w:vAlign w:val="center"/>
          </w:tcPr>
          <w:p>
            <w:pPr>
              <w:spacing w:line="360" w:lineRule="auto"/>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单位</w:t>
            </w:r>
          </w:p>
        </w:tc>
        <w:tc>
          <w:tcPr>
            <w:tcW w:w="693" w:type="dxa"/>
            <w:vAlign w:val="center"/>
          </w:tcPr>
          <w:p>
            <w:pPr>
              <w:spacing w:line="360" w:lineRule="auto"/>
              <w:jc w:val="center"/>
              <w:rPr>
                <w:rFonts w:hint="default" w:ascii="Times New Roman" w:hAnsi="Times New Roman" w:cs="Times New Roman" w:eastAsiaTheme="minorEastAsia"/>
                <w:kern w:val="0"/>
                <w:sz w:val="16"/>
                <w:szCs w:val="16"/>
                <w:highlight w:val="none"/>
                <w:lang w:eastAsia="en-US"/>
              </w:rPr>
            </w:pPr>
            <w:r>
              <w:rPr>
                <w:rFonts w:hint="default" w:ascii="Times New Roman" w:hAnsi="Times New Roman" w:cs="Times New Roman" w:eastAsiaTheme="minorEastAsia"/>
                <w:kern w:val="0"/>
                <w:sz w:val="16"/>
                <w:szCs w:val="16"/>
                <w:highlight w:val="none"/>
                <w:lang w:eastAsia="en-U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668" w:type="dxa"/>
            <w:vAlign w:val="center"/>
          </w:tcPr>
          <w:p>
            <w:pPr>
              <w:spacing w:line="360" w:lineRule="auto"/>
              <w:jc w:val="center"/>
              <w:rPr>
                <w:rFonts w:hint="default" w:ascii="Times New Roman" w:hAnsi="Times New Roman" w:eastAsia="宋体" w:cs="Times New Roman"/>
                <w:kern w:val="0"/>
                <w:sz w:val="13"/>
                <w:szCs w:val="13"/>
                <w:highlight w:val="none"/>
                <w:lang w:eastAsia="zh-CN"/>
              </w:rPr>
            </w:pPr>
            <w:r>
              <w:rPr>
                <w:rFonts w:hint="default" w:ascii="Times New Roman" w:hAnsi="Times New Roman" w:eastAsia="宋体" w:cs="Times New Roman"/>
                <w:kern w:val="0"/>
                <w:sz w:val="13"/>
                <w:szCs w:val="13"/>
                <w:highlight w:val="none"/>
                <w:lang w:eastAsia="zh-CN"/>
              </w:rPr>
              <w:t>1</w:t>
            </w:r>
          </w:p>
        </w:tc>
        <w:tc>
          <w:tcPr>
            <w:tcW w:w="1083" w:type="dxa"/>
            <w:vAlign w:val="center"/>
          </w:tcPr>
          <w:p>
            <w:pPr>
              <w:keepNext w:val="0"/>
              <w:keepLines w:val="0"/>
              <w:widowControl/>
              <w:suppressLineNumbers w:val="0"/>
              <w:jc w:val="center"/>
              <w:textAlignment w:val="center"/>
              <w:rPr>
                <w:rFonts w:hint="default" w:ascii="Times New Roman" w:hAnsi="Times New Roman" w:eastAsia="宋体" w:cs="Times New Roman"/>
                <w:kern w:val="0"/>
                <w:sz w:val="13"/>
                <w:szCs w:val="13"/>
                <w:highlight w:val="none"/>
                <w:lang w:val="en-US" w:eastAsia="en-US"/>
              </w:rPr>
            </w:pPr>
            <w:r>
              <w:rPr>
                <w:rFonts w:hint="default" w:ascii="Times New Roman" w:hAnsi="Times New Roman" w:eastAsia="宋体" w:cs="Times New Roman"/>
                <w:i w:val="0"/>
                <w:iCs w:val="0"/>
                <w:color w:val="000000"/>
                <w:kern w:val="0"/>
                <w:sz w:val="16"/>
                <w:szCs w:val="16"/>
                <w:u w:val="none"/>
                <w:lang w:val="en-US" w:eastAsia="zh-CN" w:bidi="ar"/>
              </w:rPr>
              <w:t>84615615</w:t>
            </w:r>
          </w:p>
        </w:tc>
        <w:tc>
          <w:tcPr>
            <w:tcW w:w="1870" w:type="dxa"/>
            <w:vAlign w:val="center"/>
          </w:tcPr>
          <w:p>
            <w:pPr>
              <w:widowControl/>
              <w:jc w:val="center"/>
              <w:textAlignment w:val="center"/>
              <w:rPr>
                <w:rFonts w:hint="default" w:ascii="Times New Roman" w:hAnsi="Times New Roman" w:eastAsia="宋体" w:cs="Times New Roman"/>
                <w:kern w:val="0"/>
                <w:sz w:val="15"/>
                <w:szCs w:val="15"/>
                <w:highlight w:val="none"/>
                <w:lang w:eastAsia="en-US"/>
              </w:rPr>
            </w:pPr>
            <w:r>
              <w:rPr>
                <w:rFonts w:hint="default" w:ascii="Times New Roman" w:hAnsi="Times New Roman" w:eastAsia="宋体" w:cs="Times New Roman"/>
                <w:color w:val="000000"/>
                <w:kern w:val="0"/>
                <w:sz w:val="16"/>
                <w:szCs w:val="16"/>
                <w:highlight w:val="none"/>
                <w:lang w:eastAsia="zh-CN" w:bidi="ar"/>
              </w:rPr>
              <w:t>高转速电机转子总成</w:t>
            </w:r>
          </w:p>
        </w:tc>
        <w:tc>
          <w:tcPr>
            <w:tcW w:w="3162" w:type="dxa"/>
            <w:vAlign w:val="center"/>
          </w:tcPr>
          <w:p>
            <w:pPr>
              <w:keepNext w:val="0"/>
              <w:keepLines w:val="0"/>
              <w:widowControl/>
              <w:suppressLineNumbers w:val="0"/>
              <w:jc w:val="both"/>
              <w:textAlignment w:val="center"/>
              <w:rPr>
                <w:rFonts w:hint="default" w:ascii="Times New Roman" w:hAnsi="Times New Roman" w:eastAsia="宋体" w:cs="Times New Roman"/>
                <w:kern w:val="0"/>
                <w:sz w:val="13"/>
                <w:szCs w:val="13"/>
                <w:highlight w:val="none"/>
                <w:lang w:eastAsia="zh-CN"/>
              </w:rPr>
            </w:pPr>
            <w:r>
              <w:rPr>
                <w:rFonts w:hint="default" w:ascii="Times New Roman" w:hAnsi="Times New Roman" w:eastAsia="宋体" w:cs="Times New Roman"/>
                <w:i w:val="0"/>
                <w:iCs w:val="0"/>
                <w:color w:val="000000"/>
                <w:kern w:val="0"/>
                <w:sz w:val="16"/>
                <w:szCs w:val="16"/>
                <w:u w:val="none"/>
                <w:lang w:val="en-US" w:eastAsia="zh-CN" w:bidi="ar"/>
              </w:rPr>
              <w:t>高转速电机转子总成\450\中海油能源发展股份有限公司工程技术分公司</w:t>
            </w:r>
          </w:p>
        </w:tc>
        <w:tc>
          <w:tcPr>
            <w:tcW w:w="955" w:type="dxa"/>
            <w:vAlign w:val="center"/>
          </w:tcPr>
          <w:p>
            <w:pPr>
              <w:keepNext w:val="0"/>
              <w:keepLines w:val="0"/>
              <w:widowControl/>
              <w:suppressLineNumbers w:val="0"/>
              <w:jc w:val="center"/>
              <w:textAlignment w:val="center"/>
              <w:rPr>
                <w:rFonts w:hint="default" w:ascii="Times New Roman" w:hAnsi="Times New Roman" w:eastAsia="宋体" w:cs="Times New Roman"/>
                <w:kern w:val="0"/>
                <w:sz w:val="16"/>
                <w:szCs w:val="16"/>
                <w:highlight w:val="none"/>
                <w:lang w:val="en-US"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节</w:t>
            </w:r>
          </w:p>
        </w:tc>
        <w:tc>
          <w:tcPr>
            <w:tcW w:w="693" w:type="dxa"/>
          </w:tcPr>
          <w:p>
            <w:pPr>
              <w:spacing w:line="360" w:lineRule="auto"/>
              <w:jc w:val="center"/>
              <w:rPr>
                <w:rFonts w:hint="default" w:ascii="Times New Roman" w:hAnsi="Times New Roman" w:cs="Times New Roman" w:eastAsiaTheme="minorEastAsia"/>
                <w:kern w:val="0"/>
                <w:sz w:val="21"/>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668" w:type="dxa"/>
            <w:vAlign w:val="center"/>
          </w:tcPr>
          <w:p>
            <w:pPr>
              <w:spacing w:line="360" w:lineRule="auto"/>
              <w:jc w:val="center"/>
              <w:rPr>
                <w:rFonts w:hint="default" w:ascii="Times New Roman" w:hAnsi="Times New Roman" w:eastAsia="宋体" w:cs="Times New Roman"/>
                <w:kern w:val="0"/>
                <w:sz w:val="13"/>
                <w:szCs w:val="13"/>
                <w:highlight w:val="none"/>
                <w:lang w:eastAsia="zh-CN"/>
              </w:rPr>
            </w:pPr>
            <w:r>
              <w:rPr>
                <w:rFonts w:hint="default" w:ascii="Times New Roman" w:hAnsi="Times New Roman" w:eastAsia="宋体" w:cs="Times New Roman"/>
                <w:kern w:val="0"/>
                <w:sz w:val="13"/>
                <w:szCs w:val="13"/>
                <w:highlight w:val="none"/>
                <w:lang w:eastAsia="zh-CN"/>
              </w:rPr>
              <w:t>2</w:t>
            </w:r>
          </w:p>
        </w:tc>
        <w:tc>
          <w:tcPr>
            <w:tcW w:w="1083" w:type="dxa"/>
            <w:vAlign w:val="center"/>
          </w:tcPr>
          <w:p>
            <w:pPr>
              <w:keepNext w:val="0"/>
              <w:keepLines w:val="0"/>
              <w:widowControl/>
              <w:suppressLineNumbers w:val="0"/>
              <w:jc w:val="center"/>
              <w:textAlignment w:val="center"/>
              <w:rPr>
                <w:rFonts w:hint="default" w:ascii="Times New Roman" w:hAnsi="Times New Roman" w:eastAsia="宋体" w:cs="Times New Roman"/>
                <w:kern w:val="0"/>
                <w:sz w:val="13"/>
                <w:szCs w:val="13"/>
                <w:highlight w:val="none"/>
                <w:lang w:eastAsia="en-US"/>
              </w:rPr>
            </w:pPr>
            <w:r>
              <w:rPr>
                <w:rFonts w:hint="default" w:ascii="Times New Roman" w:hAnsi="Times New Roman" w:eastAsia="宋体" w:cs="Times New Roman"/>
                <w:i w:val="0"/>
                <w:iCs w:val="0"/>
                <w:color w:val="000000"/>
                <w:kern w:val="0"/>
                <w:sz w:val="16"/>
                <w:szCs w:val="16"/>
                <w:u w:val="none"/>
                <w:lang w:val="en-US" w:eastAsia="zh-CN" w:bidi="ar"/>
              </w:rPr>
              <w:t>84615616</w:t>
            </w:r>
          </w:p>
        </w:tc>
        <w:tc>
          <w:tcPr>
            <w:tcW w:w="1870" w:type="dxa"/>
            <w:vAlign w:val="center"/>
          </w:tcPr>
          <w:p>
            <w:pPr>
              <w:widowControl/>
              <w:jc w:val="center"/>
              <w:textAlignment w:val="center"/>
              <w:rPr>
                <w:rFonts w:hint="default" w:ascii="Times New Roman" w:hAnsi="Times New Roman" w:eastAsia="宋体" w:cs="Times New Roman"/>
                <w:kern w:val="0"/>
                <w:sz w:val="15"/>
                <w:szCs w:val="15"/>
                <w:highlight w:val="none"/>
                <w:lang w:eastAsia="en-US"/>
              </w:rPr>
            </w:pPr>
            <w:r>
              <w:rPr>
                <w:rFonts w:hint="default" w:ascii="Times New Roman" w:hAnsi="Times New Roman" w:eastAsia="宋体" w:cs="Times New Roman"/>
                <w:color w:val="000000"/>
                <w:kern w:val="0"/>
                <w:sz w:val="16"/>
                <w:szCs w:val="16"/>
                <w:highlight w:val="none"/>
                <w:lang w:eastAsia="zh-CN" w:bidi="ar"/>
              </w:rPr>
              <w:t>高转速电机定子片</w:t>
            </w:r>
          </w:p>
        </w:tc>
        <w:tc>
          <w:tcPr>
            <w:tcW w:w="3162" w:type="dxa"/>
            <w:vAlign w:val="center"/>
          </w:tcPr>
          <w:p>
            <w:pPr>
              <w:keepNext w:val="0"/>
              <w:keepLines w:val="0"/>
              <w:widowControl/>
              <w:suppressLineNumbers w:val="0"/>
              <w:jc w:val="both"/>
              <w:textAlignment w:val="center"/>
              <w:rPr>
                <w:rFonts w:hint="default" w:ascii="Times New Roman" w:hAnsi="Times New Roman" w:eastAsia="宋体" w:cs="Times New Roman"/>
                <w:kern w:val="0"/>
                <w:sz w:val="13"/>
                <w:szCs w:val="13"/>
                <w:highlight w:val="none"/>
                <w:lang w:eastAsia="zh-CN"/>
              </w:rPr>
            </w:pPr>
            <w:r>
              <w:rPr>
                <w:rFonts w:hint="default" w:ascii="Times New Roman" w:hAnsi="Times New Roman" w:eastAsia="宋体" w:cs="Times New Roman"/>
                <w:i w:val="0"/>
                <w:iCs w:val="0"/>
                <w:color w:val="000000"/>
                <w:kern w:val="0"/>
                <w:sz w:val="16"/>
                <w:szCs w:val="16"/>
                <w:u w:val="none"/>
                <w:lang w:val="en-US" w:eastAsia="zh-CN" w:bidi="ar"/>
              </w:rPr>
              <w:t>高转速电机定子片\450\中海油能源发展股份有限公司工程技术分公司</w:t>
            </w:r>
          </w:p>
        </w:tc>
        <w:tc>
          <w:tcPr>
            <w:tcW w:w="955" w:type="dxa"/>
            <w:vAlign w:val="center"/>
          </w:tcPr>
          <w:p>
            <w:pPr>
              <w:keepNext w:val="0"/>
              <w:keepLines w:val="0"/>
              <w:widowControl/>
              <w:suppressLineNumbers w:val="0"/>
              <w:jc w:val="center"/>
              <w:textAlignment w:val="center"/>
              <w:rPr>
                <w:rFonts w:hint="default" w:ascii="Times New Roman" w:hAnsi="Times New Roman" w:eastAsia="宋体" w:cs="Times New Roman"/>
                <w:kern w:val="0"/>
                <w:sz w:val="16"/>
                <w:szCs w:val="16"/>
                <w:highlight w:val="none"/>
                <w:lang w:val="en-US" w:eastAsia="en-US"/>
              </w:rPr>
            </w:pPr>
            <w:r>
              <w:rPr>
                <w:rFonts w:hint="default" w:ascii="Times New Roman" w:hAnsi="Times New Roman" w:eastAsia="宋体" w:cs="Times New Roman"/>
                <w:i w:val="0"/>
                <w:iCs w:val="0"/>
                <w:color w:val="000000"/>
                <w:kern w:val="0"/>
                <w:sz w:val="16"/>
                <w:szCs w:val="16"/>
                <w:highlight w:val="none"/>
                <w:u w:val="none"/>
                <w:lang w:val="en-US" w:eastAsia="zh-CN" w:bidi="ar"/>
              </w:rPr>
              <w:t xml:space="preserve"> 片</w:t>
            </w:r>
          </w:p>
        </w:tc>
        <w:tc>
          <w:tcPr>
            <w:tcW w:w="693" w:type="dxa"/>
          </w:tcPr>
          <w:p>
            <w:pPr>
              <w:spacing w:line="360" w:lineRule="auto"/>
              <w:jc w:val="center"/>
              <w:rPr>
                <w:rFonts w:hint="default" w:ascii="Times New Roman" w:hAnsi="Times New Roman" w:cs="Times New Roman" w:eastAsiaTheme="minorEastAsia"/>
                <w:kern w:val="0"/>
                <w:sz w:val="21"/>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668" w:type="dxa"/>
            <w:vAlign w:val="center"/>
          </w:tcPr>
          <w:p>
            <w:pPr>
              <w:spacing w:line="360" w:lineRule="auto"/>
              <w:jc w:val="center"/>
              <w:rPr>
                <w:rFonts w:hint="default" w:ascii="Times New Roman" w:hAnsi="Times New Roman" w:eastAsia="宋体" w:cs="Times New Roman"/>
                <w:kern w:val="0"/>
                <w:sz w:val="13"/>
                <w:szCs w:val="13"/>
                <w:highlight w:val="none"/>
                <w:lang w:eastAsia="zh-CN"/>
              </w:rPr>
            </w:pPr>
            <w:r>
              <w:rPr>
                <w:rFonts w:hint="default" w:ascii="Times New Roman" w:hAnsi="Times New Roman" w:eastAsia="宋体" w:cs="Times New Roman"/>
                <w:kern w:val="0"/>
                <w:sz w:val="13"/>
                <w:szCs w:val="13"/>
                <w:highlight w:val="none"/>
                <w:lang w:eastAsia="zh-CN"/>
              </w:rPr>
              <w:t>3</w:t>
            </w:r>
          </w:p>
        </w:tc>
        <w:tc>
          <w:tcPr>
            <w:tcW w:w="1083" w:type="dxa"/>
            <w:vAlign w:val="center"/>
          </w:tcPr>
          <w:p>
            <w:pPr>
              <w:keepNext w:val="0"/>
              <w:keepLines w:val="0"/>
              <w:widowControl/>
              <w:suppressLineNumbers w:val="0"/>
              <w:jc w:val="center"/>
              <w:textAlignment w:val="center"/>
              <w:rPr>
                <w:rFonts w:hint="default" w:ascii="Times New Roman" w:hAnsi="Times New Roman" w:eastAsia="宋体" w:cs="Times New Roman"/>
                <w:kern w:val="0"/>
                <w:sz w:val="13"/>
                <w:szCs w:val="13"/>
                <w:highlight w:val="none"/>
                <w:lang w:eastAsia="zh-CN"/>
              </w:rPr>
            </w:pPr>
            <w:r>
              <w:rPr>
                <w:rFonts w:hint="default" w:ascii="Times New Roman" w:hAnsi="Times New Roman" w:eastAsia="宋体" w:cs="Times New Roman"/>
                <w:i w:val="0"/>
                <w:iCs w:val="0"/>
                <w:color w:val="000000"/>
                <w:kern w:val="0"/>
                <w:sz w:val="16"/>
                <w:szCs w:val="16"/>
                <w:u w:val="none"/>
                <w:lang w:val="en-US" w:eastAsia="zh-CN" w:bidi="ar"/>
              </w:rPr>
              <w:t>84615617</w:t>
            </w:r>
          </w:p>
        </w:tc>
        <w:tc>
          <w:tcPr>
            <w:tcW w:w="1870" w:type="dxa"/>
            <w:vAlign w:val="center"/>
          </w:tcPr>
          <w:p>
            <w:pPr>
              <w:widowControl/>
              <w:jc w:val="center"/>
              <w:textAlignment w:val="center"/>
              <w:rPr>
                <w:rFonts w:hint="default" w:ascii="Times New Roman" w:hAnsi="Times New Roman" w:eastAsia="宋体" w:cs="Times New Roman"/>
                <w:kern w:val="0"/>
                <w:sz w:val="15"/>
                <w:szCs w:val="15"/>
                <w:highlight w:val="none"/>
                <w:lang w:eastAsia="zh-CN"/>
              </w:rPr>
            </w:pPr>
            <w:r>
              <w:rPr>
                <w:rFonts w:hint="default" w:ascii="Times New Roman" w:hAnsi="Times New Roman" w:eastAsia="宋体" w:cs="Times New Roman"/>
                <w:color w:val="000000"/>
                <w:kern w:val="0"/>
                <w:sz w:val="16"/>
                <w:szCs w:val="16"/>
                <w:highlight w:val="none"/>
                <w:lang w:eastAsia="zh-CN" w:bidi="ar"/>
              </w:rPr>
              <w:t>高转速电机转子总成</w:t>
            </w:r>
          </w:p>
        </w:tc>
        <w:tc>
          <w:tcPr>
            <w:tcW w:w="3162" w:type="dxa"/>
            <w:vAlign w:val="center"/>
          </w:tcPr>
          <w:p>
            <w:pPr>
              <w:keepNext w:val="0"/>
              <w:keepLines w:val="0"/>
              <w:widowControl/>
              <w:suppressLineNumbers w:val="0"/>
              <w:jc w:val="both"/>
              <w:textAlignment w:val="center"/>
              <w:rPr>
                <w:rFonts w:hint="default" w:ascii="Times New Roman" w:hAnsi="Times New Roman" w:eastAsia="宋体" w:cs="Times New Roman"/>
                <w:kern w:val="0"/>
                <w:sz w:val="13"/>
                <w:szCs w:val="13"/>
                <w:highlight w:val="none"/>
                <w:lang w:eastAsia="zh-CN"/>
              </w:rPr>
            </w:pPr>
            <w:r>
              <w:rPr>
                <w:rFonts w:hint="default" w:ascii="Times New Roman" w:hAnsi="Times New Roman" w:eastAsia="宋体" w:cs="Times New Roman"/>
                <w:i w:val="0"/>
                <w:iCs w:val="0"/>
                <w:color w:val="000000"/>
                <w:kern w:val="0"/>
                <w:sz w:val="16"/>
                <w:szCs w:val="16"/>
                <w:u w:val="none"/>
                <w:lang w:val="en-US" w:eastAsia="zh-CN" w:bidi="ar"/>
              </w:rPr>
              <w:t>高转速电机转子总成\562\中海油能源发展股份有限公司工程技术分公司</w:t>
            </w:r>
          </w:p>
        </w:tc>
        <w:tc>
          <w:tcPr>
            <w:tcW w:w="955" w:type="dxa"/>
            <w:vAlign w:val="center"/>
          </w:tcPr>
          <w:p>
            <w:pPr>
              <w:keepNext w:val="0"/>
              <w:keepLines w:val="0"/>
              <w:widowControl/>
              <w:suppressLineNumbers w:val="0"/>
              <w:jc w:val="center"/>
              <w:textAlignment w:val="center"/>
              <w:rPr>
                <w:rFonts w:hint="default" w:ascii="Times New Roman" w:hAnsi="Times New Roman" w:eastAsia="宋体" w:cs="Times New Roman"/>
                <w:kern w:val="0"/>
                <w:sz w:val="16"/>
                <w:szCs w:val="16"/>
                <w:highlight w:val="none"/>
                <w:lang w:eastAsia="zh-CN"/>
              </w:rPr>
            </w:pPr>
            <w:r>
              <w:rPr>
                <w:rFonts w:hint="default" w:ascii="Times New Roman" w:hAnsi="Times New Roman" w:eastAsia="宋体" w:cs="Times New Roman"/>
                <w:i w:val="0"/>
                <w:iCs w:val="0"/>
                <w:color w:val="000000"/>
                <w:kern w:val="0"/>
                <w:sz w:val="16"/>
                <w:szCs w:val="16"/>
                <w:highlight w:val="none"/>
                <w:u w:val="none"/>
                <w:lang w:val="en-US" w:eastAsia="zh-CN" w:bidi="ar"/>
              </w:rPr>
              <w:t>节</w:t>
            </w:r>
          </w:p>
        </w:tc>
        <w:tc>
          <w:tcPr>
            <w:tcW w:w="693" w:type="dxa"/>
          </w:tcPr>
          <w:p>
            <w:pPr>
              <w:spacing w:line="360" w:lineRule="auto"/>
              <w:jc w:val="center"/>
              <w:rPr>
                <w:rFonts w:hint="default" w:ascii="Times New Roman" w:hAnsi="Times New Roman" w:cs="Times New Roman" w:eastAsiaTheme="minorEastAsia"/>
                <w:kern w:val="0"/>
                <w:sz w:val="21"/>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668" w:type="dxa"/>
            <w:vAlign w:val="center"/>
          </w:tcPr>
          <w:p>
            <w:pPr>
              <w:spacing w:line="360" w:lineRule="auto"/>
              <w:jc w:val="center"/>
              <w:rPr>
                <w:rFonts w:hint="default" w:ascii="Times New Roman" w:hAnsi="Times New Roman" w:eastAsia="宋体" w:cs="Times New Roman"/>
                <w:kern w:val="0"/>
                <w:sz w:val="13"/>
                <w:szCs w:val="13"/>
                <w:highlight w:val="none"/>
                <w:lang w:eastAsia="zh-CN"/>
              </w:rPr>
            </w:pPr>
            <w:r>
              <w:rPr>
                <w:rFonts w:hint="default" w:ascii="Times New Roman" w:hAnsi="Times New Roman" w:eastAsia="宋体" w:cs="Times New Roman"/>
                <w:kern w:val="0"/>
                <w:sz w:val="13"/>
                <w:szCs w:val="13"/>
                <w:highlight w:val="none"/>
                <w:lang w:eastAsia="zh-CN"/>
              </w:rPr>
              <w:t>4</w:t>
            </w:r>
          </w:p>
        </w:tc>
        <w:tc>
          <w:tcPr>
            <w:tcW w:w="1083" w:type="dxa"/>
            <w:vAlign w:val="center"/>
          </w:tcPr>
          <w:p>
            <w:pPr>
              <w:keepNext w:val="0"/>
              <w:keepLines w:val="0"/>
              <w:widowControl/>
              <w:suppressLineNumbers w:val="0"/>
              <w:jc w:val="center"/>
              <w:textAlignment w:val="center"/>
              <w:rPr>
                <w:rFonts w:hint="default" w:ascii="Times New Roman" w:hAnsi="Times New Roman" w:eastAsia="宋体" w:cs="Times New Roman"/>
                <w:kern w:val="0"/>
                <w:sz w:val="13"/>
                <w:szCs w:val="13"/>
                <w:highlight w:val="none"/>
                <w:lang w:eastAsia="zh-CN"/>
              </w:rPr>
            </w:pPr>
            <w:r>
              <w:rPr>
                <w:rFonts w:hint="default" w:ascii="Times New Roman" w:hAnsi="Times New Roman" w:eastAsia="宋体" w:cs="Times New Roman"/>
                <w:i w:val="0"/>
                <w:iCs w:val="0"/>
                <w:color w:val="000000"/>
                <w:kern w:val="0"/>
                <w:sz w:val="16"/>
                <w:szCs w:val="16"/>
                <w:u w:val="none"/>
                <w:lang w:val="en-US" w:eastAsia="zh-CN" w:bidi="ar"/>
              </w:rPr>
              <w:t>84615618</w:t>
            </w:r>
          </w:p>
        </w:tc>
        <w:tc>
          <w:tcPr>
            <w:tcW w:w="1870" w:type="dxa"/>
            <w:vAlign w:val="center"/>
          </w:tcPr>
          <w:p>
            <w:pPr>
              <w:widowControl/>
              <w:jc w:val="center"/>
              <w:textAlignment w:val="center"/>
              <w:rPr>
                <w:rFonts w:hint="default" w:ascii="Times New Roman" w:hAnsi="Times New Roman" w:eastAsia="宋体" w:cs="Times New Roman"/>
                <w:kern w:val="0"/>
                <w:sz w:val="15"/>
                <w:szCs w:val="15"/>
                <w:highlight w:val="none"/>
                <w:lang w:eastAsia="zh-CN"/>
              </w:rPr>
            </w:pPr>
            <w:r>
              <w:rPr>
                <w:rFonts w:hint="default" w:ascii="Times New Roman" w:hAnsi="Times New Roman" w:eastAsia="宋体" w:cs="Times New Roman"/>
                <w:color w:val="000000"/>
                <w:kern w:val="0"/>
                <w:sz w:val="16"/>
                <w:szCs w:val="16"/>
                <w:highlight w:val="none"/>
                <w:lang w:eastAsia="zh-CN" w:bidi="ar"/>
              </w:rPr>
              <w:t>高转速电机定子片</w:t>
            </w:r>
          </w:p>
        </w:tc>
        <w:tc>
          <w:tcPr>
            <w:tcW w:w="3162" w:type="dxa"/>
            <w:vAlign w:val="center"/>
          </w:tcPr>
          <w:p>
            <w:pPr>
              <w:keepNext w:val="0"/>
              <w:keepLines w:val="0"/>
              <w:widowControl/>
              <w:suppressLineNumbers w:val="0"/>
              <w:jc w:val="both"/>
              <w:textAlignment w:val="center"/>
              <w:rPr>
                <w:rFonts w:hint="default" w:ascii="Times New Roman" w:hAnsi="Times New Roman" w:eastAsia="宋体" w:cs="Times New Roman"/>
                <w:kern w:val="0"/>
                <w:sz w:val="13"/>
                <w:szCs w:val="13"/>
                <w:highlight w:val="none"/>
                <w:lang w:eastAsia="zh-CN"/>
              </w:rPr>
            </w:pPr>
            <w:r>
              <w:rPr>
                <w:rFonts w:hint="default" w:ascii="Times New Roman" w:hAnsi="Times New Roman" w:eastAsia="宋体" w:cs="Times New Roman"/>
                <w:i w:val="0"/>
                <w:iCs w:val="0"/>
                <w:color w:val="000000"/>
                <w:kern w:val="0"/>
                <w:sz w:val="16"/>
                <w:szCs w:val="16"/>
                <w:u w:val="none"/>
                <w:lang w:val="en-US" w:eastAsia="zh-CN" w:bidi="ar"/>
              </w:rPr>
              <w:t>高转速电机定子片\562\中海油能源发展股份有限公司工程技术分公司</w:t>
            </w:r>
          </w:p>
        </w:tc>
        <w:tc>
          <w:tcPr>
            <w:tcW w:w="955" w:type="dxa"/>
            <w:vAlign w:val="center"/>
          </w:tcPr>
          <w:p>
            <w:pPr>
              <w:keepNext w:val="0"/>
              <w:keepLines w:val="0"/>
              <w:widowControl/>
              <w:suppressLineNumbers w:val="0"/>
              <w:jc w:val="center"/>
              <w:textAlignment w:val="center"/>
              <w:rPr>
                <w:rFonts w:hint="default" w:ascii="Times New Roman" w:hAnsi="Times New Roman" w:eastAsia="宋体" w:cs="Times New Roman"/>
                <w:kern w:val="0"/>
                <w:sz w:val="16"/>
                <w:szCs w:val="16"/>
                <w:highlight w:val="none"/>
                <w:lang w:eastAsia="zh-CN"/>
              </w:rPr>
            </w:pPr>
            <w:r>
              <w:rPr>
                <w:rFonts w:hint="default" w:ascii="Times New Roman" w:hAnsi="Times New Roman" w:eastAsia="宋体" w:cs="Times New Roman"/>
                <w:i w:val="0"/>
                <w:iCs w:val="0"/>
                <w:color w:val="000000"/>
                <w:kern w:val="0"/>
                <w:sz w:val="16"/>
                <w:szCs w:val="16"/>
                <w:highlight w:val="none"/>
                <w:u w:val="none"/>
                <w:lang w:val="en-US" w:eastAsia="zh-CN" w:bidi="ar"/>
              </w:rPr>
              <w:t xml:space="preserve"> 片</w:t>
            </w:r>
          </w:p>
        </w:tc>
        <w:tc>
          <w:tcPr>
            <w:tcW w:w="693" w:type="dxa"/>
          </w:tcPr>
          <w:p>
            <w:pPr>
              <w:spacing w:line="360" w:lineRule="auto"/>
              <w:jc w:val="center"/>
              <w:rPr>
                <w:rFonts w:hint="default" w:ascii="Times New Roman" w:hAnsi="Times New Roman" w:cs="Times New Roman" w:eastAsiaTheme="minorEastAsia"/>
                <w:kern w:val="0"/>
                <w:sz w:val="21"/>
                <w:szCs w:val="21"/>
                <w:highlight w:val="none"/>
                <w:lang w:eastAsia="zh-CN"/>
              </w:rPr>
            </w:pPr>
          </w:p>
        </w:tc>
      </w:tr>
    </w:tbl>
    <w:p>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宋体" w:cs="Times New Roman"/>
          <w:color w:val="0D0D0D"/>
          <w:kern w:val="0"/>
          <w:sz w:val="21"/>
          <w:szCs w:val="18"/>
          <w:highlight w:val="none"/>
          <w:lang w:eastAsia="zh-CN"/>
        </w:rPr>
      </w:pPr>
      <w:r>
        <w:rPr>
          <w:rFonts w:hint="default" w:ascii="Times New Roman" w:hAnsi="Times New Roman" w:eastAsia="宋体" w:cs="Times New Roman"/>
          <w:color w:val="0D0D0D"/>
          <w:kern w:val="0"/>
          <w:sz w:val="21"/>
          <w:szCs w:val="18"/>
          <w:highlight w:val="none"/>
          <w:lang w:eastAsia="zh-CN"/>
        </w:rPr>
        <w:t>450系列高转速潜油永磁电机转子-技术要求</w:t>
      </w:r>
    </w:p>
    <w:p>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宋体" w:cs="Times New Roman"/>
          <w:color w:val="0D0D0D"/>
          <w:sz w:val="21"/>
          <w:szCs w:val="18"/>
          <w:highlight w:val="none"/>
          <w:lang w:val="en-GB" w:eastAsia="zh-CN" w:bidi="ar"/>
        </w:rPr>
      </w:pPr>
      <w:r>
        <w:rPr>
          <w:rFonts w:hint="default" w:ascii="Times New Roman" w:hAnsi="Times New Roman" w:eastAsia="宋体" w:cs="Times New Roman"/>
          <w:color w:val="0D0D0D"/>
          <w:sz w:val="21"/>
          <w:szCs w:val="18"/>
          <w:highlight w:val="none"/>
          <w:lang w:val="en-GB" w:eastAsia="zh-CN" w:bidi="ar"/>
        </w:rPr>
        <w:t>转子总成外径：50.63</w:t>
      </w:r>
      <w:r>
        <w:rPr>
          <w:rFonts w:hint="default" w:ascii="Times New Roman" w:hAnsi="Times New Roman" w:eastAsia="宋体" w:cs="Times New Roman"/>
          <w:color w:val="0D0D0D"/>
          <w:sz w:val="21"/>
          <w:szCs w:val="18"/>
          <w:highlight w:val="none"/>
          <w:lang w:val="en-GB" w:eastAsia="zh-CN" w:bidi="ar"/>
          <w:eastAsianLayout w:id="27" w:combine="1"/>
        </w:rPr>
        <w:t xml:space="preserve"> +0.02 -0.03</w:t>
      </w:r>
      <w:r>
        <w:rPr>
          <w:rFonts w:hint="default" w:ascii="Times New Roman" w:hAnsi="Times New Roman" w:eastAsia="宋体" w:cs="Times New Roman"/>
          <w:color w:val="0D0D0D"/>
          <w:sz w:val="21"/>
          <w:szCs w:val="18"/>
          <w:highlight w:val="none"/>
          <w:lang w:val="en-GB" w:eastAsia="zh-CN" w:bidi="ar"/>
        </w:rPr>
        <w:t>mm</w:t>
      </w:r>
    </w:p>
    <w:p>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宋体" w:cs="Times New Roman"/>
          <w:color w:val="0D0D0D"/>
          <w:sz w:val="21"/>
          <w:szCs w:val="18"/>
          <w:highlight w:val="none"/>
          <w:lang w:val="en-GB" w:eastAsia="zh-CN" w:bidi="ar"/>
        </w:rPr>
      </w:pPr>
      <w:r>
        <w:rPr>
          <w:rFonts w:hint="default" w:ascii="Times New Roman" w:hAnsi="Times New Roman" w:eastAsia="宋体" w:cs="Times New Roman"/>
          <w:color w:val="0D0D0D"/>
          <w:sz w:val="21"/>
          <w:szCs w:val="18"/>
          <w:highlight w:val="none"/>
          <w:lang w:val="en-GB" w:eastAsia="zh-CN" w:bidi="ar"/>
        </w:rPr>
        <w:t xml:space="preserve">转子总成内径：25.00 </w:t>
      </w:r>
      <w:r>
        <w:rPr>
          <w:rFonts w:hint="default" w:ascii="Times New Roman" w:hAnsi="Times New Roman" w:eastAsia="宋体" w:cs="Times New Roman"/>
          <w:color w:val="0D0D0D"/>
          <w:sz w:val="21"/>
          <w:szCs w:val="18"/>
          <w:highlight w:val="none"/>
          <w:lang w:val="en-GB" w:eastAsia="zh-CN" w:bidi="ar"/>
          <w:eastAsianLayout w:id="28" w:combine="1"/>
        </w:rPr>
        <w:t>+0.07 +0.03</w:t>
      </w:r>
      <w:r>
        <w:rPr>
          <w:rFonts w:hint="default" w:ascii="Times New Roman" w:hAnsi="Times New Roman" w:eastAsia="宋体" w:cs="Times New Roman"/>
          <w:color w:val="0D0D0D"/>
          <w:sz w:val="21"/>
          <w:szCs w:val="18"/>
          <w:highlight w:val="none"/>
          <w:lang w:val="en-GB" w:eastAsia="zh-CN" w:bidi="ar"/>
        </w:rPr>
        <w:t>mm</w:t>
      </w:r>
    </w:p>
    <w:p>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宋体" w:cs="Times New Roman"/>
          <w:color w:val="0D0D0D"/>
          <w:sz w:val="21"/>
          <w:szCs w:val="18"/>
          <w:highlight w:val="none"/>
          <w:lang w:val="en-GB" w:eastAsia="zh-CN" w:bidi="ar"/>
        </w:rPr>
      </w:pPr>
      <w:r>
        <w:rPr>
          <w:rFonts w:hint="default" w:ascii="Times New Roman" w:hAnsi="Times New Roman" w:eastAsia="宋体" w:cs="Times New Roman"/>
          <w:color w:val="0D0D0D"/>
          <w:sz w:val="21"/>
          <w:szCs w:val="18"/>
          <w:highlight w:val="none"/>
          <w:lang w:val="en-GB" w:eastAsia="zh-CN" w:bidi="ar"/>
        </w:rPr>
        <w:t xml:space="preserve">转子总长：346 </w:t>
      </w:r>
      <w:r>
        <w:rPr>
          <w:rFonts w:hint="default" w:ascii="Times New Roman" w:hAnsi="Times New Roman" w:eastAsia="宋体" w:cs="Times New Roman"/>
          <w:color w:val="0D0D0D"/>
          <w:sz w:val="21"/>
          <w:szCs w:val="18"/>
          <w:highlight w:val="none"/>
          <w:lang w:val="en-GB" w:eastAsia="zh-CN" w:bidi="ar"/>
          <w:eastAsianLayout w:id="29" w:combine="1"/>
        </w:rPr>
        <w:t>+0.05 0</w:t>
      </w:r>
      <w:r>
        <w:rPr>
          <w:rFonts w:hint="default" w:ascii="Times New Roman" w:hAnsi="Times New Roman" w:eastAsia="宋体" w:cs="Times New Roman"/>
          <w:color w:val="0D0D0D"/>
          <w:sz w:val="21"/>
          <w:szCs w:val="18"/>
          <w:highlight w:val="none"/>
          <w:lang w:val="en-GB" w:eastAsia="zh-CN" w:bidi="ar"/>
        </w:rPr>
        <w:t>mm</w:t>
      </w:r>
    </w:p>
    <w:p>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宋体" w:cs="Times New Roman"/>
          <w:color w:val="0D0D0D"/>
          <w:sz w:val="21"/>
          <w:szCs w:val="18"/>
          <w:highlight w:val="none"/>
          <w:lang w:val="en-GB" w:eastAsia="zh-CN" w:bidi="ar"/>
        </w:rPr>
      </w:pPr>
      <w:r>
        <w:rPr>
          <w:rFonts w:hint="default" w:ascii="Times New Roman" w:hAnsi="Times New Roman" w:eastAsia="宋体" w:cs="Times New Roman"/>
          <w:color w:val="0D0D0D"/>
          <w:sz w:val="21"/>
          <w:szCs w:val="18"/>
          <w:highlight w:val="none"/>
          <w:lang w:val="en-GB" w:eastAsia="zh-CN" w:bidi="ar"/>
        </w:rPr>
        <w:t>转子铁芯要求采用自叠铆工艺冲压叠铆完成，硅钢片材质为50W470；</w:t>
      </w:r>
    </w:p>
    <w:p>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宋体" w:cs="Times New Roman"/>
          <w:color w:val="0D0D0D"/>
          <w:sz w:val="21"/>
          <w:szCs w:val="18"/>
          <w:highlight w:val="none"/>
          <w:lang w:val="en-GB" w:eastAsia="zh-CN" w:bidi="ar"/>
        </w:rPr>
      </w:pPr>
      <w:r>
        <w:rPr>
          <w:rFonts w:hint="default" w:ascii="Times New Roman" w:hAnsi="Times New Roman" w:eastAsia="宋体" w:cs="Times New Roman"/>
          <w:color w:val="0D0D0D"/>
          <w:sz w:val="21"/>
          <w:szCs w:val="18"/>
          <w:highlight w:val="none"/>
          <w:lang w:val="en-GB" w:eastAsia="zh-CN" w:bidi="ar"/>
        </w:rPr>
        <w:t>加工成型的转子铁芯要求垂直度0.08mm，内外径同轴度0.05mm；</w:t>
      </w:r>
    </w:p>
    <w:p>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00" w:firstLineChars="200"/>
        <w:jc w:val="left"/>
        <w:textAlignment w:val="auto"/>
        <w:rPr>
          <w:rFonts w:hint="default" w:ascii="Times New Roman" w:hAnsi="Times New Roman" w:eastAsia="宋体" w:cs="Times New Roman"/>
          <w:color w:val="0D0D0D"/>
          <w:sz w:val="21"/>
          <w:szCs w:val="18"/>
          <w:highlight w:val="none"/>
          <w:lang w:val="en-GB" w:eastAsia="zh-CN" w:bidi="ar"/>
        </w:rPr>
      </w:pPr>
      <w:r>
        <w:rPr>
          <w:rFonts w:hint="default" w:ascii="Segoe UI Symbol" w:hAnsi="Segoe UI Symbol" w:eastAsia="宋体" w:cs="Segoe UI Symbol"/>
          <w:sz w:val="20"/>
          <w:szCs w:val="20"/>
          <w:lang w:val="en-GB" w:eastAsia="zh-CN" w:bidi="ar"/>
        </w:rPr>
        <w:t>★</w:t>
      </w:r>
      <w:r>
        <w:rPr>
          <w:rFonts w:hint="default" w:ascii="Times New Roman" w:hAnsi="Times New Roman" w:eastAsia="宋体" w:cs="Times New Roman"/>
          <w:color w:val="0D0D0D"/>
          <w:sz w:val="21"/>
          <w:szCs w:val="18"/>
          <w:highlight w:val="none"/>
          <w:lang w:val="en-GB" w:eastAsia="zh-CN" w:bidi="ar"/>
        </w:rPr>
        <w:t>磁钢要求：采用4极内嵌式设计，磁钢等级为N40EH，要求有防腐镀层，镀层方式为NiCuNi，交货态为预充磁，充磁后剩磁要求在12.5k-12.8k高斯；</w:t>
      </w:r>
    </w:p>
    <w:p>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00" w:firstLineChars="200"/>
        <w:jc w:val="left"/>
        <w:textAlignment w:val="auto"/>
        <w:rPr>
          <w:rFonts w:hint="default" w:ascii="Times New Roman" w:hAnsi="Times New Roman" w:eastAsia="宋体" w:cs="Times New Roman"/>
          <w:color w:val="0D0D0D"/>
          <w:sz w:val="21"/>
          <w:szCs w:val="18"/>
          <w:highlight w:val="none"/>
          <w:lang w:val="en-GB" w:eastAsia="zh-CN" w:bidi="ar"/>
        </w:rPr>
      </w:pPr>
      <w:r>
        <w:rPr>
          <w:rFonts w:hint="default" w:ascii="Times New Roman" w:hAnsi="Times New Roman" w:eastAsia="宋体" w:cs="Times New Roman"/>
          <w:sz w:val="20"/>
          <w:szCs w:val="20"/>
          <w:highlight w:val="none"/>
          <w:lang w:val="en-GB" w:eastAsia="zh-CN" w:bidi="ar"/>
        </w:rPr>
        <w:t>高转速潜油永磁电机转子总成送货时随物资配套装配所需数量的转子扶正轴承。</w:t>
      </w:r>
    </w:p>
    <w:p>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宋体" w:cs="Times New Roman"/>
          <w:color w:val="0D0D0D"/>
          <w:sz w:val="21"/>
          <w:szCs w:val="18"/>
          <w:highlight w:val="none"/>
          <w:lang w:val="en-GB" w:eastAsia="zh-CN" w:bidi="ar"/>
        </w:rPr>
      </w:pPr>
      <w:r>
        <w:rPr>
          <w:rFonts w:hint="default" w:ascii="Times New Roman" w:hAnsi="Times New Roman" w:eastAsia="宋体" w:cs="Times New Roman"/>
          <w:color w:val="0D0D0D"/>
          <w:sz w:val="21"/>
          <w:szCs w:val="18"/>
          <w:highlight w:val="none"/>
          <w:lang w:val="en-GB" w:eastAsia="zh-CN" w:bidi="ar"/>
        </w:rPr>
        <w:t>质量及可追溯要求：转子总成采用序列号管理，且在转子表面有激光打标的序列号，禁止采用机械打标方式。转子铁芯及磁钢要求有批次号管理，且可在需要时进行追溯至生产日期及员工姓名；</w:t>
      </w:r>
    </w:p>
    <w:p>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宋体" w:cs="Times New Roman"/>
          <w:b/>
          <w:bCs/>
          <w:color w:val="0D0D0D"/>
          <w:sz w:val="21"/>
          <w:szCs w:val="18"/>
          <w:highlight w:val="none"/>
          <w:lang w:val="en-GB" w:eastAsia="zh-CN" w:bidi="ar"/>
        </w:rPr>
      </w:pPr>
      <w:r>
        <w:rPr>
          <w:rFonts w:hint="default" w:ascii="Times New Roman" w:hAnsi="Times New Roman" w:eastAsia="宋体" w:cs="Times New Roman"/>
          <w:color w:val="0D0D0D"/>
          <w:sz w:val="21"/>
          <w:szCs w:val="18"/>
          <w:highlight w:val="none"/>
          <w:lang w:val="en-GB" w:eastAsia="zh-CN" w:bidi="ar"/>
        </w:rPr>
        <w:t>高转速潜油永磁电机转子要求动平衡测试，动平衡质量级别不低于G6.3（6.3mm/s）。</w:t>
      </w:r>
    </w:p>
    <w:p>
      <w:pPr>
        <w:numPr>
          <w:ilvl w:val="0"/>
          <w:numId w:val="16"/>
        </w:numPr>
        <w:spacing w:line="360" w:lineRule="auto"/>
        <w:ind w:left="865" w:leftChars="0" w:firstLineChars="0"/>
        <w:jc w:val="both"/>
        <w:rPr>
          <w:rFonts w:hint="default" w:ascii="Times New Roman" w:hAnsi="Times New Roman" w:eastAsia="宋体" w:cs="Times New Roman"/>
          <w:color w:val="0D0D0D"/>
          <w:kern w:val="0"/>
          <w:sz w:val="21"/>
          <w:szCs w:val="18"/>
          <w:highlight w:val="none"/>
          <w:lang w:eastAsia="zh-CN"/>
        </w:rPr>
      </w:pPr>
      <w:r>
        <w:rPr>
          <w:rFonts w:hint="default" w:ascii="Times New Roman" w:hAnsi="Times New Roman" w:eastAsia="宋体" w:cs="Times New Roman"/>
          <w:color w:val="0D0D0D"/>
          <w:kern w:val="0"/>
          <w:sz w:val="21"/>
          <w:szCs w:val="18"/>
          <w:highlight w:val="none"/>
          <w:lang w:eastAsia="zh-CN"/>
        </w:rPr>
        <w:t>450系列高转速潜油永磁电机定子片技术要求</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default" w:ascii="Times New Roman" w:hAnsi="Times New Roman" w:eastAsia="宋体" w:cs="Times New Roman"/>
          <w:kern w:val="0"/>
          <w:sz w:val="21"/>
          <w:szCs w:val="21"/>
          <w:highlight w:val="none"/>
          <w:lang w:eastAsia="zh-CN"/>
        </w:rPr>
      </w:pPr>
      <w:r>
        <w:rPr>
          <w:rFonts w:hint="default" w:ascii="Times New Roman" w:hAnsi="Times New Roman" w:eastAsia="宋体" w:cs="Times New Roman"/>
          <w:kern w:val="0"/>
          <w:sz w:val="21"/>
          <w:szCs w:val="21"/>
          <w:highlight w:val="none"/>
          <w:lang w:eastAsia="zh-CN"/>
        </w:rPr>
        <w:t>按照加工图纸尺寸及公差要求对产品的外径、内径、角度、长度、倒角尺寸、粗糙度等进行100%全检，确保所有产品加工尺寸都在图纸尺寸范围内，图纸见附件四。</w:t>
      </w:r>
    </w:p>
    <w:p>
      <w:pPr>
        <w:numPr>
          <w:ilvl w:val="0"/>
          <w:numId w:val="16"/>
        </w:numPr>
        <w:spacing w:line="360" w:lineRule="auto"/>
        <w:ind w:left="865" w:leftChars="0" w:firstLineChars="0"/>
        <w:jc w:val="both"/>
        <w:rPr>
          <w:rFonts w:hint="default" w:ascii="Times New Roman" w:hAnsi="Times New Roman" w:eastAsia="宋体" w:cs="Times New Roman"/>
          <w:color w:val="0D0D0D"/>
          <w:kern w:val="0"/>
          <w:sz w:val="21"/>
          <w:szCs w:val="18"/>
          <w:highlight w:val="none"/>
          <w:lang w:eastAsia="zh-CN"/>
        </w:rPr>
      </w:pPr>
      <w:r>
        <w:rPr>
          <w:rFonts w:hint="default" w:ascii="Times New Roman" w:hAnsi="Times New Roman" w:eastAsia="宋体" w:cs="Times New Roman"/>
          <w:color w:val="0D0D0D"/>
          <w:kern w:val="0"/>
          <w:sz w:val="21"/>
          <w:szCs w:val="18"/>
          <w:highlight w:val="none"/>
          <w:lang w:eastAsia="zh-CN"/>
        </w:rPr>
        <w:t>562系列高转速潜油永磁电机转子-技术要求</w:t>
      </w:r>
    </w:p>
    <w:p>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firstLine="420" w:firstLineChars="200"/>
        <w:jc w:val="left"/>
        <w:textAlignment w:val="auto"/>
        <w:rPr>
          <w:rFonts w:hint="default" w:ascii="Times New Roman" w:hAnsi="Times New Roman" w:eastAsia="宋体" w:cs="Times New Roman"/>
          <w:color w:val="0D0D0D"/>
          <w:sz w:val="21"/>
          <w:szCs w:val="18"/>
          <w:highlight w:val="none"/>
          <w:lang w:val="en-GB" w:eastAsia="zh-CN" w:bidi="ar"/>
        </w:rPr>
      </w:pPr>
      <w:r>
        <w:rPr>
          <w:rFonts w:hint="default" w:ascii="Times New Roman" w:hAnsi="Times New Roman" w:eastAsia="宋体" w:cs="Times New Roman"/>
          <w:color w:val="0D0D0D"/>
          <w:sz w:val="21"/>
          <w:szCs w:val="18"/>
          <w:highlight w:val="none"/>
          <w:lang w:val="en-GB" w:eastAsia="zh-CN" w:bidi="ar"/>
        </w:rPr>
        <w:t>转子总成外径：68.9+0.05mm</w:t>
      </w:r>
    </w:p>
    <w:p>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firstLine="420" w:firstLineChars="200"/>
        <w:jc w:val="left"/>
        <w:textAlignment w:val="auto"/>
        <w:rPr>
          <w:rFonts w:hint="default" w:ascii="Times New Roman" w:hAnsi="Times New Roman" w:eastAsia="宋体" w:cs="Times New Roman"/>
          <w:color w:val="0D0D0D"/>
          <w:sz w:val="21"/>
          <w:szCs w:val="18"/>
          <w:highlight w:val="none"/>
          <w:lang w:val="en-GB" w:eastAsia="zh-CN" w:bidi="ar"/>
        </w:rPr>
      </w:pPr>
      <w:r>
        <w:rPr>
          <w:rFonts w:hint="default" w:ascii="Times New Roman" w:hAnsi="Times New Roman" w:eastAsia="宋体" w:cs="Times New Roman"/>
          <w:color w:val="0D0D0D"/>
          <w:sz w:val="21"/>
          <w:szCs w:val="18"/>
          <w:highlight w:val="none"/>
          <w:lang w:val="en-GB" w:eastAsia="zh-CN" w:bidi="ar"/>
        </w:rPr>
        <w:t xml:space="preserve">转子总成内径：35.02 </w:t>
      </w:r>
      <w:r>
        <w:rPr>
          <w:rFonts w:hint="default" w:ascii="Times New Roman" w:hAnsi="Times New Roman" w:eastAsia="宋体" w:cs="Times New Roman"/>
          <w:color w:val="0D0D0D"/>
          <w:sz w:val="21"/>
          <w:szCs w:val="18"/>
          <w:highlight w:val="none"/>
          <w:lang w:val="en-GB" w:eastAsia="zh-CN" w:bidi="ar"/>
          <w:eastAsianLayout w:id="30" w:combine="1"/>
        </w:rPr>
        <w:t>+0.05 0</w:t>
      </w:r>
      <w:r>
        <w:rPr>
          <w:rFonts w:hint="default" w:ascii="Times New Roman" w:hAnsi="Times New Roman" w:eastAsia="宋体" w:cs="Times New Roman"/>
          <w:color w:val="0D0D0D"/>
          <w:sz w:val="21"/>
          <w:szCs w:val="18"/>
          <w:highlight w:val="none"/>
          <w:lang w:val="en-GB" w:eastAsia="zh-CN" w:bidi="ar"/>
        </w:rPr>
        <w:t>mm</w:t>
      </w:r>
    </w:p>
    <w:p>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firstLine="420" w:firstLineChars="200"/>
        <w:jc w:val="left"/>
        <w:textAlignment w:val="auto"/>
        <w:rPr>
          <w:rFonts w:hint="default" w:ascii="Times New Roman" w:hAnsi="Times New Roman" w:eastAsia="宋体" w:cs="Times New Roman"/>
          <w:color w:val="0D0D0D"/>
          <w:sz w:val="21"/>
          <w:szCs w:val="18"/>
          <w:highlight w:val="none"/>
          <w:lang w:val="en-GB" w:eastAsia="zh-CN" w:bidi="ar"/>
        </w:rPr>
      </w:pPr>
      <w:r>
        <w:rPr>
          <w:rFonts w:hint="default" w:ascii="Times New Roman" w:hAnsi="Times New Roman" w:eastAsia="宋体" w:cs="Times New Roman"/>
          <w:color w:val="0D0D0D"/>
          <w:sz w:val="21"/>
          <w:szCs w:val="18"/>
          <w:highlight w:val="none"/>
          <w:lang w:val="en-GB" w:eastAsia="zh-CN" w:bidi="ar"/>
        </w:rPr>
        <w:t>转子总长：400 +0.15mm</w:t>
      </w:r>
    </w:p>
    <w:p>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firstLine="420" w:firstLineChars="200"/>
        <w:jc w:val="left"/>
        <w:textAlignment w:val="auto"/>
        <w:rPr>
          <w:rFonts w:hint="default" w:ascii="Times New Roman" w:hAnsi="Times New Roman" w:eastAsia="宋体" w:cs="Times New Roman"/>
          <w:color w:val="0D0D0D"/>
          <w:sz w:val="21"/>
          <w:szCs w:val="18"/>
          <w:highlight w:val="none"/>
          <w:lang w:val="en-GB" w:eastAsia="zh-CN" w:bidi="ar"/>
        </w:rPr>
      </w:pPr>
      <w:r>
        <w:rPr>
          <w:rFonts w:hint="default" w:ascii="Times New Roman" w:hAnsi="Times New Roman" w:eastAsia="宋体" w:cs="Times New Roman"/>
          <w:color w:val="0D0D0D"/>
          <w:sz w:val="21"/>
          <w:szCs w:val="18"/>
          <w:highlight w:val="none"/>
          <w:lang w:val="en-GB" w:eastAsia="zh-CN" w:bidi="ar"/>
        </w:rPr>
        <w:t>转子铁芯要求采用自叠铆工艺冲压叠铆完成，硅钢片材质为50W470；</w:t>
      </w:r>
    </w:p>
    <w:p>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firstLine="420" w:firstLineChars="200"/>
        <w:jc w:val="left"/>
        <w:textAlignment w:val="auto"/>
        <w:rPr>
          <w:rFonts w:hint="default" w:ascii="Times New Roman" w:hAnsi="Times New Roman" w:eastAsia="宋体" w:cs="Times New Roman"/>
          <w:color w:val="0D0D0D"/>
          <w:sz w:val="21"/>
          <w:szCs w:val="18"/>
          <w:highlight w:val="none"/>
          <w:lang w:val="en-GB" w:eastAsia="zh-CN" w:bidi="ar"/>
        </w:rPr>
      </w:pPr>
      <w:r>
        <w:rPr>
          <w:rFonts w:hint="default" w:ascii="Times New Roman" w:hAnsi="Times New Roman" w:eastAsia="宋体" w:cs="Times New Roman"/>
          <w:color w:val="0D0D0D"/>
          <w:sz w:val="21"/>
          <w:szCs w:val="18"/>
          <w:highlight w:val="none"/>
          <w:lang w:val="en-GB" w:eastAsia="zh-CN" w:bidi="ar"/>
        </w:rPr>
        <w:t>加工成型的转子铁芯要求垂直度0.08mm，内外径同轴度0.05mm；</w:t>
      </w:r>
    </w:p>
    <w:p>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firstLine="400" w:firstLineChars="200"/>
        <w:jc w:val="left"/>
        <w:textAlignment w:val="auto"/>
        <w:rPr>
          <w:rFonts w:hint="default" w:ascii="Times New Roman" w:hAnsi="Times New Roman" w:eastAsia="宋体" w:cs="Times New Roman"/>
          <w:color w:val="0D0D0D"/>
          <w:sz w:val="21"/>
          <w:szCs w:val="18"/>
          <w:highlight w:val="none"/>
          <w:lang w:val="en-GB" w:eastAsia="zh-CN" w:bidi="ar"/>
        </w:rPr>
      </w:pPr>
      <w:r>
        <w:rPr>
          <w:rFonts w:hint="default" w:ascii="Segoe UI Symbol" w:hAnsi="Segoe UI Symbol" w:eastAsia="宋体" w:cs="Segoe UI Symbol"/>
          <w:sz w:val="20"/>
          <w:szCs w:val="20"/>
          <w:lang w:val="en-GB" w:eastAsia="zh-CN" w:bidi="ar"/>
        </w:rPr>
        <w:t>★</w:t>
      </w:r>
      <w:r>
        <w:rPr>
          <w:rFonts w:hint="default" w:ascii="Times New Roman" w:hAnsi="Times New Roman" w:eastAsia="宋体" w:cs="Times New Roman"/>
          <w:color w:val="0D0D0D"/>
          <w:sz w:val="21"/>
          <w:szCs w:val="18"/>
          <w:highlight w:val="none"/>
          <w:lang w:val="en-GB" w:eastAsia="zh-CN" w:bidi="ar"/>
        </w:rPr>
        <w:t>磁钢要求：采用4极内嵌式设计，磁钢等级为N40EH，要求有防腐镀层，镀层方式为NiCuNi，交货态为预充磁，充磁后剩磁要求在12.5k-12.8k高斯；</w:t>
      </w:r>
    </w:p>
    <w:p>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firstLine="420" w:firstLineChars="200"/>
        <w:jc w:val="left"/>
        <w:textAlignment w:val="auto"/>
        <w:rPr>
          <w:rFonts w:hint="default" w:ascii="Times New Roman" w:hAnsi="Times New Roman" w:eastAsia="宋体" w:cs="Times New Roman"/>
          <w:color w:val="0D0D0D"/>
          <w:sz w:val="21"/>
          <w:szCs w:val="18"/>
          <w:highlight w:val="none"/>
          <w:lang w:val="en-GB" w:eastAsia="zh-CN" w:bidi="ar"/>
        </w:rPr>
      </w:pPr>
      <w:r>
        <w:rPr>
          <w:rFonts w:hint="default" w:ascii="Times New Roman" w:hAnsi="Times New Roman" w:eastAsia="宋体" w:cs="Times New Roman"/>
          <w:color w:val="0D0D0D"/>
          <w:sz w:val="21"/>
          <w:szCs w:val="18"/>
          <w:highlight w:val="none"/>
          <w:lang w:val="en-GB" w:eastAsia="zh-CN" w:bidi="ar"/>
        </w:rPr>
        <w:t>高转速潜油永磁电机转子送货时随物资配套装配所需数量的转子扶正轴承。</w:t>
      </w:r>
    </w:p>
    <w:p>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eastAsia="宋体" w:cs="Times New Roman"/>
          <w:color w:val="0D0D0D"/>
          <w:sz w:val="21"/>
          <w:szCs w:val="18"/>
          <w:highlight w:val="none"/>
          <w:lang w:val="en-GB" w:eastAsia="zh-CN" w:bidi="ar"/>
        </w:rPr>
      </w:pPr>
      <w:r>
        <w:rPr>
          <w:rFonts w:hint="default" w:ascii="Times New Roman" w:hAnsi="Times New Roman" w:eastAsia="宋体" w:cs="Times New Roman"/>
          <w:color w:val="0D0D0D"/>
          <w:sz w:val="21"/>
          <w:szCs w:val="18"/>
          <w:highlight w:val="none"/>
          <w:lang w:val="en-GB" w:eastAsia="zh-CN" w:bidi="ar"/>
        </w:rPr>
        <w:t>质量及可追溯要求：转子总成采用序列号管理，且在转子表面有激光打标的序列号，禁止采用机械打标方式。转子铁芯及磁钢要求有批次号管理，且可在需要时进行追溯至生产日期及员工姓名；</w:t>
      </w:r>
    </w:p>
    <w:p>
      <w:pPr>
        <w:widowControl w:val="0"/>
        <w:numPr>
          <w:ilvl w:val="0"/>
          <w:numId w:val="18"/>
        </w:numPr>
        <w:overflowPunct w:val="0"/>
        <w:autoSpaceDE w:val="0"/>
        <w:autoSpaceDN w:val="0"/>
        <w:adjustRightInd w:val="0"/>
        <w:spacing w:line="360" w:lineRule="auto"/>
        <w:ind w:left="785" w:hanging="360" w:firstLineChars="0"/>
        <w:jc w:val="both"/>
        <w:textAlignment w:val="baseline"/>
        <w:rPr>
          <w:rFonts w:hint="default" w:ascii="Times New Roman" w:hAnsi="Times New Roman" w:eastAsia="宋体" w:cs="Times New Roman"/>
          <w:b/>
          <w:bCs/>
          <w:color w:val="0D0D0D"/>
          <w:sz w:val="21"/>
          <w:szCs w:val="18"/>
          <w:highlight w:val="none"/>
          <w:lang w:val="en-GB" w:eastAsia="zh-CN" w:bidi="ar"/>
        </w:rPr>
      </w:pPr>
      <w:r>
        <w:rPr>
          <w:rFonts w:hint="default" w:ascii="Times New Roman" w:hAnsi="Times New Roman" w:eastAsia="宋体" w:cs="Times New Roman"/>
          <w:color w:val="0D0D0D"/>
          <w:sz w:val="21"/>
          <w:szCs w:val="18"/>
          <w:highlight w:val="none"/>
          <w:lang w:val="en-GB" w:eastAsia="zh-CN" w:bidi="ar"/>
        </w:rPr>
        <w:t>高转速潜油永磁电机转子要求动平衡测试，动平衡质量级别不低于G6.3（6.3mm/s）。</w:t>
      </w:r>
    </w:p>
    <w:p>
      <w:pPr>
        <w:numPr>
          <w:ilvl w:val="0"/>
          <w:numId w:val="16"/>
        </w:numPr>
        <w:spacing w:line="360" w:lineRule="auto"/>
        <w:ind w:left="865" w:leftChars="0" w:firstLineChars="0"/>
        <w:jc w:val="both"/>
        <w:rPr>
          <w:rFonts w:hint="default" w:ascii="Times New Roman" w:hAnsi="Times New Roman" w:eastAsia="宋体" w:cs="Times New Roman"/>
          <w:color w:val="0D0D0D"/>
          <w:kern w:val="0"/>
          <w:sz w:val="21"/>
          <w:szCs w:val="18"/>
          <w:highlight w:val="none"/>
          <w:lang w:eastAsia="zh-CN"/>
        </w:rPr>
      </w:pPr>
      <w:r>
        <w:rPr>
          <w:rFonts w:hint="default" w:ascii="Times New Roman" w:hAnsi="Times New Roman" w:eastAsia="宋体" w:cs="Times New Roman"/>
          <w:color w:val="0D0D0D"/>
          <w:kern w:val="0"/>
          <w:sz w:val="21"/>
          <w:szCs w:val="18"/>
          <w:highlight w:val="none"/>
          <w:lang w:eastAsia="zh-CN"/>
        </w:rPr>
        <w:t>562系列高转速潜油永磁电机定子片技术要求。</w:t>
      </w:r>
    </w:p>
    <w:p>
      <w:pPr>
        <w:pageBreakBefore w:val="0"/>
        <w:widowControl w:val="0"/>
        <w:numPr>
          <w:ilvl w:val="0"/>
          <w:numId w:val="0"/>
        </w:numPr>
        <w:kinsoku/>
        <w:wordWrap/>
        <w:overflowPunct/>
        <w:topLinePunct w:val="0"/>
        <w:autoSpaceDE/>
        <w:autoSpaceDN/>
        <w:bidi w:val="0"/>
        <w:adjustRightInd/>
        <w:spacing w:line="360" w:lineRule="auto"/>
        <w:ind w:left="0" w:leftChars="0" w:firstLine="400" w:firstLineChars="200"/>
        <w:jc w:val="left"/>
        <w:textAlignment w:val="auto"/>
        <w:rPr>
          <w:rFonts w:hint="default" w:ascii="Times New Roman" w:hAnsi="Times New Roman" w:eastAsia="宋体" w:cs="Times New Roman"/>
          <w:color w:val="auto"/>
          <w:kern w:val="0"/>
          <w:sz w:val="20"/>
          <w:szCs w:val="20"/>
          <w:highlight w:val="none"/>
          <w:lang w:val="en-US" w:eastAsia="zh-CN"/>
        </w:rPr>
      </w:pPr>
      <w:r>
        <w:rPr>
          <w:rFonts w:hint="default" w:ascii="Times New Roman" w:hAnsi="Times New Roman" w:eastAsia="宋体" w:cs="Times New Roman"/>
          <w:color w:val="auto"/>
          <w:kern w:val="0"/>
          <w:sz w:val="20"/>
          <w:szCs w:val="20"/>
          <w:highlight w:val="none"/>
          <w:lang w:val="en-US" w:eastAsia="zh-CN"/>
        </w:rPr>
        <w:t>按照加工图纸尺寸及公差要求对产品的外径、内径、角度、长度、倒角尺寸、粗糙度等进行100%全检，确保所有产品加工尺寸都在图纸尺寸范围内，图纸见附件四。</w:t>
      </w:r>
    </w:p>
    <w:p>
      <w:pPr>
        <w:pageBreakBefore w:val="0"/>
        <w:widowControl w:val="0"/>
        <w:kinsoku/>
        <w:wordWrap/>
        <w:overflowPunct/>
        <w:topLinePunct w:val="0"/>
        <w:bidi w:val="0"/>
        <w:snapToGrid w:val="0"/>
        <w:spacing w:line="360" w:lineRule="auto"/>
        <w:textAlignment w:val="auto"/>
        <w:rPr>
          <w:rFonts w:hint="default" w:ascii="Times New Roman" w:hAnsi="Times New Roman" w:eastAsia="宋体" w:cs="Times New Roman"/>
          <w:color w:val="auto"/>
          <w:sz w:val="20"/>
          <w:szCs w:val="20"/>
          <w:highlight w:val="none"/>
          <w:lang w:val="en-US" w:eastAsia="en-US" w:bidi="ar-SA"/>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10" w:firstLineChars="200"/>
        <w:textAlignment w:val="auto"/>
        <w:outlineLvl w:val="0"/>
        <w:rPr>
          <w:rFonts w:hint="default" w:ascii="Times New Roman" w:hAnsi="Times New Roman" w:eastAsia="宋体" w:cs="Times New Roman"/>
          <w:b/>
          <w:bCs/>
          <w:color w:val="auto"/>
          <w:spacing w:val="2"/>
          <w:sz w:val="20"/>
          <w:szCs w:val="20"/>
          <w:highlight w:val="none"/>
          <w:lang w:val="en-US" w:eastAsia="zh-CN" w:bidi="ar-SA"/>
        </w:rPr>
      </w:pPr>
      <w:bookmarkStart w:id="183" w:name="_Toc23051"/>
      <w:bookmarkStart w:id="184" w:name="_Toc31806"/>
      <w:bookmarkStart w:id="185" w:name="_Toc3536"/>
      <w:r>
        <w:rPr>
          <w:rFonts w:hint="default" w:ascii="Times New Roman" w:hAnsi="Times New Roman" w:eastAsia="宋体" w:cs="Times New Roman"/>
          <w:b/>
          <w:bCs/>
          <w:color w:val="auto"/>
          <w:spacing w:val="2"/>
          <w:sz w:val="20"/>
          <w:szCs w:val="20"/>
          <w:highlight w:val="none"/>
          <w:lang w:val="en-US" w:eastAsia="zh-CN" w:bidi="ar-SA"/>
        </w:rPr>
        <w:t>5.2 外表面处理要求</w:t>
      </w:r>
      <w:bookmarkEnd w:id="183"/>
      <w:bookmarkEnd w:id="184"/>
      <w:bookmarkEnd w:id="185"/>
    </w:p>
    <w:p>
      <w:pPr>
        <w:pageBreakBefore w:val="0"/>
        <w:widowControl w:val="0"/>
        <w:numPr>
          <w:ilvl w:val="0"/>
          <w:numId w:val="0"/>
        </w:numPr>
        <w:kinsoku/>
        <w:wordWrap/>
        <w:overflowPunct/>
        <w:topLinePunct w:val="0"/>
        <w:autoSpaceDE/>
        <w:autoSpaceDN/>
        <w:bidi w:val="0"/>
        <w:adjustRightInd/>
        <w:spacing w:line="360" w:lineRule="auto"/>
        <w:ind w:left="0" w:leftChars="0" w:firstLine="400" w:firstLineChars="200"/>
        <w:jc w:val="left"/>
        <w:textAlignment w:val="auto"/>
        <w:rPr>
          <w:rFonts w:hint="default" w:ascii="Times New Roman" w:hAnsi="Times New Roman" w:eastAsia="宋体" w:cs="Times New Roman"/>
          <w:color w:val="auto"/>
          <w:kern w:val="0"/>
          <w:sz w:val="20"/>
          <w:szCs w:val="20"/>
          <w:highlight w:val="none"/>
          <w:lang w:val="en-US" w:eastAsia="en-US"/>
        </w:rPr>
      </w:pPr>
      <w:r>
        <w:rPr>
          <w:rFonts w:hint="default" w:ascii="Times New Roman" w:hAnsi="Times New Roman" w:eastAsia="宋体" w:cs="Times New Roman"/>
          <w:color w:val="auto"/>
          <w:kern w:val="0"/>
          <w:sz w:val="20"/>
          <w:szCs w:val="20"/>
          <w:highlight w:val="none"/>
          <w:lang w:val="en-US" w:eastAsia="zh-CN"/>
        </w:rPr>
        <w:t>电机保护器表面处理工艺应满足《JXCY-ZZ-02-014潜油电泵机组外表面喷漆作业工艺标准》，详情见附件四。</w:t>
      </w:r>
    </w:p>
    <w:p>
      <w:pPr>
        <w:keepNext/>
        <w:keepLines/>
        <w:pageBreakBefore w:val="0"/>
        <w:widowControl w:val="0"/>
        <w:kinsoku/>
        <w:wordWrap/>
        <w:overflowPunct/>
        <w:topLinePunct w:val="0"/>
        <w:bidi w:val="0"/>
        <w:spacing w:before="0" w:after="0" w:line="360" w:lineRule="auto"/>
        <w:ind w:left="0" w:firstLine="422" w:firstLineChars="200"/>
        <w:jc w:val="left"/>
        <w:textAlignment w:val="auto"/>
        <w:outlineLvl w:val="0"/>
        <w:rPr>
          <w:rFonts w:hint="eastAsia" w:ascii="宋体" w:hAnsi="宋体" w:eastAsia="宋体" w:cs="宋体"/>
          <w:b/>
          <w:bCs/>
          <w:color w:val="auto"/>
          <w:kern w:val="44"/>
          <w:sz w:val="21"/>
          <w:szCs w:val="21"/>
          <w:highlight w:val="none"/>
          <w:lang w:val="en-US" w:eastAsia="zh-CN" w:bidi="ar-SA"/>
        </w:rPr>
      </w:pPr>
      <w:r>
        <w:rPr>
          <w:rFonts w:hint="eastAsia" w:ascii="宋体" w:hAnsi="宋体" w:eastAsia="宋体" w:cs="宋体"/>
          <w:b/>
          <w:bCs/>
          <w:color w:val="auto"/>
          <w:kern w:val="44"/>
          <w:sz w:val="21"/>
          <w:szCs w:val="21"/>
          <w:highlight w:val="none"/>
          <w:lang w:val="en-US" w:eastAsia="zh-CN" w:bidi="ar-SA"/>
        </w:rPr>
        <w:t>六、检测和试验</w:t>
      </w:r>
      <w:bookmarkEnd w:id="137"/>
      <w:bookmarkEnd w:id="138"/>
      <w:bookmarkEnd w:id="139"/>
      <w:bookmarkEnd w:id="140"/>
      <w:bookmarkEnd w:id="141"/>
    </w:p>
    <w:p>
      <w:pPr>
        <w:keepNext w:val="0"/>
        <w:keepLines w:val="0"/>
        <w:pageBreakBefore w:val="0"/>
        <w:widowControl w:val="0"/>
        <w:numPr>
          <w:ilvl w:val="2"/>
          <w:numId w:val="19"/>
        </w:numPr>
        <w:kinsoku/>
        <w:wordWrap/>
        <w:overflowPunct/>
        <w:topLinePunct w:val="0"/>
        <w:autoSpaceDE w:val="0"/>
        <w:autoSpaceDN w:val="0"/>
        <w:bidi w:val="0"/>
        <w:adjustRightInd w:val="0"/>
        <w:snapToGrid/>
        <w:spacing w:line="360" w:lineRule="auto"/>
        <w:ind w:left="567" w:hanging="567" w:firstLineChars="0"/>
        <w:jc w:val="both"/>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为满足海上平台目前的地面设备应用兼容性要求，</w:t>
      </w:r>
      <w:r>
        <w:rPr>
          <w:rFonts w:hint="eastAsia" w:ascii="Times New Roman" w:hAnsi="Times New Roman" w:eastAsia="宋体" w:cs="Times New Roman"/>
          <w:color w:val="auto"/>
          <w:kern w:val="0"/>
          <w:sz w:val="21"/>
          <w:szCs w:val="21"/>
          <w:highlight w:val="none"/>
          <w:lang w:val="en-US" w:eastAsia="zh-CN"/>
        </w:rPr>
        <w:t>投标人</w:t>
      </w:r>
      <w:r>
        <w:rPr>
          <w:rFonts w:hint="default" w:ascii="Times New Roman" w:hAnsi="Times New Roman" w:eastAsia="宋体" w:cs="Times New Roman"/>
          <w:color w:val="auto"/>
          <w:kern w:val="0"/>
          <w:sz w:val="21"/>
          <w:szCs w:val="21"/>
          <w:highlight w:val="none"/>
          <w:lang w:val="en-US" w:eastAsia="zh-CN"/>
        </w:rPr>
        <w:t>在各标段投标时根据所在标段技术要求分别满足潜油永磁电机各标段所需HAILOONG LIFT品牌的OTS400系列变频器型号匹配使用。</w:t>
      </w:r>
    </w:p>
    <w:p>
      <w:pPr>
        <w:keepNext w:val="0"/>
        <w:keepLines w:val="0"/>
        <w:pageBreakBefore w:val="0"/>
        <w:widowControl w:val="0"/>
        <w:numPr>
          <w:ilvl w:val="2"/>
          <w:numId w:val="19"/>
        </w:numPr>
        <w:kinsoku/>
        <w:wordWrap/>
        <w:overflowPunct/>
        <w:topLinePunct w:val="0"/>
        <w:autoSpaceDE w:val="0"/>
        <w:autoSpaceDN w:val="0"/>
        <w:bidi w:val="0"/>
        <w:adjustRightInd w:val="0"/>
        <w:snapToGrid/>
        <w:spacing w:line="360" w:lineRule="auto"/>
        <w:ind w:left="567" w:hanging="567" w:firstLineChars="0"/>
        <w:jc w:val="both"/>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电机出厂检验报告试验方法应符合GBT 22669-2008《 三相永磁同步电动机试验方法》技术要求。</w:t>
      </w:r>
    </w:p>
    <w:p>
      <w:pPr>
        <w:keepNext w:val="0"/>
        <w:keepLines w:val="0"/>
        <w:pageBreakBefore w:val="0"/>
        <w:widowControl w:val="0"/>
        <w:numPr>
          <w:ilvl w:val="2"/>
          <w:numId w:val="19"/>
        </w:numPr>
        <w:kinsoku/>
        <w:wordWrap/>
        <w:overflowPunct/>
        <w:topLinePunct w:val="0"/>
        <w:autoSpaceDE w:val="0"/>
        <w:autoSpaceDN w:val="0"/>
        <w:bidi w:val="0"/>
        <w:adjustRightInd w:val="0"/>
        <w:snapToGrid/>
        <w:spacing w:line="360" w:lineRule="auto"/>
        <w:ind w:left="567" w:hanging="567" w:firstLineChars="0"/>
        <w:jc w:val="both"/>
        <w:textAlignment w:val="auto"/>
        <w:rPr>
          <w:rFonts w:hint="default" w:ascii="Times New Roman" w:hAnsi="Times New Roman" w:eastAsia="宋体" w:cs="Times New Roman"/>
          <w:color w:val="auto"/>
          <w:kern w:val="0"/>
          <w:sz w:val="21"/>
          <w:szCs w:val="21"/>
          <w:highlight w:val="none"/>
          <w:lang w:val="en-US" w:eastAsia="zh-CN"/>
        </w:rPr>
      </w:pPr>
      <w:r>
        <w:rPr>
          <w:rFonts w:hint="default" w:ascii="Segoe UI Symbol" w:hAnsi="Segoe UI Symbol" w:eastAsia="宋体" w:cs="Segoe UI Symbol"/>
          <w:kern w:val="0"/>
          <w:sz w:val="21"/>
          <w:szCs w:val="21"/>
          <w:lang w:eastAsia="zh-CN"/>
        </w:rPr>
        <w:t>★</w:t>
      </w:r>
      <w:r>
        <w:rPr>
          <w:rFonts w:hint="default" w:ascii="Times New Roman" w:hAnsi="Times New Roman" w:eastAsia="宋体" w:cs="Times New Roman"/>
          <w:color w:val="auto"/>
          <w:kern w:val="0"/>
          <w:sz w:val="21"/>
          <w:szCs w:val="21"/>
          <w:highlight w:val="none"/>
          <w:lang w:val="en-US" w:eastAsia="zh-CN"/>
        </w:rPr>
        <w:t>投标人在投标时参照附件七：《永磁电机与感应电机效率、功率因数对比表》提供不少于5种功率下不同规格的永磁电机效率和功率因数对比数据并付相应的试验曲线图与感应电机进行对比。</w:t>
      </w:r>
    </w:p>
    <w:p>
      <w:pPr>
        <w:keepNext w:val="0"/>
        <w:keepLines w:val="0"/>
        <w:pageBreakBefore w:val="0"/>
        <w:widowControl w:val="0"/>
        <w:numPr>
          <w:ilvl w:val="2"/>
          <w:numId w:val="19"/>
        </w:numPr>
        <w:kinsoku/>
        <w:wordWrap/>
        <w:overflowPunct/>
        <w:topLinePunct w:val="0"/>
        <w:autoSpaceDE w:val="0"/>
        <w:autoSpaceDN w:val="0"/>
        <w:bidi w:val="0"/>
        <w:adjustRightInd w:val="0"/>
        <w:snapToGrid/>
        <w:spacing w:line="360" w:lineRule="auto"/>
        <w:ind w:left="567" w:hanging="567" w:firstLineChars="0"/>
        <w:jc w:val="both"/>
        <w:textAlignment w:val="auto"/>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kern w:val="0"/>
          <w:sz w:val="21"/>
          <w:szCs w:val="21"/>
          <w:highlight w:val="none"/>
          <w:lang w:eastAsia="zh-CN"/>
        </w:rPr>
        <w:t>永磁电机根据所在标段技术要求要能适用于中压变频器，低压变频器（高-低-高应用方式）的V/F控制，且保证在不增加电器元件和不调节变频器的控制程序的情况下与变频器及变频变压器进行直接连接使用。</w:t>
      </w:r>
      <w:r>
        <w:rPr>
          <w:rFonts w:hint="eastAsia" w:ascii="Times New Roman" w:hAnsi="Times New Roman" w:eastAsia="宋体" w:cs="Times New Roman"/>
          <w:kern w:val="0"/>
          <w:sz w:val="21"/>
          <w:szCs w:val="21"/>
          <w:highlight w:val="none"/>
          <w:lang w:eastAsia="zh-CN"/>
        </w:rPr>
        <w:t>投标人</w:t>
      </w:r>
      <w:r>
        <w:rPr>
          <w:rFonts w:hint="default" w:ascii="Times New Roman" w:hAnsi="Times New Roman" w:eastAsia="宋体" w:cs="Times New Roman"/>
          <w:kern w:val="0"/>
          <w:sz w:val="21"/>
          <w:szCs w:val="21"/>
          <w:highlight w:val="none"/>
          <w:lang w:eastAsia="zh-CN"/>
        </w:rPr>
        <w:t>的潜油永磁电机可稳定工作于上述变频器的V/F控制模式下，电机在空载到额定负载范围内，整个调速范围内不得出现异常振动现象（三轴振动量均不得超过 1.0g）</w:t>
      </w:r>
      <w:r>
        <w:rPr>
          <w:rFonts w:hint="default" w:ascii="Times New Roman" w:hAnsi="Times New Roman" w:eastAsia="宋体" w:cs="Times New Roman"/>
          <w:color w:val="auto"/>
          <w:kern w:val="0"/>
          <w:sz w:val="21"/>
          <w:szCs w:val="21"/>
          <w:highlight w:val="none"/>
          <w:lang w:val="en-US" w:eastAsia="zh-CN"/>
        </w:rPr>
        <w:t>。</w:t>
      </w:r>
    </w:p>
    <w:p>
      <w:pPr>
        <w:keepNext w:val="0"/>
        <w:keepLines w:val="0"/>
        <w:pageBreakBefore w:val="0"/>
        <w:widowControl w:val="0"/>
        <w:numPr>
          <w:ilvl w:val="2"/>
          <w:numId w:val="19"/>
        </w:numPr>
        <w:kinsoku/>
        <w:wordWrap/>
        <w:overflowPunct/>
        <w:topLinePunct w:val="0"/>
        <w:autoSpaceDE w:val="0"/>
        <w:autoSpaceDN w:val="0"/>
        <w:bidi w:val="0"/>
        <w:adjustRightInd w:val="0"/>
        <w:snapToGrid/>
        <w:spacing w:line="360" w:lineRule="auto"/>
        <w:ind w:left="567" w:hanging="567" w:firstLineChars="0"/>
        <w:jc w:val="both"/>
        <w:textAlignment w:val="auto"/>
        <w:rPr>
          <w:rFonts w:hint="default" w:ascii="Times New Roman" w:hAnsi="Times New Roman" w:eastAsia="宋体" w:cs="Times New Roman"/>
          <w:kern w:val="0"/>
          <w:sz w:val="21"/>
          <w:szCs w:val="21"/>
          <w:highlight w:val="none"/>
          <w:lang w:eastAsia="zh-CN"/>
        </w:rPr>
      </w:pPr>
      <w:r>
        <w:rPr>
          <w:rFonts w:hint="default" w:ascii="Segoe UI Symbol" w:hAnsi="Segoe UI Symbol" w:eastAsia="宋体" w:cs="Segoe UI Symbol"/>
          <w:kern w:val="0"/>
          <w:sz w:val="21"/>
          <w:szCs w:val="21"/>
          <w:lang w:eastAsia="zh-CN"/>
        </w:rPr>
        <w:t>★</w:t>
      </w:r>
      <w:bookmarkStart w:id="186" w:name="_Toc6428"/>
      <w:bookmarkStart w:id="187" w:name="_Toc5248"/>
      <w:bookmarkStart w:id="188" w:name="_Toc16986"/>
      <w:bookmarkStart w:id="189" w:name="_Toc7746"/>
      <w:bookmarkStart w:id="190" w:name="_Toc17098"/>
      <w:r>
        <w:rPr>
          <w:rFonts w:hint="eastAsia" w:ascii="Times New Roman" w:hAnsi="Times New Roman" w:eastAsia="宋体" w:cs="Times New Roman"/>
          <w:kern w:val="0"/>
          <w:sz w:val="21"/>
          <w:szCs w:val="21"/>
          <w:highlight w:val="yellow"/>
          <w:lang w:val="en-US" w:eastAsia="zh-CN"/>
        </w:rPr>
        <w:t>由第三方实验机构（CCS、ABS、BV、DNV）中的任意一家、招标人机采公司以及投标人在招标人现场共同见证投标人所提供的电机和HAILOONG LIFT品牌的</w:t>
      </w:r>
      <w:r>
        <w:rPr>
          <w:rFonts w:hint="eastAsia" w:ascii="Times New Roman" w:hAnsi="Times New Roman" w:eastAsia="宋体" w:cs="Times New Roman"/>
          <w:kern w:val="0"/>
          <w:sz w:val="21"/>
          <w:szCs w:val="21"/>
          <w:highlight w:val="yellow"/>
          <w:lang w:eastAsia="zh-CN"/>
        </w:rPr>
        <w:t>OTS400</w:t>
      </w:r>
      <w:r>
        <w:rPr>
          <w:rFonts w:hint="default" w:ascii="Times New Roman" w:hAnsi="Times New Roman" w:eastAsia="宋体" w:cs="Times New Roman"/>
          <w:kern w:val="0"/>
          <w:sz w:val="21"/>
          <w:szCs w:val="21"/>
          <w:highlight w:val="yellow"/>
          <w:lang w:eastAsia="zh-CN"/>
        </w:rPr>
        <w:t>变频器</w:t>
      </w:r>
      <w:r>
        <w:rPr>
          <w:rFonts w:hint="eastAsia" w:ascii="Times New Roman" w:hAnsi="Times New Roman" w:eastAsia="宋体" w:cs="Times New Roman"/>
          <w:kern w:val="0"/>
          <w:sz w:val="21"/>
          <w:szCs w:val="21"/>
          <w:highlight w:val="yellow"/>
          <w:lang w:val="en-US" w:eastAsia="zh-CN"/>
        </w:rPr>
        <w:t>匹配性试验。</w:t>
      </w:r>
      <w:r>
        <w:rPr>
          <w:rFonts w:hint="eastAsia" w:ascii="Times New Roman" w:hAnsi="Times New Roman" w:eastAsia="宋体" w:cs="Times New Roman"/>
          <w:kern w:val="0"/>
          <w:sz w:val="21"/>
          <w:szCs w:val="21"/>
          <w:lang w:val="en-US" w:eastAsia="zh-CN"/>
        </w:rPr>
        <w:t>试验要求：</w:t>
      </w:r>
    </w:p>
    <w:p>
      <w:pPr>
        <w:numPr>
          <w:ilvl w:val="0"/>
          <w:numId w:val="20"/>
        </w:numPr>
        <w:autoSpaceDE w:val="0"/>
        <w:autoSpaceDN w:val="0"/>
        <w:adjustRightInd w:val="0"/>
        <w:spacing w:line="360" w:lineRule="auto"/>
        <w:ind w:leftChars="0"/>
        <w:jc w:val="both"/>
        <w:rPr>
          <w:rFonts w:hint="eastAsia" w:ascii="Times New Roman" w:hAnsi="Times New Roman" w:eastAsia="宋体" w:cs="Times New Roman"/>
          <w:kern w:val="0"/>
          <w:sz w:val="21"/>
          <w:szCs w:val="21"/>
          <w:highlight w:val="none"/>
          <w:lang w:eastAsia="zh-CN"/>
        </w:rPr>
      </w:pPr>
      <w:r>
        <w:rPr>
          <w:rFonts w:hint="default" w:ascii="Times New Roman" w:hAnsi="Times New Roman" w:eastAsia="宋体" w:cs="Times New Roman"/>
          <w:kern w:val="0"/>
          <w:sz w:val="21"/>
          <w:szCs w:val="21"/>
          <w:highlight w:val="none"/>
          <w:lang w:eastAsia="zh-CN"/>
        </w:rPr>
        <w:t>测试电机的型号要求如下：</w:t>
      </w:r>
      <w:r>
        <w:rPr>
          <w:rFonts w:hint="eastAsia" w:ascii="Times New Roman" w:hAnsi="Times New Roman" w:eastAsia="宋体" w:cs="Times New Roman"/>
          <w:kern w:val="0"/>
          <w:sz w:val="21"/>
          <w:szCs w:val="21"/>
          <w:highlight w:val="none"/>
          <w:lang w:val="en-US" w:eastAsia="zh-CN"/>
        </w:rPr>
        <w:t>投标人</w:t>
      </w:r>
      <w:r>
        <w:rPr>
          <w:rFonts w:hint="default" w:ascii="Times New Roman" w:hAnsi="Times New Roman" w:eastAsia="宋体" w:cs="Times New Roman"/>
          <w:color w:val="auto"/>
          <w:kern w:val="0"/>
          <w:sz w:val="21"/>
          <w:szCs w:val="21"/>
          <w:highlight w:val="none"/>
          <w:lang w:val="en-US" w:eastAsia="zh-CN"/>
        </w:rPr>
        <w:t>提供450</w:t>
      </w:r>
      <w:r>
        <w:rPr>
          <w:rFonts w:hint="eastAsia" w:ascii="Times New Roman" w:hAnsi="Times New Roman" w:eastAsia="宋体" w:cs="Times New Roman"/>
          <w:color w:val="auto"/>
          <w:kern w:val="0"/>
          <w:sz w:val="21"/>
          <w:szCs w:val="21"/>
          <w:highlight w:val="none"/>
          <w:lang w:val="en-US" w:eastAsia="zh-CN"/>
        </w:rPr>
        <w:t>系列</w:t>
      </w:r>
      <w:r>
        <w:rPr>
          <w:rFonts w:hint="default" w:ascii="Times New Roman" w:hAnsi="Times New Roman" w:eastAsia="宋体" w:cs="Times New Roman"/>
          <w:color w:val="auto"/>
          <w:kern w:val="0"/>
          <w:sz w:val="21"/>
          <w:szCs w:val="21"/>
          <w:highlight w:val="none"/>
          <w:lang w:val="en-US" w:eastAsia="zh-CN"/>
        </w:rPr>
        <w:t>电机</w:t>
      </w:r>
      <w:r>
        <w:rPr>
          <w:rFonts w:hint="eastAsia" w:ascii="Times New Roman" w:hAnsi="Times New Roman" w:eastAsia="宋体" w:cs="Times New Roman"/>
          <w:kern w:val="0"/>
          <w:sz w:val="21"/>
          <w:szCs w:val="21"/>
          <w:highlight w:val="none"/>
          <w:lang w:eastAsia="zh-CN"/>
        </w:rPr>
        <w:t>。</w:t>
      </w:r>
      <w:r>
        <w:rPr>
          <w:rFonts w:hint="default" w:ascii="Times New Roman" w:hAnsi="Times New Roman" w:eastAsia="宋体" w:cs="Times New Roman"/>
          <w:kern w:val="0"/>
          <w:sz w:val="21"/>
          <w:szCs w:val="21"/>
          <w:highlight w:val="none"/>
          <w:lang w:eastAsia="zh-CN"/>
        </w:rPr>
        <w:t>电机</w:t>
      </w:r>
      <w:r>
        <w:rPr>
          <w:rFonts w:hint="default" w:ascii="Times New Roman" w:hAnsi="Times New Roman" w:eastAsia="宋体" w:cs="Times New Roman"/>
          <w:kern w:val="0"/>
          <w:sz w:val="21"/>
          <w:szCs w:val="21"/>
          <w:lang w:eastAsia="zh-CN"/>
        </w:rPr>
        <w:t>运行额定转速</w:t>
      </w:r>
      <w:r>
        <w:rPr>
          <w:rFonts w:hint="default" w:ascii="Times New Roman" w:hAnsi="Times New Roman" w:eastAsia="宋体" w:cs="Times New Roman"/>
          <w:color w:val="auto"/>
          <w:kern w:val="0"/>
          <w:sz w:val="21"/>
          <w:szCs w:val="21"/>
          <w:highlight w:val="none"/>
          <w:lang w:val="en-US" w:eastAsia="zh-CN"/>
        </w:rPr>
        <w:t>4200</w:t>
      </w:r>
      <w:r>
        <w:rPr>
          <w:rFonts w:hint="eastAsia" w:ascii="Times New Roman" w:hAnsi="Times New Roman" w:eastAsia="宋体" w:cs="Times New Roman"/>
          <w:color w:val="auto"/>
          <w:kern w:val="0"/>
          <w:sz w:val="21"/>
          <w:szCs w:val="21"/>
          <w:highlight w:val="none"/>
          <w:lang w:val="en-US" w:eastAsia="zh-CN"/>
        </w:rPr>
        <w:t>RPM</w:t>
      </w:r>
      <w:r>
        <w:rPr>
          <w:rFonts w:hint="default" w:ascii="Times New Roman" w:hAnsi="Times New Roman" w:eastAsia="宋体" w:cs="Times New Roman"/>
          <w:kern w:val="0"/>
          <w:sz w:val="21"/>
          <w:szCs w:val="21"/>
          <w:lang w:eastAsia="zh-CN"/>
        </w:rPr>
        <w:t>，</w:t>
      </w:r>
      <w:r>
        <w:rPr>
          <w:rFonts w:hint="eastAsia" w:ascii="Times New Roman" w:hAnsi="Times New Roman" w:eastAsia="宋体" w:cs="Times New Roman"/>
          <w:kern w:val="0"/>
          <w:sz w:val="21"/>
          <w:szCs w:val="21"/>
          <w:lang w:val="en-US" w:eastAsia="zh-CN"/>
        </w:rPr>
        <w:t>测试</w:t>
      </w:r>
      <w:r>
        <w:rPr>
          <w:rFonts w:hint="default" w:ascii="Times New Roman" w:hAnsi="Times New Roman" w:eastAsia="宋体" w:cs="Times New Roman"/>
          <w:kern w:val="0"/>
          <w:sz w:val="21"/>
          <w:szCs w:val="21"/>
          <w:lang w:eastAsia="zh-CN"/>
        </w:rPr>
        <w:t>在</w:t>
      </w:r>
      <w:r>
        <w:rPr>
          <w:rFonts w:hint="default" w:ascii="Times New Roman" w:hAnsi="Times New Roman" w:eastAsia="宋体" w:cs="Times New Roman"/>
          <w:color w:val="auto"/>
          <w:kern w:val="0"/>
          <w:sz w:val="21"/>
          <w:szCs w:val="21"/>
          <w:highlight w:val="none"/>
          <w:lang w:val="en-US" w:eastAsia="zh-CN"/>
        </w:rPr>
        <w:t>4200RPM@140Hz</w:t>
      </w:r>
      <w:r>
        <w:rPr>
          <w:rFonts w:hint="default" w:ascii="Times New Roman" w:hAnsi="Times New Roman" w:eastAsia="宋体" w:cs="Times New Roman"/>
          <w:kern w:val="0"/>
          <w:sz w:val="21"/>
          <w:szCs w:val="21"/>
          <w:lang w:eastAsia="zh-CN"/>
        </w:rPr>
        <w:t>下可以</w:t>
      </w:r>
      <w:r>
        <w:rPr>
          <w:rFonts w:hint="default" w:ascii="Times New Roman" w:hAnsi="Times New Roman" w:eastAsia="宋体" w:cs="Times New Roman"/>
          <w:kern w:val="0"/>
          <w:sz w:val="21"/>
          <w:szCs w:val="21"/>
          <w:highlight w:val="none"/>
          <w:lang w:eastAsia="zh-CN"/>
        </w:rPr>
        <w:t>稳定运行</w:t>
      </w:r>
      <w:r>
        <w:rPr>
          <w:rFonts w:hint="eastAsia" w:ascii="Times New Roman" w:hAnsi="Times New Roman" w:eastAsia="宋体" w:cs="Times New Roman"/>
          <w:kern w:val="0"/>
          <w:sz w:val="21"/>
          <w:szCs w:val="21"/>
          <w:highlight w:val="none"/>
          <w:lang w:eastAsia="zh-CN"/>
        </w:rPr>
        <w:t>，</w:t>
      </w:r>
      <w:r>
        <w:rPr>
          <w:rFonts w:hint="eastAsia" w:ascii="Times New Roman" w:hAnsi="Times New Roman" w:eastAsia="宋体" w:cs="Times New Roman"/>
          <w:kern w:val="0"/>
          <w:sz w:val="21"/>
          <w:szCs w:val="21"/>
          <w:highlight w:val="none"/>
          <w:lang w:val="en-US" w:eastAsia="zh-CN"/>
        </w:rPr>
        <w:t>并提供</w:t>
      </w:r>
      <w:r>
        <w:rPr>
          <w:rFonts w:hint="default" w:ascii="Times New Roman" w:hAnsi="Times New Roman" w:eastAsia="宋体" w:cs="Times New Roman"/>
          <w:kern w:val="0"/>
          <w:sz w:val="21"/>
          <w:szCs w:val="21"/>
          <w:highlight w:val="none"/>
          <w:lang w:eastAsia="zh-CN"/>
        </w:rPr>
        <w:t>经CCS、ABS、BV、DNV第三方实验机构中的任意一家认证的测试报告</w:t>
      </w:r>
      <w:r>
        <w:rPr>
          <w:rFonts w:hint="eastAsia" w:ascii="Times New Roman" w:hAnsi="Times New Roman" w:eastAsia="宋体" w:cs="Times New Roman"/>
          <w:kern w:val="0"/>
          <w:sz w:val="21"/>
          <w:szCs w:val="21"/>
          <w:highlight w:val="none"/>
          <w:lang w:eastAsia="zh-CN"/>
        </w:rPr>
        <w:t>。</w:t>
      </w:r>
    </w:p>
    <w:p>
      <w:pPr>
        <w:keepNext w:val="0"/>
        <w:keepLines w:val="0"/>
        <w:pageBreakBefore w:val="0"/>
        <w:widowControl w:val="0"/>
        <w:numPr>
          <w:ilvl w:val="0"/>
          <w:numId w:val="20"/>
        </w:numPr>
        <w:kinsoku/>
        <w:wordWrap/>
        <w:overflowPunct/>
        <w:topLinePunct w:val="0"/>
        <w:autoSpaceDE/>
        <w:autoSpaceDN/>
        <w:bidi w:val="0"/>
        <w:adjustRightInd/>
        <w:snapToGrid w:val="0"/>
        <w:spacing w:line="360" w:lineRule="auto"/>
        <w:ind w:left="0" w:leftChars="0" w:firstLine="0" w:firstLineChars="0"/>
        <w:textAlignment w:val="auto"/>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投标人</w:t>
      </w:r>
      <w:r>
        <w:rPr>
          <w:rFonts w:hint="default" w:ascii="Times New Roman" w:hAnsi="Times New Roman" w:eastAsia="宋体" w:cs="Times New Roman"/>
          <w:kern w:val="2"/>
          <w:sz w:val="21"/>
          <w:szCs w:val="21"/>
          <w:highlight w:val="none"/>
          <w:lang w:val="en-US" w:eastAsia="zh-CN" w:bidi="ar-SA"/>
        </w:rPr>
        <w:t>在</w:t>
      </w:r>
      <w:r>
        <w:rPr>
          <w:rFonts w:hint="eastAsia" w:ascii="Times New Roman" w:hAnsi="Times New Roman" w:eastAsia="宋体" w:cs="Times New Roman"/>
          <w:kern w:val="2"/>
          <w:sz w:val="21"/>
          <w:szCs w:val="21"/>
          <w:highlight w:val="none"/>
          <w:lang w:val="en-US" w:eastAsia="zh-CN" w:bidi="ar-SA"/>
        </w:rPr>
        <w:t>测试期间需</w:t>
      </w:r>
      <w:r>
        <w:rPr>
          <w:rFonts w:hint="default" w:ascii="Times New Roman" w:hAnsi="Times New Roman" w:eastAsia="宋体" w:cs="Times New Roman"/>
          <w:kern w:val="2"/>
          <w:sz w:val="21"/>
          <w:szCs w:val="21"/>
          <w:highlight w:val="none"/>
          <w:lang w:val="en-US" w:eastAsia="zh-CN" w:bidi="ar-SA"/>
        </w:rPr>
        <w:t>提供变频器压频比控制设置参数表，</w:t>
      </w:r>
      <w:r>
        <w:rPr>
          <w:rFonts w:hint="eastAsia" w:ascii="Times New Roman" w:hAnsi="Times New Roman" w:eastAsia="宋体" w:cs="Times New Roman"/>
          <w:kern w:val="2"/>
          <w:sz w:val="21"/>
          <w:szCs w:val="21"/>
          <w:highlight w:val="none"/>
          <w:lang w:val="en-US" w:eastAsia="zh-CN" w:bidi="ar-SA"/>
        </w:rPr>
        <w:t>由</w:t>
      </w:r>
      <w:r>
        <w:rPr>
          <w:rFonts w:hint="default" w:ascii="Times New Roman" w:hAnsi="Times New Roman" w:eastAsia="宋体" w:cs="Times New Roman"/>
          <w:sz w:val="21"/>
          <w:szCs w:val="21"/>
          <w:highlight w:val="none"/>
          <w:lang w:val="en-US" w:eastAsia="zh-CN" w:bidi="ar-SA"/>
        </w:rPr>
        <w:t>CCS、ABS、BV、DNV第三方实验机构中的任意一家</w:t>
      </w:r>
      <w:r>
        <w:rPr>
          <w:rFonts w:hint="eastAsia" w:ascii="Times New Roman" w:hAnsi="Times New Roman" w:eastAsia="宋体" w:cs="Times New Roman"/>
          <w:kern w:val="2"/>
          <w:sz w:val="21"/>
          <w:szCs w:val="21"/>
          <w:highlight w:val="none"/>
          <w:lang w:val="en-US" w:eastAsia="zh-CN" w:bidi="ar-SA"/>
        </w:rPr>
        <w:t>在测试期间</w:t>
      </w:r>
      <w:r>
        <w:rPr>
          <w:rFonts w:hint="default" w:ascii="Times New Roman" w:hAnsi="Times New Roman" w:eastAsia="宋体" w:cs="Times New Roman"/>
          <w:kern w:val="2"/>
          <w:sz w:val="21"/>
          <w:szCs w:val="21"/>
          <w:highlight w:val="none"/>
          <w:lang w:val="en-US" w:eastAsia="zh-CN" w:bidi="ar-SA"/>
        </w:rPr>
        <w:t>根据</w:t>
      </w:r>
      <w:r>
        <w:rPr>
          <w:rFonts w:hint="eastAsia" w:ascii="Times New Roman" w:hAnsi="Times New Roman" w:eastAsia="宋体" w:cs="Times New Roman"/>
          <w:kern w:val="2"/>
          <w:sz w:val="21"/>
          <w:szCs w:val="21"/>
          <w:highlight w:val="none"/>
          <w:lang w:val="en-US" w:eastAsia="zh-CN" w:bidi="ar-SA"/>
        </w:rPr>
        <w:t>投标人</w:t>
      </w:r>
      <w:r>
        <w:rPr>
          <w:rFonts w:hint="default" w:ascii="Times New Roman" w:hAnsi="Times New Roman" w:eastAsia="宋体" w:cs="Times New Roman"/>
          <w:kern w:val="2"/>
          <w:sz w:val="21"/>
          <w:szCs w:val="21"/>
          <w:highlight w:val="none"/>
          <w:lang w:val="en-US" w:eastAsia="zh-CN" w:bidi="ar-SA"/>
        </w:rPr>
        <w:t>提供的压频比参数设置表进行试验验证复核</w:t>
      </w:r>
      <w:r>
        <w:rPr>
          <w:rFonts w:hint="eastAsia" w:ascii="Times New Roman" w:hAnsi="Times New Roman" w:eastAsia="宋体" w:cs="Times New Roman"/>
          <w:kern w:val="2"/>
          <w:sz w:val="21"/>
          <w:szCs w:val="21"/>
          <w:highlight w:val="none"/>
          <w:lang w:val="en-US" w:eastAsia="zh-CN" w:bidi="ar-SA"/>
        </w:rPr>
        <w:t>：</w:t>
      </w:r>
    </w:p>
    <w:p>
      <w:pPr>
        <w:autoSpaceDE w:val="0"/>
        <w:autoSpaceDN w:val="0"/>
        <w:adjustRightInd w:val="0"/>
        <w:spacing w:line="360" w:lineRule="auto"/>
        <w:jc w:val="both"/>
        <w:rPr>
          <w:rFonts w:hint="default" w:ascii="Times New Roman" w:hAnsi="Times New Roman" w:eastAsia="宋体" w:cs="Times New Roman"/>
          <w:kern w:val="0"/>
          <w:sz w:val="21"/>
          <w:szCs w:val="21"/>
          <w:highlight w:val="none"/>
          <w:lang w:eastAsia="zh-CN"/>
        </w:rPr>
      </w:pPr>
      <w:r>
        <w:rPr>
          <w:rFonts w:hint="eastAsia" w:ascii="宋体" w:hAnsi="宋体" w:eastAsia="宋体" w:cs="宋体"/>
          <w:kern w:val="0"/>
          <w:sz w:val="21"/>
          <w:szCs w:val="21"/>
          <w:highlight w:val="none"/>
          <w:lang w:eastAsia="zh-CN"/>
        </w:rPr>
        <w:t>①</w:t>
      </w:r>
      <w:r>
        <w:rPr>
          <w:rFonts w:hint="eastAsia" w:ascii="Times New Roman" w:hAnsi="Times New Roman" w:eastAsia="宋体" w:cs="Times New Roman"/>
          <w:kern w:val="0"/>
          <w:sz w:val="21"/>
          <w:szCs w:val="21"/>
          <w:highlight w:val="none"/>
          <w:lang w:eastAsia="zh-CN"/>
        </w:rPr>
        <w:t>投标人</w:t>
      </w:r>
      <w:r>
        <w:rPr>
          <w:rFonts w:hint="eastAsia" w:ascii="Times New Roman" w:hAnsi="Times New Roman" w:eastAsia="宋体" w:cs="Times New Roman"/>
          <w:kern w:val="0"/>
          <w:sz w:val="21"/>
          <w:szCs w:val="21"/>
          <w:highlight w:val="none"/>
          <w:lang w:val="en-US" w:eastAsia="zh-CN"/>
        </w:rPr>
        <w:t>的</w:t>
      </w:r>
      <w:r>
        <w:rPr>
          <w:rFonts w:hint="default" w:ascii="Times New Roman" w:hAnsi="Times New Roman" w:eastAsia="宋体" w:cs="Times New Roman"/>
          <w:kern w:val="0"/>
          <w:sz w:val="21"/>
          <w:szCs w:val="21"/>
          <w:highlight w:val="none"/>
          <w:lang w:eastAsia="zh-CN"/>
        </w:rPr>
        <w:t>电机按照该设置参数表，能够顺畅空载启动和运行，启动及运行过程中振动值在各轴向低于1g（测试匹配HAILOONG DS1系列泵工况进行数据监视），三相电流不平衡度不高于3%；</w:t>
      </w:r>
    </w:p>
    <w:p>
      <w:pPr>
        <w:autoSpaceDE w:val="0"/>
        <w:autoSpaceDN w:val="0"/>
        <w:adjustRightInd w:val="0"/>
        <w:spacing w:line="360" w:lineRule="auto"/>
        <w:jc w:val="both"/>
        <w:rPr>
          <w:rFonts w:hint="default" w:ascii="Times New Roman" w:hAnsi="Times New Roman" w:eastAsia="宋体" w:cs="Times New Roman"/>
          <w:kern w:val="0"/>
          <w:sz w:val="21"/>
          <w:szCs w:val="21"/>
          <w:highlight w:val="none"/>
          <w:lang w:eastAsia="zh-CN"/>
        </w:rPr>
      </w:pPr>
      <w:r>
        <w:rPr>
          <w:rFonts w:hint="eastAsia" w:ascii="宋体" w:hAnsi="宋体" w:eastAsia="宋体" w:cs="宋体"/>
          <w:kern w:val="0"/>
          <w:sz w:val="21"/>
          <w:szCs w:val="21"/>
          <w:highlight w:val="none"/>
          <w:lang w:eastAsia="zh-CN"/>
        </w:rPr>
        <w:t>②</w:t>
      </w:r>
      <w:r>
        <w:rPr>
          <w:rFonts w:hint="default" w:ascii="Times New Roman" w:hAnsi="Times New Roman" w:eastAsia="宋体" w:cs="Times New Roman"/>
          <w:kern w:val="0"/>
          <w:sz w:val="21"/>
          <w:szCs w:val="21"/>
          <w:highlight w:val="none"/>
          <w:lang w:eastAsia="zh-CN"/>
        </w:rPr>
        <w:t>在任意负载及负载变化工况下，可用相同的变频器设置正常启动和运行，加减速时间及V/F曲线无需根据负载情况调整修改。</w:t>
      </w:r>
    </w:p>
    <w:p>
      <w:pPr>
        <w:autoSpaceDE w:val="0"/>
        <w:autoSpaceDN w:val="0"/>
        <w:adjustRightInd w:val="0"/>
        <w:spacing w:line="360" w:lineRule="auto"/>
        <w:jc w:val="both"/>
        <w:rPr>
          <w:rFonts w:hint="default" w:ascii="Times New Roman" w:hAnsi="Times New Roman" w:eastAsia="宋体" w:cs="Times New Roman"/>
          <w:kern w:val="0"/>
          <w:sz w:val="21"/>
          <w:szCs w:val="21"/>
          <w:highlight w:val="none"/>
          <w:lang w:eastAsia="zh-CN"/>
        </w:rPr>
      </w:pPr>
      <w:r>
        <w:rPr>
          <w:rFonts w:hint="eastAsia" w:ascii="宋体" w:hAnsi="宋体" w:eastAsia="宋体" w:cs="宋体"/>
          <w:kern w:val="0"/>
          <w:sz w:val="21"/>
          <w:szCs w:val="21"/>
          <w:highlight w:val="none"/>
          <w:lang w:eastAsia="zh-CN"/>
        </w:rPr>
        <w:t>③</w:t>
      </w:r>
      <w:r>
        <w:rPr>
          <w:rFonts w:hint="default" w:ascii="Times New Roman" w:hAnsi="Times New Roman" w:eastAsia="宋体" w:cs="Times New Roman"/>
          <w:kern w:val="0"/>
          <w:sz w:val="21"/>
          <w:szCs w:val="21"/>
          <w:highlight w:val="none"/>
          <w:lang w:eastAsia="zh-CN"/>
        </w:rPr>
        <w:t>见证测试项目及评价表如下：（按照各标段要求进行测试）</w:t>
      </w:r>
    </w:p>
    <w:p>
      <w:pPr>
        <w:widowControl w:val="0"/>
        <w:snapToGrid w:val="0"/>
        <w:rPr>
          <w:rFonts w:ascii="Times New Roman" w:hAnsi="Times New Roman" w:cs="Times New Roman" w:eastAsiaTheme="minorEastAsia"/>
          <w:sz w:val="18"/>
          <w:szCs w:val="18"/>
          <w:highlight w:val="none"/>
          <w:lang w:val="en-US" w:eastAsia="zh-CN" w:bidi="ar-SA"/>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8"/>
        <w:gridCol w:w="1420"/>
        <w:gridCol w:w="624"/>
        <w:gridCol w:w="417"/>
        <w:gridCol w:w="2170"/>
        <w:gridCol w:w="1570"/>
        <w:gridCol w:w="671"/>
        <w:gridCol w:w="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Align w:val="center"/>
          </w:tcPr>
          <w:p>
            <w:pPr>
              <w:widowControl w:val="0"/>
              <w:snapToGrid w:val="0"/>
              <w:jc w:val="both"/>
              <w:rPr>
                <w:rFonts w:asciiTheme="minorHAnsi" w:hAnsiTheme="minorHAnsi" w:eastAsiaTheme="minorEastAsia" w:cstheme="minorBidi"/>
                <w:b/>
                <w:bCs/>
                <w:sz w:val="20"/>
                <w:szCs w:val="20"/>
                <w:highlight w:val="none"/>
                <w:lang w:val="en-US" w:eastAsia="zh-CN" w:bidi="ar-SA"/>
              </w:rPr>
            </w:pPr>
            <w:r>
              <w:rPr>
                <w:rFonts w:hint="eastAsia" w:asciiTheme="minorHAnsi" w:hAnsiTheme="minorHAnsi" w:eastAsiaTheme="minorEastAsia" w:cstheme="minorBidi"/>
                <w:b/>
                <w:bCs/>
                <w:sz w:val="20"/>
                <w:szCs w:val="20"/>
                <w:highlight w:val="none"/>
                <w:lang w:val="en-US" w:eastAsia="zh-CN" w:bidi="ar-SA"/>
              </w:rPr>
              <w:t>见证测试项目</w:t>
            </w:r>
          </w:p>
        </w:tc>
        <w:tc>
          <w:tcPr>
            <w:tcW w:w="1636" w:type="dxa"/>
            <w:vAlign w:val="center"/>
          </w:tcPr>
          <w:p>
            <w:pPr>
              <w:widowControl w:val="0"/>
              <w:snapToGrid w:val="0"/>
              <w:jc w:val="both"/>
              <w:rPr>
                <w:rFonts w:asciiTheme="minorHAnsi" w:hAnsiTheme="minorHAnsi" w:eastAsiaTheme="minorEastAsia" w:cstheme="minorBidi"/>
                <w:b/>
                <w:bCs/>
                <w:sz w:val="20"/>
                <w:szCs w:val="20"/>
                <w:highlight w:val="none"/>
                <w:lang w:val="en-US" w:eastAsia="zh-CN" w:bidi="ar-SA"/>
              </w:rPr>
            </w:pPr>
            <w:r>
              <w:rPr>
                <w:rFonts w:hint="eastAsia" w:asciiTheme="minorHAnsi" w:hAnsiTheme="minorHAnsi" w:eastAsiaTheme="minorEastAsia" w:cstheme="minorBidi"/>
                <w:b/>
                <w:bCs/>
                <w:sz w:val="20"/>
                <w:szCs w:val="20"/>
                <w:highlight w:val="none"/>
                <w:lang w:val="en-US" w:eastAsia="zh-CN" w:bidi="ar-SA"/>
              </w:rPr>
              <w:t>判定依据</w:t>
            </w:r>
          </w:p>
        </w:tc>
        <w:tc>
          <w:tcPr>
            <w:tcW w:w="696" w:type="dxa"/>
            <w:vAlign w:val="center"/>
          </w:tcPr>
          <w:p>
            <w:pPr>
              <w:widowControl w:val="0"/>
              <w:snapToGrid w:val="0"/>
              <w:jc w:val="both"/>
              <w:rPr>
                <w:rFonts w:asciiTheme="minorHAnsi" w:hAnsiTheme="minorHAnsi" w:eastAsiaTheme="minorEastAsia" w:cstheme="minorBidi"/>
                <w:b/>
                <w:bCs/>
                <w:sz w:val="20"/>
                <w:szCs w:val="20"/>
                <w:highlight w:val="none"/>
                <w:lang w:val="en-US" w:eastAsia="zh-CN" w:bidi="ar-SA"/>
              </w:rPr>
            </w:pPr>
            <w:r>
              <w:rPr>
                <w:rFonts w:hint="eastAsia" w:asciiTheme="minorHAnsi" w:hAnsiTheme="minorHAnsi" w:eastAsiaTheme="minorEastAsia" w:cstheme="minorBidi"/>
                <w:b/>
                <w:bCs/>
                <w:sz w:val="20"/>
                <w:szCs w:val="20"/>
                <w:highlight w:val="none"/>
                <w:lang w:val="en-US" w:eastAsia="zh-CN" w:bidi="ar-SA"/>
              </w:rPr>
              <w:t>实测数据</w:t>
            </w:r>
          </w:p>
        </w:tc>
        <w:tc>
          <w:tcPr>
            <w:tcW w:w="0" w:type="auto"/>
            <w:vAlign w:val="center"/>
          </w:tcPr>
          <w:p>
            <w:pPr>
              <w:widowControl w:val="0"/>
              <w:snapToGrid w:val="0"/>
              <w:jc w:val="both"/>
              <w:rPr>
                <w:rFonts w:asciiTheme="minorHAnsi" w:hAnsiTheme="minorHAnsi" w:eastAsiaTheme="minorEastAsia" w:cstheme="minorBidi"/>
                <w:b/>
                <w:bCs/>
                <w:sz w:val="20"/>
                <w:szCs w:val="20"/>
                <w:highlight w:val="none"/>
                <w:lang w:val="en-US" w:eastAsia="zh-CN" w:bidi="ar-SA"/>
              </w:rPr>
            </w:pPr>
            <w:r>
              <w:rPr>
                <w:rFonts w:hint="eastAsia" w:asciiTheme="minorHAnsi" w:hAnsiTheme="minorHAnsi" w:eastAsiaTheme="minorEastAsia" w:cstheme="minorBidi"/>
                <w:b/>
                <w:bCs/>
                <w:sz w:val="20"/>
                <w:szCs w:val="20"/>
                <w:highlight w:val="none"/>
                <w:lang w:val="en-US" w:eastAsia="zh-CN" w:bidi="ar-SA"/>
              </w:rPr>
              <w:t>备注</w:t>
            </w:r>
          </w:p>
        </w:tc>
        <w:tc>
          <w:tcPr>
            <w:tcW w:w="0" w:type="auto"/>
            <w:vAlign w:val="center"/>
          </w:tcPr>
          <w:p>
            <w:pPr>
              <w:widowControl w:val="0"/>
              <w:snapToGrid w:val="0"/>
              <w:jc w:val="both"/>
              <w:rPr>
                <w:rFonts w:asciiTheme="minorHAnsi" w:hAnsiTheme="minorHAnsi" w:eastAsiaTheme="minorEastAsia" w:cstheme="minorBidi"/>
                <w:b/>
                <w:bCs/>
                <w:sz w:val="20"/>
                <w:szCs w:val="20"/>
                <w:highlight w:val="none"/>
                <w:lang w:val="en-US" w:eastAsia="zh-CN" w:bidi="ar-SA"/>
              </w:rPr>
            </w:pPr>
            <w:r>
              <w:rPr>
                <w:rFonts w:hint="eastAsia" w:asciiTheme="minorHAnsi" w:hAnsiTheme="minorHAnsi" w:eastAsiaTheme="minorEastAsia" w:cstheme="minorBidi"/>
                <w:b/>
                <w:bCs/>
                <w:sz w:val="20"/>
                <w:szCs w:val="20"/>
                <w:highlight w:val="none"/>
                <w:lang w:val="en-US" w:eastAsia="zh-CN" w:bidi="ar-SA"/>
              </w:rPr>
              <w:t>见证测试项目</w:t>
            </w:r>
          </w:p>
        </w:tc>
        <w:tc>
          <w:tcPr>
            <w:tcW w:w="1731" w:type="dxa"/>
            <w:vAlign w:val="center"/>
          </w:tcPr>
          <w:p>
            <w:pPr>
              <w:widowControl w:val="0"/>
              <w:snapToGrid w:val="0"/>
              <w:jc w:val="both"/>
              <w:rPr>
                <w:rFonts w:asciiTheme="minorHAnsi" w:hAnsiTheme="minorHAnsi" w:eastAsiaTheme="minorEastAsia" w:cstheme="minorBidi"/>
                <w:b/>
                <w:bCs/>
                <w:sz w:val="20"/>
                <w:szCs w:val="20"/>
                <w:highlight w:val="none"/>
                <w:lang w:val="en-US" w:eastAsia="zh-CN" w:bidi="ar-SA"/>
              </w:rPr>
            </w:pPr>
            <w:r>
              <w:rPr>
                <w:rFonts w:hint="eastAsia" w:asciiTheme="minorHAnsi" w:hAnsiTheme="minorHAnsi" w:eastAsiaTheme="minorEastAsia" w:cstheme="minorBidi"/>
                <w:b/>
                <w:bCs/>
                <w:sz w:val="20"/>
                <w:szCs w:val="20"/>
                <w:highlight w:val="none"/>
                <w:lang w:val="en-US" w:eastAsia="zh-CN" w:bidi="ar-SA"/>
              </w:rPr>
              <w:t>判定依据</w:t>
            </w:r>
          </w:p>
        </w:tc>
        <w:tc>
          <w:tcPr>
            <w:tcW w:w="758" w:type="dxa"/>
            <w:vAlign w:val="center"/>
          </w:tcPr>
          <w:p>
            <w:pPr>
              <w:widowControl w:val="0"/>
              <w:snapToGrid w:val="0"/>
              <w:jc w:val="both"/>
              <w:rPr>
                <w:rFonts w:asciiTheme="minorHAnsi" w:hAnsiTheme="minorHAnsi" w:eastAsiaTheme="minorEastAsia" w:cstheme="minorBidi"/>
                <w:b/>
                <w:bCs/>
                <w:sz w:val="20"/>
                <w:szCs w:val="20"/>
                <w:highlight w:val="none"/>
                <w:lang w:val="en-US" w:eastAsia="zh-CN" w:bidi="ar-SA"/>
              </w:rPr>
            </w:pPr>
            <w:r>
              <w:rPr>
                <w:rFonts w:hint="eastAsia" w:asciiTheme="minorHAnsi" w:hAnsiTheme="minorHAnsi" w:eastAsiaTheme="minorEastAsia" w:cstheme="minorBidi"/>
                <w:b/>
                <w:bCs/>
                <w:sz w:val="20"/>
                <w:szCs w:val="20"/>
                <w:highlight w:val="none"/>
                <w:lang w:val="en-US" w:eastAsia="zh-CN" w:bidi="ar-SA"/>
              </w:rPr>
              <w:t>实测数据</w:t>
            </w:r>
          </w:p>
        </w:tc>
        <w:tc>
          <w:tcPr>
            <w:tcW w:w="0" w:type="auto"/>
            <w:vAlign w:val="center"/>
          </w:tcPr>
          <w:p>
            <w:pPr>
              <w:widowControl w:val="0"/>
              <w:snapToGrid w:val="0"/>
              <w:jc w:val="both"/>
              <w:rPr>
                <w:rFonts w:asciiTheme="minorHAnsi" w:hAnsiTheme="minorHAnsi" w:eastAsiaTheme="minorEastAsia" w:cstheme="minorBidi"/>
                <w:b/>
                <w:bCs/>
                <w:sz w:val="20"/>
                <w:szCs w:val="20"/>
                <w:highlight w:val="none"/>
                <w:lang w:val="en-US" w:eastAsia="zh-CN" w:bidi="ar-SA"/>
              </w:rPr>
            </w:pPr>
            <w:r>
              <w:rPr>
                <w:rFonts w:hint="eastAsia" w:asciiTheme="minorHAnsi" w:hAnsiTheme="minorHAnsi" w:eastAsiaTheme="minorEastAsia" w:cstheme="minorBidi"/>
                <w:b/>
                <w:bCs/>
                <w:sz w:val="20"/>
                <w:szCs w:val="20"/>
                <w:highlight w:val="no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1478"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直流电阻不平衡度</w:t>
            </w:r>
          </w:p>
        </w:tc>
        <w:tc>
          <w:tcPr>
            <w:tcW w:w="1636"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≤3%</w:t>
            </w:r>
          </w:p>
        </w:tc>
        <w:tc>
          <w:tcPr>
            <w:tcW w:w="696"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c>
          <w:tcPr>
            <w:tcW w:w="0" w:type="auto"/>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c>
          <w:tcPr>
            <w:tcW w:w="0" w:type="auto"/>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V/F设置</w:t>
            </w:r>
          </w:p>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0~140Hz</w:t>
            </w:r>
          </w:p>
        </w:tc>
        <w:tc>
          <w:tcPr>
            <w:tcW w:w="1731"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50~140/Hz电压设置值≤2点线性V/F计算值±10%</w:t>
            </w:r>
          </w:p>
        </w:tc>
        <w:tc>
          <w:tcPr>
            <w:tcW w:w="758"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c>
          <w:tcPr>
            <w:tcW w:w="0" w:type="auto"/>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冷态绝缘电阻（6.1.2.2）</w:t>
            </w:r>
          </w:p>
        </w:tc>
        <w:tc>
          <w:tcPr>
            <w:tcW w:w="1636"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≥1000MΩ</w:t>
            </w:r>
          </w:p>
        </w:tc>
        <w:tc>
          <w:tcPr>
            <w:tcW w:w="696"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c>
          <w:tcPr>
            <w:tcW w:w="0" w:type="auto"/>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c>
          <w:tcPr>
            <w:tcW w:w="0" w:type="auto"/>
            <w:vAlign w:val="center"/>
          </w:tcPr>
          <w:p>
            <w:pPr>
              <w:widowControl w:val="0"/>
              <w:snapToGrid w:val="0"/>
              <w:jc w:val="both"/>
              <w:rPr>
                <w:rFonts w:ascii="Times New Roman" w:hAnsi="Times New Roman" w:cs="Times New Roman" w:eastAsiaTheme="minorEastAsia"/>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满负载运行（泵负载法或测功法）</w:t>
            </w:r>
            <w:r>
              <w:rPr>
                <w:rFonts w:ascii="Times New Roman" w:hAnsi="Times New Roman" w:cs="Times New Roman" w:eastAsiaTheme="minorEastAsia"/>
                <w:sz w:val="20"/>
                <w:szCs w:val="20"/>
                <w:highlight w:val="none"/>
                <w:lang w:val="en-US" w:eastAsia="zh-CN" w:bidi="ar-SA"/>
              </w:rPr>
              <w:t>满负载50</w:t>
            </w:r>
            <w:r>
              <w:rPr>
                <w:rFonts w:hint="eastAsia" w:ascii="Times New Roman" w:hAnsi="Times New Roman" w:cs="Times New Roman" w:eastAsiaTheme="minorEastAsia"/>
                <w:sz w:val="20"/>
                <w:szCs w:val="20"/>
                <w:highlight w:val="none"/>
                <w:lang w:val="en-US" w:eastAsia="zh-CN" w:bidi="ar-SA"/>
              </w:rPr>
              <w:t xml:space="preserve"> </w:t>
            </w:r>
            <w:r>
              <w:rPr>
                <w:rFonts w:ascii="Times New Roman" w:hAnsi="Times New Roman" w:cs="Times New Roman" w:eastAsiaTheme="minorEastAsia"/>
                <w:sz w:val="20"/>
                <w:szCs w:val="20"/>
                <w:highlight w:val="none"/>
                <w:lang w:val="en-US" w:eastAsia="zh-CN" w:bidi="ar-SA"/>
              </w:rPr>
              <w:t>~</w:t>
            </w:r>
            <w:r>
              <w:rPr>
                <w:rFonts w:hint="eastAsia" w:ascii="Times New Roman" w:hAnsi="Times New Roman" w:cs="Times New Roman" w:eastAsiaTheme="minorEastAsia"/>
                <w:sz w:val="20"/>
                <w:szCs w:val="20"/>
                <w:highlight w:val="none"/>
                <w:lang w:val="en-US" w:eastAsia="zh-CN" w:bidi="ar-SA"/>
              </w:rPr>
              <w:t xml:space="preserve"> </w:t>
            </w:r>
            <w:r>
              <w:rPr>
                <w:rFonts w:ascii="Times New Roman" w:hAnsi="Times New Roman" w:cs="Times New Roman" w:eastAsiaTheme="minorEastAsia"/>
                <w:sz w:val="20"/>
                <w:szCs w:val="20"/>
                <w:highlight w:val="none"/>
                <w:lang w:val="en-US" w:eastAsia="zh-CN" w:bidi="ar-SA"/>
              </w:rPr>
              <w:t>100Hz运行（泵负载法或测功法）至少包含：50/60/70/80/90/</w:t>
            </w:r>
          </w:p>
          <w:p>
            <w:pPr>
              <w:widowControl w:val="0"/>
              <w:snapToGrid w:val="0"/>
              <w:jc w:val="both"/>
              <w:rPr>
                <w:rFonts w:asciiTheme="minorHAnsi" w:hAnsiTheme="minorHAnsi" w:eastAsiaTheme="minorEastAsia" w:cstheme="minorBidi"/>
                <w:sz w:val="20"/>
                <w:szCs w:val="20"/>
                <w:highlight w:val="none"/>
                <w:lang w:val="en-US" w:eastAsia="zh-CN" w:bidi="ar-SA"/>
              </w:rPr>
            </w:pPr>
            <w:r>
              <w:rPr>
                <w:rFonts w:ascii="Times New Roman" w:hAnsi="Times New Roman" w:cs="Times New Roman" w:eastAsiaTheme="minorEastAsia"/>
                <w:sz w:val="20"/>
                <w:szCs w:val="20"/>
                <w:highlight w:val="none"/>
                <w:lang w:val="en-US" w:eastAsia="zh-CN" w:bidi="ar-SA"/>
              </w:rPr>
              <w:t>100</w:t>
            </w:r>
            <w:r>
              <w:rPr>
                <w:rFonts w:hint="eastAsia" w:ascii="Times New Roman" w:hAnsi="Times New Roman" w:cs="Times New Roman" w:eastAsiaTheme="minorEastAsia"/>
                <w:sz w:val="20"/>
                <w:szCs w:val="20"/>
                <w:highlight w:val="none"/>
                <w:lang w:val="en-US" w:eastAsia="zh-CN" w:bidi="ar-SA"/>
              </w:rPr>
              <w:t>/110/120/130/140</w:t>
            </w:r>
            <w:r>
              <w:rPr>
                <w:rFonts w:ascii="Times New Roman" w:hAnsi="Times New Roman" w:cs="Times New Roman" w:eastAsiaTheme="minorEastAsia"/>
                <w:sz w:val="20"/>
                <w:szCs w:val="20"/>
                <w:highlight w:val="none"/>
                <w:lang w:val="en-US" w:eastAsia="zh-CN" w:bidi="ar-SA"/>
              </w:rPr>
              <w:t>Hz测试点</w:t>
            </w:r>
          </w:p>
        </w:tc>
        <w:tc>
          <w:tcPr>
            <w:tcW w:w="1731"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工作电流≯额定电流</w:t>
            </w:r>
          </w:p>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工作电压≯额定电压</w:t>
            </w:r>
          </w:p>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功率因数＞0.87（350系列）/0.9（450系列）/0.95（562系列）</w:t>
            </w:r>
          </w:p>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电机效率＞85%（350系列）/88%（450系列）/94%（56系列）</w:t>
            </w:r>
          </w:p>
        </w:tc>
        <w:tc>
          <w:tcPr>
            <w:tcW w:w="758"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c>
          <w:tcPr>
            <w:tcW w:w="0" w:type="auto"/>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型式空载试验测量（6.1.2.3.2.2）</w:t>
            </w:r>
          </w:p>
        </w:tc>
        <w:tc>
          <w:tcPr>
            <w:tcW w:w="1636"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 xml:space="preserve">当三相电压平衡时，电机三相空载电流中任一相与三相平均值的偏差的绝对值不应大于三相平均值的10% </w:t>
            </w:r>
          </w:p>
        </w:tc>
        <w:tc>
          <w:tcPr>
            <w:tcW w:w="696"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c>
          <w:tcPr>
            <w:tcW w:w="0" w:type="auto"/>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c>
          <w:tcPr>
            <w:tcW w:w="0" w:type="auto"/>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满负载50~140Hz扫频（泵负载法或测功法）</w:t>
            </w:r>
          </w:p>
        </w:tc>
        <w:tc>
          <w:tcPr>
            <w:tcW w:w="1731"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三轴振动≤1g</w:t>
            </w:r>
          </w:p>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工作电流≯额定电流</w:t>
            </w:r>
          </w:p>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工作电压≯额定电压</w:t>
            </w:r>
          </w:p>
        </w:tc>
        <w:tc>
          <w:tcPr>
            <w:tcW w:w="758"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c>
          <w:tcPr>
            <w:tcW w:w="0" w:type="auto"/>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超速试验（6.1.2.5）</w:t>
            </w:r>
          </w:p>
        </w:tc>
        <w:tc>
          <w:tcPr>
            <w:tcW w:w="1636"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无永久性变形和妨碍电机正常运行的其他缺陷</w:t>
            </w:r>
          </w:p>
        </w:tc>
        <w:tc>
          <w:tcPr>
            <w:tcW w:w="696"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c>
          <w:tcPr>
            <w:tcW w:w="0" w:type="auto"/>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c>
          <w:tcPr>
            <w:tcW w:w="0" w:type="auto"/>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50 Hz、60 Hz、70 Hz、80 Hz、90 Hz、100 Hz、110 Hz、120 Hz、130 Hz、140 Hz，50~140%负载突变（泵负载法或测功法）</w:t>
            </w:r>
          </w:p>
        </w:tc>
        <w:tc>
          <w:tcPr>
            <w:tcW w:w="1731"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三轴振动≤1g</w:t>
            </w:r>
          </w:p>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工作电流≯额定电流</w:t>
            </w:r>
          </w:p>
        </w:tc>
        <w:tc>
          <w:tcPr>
            <w:tcW w:w="758"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c>
          <w:tcPr>
            <w:tcW w:w="0" w:type="auto"/>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电机空载振动测试</w:t>
            </w:r>
            <w:r>
              <w:rPr>
                <w:rFonts w:ascii="Times New Roman" w:hAnsi="Times New Roman" w:cs="Times New Roman" w:eastAsiaTheme="minorEastAsia"/>
                <w:sz w:val="20"/>
                <w:szCs w:val="20"/>
                <w:highlight w:val="none"/>
                <w:lang w:val="en-US" w:eastAsia="zh-CN" w:bidi="ar-SA"/>
              </w:rPr>
              <w:t>（30~</w:t>
            </w:r>
            <w:r>
              <w:rPr>
                <w:rFonts w:hint="eastAsia" w:ascii="Times New Roman" w:hAnsi="Times New Roman" w:cs="Times New Roman" w:eastAsiaTheme="minorEastAsia"/>
                <w:sz w:val="20"/>
                <w:szCs w:val="20"/>
                <w:highlight w:val="none"/>
                <w:lang w:val="en-US" w:eastAsia="zh-CN" w:bidi="ar-SA"/>
              </w:rPr>
              <w:t xml:space="preserve"> </w:t>
            </w:r>
            <w:r>
              <w:rPr>
                <w:rFonts w:ascii="Times New Roman" w:hAnsi="Times New Roman" w:cs="Times New Roman" w:eastAsiaTheme="minorEastAsia"/>
                <w:sz w:val="20"/>
                <w:szCs w:val="20"/>
                <w:highlight w:val="none"/>
                <w:lang w:val="en-US" w:eastAsia="zh-CN" w:bidi="ar-SA"/>
              </w:rPr>
              <w:t>1</w:t>
            </w:r>
            <w:r>
              <w:rPr>
                <w:rFonts w:hint="eastAsia" w:ascii="Times New Roman" w:hAnsi="Times New Roman" w:cs="Times New Roman" w:eastAsiaTheme="minorEastAsia"/>
                <w:sz w:val="20"/>
                <w:szCs w:val="20"/>
                <w:highlight w:val="none"/>
                <w:lang w:val="en-US" w:eastAsia="zh-CN" w:bidi="ar-SA"/>
              </w:rPr>
              <w:t>4</w:t>
            </w:r>
            <w:r>
              <w:rPr>
                <w:rFonts w:ascii="Times New Roman" w:hAnsi="Times New Roman" w:cs="Times New Roman" w:eastAsiaTheme="minorEastAsia"/>
                <w:sz w:val="20"/>
                <w:szCs w:val="20"/>
                <w:highlight w:val="none"/>
                <w:lang w:val="en-US" w:eastAsia="zh-CN" w:bidi="ar-SA"/>
              </w:rPr>
              <w:t>0Hz）</w:t>
            </w:r>
          </w:p>
          <w:p>
            <w:pPr>
              <w:widowControl w:val="0"/>
              <w:snapToGrid w:val="0"/>
              <w:jc w:val="both"/>
              <w:rPr>
                <w:rFonts w:asciiTheme="minorHAnsi" w:hAnsiTheme="minorHAnsi" w:eastAsiaTheme="minorEastAsia" w:cstheme="minorBidi"/>
                <w:sz w:val="20"/>
                <w:szCs w:val="20"/>
                <w:highlight w:val="none"/>
                <w:lang w:val="en-US" w:eastAsia="zh-CN" w:bidi="ar-SA"/>
              </w:rPr>
            </w:pPr>
          </w:p>
        </w:tc>
        <w:tc>
          <w:tcPr>
            <w:tcW w:w="1636"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三轴振动≤1g</w:t>
            </w:r>
          </w:p>
        </w:tc>
        <w:tc>
          <w:tcPr>
            <w:tcW w:w="696"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c>
          <w:tcPr>
            <w:tcW w:w="417"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c>
          <w:tcPr>
            <w:tcW w:w="2172"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1.2倍过负载测试（</w:t>
            </w:r>
            <w:r>
              <w:rPr>
                <w:rFonts w:hint="eastAsia" w:ascii="Times New Roman" w:hAnsi="Times New Roman" w:cs="Times New Roman" w:eastAsiaTheme="minorEastAsia"/>
                <w:sz w:val="20"/>
                <w:szCs w:val="20"/>
                <w:highlight w:val="none"/>
                <w:lang w:val="en-US" w:eastAsia="zh-CN" w:bidi="ar-SA"/>
              </w:rPr>
              <w:t>30~140H在，至少包含</w:t>
            </w:r>
            <w:r>
              <w:rPr>
                <w:rFonts w:hint="eastAsia" w:asciiTheme="minorHAnsi" w:hAnsiTheme="minorHAnsi" w:eastAsiaTheme="minorEastAsia" w:cstheme="minorBidi"/>
                <w:sz w:val="20"/>
                <w:szCs w:val="20"/>
                <w:highlight w:val="none"/>
                <w:lang w:val="en-US" w:eastAsia="zh-CN" w:bidi="ar-SA"/>
              </w:rPr>
              <w:t>50 Hz、60 Hz、70 Hz、80 Hz、90 Hz、100 Hz、110 Hz、120 Hz、130 Hz、140 Hz）</w:t>
            </w:r>
          </w:p>
        </w:tc>
        <w:tc>
          <w:tcPr>
            <w:tcW w:w="1731"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三轴振动≤1g</w:t>
            </w:r>
          </w:p>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工作电流≯1.5倍额定电流</w:t>
            </w:r>
          </w:p>
        </w:tc>
        <w:tc>
          <w:tcPr>
            <w:tcW w:w="758"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c>
          <w:tcPr>
            <w:tcW w:w="0" w:type="auto"/>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温升测试——泵负载法</w:t>
            </w:r>
          </w:p>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（6.1.2.7）</w:t>
            </w:r>
          </w:p>
        </w:tc>
        <w:tc>
          <w:tcPr>
            <w:tcW w:w="1636"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r>
              <w:rPr>
                <w:rFonts w:hint="eastAsia" w:asciiTheme="minorHAnsi" w:hAnsiTheme="minorHAnsi" w:eastAsiaTheme="minorEastAsia" w:cstheme="minorBidi"/>
                <w:sz w:val="20"/>
                <w:szCs w:val="20"/>
                <w:highlight w:val="none"/>
                <w:lang w:val="en-US" w:eastAsia="zh-CN" w:bidi="ar-SA"/>
              </w:rPr>
              <w:t>≤30K</w:t>
            </w:r>
          </w:p>
        </w:tc>
        <w:tc>
          <w:tcPr>
            <w:tcW w:w="696"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c>
          <w:tcPr>
            <w:tcW w:w="0" w:type="auto"/>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c>
          <w:tcPr>
            <w:tcW w:w="0" w:type="auto"/>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c>
          <w:tcPr>
            <w:tcW w:w="1731"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c>
          <w:tcPr>
            <w:tcW w:w="758" w:type="dxa"/>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c>
          <w:tcPr>
            <w:tcW w:w="0" w:type="auto"/>
            <w:vAlign w:val="center"/>
          </w:tcPr>
          <w:p>
            <w:pPr>
              <w:widowControl w:val="0"/>
              <w:snapToGrid w:val="0"/>
              <w:jc w:val="both"/>
              <w:rPr>
                <w:rFonts w:asciiTheme="minorHAnsi" w:hAnsiTheme="minorHAnsi" w:eastAsiaTheme="minorEastAsia" w:cstheme="minorBidi"/>
                <w:sz w:val="20"/>
                <w:szCs w:val="20"/>
                <w:highlight w:val="none"/>
                <w:lang w:val="en-US" w:eastAsia="zh-CN" w:bidi="ar-SA"/>
              </w:rPr>
            </w:pPr>
          </w:p>
        </w:tc>
      </w:tr>
    </w:tbl>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0"/>
        <w:textAlignment w:val="auto"/>
        <w:rPr>
          <w:rFonts w:hint="default"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注：表中见证测试项目如出现任意一项不合格，则由第三方实验机构（CCS、ABS、BV、DNV）中的任意一家出具报告判定该投标人的试验结果为不合格。若匹配试验全部合格，则由第三方实验机构（CCS、ABS、BV、DNV）中的任意一家出具报告判定该投标人的试验结果为合格。</w:t>
      </w:r>
    </w:p>
    <w:p>
      <w:pPr>
        <w:numPr>
          <w:ilvl w:val="0"/>
          <w:numId w:val="0"/>
        </w:numPr>
        <w:autoSpaceDE w:val="0"/>
        <w:autoSpaceDN w:val="0"/>
        <w:adjustRightInd w:val="0"/>
        <w:spacing w:line="360" w:lineRule="auto"/>
        <w:ind w:leftChars="0"/>
        <w:jc w:val="both"/>
        <w:rPr>
          <w:rFonts w:hint="default" w:ascii="Times New Roman" w:hAnsi="Times New Roman" w:eastAsia="宋体" w:cs="Times New Roman"/>
          <w:kern w:val="0"/>
          <w:sz w:val="21"/>
          <w:szCs w:val="21"/>
          <w:highlight w:val="none"/>
          <w:lang w:eastAsia="zh-CN"/>
        </w:rPr>
      </w:pPr>
      <w:r>
        <w:rPr>
          <w:rFonts w:hint="eastAsia" w:ascii="Times New Roman" w:hAnsi="Times New Roman" w:eastAsia="宋体" w:cs="Times New Roman"/>
          <w:kern w:val="0"/>
          <w:sz w:val="21"/>
          <w:szCs w:val="21"/>
          <w:highlight w:val="none"/>
          <w:lang w:val="en-US" w:eastAsia="zh-CN"/>
        </w:rPr>
        <w:t>3）</w:t>
      </w:r>
      <w:r>
        <w:rPr>
          <w:rFonts w:hint="default" w:ascii="Times New Roman" w:hAnsi="Times New Roman" w:eastAsia="宋体" w:cs="Times New Roman"/>
          <w:kern w:val="0"/>
          <w:sz w:val="21"/>
          <w:szCs w:val="21"/>
          <w:highlight w:val="none"/>
          <w:lang w:eastAsia="zh-CN"/>
        </w:rPr>
        <w:t>试验方法应符合GB/T 16750-2015《潜油电泵机组》第6章 试验方法和检验规则要求。</w:t>
      </w:r>
      <w:r>
        <w:rPr>
          <w:rFonts w:hint="eastAsia" w:ascii="Times New Roman" w:hAnsi="Times New Roman" w:eastAsia="宋体" w:cs="Times New Roman"/>
          <w:kern w:val="0"/>
          <w:sz w:val="21"/>
          <w:szCs w:val="21"/>
          <w:highlight w:val="none"/>
          <w:lang w:val="en-US" w:eastAsia="zh-CN"/>
        </w:rPr>
        <w:t>其中</w:t>
      </w:r>
      <w:r>
        <w:rPr>
          <w:rFonts w:hint="default" w:ascii="Times New Roman" w:hAnsi="Times New Roman" w:cs="Times New Roman" w:eastAsiaTheme="minorEastAsia"/>
          <w:kern w:val="0"/>
          <w:sz w:val="20"/>
          <w:szCs w:val="20"/>
          <w:highlight w:val="none"/>
          <w:lang w:eastAsia="zh-CN"/>
        </w:rPr>
        <w:t>型式空载试验测量</w:t>
      </w:r>
      <w:r>
        <w:rPr>
          <w:rFonts w:hint="eastAsia" w:ascii="Times New Roman" w:hAnsi="Times New Roman" w:cs="Times New Roman" w:eastAsiaTheme="minorEastAsia"/>
          <w:kern w:val="0"/>
          <w:sz w:val="20"/>
          <w:szCs w:val="20"/>
          <w:highlight w:val="none"/>
          <w:lang w:val="en-US" w:eastAsia="zh-CN"/>
        </w:rPr>
        <w:t>方法应满足</w:t>
      </w:r>
      <w:r>
        <w:rPr>
          <w:rFonts w:hint="default" w:ascii="Times New Roman" w:hAnsi="Times New Roman" w:eastAsia="宋体" w:cs="Times New Roman"/>
          <w:kern w:val="0"/>
          <w:sz w:val="21"/>
          <w:szCs w:val="21"/>
          <w:highlight w:val="none"/>
          <w:lang w:eastAsia="zh-CN"/>
        </w:rPr>
        <w:t>GB/T 16750-2015《潜油电泵机组》第6章 试验方法和检验规则要求</w:t>
      </w:r>
      <w:r>
        <w:rPr>
          <w:rFonts w:hint="eastAsia" w:ascii="Times New Roman" w:hAnsi="Times New Roman" w:eastAsia="宋体" w:cs="Times New Roman"/>
          <w:kern w:val="0"/>
          <w:sz w:val="21"/>
          <w:szCs w:val="21"/>
          <w:highlight w:val="none"/>
          <w:lang w:val="en-US" w:eastAsia="zh-CN"/>
        </w:rPr>
        <w:t xml:space="preserve"> 6.1 试验方法  6.1.2 电机 6.1.2.3 空载试验  6.1.2.3.2  测量方法  6.1.2.3.2.2 </w:t>
      </w:r>
      <w:r>
        <w:rPr>
          <w:rFonts w:hint="default" w:ascii="Times New Roman" w:hAnsi="Times New Roman" w:cs="Times New Roman" w:eastAsiaTheme="minorEastAsia"/>
          <w:kern w:val="0"/>
          <w:sz w:val="20"/>
          <w:szCs w:val="20"/>
          <w:highlight w:val="none"/>
          <w:lang w:eastAsia="zh-CN"/>
        </w:rPr>
        <w:t>型式空载试验测量</w:t>
      </w:r>
      <w:r>
        <w:rPr>
          <w:rFonts w:hint="eastAsia" w:ascii="Times New Roman" w:hAnsi="Times New Roman" w:cs="Times New Roman" w:eastAsiaTheme="minorEastAsia"/>
          <w:kern w:val="0"/>
          <w:sz w:val="20"/>
          <w:szCs w:val="20"/>
          <w:highlight w:val="none"/>
          <w:lang w:val="en-US" w:eastAsia="zh-CN"/>
        </w:rPr>
        <w:t>方法：电机在工频额定电压下空载启动运行，使机耗达到稳定，即输入功率在半小时前后的两个读数之差不大于前一个读数的3%开始测量。首先将电机工作电压提高到1.1~1.3倍额定电压，然后逐渐降低电机工作电压至可能达到的最低值（电流开始回升时为止），在此期间测7~9点，每点要同时测取三相电压、三相电流、输入功率、频率，其中额定电压时为必测点。试验结束应立即在电机出线端测量定子绕组的直流电阻（带试验电缆）。</w:t>
      </w:r>
    </w:p>
    <w:p>
      <w:pPr>
        <w:numPr>
          <w:ilvl w:val="0"/>
          <w:numId w:val="0"/>
        </w:numPr>
        <w:autoSpaceDE w:val="0"/>
        <w:autoSpaceDN w:val="0"/>
        <w:adjustRightInd w:val="0"/>
        <w:spacing w:line="360" w:lineRule="auto"/>
        <w:jc w:val="both"/>
        <w:rPr>
          <w:rFonts w:hint="default"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4）招标方提供测试场地，</w:t>
      </w:r>
      <w:r>
        <w:rPr>
          <w:rFonts w:hint="eastAsia" w:ascii="宋体" w:hAnsi="宋体" w:eastAsia="宋体" w:cs="宋体"/>
          <w:kern w:val="0"/>
          <w:sz w:val="21"/>
          <w:szCs w:val="21"/>
          <w:highlight w:val="yellow"/>
          <w:lang w:val="en-US" w:eastAsia="zh-CN"/>
        </w:rPr>
        <w:t>投标人、招标人</w:t>
      </w:r>
      <w:r>
        <w:rPr>
          <w:rFonts w:hint="eastAsia" w:ascii="宋体" w:hAnsi="宋体" w:eastAsia="宋体" w:cs="宋体"/>
          <w:kern w:val="0"/>
          <w:sz w:val="21"/>
          <w:szCs w:val="21"/>
          <w:highlight w:val="none"/>
          <w:lang w:val="en-US" w:eastAsia="zh-CN"/>
        </w:rPr>
        <w:t>机采公司以及第三方实验机构（CCS、ABS、BV、DNV）中的任意一家在机械采油公司东沽试验车间共同见证测试试验</w:t>
      </w:r>
      <w:r>
        <w:rPr>
          <w:rFonts w:hint="eastAsia" w:ascii="Times New Roman" w:hAnsi="Times New Roman" w:eastAsia="宋体" w:cs="Times New Roman"/>
          <w:kern w:val="0"/>
          <w:sz w:val="21"/>
          <w:szCs w:val="21"/>
          <w:highlight w:val="none"/>
          <w:lang w:val="en-US" w:eastAsia="zh-CN"/>
        </w:rPr>
        <w:t>，同时招标方提供</w:t>
      </w:r>
      <w:r>
        <w:rPr>
          <w:rFonts w:hint="default" w:ascii="Times New Roman" w:hAnsi="Times New Roman" w:eastAsia="宋体" w:cs="Times New Roman"/>
          <w:kern w:val="0"/>
          <w:sz w:val="21"/>
          <w:szCs w:val="21"/>
          <w:highlight w:val="none"/>
          <w:lang w:val="en-US" w:eastAsia="zh-CN"/>
        </w:rPr>
        <w:t>HAILOONG LIFT品牌的</w:t>
      </w:r>
      <w:r>
        <w:rPr>
          <w:rFonts w:hint="eastAsia" w:ascii="Times New Roman" w:hAnsi="Times New Roman" w:eastAsia="宋体" w:cs="Times New Roman"/>
          <w:kern w:val="0"/>
          <w:sz w:val="21"/>
          <w:szCs w:val="21"/>
          <w:highlight w:val="none"/>
          <w:lang w:val="en-US" w:eastAsia="zh-CN"/>
        </w:rPr>
        <w:t>OTS400</w:t>
      </w:r>
      <w:r>
        <w:rPr>
          <w:rFonts w:hint="default" w:ascii="Times New Roman" w:hAnsi="Times New Roman" w:eastAsia="宋体" w:cs="Times New Roman"/>
          <w:kern w:val="0"/>
          <w:sz w:val="21"/>
          <w:szCs w:val="21"/>
          <w:highlight w:val="none"/>
          <w:lang w:val="en-US" w:eastAsia="zh-CN"/>
        </w:rPr>
        <w:t>变频器</w:t>
      </w:r>
      <w:r>
        <w:rPr>
          <w:rFonts w:hint="eastAsia" w:ascii="Times New Roman" w:hAnsi="Times New Roman" w:eastAsia="宋体" w:cs="Times New Roman"/>
          <w:kern w:val="0"/>
          <w:sz w:val="21"/>
          <w:szCs w:val="21"/>
          <w:highlight w:val="none"/>
          <w:lang w:val="en-US" w:eastAsia="zh-CN"/>
        </w:rPr>
        <w:t>和</w:t>
      </w:r>
      <w:r>
        <w:rPr>
          <w:rFonts w:hint="default" w:ascii="Times New Roman" w:hAnsi="Times New Roman" w:eastAsia="宋体" w:cs="Times New Roman"/>
          <w:kern w:val="0"/>
          <w:sz w:val="21"/>
          <w:szCs w:val="21"/>
          <w:highlight w:val="none"/>
          <w:lang w:val="en-US" w:eastAsia="zh-CN"/>
        </w:rPr>
        <w:t>HAILOONG DS1系列泵工况</w:t>
      </w:r>
      <w:r>
        <w:rPr>
          <w:rFonts w:hint="eastAsia" w:ascii="Times New Roman" w:hAnsi="Times New Roman" w:eastAsia="宋体" w:cs="Times New Roman"/>
          <w:kern w:val="0"/>
          <w:sz w:val="21"/>
          <w:szCs w:val="21"/>
          <w:highlight w:val="none"/>
          <w:lang w:val="en-US" w:eastAsia="zh-CN"/>
        </w:rPr>
        <w:t>，投标人提供电机并送往机械采油东沽试验车间。</w:t>
      </w:r>
    </w:p>
    <w:p>
      <w:pPr>
        <w:numPr>
          <w:ilvl w:val="0"/>
          <w:numId w:val="0"/>
        </w:numPr>
        <w:autoSpaceDE w:val="0"/>
        <w:autoSpaceDN w:val="0"/>
        <w:adjustRightInd w:val="0"/>
        <w:spacing w:line="360" w:lineRule="auto"/>
        <w:ind w:leftChars="0"/>
        <w:jc w:val="both"/>
        <w:rPr>
          <w:rFonts w:hint="eastAsia" w:ascii="Times New Roman" w:hAnsi="Times New Roman" w:eastAsia="宋体" w:cs="Times New Roman"/>
          <w:kern w:val="0"/>
          <w:sz w:val="21"/>
          <w:szCs w:val="21"/>
          <w:highlight w:val="none"/>
          <w:lang w:eastAsia="zh-CN"/>
        </w:rPr>
      </w:pPr>
      <w:r>
        <w:rPr>
          <w:rFonts w:hint="eastAsia" w:ascii="Times New Roman" w:hAnsi="Times New Roman" w:eastAsia="宋体" w:cs="Times New Roman"/>
          <w:kern w:val="0"/>
          <w:sz w:val="21"/>
          <w:szCs w:val="21"/>
          <w:highlight w:val="none"/>
          <w:lang w:val="en-US" w:eastAsia="zh-CN"/>
        </w:rPr>
        <w:t>5）</w:t>
      </w:r>
      <w:r>
        <w:rPr>
          <w:rFonts w:hint="default" w:ascii="Times New Roman" w:hAnsi="Times New Roman" w:eastAsia="宋体" w:cs="Times New Roman"/>
          <w:kern w:val="0"/>
          <w:sz w:val="21"/>
          <w:szCs w:val="21"/>
          <w:highlight w:val="none"/>
          <w:lang w:eastAsia="zh-CN"/>
        </w:rPr>
        <w:t>第三方机构测试期间发生的所有见证费用由</w:t>
      </w:r>
      <w:r>
        <w:rPr>
          <w:rFonts w:hint="eastAsia" w:ascii="Times New Roman" w:hAnsi="Times New Roman" w:eastAsia="宋体" w:cs="Times New Roman"/>
          <w:kern w:val="0"/>
          <w:sz w:val="21"/>
          <w:szCs w:val="21"/>
          <w:highlight w:val="none"/>
          <w:lang w:eastAsia="zh-CN"/>
        </w:rPr>
        <w:t>投标人</w:t>
      </w:r>
      <w:r>
        <w:rPr>
          <w:rFonts w:hint="default" w:ascii="Times New Roman" w:hAnsi="Times New Roman" w:eastAsia="宋体" w:cs="Times New Roman"/>
          <w:kern w:val="0"/>
          <w:sz w:val="21"/>
          <w:szCs w:val="21"/>
          <w:highlight w:val="none"/>
          <w:lang w:eastAsia="zh-CN"/>
        </w:rPr>
        <w:t>负责</w:t>
      </w:r>
      <w:r>
        <w:rPr>
          <w:rFonts w:hint="eastAsia" w:ascii="Times New Roman" w:hAnsi="Times New Roman" w:eastAsia="宋体" w:cs="Times New Roman"/>
          <w:kern w:val="0"/>
          <w:sz w:val="21"/>
          <w:szCs w:val="21"/>
          <w:highlight w:val="none"/>
          <w:lang w:eastAsia="zh-CN"/>
        </w:rPr>
        <w:t>，</w:t>
      </w:r>
      <w:r>
        <w:rPr>
          <w:rFonts w:hint="eastAsia" w:ascii="Times New Roman" w:hAnsi="Times New Roman" w:eastAsia="宋体" w:cs="Times New Roman"/>
          <w:kern w:val="0"/>
          <w:sz w:val="21"/>
          <w:szCs w:val="21"/>
          <w:highlight w:val="none"/>
          <w:lang w:val="en-US" w:eastAsia="zh-CN"/>
        </w:rPr>
        <w:t>测试期间运输电机等测试物资发生的往返运费由</w:t>
      </w:r>
      <w:r>
        <w:rPr>
          <w:rFonts w:hint="eastAsia" w:ascii="Times New Roman" w:hAnsi="Times New Roman" w:eastAsia="宋体" w:cs="Times New Roman"/>
          <w:kern w:val="0"/>
          <w:sz w:val="21"/>
          <w:szCs w:val="21"/>
          <w:highlight w:val="none"/>
          <w:lang w:eastAsia="zh-CN"/>
        </w:rPr>
        <w:t>投标人</w:t>
      </w:r>
      <w:r>
        <w:rPr>
          <w:rFonts w:hint="default" w:ascii="Times New Roman" w:hAnsi="Times New Roman" w:eastAsia="宋体" w:cs="Times New Roman"/>
          <w:kern w:val="0"/>
          <w:sz w:val="21"/>
          <w:szCs w:val="21"/>
          <w:highlight w:val="none"/>
          <w:lang w:eastAsia="zh-CN"/>
        </w:rPr>
        <w:t>负责</w:t>
      </w:r>
      <w:r>
        <w:rPr>
          <w:rFonts w:hint="eastAsia" w:ascii="Times New Roman" w:hAnsi="Times New Roman" w:eastAsia="宋体" w:cs="Times New Roman"/>
          <w:kern w:val="0"/>
          <w:sz w:val="21"/>
          <w:szCs w:val="21"/>
          <w:highlight w:val="none"/>
          <w:lang w:eastAsia="zh-CN"/>
        </w:rPr>
        <w:t>，</w:t>
      </w:r>
      <w:r>
        <w:rPr>
          <w:rFonts w:hint="eastAsia" w:ascii="Times New Roman" w:hAnsi="Times New Roman" w:eastAsia="宋体" w:cs="Times New Roman"/>
          <w:kern w:val="0"/>
          <w:sz w:val="21"/>
          <w:szCs w:val="21"/>
          <w:highlight w:val="none"/>
          <w:lang w:val="en-US" w:eastAsia="zh-CN"/>
        </w:rPr>
        <w:t>测试期间如出现因投标人的电机试验导致现场招标方和投标人的物资和设备损坏的情况，招标方的物资和设备损坏所产生的费用由投标人负责，投标人的物资和设备损坏所产生的费用由投标人自行承担</w:t>
      </w:r>
      <w:r>
        <w:rPr>
          <w:rFonts w:hint="eastAsia" w:ascii="Times New Roman" w:hAnsi="Times New Roman" w:eastAsia="宋体" w:cs="Times New Roman"/>
          <w:kern w:val="0"/>
          <w:sz w:val="21"/>
          <w:szCs w:val="21"/>
          <w:highlight w:val="none"/>
          <w:lang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jc w:val="both"/>
        <w:textAlignment w:val="auto"/>
        <w:rPr>
          <w:rFonts w:hint="default" w:ascii="Times New Roman" w:hAnsi="Times New Roman" w:eastAsia="宋体" w:cs="Times New Roman"/>
          <w:color w:val="auto"/>
          <w:kern w:val="0"/>
          <w:sz w:val="20"/>
          <w:szCs w:val="20"/>
          <w:highlight w:val="none"/>
          <w:lang w:val="en-US" w:eastAsia="zh-CN"/>
        </w:rPr>
      </w:pPr>
      <w:r>
        <w:rPr>
          <w:rFonts w:hint="eastAsia" w:ascii="Times New Roman" w:hAnsi="Times New Roman" w:eastAsia="宋体" w:cs="Times New Roman"/>
          <w:kern w:val="2"/>
          <w:sz w:val="21"/>
          <w:szCs w:val="21"/>
          <w:highlight w:val="none"/>
          <w:lang w:val="en-US" w:eastAsia="zh-CN" w:bidi="ar-SA"/>
        </w:rPr>
        <w:t>6）投标人的电机和</w:t>
      </w:r>
      <w:r>
        <w:rPr>
          <w:rFonts w:hint="default" w:ascii="Times New Roman" w:hAnsi="Times New Roman" w:eastAsia="宋体" w:cs="Times New Roman"/>
          <w:kern w:val="2"/>
          <w:sz w:val="21"/>
          <w:szCs w:val="21"/>
          <w:highlight w:val="none"/>
          <w:lang w:val="en-US" w:eastAsia="zh-CN" w:bidi="ar-SA"/>
        </w:rPr>
        <w:t>HAILOONG LIFT品牌的</w:t>
      </w:r>
      <w:r>
        <w:rPr>
          <w:rFonts w:hint="eastAsia" w:ascii="Times New Roman" w:hAnsi="Times New Roman" w:eastAsia="宋体" w:cs="Times New Roman"/>
          <w:kern w:val="2"/>
          <w:sz w:val="21"/>
          <w:szCs w:val="21"/>
          <w:highlight w:val="none"/>
          <w:lang w:val="en-US" w:eastAsia="zh-CN" w:bidi="ar-SA"/>
        </w:rPr>
        <w:t>OTS400</w:t>
      </w:r>
      <w:r>
        <w:rPr>
          <w:rFonts w:hint="default" w:ascii="Times New Roman" w:hAnsi="Times New Roman" w:eastAsia="宋体" w:cs="Times New Roman"/>
          <w:kern w:val="2"/>
          <w:sz w:val="21"/>
          <w:szCs w:val="21"/>
          <w:highlight w:val="none"/>
          <w:lang w:val="en-US" w:eastAsia="zh-CN" w:bidi="ar-SA"/>
        </w:rPr>
        <w:t>变频器</w:t>
      </w:r>
      <w:r>
        <w:rPr>
          <w:rFonts w:hint="eastAsia" w:ascii="Times New Roman" w:hAnsi="Times New Roman" w:eastAsia="宋体" w:cs="Times New Roman"/>
          <w:kern w:val="2"/>
          <w:sz w:val="21"/>
          <w:szCs w:val="21"/>
          <w:highlight w:val="none"/>
          <w:lang w:val="en-US" w:eastAsia="zh-CN" w:bidi="ar-SA"/>
        </w:rPr>
        <w:t>匹配性试验成功，该投标人被判定为资格预审合格。如投标人的电机和</w:t>
      </w:r>
      <w:r>
        <w:rPr>
          <w:rFonts w:hint="default" w:ascii="Times New Roman" w:hAnsi="Times New Roman" w:eastAsia="宋体" w:cs="Times New Roman"/>
          <w:kern w:val="2"/>
          <w:sz w:val="21"/>
          <w:szCs w:val="21"/>
          <w:highlight w:val="none"/>
          <w:lang w:val="en-US" w:eastAsia="zh-CN" w:bidi="ar-SA"/>
        </w:rPr>
        <w:t>HAILOONG LIFT品牌的</w:t>
      </w:r>
      <w:r>
        <w:rPr>
          <w:rFonts w:hint="eastAsia" w:ascii="Times New Roman" w:hAnsi="Times New Roman" w:eastAsia="宋体" w:cs="Times New Roman"/>
          <w:kern w:val="2"/>
          <w:sz w:val="21"/>
          <w:szCs w:val="21"/>
          <w:highlight w:val="none"/>
          <w:lang w:val="en-US" w:eastAsia="zh-CN" w:bidi="ar-SA"/>
        </w:rPr>
        <w:t>OTS400</w:t>
      </w:r>
      <w:r>
        <w:rPr>
          <w:rFonts w:hint="default" w:ascii="Times New Roman" w:hAnsi="Times New Roman" w:eastAsia="宋体" w:cs="Times New Roman"/>
          <w:kern w:val="2"/>
          <w:sz w:val="21"/>
          <w:szCs w:val="21"/>
          <w:highlight w:val="none"/>
          <w:lang w:val="en-US" w:eastAsia="zh-CN" w:bidi="ar-SA"/>
        </w:rPr>
        <w:t>变频器</w:t>
      </w:r>
      <w:r>
        <w:rPr>
          <w:rFonts w:hint="eastAsia" w:ascii="Times New Roman" w:hAnsi="Times New Roman" w:eastAsia="宋体" w:cs="Times New Roman"/>
          <w:kern w:val="2"/>
          <w:sz w:val="21"/>
          <w:szCs w:val="21"/>
          <w:highlight w:val="none"/>
          <w:lang w:val="en-US" w:eastAsia="zh-CN" w:bidi="ar-SA"/>
        </w:rPr>
        <w:t>匹配性试验失败，则投标人被</w:t>
      </w:r>
      <w:r>
        <w:rPr>
          <w:rFonts w:hint="eastAsia" w:ascii="Times New Roman" w:hAnsi="Times New Roman" w:eastAsia="宋体" w:cs="Times New Roman"/>
          <w:kern w:val="2"/>
          <w:sz w:val="21"/>
          <w:szCs w:val="21"/>
          <w:lang w:val="en-US" w:eastAsia="zh-CN" w:bidi="ar-SA"/>
        </w:rPr>
        <w:t>判定为资格预审不合格。</w:t>
      </w:r>
    </w:p>
    <w:p>
      <w:pPr>
        <w:keepNext w:val="0"/>
        <w:keepLines w:val="0"/>
        <w:pageBreakBefore w:val="0"/>
        <w:widowControl w:val="0"/>
        <w:numPr>
          <w:ilvl w:val="2"/>
          <w:numId w:val="19"/>
        </w:numPr>
        <w:kinsoku/>
        <w:wordWrap/>
        <w:overflowPunct/>
        <w:topLinePunct w:val="0"/>
        <w:autoSpaceDE w:val="0"/>
        <w:autoSpaceDN w:val="0"/>
        <w:bidi w:val="0"/>
        <w:adjustRightInd w:val="0"/>
        <w:snapToGrid/>
        <w:spacing w:line="360" w:lineRule="auto"/>
        <w:ind w:left="567" w:hanging="567" w:firstLineChars="0"/>
        <w:jc w:val="both"/>
        <w:textAlignment w:val="auto"/>
        <w:rPr>
          <w:rFonts w:hint="default" w:ascii="Times New Roman" w:hAnsi="Times New Roman" w:eastAsia="宋体" w:cs="Times New Roman"/>
          <w:color w:val="auto"/>
          <w:kern w:val="0"/>
          <w:sz w:val="20"/>
          <w:szCs w:val="20"/>
          <w:highlight w:val="none"/>
          <w:lang w:val="en-US" w:eastAsia="zh-CN"/>
        </w:rPr>
      </w:pPr>
      <w:r>
        <w:rPr>
          <w:rFonts w:hint="default" w:ascii="Segoe UI Symbol" w:hAnsi="Segoe UI Symbol" w:eastAsia="宋体" w:cs="Segoe UI Symbol"/>
          <w:kern w:val="0"/>
          <w:sz w:val="21"/>
          <w:szCs w:val="21"/>
          <w:lang w:eastAsia="zh-CN"/>
        </w:rPr>
        <w:t>★</w:t>
      </w:r>
      <w:r>
        <w:rPr>
          <w:rFonts w:hint="eastAsia" w:ascii="Times New Roman" w:hAnsi="Times New Roman" w:eastAsia="宋体" w:cs="Times New Roman"/>
          <w:color w:val="auto"/>
          <w:kern w:val="0"/>
          <w:sz w:val="20"/>
          <w:szCs w:val="20"/>
          <w:highlight w:val="none"/>
          <w:lang w:val="en-US" w:eastAsia="zh-CN"/>
        </w:rPr>
        <w:t>投标人</w:t>
      </w:r>
      <w:r>
        <w:rPr>
          <w:rFonts w:hint="default" w:ascii="Times New Roman" w:hAnsi="Times New Roman" w:eastAsia="宋体" w:cs="Times New Roman"/>
          <w:color w:val="auto"/>
          <w:kern w:val="0"/>
          <w:sz w:val="20"/>
          <w:szCs w:val="20"/>
          <w:highlight w:val="none"/>
          <w:lang w:val="en-US" w:eastAsia="zh-CN"/>
        </w:rPr>
        <w:t>需有自己的生产设备，投标时需提供与投标公司名称一致的生产设备采购合同或发票和照片。生产设备至少包括电机定子叠压机、定子调直设备、定子嵌线台架、真空浸漆装置、永磁电机总装台。</w:t>
      </w:r>
      <w:r>
        <w:rPr>
          <w:rFonts w:hint="default" w:ascii="Times New Roman" w:hAnsi="Times New Roman" w:eastAsia="宋体" w:cs="Times New Roman"/>
          <w:color w:val="auto"/>
          <w:kern w:val="0"/>
          <w:sz w:val="20"/>
          <w:szCs w:val="20"/>
          <w:highlight w:val="yellow"/>
          <w:lang w:val="en-US" w:eastAsia="zh-CN"/>
        </w:rPr>
        <w:t>（如合同/发票上的设备/物资名称能与本项要求的名称不一致，但是能实现相应的主要功能，即视为具备该设备，符合要求）。</w:t>
      </w:r>
    </w:p>
    <w:p>
      <w:pPr>
        <w:keepNext w:val="0"/>
        <w:keepLines w:val="0"/>
        <w:pageBreakBefore w:val="0"/>
        <w:widowControl w:val="0"/>
        <w:numPr>
          <w:ilvl w:val="2"/>
          <w:numId w:val="19"/>
        </w:numPr>
        <w:kinsoku/>
        <w:wordWrap/>
        <w:overflowPunct/>
        <w:topLinePunct w:val="0"/>
        <w:autoSpaceDE w:val="0"/>
        <w:autoSpaceDN w:val="0"/>
        <w:bidi w:val="0"/>
        <w:adjustRightInd w:val="0"/>
        <w:snapToGrid/>
        <w:spacing w:line="360" w:lineRule="auto"/>
        <w:ind w:left="567" w:hanging="567" w:firstLineChars="0"/>
        <w:jc w:val="both"/>
        <w:textAlignment w:val="auto"/>
        <w:rPr>
          <w:rFonts w:hint="default" w:ascii="Times New Roman" w:hAnsi="Times New Roman" w:eastAsia="宋体" w:cs="Times New Roman"/>
          <w:color w:val="auto"/>
          <w:kern w:val="0"/>
          <w:sz w:val="20"/>
          <w:szCs w:val="20"/>
          <w:highlight w:val="none"/>
          <w:lang w:val="en-US" w:eastAsia="zh-CN"/>
        </w:rPr>
      </w:pPr>
      <w:r>
        <w:rPr>
          <w:rFonts w:hint="default" w:ascii="Segoe UI Symbol" w:hAnsi="Segoe UI Symbol" w:eastAsia="宋体" w:cs="Segoe UI Symbol"/>
          <w:kern w:val="0"/>
          <w:sz w:val="21"/>
          <w:szCs w:val="21"/>
          <w:lang w:eastAsia="zh-CN"/>
        </w:rPr>
        <w:t>★</w:t>
      </w:r>
      <w:r>
        <w:rPr>
          <w:rFonts w:hint="eastAsia" w:ascii="Times New Roman" w:hAnsi="Times New Roman" w:eastAsia="宋体" w:cs="Times New Roman"/>
          <w:color w:val="auto"/>
          <w:kern w:val="0"/>
          <w:sz w:val="20"/>
          <w:szCs w:val="20"/>
          <w:highlight w:val="none"/>
          <w:lang w:val="en-US" w:eastAsia="zh-CN"/>
        </w:rPr>
        <w:t>投标人</w:t>
      </w:r>
      <w:r>
        <w:rPr>
          <w:rFonts w:hint="default" w:ascii="Times New Roman" w:hAnsi="Times New Roman" w:eastAsia="宋体" w:cs="Times New Roman"/>
          <w:color w:val="auto"/>
          <w:kern w:val="0"/>
          <w:sz w:val="20"/>
          <w:szCs w:val="20"/>
          <w:highlight w:val="none"/>
          <w:lang w:val="en-US" w:eastAsia="zh-CN"/>
        </w:rPr>
        <w:t>需有自己的检验设备,投标时需提供与投标公司名称一致的检验设备采购合同或发票和照片，合同中检验设备的数量应满足本招标书要求的最低产能。检验设备至少包括高压电火花机、磁矩检测仪（剩磁检测设备）、磁通计、光学影像尺寸测量仪、示波器、功率分析仪、扭矩分析仪、电机试验测试系统及在线监测系统。</w:t>
      </w:r>
      <w:r>
        <w:rPr>
          <w:rFonts w:hint="default" w:ascii="Times New Roman" w:hAnsi="Times New Roman" w:eastAsia="宋体" w:cs="Times New Roman"/>
          <w:color w:val="auto"/>
          <w:kern w:val="0"/>
          <w:sz w:val="20"/>
          <w:szCs w:val="20"/>
          <w:highlight w:val="yellow"/>
          <w:lang w:val="en-US" w:eastAsia="zh-CN"/>
        </w:rPr>
        <w:t>（如合同/发票上的设备/物资名称能与本项要求的名称不一致，但是能实现相应的主要功能，即视为具备该设备，符合要求）。</w:t>
      </w:r>
    </w:p>
    <w:p>
      <w:pPr>
        <w:keepNext w:val="0"/>
        <w:keepLines w:val="0"/>
        <w:pageBreakBefore w:val="0"/>
        <w:widowControl w:val="0"/>
        <w:numPr>
          <w:ilvl w:val="2"/>
          <w:numId w:val="19"/>
        </w:numPr>
        <w:kinsoku/>
        <w:wordWrap/>
        <w:overflowPunct/>
        <w:topLinePunct w:val="0"/>
        <w:autoSpaceDE w:val="0"/>
        <w:autoSpaceDN w:val="0"/>
        <w:bidi w:val="0"/>
        <w:adjustRightInd w:val="0"/>
        <w:snapToGrid/>
        <w:spacing w:line="360" w:lineRule="auto"/>
        <w:ind w:left="567" w:hanging="567" w:firstLineChars="0"/>
        <w:jc w:val="both"/>
        <w:textAlignment w:val="auto"/>
        <w:rPr>
          <w:rFonts w:hint="default" w:ascii="Times New Roman" w:hAnsi="Times New Roman" w:cs="Times New Roman" w:eastAsiaTheme="minorEastAsia"/>
          <w:kern w:val="0"/>
          <w:sz w:val="21"/>
          <w:szCs w:val="21"/>
          <w:highlight w:val="none"/>
          <w:lang w:eastAsia="zh-CN"/>
        </w:rPr>
      </w:pPr>
      <w:r>
        <w:rPr>
          <w:rFonts w:hint="default" w:ascii="Times New Roman" w:hAnsi="Times New Roman" w:eastAsia="宋体" w:cs="Times New Roman"/>
          <w:color w:val="auto"/>
          <w:kern w:val="0"/>
          <w:sz w:val="20"/>
          <w:szCs w:val="20"/>
          <w:highlight w:val="none"/>
          <w:lang w:eastAsia="zh-CN"/>
        </w:rPr>
        <w:t>零件尺寸的检验</w:t>
      </w:r>
    </w:p>
    <w:p>
      <w:pPr>
        <w:pStyle w:val="39"/>
        <w:numPr>
          <w:ilvl w:val="0"/>
          <w:numId w:val="21"/>
        </w:numPr>
        <w:spacing w:before="120" w:after="120" w:line="360" w:lineRule="auto"/>
        <w:ind w:firstLine="400" w:firstLineChars="200"/>
        <w:jc w:val="both"/>
        <w:outlineLvl w:val="0"/>
        <w:rPr>
          <w:rFonts w:hint="default" w:ascii="Times New Roman" w:hAnsi="Times New Roman" w:eastAsia="宋体" w:cs="Times New Roman"/>
          <w:color w:val="auto"/>
          <w:sz w:val="20"/>
          <w:szCs w:val="20"/>
          <w:highlight w:val="none"/>
          <w:lang w:val="en-US" w:eastAsia="zh-CN" w:bidi="ar-SA"/>
        </w:rPr>
      </w:pPr>
      <w:bookmarkStart w:id="191" w:name="_Toc27054"/>
      <w:bookmarkStart w:id="192" w:name="_Toc11183"/>
      <w:bookmarkStart w:id="193" w:name="_Toc25597"/>
      <w:bookmarkStart w:id="194" w:name="_Toc29974"/>
      <w:r>
        <w:rPr>
          <w:rFonts w:hint="default" w:ascii="Times New Roman" w:hAnsi="Times New Roman" w:eastAsia="宋体" w:cs="Times New Roman"/>
          <w:color w:val="auto"/>
          <w:sz w:val="20"/>
          <w:szCs w:val="20"/>
          <w:highlight w:val="none"/>
          <w:lang w:val="en-US" w:eastAsia="zh-CN" w:bidi="ar-SA"/>
        </w:rPr>
        <w:t>按照加工图纸尺寸及公差要求对产品的外径、内径、角度、长度、倒角尺寸、粗糙度等进行100%全检，确保所有产品加工尺寸都在图纸尺寸范围内。</w:t>
      </w:r>
      <w:bookmarkEnd w:id="191"/>
      <w:bookmarkEnd w:id="192"/>
      <w:bookmarkEnd w:id="193"/>
      <w:bookmarkEnd w:id="194"/>
    </w:p>
    <w:p>
      <w:pPr>
        <w:pStyle w:val="39"/>
        <w:numPr>
          <w:ilvl w:val="0"/>
          <w:numId w:val="21"/>
        </w:numPr>
        <w:spacing w:before="120" w:after="120" w:line="360" w:lineRule="auto"/>
        <w:ind w:firstLine="420" w:firstLineChars="200"/>
        <w:jc w:val="both"/>
        <w:outlineLvl w:val="0"/>
        <w:rPr>
          <w:rFonts w:hint="default" w:ascii="Times New Roman" w:hAnsi="Times New Roman" w:eastAsia="宋体" w:cs="Times New Roman"/>
          <w:color w:val="auto"/>
          <w:sz w:val="20"/>
          <w:szCs w:val="20"/>
          <w:highlight w:val="none"/>
          <w:lang w:val="en-US" w:eastAsia="zh-CN" w:bidi="ar-SA"/>
        </w:rPr>
      </w:pPr>
      <w:bookmarkStart w:id="195" w:name="_Toc22233"/>
      <w:bookmarkStart w:id="196" w:name="_Toc26957"/>
      <w:bookmarkStart w:id="197" w:name="_Toc2425"/>
      <w:bookmarkStart w:id="198" w:name="_Toc26989"/>
      <w:r>
        <w:rPr>
          <w:rFonts w:hint="default" w:ascii="Segoe UI Symbol" w:hAnsi="Segoe UI Symbol" w:eastAsia="宋体" w:cs="Segoe UI Symbol"/>
          <w:sz w:val="21"/>
          <w:szCs w:val="21"/>
          <w:lang w:eastAsia="zh-CN"/>
        </w:rPr>
        <w:t>★</w:t>
      </w:r>
      <w:r>
        <w:rPr>
          <w:rFonts w:hint="eastAsia" w:ascii="宋体" w:hAnsi="宋体" w:eastAsia="宋体" w:cs="宋体"/>
          <w:color w:val="auto"/>
          <w:sz w:val="21"/>
          <w:szCs w:val="21"/>
          <w:highlight w:val="none"/>
          <w:lang w:val="en-US" w:eastAsia="zh-CN" w:bidi="ar-SA"/>
        </w:rPr>
        <w:t>潜油永磁电机转子要求动平衡测试，动平衡质量级别不低于G6.3（6.3mm/s），卖方在投标时出具450和562系列潜油永磁电机转子的动平衡测试报告。</w:t>
      </w:r>
      <w:bookmarkEnd w:id="195"/>
      <w:bookmarkEnd w:id="196"/>
      <w:bookmarkEnd w:id="197"/>
      <w:bookmarkEnd w:id="198"/>
    </w:p>
    <w:p>
      <w:pPr>
        <w:keepNext/>
        <w:keepLines/>
        <w:widowControl w:val="0"/>
        <w:spacing w:before="0" w:after="0" w:line="360" w:lineRule="auto"/>
        <w:ind w:firstLine="402" w:firstLineChars="200"/>
        <w:jc w:val="left"/>
        <w:outlineLvl w:val="0"/>
        <w:rPr>
          <w:rFonts w:hint="default" w:ascii="Times New Roman" w:hAnsi="Times New Roman" w:eastAsia="宋体" w:cs="Times New Roman"/>
          <w:b/>
          <w:bCs/>
          <w:kern w:val="44"/>
          <w:sz w:val="21"/>
          <w:szCs w:val="21"/>
          <w:lang w:val="en-US" w:eastAsia="zh-CN" w:bidi="ar-SA"/>
        </w:rPr>
      </w:pPr>
      <w:r>
        <w:rPr>
          <w:rFonts w:hint="default" w:ascii="Times New Roman" w:hAnsi="Times New Roman" w:eastAsia="宋体" w:cs="Times New Roman"/>
          <w:b/>
          <w:bCs/>
          <w:color w:val="auto"/>
          <w:kern w:val="44"/>
          <w:sz w:val="20"/>
          <w:szCs w:val="20"/>
          <w:highlight w:val="none"/>
          <w:lang w:val="en-US" w:eastAsia="zh-CN" w:bidi="ar-SA"/>
        </w:rPr>
        <w:t>七、</w:t>
      </w:r>
      <w:r>
        <w:rPr>
          <w:rFonts w:hint="default" w:ascii="Times New Roman" w:hAnsi="Times New Roman" w:eastAsia="宋体" w:cs="Times New Roman"/>
          <w:b/>
          <w:bCs/>
          <w:kern w:val="44"/>
          <w:sz w:val="21"/>
          <w:szCs w:val="21"/>
          <w:lang w:val="en-US" w:eastAsia="zh-CN" w:bidi="ar-SA"/>
        </w:rPr>
        <w:t>标识、包装、运输和存储</w:t>
      </w:r>
    </w:p>
    <w:p>
      <w:pPr>
        <w:numPr>
          <w:ilvl w:val="1"/>
          <w:numId w:val="22"/>
        </w:numPr>
        <w:adjustRightInd w:val="0"/>
        <w:snapToGrid w:val="0"/>
        <w:spacing w:line="360" w:lineRule="auto"/>
        <w:ind w:left="0" w:firstLine="422" w:firstLineChars="200"/>
        <w:jc w:val="both"/>
        <w:outlineLvl w:val="0"/>
        <w:rPr>
          <w:rFonts w:hint="default" w:ascii="Times New Roman" w:hAnsi="Times New Roman" w:eastAsia="宋体" w:cs="Times New Roman"/>
          <w:b/>
          <w:kern w:val="0"/>
          <w:sz w:val="21"/>
          <w:szCs w:val="21"/>
          <w:lang w:eastAsia="en-US"/>
        </w:rPr>
      </w:pPr>
      <w:bookmarkStart w:id="199" w:name="_Toc19780"/>
      <w:bookmarkStart w:id="200" w:name="_Toc27461"/>
      <w:bookmarkStart w:id="201" w:name="_Toc27689"/>
      <w:bookmarkStart w:id="202" w:name="_Toc3303"/>
      <w:bookmarkStart w:id="203" w:name="_Toc3272"/>
      <w:r>
        <w:rPr>
          <w:rFonts w:hint="default" w:ascii="Times New Roman" w:hAnsi="Times New Roman" w:eastAsia="宋体" w:cs="Times New Roman"/>
          <w:b/>
          <w:kern w:val="0"/>
          <w:sz w:val="21"/>
          <w:szCs w:val="21"/>
          <w:lang w:eastAsia="zh-CN"/>
        </w:rPr>
        <w:t>送货</w:t>
      </w:r>
      <w:r>
        <w:rPr>
          <w:rFonts w:hint="default" w:ascii="Times New Roman" w:hAnsi="Times New Roman" w:eastAsia="宋体" w:cs="Times New Roman"/>
          <w:b/>
          <w:kern w:val="0"/>
          <w:sz w:val="21"/>
          <w:szCs w:val="21"/>
          <w:lang w:eastAsia="en-US"/>
        </w:rPr>
        <w:t>配备物品</w:t>
      </w:r>
      <w:bookmarkEnd w:id="199"/>
      <w:bookmarkEnd w:id="200"/>
      <w:bookmarkEnd w:id="201"/>
      <w:bookmarkEnd w:id="202"/>
      <w:bookmarkEnd w:id="203"/>
    </w:p>
    <w:p>
      <w:pPr>
        <w:autoSpaceDE w:val="0"/>
        <w:autoSpaceDN w:val="0"/>
        <w:adjustRightInd w:val="0"/>
        <w:snapToGrid w:val="0"/>
        <w:spacing w:line="360" w:lineRule="auto"/>
        <w:ind w:firstLine="420" w:firstLineChars="20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包装箱内除放置供货合同要求的电机，还应有一次下井件（数量参考供货要求）、相关纸质文件。纸质文件至少应包括不限于：产品发货清单、产品试验报告、一次下井附件清单等。</w:t>
      </w:r>
    </w:p>
    <w:p>
      <w:pPr>
        <w:autoSpaceDE w:val="0"/>
        <w:autoSpaceDN w:val="0"/>
        <w:adjustRightInd w:val="0"/>
        <w:snapToGrid w:val="0"/>
        <w:spacing w:line="360" w:lineRule="auto"/>
        <w:ind w:firstLine="420" w:firstLineChars="20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450系列永磁</w:t>
      </w:r>
      <w:r>
        <w:rPr>
          <w:rFonts w:hint="eastAsia" w:ascii="Times New Roman" w:hAnsi="Times New Roman" w:eastAsia="宋体" w:cs="Times New Roman"/>
          <w:kern w:val="0"/>
          <w:sz w:val="21"/>
          <w:szCs w:val="21"/>
          <w:lang w:val="en-US" w:eastAsia="zh-CN"/>
        </w:rPr>
        <w:t>高转速</w:t>
      </w:r>
      <w:r>
        <w:rPr>
          <w:rFonts w:hint="default" w:ascii="Times New Roman" w:hAnsi="Times New Roman" w:eastAsia="宋体" w:cs="Times New Roman"/>
          <w:kern w:val="0"/>
          <w:sz w:val="21"/>
          <w:szCs w:val="21"/>
          <w:lang w:eastAsia="zh-CN"/>
        </w:rPr>
        <w:t>电机转子包装要求：成型转子要求采用木质转运箱交货，转子之间要求间距至少15cm，且在转运箱上清晰标识强磁危险，因应环保考量，木质转运箱可以在供应商与采购商之间循环使用。</w:t>
      </w:r>
    </w:p>
    <w:p>
      <w:pPr>
        <w:autoSpaceDE w:val="0"/>
        <w:autoSpaceDN w:val="0"/>
        <w:adjustRightInd w:val="0"/>
        <w:spacing w:line="360" w:lineRule="auto"/>
        <w:ind w:firstLine="420" w:firstLineChars="20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450系列永磁</w:t>
      </w:r>
      <w:r>
        <w:rPr>
          <w:rFonts w:hint="eastAsia" w:ascii="Times New Roman" w:hAnsi="Times New Roman" w:eastAsia="宋体" w:cs="Times New Roman"/>
          <w:kern w:val="0"/>
          <w:sz w:val="21"/>
          <w:szCs w:val="21"/>
          <w:lang w:val="en-US" w:eastAsia="zh-CN"/>
        </w:rPr>
        <w:t>高转速</w:t>
      </w:r>
      <w:r>
        <w:rPr>
          <w:rFonts w:hint="default" w:ascii="Times New Roman" w:hAnsi="Times New Roman" w:eastAsia="宋体" w:cs="Times New Roman"/>
          <w:kern w:val="0"/>
          <w:sz w:val="21"/>
          <w:szCs w:val="21"/>
          <w:lang w:eastAsia="zh-CN"/>
        </w:rPr>
        <w:t>电机定子片包装要求：金属配件全部采用油纸进行封装，收发验收后可全面恢复。定子冲片采用密封箱进行封闭防护，能够起到防潮、防灰作用。</w:t>
      </w:r>
    </w:p>
    <w:p>
      <w:pPr>
        <w:widowControl w:val="0"/>
        <w:snapToGrid w:val="0"/>
        <w:spacing w:line="360" w:lineRule="auto"/>
        <w:ind w:firstLine="420" w:firstLineChars="200"/>
        <w:rPr>
          <w:rFonts w:hint="default" w:ascii="Times New Roman" w:hAnsi="Times New Roman" w:eastAsia="宋体" w:cs="Times New Roman"/>
          <w:sz w:val="21"/>
          <w:szCs w:val="21"/>
          <w:lang w:val="en-US" w:eastAsia="zh-CN" w:bidi="ar-SA"/>
        </w:rPr>
      </w:pPr>
    </w:p>
    <w:p>
      <w:pPr>
        <w:numPr>
          <w:ilvl w:val="1"/>
          <w:numId w:val="22"/>
        </w:numPr>
        <w:adjustRightInd w:val="0"/>
        <w:snapToGrid w:val="0"/>
        <w:spacing w:line="360" w:lineRule="auto"/>
        <w:ind w:left="0" w:firstLine="422" w:firstLineChars="200"/>
        <w:jc w:val="both"/>
        <w:outlineLvl w:val="0"/>
        <w:rPr>
          <w:rFonts w:hint="default" w:ascii="Times New Roman" w:hAnsi="Times New Roman" w:eastAsia="宋体" w:cs="Times New Roman"/>
          <w:b/>
          <w:kern w:val="0"/>
          <w:sz w:val="21"/>
          <w:szCs w:val="21"/>
          <w:lang w:eastAsia="en-US"/>
        </w:rPr>
      </w:pPr>
      <w:bookmarkStart w:id="204" w:name="_Toc26127"/>
      <w:bookmarkStart w:id="205" w:name="_Toc10330"/>
      <w:bookmarkStart w:id="206" w:name="_Toc21425"/>
      <w:bookmarkStart w:id="207" w:name="_Toc24355"/>
      <w:bookmarkStart w:id="208" w:name="_Toc16780"/>
      <w:r>
        <w:rPr>
          <w:rFonts w:hint="default" w:ascii="Times New Roman" w:hAnsi="Times New Roman" w:eastAsia="宋体" w:cs="Times New Roman"/>
          <w:b/>
          <w:kern w:val="0"/>
          <w:sz w:val="21"/>
          <w:szCs w:val="21"/>
          <w:lang w:eastAsia="en-US"/>
        </w:rPr>
        <w:t>包装箱体标识要求：</w:t>
      </w:r>
      <w:bookmarkEnd w:id="204"/>
      <w:bookmarkEnd w:id="205"/>
      <w:bookmarkEnd w:id="206"/>
      <w:bookmarkEnd w:id="207"/>
      <w:bookmarkEnd w:id="208"/>
    </w:p>
    <w:p>
      <w:pPr>
        <w:autoSpaceDE w:val="0"/>
        <w:autoSpaceDN w:val="0"/>
        <w:adjustRightInd w:val="0"/>
        <w:snapToGrid w:val="0"/>
        <w:spacing w:line="360" w:lineRule="auto"/>
        <w:ind w:firstLine="420" w:firstLineChars="20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验合格后，在发货前，应分别置于钢集束包装箱内。</w:t>
      </w:r>
    </w:p>
    <w:p>
      <w:pPr>
        <w:adjustRightInd/>
        <w:snapToGrid/>
        <w:spacing w:line="240" w:lineRule="auto"/>
        <w:ind w:firstLine="0" w:firstLineChars="0"/>
        <w:jc w:val="left"/>
        <w:outlineLvl w:val="9"/>
        <w:rPr>
          <w:rFonts w:hint="default" w:ascii="Times New Roman" w:hAnsi="Times New Roman" w:cs="Times New Roman" w:eastAsiaTheme="minorEastAsia"/>
          <w:kern w:val="0"/>
          <w:sz w:val="22"/>
          <w:lang w:eastAsia="zh-CN"/>
        </w:rPr>
      </w:pPr>
      <w:bookmarkStart w:id="209" w:name="_Toc10363"/>
      <w:bookmarkStart w:id="210" w:name="_Toc25480"/>
      <w:bookmarkStart w:id="211" w:name="_Toc15341"/>
      <w:bookmarkStart w:id="212" w:name="_Toc21732"/>
      <w:bookmarkStart w:id="213" w:name="_Toc23254"/>
      <w:r>
        <w:rPr>
          <w:rFonts w:hint="default" w:ascii="Times New Roman" w:hAnsi="Times New Roman" w:cs="Times New Roman" w:eastAsiaTheme="minorEastAsia"/>
          <w:kern w:val="0"/>
          <w:sz w:val="22"/>
          <w:lang w:eastAsia="zh-CN"/>
        </w:rPr>
        <w:t>电机和保护器铭牌尺寸要求如下：</w:t>
      </w:r>
      <w:bookmarkEnd w:id="209"/>
      <w:bookmarkEnd w:id="210"/>
      <w:bookmarkEnd w:id="211"/>
      <w:bookmarkEnd w:id="212"/>
      <w:bookmarkEnd w:id="213"/>
    </w:p>
    <w:p>
      <w:pPr>
        <w:autoSpaceDE w:val="0"/>
        <w:autoSpaceDN w:val="0"/>
        <w:adjustRightInd w:val="0"/>
        <w:snapToGrid w:val="0"/>
        <w:spacing w:line="360" w:lineRule="auto"/>
        <w:jc w:val="center"/>
        <w:rPr>
          <w:rFonts w:hint="default" w:ascii="Times New Roman" w:hAnsi="Times New Roman" w:eastAsia="宋体" w:cs="Times New Roman"/>
          <w:kern w:val="0"/>
          <w:sz w:val="24"/>
          <w:szCs w:val="24"/>
          <w:lang w:eastAsia="zh-CN"/>
        </w:rPr>
      </w:pPr>
      <w:r>
        <w:rPr>
          <w:rFonts w:hint="default" w:ascii="Times New Roman" w:hAnsi="Times New Roman" w:eastAsia="宋体" w:cs="Times New Roman"/>
          <w:kern w:val="0"/>
          <w:sz w:val="24"/>
          <w:szCs w:val="24"/>
          <w:lang w:eastAsia="zh-CN"/>
        </w:rPr>
        <w:t>电机铭牌尺寸</w:t>
      </w:r>
    </w:p>
    <w:p>
      <w:pPr>
        <w:autoSpaceDE w:val="0"/>
        <w:autoSpaceDN w:val="0"/>
        <w:adjustRightInd w:val="0"/>
        <w:snapToGrid w:val="0"/>
        <w:spacing w:line="360" w:lineRule="auto"/>
        <w:jc w:val="center"/>
        <w:rPr>
          <w:rFonts w:hint="default" w:ascii="Times New Roman" w:hAnsi="Times New Roman" w:eastAsia="宋体" w:cs="Times New Roman"/>
          <w:kern w:val="0"/>
          <w:sz w:val="20"/>
          <w:szCs w:val="20"/>
          <w:lang w:eastAsia="en-US"/>
        </w:rPr>
      </w:pPr>
      <w:r>
        <w:rPr>
          <w:rFonts w:hint="default" w:ascii="Times New Roman" w:hAnsi="Times New Roman" w:eastAsia="宋体" w:cs="Times New Roman"/>
          <w:kern w:val="0"/>
          <w:sz w:val="22"/>
          <w:lang w:eastAsia="en-US"/>
        </w:rPr>
        <w:drawing>
          <wp:inline distT="0" distB="0" distL="114300" distR="114300">
            <wp:extent cx="4224655" cy="2826385"/>
            <wp:effectExtent l="0" t="0" r="4445" b="1206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2"/>
                    <a:stretch>
                      <a:fillRect/>
                    </a:stretch>
                  </pic:blipFill>
                  <pic:spPr>
                    <a:xfrm>
                      <a:off x="0" y="0"/>
                      <a:ext cx="4224655" cy="2826385"/>
                    </a:xfrm>
                    <a:prstGeom prst="rect">
                      <a:avLst/>
                    </a:prstGeom>
                    <a:noFill/>
                    <a:ln>
                      <a:noFill/>
                    </a:ln>
                  </pic:spPr>
                </pic:pic>
              </a:graphicData>
            </a:graphic>
          </wp:inline>
        </w:drawing>
      </w:r>
    </w:p>
    <w:p>
      <w:pPr>
        <w:autoSpaceDE w:val="0"/>
        <w:autoSpaceDN w:val="0"/>
        <w:adjustRightInd w:val="0"/>
        <w:snapToGrid w:val="0"/>
        <w:spacing w:line="360" w:lineRule="auto"/>
        <w:ind w:left="542" w:leftChars="258" w:firstLine="3000" w:firstLineChars="1500"/>
        <w:jc w:val="both"/>
        <w:rPr>
          <w:rFonts w:hint="default" w:ascii="Times New Roman" w:hAnsi="Times New Roman" w:eastAsia="宋体" w:cs="Times New Roman"/>
          <w:kern w:val="0"/>
          <w:sz w:val="20"/>
          <w:szCs w:val="20"/>
          <w:lang w:eastAsia="en-US"/>
        </w:rPr>
      </w:pPr>
      <w:r>
        <w:rPr>
          <w:rFonts w:hint="default" w:ascii="Times New Roman" w:hAnsi="Times New Roman" w:eastAsia="宋体" w:cs="Times New Roman"/>
          <w:kern w:val="0"/>
          <w:sz w:val="20"/>
          <w:szCs w:val="20"/>
          <w:lang w:eastAsia="en-US"/>
        </w:rPr>
        <w:t>保护器铭牌尺寸</w:t>
      </w:r>
    </w:p>
    <w:p>
      <w:pPr>
        <w:adjustRightInd w:val="0"/>
        <w:snapToGrid w:val="0"/>
        <w:spacing w:line="360" w:lineRule="auto"/>
        <w:ind w:left="425"/>
        <w:jc w:val="center"/>
        <w:rPr>
          <w:rFonts w:hint="default" w:ascii="Times New Roman" w:hAnsi="Times New Roman" w:eastAsia="宋体" w:cs="Times New Roman"/>
          <w:b/>
          <w:kern w:val="0"/>
          <w:sz w:val="22"/>
          <w:lang w:eastAsia="en-US"/>
        </w:rPr>
      </w:pPr>
      <w:r>
        <w:rPr>
          <w:rFonts w:hint="default" w:ascii="Times New Roman" w:hAnsi="Times New Roman" w:eastAsia="宋体" w:cs="Times New Roman"/>
          <w:kern w:val="0"/>
          <w:sz w:val="22"/>
          <w:lang w:eastAsia="en-US"/>
        </w:rPr>
        <w:drawing>
          <wp:inline distT="0" distB="0" distL="114300" distR="114300">
            <wp:extent cx="4226560" cy="2560955"/>
            <wp:effectExtent l="0" t="0" r="2540" b="1079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3"/>
                    <a:stretch>
                      <a:fillRect/>
                    </a:stretch>
                  </pic:blipFill>
                  <pic:spPr>
                    <a:xfrm>
                      <a:off x="0" y="0"/>
                      <a:ext cx="4226560" cy="2560955"/>
                    </a:xfrm>
                    <a:prstGeom prst="rect">
                      <a:avLst/>
                    </a:prstGeom>
                    <a:noFill/>
                    <a:ln>
                      <a:noFill/>
                    </a:ln>
                  </pic:spPr>
                </pic:pic>
              </a:graphicData>
            </a:graphic>
          </wp:inline>
        </w:drawing>
      </w:r>
    </w:p>
    <w:p>
      <w:pPr>
        <w:numPr>
          <w:ilvl w:val="1"/>
          <w:numId w:val="22"/>
        </w:numPr>
        <w:adjustRightInd w:val="0"/>
        <w:snapToGrid w:val="0"/>
        <w:spacing w:line="360" w:lineRule="auto"/>
        <w:ind w:left="0" w:firstLine="422" w:firstLineChars="200"/>
        <w:jc w:val="both"/>
        <w:outlineLvl w:val="0"/>
        <w:rPr>
          <w:rFonts w:hint="default" w:ascii="Times New Roman" w:hAnsi="Times New Roman" w:eastAsia="宋体" w:cs="Times New Roman"/>
          <w:b/>
          <w:kern w:val="0"/>
          <w:sz w:val="21"/>
          <w:szCs w:val="21"/>
          <w:lang w:eastAsia="en-US"/>
        </w:rPr>
      </w:pPr>
      <w:bookmarkStart w:id="214" w:name="_Toc18588"/>
      <w:bookmarkStart w:id="215" w:name="_Toc2040"/>
      <w:bookmarkStart w:id="216" w:name="_Toc32725"/>
      <w:bookmarkStart w:id="217" w:name="_Toc31041"/>
      <w:bookmarkStart w:id="218" w:name="_Toc24904"/>
      <w:r>
        <w:rPr>
          <w:rFonts w:hint="default" w:ascii="Times New Roman" w:hAnsi="Times New Roman" w:eastAsia="宋体" w:cs="Times New Roman"/>
          <w:b/>
          <w:kern w:val="0"/>
          <w:sz w:val="21"/>
          <w:szCs w:val="21"/>
          <w:lang w:eastAsia="zh-CN"/>
        </w:rPr>
        <w:t>送货</w:t>
      </w:r>
      <w:r>
        <w:rPr>
          <w:rFonts w:hint="default" w:ascii="Times New Roman" w:hAnsi="Times New Roman" w:eastAsia="宋体" w:cs="Times New Roman"/>
          <w:b/>
          <w:kern w:val="0"/>
          <w:sz w:val="21"/>
          <w:szCs w:val="21"/>
          <w:lang w:eastAsia="en-US"/>
        </w:rPr>
        <w:t>配备物品</w:t>
      </w:r>
      <w:bookmarkEnd w:id="214"/>
      <w:bookmarkEnd w:id="215"/>
      <w:bookmarkEnd w:id="216"/>
      <w:bookmarkEnd w:id="217"/>
      <w:bookmarkEnd w:id="218"/>
    </w:p>
    <w:p>
      <w:pPr>
        <w:autoSpaceDE w:val="0"/>
        <w:autoSpaceDN w:val="0"/>
        <w:adjustRightInd w:val="0"/>
        <w:snapToGrid w:val="0"/>
        <w:spacing w:line="360" w:lineRule="auto"/>
        <w:ind w:firstLine="420" w:firstLineChars="20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包装箱内除放置供货合同要求的电机，还应有一次下井件（数量参考供货要求）、相关纸质文件。纸质文件至少应包括不限于：产品发货清单、产品试验报告、一次下井附件清单等。</w:t>
      </w:r>
    </w:p>
    <w:p>
      <w:pPr>
        <w:numPr>
          <w:ilvl w:val="1"/>
          <w:numId w:val="22"/>
        </w:numPr>
        <w:adjustRightInd w:val="0"/>
        <w:snapToGrid w:val="0"/>
        <w:spacing w:line="360" w:lineRule="auto"/>
        <w:ind w:left="0" w:firstLine="422" w:firstLineChars="200"/>
        <w:jc w:val="both"/>
        <w:outlineLvl w:val="0"/>
        <w:rPr>
          <w:rFonts w:hint="default" w:ascii="Times New Roman" w:hAnsi="Times New Roman" w:eastAsia="宋体" w:cs="Times New Roman"/>
          <w:b/>
          <w:kern w:val="0"/>
          <w:sz w:val="21"/>
          <w:szCs w:val="21"/>
          <w:lang w:eastAsia="en-US"/>
        </w:rPr>
      </w:pPr>
      <w:r>
        <w:rPr>
          <w:rFonts w:hint="default" w:ascii="Times New Roman" w:hAnsi="Times New Roman" w:eastAsia="宋体" w:cs="Times New Roman"/>
          <w:b/>
          <w:kern w:val="0"/>
          <w:sz w:val="21"/>
          <w:szCs w:val="21"/>
          <w:lang w:eastAsia="en-US"/>
        </w:rPr>
        <w:t>包装箱体</w:t>
      </w:r>
    </w:p>
    <w:p>
      <w:pPr>
        <w:autoSpaceDE w:val="0"/>
        <w:autoSpaceDN w:val="0"/>
        <w:adjustRightInd w:val="0"/>
        <w:snapToGrid w:val="0"/>
        <w:spacing w:line="360" w:lineRule="auto"/>
        <w:ind w:firstLine="420" w:firstLineChars="20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对于潜油电泵机组各部件，包括不限于潜油电机（简称电机）、潜油电机保护器（简称保护器）、油气分离器（简称分离器）、潜油电泵（简称泵）等产品的包装防护按照以下要求进行：</w:t>
      </w:r>
    </w:p>
    <w:p>
      <w:pPr>
        <w:widowControl w:val="0"/>
        <w:numPr>
          <w:ilvl w:val="0"/>
          <w:numId w:val="23"/>
        </w:numPr>
        <w:overflowPunct w:val="0"/>
        <w:autoSpaceDE w:val="0"/>
        <w:autoSpaceDN w:val="0"/>
        <w:adjustRightInd w:val="0"/>
        <w:spacing w:line="360" w:lineRule="auto"/>
        <w:ind w:left="780" w:hanging="360" w:firstLineChars="0"/>
        <w:textAlignment w:val="baseline"/>
        <w:rPr>
          <w:rFonts w:hint="eastAsia" w:ascii="Times New Roman" w:hAnsi="Times New Roman" w:eastAsia="宋体" w:cs="Times New Roman"/>
          <w:b/>
          <w:bCs/>
          <w:sz w:val="21"/>
          <w:szCs w:val="21"/>
          <w:lang w:val="en-GB" w:eastAsia="zh-CN" w:bidi="ar"/>
        </w:rPr>
      </w:pPr>
      <w:r>
        <w:rPr>
          <w:rFonts w:hint="eastAsia" w:ascii="Times New Roman" w:hAnsi="Times New Roman" w:eastAsia="宋体" w:cs="Times New Roman"/>
          <w:b/>
          <w:bCs/>
          <w:sz w:val="21"/>
          <w:szCs w:val="21"/>
          <w:lang w:val="en-GB" w:eastAsia="zh-CN" w:bidi="ar"/>
        </w:rPr>
        <w:t>设计要求</w:t>
      </w:r>
    </w:p>
    <w:p>
      <w:pPr>
        <w:widowControl w:val="0"/>
        <w:numPr>
          <w:ilvl w:val="0"/>
          <w:numId w:val="24"/>
        </w:numPr>
        <w:overflowPunct w:val="0"/>
        <w:autoSpaceDE w:val="0"/>
        <w:autoSpaceDN w:val="0"/>
        <w:adjustRightInd w:val="0"/>
        <w:spacing w:line="360" w:lineRule="auto"/>
        <w:ind w:hanging="360" w:firstLineChars="0"/>
        <w:textAlignment w:val="baseline"/>
        <w:rPr>
          <w:rFonts w:hint="default" w:ascii="Times New Roman" w:hAnsi="Times New Roman" w:eastAsia="宋体" w:cs="Times New Roman"/>
          <w:sz w:val="21"/>
          <w:szCs w:val="21"/>
          <w:lang w:val="en-GB" w:eastAsia="zh-CN" w:bidi="ar"/>
        </w:rPr>
      </w:pPr>
      <w:r>
        <w:rPr>
          <w:rFonts w:hint="default" w:ascii="Times New Roman" w:hAnsi="Times New Roman" w:eastAsia="宋体" w:cs="Times New Roman"/>
          <w:b/>
          <w:bCs/>
          <w:sz w:val="21"/>
          <w:szCs w:val="21"/>
          <w:lang w:val="en-GB" w:eastAsia="zh-CN" w:bidi="ar"/>
        </w:rPr>
        <w:t>750mm机组收纳箱（图纸见附件三）</w:t>
      </w:r>
    </w:p>
    <w:p>
      <w:pPr>
        <w:widowControl w:val="0"/>
        <w:numPr>
          <w:ilvl w:val="0"/>
          <w:numId w:val="25"/>
        </w:numPr>
        <w:overflowPunct w:val="0"/>
        <w:autoSpaceDE w:val="0"/>
        <w:autoSpaceDN w:val="0"/>
        <w:adjustRightInd w:val="0"/>
        <w:spacing w:line="360" w:lineRule="auto"/>
        <w:ind w:left="1140" w:hanging="360" w:firstLineChars="0"/>
        <w:textAlignment w:val="baseline"/>
        <w:rPr>
          <w:rFonts w:hint="eastAsia" w:ascii="Times New Roman" w:hAnsi="Times New Roman" w:eastAsia="宋体" w:cs="Times New Roman"/>
          <w:spacing w:val="-2"/>
          <w:sz w:val="21"/>
          <w:szCs w:val="21"/>
          <w:lang w:val="en-GB" w:eastAsia="zh-CN" w:bidi="ar"/>
        </w:rPr>
      </w:pPr>
      <w:r>
        <w:rPr>
          <w:rFonts w:hint="eastAsia" w:ascii="Times New Roman" w:hAnsi="Times New Roman" w:eastAsia="宋体" w:cs="Times New Roman"/>
          <w:spacing w:val="-2"/>
          <w:sz w:val="21"/>
          <w:szCs w:val="21"/>
          <w:lang w:val="en-GB" w:eastAsia="zh-CN" w:bidi="ar"/>
        </w:rPr>
        <w:t>收纳箱长度为10.14m，内径为10m,宽度为750mm，高度为200mm。</w:t>
      </w:r>
    </w:p>
    <w:p>
      <w:pPr>
        <w:widowControl w:val="0"/>
        <w:numPr>
          <w:ilvl w:val="0"/>
          <w:numId w:val="25"/>
        </w:numPr>
        <w:overflowPunct w:val="0"/>
        <w:autoSpaceDE w:val="0"/>
        <w:autoSpaceDN w:val="0"/>
        <w:adjustRightInd w:val="0"/>
        <w:spacing w:line="360" w:lineRule="auto"/>
        <w:ind w:left="1140" w:hanging="360" w:firstLineChars="0"/>
        <w:textAlignment w:val="baseline"/>
        <w:rPr>
          <w:rFonts w:hint="eastAsia" w:ascii="Times New Roman" w:hAnsi="Times New Roman" w:eastAsia="宋体" w:cs="Times New Roman"/>
          <w:spacing w:val="-2"/>
          <w:sz w:val="21"/>
          <w:szCs w:val="21"/>
          <w:lang w:val="en-GB" w:eastAsia="zh-CN" w:bidi="ar"/>
        </w:rPr>
      </w:pPr>
      <w:r>
        <w:rPr>
          <w:rFonts w:hint="eastAsia" w:ascii="Times New Roman" w:hAnsi="Times New Roman" w:eastAsia="宋体" w:cs="Times New Roman"/>
          <w:spacing w:val="-2"/>
          <w:sz w:val="21"/>
          <w:szCs w:val="21"/>
          <w:lang w:val="en-GB" w:eastAsia="zh-CN" w:bidi="ar"/>
        </w:rPr>
        <w:t>收纳箱四周材质为腰高200mm工字型槽钢，收纳箱下方为高度120mm支撑腿，共计5个，材质为槽钢，厚3mm，底盖配齐全，并进行焊接处理，两地板焊接连接点处进行加强防护。同时底部四角要留有排水孔，详见附件。</w:t>
      </w:r>
    </w:p>
    <w:p>
      <w:pPr>
        <w:widowControl w:val="0"/>
        <w:numPr>
          <w:ilvl w:val="0"/>
          <w:numId w:val="25"/>
        </w:numPr>
        <w:overflowPunct w:val="0"/>
        <w:autoSpaceDE w:val="0"/>
        <w:autoSpaceDN w:val="0"/>
        <w:adjustRightInd w:val="0"/>
        <w:spacing w:line="360" w:lineRule="auto"/>
        <w:ind w:left="1140" w:hanging="360" w:firstLineChars="0"/>
        <w:textAlignment w:val="baseline"/>
        <w:rPr>
          <w:rFonts w:hint="eastAsia" w:ascii="Times New Roman" w:hAnsi="Times New Roman" w:eastAsia="宋体" w:cs="Times New Roman"/>
          <w:spacing w:val="-2"/>
          <w:sz w:val="21"/>
          <w:szCs w:val="21"/>
          <w:lang w:val="en-GB" w:eastAsia="zh-CN" w:bidi="ar"/>
        </w:rPr>
      </w:pPr>
      <w:r>
        <w:rPr>
          <w:rFonts w:hint="eastAsia" w:ascii="Times New Roman" w:hAnsi="Times New Roman" w:eastAsia="宋体" w:cs="Times New Roman"/>
          <w:spacing w:val="-2"/>
          <w:sz w:val="21"/>
          <w:szCs w:val="21"/>
          <w:lang w:val="en-GB" w:eastAsia="zh-CN" w:bidi="ar"/>
        </w:rPr>
        <w:t>收纳箱上盖配齐全，材质为3mm冷轧钢板，螺栓孔为内螺纹，同时四角配齐紧固M10*20螺栓.螺栓材质为304不锈钢，箱盖板纵向两侧分别配有</w:t>
      </w:r>
      <w:r>
        <w:rPr>
          <w:rFonts w:hint="eastAsia" w:ascii="Cambria Math" w:hAnsi="Cambria Math" w:eastAsia="宋体" w:cs="Cambria Math"/>
          <w:spacing w:val="-2"/>
          <w:sz w:val="21"/>
          <w:szCs w:val="21"/>
          <w:lang w:val="en-GB" w:eastAsia="zh-CN" w:bidi="ar"/>
        </w:rPr>
        <w:t>∮</w:t>
      </w:r>
      <w:r>
        <w:rPr>
          <w:rFonts w:hint="eastAsia" w:ascii="Times New Roman" w:hAnsi="Times New Roman" w:eastAsia="宋体" w:cs="Times New Roman"/>
          <w:spacing w:val="-2"/>
          <w:sz w:val="21"/>
          <w:szCs w:val="21"/>
          <w:lang w:val="en-GB" w:eastAsia="zh-CN" w:bidi="ar"/>
        </w:rPr>
        <w:t>8±0.5mm提手，材质为Q250B钢材。收纳箱上盖要求与箱体等宽，每块长度不超过1.2m。收纳箱两头分别带有透明亚克力材质的铭牌盒，具体结构尺寸见附件。</w:t>
      </w:r>
    </w:p>
    <w:p>
      <w:pPr>
        <w:widowControl w:val="0"/>
        <w:numPr>
          <w:ilvl w:val="0"/>
          <w:numId w:val="25"/>
        </w:numPr>
        <w:overflowPunct w:val="0"/>
        <w:autoSpaceDE w:val="0"/>
        <w:autoSpaceDN w:val="0"/>
        <w:adjustRightInd w:val="0"/>
        <w:spacing w:line="360" w:lineRule="auto"/>
        <w:ind w:left="1140" w:hanging="360" w:firstLineChars="0"/>
        <w:textAlignment w:val="baseline"/>
        <w:rPr>
          <w:rFonts w:hint="eastAsia" w:ascii="Times New Roman" w:hAnsi="Times New Roman" w:eastAsia="宋体" w:cs="Times New Roman"/>
          <w:spacing w:val="-2"/>
          <w:sz w:val="21"/>
          <w:szCs w:val="21"/>
          <w:lang w:val="en-GB" w:eastAsia="zh-CN" w:bidi="ar"/>
        </w:rPr>
      </w:pPr>
      <w:r>
        <w:rPr>
          <w:rFonts w:hint="eastAsia" w:ascii="Times New Roman" w:hAnsi="Times New Roman" w:eastAsia="宋体" w:cs="Times New Roman"/>
          <w:spacing w:val="-2"/>
          <w:sz w:val="21"/>
          <w:szCs w:val="21"/>
          <w:lang w:val="en-GB" w:eastAsia="zh-CN" w:bidi="ar"/>
        </w:rPr>
        <w:t>收纳箱内部及上盖里面涂漆要求防锈漆，涂漆均匀无金属裸露，颜色见收纳箱颜色标准示意图。</w:t>
      </w:r>
    </w:p>
    <w:p>
      <w:pPr>
        <w:widowControl w:val="0"/>
        <w:numPr>
          <w:ilvl w:val="0"/>
          <w:numId w:val="25"/>
        </w:numPr>
        <w:overflowPunct w:val="0"/>
        <w:autoSpaceDE w:val="0"/>
        <w:autoSpaceDN w:val="0"/>
        <w:adjustRightInd w:val="0"/>
        <w:spacing w:line="360" w:lineRule="auto"/>
        <w:ind w:left="1140" w:hanging="360" w:firstLineChars="0"/>
        <w:textAlignment w:val="baseline"/>
        <w:rPr>
          <w:rFonts w:hint="eastAsia" w:ascii="Times New Roman" w:hAnsi="Times New Roman" w:eastAsia="宋体" w:cs="Times New Roman"/>
          <w:spacing w:val="-2"/>
          <w:sz w:val="21"/>
          <w:szCs w:val="21"/>
          <w:lang w:val="en-GB" w:eastAsia="zh-CN" w:bidi="ar"/>
        </w:rPr>
      </w:pPr>
      <w:r>
        <w:rPr>
          <w:rFonts w:hint="eastAsia" w:ascii="Times New Roman" w:hAnsi="Times New Roman" w:eastAsia="宋体" w:cs="Times New Roman"/>
          <w:spacing w:val="-2"/>
          <w:sz w:val="21"/>
          <w:szCs w:val="21"/>
          <w:lang w:val="en-GB" w:eastAsia="zh-CN" w:bidi="ar"/>
        </w:rPr>
        <w:t>收纳箱外部及上盖表面涂漆要求喷砂除锈，底漆使用环氧富锌漆喷涂2遍，面漆使用防锈漆喷涂2遍，涂漆均匀无金属裸露，颜色见收纳箱颜色标准示意图，且收纳箱为收纳箱头部其中一端涂红色，长度为200mm。</w:t>
      </w:r>
    </w:p>
    <w:p>
      <w:pPr>
        <w:widowControl w:val="0"/>
        <w:numPr>
          <w:ilvl w:val="0"/>
          <w:numId w:val="25"/>
        </w:numPr>
        <w:overflowPunct w:val="0"/>
        <w:autoSpaceDE w:val="0"/>
        <w:autoSpaceDN w:val="0"/>
        <w:adjustRightInd w:val="0"/>
        <w:spacing w:line="360" w:lineRule="auto"/>
        <w:ind w:left="1140" w:hanging="360" w:firstLineChars="0"/>
        <w:textAlignment w:val="baseline"/>
        <w:rPr>
          <w:rFonts w:hint="eastAsia" w:ascii="Times New Roman" w:hAnsi="Times New Roman" w:eastAsia="宋体" w:cs="Times New Roman"/>
          <w:spacing w:val="-2"/>
          <w:sz w:val="21"/>
          <w:szCs w:val="21"/>
          <w:lang w:val="en-GB" w:eastAsia="zh-CN" w:bidi="ar"/>
        </w:rPr>
      </w:pPr>
      <w:r>
        <w:rPr>
          <w:rFonts w:hint="eastAsia" w:ascii="Times New Roman" w:hAnsi="Times New Roman" w:eastAsia="宋体" w:cs="Times New Roman"/>
          <w:spacing w:val="-2"/>
          <w:sz w:val="21"/>
          <w:szCs w:val="21"/>
          <w:lang w:val="en-GB" w:eastAsia="zh-CN" w:bidi="ar"/>
        </w:rPr>
        <w:t>纳箱墨头要求颜色与收纳箱外体颜色明显区分，尺寸80×80mm，且要求防水。</w:t>
      </w:r>
    </w:p>
    <w:p>
      <w:pPr>
        <w:widowControl w:val="0"/>
        <w:numPr>
          <w:ilvl w:val="0"/>
          <w:numId w:val="25"/>
        </w:numPr>
        <w:overflowPunct w:val="0"/>
        <w:autoSpaceDE w:val="0"/>
        <w:autoSpaceDN w:val="0"/>
        <w:adjustRightInd w:val="0"/>
        <w:spacing w:line="360" w:lineRule="auto"/>
        <w:ind w:left="1140" w:hanging="360" w:firstLineChars="0"/>
        <w:textAlignment w:val="baseline"/>
        <w:rPr>
          <w:rFonts w:hint="eastAsia" w:ascii="Times New Roman" w:hAnsi="Times New Roman" w:eastAsia="宋体" w:cs="Times New Roman"/>
          <w:spacing w:val="-2"/>
          <w:sz w:val="21"/>
          <w:szCs w:val="21"/>
          <w:lang w:val="en-GB" w:eastAsia="zh-CN" w:bidi="ar"/>
        </w:rPr>
      </w:pPr>
      <w:r>
        <w:rPr>
          <w:rFonts w:hint="eastAsia" w:ascii="Times New Roman" w:hAnsi="Times New Roman" w:eastAsia="宋体" w:cs="Times New Roman"/>
          <w:spacing w:val="-2"/>
          <w:sz w:val="21"/>
          <w:szCs w:val="21"/>
          <w:lang w:val="en-GB" w:eastAsia="zh-CN" w:bidi="ar"/>
        </w:rPr>
        <w:t>收纳箱墨头内容包含：海龙LOGO。</w:t>
      </w:r>
    </w:p>
    <w:p>
      <w:pPr>
        <w:widowControl w:val="0"/>
        <w:numPr>
          <w:ilvl w:val="0"/>
          <w:numId w:val="25"/>
        </w:numPr>
        <w:overflowPunct w:val="0"/>
        <w:autoSpaceDE w:val="0"/>
        <w:autoSpaceDN w:val="0"/>
        <w:adjustRightInd w:val="0"/>
        <w:spacing w:line="360" w:lineRule="auto"/>
        <w:ind w:left="1140" w:hanging="360" w:firstLineChars="0"/>
        <w:textAlignment w:val="baseline"/>
        <w:rPr>
          <w:rFonts w:hint="eastAsia" w:ascii="Times New Roman" w:hAnsi="Times New Roman" w:eastAsia="宋体" w:cs="Times New Roman"/>
          <w:spacing w:val="-2"/>
          <w:sz w:val="21"/>
          <w:szCs w:val="21"/>
          <w:lang w:val="en-GB" w:eastAsia="zh-CN" w:bidi="ar"/>
        </w:rPr>
      </w:pPr>
      <w:r>
        <w:rPr>
          <w:rFonts w:hint="eastAsia" w:ascii="Times New Roman" w:hAnsi="Times New Roman" w:eastAsia="宋体" w:cs="Times New Roman"/>
          <w:spacing w:val="-2"/>
          <w:sz w:val="21"/>
          <w:szCs w:val="21"/>
          <w:lang w:val="en-GB" w:eastAsia="zh-CN" w:bidi="ar"/>
        </w:rPr>
        <w:t>收纳箱两侧还要有吊点、方向、防震、防水标识。</w:t>
      </w:r>
    </w:p>
    <w:p>
      <w:pPr>
        <w:widowControl w:val="0"/>
        <w:numPr>
          <w:ilvl w:val="0"/>
          <w:numId w:val="25"/>
        </w:numPr>
        <w:overflowPunct w:val="0"/>
        <w:autoSpaceDE w:val="0"/>
        <w:autoSpaceDN w:val="0"/>
        <w:adjustRightInd w:val="0"/>
        <w:spacing w:line="360" w:lineRule="auto"/>
        <w:ind w:left="1140" w:hanging="360" w:firstLineChars="0"/>
        <w:textAlignment w:val="baseline"/>
        <w:rPr>
          <w:rFonts w:hint="eastAsia" w:ascii="Times New Roman" w:hAnsi="Times New Roman" w:eastAsia="宋体" w:cs="Times New Roman"/>
          <w:spacing w:val="-2"/>
          <w:sz w:val="21"/>
          <w:szCs w:val="21"/>
          <w:lang w:val="en-GB" w:eastAsia="zh-CN" w:bidi="ar"/>
        </w:rPr>
      </w:pPr>
      <w:r>
        <w:rPr>
          <w:rFonts w:hint="eastAsia" w:ascii="Times New Roman" w:hAnsi="Times New Roman" w:eastAsia="宋体" w:cs="Times New Roman"/>
          <w:spacing w:val="-2"/>
          <w:sz w:val="21"/>
          <w:szCs w:val="21"/>
          <w:lang w:val="en-GB" w:eastAsia="zh-CN" w:bidi="ar"/>
        </w:rPr>
        <w:t xml:space="preserve">收纳箱为焊接结构，强度要求整体载荷大于3500kg。             </w:t>
      </w:r>
    </w:p>
    <w:p>
      <w:pPr>
        <w:widowControl w:val="0"/>
        <w:numPr>
          <w:ilvl w:val="0"/>
          <w:numId w:val="24"/>
        </w:numPr>
        <w:overflowPunct w:val="0"/>
        <w:autoSpaceDE w:val="0"/>
        <w:autoSpaceDN w:val="0"/>
        <w:adjustRightInd w:val="0"/>
        <w:spacing w:line="360" w:lineRule="auto"/>
        <w:ind w:hanging="360" w:firstLineChars="0"/>
        <w:textAlignment w:val="baseline"/>
        <w:rPr>
          <w:rFonts w:hint="default" w:ascii="Times New Roman" w:hAnsi="Times New Roman" w:eastAsia="宋体" w:cs="Times New Roman"/>
          <w:b/>
          <w:bCs/>
          <w:sz w:val="21"/>
          <w:szCs w:val="21"/>
          <w:lang w:val="en-GB" w:eastAsia="zh-CN" w:bidi="ar"/>
        </w:rPr>
      </w:pPr>
      <w:r>
        <w:rPr>
          <w:rFonts w:hint="default" w:ascii="Times New Roman" w:hAnsi="Times New Roman" w:eastAsia="宋体" w:cs="Times New Roman"/>
          <w:b/>
          <w:bCs/>
          <w:sz w:val="21"/>
          <w:szCs w:val="21"/>
          <w:lang w:val="en-GB" w:eastAsia="zh-CN" w:bidi="ar"/>
        </w:rPr>
        <w:t>950mm加长机组收纳箱（图纸见附件三）</w:t>
      </w:r>
    </w:p>
    <w:p>
      <w:pPr>
        <w:widowControl w:val="0"/>
        <w:numPr>
          <w:ilvl w:val="0"/>
          <w:numId w:val="26"/>
        </w:numPr>
        <w:overflowPunct w:val="0"/>
        <w:autoSpaceDE w:val="0"/>
        <w:autoSpaceDN w:val="0"/>
        <w:adjustRightInd w:val="0"/>
        <w:spacing w:line="360" w:lineRule="auto"/>
        <w:ind w:left="1140" w:hanging="360" w:firstLineChars="0"/>
        <w:textAlignment w:val="baseline"/>
        <w:rPr>
          <w:rFonts w:hint="eastAsia" w:ascii="Times New Roman" w:hAnsi="Times New Roman" w:eastAsia="宋体" w:cs="Times New Roman"/>
          <w:spacing w:val="-2"/>
          <w:sz w:val="21"/>
          <w:szCs w:val="21"/>
          <w:lang w:val="en-GB" w:eastAsia="zh-CN" w:bidi="ar"/>
        </w:rPr>
      </w:pPr>
      <w:r>
        <w:rPr>
          <w:rFonts w:hint="eastAsia" w:ascii="Times New Roman" w:hAnsi="Times New Roman" w:eastAsia="宋体" w:cs="Times New Roman"/>
          <w:spacing w:val="-2"/>
          <w:sz w:val="21"/>
          <w:szCs w:val="21"/>
          <w:lang w:val="en-GB" w:eastAsia="zh-CN" w:bidi="ar"/>
        </w:rPr>
        <w:t xml:space="preserve"> 收纳箱长度为10.14m，内径为10m，宽度为950mm，高度为200mm。</w:t>
      </w:r>
    </w:p>
    <w:p>
      <w:pPr>
        <w:widowControl w:val="0"/>
        <w:numPr>
          <w:ilvl w:val="0"/>
          <w:numId w:val="26"/>
        </w:numPr>
        <w:overflowPunct w:val="0"/>
        <w:autoSpaceDE w:val="0"/>
        <w:autoSpaceDN w:val="0"/>
        <w:adjustRightInd w:val="0"/>
        <w:spacing w:line="360" w:lineRule="auto"/>
        <w:ind w:left="1140" w:hanging="360" w:firstLineChars="0"/>
        <w:textAlignment w:val="baseline"/>
        <w:rPr>
          <w:rFonts w:hint="eastAsia" w:ascii="Times New Roman" w:hAnsi="Times New Roman" w:eastAsia="宋体" w:cs="Times New Roman"/>
          <w:spacing w:val="-2"/>
          <w:sz w:val="21"/>
          <w:szCs w:val="21"/>
          <w:lang w:val="en-GB" w:eastAsia="zh-CN" w:bidi="ar"/>
        </w:rPr>
      </w:pPr>
      <w:r>
        <w:rPr>
          <w:rFonts w:hint="eastAsia" w:ascii="Times New Roman" w:hAnsi="Times New Roman" w:eastAsia="宋体" w:cs="Times New Roman"/>
          <w:spacing w:val="-2"/>
          <w:sz w:val="21"/>
          <w:szCs w:val="21"/>
          <w:lang w:val="en-GB" w:eastAsia="zh-CN" w:bidi="ar"/>
        </w:rPr>
        <w:t xml:space="preserve"> 收纳箱四周材质为腰高200mm工字型槽钢，收纳箱下方为高度120mm支撑腿，共计5个，材质为槽钢，厚3mm，底盖配齐全，并进行焊接处理，两地板焊接连接点处进行加强防护。同时底部四角要留有排水孔，详见附件。</w:t>
      </w:r>
    </w:p>
    <w:p>
      <w:pPr>
        <w:widowControl w:val="0"/>
        <w:numPr>
          <w:ilvl w:val="0"/>
          <w:numId w:val="26"/>
        </w:numPr>
        <w:overflowPunct w:val="0"/>
        <w:autoSpaceDE w:val="0"/>
        <w:autoSpaceDN w:val="0"/>
        <w:adjustRightInd w:val="0"/>
        <w:spacing w:line="360" w:lineRule="auto"/>
        <w:ind w:left="1140" w:hanging="360" w:firstLineChars="0"/>
        <w:textAlignment w:val="baseline"/>
        <w:rPr>
          <w:rFonts w:hint="eastAsia" w:ascii="Times New Roman" w:hAnsi="Times New Roman" w:eastAsia="宋体" w:cs="Times New Roman"/>
          <w:spacing w:val="-2"/>
          <w:sz w:val="21"/>
          <w:szCs w:val="21"/>
          <w:lang w:val="en-GB" w:eastAsia="zh-CN" w:bidi="ar"/>
        </w:rPr>
      </w:pPr>
      <w:r>
        <w:rPr>
          <w:rFonts w:hint="eastAsia" w:ascii="Times New Roman" w:hAnsi="Times New Roman" w:eastAsia="宋体" w:cs="Times New Roman"/>
          <w:spacing w:val="-2"/>
          <w:sz w:val="21"/>
          <w:szCs w:val="21"/>
          <w:lang w:val="en-GB" w:eastAsia="zh-CN" w:bidi="ar"/>
        </w:rPr>
        <w:t xml:space="preserve"> 收纳箱上盖配齐全，材质为3mm冷轧钢板，螺栓孔为内螺纹，同时四角配齐紧固M10*20螺栓.螺栓材质为304不锈钢，箱盖板纵向两侧分别配有</w:t>
      </w:r>
      <w:r>
        <w:rPr>
          <w:rFonts w:hint="eastAsia" w:ascii="Cambria Math" w:hAnsi="Cambria Math" w:eastAsia="宋体" w:cs="Cambria Math"/>
          <w:spacing w:val="-2"/>
          <w:sz w:val="21"/>
          <w:szCs w:val="21"/>
          <w:lang w:val="en-GB" w:eastAsia="zh-CN" w:bidi="ar"/>
        </w:rPr>
        <w:t>∮</w:t>
      </w:r>
      <w:r>
        <w:rPr>
          <w:rFonts w:hint="eastAsia" w:ascii="Times New Roman" w:hAnsi="Times New Roman" w:eastAsia="宋体" w:cs="Times New Roman"/>
          <w:spacing w:val="-2"/>
          <w:sz w:val="21"/>
          <w:szCs w:val="21"/>
          <w:lang w:val="en-GB" w:eastAsia="zh-CN" w:bidi="ar"/>
        </w:rPr>
        <w:t>8±0.5mm提手，材质为Q250B钢材。收纳箱上盖要求与箱体等宽，每块长度不超过1.2m。收纳箱两头分别带有透明亚克力材质的铭牌盒，具体结构尺寸见附件。</w:t>
      </w:r>
    </w:p>
    <w:p>
      <w:pPr>
        <w:widowControl w:val="0"/>
        <w:numPr>
          <w:ilvl w:val="0"/>
          <w:numId w:val="26"/>
        </w:numPr>
        <w:overflowPunct w:val="0"/>
        <w:autoSpaceDE w:val="0"/>
        <w:autoSpaceDN w:val="0"/>
        <w:adjustRightInd w:val="0"/>
        <w:spacing w:line="360" w:lineRule="auto"/>
        <w:ind w:left="1140" w:hanging="360" w:firstLineChars="0"/>
        <w:textAlignment w:val="baseline"/>
        <w:rPr>
          <w:rFonts w:hint="eastAsia" w:ascii="Times New Roman" w:hAnsi="Times New Roman" w:eastAsia="宋体" w:cs="Times New Roman"/>
          <w:spacing w:val="-2"/>
          <w:sz w:val="21"/>
          <w:szCs w:val="21"/>
          <w:lang w:val="en-GB" w:eastAsia="zh-CN" w:bidi="ar"/>
        </w:rPr>
      </w:pPr>
      <w:r>
        <w:rPr>
          <w:rFonts w:hint="eastAsia" w:ascii="Times New Roman" w:hAnsi="Times New Roman" w:eastAsia="宋体" w:cs="Times New Roman"/>
          <w:spacing w:val="-2"/>
          <w:sz w:val="21"/>
          <w:szCs w:val="21"/>
          <w:lang w:val="en-GB" w:eastAsia="zh-CN" w:bidi="ar"/>
        </w:rPr>
        <w:t xml:space="preserve">  收纳箱内部及上盖里面涂漆要求防锈漆，涂漆均匀无金属裸露，颜色见收纳箱颜色标准示意图。</w:t>
      </w:r>
    </w:p>
    <w:p>
      <w:pPr>
        <w:widowControl w:val="0"/>
        <w:numPr>
          <w:ilvl w:val="0"/>
          <w:numId w:val="26"/>
        </w:numPr>
        <w:overflowPunct w:val="0"/>
        <w:autoSpaceDE w:val="0"/>
        <w:autoSpaceDN w:val="0"/>
        <w:adjustRightInd w:val="0"/>
        <w:spacing w:line="360" w:lineRule="auto"/>
        <w:ind w:left="1140" w:hanging="360" w:firstLineChars="0"/>
        <w:textAlignment w:val="baseline"/>
        <w:rPr>
          <w:rFonts w:hint="eastAsia" w:ascii="Times New Roman" w:hAnsi="Times New Roman" w:eastAsia="宋体" w:cs="Times New Roman"/>
          <w:spacing w:val="-2"/>
          <w:sz w:val="21"/>
          <w:szCs w:val="21"/>
          <w:lang w:val="en-GB" w:eastAsia="zh-CN" w:bidi="ar"/>
        </w:rPr>
      </w:pPr>
      <w:r>
        <w:rPr>
          <w:rFonts w:hint="eastAsia" w:ascii="Times New Roman" w:hAnsi="Times New Roman" w:eastAsia="宋体" w:cs="Times New Roman"/>
          <w:spacing w:val="-2"/>
          <w:sz w:val="21"/>
          <w:szCs w:val="21"/>
          <w:lang w:val="en-GB" w:eastAsia="zh-CN" w:bidi="ar"/>
        </w:rPr>
        <w:t xml:space="preserve">  收纳箱外部及上盖表面涂漆要求喷砂除锈，底漆使用环氧富锌漆喷涂2遍，面漆使用防锈漆喷涂2遍，涂漆均匀无金属裸露，颜色见收纳箱颜色标准示意图，且收纳箱为收纳箱头部其中一端涂红色，长度为200mm。</w:t>
      </w:r>
    </w:p>
    <w:p>
      <w:pPr>
        <w:widowControl w:val="0"/>
        <w:numPr>
          <w:ilvl w:val="0"/>
          <w:numId w:val="26"/>
        </w:numPr>
        <w:overflowPunct w:val="0"/>
        <w:autoSpaceDE w:val="0"/>
        <w:autoSpaceDN w:val="0"/>
        <w:adjustRightInd w:val="0"/>
        <w:spacing w:line="360" w:lineRule="auto"/>
        <w:ind w:left="1140" w:hanging="360" w:firstLineChars="0"/>
        <w:textAlignment w:val="baseline"/>
        <w:rPr>
          <w:rFonts w:hint="eastAsia" w:ascii="Times New Roman" w:hAnsi="Times New Roman" w:eastAsia="宋体" w:cs="Times New Roman"/>
          <w:spacing w:val="-2"/>
          <w:sz w:val="21"/>
          <w:szCs w:val="21"/>
          <w:lang w:val="en-GB" w:eastAsia="zh-CN" w:bidi="ar"/>
        </w:rPr>
      </w:pPr>
      <w:r>
        <w:rPr>
          <w:rFonts w:hint="eastAsia" w:ascii="Times New Roman" w:hAnsi="Times New Roman" w:eastAsia="宋体" w:cs="Times New Roman"/>
          <w:spacing w:val="-2"/>
          <w:sz w:val="21"/>
          <w:szCs w:val="21"/>
          <w:lang w:val="en-GB" w:eastAsia="zh-CN" w:bidi="ar"/>
        </w:rPr>
        <w:t xml:space="preserve">  收纳箱墨头要求颜色与收纳箱外体颜色明显区分，尺寸80×80mm，且要求防水。</w:t>
      </w:r>
    </w:p>
    <w:p>
      <w:pPr>
        <w:widowControl w:val="0"/>
        <w:numPr>
          <w:ilvl w:val="0"/>
          <w:numId w:val="26"/>
        </w:numPr>
        <w:overflowPunct w:val="0"/>
        <w:autoSpaceDE w:val="0"/>
        <w:autoSpaceDN w:val="0"/>
        <w:adjustRightInd w:val="0"/>
        <w:spacing w:line="360" w:lineRule="auto"/>
        <w:ind w:left="1140" w:hanging="360" w:firstLineChars="0"/>
        <w:textAlignment w:val="baseline"/>
        <w:rPr>
          <w:rFonts w:hint="eastAsia" w:ascii="Times New Roman" w:hAnsi="Times New Roman" w:eastAsia="宋体" w:cs="Times New Roman"/>
          <w:spacing w:val="-2"/>
          <w:sz w:val="21"/>
          <w:szCs w:val="21"/>
          <w:lang w:val="en-GB" w:eastAsia="zh-CN" w:bidi="ar"/>
        </w:rPr>
      </w:pPr>
      <w:r>
        <w:rPr>
          <w:rFonts w:hint="eastAsia" w:ascii="Times New Roman" w:hAnsi="Times New Roman" w:eastAsia="宋体" w:cs="Times New Roman"/>
          <w:spacing w:val="-2"/>
          <w:sz w:val="21"/>
          <w:szCs w:val="21"/>
          <w:lang w:val="en-GB" w:eastAsia="zh-CN" w:bidi="ar"/>
        </w:rPr>
        <w:t xml:space="preserve">  收纳箱墨头内容包含：海龙LOGO。</w:t>
      </w:r>
    </w:p>
    <w:p>
      <w:pPr>
        <w:widowControl w:val="0"/>
        <w:numPr>
          <w:ilvl w:val="0"/>
          <w:numId w:val="26"/>
        </w:numPr>
        <w:overflowPunct w:val="0"/>
        <w:autoSpaceDE w:val="0"/>
        <w:autoSpaceDN w:val="0"/>
        <w:adjustRightInd w:val="0"/>
        <w:spacing w:line="360" w:lineRule="auto"/>
        <w:ind w:left="1140" w:hanging="360" w:firstLineChars="0"/>
        <w:textAlignment w:val="baseline"/>
        <w:rPr>
          <w:rFonts w:hint="eastAsia" w:ascii="Times New Roman" w:hAnsi="Times New Roman" w:eastAsia="宋体" w:cs="Times New Roman"/>
          <w:spacing w:val="-2"/>
          <w:sz w:val="21"/>
          <w:szCs w:val="21"/>
          <w:lang w:val="en-GB" w:eastAsia="zh-CN" w:bidi="ar"/>
        </w:rPr>
      </w:pPr>
      <w:r>
        <w:rPr>
          <w:rFonts w:hint="eastAsia" w:ascii="Times New Roman" w:hAnsi="Times New Roman" w:eastAsia="宋体" w:cs="Times New Roman"/>
          <w:spacing w:val="-2"/>
          <w:sz w:val="21"/>
          <w:szCs w:val="21"/>
          <w:lang w:val="en-GB" w:eastAsia="zh-CN" w:bidi="ar"/>
        </w:rPr>
        <w:t xml:space="preserve">  收纳箱两侧还要有吊点、方向、防震、防水标识。</w:t>
      </w:r>
    </w:p>
    <w:p>
      <w:pPr>
        <w:widowControl w:val="0"/>
        <w:numPr>
          <w:ilvl w:val="0"/>
          <w:numId w:val="26"/>
        </w:numPr>
        <w:overflowPunct w:val="0"/>
        <w:autoSpaceDE w:val="0"/>
        <w:autoSpaceDN w:val="0"/>
        <w:adjustRightInd w:val="0"/>
        <w:spacing w:line="360" w:lineRule="auto"/>
        <w:ind w:left="1140" w:hanging="360" w:firstLineChars="0"/>
        <w:textAlignment w:val="baseline"/>
        <w:rPr>
          <w:rFonts w:hint="eastAsia" w:ascii="Times New Roman" w:hAnsi="Times New Roman" w:eastAsia="宋体" w:cs="Times New Roman"/>
          <w:spacing w:val="-2"/>
          <w:sz w:val="21"/>
          <w:szCs w:val="21"/>
          <w:lang w:val="en-GB" w:eastAsia="zh-CN" w:bidi="ar"/>
        </w:rPr>
      </w:pPr>
      <w:r>
        <w:rPr>
          <w:rFonts w:hint="eastAsia" w:ascii="Times New Roman" w:hAnsi="Times New Roman" w:eastAsia="宋体" w:cs="Times New Roman"/>
          <w:spacing w:val="-2"/>
          <w:sz w:val="21"/>
          <w:szCs w:val="21"/>
          <w:lang w:val="en-GB" w:eastAsia="zh-CN" w:bidi="ar"/>
        </w:rPr>
        <w:t xml:space="preserve">  收纳箱为焊接结构，强度要求整体载荷大于4500kg。</w:t>
      </w:r>
    </w:p>
    <w:p>
      <w:pPr>
        <w:widowControl w:val="0"/>
        <w:numPr>
          <w:ilvl w:val="0"/>
          <w:numId w:val="24"/>
        </w:numPr>
        <w:overflowPunct w:val="0"/>
        <w:autoSpaceDE w:val="0"/>
        <w:autoSpaceDN w:val="0"/>
        <w:adjustRightInd w:val="0"/>
        <w:spacing w:line="360" w:lineRule="auto"/>
        <w:ind w:left="1140" w:hanging="360" w:firstLineChars="0"/>
        <w:textAlignment w:val="baseline"/>
        <w:rPr>
          <w:rFonts w:hint="eastAsia" w:ascii="Times New Roman" w:hAnsi="Times New Roman" w:eastAsia="宋体" w:cs="Times New Roman"/>
          <w:b/>
          <w:bCs/>
          <w:sz w:val="21"/>
          <w:szCs w:val="21"/>
          <w:lang w:val="en-GB" w:eastAsia="zh-CN" w:bidi="ar"/>
        </w:rPr>
      </w:pPr>
      <w:r>
        <w:rPr>
          <w:rFonts w:hint="eastAsia" w:ascii="Times New Roman" w:hAnsi="Times New Roman" w:eastAsia="宋体" w:cs="Times New Roman"/>
          <w:b/>
          <w:bCs/>
          <w:sz w:val="21"/>
          <w:szCs w:val="21"/>
          <w:lang w:val="en-GB" w:eastAsia="zh-CN" w:bidi="ar"/>
        </w:rPr>
        <w:t>机组收纳箱颜色标准如下：</w:t>
      </w:r>
    </w:p>
    <w:p>
      <w:pPr>
        <w:widowControl/>
        <w:numPr>
          <w:ilvl w:val="0"/>
          <w:numId w:val="27"/>
        </w:numPr>
        <w:overflowPunct w:val="0"/>
        <w:autoSpaceDE w:val="0"/>
        <w:autoSpaceDN w:val="0"/>
        <w:adjustRightInd w:val="0"/>
        <w:spacing w:line="360" w:lineRule="auto"/>
        <w:ind w:left="1140" w:hanging="360" w:firstLineChars="0"/>
        <w:textAlignment w:val="baseline"/>
        <w:rPr>
          <w:rFonts w:hint="eastAsia" w:ascii="Times New Roman" w:hAnsi="Times New Roman" w:eastAsia="宋体" w:cs="Times New Roman"/>
          <w:spacing w:val="-2"/>
          <w:sz w:val="21"/>
          <w:szCs w:val="21"/>
          <w:lang w:val="en-GB" w:eastAsia="zh-CN" w:bidi="ar"/>
        </w:rPr>
      </w:pPr>
      <w:r>
        <w:rPr>
          <w:rFonts w:hint="eastAsia" w:ascii="Times New Roman" w:hAnsi="Times New Roman" w:eastAsia="宋体" w:cs="Times New Roman"/>
          <w:spacing w:val="-2"/>
          <w:sz w:val="21"/>
          <w:szCs w:val="21"/>
          <w:lang w:val="en-GB" w:eastAsia="zh-CN" w:bidi="ar"/>
        </w:rPr>
        <w:t>机组收纳箱颜色标准如下表所示，本机组箱的颜色标准采用色彩CMYK四色值  来表达，其中C代表蓝色、M代表红色、Y代表黄色、K代表黑色。</w:t>
      </w:r>
    </w:p>
    <w:tbl>
      <w:tblPr>
        <w:tblStyle w:val="11"/>
        <w:tblW w:w="511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2"/>
        <w:gridCol w:w="4113"/>
        <w:gridCol w:w="953"/>
        <w:gridCol w:w="24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575" w:type="pct"/>
            <w:vAlign w:val="center"/>
          </w:tcPr>
          <w:p>
            <w:pPr>
              <w:autoSpaceDE w:val="0"/>
              <w:autoSpaceDN w:val="0"/>
              <w:adjustRightInd w:val="0"/>
              <w:snapToGrid w:val="0"/>
              <w:jc w:val="center"/>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kern w:val="0"/>
                <w:sz w:val="21"/>
                <w:szCs w:val="21"/>
                <w:lang w:eastAsia="en-US"/>
              </w:rPr>
              <w:t>序号</w:t>
            </w:r>
          </w:p>
        </w:tc>
        <w:tc>
          <w:tcPr>
            <w:tcW w:w="1937" w:type="pct"/>
            <w:vAlign w:val="center"/>
          </w:tcPr>
          <w:p>
            <w:pPr>
              <w:autoSpaceDE w:val="0"/>
              <w:autoSpaceDN w:val="0"/>
              <w:adjustRightInd w:val="0"/>
              <w:snapToGrid w:val="0"/>
              <w:jc w:val="center"/>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kern w:val="0"/>
                <w:sz w:val="21"/>
                <w:szCs w:val="21"/>
                <w:lang w:eastAsia="en-US"/>
              </w:rPr>
              <w:t>项目</w:t>
            </w:r>
          </w:p>
        </w:tc>
        <w:tc>
          <w:tcPr>
            <w:tcW w:w="449" w:type="pct"/>
            <w:vAlign w:val="center"/>
          </w:tcPr>
          <w:p>
            <w:pPr>
              <w:autoSpaceDE w:val="0"/>
              <w:autoSpaceDN w:val="0"/>
              <w:adjustRightInd w:val="0"/>
              <w:snapToGrid w:val="0"/>
              <w:jc w:val="center"/>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kern w:val="0"/>
                <w:sz w:val="21"/>
                <w:szCs w:val="21"/>
                <w:lang w:eastAsia="en-US"/>
              </w:rPr>
              <w:t>颜色</w:t>
            </w:r>
          </w:p>
        </w:tc>
        <w:tc>
          <w:tcPr>
            <w:tcW w:w="1158" w:type="pct"/>
            <w:vAlign w:val="center"/>
          </w:tcPr>
          <w:p>
            <w:pPr>
              <w:autoSpaceDE w:val="0"/>
              <w:autoSpaceDN w:val="0"/>
              <w:adjustRightInd w:val="0"/>
              <w:snapToGrid w:val="0"/>
              <w:jc w:val="center"/>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kern w:val="0"/>
                <w:sz w:val="21"/>
                <w:szCs w:val="21"/>
                <w:lang w:eastAsia="en-US"/>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jc w:val="center"/>
        </w:trPr>
        <w:tc>
          <w:tcPr>
            <w:tcW w:w="575" w:type="pct"/>
            <w:vAlign w:val="center"/>
          </w:tcPr>
          <w:p>
            <w:pPr>
              <w:autoSpaceDE w:val="0"/>
              <w:autoSpaceDN w:val="0"/>
              <w:adjustRightInd w:val="0"/>
              <w:snapToGrid w:val="0"/>
              <w:jc w:val="center"/>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kern w:val="0"/>
                <w:sz w:val="21"/>
                <w:szCs w:val="21"/>
                <w:lang w:eastAsia="en-US"/>
              </w:rPr>
              <w:t>1</w:t>
            </w:r>
          </w:p>
        </w:tc>
        <w:tc>
          <w:tcPr>
            <w:tcW w:w="1937" w:type="pct"/>
            <w:vAlign w:val="center"/>
          </w:tcPr>
          <w:p>
            <w:pPr>
              <w:autoSpaceDE w:val="0"/>
              <w:autoSpaceDN w:val="0"/>
              <w:adjustRightInd w:val="0"/>
              <w:snapToGrid w:val="0"/>
              <w:jc w:val="center"/>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机组箱外、提手、短上盖、长上盖主体</w:t>
            </w:r>
          </w:p>
        </w:tc>
        <w:tc>
          <w:tcPr>
            <w:tcW w:w="449" w:type="pct"/>
            <w:vAlign w:val="center"/>
          </w:tcPr>
          <w:p>
            <w:pPr>
              <w:autoSpaceDE w:val="0"/>
              <w:autoSpaceDN w:val="0"/>
              <w:adjustRightInd w:val="0"/>
              <w:snapToGrid w:val="0"/>
              <w:jc w:val="center"/>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海油蓝</w:t>
            </w:r>
          </w:p>
        </w:tc>
        <w:tc>
          <w:tcPr>
            <w:tcW w:w="1158" w:type="pct"/>
            <w:vAlign w:val="center"/>
          </w:tcPr>
          <w:p>
            <w:pPr>
              <w:widowControl/>
              <w:jc w:val="center"/>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kern w:val="0"/>
                <w:sz w:val="21"/>
                <w:szCs w:val="21"/>
                <w:lang w:eastAsia="zh-CN" w:bidi="ar"/>
              </w:rPr>
              <w:t>C:100 M:40 Y:0 K:0</w:t>
            </w:r>
          </w:p>
          <w:p>
            <w:pPr>
              <w:autoSpaceDE w:val="0"/>
              <w:autoSpaceDN w:val="0"/>
              <w:adjustRightInd w:val="0"/>
              <w:snapToGrid w:val="0"/>
              <w:jc w:val="center"/>
              <w:rPr>
                <w:rFonts w:hint="default" w:ascii="Times New Roman" w:hAnsi="Times New Roman" w:eastAsia="宋体" w:cs="Times New Roman"/>
                <w:kern w:val="0"/>
                <w:sz w:val="21"/>
                <w:szCs w:val="21"/>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575" w:type="pct"/>
            <w:vAlign w:val="center"/>
          </w:tcPr>
          <w:p>
            <w:pPr>
              <w:autoSpaceDE w:val="0"/>
              <w:autoSpaceDN w:val="0"/>
              <w:adjustRightInd w:val="0"/>
              <w:snapToGrid w:val="0"/>
              <w:jc w:val="center"/>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kern w:val="0"/>
                <w:sz w:val="21"/>
                <w:szCs w:val="21"/>
                <w:lang w:eastAsia="en-US"/>
              </w:rPr>
              <w:t>2</w:t>
            </w:r>
          </w:p>
        </w:tc>
        <w:tc>
          <w:tcPr>
            <w:tcW w:w="1937" w:type="pct"/>
            <w:vAlign w:val="center"/>
          </w:tcPr>
          <w:p>
            <w:pPr>
              <w:autoSpaceDE w:val="0"/>
              <w:autoSpaceDN w:val="0"/>
              <w:adjustRightInd w:val="0"/>
              <w:snapToGrid w:val="0"/>
              <w:jc w:val="center"/>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kern w:val="0"/>
                <w:sz w:val="21"/>
                <w:szCs w:val="21"/>
                <w:lang w:eastAsia="en-US"/>
              </w:rPr>
              <w:t>机组箱内</w:t>
            </w:r>
          </w:p>
        </w:tc>
        <w:tc>
          <w:tcPr>
            <w:tcW w:w="449" w:type="pct"/>
            <w:vAlign w:val="center"/>
          </w:tcPr>
          <w:p>
            <w:pPr>
              <w:autoSpaceDE w:val="0"/>
              <w:autoSpaceDN w:val="0"/>
              <w:adjustRightInd w:val="0"/>
              <w:snapToGrid w:val="0"/>
              <w:jc w:val="center"/>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洋红色</w:t>
            </w:r>
          </w:p>
        </w:tc>
        <w:tc>
          <w:tcPr>
            <w:tcW w:w="1158" w:type="pct"/>
            <w:vAlign w:val="center"/>
          </w:tcPr>
          <w:p>
            <w:pPr>
              <w:widowControl/>
              <w:jc w:val="center"/>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kern w:val="0"/>
                <w:sz w:val="21"/>
                <w:szCs w:val="21"/>
                <w:lang w:eastAsia="zh-CN" w:bidi="ar"/>
              </w:rPr>
              <w:t>C:0 M:100 Y:0 K:0</w:t>
            </w:r>
          </w:p>
          <w:p>
            <w:pPr>
              <w:autoSpaceDE w:val="0"/>
              <w:autoSpaceDN w:val="0"/>
              <w:adjustRightInd w:val="0"/>
              <w:snapToGrid w:val="0"/>
              <w:jc w:val="center"/>
              <w:rPr>
                <w:rFonts w:hint="default" w:ascii="Times New Roman" w:hAnsi="Times New Roman" w:eastAsia="宋体" w:cs="Times New Roman"/>
                <w:kern w:val="0"/>
                <w:sz w:val="21"/>
                <w:szCs w:val="21"/>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575" w:type="pct"/>
            <w:vAlign w:val="center"/>
          </w:tcPr>
          <w:p>
            <w:pPr>
              <w:autoSpaceDE w:val="0"/>
              <w:autoSpaceDN w:val="0"/>
              <w:adjustRightInd w:val="0"/>
              <w:snapToGrid w:val="0"/>
              <w:jc w:val="center"/>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kern w:val="0"/>
                <w:sz w:val="21"/>
                <w:szCs w:val="21"/>
                <w:lang w:eastAsia="en-US"/>
              </w:rPr>
              <w:t>3</w:t>
            </w:r>
          </w:p>
        </w:tc>
        <w:tc>
          <w:tcPr>
            <w:tcW w:w="1937" w:type="pct"/>
            <w:vAlign w:val="center"/>
          </w:tcPr>
          <w:p>
            <w:pPr>
              <w:autoSpaceDE w:val="0"/>
              <w:autoSpaceDN w:val="0"/>
              <w:adjustRightInd w:val="0"/>
              <w:snapToGrid w:val="0"/>
              <w:jc w:val="center"/>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机组箱头部（长度275mm）和长盖右侧（长度275mm）</w:t>
            </w:r>
          </w:p>
        </w:tc>
        <w:tc>
          <w:tcPr>
            <w:tcW w:w="449" w:type="pct"/>
            <w:vAlign w:val="center"/>
          </w:tcPr>
          <w:p>
            <w:pPr>
              <w:autoSpaceDE w:val="0"/>
              <w:autoSpaceDN w:val="0"/>
              <w:adjustRightInd w:val="0"/>
              <w:snapToGrid w:val="0"/>
              <w:jc w:val="center"/>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海龙红</w:t>
            </w:r>
          </w:p>
        </w:tc>
        <w:tc>
          <w:tcPr>
            <w:tcW w:w="1158" w:type="pct"/>
            <w:vAlign w:val="center"/>
          </w:tcPr>
          <w:p>
            <w:pPr>
              <w:widowControl/>
              <w:jc w:val="center"/>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kern w:val="0"/>
                <w:sz w:val="21"/>
                <w:szCs w:val="21"/>
                <w:lang w:eastAsia="zh-CN" w:bidi="ar"/>
              </w:rPr>
              <w:t>C:0 M:100 Y:100 K:0</w:t>
            </w:r>
          </w:p>
          <w:p>
            <w:pPr>
              <w:autoSpaceDE w:val="0"/>
              <w:autoSpaceDN w:val="0"/>
              <w:adjustRightInd w:val="0"/>
              <w:snapToGrid w:val="0"/>
              <w:jc w:val="center"/>
              <w:rPr>
                <w:rFonts w:hint="default" w:ascii="Times New Roman" w:hAnsi="Times New Roman" w:eastAsia="宋体" w:cs="Times New Roman"/>
                <w:kern w:val="0"/>
                <w:sz w:val="21"/>
                <w:szCs w:val="21"/>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jc w:val="center"/>
        </w:trPr>
        <w:tc>
          <w:tcPr>
            <w:tcW w:w="575" w:type="pct"/>
            <w:vAlign w:val="center"/>
          </w:tcPr>
          <w:p>
            <w:pPr>
              <w:autoSpaceDE w:val="0"/>
              <w:autoSpaceDN w:val="0"/>
              <w:adjustRightInd w:val="0"/>
              <w:snapToGrid w:val="0"/>
              <w:jc w:val="center"/>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4</w:t>
            </w:r>
          </w:p>
        </w:tc>
        <w:tc>
          <w:tcPr>
            <w:tcW w:w="1937" w:type="pct"/>
            <w:vAlign w:val="center"/>
          </w:tcPr>
          <w:p>
            <w:pPr>
              <w:autoSpaceDE w:val="0"/>
              <w:autoSpaceDN w:val="0"/>
              <w:adjustRightInd w:val="0"/>
              <w:snapToGrid w:val="0"/>
              <w:jc w:val="center"/>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长盖正面标识背景色、箱体侧面标识背景色</w:t>
            </w:r>
          </w:p>
        </w:tc>
        <w:tc>
          <w:tcPr>
            <w:tcW w:w="449" w:type="pct"/>
            <w:vAlign w:val="center"/>
          </w:tcPr>
          <w:p>
            <w:pPr>
              <w:autoSpaceDE w:val="0"/>
              <w:autoSpaceDN w:val="0"/>
              <w:adjustRightInd w:val="0"/>
              <w:snapToGrid w:val="0"/>
              <w:jc w:val="center"/>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白色</w:t>
            </w:r>
          </w:p>
        </w:tc>
        <w:tc>
          <w:tcPr>
            <w:tcW w:w="1158" w:type="pct"/>
            <w:vAlign w:val="center"/>
          </w:tcPr>
          <w:p>
            <w:pPr>
              <w:widowControl/>
              <w:jc w:val="center"/>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kern w:val="0"/>
                <w:sz w:val="21"/>
                <w:szCs w:val="21"/>
                <w:lang w:eastAsia="zh-CN" w:bidi="ar"/>
              </w:rPr>
              <w:t>C:0 M:0 Y:0 K:0</w:t>
            </w:r>
          </w:p>
          <w:p>
            <w:pPr>
              <w:autoSpaceDE w:val="0"/>
              <w:autoSpaceDN w:val="0"/>
              <w:adjustRightInd w:val="0"/>
              <w:snapToGrid w:val="0"/>
              <w:jc w:val="center"/>
              <w:rPr>
                <w:rFonts w:hint="default" w:ascii="Times New Roman" w:hAnsi="Times New Roman" w:eastAsia="宋体" w:cs="Times New Roman"/>
                <w:kern w:val="0"/>
                <w:sz w:val="21"/>
                <w:szCs w:val="21"/>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575" w:type="pct"/>
            <w:vAlign w:val="center"/>
          </w:tcPr>
          <w:p>
            <w:pPr>
              <w:autoSpaceDE w:val="0"/>
              <w:autoSpaceDN w:val="0"/>
              <w:adjustRightInd w:val="0"/>
              <w:snapToGrid w:val="0"/>
              <w:jc w:val="center"/>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5</w:t>
            </w:r>
          </w:p>
        </w:tc>
        <w:tc>
          <w:tcPr>
            <w:tcW w:w="1937" w:type="pct"/>
            <w:vAlign w:val="center"/>
          </w:tcPr>
          <w:p>
            <w:pPr>
              <w:autoSpaceDE w:val="0"/>
              <w:autoSpaceDN w:val="0"/>
              <w:adjustRightInd w:val="0"/>
              <w:snapToGrid w:val="0"/>
              <w:jc w:val="center"/>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警示标志、标识中的黑色字体</w:t>
            </w:r>
          </w:p>
        </w:tc>
        <w:tc>
          <w:tcPr>
            <w:tcW w:w="449" w:type="pct"/>
            <w:vAlign w:val="center"/>
          </w:tcPr>
          <w:p>
            <w:pPr>
              <w:autoSpaceDE w:val="0"/>
              <w:autoSpaceDN w:val="0"/>
              <w:adjustRightInd w:val="0"/>
              <w:snapToGrid w:val="0"/>
              <w:jc w:val="center"/>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黑色</w:t>
            </w:r>
          </w:p>
        </w:tc>
        <w:tc>
          <w:tcPr>
            <w:tcW w:w="1158" w:type="pct"/>
            <w:vAlign w:val="center"/>
          </w:tcPr>
          <w:p>
            <w:pPr>
              <w:widowControl/>
              <w:jc w:val="center"/>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kern w:val="0"/>
                <w:sz w:val="21"/>
                <w:szCs w:val="21"/>
                <w:lang w:eastAsia="zh-CN" w:bidi="ar"/>
              </w:rPr>
              <w:t>C:0 M:0 Y:0 K:100</w:t>
            </w:r>
          </w:p>
          <w:p>
            <w:pPr>
              <w:autoSpaceDE w:val="0"/>
              <w:autoSpaceDN w:val="0"/>
              <w:adjustRightInd w:val="0"/>
              <w:snapToGrid w:val="0"/>
              <w:jc w:val="center"/>
              <w:rPr>
                <w:rFonts w:hint="default" w:ascii="Times New Roman" w:hAnsi="Times New Roman" w:eastAsia="宋体" w:cs="Times New Roman"/>
                <w:kern w:val="0"/>
                <w:sz w:val="21"/>
                <w:szCs w:val="21"/>
                <w:lang w:eastAsia="en-US"/>
              </w:rPr>
            </w:pPr>
          </w:p>
        </w:tc>
      </w:tr>
    </w:tbl>
    <w:p>
      <w:pPr>
        <w:autoSpaceDE w:val="0"/>
        <w:autoSpaceDN w:val="0"/>
        <w:adjustRightInd w:val="0"/>
        <w:snapToGrid w:val="0"/>
        <w:ind w:left="359" w:leftChars="171" w:firstLine="400" w:firstLineChars="200"/>
        <w:jc w:val="left"/>
        <w:rPr>
          <w:rFonts w:hint="default" w:ascii="Times New Roman" w:hAnsi="Times New Roman" w:eastAsia="宋体" w:cs="Times New Roman"/>
          <w:kern w:val="0"/>
          <w:sz w:val="20"/>
          <w:szCs w:val="20"/>
          <w:lang w:eastAsia="en-US"/>
        </w:rPr>
      </w:pPr>
    </w:p>
    <w:p>
      <w:pPr>
        <w:widowControl w:val="0"/>
        <w:numPr>
          <w:ilvl w:val="0"/>
          <w:numId w:val="27"/>
        </w:numPr>
        <w:overflowPunct w:val="0"/>
        <w:autoSpaceDE w:val="0"/>
        <w:autoSpaceDN w:val="0"/>
        <w:adjustRightInd w:val="0"/>
        <w:snapToGrid w:val="0"/>
        <w:spacing w:line="360" w:lineRule="auto"/>
        <w:ind w:left="1140" w:hanging="360" w:firstLineChars="0"/>
        <w:textAlignment w:val="baseline"/>
        <w:rPr>
          <w:rFonts w:hint="eastAsia" w:ascii="Times New Roman" w:hAnsi="Times New Roman" w:eastAsia="宋体" w:cs="Times New Roman"/>
          <w:spacing w:val="-2"/>
          <w:sz w:val="21"/>
          <w:szCs w:val="21"/>
          <w:lang w:val="en-GB" w:eastAsia="zh-CN" w:bidi="ar"/>
        </w:rPr>
      </w:pPr>
      <w:r>
        <w:rPr>
          <w:rFonts w:hint="eastAsia" w:ascii="Times New Roman" w:hAnsi="Times New Roman" w:eastAsia="宋体" w:cs="Times New Roman"/>
          <w:spacing w:val="-2"/>
          <w:sz w:val="21"/>
          <w:szCs w:val="21"/>
          <w:lang w:val="en-GB" w:eastAsia="zh-CN" w:bidi="ar"/>
        </w:rPr>
        <w:t>长上盖的正面标识形式如下，颜色按照上述表格颜色执行。</w:t>
      </w:r>
    </w:p>
    <w:p>
      <w:pPr>
        <w:jc w:val="center"/>
        <w:rPr>
          <w:rFonts w:hint="default" w:ascii="Times New Roman" w:hAnsi="Times New Roman" w:eastAsia="宋体" w:cs="Times New Roman"/>
          <w:kern w:val="0"/>
          <w:sz w:val="20"/>
          <w:szCs w:val="20"/>
          <w:lang w:eastAsia="en-US"/>
        </w:rPr>
      </w:pPr>
      <w:r>
        <w:rPr>
          <w:rFonts w:hint="default" w:ascii="Times New Roman" w:hAnsi="Times New Roman" w:eastAsia="宋体" w:cs="Times New Roman"/>
          <w:kern w:val="0"/>
          <w:sz w:val="20"/>
          <w:szCs w:val="20"/>
          <w:lang w:eastAsia="en-US"/>
        </w:rPr>
        <w:drawing>
          <wp:inline distT="0" distB="0" distL="114300" distR="114300">
            <wp:extent cx="1974850" cy="1298575"/>
            <wp:effectExtent l="0" t="0" r="6350" b="15875"/>
            <wp:docPr id="10" name="图片 3" descr="C:\Users\think\AppData\Local\Temp\164128969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C:\Users\think\AppData\Local\Temp\1641289697(1).png"/>
                    <pic:cNvPicPr>
                      <a:picLocks noChangeAspect="1"/>
                    </pic:cNvPicPr>
                  </pic:nvPicPr>
                  <pic:blipFill>
                    <a:blip r:embed="rId24">
                      <a:clrChange>
                        <a:clrFrom>
                          <a:srgbClr val="C9C9C9"/>
                        </a:clrFrom>
                        <a:clrTo>
                          <a:srgbClr val="C9C9C9">
                            <a:alpha val="0"/>
                          </a:srgbClr>
                        </a:clrTo>
                      </a:clrChange>
                    </a:blip>
                    <a:stretch>
                      <a:fillRect/>
                    </a:stretch>
                  </pic:blipFill>
                  <pic:spPr>
                    <a:xfrm>
                      <a:off x="0" y="0"/>
                      <a:ext cx="1974850" cy="1298575"/>
                    </a:xfrm>
                    <a:prstGeom prst="rect">
                      <a:avLst/>
                    </a:prstGeom>
                    <a:noFill/>
                    <a:ln>
                      <a:noFill/>
                    </a:ln>
                  </pic:spPr>
                </pic:pic>
              </a:graphicData>
            </a:graphic>
          </wp:inline>
        </w:drawing>
      </w:r>
    </w:p>
    <w:p>
      <w:pPr>
        <w:widowControl w:val="0"/>
        <w:numPr>
          <w:ilvl w:val="0"/>
          <w:numId w:val="27"/>
        </w:numPr>
        <w:overflowPunct w:val="0"/>
        <w:autoSpaceDE w:val="0"/>
        <w:autoSpaceDN w:val="0"/>
        <w:adjustRightInd w:val="0"/>
        <w:snapToGrid w:val="0"/>
        <w:spacing w:line="360" w:lineRule="auto"/>
        <w:ind w:left="1140" w:hanging="360" w:firstLineChars="0"/>
        <w:textAlignment w:val="baseline"/>
        <w:rPr>
          <w:rFonts w:hint="eastAsia" w:ascii="Times New Roman" w:hAnsi="Times New Roman" w:eastAsia="宋体" w:cs="Times New Roman"/>
          <w:spacing w:val="-2"/>
          <w:sz w:val="21"/>
          <w:szCs w:val="21"/>
          <w:lang w:val="en-GB" w:eastAsia="zh-CN" w:bidi="ar"/>
        </w:rPr>
      </w:pPr>
      <w:r>
        <w:rPr>
          <w:rFonts w:hint="eastAsia" w:ascii="Times New Roman" w:hAnsi="Times New Roman" w:eastAsia="宋体" w:cs="Times New Roman"/>
          <w:spacing w:val="-2"/>
          <w:sz w:val="21"/>
          <w:szCs w:val="21"/>
          <w:lang w:val="en-GB" w:eastAsia="zh-CN" w:bidi="ar"/>
        </w:rPr>
        <w:t>机组箱主体侧面标识样式如下，发展字体为微软雅黑，字体高度32mm，颜色按照上述表格颜色执行。</w:t>
      </w:r>
    </w:p>
    <w:p>
      <w:pPr>
        <w:jc w:val="center"/>
        <w:rPr>
          <w:rFonts w:hint="default" w:ascii="Times New Roman" w:hAnsi="Times New Roman" w:eastAsia="宋体" w:cs="Times New Roman"/>
          <w:kern w:val="0"/>
          <w:sz w:val="20"/>
          <w:szCs w:val="20"/>
          <w:lang w:eastAsia="en-US"/>
        </w:rPr>
      </w:pPr>
      <w:r>
        <w:rPr>
          <w:rFonts w:hint="default" w:ascii="Times New Roman" w:hAnsi="Times New Roman" w:eastAsia="宋体" w:cs="Times New Roman"/>
          <w:kern w:val="0"/>
          <w:sz w:val="20"/>
          <w:szCs w:val="20"/>
          <w:lang w:eastAsia="zh-CN"/>
        </w:rPr>
        <w:t xml:space="preserve">  </w:t>
      </w:r>
      <w:r>
        <w:rPr>
          <w:rFonts w:hint="default" w:ascii="Times New Roman" w:hAnsi="Times New Roman" w:eastAsia="宋体" w:cs="Times New Roman"/>
          <w:kern w:val="0"/>
          <w:sz w:val="20"/>
          <w:szCs w:val="20"/>
          <w:lang w:eastAsia="en-US"/>
        </w:rPr>
        <w:drawing>
          <wp:inline distT="0" distB="0" distL="114300" distR="114300">
            <wp:extent cx="3562985" cy="732790"/>
            <wp:effectExtent l="0" t="0" r="18415" b="10160"/>
            <wp:docPr id="11" name="图片 4" descr="C:\Users\think\AppData\Local\Temp\16412896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C:\Users\think\AppData\Local\Temp\1641289638(1).png"/>
                    <pic:cNvPicPr>
                      <a:picLocks noChangeAspect="1"/>
                    </pic:cNvPicPr>
                  </pic:nvPicPr>
                  <pic:blipFill>
                    <a:blip r:embed="rId25">
                      <a:clrChange>
                        <a:clrFrom>
                          <a:srgbClr val="C9C9C9"/>
                        </a:clrFrom>
                        <a:clrTo>
                          <a:srgbClr val="C9C9C9">
                            <a:alpha val="0"/>
                          </a:srgbClr>
                        </a:clrTo>
                      </a:clrChange>
                    </a:blip>
                    <a:stretch>
                      <a:fillRect/>
                    </a:stretch>
                  </pic:blipFill>
                  <pic:spPr>
                    <a:xfrm>
                      <a:off x="0" y="0"/>
                      <a:ext cx="3562985" cy="732790"/>
                    </a:xfrm>
                    <a:prstGeom prst="rect">
                      <a:avLst/>
                    </a:prstGeom>
                    <a:noFill/>
                    <a:ln>
                      <a:noFill/>
                    </a:ln>
                  </pic:spPr>
                </pic:pic>
              </a:graphicData>
            </a:graphic>
          </wp:inline>
        </w:drawing>
      </w:r>
    </w:p>
    <w:p>
      <w:pPr>
        <w:jc w:val="left"/>
        <w:rPr>
          <w:rFonts w:hint="default" w:ascii="Times New Roman" w:hAnsi="Times New Roman" w:eastAsia="宋体" w:cs="Times New Roman"/>
          <w:kern w:val="0"/>
          <w:sz w:val="20"/>
          <w:szCs w:val="20"/>
          <w:lang w:eastAsia="en-US"/>
        </w:rPr>
      </w:pPr>
    </w:p>
    <w:p>
      <w:pPr>
        <w:widowControl w:val="0"/>
        <w:numPr>
          <w:ilvl w:val="0"/>
          <w:numId w:val="27"/>
        </w:numPr>
        <w:overflowPunct w:val="0"/>
        <w:autoSpaceDE w:val="0"/>
        <w:autoSpaceDN w:val="0"/>
        <w:adjustRightInd w:val="0"/>
        <w:spacing w:line="360" w:lineRule="auto"/>
        <w:ind w:left="1140" w:hanging="360" w:firstLineChars="0"/>
        <w:textAlignment w:val="baseline"/>
        <w:rPr>
          <w:rFonts w:hint="eastAsia" w:ascii="Times New Roman" w:hAnsi="Times New Roman" w:eastAsia="宋体" w:cs="Times New Roman"/>
          <w:spacing w:val="-2"/>
          <w:sz w:val="21"/>
          <w:szCs w:val="21"/>
          <w:lang w:val="en-GB" w:eastAsia="zh-CN" w:bidi="ar"/>
        </w:rPr>
      </w:pPr>
      <w:r>
        <w:rPr>
          <w:rFonts w:hint="eastAsia" w:ascii="Times New Roman" w:hAnsi="Times New Roman" w:eastAsia="宋体" w:cs="Times New Roman"/>
          <w:spacing w:val="-2"/>
          <w:sz w:val="21"/>
          <w:szCs w:val="21"/>
          <w:lang w:val="en-GB" w:eastAsia="zh-CN" w:bidi="ar"/>
        </w:rPr>
        <w:t>总成效果图：</w:t>
      </w:r>
    </w:p>
    <w:p>
      <w:pPr>
        <w:spacing w:line="360" w:lineRule="auto"/>
        <w:ind w:firstLine="420" w:firstLineChars="200"/>
        <w:jc w:val="left"/>
        <w:rPr>
          <w:rFonts w:hint="default" w:ascii="Times New Roman" w:hAnsi="Times New Roman" w:eastAsia="宋体" w:cs="Times New Roman"/>
          <w:kern w:val="0"/>
          <w:sz w:val="21"/>
          <w:szCs w:val="21"/>
          <w:lang w:eastAsia="en-US"/>
        </w:rPr>
      </w:pPr>
    </w:p>
    <w:p>
      <w:pPr>
        <w:spacing w:line="360" w:lineRule="auto"/>
        <w:ind w:firstLine="420" w:firstLineChars="200"/>
        <w:jc w:val="left"/>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kern w:val="0"/>
          <w:sz w:val="21"/>
          <w:szCs w:val="21"/>
          <w:lang w:eastAsia="zh-CN"/>
        </w:rPr>
        <w:t xml:space="preserve">           </w:t>
      </w:r>
      <w:r>
        <w:rPr>
          <w:rFonts w:hint="default" w:ascii="Times New Roman" w:hAnsi="Times New Roman" w:eastAsia="宋体" w:cs="Times New Roman"/>
          <w:kern w:val="0"/>
          <w:sz w:val="21"/>
          <w:szCs w:val="21"/>
          <w:lang w:eastAsia="en-US"/>
        </w:rPr>
        <w:drawing>
          <wp:inline distT="0" distB="0" distL="114300" distR="114300">
            <wp:extent cx="4748530" cy="1214755"/>
            <wp:effectExtent l="0" t="0" r="13970" b="444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26"/>
                    <a:srcRect l="2461" t="8517" r="1297" b="7951"/>
                    <a:stretch>
                      <a:fillRect/>
                    </a:stretch>
                  </pic:blipFill>
                  <pic:spPr>
                    <a:xfrm>
                      <a:off x="0" y="0"/>
                      <a:ext cx="4748530" cy="1214755"/>
                    </a:xfrm>
                    <a:prstGeom prst="rect">
                      <a:avLst/>
                    </a:prstGeom>
                    <a:noFill/>
                    <a:ln>
                      <a:noFill/>
                    </a:ln>
                  </pic:spPr>
                </pic:pic>
              </a:graphicData>
            </a:graphic>
          </wp:inline>
        </w:drawing>
      </w:r>
    </w:p>
    <w:p>
      <w:pPr>
        <w:widowControl w:val="0"/>
        <w:numPr>
          <w:ilvl w:val="0"/>
          <w:numId w:val="23"/>
        </w:numPr>
        <w:overflowPunct w:val="0"/>
        <w:autoSpaceDE w:val="0"/>
        <w:autoSpaceDN w:val="0"/>
        <w:adjustRightInd w:val="0"/>
        <w:spacing w:line="360" w:lineRule="auto"/>
        <w:ind w:left="780" w:hanging="360" w:firstLineChars="0"/>
        <w:textAlignment w:val="baseline"/>
        <w:rPr>
          <w:rFonts w:hint="eastAsia" w:ascii="Times New Roman" w:hAnsi="Times New Roman" w:eastAsia="宋体" w:cs="Times New Roman"/>
          <w:sz w:val="21"/>
          <w:szCs w:val="21"/>
          <w:lang w:val="en-GB" w:eastAsia="zh-CN" w:bidi="ar"/>
        </w:rPr>
      </w:pPr>
      <w:r>
        <w:rPr>
          <w:rFonts w:hint="eastAsia" w:ascii="Times New Roman" w:hAnsi="Times New Roman" w:eastAsia="宋体" w:cs="Times New Roman"/>
          <w:sz w:val="21"/>
          <w:szCs w:val="21"/>
          <w:lang w:val="en-GB" w:eastAsia="zh-CN" w:bidi="ar"/>
        </w:rPr>
        <w:t>加工要严格按照图纸要求，图纸见</w:t>
      </w:r>
      <w:r>
        <w:rPr>
          <w:rFonts w:hint="eastAsia" w:ascii="Times New Roman" w:hAnsi="Times New Roman" w:eastAsia="宋体" w:cs="Times New Roman"/>
          <w:sz w:val="21"/>
          <w:szCs w:val="21"/>
          <w:highlight w:val="none"/>
          <w:lang w:val="en-GB" w:eastAsia="zh-CN" w:bidi="ar"/>
        </w:rPr>
        <w:t>附件三</w:t>
      </w:r>
      <w:r>
        <w:rPr>
          <w:rFonts w:hint="eastAsia" w:ascii="Times New Roman" w:hAnsi="Times New Roman" w:eastAsia="宋体" w:cs="Times New Roman"/>
          <w:sz w:val="21"/>
          <w:szCs w:val="21"/>
          <w:lang w:val="en-GB" w:eastAsia="zh-CN" w:bidi="ar"/>
        </w:rPr>
        <w:t>。</w:t>
      </w:r>
    </w:p>
    <w:p>
      <w:pPr>
        <w:widowControl w:val="0"/>
        <w:numPr>
          <w:ilvl w:val="0"/>
          <w:numId w:val="23"/>
        </w:numPr>
        <w:overflowPunct w:val="0"/>
        <w:autoSpaceDE w:val="0"/>
        <w:autoSpaceDN w:val="0"/>
        <w:adjustRightInd w:val="0"/>
        <w:snapToGrid w:val="0"/>
        <w:spacing w:line="360" w:lineRule="auto"/>
        <w:ind w:left="780" w:hanging="360" w:firstLineChars="0"/>
        <w:textAlignment w:val="baseline"/>
        <w:rPr>
          <w:rFonts w:hint="eastAsia" w:ascii="Times New Roman" w:hAnsi="Times New Roman" w:eastAsia="宋体" w:cs="Times New Roman"/>
          <w:b/>
          <w:bCs/>
          <w:sz w:val="21"/>
          <w:szCs w:val="21"/>
          <w:lang w:val="en-GB" w:eastAsia="zh-CN" w:bidi="ar"/>
        </w:rPr>
      </w:pPr>
      <w:r>
        <w:rPr>
          <w:rFonts w:hint="eastAsia" w:ascii="Times New Roman" w:hAnsi="Times New Roman" w:eastAsia="宋体" w:cs="Times New Roman"/>
          <w:b/>
          <w:bCs/>
          <w:sz w:val="21"/>
          <w:szCs w:val="21"/>
          <w:lang w:val="en-GB" w:eastAsia="zh-CN" w:bidi="ar"/>
        </w:rPr>
        <w:t>潜油电机、保护器、泵、分离器检验合格后，在发货前，应分别置于钢集束包装箱内。</w:t>
      </w:r>
    </w:p>
    <w:p>
      <w:pPr>
        <w:widowControl w:val="0"/>
        <w:numPr>
          <w:ilvl w:val="0"/>
          <w:numId w:val="23"/>
        </w:numPr>
        <w:overflowPunct w:val="0"/>
        <w:autoSpaceDE w:val="0"/>
        <w:autoSpaceDN w:val="0"/>
        <w:adjustRightInd w:val="0"/>
        <w:snapToGrid w:val="0"/>
        <w:spacing w:line="360" w:lineRule="auto"/>
        <w:ind w:left="780" w:hanging="360" w:firstLineChars="0"/>
        <w:textAlignment w:val="baseline"/>
        <w:outlineLvl w:val="0"/>
        <w:rPr>
          <w:rFonts w:hint="eastAsia" w:ascii="Times New Roman" w:hAnsi="Times New Roman" w:eastAsia="宋体" w:cs="Times New Roman"/>
          <w:sz w:val="21"/>
          <w:szCs w:val="21"/>
          <w:lang w:val="en-GB" w:eastAsia="zh-CN" w:bidi="ar"/>
        </w:rPr>
      </w:pPr>
      <w:bookmarkStart w:id="219" w:name="_Toc593"/>
      <w:bookmarkStart w:id="220" w:name="_Toc20926"/>
      <w:bookmarkStart w:id="221" w:name="_Toc4142"/>
      <w:bookmarkStart w:id="222" w:name="_Toc9940"/>
      <w:bookmarkStart w:id="223" w:name="_Toc25755"/>
      <w:r>
        <w:rPr>
          <w:rFonts w:hint="eastAsia" w:ascii="Times New Roman" w:hAnsi="Times New Roman" w:eastAsia="宋体" w:cs="Times New Roman"/>
          <w:sz w:val="21"/>
          <w:szCs w:val="21"/>
          <w:lang w:val="en-GB" w:eastAsia="zh-CN" w:bidi="ar"/>
        </w:rPr>
        <w:t>送货配备物品</w:t>
      </w:r>
      <w:bookmarkEnd w:id="219"/>
      <w:bookmarkEnd w:id="220"/>
      <w:bookmarkEnd w:id="221"/>
      <w:bookmarkEnd w:id="222"/>
      <w:bookmarkEnd w:id="223"/>
    </w:p>
    <w:p>
      <w:pPr>
        <w:autoSpaceDE w:val="0"/>
        <w:autoSpaceDN w:val="0"/>
        <w:adjustRightInd w:val="0"/>
        <w:snapToGrid w:val="0"/>
        <w:spacing w:line="360" w:lineRule="auto"/>
        <w:ind w:firstLine="420" w:firstLineChars="20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包装箱内除放置供货合同要求的电泵机组外，还应有一次下井件（数量参考供货要求）、相关纸质文件。纸质文件至少应包括不限于：产品发货清单、产品试验报告、一次下井附件清单等。</w:t>
      </w:r>
    </w:p>
    <w:p>
      <w:pPr>
        <w:widowControl w:val="0"/>
        <w:numPr>
          <w:ilvl w:val="0"/>
          <w:numId w:val="23"/>
        </w:numPr>
        <w:overflowPunct w:val="0"/>
        <w:autoSpaceDE w:val="0"/>
        <w:autoSpaceDN w:val="0"/>
        <w:adjustRightInd w:val="0"/>
        <w:snapToGrid w:val="0"/>
        <w:spacing w:line="360" w:lineRule="auto"/>
        <w:ind w:left="780" w:hanging="360" w:firstLineChars="0"/>
        <w:textAlignment w:val="baseline"/>
        <w:outlineLvl w:val="0"/>
        <w:rPr>
          <w:rFonts w:hint="eastAsia" w:ascii="Times New Roman" w:hAnsi="Times New Roman" w:eastAsia="宋体" w:cs="Times New Roman"/>
          <w:sz w:val="21"/>
          <w:szCs w:val="21"/>
          <w:lang w:val="en-GB" w:eastAsia="zh-CN" w:bidi="ar"/>
        </w:rPr>
      </w:pPr>
      <w:bookmarkStart w:id="224" w:name="_Toc24727"/>
      <w:bookmarkStart w:id="225" w:name="_Toc22886"/>
      <w:bookmarkStart w:id="226" w:name="_Toc525"/>
      <w:bookmarkStart w:id="227" w:name="_Toc23944"/>
      <w:bookmarkStart w:id="228" w:name="_Toc29955"/>
      <w:r>
        <w:rPr>
          <w:rFonts w:hint="eastAsia" w:ascii="Times New Roman" w:hAnsi="Times New Roman" w:eastAsia="宋体" w:cs="Times New Roman"/>
          <w:sz w:val="21"/>
          <w:szCs w:val="21"/>
          <w:lang w:val="en-GB" w:eastAsia="zh-CN" w:bidi="ar"/>
        </w:rPr>
        <w:t>包装箱体标识要求：</w:t>
      </w:r>
      <w:bookmarkEnd w:id="224"/>
      <w:bookmarkEnd w:id="225"/>
      <w:bookmarkEnd w:id="226"/>
      <w:bookmarkEnd w:id="227"/>
      <w:bookmarkEnd w:id="228"/>
    </w:p>
    <w:p>
      <w:pPr>
        <w:numPr>
          <w:ilvl w:val="0"/>
          <w:numId w:val="28"/>
        </w:numPr>
        <w:adjustRightInd w:val="0"/>
        <w:snapToGrid w:val="0"/>
        <w:spacing w:line="360" w:lineRule="auto"/>
        <w:ind w:left="0" w:firstLine="420" w:firstLineChars="200"/>
        <w:jc w:val="left"/>
        <w:outlineLvl w:val="0"/>
        <w:rPr>
          <w:rFonts w:hint="default" w:ascii="Times New Roman" w:hAnsi="Times New Roman" w:eastAsia="宋体" w:cs="Times New Roman"/>
          <w:kern w:val="0"/>
          <w:sz w:val="21"/>
          <w:szCs w:val="21"/>
          <w:lang w:eastAsia="zh-CN"/>
        </w:rPr>
      </w:pPr>
      <w:bookmarkStart w:id="229" w:name="_Toc12213"/>
      <w:bookmarkStart w:id="230" w:name="_Toc15428"/>
      <w:bookmarkStart w:id="231" w:name="_Toc21554"/>
      <w:bookmarkStart w:id="232" w:name="_Toc25187"/>
      <w:bookmarkStart w:id="233" w:name="_Toc22060"/>
      <w:r>
        <w:rPr>
          <w:rFonts w:hint="default" w:ascii="Times New Roman" w:hAnsi="Times New Roman" w:eastAsia="宋体" w:cs="Times New Roman"/>
          <w:kern w:val="0"/>
          <w:sz w:val="21"/>
          <w:szCs w:val="21"/>
          <w:lang w:eastAsia="zh-CN"/>
        </w:rPr>
        <w:t>产品包装箱外表面明显位置，作如下标志：</w:t>
      </w:r>
      <w:bookmarkEnd w:id="229"/>
      <w:bookmarkEnd w:id="230"/>
      <w:bookmarkEnd w:id="231"/>
      <w:bookmarkEnd w:id="232"/>
      <w:bookmarkEnd w:id="233"/>
    </w:p>
    <w:p>
      <w:pPr>
        <w:autoSpaceDE w:val="0"/>
        <w:autoSpaceDN w:val="0"/>
        <w:adjustRightInd w:val="0"/>
        <w:snapToGrid w:val="0"/>
        <w:spacing w:line="360" w:lineRule="auto"/>
        <w:ind w:firstLine="420" w:firstLineChars="200"/>
        <w:jc w:val="left"/>
        <w:rPr>
          <w:rFonts w:hint="default" w:ascii="Times New Roman" w:hAnsi="Times New Roman" w:eastAsia="宋体" w:cs="Times New Roman"/>
          <w:kern w:val="0"/>
          <w:sz w:val="21"/>
          <w:szCs w:val="21"/>
          <w:lang w:eastAsia="en-US"/>
        </w:rPr>
      </w:pPr>
      <w:r>
        <w:rPr>
          <w:rFonts w:hint="default" w:ascii="Times New Roman" w:hAnsi="Times New Roman" w:eastAsia="宋体" w:cs="Times New Roman"/>
          <w:kern w:val="0"/>
          <w:sz w:val="21"/>
          <w:szCs w:val="21"/>
          <w:lang w:eastAsia="zh-CN"/>
        </w:rPr>
        <w:t>机组编号、潜油电机型号、重量、电压、电流、保护器型号、分离器型号、处理器型号、泵型号、排量、扬程。</w:t>
      </w:r>
      <w:r>
        <w:rPr>
          <w:rFonts w:hint="default" w:ascii="Times New Roman" w:hAnsi="Times New Roman" w:eastAsia="宋体" w:cs="Times New Roman"/>
          <w:kern w:val="0"/>
          <w:sz w:val="21"/>
          <w:szCs w:val="21"/>
          <w:lang w:eastAsia="en-US"/>
        </w:rPr>
        <w:t>（具体见附件1）</w:t>
      </w:r>
    </w:p>
    <w:p>
      <w:pPr>
        <w:numPr>
          <w:ilvl w:val="0"/>
          <w:numId w:val="28"/>
        </w:numPr>
        <w:adjustRightInd w:val="0"/>
        <w:snapToGrid w:val="0"/>
        <w:spacing w:line="360" w:lineRule="auto"/>
        <w:ind w:left="0" w:firstLine="420" w:firstLineChars="200"/>
        <w:jc w:val="left"/>
        <w:outlineLvl w:val="0"/>
        <w:rPr>
          <w:rFonts w:hint="default" w:ascii="Times New Roman" w:hAnsi="Times New Roman" w:eastAsia="宋体" w:cs="Times New Roman"/>
          <w:kern w:val="0"/>
          <w:sz w:val="21"/>
          <w:szCs w:val="21"/>
          <w:lang w:eastAsia="zh-CN"/>
        </w:rPr>
      </w:pPr>
      <w:bookmarkStart w:id="234" w:name="_Toc10948"/>
      <w:bookmarkStart w:id="235" w:name="_Toc651"/>
      <w:bookmarkStart w:id="236" w:name="_Toc12938"/>
      <w:bookmarkStart w:id="237" w:name="_Toc20022"/>
      <w:bookmarkStart w:id="238" w:name="_Toc16909"/>
      <w:r>
        <w:rPr>
          <w:rFonts w:hint="default" w:ascii="Times New Roman" w:hAnsi="Times New Roman" w:eastAsia="宋体" w:cs="Times New Roman"/>
          <w:kern w:val="0"/>
          <w:sz w:val="21"/>
          <w:szCs w:val="21"/>
          <w:lang w:eastAsia="zh-CN"/>
        </w:rPr>
        <w:t>防锈处理：潜油电机、保护器、泵、处理器、分离器（吸入口）表面应喷涂防锈漆或其做其他防锈处理。</w:t>
      </w:r>
      <w:bookmarkEnd w:id="234"/>
      <w:bookmarkEnd w:id="235"/>
      <w:bookmarkEnd w:id="236"/>
      <w:bookmarkEnd w:id="237"/>
      <w:bookmarkEnd w:id="238"/>
    </w:p>
    <w:p>
      <w:pPr>
        <w:widowControl w:val="0"/>
        <w:numPr>
          <w:ilvl w:val="0"/>
          <w:numId w:val="23"/>
        </w:numPr>
        <w:overflowPunct w:val="0"/>
        <w:autoSpaceDE w:val="0"/>
        <w:autoSpaceDN w:val="0"/>
        <w:adjustRightInd w:val="0"/>
        <w:snapToGrid w:val="0"/>
        <w:spacing w:line="360" w:lineRule="auto"/>
        <w:ind w:left="780" w:hanging="360" w:firstLineChars="0"/>
        <w:textAlignment w:val="baseline"/>
        <w:outlineLvl w:val="0"/>
        <w:rPr>
          <w:rFonts w:hint="eastAsia" w:ascii="Times New Roman" w:hAnsi="Times New Roman" w:eastAsia="宋体" w:cs="Times New Roman"/>
          <w:sz w:val="21"/>
          <w:szCs w:val="21"/>
          <w:lang w:val="en-GB" w:eastAsia="zh-CN" w:bidi="ar"/>
        </w:rPr>
      </w:pPr>
      <w:bookmarkStart w:id="239" w:name="_Toc20849"/>
      <w:bookmarkStart w:id="240" w:name="_Toc11739"/>
      <w:bookmarkStart w:id="241" w:name="_Toc682"/>
      <w:bookmarkStart w:id="242" w:name="_Toc28662"/>
      <w:bookmarkStart w:id="243" w:name="_Toc5958"/>
      <w:r>
        <w:rPr>
          <w:rFonts w:hint="eastAsia" w:ascii="Times New Roman" w:hAnsi="Times New Roman" w:eastAsia="宋体" w:cs="Times New Roman"/>
          <w:sz w:val="21"/>
          <w:szCs w:val="21"/>
          <w:lang w:val="en-GB" w:eastAsia="zh-CN" w:bidi="ar"/>
        </w:rPr>
        <w:t>包装箱尺寸</w:t>
      </w:r>
      <w:bookmarkEnd w:id="239"/>
      <w:bookmarkEnd w:id="240"/>
      <w:bookmarkEnd w:id="241"/>
      <w:bookmarkEnd w:id="242"/>
      <w:bookmarkEnd w:id="243"/>
    </w:p>
    <w:p>
      <w:pPr>
        <w:autoSpaceDE w:val="0"/>
        <w:autoSpaceDN w:val="0"/>
        <w:adjustRightInd w:val="0"/>
        <w:snapToGrid w:val="0"/>
        <w:spacing w:line="360" w:lineRule="auto"/>
        <w:ind w:firstLine="420" w:firstLineChars="20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以机组部件的形式运输，具体尺寸图纸请见附件三。</w:t>
      </w:r>
    </w:p>
    <w:p>
      <w:pPr>
        <w:autoSpaceDE w:val="0"/>
        <w:autoSpaceDN w:val="0"/>
        <w:adjustRightInd w:val="0"/>
        <w:snapToGrid w:val="0"/>
        <w:spacing w:line="360" w:lineRule="auto"/>
        <w:ind w:firstLine="420" w:firstLineChars="20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以成套机组的形式运输，其钢集束包装箱尺寸可根据机组尺寸制定。</w:t>
      </w:r>
    </w:p>
    <w:p>
      <w:pPr>
        <w:keepNext/>
        <w:keepLines/>
        <w:widowControl w:val="0"/>
        <w:spacing w:before="0" w:after="0" w:line="360" w:lineRule="auto"/>
        <w:ind w:firstLine="422" w:firstLineChars="200"/>
        <w:jc w:val="left"/>
        <w:outlineLvl w:val="0"/>
        <w:rPr>
          <w:rFonts w:hint="default" w:ascii="Times New Roman" w:hAnsi="Times New Roman" w:eastAsia="宋体" w:cs="Times New Roman"/>
          <w:b/>
          <w:bCs/>
          <w:kern w:val="44"/>
          <w:sz w:val="21"/>
          <w:szCs w:val="21"/>
          <w:lang w:val="en-US" w:eastAsia="zh-CN" w:bidi="ar-SA"/>
        </w:rPr>
      </w:pPr>
      <w:bookmarkStart w:id="244" w:name="_Toc27104"/>
      <w:bookmarkStart w:id="245" w:name="_Toc29115"/>
      <w:bookmarkStart w:id="246" w:name="_Toc24100"/>
      <w:bookmarkStart w:id="247" w:name="_Toc13753"/>
      <w:bookmarkStart w:id="248" w:name="_Toc11948"/>
      <w:r>
        <w:rPr>
          <w:rFonts w:hint="default" w:ascii="Times New Roman" w:hAnsi="Times New Roman" w:eastAsia="宋体" w:cs="Times New Roman"/>
          <w:b/>
          <w:bCs/>
          <w:kern w:val="44"/>
          <w:sz w:val="21"/>
          <w:szCs w:val="21"/>
          <w:lang w:val="en-US" w:eastAsia="zh-CN" w:bidi="ar-SA"/>
        </w:rPr>
        <w:t>八、技术文件</w:t>
      </w:r>
      <w:bookmarkEnd w:id="244"/>
      <w:bookmarkEnd w:id="245"/>
      <w:bookmarkEnd w:id="246"/>
      <w:bookmarkEnd w:id="247"/>
      <w:bookmarkEnd w:id="248"/>
    </w:p>
    <w:p>
      <w:pPr>
        <w:spacing w:line="360" w:lineRule="auto"/>
        <w:ind w:firstLine="420" w:firstLineChars="20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卖方在投标书中，应根据买方的要求相应的介质，并对其进行详细的说明。凡是与应满足的技术参数及功能不相符的地方，都应在投标书中给予说明，若没有说明，则被视为完全符合买方要求。</w:t>
      </w:r>
    </w:p>
    <w:p>
      <w:pPr>
        <w:spacing w:line="360" w:lineRule="auto"/>
        <w:ind w:firstLine="420" w:firstLineChars="200"/>
        <w:jc w:val="left"/>
        <w:rPr>
          <w:rFonts w:hint="default" w:ascii="Times New Roman" w:hAnsi="Times New Roman" w:eastAsia="宋体" w:cs="Times New Roman"/>
          <w:i/>
          <w:kern w:val="0"/>
          <w:sz w:val="21"/>
          <w:szCs w:val="21"/>
          <w:lang w:eastAsia="zh-CN"/>
        </w:rPr>
      </w:pPr>
      <w:r>
        <w:rPr>
          <w:rFonts w:hint="default" w:ascii="Times New Roman" w:hAnsi="Times New Roman" w:eastAsia="宋体" w:cs="Times New Roman"/>
          <w:kern w:val="0"/>
          <w:sz w:val="21"/>
          <w:szCs w:val="21"/>
          <w:lang w:eastAsia="zh-CN"/>
        </w:rPr>
        <w:t>卖方投标书的技术部分至少应包括以下几部分内容：</w:t>
      </w:r>
    </w:p>
    <w:p>
      <w:pPr>
        <w:spacing w:line="360" w:lineRule="auto"/>
        <w:ind w:firstLine="422" w:firstLineChars="200"/>
        <w:jc w:val="left"/>
        <w:rPr>
          <w:rFonts w:hint="default" w:ascii="Times New Roman" w:hAnsi="Times New Roman" w:eastAsia="宋体" w:cs="Times New Roman"/>
          <w:b/>
          <w:kern w:val="0"/>
          <w:sz w:val="21"/>
          <w:szCs w:val="21"/>
          <w:lang w:eastAsia="zh-CN"/>
        </w:rPr>
      </w:pPr>
      <w:r>
        <w:rPr>
          <w:rFonts w:hint="default" w:ascii="Times New Roman" w:hAnsi="Times New Roman" w:eastAsia="宋体" w:cs="Times New Roman"/>
          <w:b/>
          <w:kern w:val="0"/>
          <w:sz w:val="21"/>
          <w:szCs w:val="21"/>
          <w:lang w:eastAsia="zh-CN"/>
        </w:rPr>
        <w:t>第一部分：概述</w:t>
      </w:r>
    </w:p>
    <w:p>
      <w:pPr>
        <w:spacing w:line="360" w:lineRule="auto"/>
        <w:ind w:firstLine="420" w:firstLineChars="20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叙述卖方提供产品的特点、交货的详细说明等，同时，描述质量控制情况。</w:t>
      </w:r>
    </w:p>
    <w:p>
      <w:pPr>
        <w:spacing w:line="360" w:lineRule="auto"/>
        <w:ind w:firstLine="422" w:firstLineChars="200"/>
        <w:jc w:val="left"/>
        <w:rPr>
          <w:rFonts w:hint="default" w:ascii="Times New Roman" w:hAnsi="Times New Roman" w:eastAsia="宋体" w:cs="Times New Roman"/>
          <w:b/>
          <w:kern w:val="0"/>
          <w:sz w:val="21"/>
          <w:szCs w:val="21"/>
          <w:lang w:eastAsia="zh-CN"/>
        </w:rPr>
      </w:pPr>
      <w:r>
        <w:rPr>
          <w:rFonts w:hint="default" w:ascii="Times New Roman" w:hAnsi="Times New Roman" w:eastAsia="宋体" w:cs="Times New Roman"/>
          <w:b/>
          <w:kern w:val="0"/>
          <w:sz w:val="21"/>
          <w:szCs w:val="21"/>
          <w:lang w:eastAsia="zh-CN"/>
        </w:rPr>
        <w:t>第二部分：供货范围</w:t>
      </w:r>
    </w:p>
    <w:p>
      <w:pPr>
        <w:spacing w:line="360" w:lineRule="auto"/>
        <w:ind w:firstLine="420" w:firstLineChars="20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 xml:space="preserve">卖方应根据本投标须知“供货范围”的要求，列出一份详细的供货清单，包括名称、数量、技术参数、生产卖方及其他附件等的描述。 </w:t>
      </w:r>
    </w:p>
    <w:p>
      <w:pPr>
        <w:spacing w:line="360" w:lineRule="auto"/>
        <w:ind w:firstLine="422" w:firstLineChars="200"/>
        <w:jc w:val="left"/>
        <w:rPr>
          <w:rFonts w:hint="default" w:ascii="Times New Roman" w:hAnsi="Times New Roman" w:eastAsia="宋体" w:cs="Times New Roman"/>
          <w:b/>
          <w:kern w:val="0"/>
          <w:sz w:val="21"/>
          <w:szCs w:val="21"/>
          <w:lang w:eastAsia="zh-CN"/>
        </w:rPr>
      </w:pPr>
      <w:r>
        <w:rPr>
          <w:rFonts w:hint="default" w:ascii="Times New Roman" w:hAnsi="Times New Roman" w:eastAsia="宋体" w:cs="Times New Roman"/>
          <w:b/>
          <w:kern w:val="0"/>
          <w:sz w:val="21"/>
          <w:szCs w:val="21"/>
          <w:lang w:eastAsia="zh-CN"/>
        </w:rPr>
        <w:t>第三部分：技术资料</w:t>
      </w:r>
    </w:p>
    <w:p>
      <w:pPr>
        <w:spacing w:line="360" w:lineRule="auto"/>
        <w:ind w:firstLine="420" w:firstLineChars="20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至少包含但不限于以下内容：</w:t>
      </w:r>
    </w:p>
    <w:p>
      <w:pPr>
        <w:numPr>
          <w:ilvl w:val="3"/>
          <w:numId w:val="29"/>
        </w:numPr>
        <w:spacing w:line="360" w:lineRule="auto"/>
        <w:ind w:left="0" w:firstLine="420" w:firstLineChars="200"/>
        <w:jc w:val="both"/>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提供所购置产品的公司的资质。</w:t>
      </w:r>
    </w:p>
    <w:p>
      <w:pPr>
        <w:numPr>
          <w:ilvl w:val="3"/>
          <w:numId w:val="29"/>
        </w:numPr>
        <w:spacing w:line="360" w:lineRule="auto"/>
        <w:ind w:left="0" w:firstLine="420" w:firstLineChars="200"/>
        <w:jc w:val="both"/>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投标人需提供ISO系列质量体系认证证书和环境体系认证证书、相关业绩。</w:t>
      </w:r>
    </w:p>
    <w:p>
      <w:pPr>
        <w:numPr>
          <w:ilvl w:val="3"/>
          <w:numId w:val="29"/>
        </w:numPr>
        <w:spacing w:line="360" w:lineRule="auto"/>
        <w:ind w:left="0" w:firstLine="420" w:firstLineChars="200"/>
        <w:jc w:val="both"/>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设备测试报告或性能测试文件。</w:t>
      </w:r>
    </w:p>
    <w:p>
      <w:pPr>
        <w:spacing w:line="360" w:lineRule="auto"/>
        <w:ind w:firstLine="422" w:firstLineChars="200"/>
        <w:jc w:val="left"/>
        <w:rPr>
          <w:rFonts w:hint="default" w:ascii="Times New Roman" w:hAnsi="Times New Roman" w:eastAsia="宋体" w:cs="Times New Roman"/>
          <w:b/>
          <w:kern w:val="0"/>
          <w:sz w:val="21"/>
          <w:szCs w:val="21"/>
          <w:lang w:eastAsia="zh-CN"/>
        </w:rPr>
      </w:pPr>
      <w:r>
        <w:rPr>
          <w:rFonts w:hint="default" w:ascii="Times New Roman" w:hAnsi="Times New Roman" w:eastAsia="宋体" w:cs="Times New Roman"/>
          <w:b/>
          <w:kern w:val="0"/>
          <w:sz w:val="21"/>
          <w:szCs w:val="21"/>
          <w:lang w:eastAsia="zh-CN"/>
        </w:rPr>
        <w:t>第四部分：详细技术方案</w:t>
      </w:r>
    </w:p>
    <w:p>
      <w:pPr>
        <w:spacing w:line="360" w:lineRule="auto"/>
        <w:ind w:firstLine="420" w:firstLineChars="20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详细阐述针对该项目的详细设计方案说明，方案应包括：设计理论依据、具体实施方案及计划、参考标准等；</w:t>
      </w:r>
    </w:p>
    <w:p>
      <w:pPr>
        <w:spacing w:line="360" w:lineRule="auto"/>
        <w:ind w:firstLine="422" w:firstLineChars="200"/>
        <w:jc w:val="left"/>
        <w:rPr>
          <w:rFonts w:hint="default" w:ascii="Times New Roman" w:hAnsi="Times New Roman" w:eastAsia="宋体" w:cs="Times New Roman"/>
          <w:b/>
          <w:kern w:val="0"/>
          <w:sz w:val="21"/>
          <w:szCs w:val="21"/>
          <w:lang w:eastAsia="zh-CN"/>
        </w:rPr>
      </w:pPr>
      <w:r>
        <w:rPr>
          <w:rFonts w:hint="default" w:ascii="Times New Roman" w:hAnsi="Times New Roman" w:eastAsia="宋体" w:cs="Times New Roman"/>
          <w:b/>
          <w:kern w:val="0"/>
          <w:sz w:val="21"/>
          <w:szCs w:val="21"/>
          <w:lang w:eastAsia="zh-CN"/>
        </w:rPr>
        <w:t>第五部分：异议及建议</w:t>
      </w:r>
    </w:p>
    <w:p>
      <w:pPr>
        <w:spacing w:line="360" w:lineRule="auto"/>
        <w:ind w:firstLine="420" w:firstLineChars="20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详细列出所有与买方的文件及标准（或参数）不一致的地方；</w:t>
      </w:r>
    </w:p>
    <w:p>
      <w:pPr>
        <w:spacing w:line="360" w:lineRule="auto"/>
        <w:ind w:firstLine="422" w:firstLineChars="200"/>
        <w:jc w:val="left"/>
        <w:rPr>
          <w:rFonts w:hint="default" w:ascii="Times New Roman" w:hAnsi="Times New Roman" w:eastAsia="宋体" w:cs="Times New Roman"/>
          <w:b/>
          <w:kern w:val="0"/>
          <w:sz w:val="21"/>
          <w:szCs w:val="21"/>
          <w:lang w:eastAsia="zh-CN"/>
        </w:rPr>
      </w:pPr>
      <w:r>
        <w:rPr>
          <w:rFonts w:hint="default" w:ascii="Times New Roman" w:hAnsi="Times New Roman" w:eastAsia="宋体" w:cs="Times New Roman"/>
          <w:b/>
          <w:kern w:val="0"/>
          <w:sz w:val="21"/>
          <w:szCs w:val="21"/>
          <w:lang w:eastAsia="zh-CN"/>
        </w:rPr>
        <w:t>第六部分：项目进度计划</w:t>
      </w:r>
    </w:p>
    <w:p>
      <w:pPr>
        <w:spacing w:line="360" w:lineRule="auto"/>
        <w:ind w:firstLine="420" w:firstLineChars="20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提供项目整体的实施计划，格式自定。</w:t>
      </w:r>
    </w:p>
    <w:p>
      <w:pPr>
        <w:spacing w:line="360" w:lineRule="auto"/>
        <w:ind w:firstLine="422" w:firstLineChars="200"/>
        <w:jc w:val="left"/>
        <w:rPr>
          <w:rFonts w:hint="default" w:ascii="Times New Roman" w:hAnsi="Times New Roman" w:eastAsia="宋体" w:cs="Times New Roman"/>
          <w:b/>
          <w:kern w:val="0"/>
          <w:sz w:val="21"/>
          <w:szCs w:val="21"/>
          <w:lang w:eastAsia="zh-CN"/>
        </w:rPr>
      </w:pPr>
      <w:r>
        <w:rPr>
          <w:rFonts w:hint="default" w:ascii="Times New Roman" w:hAnsi="Times New Roman" w:eastAsia="宋体" w:cs="Times New Roman"/>
          <w:b/>
          <w:kern w:val="0"/>
          <w:sz w:val="21"/>
          <w:szCs w:val="21"/>
          <w:lang w:eastAsia="zh-CN"/>
        </w:rPr>
        <w:t>第七部分：安装及维护</w:t>
      </w:r>
    </w:p>
    <w:p>
      <w:pPr>
        <w:widowControl w:val="0"/>
        <w:overflowPunct w:val="0"/>
        <w:autoSpaceDE w:val="0"/>
        <w:autoSpaceDN w:val="0"/>
        <w:adjustRightInd w:val="0"/>
        <w:spacing w:line="360" w:lineRule="auto"/>
        <w:ind w:firstLine="420" w:firstLineChars="200"/>
        <w:textAlignment w:val="baseline"/>
        <w:rPr>
          <w:rFonts w:hint="default" w:ascii="Times New Roman" w:hAnsi="Times New Roman" w:eastAsia="宋体" w:cs="Times New Roman"/>
          <w:b/>
          <w:sz w:val="21"/>
          <w:szCs w:val="21"/>
          <w:lang w:val="en-GB" w:eastAsia="zh-CN" w:bidi="ar"/>
        </w:rPr>
      </w:pPr>
      <w:r>
        <w:rPr>
          <w:rFonts w:hint="default" w:ascii="Times New Roman" w:hAnsi="Times New Roman" w:eastAsia="宋体" w:cs="Times New Roman"/>
          <w:sz w:val="21"/>
          <w:szCs w:val="21"/>
          <w:lang w:val="en-GB" w:eastAsia="zh-CN" w:bidi="ar"/>
        </w:rPr>
        <w:t>提供项目实施涉及到的安装、施工及日后维护方案、计划等；</w:t>
      </w:r>
    </w:p>
    <w:p>
      <w:pPr>
        <w:keepNext/>
        <w:keepLines/>
        <w:widowControl w:val="0"/>
        <w:spacing w:before="0" w:after="0" w:line="360" w:lineRule="auto"/>
        <w:ind w:firstLine="422" w:firstLineChars="200"/>
        <w:jc w:val="left"/>
        <w:outlineLvl w:val="0"/>
        <w:rPr>
          <w:rFonts w:hint="default" w:ascii="Times New Roman" w:hAnsi="Times New Roman" w:eastAsia="宋体" w:cs="Times New Roman"/>
          <w:b/>
          <w:bCs/>
          <w:kern w:val="44"/>
          <w:sz w:val="21"/>
          <w:szCs w:val="21"/>
          <w:lang w:val="en-US" w:eastAsia="zh-CN" w:bidi="ar-SA"/>
        </w:rPr>
      </w:pPr>
      <w:bookmarkStart w:id="249" w:name="_Toc11138"/>
      <w:bookmarkStart w:id="250" w:name="_Toc28577"/>
      <w:bookmarkStart w:id="251" w:name="_Toc17290"/>
      <w:bookmarkStart w:id="252" w:name="_Toc27750"/>
      <w:bookmarkStart w:id="253" w:name="_Toc6608"/>
      <w:r>
        <w:rPr>
          <w:rFonts w:hint="default" w:ascii="Times New Roman" w:hAnsi="Times New Roman" w:eastAsia="宋体" w:cs="Times New Roman"/>
          <w:b/>
          <w:bCs/>
          <w:kern w:val="44"/>
          <w:sz w:val="21"/>
          <w:szCs w:val="21"/>
          <w:lang w:val="en-US" w:eastAsia="zh-CN" w:bidi="ar-SA"/>
        </w:rPr>
        <w:t>九、工作进度、监造和现场验收</w:t>
      </w:r>
      <w:bookmarkEnd w:id="249"/>
      <w:bookmarkEnd w:id="250"/>
      <w:bookmarkEnd w:id="251"/>
      <w:bookmarkEnd w:id="252"/>
      <w:bookmarkEnd w:id="253"/>
    </w:p>
    <w:p>
      <w:pPr>
        <w:widowControl w:val="0"/>
        <w:numPr>
          <w:ilvl w:val="1"/>
          <w:numId w:val="30"/>
        </w:numPr>
        <w:overflowPunct w:val="0"/>
        <w:autoSpaceDE w:val="0"/>
        <w:autoSpaceDN w:val="0"/>
        <w:adjustRightInd w:val="0"/>
        <w:spacing w:line="360" w:lineRule="auto"/>
        <w:ind w:left="0" w:firstLine="420" w:firstLineChars="200"/>
        <w:textAlignment w:val="baseline"/>
        <w:rPr>
          <w:rFonts w:hint="default" w:ascii="Times New Roman" w:hAnsi="Times New Roman" w:eastAsia="宋体" w:cs="Times New Roman"/>
          <w:sz w:val="21"/>
          <w:szCs w:val="21"/>
          <w:lang w:val="en-GB" w:eastAsia="zh-CN" w:bidi="ar"/>
        </w:rPr>
      </w:pPr>
      <w:r>
        <w:rPr>
          <w:rFonts w:hint="default" w:ascii="Times New Roman" w:hAnsi="Times New Roman" w:eastAsia="宋体" w:cs="Times New Roman"/>
          <w:sz w:val="21"/>
          <w:szCs w:val="21"/>
          <w:lang w:val="en-GB" w:eastAsia="zh-CN" w:bidi="ar"/>
        </w:rPr>
        <w:t>原材料需满足所有技术要求、技术合同、澄清纪要（或邮件）、随货资料要求。</w:t>
      </w:r>
    </w:p>
    <w:p>
      <w:pPr>
        <w:widowControl w:val="0"/>
        <w:numPr>
          <w:ilvl w:val="1"/>
          <w:numId w:val="30"/>
        </w:numPr>
        <w:overflowPunct w:val="0"/>
        <w:autoSpaceDE w:val="0"/>
        <w:autoSpaceDN w:val="0"/>
        <w:adjustRightInd w:val="0"/>
        <w:spacing w:line="360" w:lineRule="auto"/>
        <w:ind w:left="0" w:firstLine="420" w:firstLineChars="200"/>
        <w:textAlignment w:val="baseline"/>
        <w:rPr>
          <w:rFonts w:hint="default" w:ascii="Times New Roman" w:hAnsi="Times New Roman" w:eastAsia="宋体" w:cs="Times New Roman"/>
          <w:sz w:val="21"/>
          <w:szCs w:val="21"/>
          <w:lang w:val="en-GB" w:eastAsia="zh-CN" w:bidi="ar"/>
        </w:rPr>
      </w:pPr>
      <w:r>
        <w:rPr>
          <w:rFonts w:hint="default" w:ascii="Times New Roman" w:hAnsi="Times New Roman" w:eastAsia="宋体" w:cs="Times New Roman"/>
          <w:sz w:val="21"/>
          <w:szCs w:val="21"/>
          <w:lang w:val="en-GB" w:eastAsia="zh-CN" w:bidi="ar"/>
        </w:rPr>
        <w:t>详见附件1 《原材料随货资料清单》</w:t>
      </w:r>
    </w:p>
    <w:p>
      <w:pPr>
        <w:widowControl w:val="0"/>
        <w:numPr>
          <w:ilvl w:val="1"/>
          <w:numId w:val="30"/>
        </w:numPr>
        <w:overflowPunct w:val="0"/>
        <w:autoSpaceDE w:val="0"/>
        <w:autoSpaceDN w:val="0"/>
        <w:adjustRightInd w:val="0"/>
        <w:spacing w:line="360" w:lineRule="auto"/>
        <w:ind w:left="0" w:firstLine="420" w:firstLineChars="200"/>
        <w:textAlignment w:val="baseline"/>
        <w:rPr>
          <w:rFonts w:hint="default" w:ascii="Times New Roman" w:hAnsi="Times New Roman" w:eastAsia="宋体" w:cs="Times New Roman"/>
          <w:sz w:val="21"/>
          <w:szCs w:val="21"/>
          <w:lang w:val="en-GB" w:eastAsia="zh-CN" w:bidi="ar"/>
        </w:rPr>
      </w:pPr>
      <w:r>
        <w:rPr>
          <w:rFonts w:hint="default" w:ascii="Times New Roman" w:hAnsi="Times New Roman" w:eastAsia="宋体" w:cs="Times New Roman"/>
          <w:sz w:val="21"/>
          <w:szCs w:val="21"/>
          <w:lang w:val="en-GB" w:eastAsia="zh-CN" w:bidi="ar"/>
        </w:rPr>
        <w:t>乙方在合同签订后，根据甲方要求在指定地点进行寄存备货。</w:t>
      </w:r>
    </w:p>
    <w:p>
      <w:pPr>
        <w:widowControl w:val="0"/>
        <w:numPr>
          <w:ilvl w:val="0"/>
          <w:numId w:val="31"/>
        </w:numPr>
        <w:overflowPunct w:val="0"/>
        <w:autoSpaceDE w:val="0"/>
        <w:autoSpaceDN w:val="0"/>
        <w:adjustRightInd w:val="0"/>
        <w:spacing w:line="360" w:lineRule="auto"/>
        <w:ind w:left="845" w:hanging="425" w:firstLineChars="0"/>
        <w:textAlignment w:val="baseline"/>
        <w:rPr>
          <w:rFonts w:ascii="Times New Roman" w:hAnsi="Times New Roman" w:eastAsia="微软雅黑" w:cs="Times New Roman"/>
          <w:sz w:val="20"/>
          <w:szCs w:val="20"/>
          <w:lang w:val="en-GB" w:eastAsia="zh-CN" w:bidi="ar"/>
        </w:rPr>
      </w:pPr>
      <w:r>
        <w:rPr>
          <w:rFonts w:hint="default" w:ascii="Times New Roman" w:hAnsi="Times New Roman" w:eastAsia="微软雅黑" w:cs="Times New Roman"/>
          <w:sz w:val="20"/>
          <w:szCs w:val="20"/>
          <w:lang w:val="en-GB" w:eastAsia="zh-CN" w:bidi="ar"/>
        </w:rPr>
        <w:t>寄存备货物资根据甲方邮件通知后一周内交付指定地点。货物运输应采用符合国家要求的运输方式，途中安全由卖方负责。</w:t>
      </w:r>
    </w:p>
    <w:p>
      <w:pPr>
        <w:widowControl w:val="0"/>
        <w:numPr>
          <w:ilvl w:val="0"/>
          <w:numId w:val="31"/>
        </w:numPr>
        <w:overflowPunct w:val="0"/>
        <w:autoSpaceDE w:val="0"/>
        <w:autoSpaceDN w:val="0"/>
        <w:adjustRightInd w:val="0"/>
        <w:spacing w:line="360" w:lineRule="auto"/>
        <w:ind w:left="845" w:hanging="425" w:firstLineChars="0"/>
        <w:textAlignment w:val="baseline"/>
        <w:rPr>
          <w:rFonts w:ascii="Times New Roman" w:hAnsi="Times New Roman" w:eastAsia="微软雅黑" w:cs="Times New Roman"/>
          <w:sz w:val="20"/>
          <w:szCs w:val="20"/>
          <w:lang w:val="en-GB" w:eastAsia="zh-CN" w:bidi="ar"/>
        </w:rPr>
      </w:pPr>
      <w:r>
        <w:rPr>
          <w:rFonts w:hint="default" w:ascii="Times New Roman" w:hAnsi="Times New Roman" w:eastAsia="微软雅黑" w:cs="Times New Roman"/>
          <w:sz w:val="20"/>
          <w:szCs w:val="20"/>
          <w:lang w:val="en-GB" w:eastAsia="zh-CN" w:bidi="ar"/>
        </w:rPr>
        <w:t>寄存物资需按送货要求进行防护，如因包装原因发生损坏，乙方应负全部责任。寄售货物交付后，货物的所有权仍归属卖方，货物运输过程中及货物在买方库房寄存期间的保险由卖方承担</w:t>
      </w:r>
    </w:p>
    <w:p>
      <w:pPr>
        <w:widowControl w:val="0"/>
        <w:numPr>
          <w:ilvl w:val="0"/>
          <w:numId w:val="31"/>
        </w:numPr>
        <w:overflowPunct w:val="0"/>
        <w:autoSpaceDE w:val="0"/>
        <w:autoSpaceDN w:val="0"/>
        <w:adjustRightInd w:val="0"/>
        <w:spacing w:line="360" w:lineRule="auto"/>
        <w:ind w:left="845" w:hanging="425" w:firstLineChars="0"/>
        <w:textAlignment w:val="baseline"/>
        <w:rPr>
          <w:rFonts w:ascii="Times New Roman" w:hAnsi="Times New Roman" w:eastAsia="微软雅黑" w:cs="Times New Roman"/>
          <w:sz w:val="20"/>
          <w:szCs w:val="20"/>
          <w:lang w:val="en-GB" w:eastAsia="zh-CN" w:bidi="ar"/>
        </w:rPr>
      </w:pPr>
      <w:r>
        <w:rPr>
          <w:rFonts w:hint="default" w:ascii="Times New Roman" w:hAnsi="Times New Roman" w:eastAsia="微软雅黑" w:cs="Times New Roman"/>
          <w:sz w:val="20"/>
          <w:szCs w:val="20"/>
          <w:lang w:val="en-GB" w:eastAsia="zh-CN" w:bidi="ar"/>
        </w:rPr>
        <w:t>寄存备货物资根据实际现场需求情况，下订单使用后进行执行分批结算。</w:t>
      </w:r>
    </w:p>
    <w:p>
      <w:pPr>
        <w:widowControl w:val="0"/>
        <w:numPr>
          <w:ilvl w:val="0"/>
          <w:numId w:val="31"/>
        </w:numPr>
        <w:overflowPunct w:val="0"/>
        <w:autoSpaceDE w:val="0"/>
        <w:autoSpaceDN w:val="0"/>
        <w:adjustRightInd w:val="0"/>
        <w:spacing w:line="360" w:lineRule="auto"/>
        <w:ind w:left="845" w:hanging="425" w:firstLineChars="0"/>
        <w:textAlignment w:val="baseline"/>
        <w:rPr>
          <w:rFonts w:ascii="Times New Roman" w:hAnsi="Times New Roman" w:eastAsia="微软雅黑" w:cs="Times New Roman"/>
          <w:b/>
          <w:bCs/>
          <w:sz w:val="22"/>
          <w:szCs w:val="22"/>
          <w:lang w:val="en-GB" w:eastAsia="zh-CN" w:bidi="ar"/>
        </w:rPr>
      </w:pPr>
      <w:r>
        <w:rPr>
          <w:rFonts w:hint="default" w:ascii="Times New Roman" w:hAnsi="Times New Roman" w:eastAsia="微软雅黑" w:cs="Times New Roman"/>
          <w:sz w:val="20"/>
          <w:szCs w:val="20"/>
          <w:lang w:val="en-GB" w:eastAsia="zh-CN" w:bidi="ar"/>
        </w:rPr>
        <w:t>本协议到期或终止后，买方有权要求将剩余寄售货物退回卖方，退货产生的所有费用由卖方承担。</w:t>
      </w:r>
    </w:p>
    <w:p>
      <w:pPr>
        <w:widowControl w:val="0"/>
        <w:overflowPunct w:val="0"/>
        <w:autoSpaceDE w:val="0"/>
        <w:autoSpaceDN w:val="0"/>
        <w:adjustRightInd w:val="0"/>
        <w:spacing w:line="360" w:lineRule="auto"/>
        <w:ind w:firstLine="422" w:firstLineChars="200"/>
        <w:textAlignment w:val="baseline"/>
        <w:rPr>
          <w:rFonts w:hint="default" w:ascii="Times New Roman" w:hAnsi="Times New Roman" w:eastAsia="宋体" w:cs="Times New Roman"/>
          <w:b/>
          <w:bCs/>
          <w:sz w:val="21"/>
          <w:szCs w:val="21"/>
          <w:lang w:val="en-GB" w:eastAsia="zh-CN" w:bidi="ar"/>
        </w:rPr>
      </w:pPr>
      <w:r>
        <w:rPr>
          <w:rFonts w:hint="default" w:ascii="Times New Roman" w:hAnsi="Times New Roman" w:eastAsia="宋体" w:cs="Times New Roman"/>
          <w:b/>
          <w:bCs/>
          <w:sz w:val="21"/>
          <w:szCs w:val="21"/>
          <w:lang w:val="en-GB" w:eastAsia="zh-CN" w:bidi="ar"/>
        </w:rPr>
        <w:t>9.4 注：</w:t>
      </w:r>
    </w:p>
    <w:p>
      <w:pPr>
        <w:widowControl w:val="0"/>
        <w:tabs>
          <w:tab w:val="left" w:pos="1134"/>
        </w:tabs>
        <w:overflowPunct w:val="0"/>
        <w:autoSpaceDE w:val="0"/>
        <w:autoSpaceDN w:val="0"/>
        <w:adjustRightInd w:val="0"/>
        <w:spacing w:line="360" w:lineRule="auto"/>
        <w:ind w:left="420" w:leftChars="200" w:firstLine="0" w:firstLineChars="0"/>
        <w:textAlignment w:val="baseline"/>
        <w:rPr>
          <w:rFonts w:hint="default" w:ascii="Times New Roman" w:hAnsi="Times New Roman" w:eastAsia="宋体" w:cs="Times New Roman"/>
          <w:sz w:val="21"/>
          <w:szCs w:val="21"/>
          <w:lang w:val="en-GB" w:eastAsia="zh-CN" w:bidi="ar"/>
        </w:rPr>
      </w:pPr>
      <w:r>
        <w:rPr>
          <w:rFonts w:hint="default" w:ascii="Times New Roman" w:hAnsi="Times New Roman" w:eastAsia="宋体" w:cs="Times New Roman"/>
          <w:sz w:val="21"/>
          <w:szCs w:val="21"/>
          <w:lang w:val="en-GB" w:eastAsia="zh-CN" w:bidi="ar"/>
        </w:rPr>
        <w:t>9.4.1 清单中未包含的原材料参照相近物资原则随货提交资料。</w:t>
      </w:r>
    </w:p>
    <w:p>
      <w:pPr>
        <w:widowControl w:val="0"/>
        <w:tabs>
          <w:tab w:val="left" w:pos="1134"/>
        </w:tabs>
        <w:overflowPunct w:val="0"/>
        <w:autoSpaceDE w:val="0"/>
        <w:autoSpaceDN w:val="0"/>
        <w:adjustRightInd w:val="0"/>
        <w:spacing w:line="360" w:lineRule="auto"/>
        <w:ind w:left="420" w:leftChars="200" w:firstLine="0" w:firstLineChars="0"/>
        <w:textAlignment w:val="baseline"/>
        <w:rPr>
          <w:rFonts w:hint="default" w:ascii="Times New Roman" w:hAnsi="Times New Roman" w:eastAsia="宋体" w:cs="Times New Roman"/>
          <w:sz w:val="21"/>
          <w:szCs w:val="21"/>
          <w:lang w:val="en-GB" w:eastAsia="zh-CN" w:bidi="ar"/>
        </w:rPr>
      </w:pPr>
      <w:r>
        <w:rPr>
          <w:rFonts w:hint="default" w:ascii="Times New Roman" w:hAnsi="Times New Roman" w:eastAsia="宋体" w:cs="Times New Roman"/>
          <w:sz w:val="21"/>
          <w:szCs w:val="21"/>
          <w:lang w:val="en-GB" w:eastAsia="zh-CN" w:bidi="ar"/>
        </w:rPr>
        <w:t>9.4.2 发货资料满足但不限于附表中要求。</w:t>
      </w:r>
    </w:p>
    <w:p>
      <w:pPr>
        <w:widowControl w:val="0"/>
        <w:tabs>
          <w:tab w:val="left" w:pos="1134"/>
        </w:tabs>
        <w:overflowPunct w:val="0"/>
        <w:autoSpaceDE w:val="0"/>
        <w:autoSpaceDN w:val="0"/>
        <w:adjustRightInd w:val="0"/>
        <w:spacing w:line="360" w:lineRule="auto"/>
        <w:ind w:left="420" w:leftChars="200" w:firstLine="0" w:firstLineChars="0"/>
        <w:textAlignment w:val="baseline"/>
        <w:rPr>
          <w:rFonts w:hint="default" w:ascii="Times New Roman" w:hAnsi="Times New Roman" w:eastAsia="宋体" w:cs="Times New Roman"/>
          <w:sz w:val="21"/>
          <w:szCs w:val="21"/>
          <w:lang w:val="en-GB" w:eastAsia="zh-CN" w:bidi="ar"/>
        </w:rPr>
      </w:pPr>
      <w:r>
        <w:rPr>
          <w:rFonts w:hint="default" w:ascii="Times New Roman" w:hAnsi="Times New Roman" w:eastAsia="宋体" w:cs="Times New Roman"/>
          <w:sz w:val="21"/>
          <w:szCs w:val="21"/>
          <w:lang w:val="en-GB" w:eastAsia="zh-CN" w:bidi="ar"/>
        </w:rPr>
        <w:t>9.4.3 发货时，随设备提供与产品一致的唯一序列编码清单。</w:t>
      </w:r>
    </w:p>
    <w:p>
      <w:pPr>
        <w:widowControl w:val="0"/>
        <w:tabs>
          <w:tab w:val="left" w:pos="1134"/>
        </w:tabs>
        <w:overflowPunct w:val="0"/>
        <w:autoSpaceDE w:val="0"/>
        <w:autoSpaceDN w:val="0"/>
        <w:adjustRightInd w:val="0"/>
        <w:spacing w:line="360" w:lineRule="auto"/>
        <w:ind w:left="420" w:leftChars="200" w:firstLine="0" w:firstLineChars="0"/>
        <w:textAlignment w:val="baseline"/>
        <w:rPr>
          <w:rFonts w:hint="default" w:ascii="Times New Roman" w:hAnsi="Times New Roman" w:eastAsia="宋体" w:cs="Times New Roman"/>
          <w:sz w:val="21"/>
          <w:szCs w:val="21"/>
          <w:lang w:val="en-GB" w:eastAsia="zh-CN" w:bidi="ar"/>
        </w:rPr>
      </w:pPr>
      <w:r>
        <w:rPr>
          <w:rFonts w:hint="default" w:ascii="Times New Roman" w:hAnsi="Times New Roman" w:eastAsia="宋体" w:cs="Times New Roman"/>
          <w:sz w:val="21"/>
          <w:szCs w:val="21"/>
          <w:lang w:val="en-GB" w:eastAsia="zh-CN" w:bidi="ar"/>
        </w:rPr>
        <w:t>9.4.4 如有特殊资料要求，请加以说明。</w:t>
      </w:r>
    </w:p>
    <w:p>
      <w:pPr>
        <w:keepNext/>
        <w:keepLines/>
        <w:widowControl w:val="0"/>
        <w:spacing w:before="0" w:after="0" w:line="360" w:lineRule="auto"/>
        <w:ind w:firstLine="422" w:firstLineChars="200"/>
        <w:jc w:val="left"/>
        <w:outlineLvl w:val="0"/>
        <w:rPr>
          <w:rFonts w:hint="default" w:ascii="Times New Roman" w:hAnsi="Times New Roman" w:eastAsia="宋体" w:cs="Times New Roman"/>
          <w:b/>
          <w:bCs/>
          <w:kern w:val="44"/>
          <w:sz w:val="21"/>
          <w:szCs w:val="21"/>
          <w:lang w:val="en-US" w:eastAsia="zh-CN" w:bidi="ar-SA"/>
        </w:rPr>
      </w:pPr>
      <w:bookmarkStart w:id="254" w:name="_Toc21603"/>
      <w:bookmarkStart w:id="255" w:name="_Toc21514"/>
      <w:bookmarkStart w:id="256" w:name="_Toc18068"/>
      <w:bookmarkStart w:id="257" w:name="_Toc6642"/>
      <w:bookmarkStart w:id="258" w:name="_Toc17509"/>
      <w:r>
        <w:rPr>
          <w:rFonts w:hint="default" w:ascii="Times New Roman" w:hAnsi="Times New Roman" w:eastAsia="宋体" w:cs="Times New Roman"/>
          <w:b/>
          <w:bCs/>
          <w:kern w:val="44"/>
          <w:sz w:val="21"/>
          <w:szCs w:val="21"/>
          <w:lang w:val="en-US" w:eastAsia="zh-CN" w:bidi="ar-SA"/>
        </w:rPr>
        <w:t>十、技术服务与售后服务</w:t>
      </w:r>
      <w:bookmarkEnd w:id="254"/>
      <w:bookmarkEnd w:id="255"/>
      <w:bookmarkEnd w:id="256"/>
      <w:bookmarkEnd w:id="257"/>
      <w:bookmarkEnd w:id="258"/>
    </w:p>
    <w:p>
      <w:pPr>
        <w:numPr>
          <w:ilvl w:val="1"/>
          <w:numId w:val="32"/>
        </w:numPr>
        <w:autoSpaceDE w:val="0"/>
        <w:autoSpaceDN w:val="0"/>
        <w:adjustRightInd w:val="0"/>
        <w:spacing w:line="360" w:lineRule="auto"/>
        <w:ind w:left="0" w:firstLine="420" w:firstLineChars="20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货物符合本合同（包括不限于技术附件）规定的技术、质量、设计、标准、规格、材料、计算、参数、数据等要求，性能稳定、可靠，达到承诺的性能保证值，不存在任何缺陷；</w:t>
      </w:r>
    </w:p>
    <w:p>
      <w:pPr>
        <w:numPr>
          <w:ilvl w:val="1"/>
          <w:numId w:val="32"/>
        </w:numPr>
        <w:autoSpaceDE w:val="0"/>
        <w:autoSpaceDN w:val="0"/>
        <w:adjustRightInd w:val="0"/>
        <w:spacing w:line="360" w:lineRule="auto"/>
        <w:ind w:left="0" w:firstLine="420" w:firstLineChars="20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货物是崭新、从未使用过的货物，其材质不存在任何缺陷。</w:t>
      </w:r>
    </w:p>
    <w:p>
      <w:pPr>
        <w:numPr>
          <w:ilvl w:val="1"/>
          <w:numId w:val="32"/>
        </w:numPr>
        <w:autoSpaceDE w:val="0"/>
        <w:autoSpaceDN w:val="0"/>
        <w:adjustRightInd w:val="0"/>
        <w:spacing w:line="360" w:lineRule="auto"/>
        <w:ind w:left="0" w:firstLine="420" w:firstLineChars="20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如卖方违反前述保证，质保期内，买方有权要求卖方无偿、及时更换，如经更换仍无法消除该等缺陷，买方有权要求退货。卖方应赔偿买方因货物存在前述缺陷遭受的直接损失。</w:t>
      </w:r>
    </w:p>
    <w:p>
      <w:pPr>
        <w:numPr>
          <w:ilvl w:val="1"/>
          <w:numId w:val="32"/>
        </w:numPr>
        <w:autoSpaceDE w:val="0"/>
        <w:autoSpaceDN w:val="0"/>
        <w:adjustRightInd w:val="0"/>
        <w:spacing w:line="360" w:lineRule="auto"/>
        <w:ind w:left="0" w:firstLine="420" w:firstLineChars="20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供货范围内的所有货品的质量应满足技术要求中所列标准的要求。</w:t>
      </w:r>
    </w:p>
    <w:p>
      <w:pPr>
        <w:numPr>
          <w:ilvl w:val="1"/>
          <w:numId w:val="32"/>
        </w:numPr>
        <w:autoSpaceDE w:val="0"/>
        <w:autoSpaceDN w:val="0"/>
        <w:adjustRightInd w:val="0"/>
        <w:spacing w:line="360" w:lineRule="auto"/>
        <w:ind w:left="0" w:firstLine="420" w:firstLineChars="20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所有货品须提供检验报告。</w:t>
      </w:r>
    </w:p>
    <w:p>
      <w:pPr>
        <w:keepNext/>
        <w:keepLines/>
        <w:widowControl w:val="0"/>
        <w:spacing w:before="0" w:after="0" w:line="360" w:lineRule="auto"/>
        <w:ind w:firstLine="422" w:firstLineChars="200"/>
        <w:jc w:val="left"/>
        <w:outlineLvl w:val="0"/>
        <w:rPr>
          <w:rFonts w:hint="default" w:ascii="Times New Roman" w:hAnsi="Times New Roman" w:eastAsia="宋体" w:cs="Times New Roman"/>
          <w:b/>
          <w:bCs/>
          <w:kern w:val="44"/>
          <w:sz w:val="21"/>
          <w:szCs w:val="21"/>
          <w:lang w:val="en-US" w:eastAsia="zh-CN" w:bidi="ar-SA"/>
        </w:rPr>
      </w:pPr>
      <w:bookmarkStart w:id="259" w:name="_Toc9848"/>
      <w:bookmarkStart w:id="260" w:name="_Toc30775"/>
      <w:bookmarkStart w:id="261" w:name="_Toc6949"/>
      <w:bookmarkStart w:id="262" w:name="_Toc21472"/>
      <w:bookmarkStart w:id="263" w:name="_Toc10208"/>
      <w:r>
        <w:rPr>
          <w:rFonts w:hint="default" w:ascii="Times New Roman" w:hAnsi="Times New Roman" w:eastAsia="宋体" w:cs="Times New Roman"/>
          <w:b/>
          <w:bCs/>
          <w:kern w:val="44"/>
          <w:sz w:val="21"/>
          <w:szCs w:val="21"/>
          <w:lang w:val="en-US" w:eastAsia="zh-CN" w:bidi="ar-SA"/>
        </w:rPr>
        <w:t>十一、质量保证</w:t>
      </w:r>
      <w:bookmarkEnd w:id="259"/>
      <w:bookmarkEnd w:id="260"/>
      <w:bookmarkEnd w:id="261"/>
      <w:bookmarkEnd w:id="262"/>
      <w:bookmarkEnd w:id="263"/>
    </w:p>
    <w:p>
      <w:pPr>
        <w:numPr>
          <w:ilvl w:val="1"/>
          <w:numId w:val="33"/>
        </w:numPr>
        <w:autoSpaceDE w:val="0"/>
        <w:autoSpaceDN w:val="0"/>
        <w:adjustRightInd w:val="0"/>
        <w:spacing w:line="360" w:lineRule="auto"/>
        <w:ind w:left="240" w:leftChars="0" w:firstLine="200" w:firstLineChars="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质保期要求：下井后1300天，或检验合格入库后1600天，以先到为准。</w:t>
      </w:r>
    </w:p>
    <w:p>
      <w:pPr>
        <w:numPr>
          <w:ilvl w:val="1"/>
          <w:numId w:val="33"/>
        </w:numPr>
        <w:autoSpaceDE w:val="0"/>
        <w:autoSpaceDN w:val="0"/>
        <w:adjustRightInd w:val="0"/>
        <w:spacing w:line="360" w:lineRule="auto"/>
        <w:ind w:right="-21" w:rightChars="-10"/>
        <w:jc w:val="both"/>
        <w:rPr>
          <w:rFonts w:hint="default" w:ascii="Times New Roman" w:hAnsi="Times New Roman" w:eastAsia="宋体" w:cs="Times New Roman"/>
          <w:kern w:val="0"/>
          <w:sz w:val="21"/>
          <w:szCs w:val="21"/>
          <w:lang w:eastAsia="zh-CN"/>
        </w:rPr>
      </w:pPr>
      <w:r>
        <w:rPr>
          <w:rFonts w:hint="default" w:ascii="Times New Roman" w:hAnsi="Times New Roman" w:cs="Times New Roman" w:eastAsiaTheme="minorEastAsia"/>
          <w:kern w:val="0"/>
          <w:sz w:val="24"/>
          <w:szCs w:val="24"/>
          <w:lang w:eastAsia="zh-CN"/>
        </w:rPr>
        <w:t>赔偿条款：</w:t>
      </w:r>
    </w:p>
    <w:p>
      <w:pPr>
        <w:autoSpaceDE w:val="0"/>
        <w:autoSpaceDN w:val="0"/>
        <w:adjustRightInd w:val="0"/>
        <w:spacing w:line="360" w:lineRule="auto"/>
        <w:ind w:left="420" w:leftChars="20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（1）由于产品质量原因，导致产品下井后正常运转小于100天，卖方需赔偿买方2倍相同规格潜油电泵机组等额的人民币；</w:t>
      </w:r>
    </w:p>
    <w:p>
      <w:pPr>
        <w:autoSpaceDE w:val="0"/>
        <w:autoSpaceDN w:val="0"/>
        <w:adjustRightInd w:val="0"/>
        <w:spacing w:line="360" w:lineRule="auto"/>
        <w:ind w:left="420" w:leftChars="20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（2）由于产品质量原因，导致产品下井后正常运转大于100天（含）小于500天，卖方需赔偿买方1.5倍相同规格潜油电泵机组等额的人民币；</w:t>
      </w:r>
    </w:p>
    <w:p>
      <w:pPr>
        <w:autoSpaceDE w:val="0"/>
        <w:autoSpaceDN w:val="0"/>
        <w:adjustRightInd w:val="0"/>
        <w:spacing w:line="360" w:lineRule="auto"/>
        <w:ind w:left="420" w:leftChars="200"/>
        <w:jc w:val="left"/>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（3）由于产品质量原因，导致产品下井后正常运转大于500天（含）小于1300天，卖方需赔偿买方1倍相同规格潜油电泵机组等额的人民币；</w:t>
      </w:r>
    </w:p>
    <w:p>
      <w:pPr>
        <w:keepNext w:val="0"/>
        <w:keepLines w:val="0"/>
        <w:pageBreakBefore w:val="0"/>
        <w:widowControl w:val="0"/>
        <w:numPr>
          <w:ilvl w:val="1"/>
          <w:numId w:val="33"/>
        </w:numPr>
        <w:kinsoku/>
        <w:wordWrap/>
        <w:overflowPunct/>
        <w:topLinePunct w:val="0"/>
        <w:autoSpaceDE w:val="0"/>
        <w:autoSpaceDN w:val="0"/>
        <w:bidi w:val="0"/>
        <w:adjustRightInd w:val="0"/>
        <w:snapToGrid/>
        <w:spacing w:line="360" w:lineRule="auto"/>
        <w:ind w:left="0" w:right="0" w:rightChars="0" w:firstLine="420" w:firstLineChars="200"/>
        <w:jc w:val="left"/>
        <w:textAlignment w:val="auto"/>
        <w:rPr>
          <w:rFonts w:hint="default" w:ascii="Times New Roman" w:hAnsi="Times New Roman" w:eastAsia="宋体" w:cs="Times New Roman"/>
          <w:kern w:val="0"/>
          <w:sz w:val="21"/>
          <w:szCs w:val="21"/>
          <w:lang w:eastAsia="zh-CN"/>
        </w:rPr>
      </w:pPr>
      <w:r>
        <w:rPr>
          <w:rFonts w:hint="default" w:ascii="Segoe UI Symbol" w:hAnsi="Segoe UI Symbol" w:eastAsia="宋体" w:cs="Segoe UI Symbol"/>
          <w:kern w:val="0"/>
          <w:sz w:val="21"/>
          <w:szCs w:val="21"/>
          <w:lang w:eastAsia="zh-CN"/>
        </w:rPr>
        <w:t>★</w:t>
      </w:r>
      <w:r>
        <w:rPr>
          <w:rFonts w:hint="default" w:ascii="Times New Roman" w:hAnsi="Times New Roman" w:eastAsia="宋体" w:cs="Times New Roman"/>
          <w:kern w:val="0"/>
          <w:sz w:val="21"/>
          <w:szCs w:val="21"/>
          <w:lang w:eastAsia="zh-CN"/>
        </w:rPr>
        <w:t>卖方需具备30天交付20台潜油永磁电机的生产能力，（投标时卖方提供30天交付30台潜油永磁电机生产能力的证明材料，证明材料包含但不限于生产计划、生产工时计算、产能计算书等相关文件）。且卖方接到买方通知后（以邮件或联络函的形式），需在7天内按照买方要求将潜油电机交付到买方指定库房。</w:t>
      </w:r>
    </w:p>
    <w:p>
      <w:pPr>
        <w:numPr>
          <w:ilvl w:val="1"/>
          <w:numId w:val="33"/>
        </w:numPr>
        <w:autoSpaceDE w:val="0"/>
        <w:autoSpaceDN w:val="0"/>
        <w:adjustRightInd w:val="0"/>
        <w:spacing w:line="360" w:lineRule="auto"/>
        <w:ind w:left="240" w:leftChars="0" w:firstLine="200" w:firstLineChars="0"/>
        <w:jc w:val="left"/>
        <w:rPr>
          <w:rFonts w:hint="default" w:ascii="Times New Roman" w:hAnsi="Times New Roman" w:eastAsia="宋体" w:cs="Times New Roman"/>
          <w:kern w:val="0"/>
          <w:sz w:val="21"/>
          <w:szCs w:val="21"/>
          <w:lang w:eastAsia="zh-CN"/>
        </w:rPr>
      </w:pPr>
      <w:r>
        <w:rPr>
          <w:rFonts w:hint="default" w:ascii="Segoe UI Symbol" w:hAnsi="Segoe UI Symbol" w:eastAsia="宋体" w:cs="Segoe UI Symbol"/>
          <w:kern w:val="0"/>
          <w:sz w:val="21"/>
          <w:szCs w:val="21"/>
          <w:lang w:eastAsia="zh-CN"/>
        </w:rPr>
        <w:t>★</w:t>
      </w:r>
      <w:r>
        <w:rPr>
          <w:rFonts w:hint="default" w:ascii="Times New Roman" w:hAnsi="Times New Roman" w:eastAsia="宋体" w:cs="Times New Roman"/>
          <w:kern w:val="0"/>
          <w:sz w:val="21"/>
          <w:szCs w:val="21"/>
          <w:lang w:eastAsia="zh-CN"/>
        </w:rPr>
        <w:t>乙方在合同签订后，需备年度合同总金额10%的物资。具体备货物资规格型号在合同签订后，甲方将以邮件或联络函的形式通知乙方。具体交货期以买方订单为准。</w:t>
      </w:r>
    </w:p>
    <w:p>
      <w:pPr>
        <w:numPr>
          <w:ilvl w:val="1"/>
          <w:numId w:val="33"/>
        </w:numPr>
        <w:autoSpaceDE w:val="0"/>
        <w:autoSpaceDN w:val="0"/>
        <w:adjustRightInd w:val="0"/>
        <w:spacing w:line="360" w:lineRule="auto"/>
        <w:ind w:left="240" w:leftChars="0" w:firstLine="200" w:firstLineChars="0"/>
        <w:jc w:val="left"/>
        <w:rPr>
          <w:rFonts w:hint="default"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val="en-US" w:eastAsia="zh-CN"/>
        </w:rPr>
        <w:t xml:space="preserve"> </w:t>
      </w:r>
      <w:r>
        <w:rPr>
          <w:rFonts w:hint="default" w:ascii="Times New Roman" w:hAnsi="Times New Roman" w:eastAsia="宋体" w:cs="Times New Roman"/>
          <w:kern w:val="0"/>
          <w:sz w:val="21"/>
          <w:szCs w:val="21"/>
          <w:lang w:eastAsia="zh-CN"/>
        </w:rPr>
        <w:t>乙方首次订单提供的产品在买方场地进行试验时，如果出现电机与变频器型号不匹配的情况或者电机在空载到额定负载范围内出现异常振动现象等适配性问题，乙方有两个月产品整改期限，如果整改后产品在买方场地再次进行试验时，仍出现电机与变频器型号不匹配的情况或者电机在空载到额定负载范围内出现异常振动现象等适配性问题，买方有权终止合同，保留处罚卖方履约异常的权利，同时卖方应赔偿买方全额履约保证金。</w:t>
      </w:r>
    </w:p>
    <w:p>
      <w:pPr>
        <w:numPr>
          <w:ilvl w:val="1"/>
          <w:numId w:val="33"/>
        </w:numPr>
        <w:autoSpaceDE w:val="0"/>
        <w:autoSpaceDN w:val="0"/>
        <w:adjustRightInd w:val="0"/>
        <w:spacing w:line="360" w:lineRule="auto"/>
        <w:ind w:left="240" w:leftChars="0" w:firstLine="200" w:firstLineChars="0"/>
        <w:jc w:val="left"/>
        <w:rPr>
          <w:rFonts w:hint="default"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val="en-US" w:eastAsia="zh-CN"/>
        </w:rPr>
        <w:t xml:space="preserve"> </w:t>
      </w:r>
      <w:r>
        <w:rPr>
          <w:rFonts w:hint="default" w:ascii="Times New Roman" w:hAnsi="Times New Roman" w:eastAsia="宋体" w:cs="Times New Roman"/>
          <w:kern w:val="0"/>
          <w:sz w:val="21"/>
          <w:szCs w:val="21"/>
          <w:lang w:eastAsia="zh-CN"/>
        </w:rPr>
        <w:t>乙方自合同生效后连续两次或一年内三次无法承接（不可抗力除外）订单，将视为供应商不能履约，此品类协议终止。</w:t>
      </w:r>
    </w:p>
    <w:p>
      <w:pPr>
        <w:widowControl/>
        <w:spacing w:line="360" w:lineRule="auto"/>
        <w:ind w:firstLine="482"/>
        <w:jc w:val="both"/>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 xml:space="preserve">11.7 </w:t>
      </w:r>
      <w:r>
        <w:rPr>
          <w:rFonts w:hint="default" w:ascii="Segoe UI Symbol" w:hAnsi="Segoe UI Symbol" w:eastAsia="宋体" w:cs="Segoe UI Symbol"/>
          <w:kern w:val="0"/>
          <w:sz w:val="21"/>
          <w:szCs w:val="21"/>
          <w:lang w:eastAsia="zh-CN"/>
        </w:rPr>
        <w:t>★</w:t>
      </w:r>
      <w:r>
        <w:rPr>
          <w:rFonts w:hint="default" w:ascii="Times New Roman" w:hAnsi="Times New Roman" w:eastAsia="宋体" w:cs="Times New Roman"/>
          <w:kern w:val="0"/>
          <w:sz w:val="21"/>
          <w:szCs w:val="21"/>
          <w:lang w:eastAsia="zh-CN"/>
        </w:rPr>
        <w:t>其他特殊要求：合同签订前需签订招标方认可的银行开具的履约保函（保额</w:t>
      </w:r>
      <w:r>
        <w:rPr>
          <w:rFonts w:hint="eastAsia" w:ascii="Times New Roman" w:hAnsi="Times New Roman" w:eastAsia="宋体" w:cs="Times New Roman"/>
          <w:kern w:val="0"/>
          <w:sz w:val="21"/>
          <w:szCs w:val="21"/>
          <w:highlight w:val="yellow"/>
          <w:lang w:val="en-US" w:eastAsia="zh-CN"/>
        </w:rPr>
        <w:t>20</w:t>
      </w:r>
      <w:r>
        <w:rPr>
          <w:rFonts w:hint="default" w:ascii="Times New Roman" w:hAnsi="Times New Roman" w:eastAsia="宋体" w:cs="Times New Roman"/>
          <w:kern w:val="0"/>
          <w:sz w:val="21"/>
          <w:szCs w:val="21"/>
          <w:highlight w:val="yellow"/>
          <w:lang w:eastAsia="zh-CN"/>
        </w:rPr>
        <w:t>万元</w:t>
      </w:r>
      <w:r>
        <w:rPr>
          <w:rFonts w:hint="default" w:ascii="Times New Roman" w:hAnsi="Times New Roman" w:eastAsia="宋体" w:cs="Times New Roman"/>
          <w:kern w:val="0"/>
          <w:sz w:val="21"/>
          <w:szCs w:val="21"/>
          <w:lang w:eastAsia="zh-CN"/>
        </w:rPr>
        <w:t>）或向招标方监管账户打入履约保证金（</w:t>
      </w:r>
      <w:r>
        <w:rPr>
          <w:rFonts w:hint="eastAsia" w:ascii="Times New Roman" w:hAnsi="Times New Roman" w:eastAsia="宋体" w:cs="Times New Roman"/>
          <w:kern w:val="0"/>
          <w:sz w:val="21"/>
          <w:szCs w:val="21"/>
          <w:highlight w:val="yellow"/>
          <w:lang w:val="en-US" w:eastAsia="zh-CN"/>
        </w:rPr>
        <w:t>20</w:t>
      </w:r>
      <w:r>
        <w:rPr>
          <w:rFonts w:hint="default" w:ascii="Times New Roman" w:hAnsi="Times New Roman" w:eastAsia="宋体" w:cs="Times New Roman"/>
          <w:kern w:val="0"/>
          <w:sz w:val="21"/>
          <w:szCs w:val="21"/>
          <w:highlight w:val="yellow"/>
          <w:lang w:eastAsia="zh-CN"/>
        </w:rPr>
        <w:t>万元</w:t>
      </w:r>
      <w:r>
        <w:rPr>
          <w:rFonts w:hint="default" w:ascii="Times New Roman" w:hAnsi="Times New Roman" w:eastAsia="宋体" w:cs="Times New Roman"/>
          <w:kern w:val="0"/>
          <w:sz w:val="21"/>
          <w:szCs w:val="21"/>
          <w:lang w:eastAsia="zh-CN"/>
        </w:rPr>
        <w:t>）。</w:t>
      </w:r>
    </w:p>
    <w:p>
      <w:pPr>
        <w:widowControl/>
        <w:spacing w:line="360" w:lineRule="auto"/>
        <w:ind w:firstLine="482"/>
        <w:jc w:val="both"/>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招标方认可银行名录：</w:t>
      </w:r>
    </w:p>
    <w:p>
      <w:pPr>
        <w:widowControl w:val="0"/>
        <w:snapToGrid w:val="0"/>
        <w:spacing w:line="360" w:lineRule="auto"/>
        <w:ind w:firstLine="420" w:firstLineChars="200"/>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6家国有大型银行：中国银行、中国农业银行、中国建设银行、中国工商银行、中国邮政储蓄银行、交通银行。</w:t>
      </w:r>
    </w:p>
    <w:p>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firstLine="420" w:firstLineChars="200"/>
        <w:textAlignment w:val="auto"/>
        <w:rPr>
          <w:rFonts w:hint="default" w:ascii="Times New Roman" w:hAnsi="Times New Roman" w:cs="Times New Roman" w:eastAsiaTheme="minorEastAsia"/>
          <w:sz w:val="22"/>
          <w:szCs w:val="22"/>
          <w:highlight w:val="none"/>
          <w:lang w:val="en-US" w:eastAsia="zh-CN" w:bidi="ar-SA"/>
        </w:rPr>
      </w:pPr>
      <w:r>
        <w:rPr>
          <w:rFonts w:hint="default" w:ascii="Times New Roman" w:hAnsi="Times New Roman" w:eastAsia="宋体" w:cs="Times New Roman"/>
          <w:sz w:val="21"/>
          <w:szCs w:val="21"/>
          <w:lang w:val="en-US" w:eastAsia="zh-CN" w:bidi="ar-SA"/>
        </w:rPr>
        <w:t>9家上市股份制商业银行：招商银行、浦发银行、中信银行、中国光大银行、华夏银行、中国民生银行、平安银行、兴业银行、浙商银行。</w:t>
      </w:r>
    </w:p>
    <w:p>
      <w:pPr>
        <w:keepNext/>
        <w:keepLines/>
        <w:pageBreakBefore w:val="0"/>
        <w:widowControl w:val="0"/>
        <w:numPr>
          <w:ilvl w:val="0"/>
          <w:numId w:val="34"/>
        </w:numPr>
        <w:kinsoku/>
        <w:wordWrap/>
        <w:overflowPunct/>
        <w:topLinePunct w:val="0"/>
        <w:bidi w:val="0"/>
        <w:spacing w:before="0" w:after="0" w:line="360" w:lineRule="auto"/>
        <w:ind w:left="0" w:leftChars="0" w:right="0" w:rightChars="0" w:firstLine="422" w:firstLineChars="200"/>
        <w:jc w:val="left"/>
        <w:textAlignment w:val="auto"/>
        <w:outlineLvl w:val="0"/>
        <w:rPr>
          <w:rFonts w:hint="default" w:ascii="Times New Roman" w:hAnsi="Times New Roman" w:eastAsia="宋体" w:cs="Times New Roman"/>
          <w:b/>
          <w:bCs/>
          <w:color w:val="auto"/>
          <w:kern w:val="44"/>
          <w:sz w:val="21"/>
          <w:szCs w:val="21"/>
          <w:highlight w:val="none"/>
          <w:lang w:val="en-US" w:eastAsia="zh-CN" w:bidi="ar-SA"/>
        </w:rPr>
      </w:pPr>
      <w:r>
        <w:rPr>
          <w:rFonts w:hint="default" w:ascii="Times New Roman" w:hAnsi="Times New Roman" w:eastAsia="宋体" w:cs="Times New Roman"/>
          <w:b/>
          <w:bCs/>
          <w:color w:val="auto"/>
          <w:kern w:val="44"/>
          <w:sz w:val="21"/>
          <w:szCs w:val="21"/>
          <w:highlight w:val="none"/>
          <w:lang w:val="en-US" w:eastAsia="zh-CN" w:bidi="ar-SA"/>
        </w:rPr>
        <w:t>其它要求</w:t>
      </w:r>
      <w:bookmarkEnd w:id="186"/>
      <w:bookmarkEnd w:id="187"/>
      <w:bookmarkEnd w:id="188"/>
      <w:bookmarkEnd w:id="189"/>
      <w:bookmarkEnd w:id="190"/>
    </w:p>
    <w:p>
      <w:pPr>
        <w:pageBreakBefore w:val="0"/>
        <w:widowControl w:val="0"/>
        <w:numPr>
          <w:ilvl w:val="1"/>
          <w:numId w:val="35"/>
        </w:numPr>
        <w:kinsoku/>
        <w:wordWrap/>
        <w:overflowPunct/>
        <w:topLinePunct w:val="0"/>
        <w:autoSpaceDE w:val="0"/>
        <w:autoSpaceDN w:val="0"/>
        <w:bidi w:val="0"/>
        <w:adjustRightInd w:val="0"/>
        <w:snapToGrid w:val="0"/>
        <w:spacing w:line="360" w:lineRule="auto"/>
        <w:ind w:left="148" w:leftChars="0" w:right="0" w:rightChars="0" w:firstLine="420" w:firstLineChars="0"/>
        <w:jc w:val="left"/>
        <w:textAlignment w:val="auto"/>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lang w:eastAsia="zh-CN"/>
        </w:rPr>
        <w:t>交货地点：天津市塘沽区东沽渤海石油新村机械采油分公司东沽库房</w:t>
      </w:r>
    </w:p>
    <w:p>
      <w:pPr>
        <w:pageBreakBefore w:val="0"/>
        <w:widowControl w:val="0"/>
        <w:numPr>
          <w:ilvl w:val="1"/>
          <w:numId w:val="35"/>
        </w:numPr>
        <w:kinsoku/>
        <w:wordWrap/>
        <w:overflowPunct/>
        <w:topLinePunct w:val="0"/>
        <w:autoSpaceDE w:val="0"/>
        <w:autoSpaceDN w:val="0"/>
        <w:bidi w:val="0"/>
        <w:adjustRightInd w:val="0"/>
        <w:snapToGrid w:val="0"/>
        <w:spacing w:line="360" w:lineRule="auto"/>
        <w:ind w:left="148" w:leftChars="0" w:right="0" w:rightChars="0" w:firstLine="420" w:firstLineChars="0"/>
        <w:jc w:val="left"/>
        <w:textAlignment w:val="auto"/>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lang w:eastAsia="zh-CN"/>
        </w:rPr>
        <w:t>收货人：</w:t>
      </w:r>
      <w:r>
        <w:rPr>
          <w:rFonts w:hint="default" w:ascii="Times New Roman" w:hAnsi="Times New Roman" w:eastAsia="宋体" w:cs="Times New Roman"/>
          <w:color w:val="auto"/>
          <w:kern w:val="0"/>
          <w:sz w:val="21"/>
          <w:szCs w:val="21"/>
          <w:highlight w:val="none"/>
          <w:u w:val="single"/>
          <w:lang w:eastAsia="zh-CN"/>
        </w:rPr>
        <w:t>杨静</w:t>
      </w:r>
      <w:r>
        <w:rPr>
          <w:rFonts w:hint="default" w:ascii="Times New Roman" w:hAnsi="Times New Roman" w:eastAsia="宋体" w:cs="Times New Roman"/>
          <w:color w:val="auto"/>
          <w:kern w:val="0"/>
          <w:sz w:val="21"/>
          <w:szCs w:val="21"/>
          <w:highlight w:val="none"/>
          <w:lang w:eastAsia="zh-CN"/>
        </w:rPr>
        <w:t>，联系方式：022-66917109</w:t>
      </w:r>
    </w:p>
    <w:p>
      <w:pPr>
        <w:pageBreakBefore w:val="0"/>
        <w:widowControl w:val="0"/>
        <w:numPr>
          <w:ilvl w:val="1"/>
          <w:numId w:val="35"/>
        </w:numPr>
        <w:kinsoku/>
        <w:wordWrap/>
        <w:overflowPunct/>
        <w:topLinePunct w:val="0"/>
        <w:autoSpaceDE w:val="0"/>
        <w:autoSpaceDN w:val="0"/>
        <w:bidi w:val="0"/>
        <w:adjustRightInd w:val="0"/>
        <w:snapToGrid w:val="0"/>
        <w:spacing w:line="360" w:lineRule="auto"/>
        <w:ind w:left="148" w:leftChars="0" w:right="0" w:rightChars="0" w:firstLine="420" w:firstLineChars="0"/>
        <w:jc w:val="left"/>
        <w:textAlignment w:val="auto"/>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1"/>
          <w:szCs w:val="21"/>
          <w:highlight w:val="none"/>
          <w:lang w:eastAsia="zh-CN"/>
        </w:rPr>
        <w:t>交货期：卖方</w:t>
      </w:r>
      <w:r>
        <w:rPr>
          <w:rFonts w:hint="default" w:ascii="Times New Roman" w:hAnsi="Times New Roman" w:eastAsia="宋体" w:cs="Times New Roman"/>
          <w:color w:val="auto"/>
          <w:kern w:val="0"/>
          <w:sz w:val="21"/>
          <w:szCs w:val="21"/>
          <w:highlight w:val="none"/>
          <w:lang w:val="en-US" w:eastAsia="zh-CN"/>
        </w:rPr>
        <w:t>更具订单日期</w:t>
      </w:r>
      <w:r>
        <w:rPr>
          <w:rFonts w:hint="default" w:ascii="Times New Roman" w:hAnsi="Times New Roman" w:eastAsia="宋体" w:cs="Times New Roman"/>
          <w:color w:val="auto"/>
          <w:kern w:val="0"/>
          <w:sz w:val="21"/>
          <w:szCs w:val="21"/>
          <w:highlight w:val="none"/>
          <w:lang w:eastAsia="zh-CN"/>
        </w:rPr>
        <w:t>完成备货，具体交货期以</w:t>
      </w:r>
      <w:r>
        <w:rPr>
          <w:rFonts w:hint="default" w:ascii="Times New Roman" w:hAnsi="Times New Roman" w:eastAsia="宋体" w:cs="Times New Roman"/>
          <w:color w:val="auto"/>
          <w:kern w:val="0"/>
          <w:sz w:val="21"/>
          <w:szCs w:val="21"/>
          <w:highlight w:val="none"/>
          <w:lang w:val="en-US" w:eastAsia="zh-CN"/>
        </w:rPr>
        <w:t>买方</w:t>
      </w:r>
      <w:r>
        <w:rPr>
          <w:rFonts w:hint="default" w:ascii="Times New Roman" w:hAnsi="Times New Roman" w:eastAsia="宋体" w:cs="Times New Roman"/>
          <w:color w:val="auto"/>
          <w:kern w:val="0"/>
          <w:sz w:val="21"/>
          <w:szCs w:val="21"/>
          <w:highlight w:val="none"/>
          <w:lang w:eastAsia="zh-CN"/>
        </w:rPr>
        <w:t>书面通知为准。</w:t>
      </w:r>
    </w:p>
    <w:p>
      <w:pPr>
        <w:pageBreakBefore w:val="0"/>
        <w:widowControl w:val="0"/>
        <w:numPr>
          <w:ilvl w:val="1"/>
          <w:numId w:val="35"/>
        </w:numPr>
        <w:kinsoku/>
        <w:wordWrap/>
        <w:overflowPunct/>
        <w:topLinePunct w:val="0"/>
        <w:autoSpaceDE w:val="0"/>
        <w:autoSpaceDN w:val="0"/>
        <w:bidi w:val="0"/>
        <w:adjustRightInd w:val="0"/>
        <w:snapToGrid w:val="0"/>
        <w:spacing w:line="360" w:lineRule="auto"/>
        <w:ind w:left="148" w:leftChars="0" w:right="0" w:rightChars="0" w:firstLine="420" w:firstLineChars="0"/>
        <w:jc w:val="left"/>
        <w:textAlignment w:val="auto"/>
        <w:rPr>
          <w:rFonts w:hint="default" w:ascii="Times New Roman" w:hAnsi="Times New Roman" w:cs="Times New Roman" w:eastAsiaTheme="minorEastAsia"/>
          <w:color w:val="auto"/>
          <w:kern w:val="0"/>
          <w:sz w:val="22"/>
          <w:highlight w:val="none"/>
          <w:lang w:eastAsia="zh-CN"/>
        </w:rPr>
      </w:pPr>
      <w:r>
        <w:rPr>
          <w:rFonts w:hint="default" w:ascii="Times New Roman" w:hAnsi="Times New Roman" w:eastAsia="宋体" w:cs="Times New Roman"/>
          <w:color w:val="auto"/>
          <w:kern w:val="0"/>
          <w:sz w:val="21"/>
          <w:szCs w:val="21"/>
          <w:highlight w:val="none"/>
          <w:lang w:eastAsia="zh-CN"/>
        </w:rPr>
        <w:t>因规格变化的价格变化表</w:t>
      </w:r>
    </w:p>
    <w:tbl>
      <w:tblPr>
        <w:tblStyle w:val="11"/>
        <w:tblW w:w="9650" w:type="dxa"/>
        <w:jc w:val="center"/>
        <w:tblLayout w:type="autofit"/>
        <w:tblCellMar>
          <w:top w:w="0" w:type="dxa"/>
          <w:left w:w="108" w:type="dxa"/>
          <w:bottom w:w="0" w:type="dxa"/>
          <w:right w:w="108" w:type="dxa"/>
        </w:tblCellMar>
      </w:tblPr>
      <w:tblGrid>
        <w:gridCol w:w="717"/>
        <w:gridCol w:w="1220"/>
        <w:gridCol w:w="5200"/>
        <w:gridCol w:w="802"/>
        <w:gridCol w:w="992"/>
        <w:gridCol w:w="719"/>
      </w:tblGrid>
      <w:tr>
        <w:tblPrEx>
          <w:tblCellMar>
            <w:top w:w="0" w:type="dxa"/>
            <w:left w:w="108" w:type="dxa"/>
            <w:bottom w:w="0" w:type="dxa"/>
            <w:right w:w="108" w:type="dxa"/>
          </w:tblCellMar>
        </w:tblPrEx>
        <w:trPr>
          <w:trHeight w:val="480" w:hRule="atLeast"/>
          <w:jc w:val="center"/>
        </w:trPr>
        <w:tc>
          <w:tcPr>
            <w:tcW w:w="717" w:type="dxa"/>
            <w:tcBorders>
              <w:top w:val="single" w:color="auto" w:sz="4" w:space="0"/>
              <w:left w:val="single" w:color="auto" w:sz="4" w:space="0"/>
              <w:bottom w:val="single" w:color="auto" w:sz="4" w:space="0"/>
              <w:right w:val="single" w:color="auto" w:sz="4" w:space="0"/>
            </w:tcBorders>
            <w:shd w:val="clear" w:color="000000" w:fill="BFBFBF"/>
            <w:noWrap w:val="0"/>
            <w:vAlign w:val="center"/>
          </w:tcPr>
          <w:p>
            <w:pPr>
              <w:widowControl/>
              <w:jc w:val="center"/>
              <w:rPr>
                <w:rFonts w:hint="default" w:ascii="Times New Roman" w:hAnsi="Times New Roman" w:eastAsia="宋体" w:cs="Times New Roman"/>
                <w:b/>
                <w:bCs/>
                <w:color w:val="auto"/>
                <w:kern w:val="0"/>
                <w:sz w:val="20"/>
                <w:szCs w:val="20"/>
                <w:highlight w:val="none"/>
                <w:lang w:eastAsia="en-US"/>
              </w:rPr>
            </w:pPr>
            <w:r>
              <w:rPr>
                <w:rFonts w:hint="default" w:ascii="Times New Roman" w:hAnsi="Times New Roman" w:eastAsia="宋体" w:cs="Times New Roman"/>
                <w:b/>
                <w:bCs/>
                <w:color w:val="auto"/>
                <w:kern w:val="0"/>
                <w:sz w:val="20"/>
                <w:szCs w:val="20"/>
                <w:highlight w:val="none"/>
                <w:lang w:eastAsia="en-US"/>
              </w:rPr>
              <w:t>名称</w:t>
            </w:r>
          </w:p>
        </w:tc>
        <w:tc>
          <w:tcPr>
            <w:tcW w:w="1220" w:type="dxa"/>
            <w:tcBorders>
              <w:top w:val="single" w:color="auto" w:sz="4" w:space="0"/>
              <w:left w:val="nil"/>
              <w:bottom w:val="single" w:color="auto" w:sz="4" w:space="0"/>
              <w:right w:val="single" w:color="auto" w:sz="4" w:space="0"/>
            </w:tcBorders>
            <w:shd w:val="clear" w:color="000000" w:fill="BFBFBF"/>
            <w:noWrap w:val="0"/>
            <w:vAlign w:val="center"/>
          </w:tcPr>
          <w:p>
            <w:pPr>
              <w:widowControl/>
              <w:jc w:val="center"/>
              <w:rPr>
                <w:rFonts w:hint="default" w:ascii="Times New Roman" w:hAnsi="Times New Roman" w:eastAsia="宋体" w:cs="Times New Roman"/>
                <w:b/>
                <w:bCs/>
                <w:color w:val="auto"/>
                <w:kern w:val="0"/>
                <w:sz w:val="20"/>
                <w:szCs w:val="20"/>
                <w:highlight w:val="none"/>
                <w:lang w:eastAsia="en-US"/>
              </w:rPr>
            </w:pPr>
            <w:r>
              <w:rPr>
                <w:rFonts w:hint="default" w:ascii="Times New Roman" w:hAnsi="Times New Roman" w:eastAsia="宋体" w:cs="Times New Roman"/>
                <w:b/>
                <w:bCs/>
                <w:color w:val="auto"/>
                <w:kern w:val="0"/>
                <w:sz w:val="20"/>
                <w:szCs w:val="20"/>
                <w:highlight w:val="none"/>
                <w:lang w:eastAsia="en-US"/>
              </w:rPr>
              <w:t>类别</w:t>
            </w:r>
          </w:p>
        </w:tc>
        <w:tc>
          <w:tcPr>
            <w:tcW w:w="5200" w:type="dxa"/>
            <w:tcBorders>
              <w:top w:val="single" w:color="auto" w:sz="4" w:space="0"/>
              <w:left w:val="nil"/>
              <w:bottom w:val="single" w:color="auto" w:sz="4" w:space="0"/>
              <w:right w:val="single" w:color="auto" w:sz="4" w:space="0"/>
            </w:tcBorders>
            <w:shd w:val="clear" w:color="000000" w:fill="BFBFBF"/>
            <w:noWrap w:val="0"/>
            <w:vAlign w:val="center"/>
          </w:tcPr>
          <w:p>
            <w:pPr>
              <w:widowControl/>
              <w:jc w:val="center"/>
              <w:rPr>
                <w:rFonts w:hint="default" w:ascii="Times New Roman" w:hAnsi="Times New Roman" w:eastAsia="宋体" w:cs="Times New Roman"/>
                <w:b/>
                <w:bCs/>
                <w:color w:val="auto"/>
                <w:kern w:val="0"/>
                <w:sz w:val="20"/>
                <w:szCs w:val="20"/>
                <w:highlight w:val="none"/>
                <w:lang w:eastAsia="en-US"/>
              </w:rPr>
            </w:pPr>
            <w:r>
              <w:rPr>
                <w:rFonts w:hint="default" w:ascii="Times New Roman" w:hAnsi="Times New Roman" w:eastAsia="宋体" w:cs="Times New Roman"/>
                <w:b/>
                <w:bCs/>
                <w:color w:val="auto"/>
                <w:kern w:val="0"/>
                <w:sz w:val="20"/>
                <w:szCs w:val="20"/>
                <w:highlight w:val="none"/>
                <w:lang w:eastAsia="en-US"/>
              </w:rPr>
              <w:t>说明</w:t>
            </w:r>
          </w:p>
        </w:tc>
        <w:tc>
          <w:tcPr>
            <w:tcW w:w="802" w:type="dxa"/>
            <w:tcBorders>
              <w:top w:val="single" w:color="auto" w:sz="4" w:space="0"/>
              <w:left w:val="nil"/>
              <w:bottom w:val="single" w:color="auto" w:sz="4" w:space="0"/>
              <w:right w:val="single" w:color="auto" w:sz="4" w:space="0"/>
            </w:tcBorders>
            <w:shd w:val="clear" w:color="000000" w:fill="BFBFBF"/>
            <w:noWrap w:val="0"/>
            <w:vAlign w:val="center"/>
          </w:tcPr>
          <w:p>
            <w:pPr>
              <w:widowControl/>
              <w:jc w:val="center"/>
              <w:rPr>
                <w:rFonts w:hint="default" w:ascii="Times New Roman" w:hAnsi="Times New Roman" w:eastAsia="宋体" w:cs="Times New Roman"/>
                <w:b/>
                <w:bCs/>
                <w:color w:val="auto"/>
                <w:kern w:val="0"/>
                <w:sz w:val="20"/>
                <w:szCs w:val="20"/>
                <w:highlight w:val="none"/>
                <w:lang w:eastAsia="en-US"/>
              </w:rPr>
            </w:pPr>
            <w:r>
              <w:rPr>
                <w:rFonts w:hint="default" w:ascii="Times New Roman" w:hAnsi="Times New Roman" w:eastAsia="宋体" w:cs="Times New Roman"/>
                <w:b/>
                <w:bCs/>
                <w:color w:val="auto"/>
                <w:kern w:val="0"/>
                <w:sz w:val="20"/>
                <w:szCs w:val="20"/>
                <w:highlight w:val="none"/>
                <w:lang w:eastAsia="en-US"/>
              </w:rPr>
              <w:t>费率</w:t>
            </w:r>
          </w:p>
        </w:tc>
        <w:tc>
          <w:tcPr>
            <w:tcW w:w="992" w:type="dxa"/>
            <w:tcBorders>
              <w:top w:val="single" w:color="auto" w:sz="4" w:space="0"/>
              <w:left w:val="nil"/>
              <w:bottom w:val="single" w:color="auto" w:sz="4" w:space="0"/>
              <w:right w:val="single" w:color="auto" w:sz="4" w:space="0"/>
            </w:tcBorders>
            <w:shd w:val="clear" w:color="000000" w:fill="BFBFBF"/>
            <w:noWrap/>
            <w:vAlign w:val="center"/>
          </w:tcPr>
          <w:p>
            <w:pPr>
              <w:widowControl/>
              <w:jc w:val="center"/>
              <w:rPr>
                <w:rFonts w:hint="default" w:ascii="Times New Roman" w:hAnsi="Times New Roman" w:eastAsia="宋体" w:cs="Times New Roman"/>
                <w:b/>
                <w:bCs/>
                <w:color w:val="auto"/>
                <w:kern w:val="0"/>
                <w:sz w:val="20"/>
                <w:szCs w:val="20"/>
                <w:highlight w:val="none"/>
                <w:lang w:eastAsia="en-US"/>
              </w:rPr>
            </w:pPr>
            <w:r>
              <w:rPr>
                <w:rFonts w:hint="default" w:ascii="Times New Roman" w:hAnsi="Times New Roman" w:eastAsia="宋体" w:cs="Times New Roman"/>
                <w:b/>
                <w:bCs/>
                <w:color w:val="auto"/>
                <w:kern w:val="0"/>
                <w:sz w:val="20"/>
                <w:szCs w:val="20"/>
                <w:highlight w:val="none"/>
                <w:lang w:eastAsia="en-US"/>
              </w:rPr>
              <w:t>单位</w:t>
            </w:r>
          </w:p>
        </w:tc>
        <w:tc>
          <w:tcPr>
            <w:tcW w:w="719" w:type="dxa"/>
            <w:tcBorders>
              <w:top w:val="single" w:color="auto" w:sz="4" w:space="0"/>
              <w:left w:val="nil"/>
              <w:bottom w:val="single" w:color="auto" w:sz="4" w:space="0"/>
              <w:right w:val="single" w:color="auto" w:sz="4" w:space="0"/>
            </w:tcBorders>
            <w:shd w:val="clear" w:color="000000" w:fill="BFBFBF"/>
            <w:noWrap/>
            <w:vAlign w:val="center"/>
          </w:tcPr>
          <w:p>
            <w:pPr>
              <w:widowControl/>
              <w:jc w:val="center"/>
              <w:rPr>
                <w:rFonts w:hint="default" w:ascii="Times New Roman" w:hAnsi="Times New Roman" w:eastAsia="宋体" w:cs="Times New Roman"/>
                <w:b/>
                <w:bCs/>
                <w:color w:val="auto"/>
                <w:kern w:val="0"/>
                <w:sz w:val="20"/>
                <w:szCs w:val="20"/>
                <w:highlight w:val="none"/>
                <w:lang w:eastAsia="en-US"/>
              </w:rPr>
            </w:pPr>
            <w:r>
              <w:rPr>
                <w:rFonts w:hint="default" w:ascii="Times New Roman" w:hAnsi="Times New Roman" w:eastAsia="宋体" w:cs="Times New Roman"/>
                <w:b/>
                <w:bCs/>
                <w:color w:val="auto"/>
                <w:kern w:val="0"/>
                <w:sz w:val="20"/>
                <w:szCs w:val="20"/>
                <w:highlight w:val="none"/>
                <w:lang w:eastAsia="en-US"/>
              </w:rPr>
              <w:t>备注</w:t>
            </w:r>
          </w:p>
        </w:tc>
      </w:tr>
      <w:tr>
        <w:tblPrEx>
          <w:tblCellMar>
            <w:top w:w="0" w:type="dxa"/>
            <w:left w:w="108" w:type="dxa"/>
            <w:bottom w:w="0" w:type="dxa"/>
            <w:right w:w="108" w:type="dxa"/>
          </w:tblCellMar>
        </w:tblPrEx>
        <w:trPr>
          <w:trHeight w:val="480" w:hRule="atLeast"/>
          <w:jc w:val="center"/>
        </w:trPr>
        <w:tc>
          <w:tcPr>
            <w:tcW w:w="717" w:type="dxa"/>
            <w:tcBorders>
              <w:top w:val="nil"/>
              <w:left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en-US"/>
              </w:rPr>
            </w:pPr>
          </w:p>
        </w:tc>
        <w:tc>
          <w:tcPr>
            <w:tcW w:w="1220" w:type="dxa"/>
            <w:vMerge w:val="restart"/>
            <w:tcBorders>
              <w:top w:val="nil"/>
              <w:left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en-US"/>
              </w:rPr>
            </w:pPr>
            <w:r>
              <w:rPr>
                <w:rFonts w:hint="default" w:ascii="Times New Roman" w:hAnsi="Times New Roman" w:eastAsia="宋体" w:cs="Times New Roman"/>
                <w:color w:val="auto"/>
                <w:kern w:val="0"/>
                <w:sz w:val="20"/>
                <w:szCs w:val="20"/>
                <w:highlight w:val="none"/>
                <w:lang w:eastAsia="zh-CN"/>
              </w:rPr>
              <w:t>电机</w:t>
            </w:r>
          </w:p>
        </w:tc>
        <w:tc>
          <w:tcPr>
            <w:tcW w:w="5200" w:type="dxa"/>
            <w:tcBorders>
              <w:top w:val="nil"/>
              <w:left w:val="nil"/>
              <w:bottom w:val="single" w:color="auto" w:sz="4" w:space="0"/>
              <w:right w:val="single" w:color="auto" w:sz="4" w:space="0"/>
            </w:tcBorders>
            <w:shd w:val="clear" w:color="000000" w:fill="FFFFFF"/>
            <w:noWrap w:val="0"/>
            <w:vAlign w:val="center"/>
          </w:tcPr>
          <w:p>
            <w:pPr>
              <w:widowControl/>
              <w:jc w:val="left"/>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zh-CN"/>
              </w:rPr>
              <w:t>350系列潜油电机（100Hz），功率每增减1HP， 增减</w:t>
            </w:r>
          </w:p>
        </w:tc>
        <w:tc>
          <w:tcPr>
            <w:tcW w:w="802" w:type="dxa"/>
            <w:tcBorders>
              <w:top w:val="nil"/>
              <w:left w:val="nil"/>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宋体" w:cs="Times New Roman"/>
                <w:color w:val="auto"/>
                <w:kern w:val="0"/>
                <w:sz w:val="20"/>
                <w:szCs w:val="20"/>
                <w:highlight w:val="none"/>
                <w:lang w:val="en-US" w:eastAsia="zh-CN"/>
              </w:rPr>
            </w:pPr>
            <w:r>
              <w:rPr>
                <w:rFonts w:hint="default" w:ascii="Times New Roman" w:hAnsi="Times New Roman" w:eastAsia="宋体" w:cs="Times New Roman"/>
                <w:color w:val="auto"/>
                <w:kern w:val="0"/>
                <w:sz w:val="20"/>
                <w:szCs w:val="20"/>
                <w:highlight w:val="none"/>
                <w:lang w:val="en-US" w:eastAsia="zh-CN"/>
              </w:rPr>
              <w:t>750</w:t>
            </w:r>
          </w:p>
        </w:tc>
        <w:tc>
          <w:tcPr>
            <w:tcW w:w="992" w:type="dxa"/>
            <w:tcBorders>
              <w:top w:val="nil"/>
              <w:left w:val="nil"/>
              <w:bottom w:val="single" w:color="auto" w:sz="4" w:space="0"/>
              <w:right w:val="single" w:color="auto" w:sz="4" w:space="0"/>
            </w:tcBorders>
            <w:shd w:val="clear" w:color="000000" w:fill="FFFFFF"/>
            <w:noWrap/>
            <w:vAlign w:val="center"/>
          </w:tcPr>
          <w:p>
            <w:pPr>
              <w:ind w:firstLine="200" w:firstLineChars="100"/>
              <w:jc w:val="left"/>
              <w:rPr>
                <w:rFonts w:hint="default" w:ascii="Times New Roman" w:hAnsi="Times New Roman" w:eastAsia="宋体" w:cs="Times New Roman"/>
                <w:color w:val="auto"/>
                <w:kern w:val="0"/>
                <w:sz w:val="22"/>
                <w:highlight w:val="none"/>
                <w:lang w:eastAsia="en-US"/>
              </w:rPr>
            </w:pPr>
            <w:r>
              <w:rPr>
                <w:rFonts w:hint="default" w:ascii="Times New Roman" w:hAnsi="Times New Roman" w:eastAsia="宋体" w:cs="Times New Roman"/>
                <w:color w:val="auto"/>
                <w:kern w:val="0"/>
                <w:sz w:val="20"/>
                <w:szCs w:val="20"/>
                <w:highlight w:val="none"/>
                <w:lang w:eastAsia="en-US"/>
              </w:rPr>
              <w:t>元</w:t>
            </w:r>
          </w:p>
        </w:tc>
        <w:tc>
          <w:tcPr>
            <w:tcW w:w="719"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en-US"/>
              </w:rPr>
            </w:pPr>
          </w:p>
        </w:tc>
      </w:tr>
      <w:tr>
        <w:tblPrEx>
          <w:tblCellMar>
            <w:top w:w="0" w:type="dxa"/>
            <w:left w:w="108" w:type="dxa"/>
            <w:bottom w:w="0" w:type="dxa"/>
            <w:right w:w="108" w:type="dxa"/>
          </w:tblCellMar>
        </w:tblPrEx>
        <w:trPr>
          <w:trHeight w:val="480" w:hRule="atLeast"/>
          <w:jc w:val="center"/>
        </w:trPr>
        <w:tc>
          <w:tcPr>
            <w:tcW w:w="717" w:type="dxa"/>
            <w:vMerge w:val="restart"/>
            <w:tcBorders>
              <w:top w:val="nil"/>
              <w:left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en-US"/>
              </w:rPr>
            </w:pPr>
            <w:r>
              <w:rPr>
                <w:rFonts w:hint="default" w:ascii="Times New Roman" w:hAnsi="Times New Roman" w:eastAsia="宋体" w:cs="Times New Roman"/>
                <w:color w:val="auto"/>
                <w:kern w:val="0"/>
                <w:sz w:val="20"/>
                <w:szCs w:val="20"/>
                <w:highlight w:val="none"/>
                <w:lang w:eastAsia="en-US"/>
              </w:rPr>
              <w:t>1</w:t>
            </w:r>
          </w:p>
        </w:tc>
        <w:tc>
          <w:tcPr>
            <w:tcW w:w="1220" w:type="dxa"/>
            <w:vMerge w:val="continue"/>
            <w:tcBorders>
              <w:left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en-US"/>
              </w:rPr>
            </w:pPr>
          </w:p>
        </w:tc>
        <w:tc>
          <w:tcPr>
            <w:tcW w:w="5200" w:type="dxa"/>
            <w:tcBorders>
              <w:top w:val="nil"/>
              <w:left w:val="nil"/>
              <w:bottom w:val="single" w:color="auto" w:sz="4" w:space="0"/>
              <w:right w:val="single" w:color="auto" w:sz="4" w:space="0"/>
            </w:tcBorders>
            <w:shd w:val="clear" w:color="000000" w:fill="FFFFFF"/>
            <w:noWrap w:val="0"/>
            <w:vAlign w:val="center"/>
          </w:tcPr>
          <w:p>
            <w:pPr>
              <w:widowControl/>
              <w:jc w:val="left"/>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zh-CN"/>
              </w:rPr>
              <w:t>450系列潜油电机（100Hz），功率每增减1HP， 增减</w:t>
            </w:r>
          </w:p>
        </w:tc>
        <w:tc>
          <w:tcPr>
            <w:tcW w:w="802" w:type="dxa"/>
            <w:tcBorders>
              <w:top w:val="nil"/>
              <w:left w:val="nil"/>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宋体" w:cs="Times New Roman"/>
                <w:color w:val="auto"/>
                <w:kern w:val="0"/>
                <w:sz w:val="20"/>
                <w:szCs w:val="20"/>
                <w:highlight w:val="none"/>
                <w:lang w:val="en-US" w:eastAsia="zh-CN"/>
              </w:rPr>
            </w:pPr>
            <w:r>
              <w:rPr>
                <w:rFonts w:hint="default" w:ascii="Times New Roman" w:hAnsi="Times New Roman" w:eastAsia="宋体" w:cs="Times New Roman"/>
                <w:color w:val="auto"/>
                <w:kern w:val="0"/>
                <w:sz w:val="20"/>
                <w:szCs w:val="20"/>
                <w:highlight w:val="none"/>
                <w:lang w:val="en-US" w:eastAsia="zh-CN"/>
              </w:rPr>
              <w:t>600</w:t>
            </w:r>
          </w:p>
        </w:tc>
        <w:tc>
          <w:tcPr>
            <w:tcW w:w="992" w:type="dxa"/>
            <w:tcBorders>
              <w:top w:val="nil"/>
              <w:left w:val="nil"/>
              <w:bottom w:val="single" w:color="auto" w:sz="4" w:space="0"/>
              <w:right w:val="single" w:color="auto" w:sz="4" w:space="0"/>
            </w:tcBorders>
            <w:shd w:val="clear" w:color="000000" w:fill="FFFFFF"/>
            <w:noWrap/>
            <w:vAlign w:val="center"/>
          </w:tcPr>
          <w:p>
            <w:pPr>
              <w:jc w:val="center"/>
              <w:rPr>
                <w:rFonts w:hint="default" w:ascii="Times New Roman" w:hAnsi="Times New Roman" w:eastAsia="宋体" w:cs="Times New Roman"/>
                <w:color w:val="auto"/>
                <w:kern w:val="0"/>
                <w:sz w:val="22"/>
                <w:highlight w:val="none"/>
                <w:lang w:eastAsia="en-US"/>
              </w:rPr>
            </w:pPr>
            <w:r>
              <w:rPr>
                <w:rFonts w:hint="default" w:ascii="Times New Roman" w:hAnsi="Times New Roman" w:eastAsia="宋体" w:cs="Times New Roman"/>
                <w:color w:val="auto"/>
                <w:kern w:val="0"/>
                <w:sz w:val="20"/>
                <w:szCs w:val="20"/>
                <w:highlight w:val="none"/>
                <w:lang w:eastAsia="en-US"/>
              </w:rPr>
              <w:t>元</w:t>
            </w:r>
          </w:p>
        </w:tc>
        <w:tc>
          <w:tcPr>
            <w:tcW w:w="719"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en-US"/>
              </w:rPr>
            </w:pPr>
          </w:p>
        </w:tc>
      </w:tr>
      <w:tr>
        <w:tblPrEx>
          <w:tblCellMar>
            <w:top w:w="0" w:type="dxa"/>
            <w:left w:w="108" w:type="dxa"/>
            <w:bottom w:w="0" w:type="dxa"/>
            <w:right w:w="108" w:type="dxa"/>
          </w:tblCellMar>
        </w:tblPrEx>
        <w:trPr>
          <w:trHeight w:val="480" w:hRule="atLeast"/>
          <w:jc w:val="center"/>
        </w:trPr>
        <w:tc>
          <w:tcPr>
            <w:tcW w:w="717" w:type="dxa"/>
            <w:vMerge w:val="continue"/>
            <w:tcBorders>
              <w:top w:val="nil"/>
              <w:left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en-US"/>
              </w:rPr>
            </w:pPr>
          </w:p>
        </w:tc>
        <w:tc>
          <w:tcPr>
            <w:tcW w:w="1220" w:type="dxa"/>
            <w:vMerge w:val="continue"/>
            <w:tcBorders>
              <w:left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zh-CN"/>
              </w:rPr>
            </w:pPr>
          </w:p>
        </w:tc>
        <w:tc>
          <w:tcPr>
            <w:tcW w:w="5200" w:type="dxa"/>
            <w:tcBorders>
              <w:top w:val="nil"/>
              <w:left w:val="nil"/>
              <w:bottom w:val="single" w:color="auto" w:sz="4" w:space="0"/>
              <w:right w:val="single" w:color="auto" w:sz="4" w:space="0"/>
            </w:tcBorders>
            <w:shd w:val="clear" w:color="000000" w:fill="FFFFFF"/>
            <w:noWrap w:val="0"/>
            <w:vAlign w:val="center"/>
          </w:tcPr>
          <w:p>
            <w:pPr>
              <w:widowControl/>
              <w:jc w:val="left"/>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zh-CN"/>
              </w:rPr>
              <w:t>450系列潜油电机（40Hz），功率每增减1HP， 增减</w:t>
            </w:r>
          </w:p>
        </w:tc>
        <w:tc>
          <w:tcPr>
            <w:tcW w:w="802" w:type="dxa"/>
            <w:tcBorders>
              <w:top w:val="nil"/>
              <w:left w:val="nil"/>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val="en-US" w:eastAsia="zh-CN"/>
              </w:rPr>
              <w:t>5</w:t>
            </w:r>
            <w:r>
              <w:rPr>
                <w:rFonts w:hint="default" w:ascii="Times New Roman" w:hAnsi="Times New Roman" w:eastAsia="宋体" w:cs="Times New Roman"/>
                <w:color w:val="auto"/>
                <w:kern w:val="0"/>
                <w:sz w:val="20"/>
                <w:szCs w:val="20"/>
                <w:highlight w:val="none"/>
                <w:lang w:eastAsia="zh-CN"/>
              </w:rPr>
              <w:t>000</w:t>
            </w:r>
          </w:p>
        </w:tc>
        <w:tc>
          <w:tcPr>
            <w:tcW w:w="992" w:type="dxa"/>
            <w:tcBorders>
              <w:top w:val="nil"/>
              <w:left w:val="nil"/>
              <w:bottom w:val="single" w:color="auto" w:sz="4" w:space="0"/>
              <w:right w:val="single" w:color="auto" w:sz="4" w:space="0"/>
            </w:tcBorders>
            <w:shd w:val="clear" w:color="000000" w:fill="FFFFFF"/>
            <w:noWrap/>
            <w:vAlign w:val="center"/>
          </w:tcPr>
          <w:p>
            <w:pPr>
              <w:jc w:val="center"/>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en-US"/>
              </w:rPr>
              <w:t>元</w:t>
            </w:r>
          </w:p>
        </w:tc>
        <w:tc>
          <w:tcPr>
            <w:tcW w:w="719"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zh-CN"/>
              </w:rPr>
            </w:pPr>
          </w:p>
        </w:tc>
      </w:tr>
      <w:tr>
        <w:tblPrEx>
          <w:tblCellMar>
            <w:top w:w="0" w:type="dxa"/>
            <w:left w:w="108" w:type="dxa"/>
            <w:bottom w:w="0" w:type="dxa"/>
            <w:right w:w="108" w:type="dxa"/>
          </w:tblCellMar>
        </w:tblPrEx>
        <w:trPr>
          <w:trHeight w:val="480" w:hRule="atLeast"/>
          <w:jc w:val="center"/>
        </w:trPr>
        <w:tc>
          <w:tcPr>
            <w:tcW w:w="717" w:type="dxa"/>
            <w:vMerge w:val="continue"/>
            <w:tcBorders>
              <w:left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zh-CN"/>
              </w:rPr>
            </w:pPr>
          </w:p>
        </w:tc>
        <w:tc>
          <w:tcPr>
            <w:tcW w:w="1220" w:type="dxa"/>
            <w:vMerge w:val="continue"/>
            <w:tcBorders>
              <w:left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zh-CN"/>
              </w:rPr>
            </w:pPr>
          </w:p>
        </w:tc>
        <w:tc>
          <w:tcPr>
            <w:tcW w:w="5200" w:type="dxa"/>
            <w:tcBorders>
              <w:top w:val="nil"/>
              <w:left w:val="nil"/>
              <w:bottom w:val="single" w:color="auto" w:sz="4" w:space="0"/>
              <w:right w:val="single" w:color="auto" w:sz="4" w:space="0"/>
            </w:tcBorders>
            <w:shd w:val="clear" w:color="000000" w:fill="FFFFFF"/>
            <w:noWrap w:val="0"/>
            <w:vAlign w:val="center"/>
          </w:tcPr>
          <w:p>
            <w:pPr>
              <w:widowControl/>
              <w:jc w:val="left"/>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zh-CN"/>
              </w:rPr>
              <w:t>562系列潜油电机（100Hz），功率每增减1HP， 增减</w:t>
            </w:r>
          </w:p>
        </w:tc>
        <w:tc>
          <w:tcPr>
            <w:tcW w:w="802" w:type="dxa"/>
            <w:tcBorders>
              <w:top w:val="nil"/>
              <w:left w:val="nil"/>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宋体" w:cs="Times New Roman"/>
                <w:color w:val="auto"/>
                <w:kern w:val="0"/>
                <w:sz w:val="20"/>
                <w:szCs w:val="20"/>
                <w:highlight w:val="none"/>
                <w:lang w:val="en-US" w:eastAsia="zh-CN"/>
              </w:rPr>
            </w:pPr>
            <w:r>
              <w:rPr>
                <w:rFonts w:hint="default" w:ascii="Times New Roman" w:hAnsi="Times New Roman" w:eastAsia="宋体" w:cs="Times New Roman"/>
                <w:color w:val="auto"/>
                <w:kern w:val="0"/>
                <w:sz w:val="20"/>
                <w:szCs w:val="20"/>
                <w:highlight w:val="none"/>
                <w:lang w:val="en-US" w:eastAsia="zh-CN"/>
              </w:rPr>
              <w:t>480</w:t>
            </w:r>
          </w:p>
        </w:tc>
        <w:tc>
          <w:tcPr>
            <w:tcW w:w="992" w:type="dxa"/>
            <w:tcBorders>
              <w:top w:val="nil"/>
              <w:left w:val="nil"/>
              <w:bottom w:val="single" w:color="auto" w:sz="4" w:space="0"/>
              <w:right w:val="single" w:color="auto" w:sz="4" w:space="0"/>
            </w:tcBorders>
            <w:shd w:val="clear" w:color="000000" w:fill="FFFFFF"/>
            <w:noWrap/>
            <w:vAlign w:val="center"/>
          </w:tcPr>
          <w:p>
            <w:pPr>
              <w:jc w:val="center"/>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en-US"/>
              </w:rPr>
              <w:t>元</w:t>
            </w:r>
          </w:p>
        </w:tc>
        <w:tc>
          <w:tcPr>
            <w:tcW w:w="719"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zh-CN"/>
              </w:rPr>
            </w:pPr>
          </w:p>
        </w:tc>
      </w:tr>
      <w:tr>
        <w:tblPrEx>
          <w:tblCellMar>
            <w:top w:w="0" w:type="dxa"/>
            <w:left w:w="108" w:type="dxa"/>
            <w:bottom w:w="0" w:type="dxa"/>
            <w:right w:w="108" w:type="dxa"/>
          </w:tblCellMar>
        </w:tblPrEx>
        <w:trPr>
          <w:trHeight w:val="480" w:hRule="atLeast"/>
          <w:jc w:val="center"/>
        </w:trPr>
        <w:tc>
          <w:tcPr>
            <w:tcW w:w="717" w:type="dxa"/>
            <w:vMerge w:val="continue"/>
            <w:tcBorders>
              <w:left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en-US"/>
              </w:rPr>
            </w:pPr>
          </w:p>
        </w:tc>
        <w:tc>
          <w:tcPr>
            <w:tcW w:w="1220" w:type="dxa"/>
            <w:vMerge w:val="continue"/>
            <w:tcBorders>
              <w:left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en-US"/>
              </w:rPr>
            </w:pPr>
          </w:p>
        </w:tc>
        <w:tc>
          <w:tcPr>
            <w:tcW w:w="5200" w:type="dxa"/>
            <w:tcBorders>
              <w:top w:val="nil"/>
              <w:left w:val="nil"/>
              <w:bottom w:val="single" w:color="auto" w:sz="4" w:space="0"/>
              <w:right w:val="single" w:color="auto" w:sz="4" w:space="0"/>
            </w:tcBorders>
            <w:shd w:val="clear" w:color="000000" w:fill="FFFFFF"/>
            <w:noWrap w:val="0"/>
            <w:vAlign w:val="center"/>
          </w:tcPr>
          <w:p>
            <w:pPr>
              <w:widowControl/>
              <w:jc w:val="left"/>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zh-CN"/>
              </w:rPr>
              <w:t>562系列潜油电机(40Hz），功率每增减1HP， 增减</w:t>
            </w:r>
          </w:p>
        </w:tc>
        <w:tc>
          <w:tcPr>
            <w:tcW w:w="802" w:type="dxa"/>
            <w:tcBorders>
              <w:top w:val="nil"/>
              <w:left w:val="nil"/>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val="en-US" w:eastAsia="zh-CN"/>
              </w:rPr>
              <w:t>4</w:t>
            </w:r>
            <w:r>
              <w:rPr>
                <w:rFonts w:hint="default" w:ascii="Times New Roman" w:hAnsi="Times New Roman" w:eastAsia="宋体" w:cs="Times New Roman"/>
                <w:color w:val="auto"/>
                <w:kern w:val="0"/>
                <w:sz w:val="20"/>
                <w:szCs w:val="20"/>
                <w:highlight w:val="none"/>
                <w:lang w:eastAsia="zh-CN"/>
              </w:rPr>
              <w:t>000</w:t>
            </w:r>
          </w:p>
        </w:tc>
        <w:tc>
          <w:tcPr>
            <w:tcW w:w="992" w:type="dxa"/>
            <w:tcBorders>
              <w:top w:val="nil"/>
              <w:left w:val="nil"/>
              <w:bottom w:val="single" w:color="auto" w:sz="4" w:space="0"/>
              <w:right w:val="single" w:color="auto" w:sz="4" w:space="0"/>
            </w:tcBorders>
            <w:shd w:val="clear" w:color="000000" w:fill="FFFFFF"/>
            <w:noWrap/>
            <w:vAlign w:val="center"/>
          </w:tcPr>
          <w:p>
            <w:pPr>
              <w:jc w:val="center"/>
              <w:rPr>
                <w:rFonts w:hint="default" w:ascii="Times New Roman" w:hAnsi="Times New Roman" w:eastAsia="宋体" w:cs="Times New Roman"/>
                <w:color w:val="auto"/>
                <w:kern w:val="0"/>
                <w:sz w:val="20"/>
                <w:szCs w:val="20"/>
                <w:highlight w:val="none"/>
                <w:lang w:eastAsia="en-US"/>
              </w:rPr>
            </w:pPr>
            <w:r>
              <w:rPr>
                <w:rFonts w:hint="default" w:ascii="Times New Roman" w:hAnsi="Times New Roman" w:eastAsia="宋体" w:cs="Times New Roman"/>
                <w:color w:val="auto"/>
                <w:kern w:val="0"/>
                <w:sz w:val="20"/>
                <w:szCs w:val="20"/>
                <w:highlight w:val="none"/>
                <w:lang w:eastAsia="en-US"/>
              </w:rPr>
              <w:t>元</w:t>
            </w:r>
          </w:p>
        </w:tc>
        <w:tc>
          <w:tcPr>
            <w:tcW w:w="719"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zh-CN"/>
              </w:rPr>
            </w:pPr>
          </w:p>
        </w:tc>
      </w:tr>
      <w:tr>
        <w:tblPrEx>
          <w:tblCellMar>
            <w:top w:w="0" w:type="dxa"/>
            <w:left w:w="108" w:type="dxa"/>
            <w:bottom w:w="0" w:type="dxa"/>
            <w:right w:w="108" w:type="dxa"/>
          </w:tblCellMar>
        </w:tblPrEx>
        <w:trPr>
          <w:trHeight w:val="480" w:hRule="atLeast"/>
          <w:jc w:val="center"/>
        </w:trPr>
        <w:tc>
          <w:tcPr>
            <w:tcW w:w="717" w:type="dxa"/>
            <w:vMerge w:val="continue"/>
            <w:tcBorders>
              <w:left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en-US"/>
              </w:rPr>
            </w:pPr>
          </w:p>
        </w:tc>
        <w:tc>
          <w:tcPr>
            <w:tcW w:w="1220" w:type="dxa"/>
            <w:vMerge w:val="continue"/>
            <w:tcBorders>
              <w:left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en-US"/>
              </w:rPr>
            </w:pPr>
          </w:p>
        </w:tc>
        <w:tc>
          <w:tcPr>
            <w:tcW w:w="5200" w:type="dxa"/>
            <w:tcBorders>
              <w:top w:val="nil"/>
              <w:left w:val="nil"/>
              <w:bottom w:val="single" w:color="auto" w:sz="4" w:space="0"/>
              <w:right w:val="single" w:color="auto" w:sz="4" w:space="0"/>
            </w:tcBorders>
            <w:shd w:val="clear" w:color="000000" w:fill="FFFFFF"/>
            <w:noWrap w:val="0"/>
            <w:vAlign w:val="center"/>
          </w:tcPr>
          <w:p>
            <w:pPr>
              <w:widowControl/>
              <w:jc w:val="left"/>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zh-CN"/>
              </w:rPr>
              <w:t>潜油电机，采用防腐材质（-C），每台电机价格为普通不防腐同等规格型号电机价格的</w:t>
            </w:r>
          </w:p>
        </w:tc>
        <w:tc>
          <w:tcPr>
            <w:tcW w:w="802" w:type="dxa"/>
            <w:tcBorders>
              <w:top w:val="nil"/>
              <w:left w:val="nil"/>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宋体" w:cs="Times New Roman"/>
                <w:color w:val="auto"/>
                <w:kern w:val="0"/>
                <w:sz w:val="20"/>
                <w:szCs w:val="20"/>
                <w:highlight w:val="none"/>
                <w:lang w:val="en-US" w:eastAsia="zh-CN"/>
              </w:rPr>
            </w:pPr>
            <w:r>
              <w:rPr>
                <w:rFonts w:hint="default" w:ascii="Times New Roman" w:hAnsi="Times New Roman" w:eastAsia="宋体" w:cs="Times New Roman"/>
                <w:color w:val="auto"/>
                <w:kern w:val="0"/>
                <w:sz w:val="20"/>
                <w:szCs w:val="20"/>
                <w:highlight w:val="none"/>
                <w:lang w:eastAsia="zh-CN"/>
              </w:rPr>
              <w:t>1.</w:t>
            </w:r>
            <w:r>
              <w:rPr>
                <w:rFonts w:hint="default" w:ascii="Times New Roman" w:hAnsi="Times New Roman" w:eastAsia="宋体" w:cs="Times New Roman"/>
                <w:color w:val="auto"/>
                <w:kern w:val="0"/>
                <w:sz w:val="20"/>
                <w:szCs w:val="20"/>
                <w:highlight w:val="none"/>
                <w:lang w:val="en-US" w:eastAsia="zh-CN"/>
              </w:rPr>
              <w:t>2</w:t>
            </w:r>
          </w:p>
        </w:tc>
        <w:tc>
          <w:tcPr>
            <w:tcW w:w="992" w:type="dxa"/>
            <w:tcBorders>
              <w:top w:val="nil"/>
              <w:left w:val="nil"/>
              <w:bottom w:val="single" w:color="auto" w:sz="4" w:space="0"/>
              <w:right w:val="single" w:color="auto" w:sz="4" w:space="0"/>
            </w:tcBorders>
            <w:shd w:val="clear" w:color="000000" w:fill="FFFFFF"/>
            <w:noWrap/>
            <w:vAlign w:val="center"/>
          </w:tcPr>
          <w:p>
            <w:pPr>
              <w:jc w:val="center"/>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zh-CN"/>
              </w:rPr>
              <w:t>倍</w:t>
            </w:r>
          </w:p>
        </w:tc>
        <w:tc>
          <w:tcPr>
            <w:tcW w:w="719"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zh-CN"/>
              </w:rPr>
            </w:pPr>
          </w:p>
        </w:tc>
      </w:tr>
      <w:tr>
        <w:tblPrEx>
          <w:tblCellMar>
            <w:top w:w="0" w:type="dxa"/>
            <w:left w:w="108" w:type="dxa"/>
            <w:bottom w:w="0" w:type="dxa"/>
            <w:right w:w="108" w:type="dxa"/>
          </w:tblCellMar>
        </w:tblPrEx>
        <w:trPr>
          <w:trHeight w:val="480" w:hRule="atLeast"/>
          <w:jc w:val="center"/>
        </w:trPr>
        <w:tc>
          <w:tcPr>
            <w:tcW w:w="717" w:type="dxa"/>
            <w:vMerge w:val="restart"/>
            <w:tcBorders>
              <w:top w:val="single" w:color="auto" w:sz="4" w:space="0"/>
              <w:left w:val="single" w:color="auto" w:sz="4" w:space="0"/>
              <w:right w:val="single" w:color="auto" w:sz="4" w:space="0"/>
            </w:tcBorders>
            <w:shd w:val="clear" w:color="000000" w:fill="FFFFFF"/>
            <w:noWrap w:val="0"/>
            <w:vAlign w:val="center"/>
          </w:tcPr>
          <w:p>
            <w:pPr>
              <w:jc w:val="center"/>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zh-CN"/>
              </w:rPr>
              <w:t>2</w:t>
            </w:r>
          </w:p>
        </w:tc>
        <w:tc>
          <w:tcPr>
            <w:tcW w:w="1220" w:type="dxa"/>
            <w:vMerge w:val="restart"/>
            <w:tcBorders>
              <w:top w:val="single" w:color="auto" w:sz="4" w:space="0"/>
              <w:left w:val="single" w:color="auto" w:sz="4" w:space="0"/>
              <w:right w:val="single" w:color="auto" w:sz="4" w:space="0"/>
            </w:tcBorders>
            <w:shd w:val="clear" w:color="000000" w:fill="FFFFFF"/>
            <w:noWrap w:val="0"/>
            <w:vAlign w:val="center"/>
          </w:tcPr>
          <w:p>
            <w:pPr>
              <w:jc w:val="center"/>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zh-CN"/>
              </w:rPr>
              <w:t>潜油引接电缆</w:t>
            </w:r>
          </w:p>
        </w:tc>
        <w:tc>
          <w:tcPr>
            <w:tcW w:w="5200"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left"/>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zh-CN"/>
              </w:rPr>
              <w:t>350系列潜油引接电缆AWG6</w:t>
            </w:r>
            <w:r>
              <w:rPr>
                <w:rFonts w:hint="default" w:ascii="Times New Roman" w:hAnsi="Times New Roman" w:eastAsia="宋体" w:cs="Times New Roman"/>
                <w:color w:val="auto"/>
                <w:kern w:val="0"/>
                <w:sz w:val="20"/>
                <w:szCs w:val="20"/>
                <w:highlight w:val="none"/>
                <w:vertAlign w:val="superscript"/>
                <w:lang w:eastAsia="zh-CN"/>
              </w:rPr>
              <w:t>#</w:t>
            </w:r>
            <w:r>
              <w:rPr>
                <w:rFonts w:hint="default" w:ascii="Times New Roman" w:hAnsi="Times New Roman" w:eastAsia="宋体" w:cs="Times New Roman"/>
                <w:color w:val="auto"/>
                <w:kern w:val="0"/>
                <w:sz w:val="20"/>
                <w:szCs w:val="20"/>
                <w:highlight w:val="none"/>
                <w:lang w:eastAsia="zh-CN"/>
              </w:rPr>
              <w:t>(3×13mm</w:t>
            </w:r>
            <w:r>
              <w:rPr>
                <w:rFonts w:hint="default" w:ascii="Times New Roman" w:hAnsi="Times New Roman" w:eastAsia="宋体" w:cs="Times New Roman"/>
                <w:color w:val="auto"/>
                <w:kern w:val="0"/>
                <w:sz w:val="20"/>
                <w:szCs w:val="20"/>
                <w:highlight w:val="none"/>
                <w:vertAlign w:val="superscript"/>
                <w:lang w:eastAsia="zh-CN"/>
              </w:rPr>
              <w:t>2</w:t>
            </w:r>
            <w:r>
              <w:rPr>
                <w:rFonts w:hint="default" w:ascii="Times New Roman" w:hAnsi="Times New Roman" w:eastAsia="宋体" w:cs="Times New Roman"/>
                <w:color w:val="auto"/>
                <w:kern w:val="0"/>
                <w:sz w:val="20"/>
                <w:szCs w:val="20"/>
                <w:highlight w:val="none"/>
                <w:lang w:eastAsia="zh-CN"/>
              </w:rPr>
              <w:t>)，每增减1米，增减</w:t>
            </w:r>
          </w:p>
        </w:tc>
        <w:tc>
          <w:tcPr>
            <w:tcW w:w="802"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zh-CN"/>
              </w:rPr>
              <w:t>100</w:t>
            </w:r>
          </w:p>
        </w:tc>
        <w:tc>
          <w:tcPr>
            <w:tcW w:w="99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en-US"/>
              </w:rPr>
              <w:t>元</w:t>
            </w:r>
          </w:p>
        </w:tc>
        <w:tc>
          <w:tcPr>
            <w:tcW w:w="71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宋体" w:cs="Times New Roman"/>
                <w:color w:val="auto"/>
                <w:kern w:val="0"/>
                <w:sz w:val="20"/>
                <w:szCs w:val="20"/>
                <w:highlight w:val="none"/>
                <w:lang w:eastAsia="zh-CN"/>
              </w:rPr>
            </w:pPr>
          </w:p>
        </w:tc>
      </w:tr>
      <w:tr>
        <w:tblPrEx>
          <w:tblCellMar>
            <w:top w:w="0" w:type="dxa"/>
            <w:left w:w="108" w:type="dxa"/>
            <w:bottom w:w="0" w:type="dxa"/>
            <w:right w:w="108" w:type="dxa"/>
          </w:tblCellMar>
        </w:tblPrEx>
        <w:trPr>
          <w:trHeight w:val="480" w:hRule="atLeast"/>
          <w:jc w:val="center"/>
        </w:trPr>
        <w:tc>
          <w:tcPr>
            <w:tcW w:w="717" w:type="dxa"/>
            <w:vMerge w:val="continue"/>
            <w:tcBorders>
              <w:left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zh-CN"/>
              </w:rPr>
            </w:pPr>
          </w:p>
        </w:tc>
        <w:tc>
          <w:tcPr>
            <w:tcW w:w="1220" w:type="dxa"/>
            <w:vMerge w:val="continue"/>
            <w:tcBorders>
              <w:left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zh-CN"/>
              </w:rPr>
            </w:pPr>
          </w:p>
        </w:tc>
        <w:tc>
          <w:tcPr>
            <w:tcW w:w="5200"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left"/>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zh-CN"/>
              </w:rPr>
              <w:t>450系列潜油引接电缆AWG6</w:t>
            </w:r>
            <w:r>
              <w:rPr>
                <w:rFonts w:hint="default" w:ascii="Times New Roman" w:hAnsi="Times New Roman" w:eastAsia="宋体" w:cs="Times New Roman"/>
                <w:color w:val="auto"/>
                <w:kern w:val="0"/>
                <w:sz w:val="20"/>
                <w:szCs w:val="20"/>
                <w:highlight w:val="none"/>
                <w:vertAlign w:val="superscript"/>
                <w:lang w:eastAsia="zh-CN"/>
              </w:rPr>
              <w:t>#</w:t>
            </w:r>
            <w:r>
              <w:rPr>
                <w:rFonts w:hint="default" w:ascii="Times New Roman" w:hAnsi="Times New Roman" w:eastAsia="宋体" w:cs="Times New Roman"/>
                <w:color w:val="auto"/>
                <w:kern w:val="0"/>
                <w:sz w:val="20"/>
                <w:szCs w:val="20"/>
                <w:highlight w:val="none"/>
                <w:lang w:eastAsia="zh-CN"/>
              </w:rPr>
              <w:t>(3×13mm</w:t>
            </w:r>
            <w:r>
              <w:rPr>
                <w:rFonts w:hint="default" w:ascii="Times New Roman" w:hAnsi="Times New Roman" w:eastAsia="宋体" w:cs="Times New Roman"/>
                <w:color w:val="auto"/>
                <w:kern w:val="0"/>
                <w:sz w:val="20"/>
                <w:szCs w:val="20"/>
                <w:highlight w:val="none"/>
                <w:vertAlign w:val="superscript"/>
                <w:lang w:eastAsia="zh-CN"/>
              </w:rPr>
              <w:t>2</w:t>
            </w:r>
            <w:r>
              <w:rPr>
                <w:rFonts w:hint="default" w:ascii="Times New Roman" w:hAnsi="Times New Roman" w:eastAsia="宋体" w:cs="Times New Roman"/>
                <w:color w:val="auto"/>
                <w:kern w:val="0"/>
                <w:sz w:val="20"/>
                <w:szCs w:val="20"/>
                <w:highlight w:val="none"/>
                <w:lang w:eastAsia="zh-CN"/>
              </w:rPr>
              <w:t>)，每增减1米，增减</w:t>
            </w:r>
          </w:p>
        </w:tc>
        <w:tc>
          <w:tcPr>
            <w:tcW w:w="802"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zh-CN"/>
              </w:rPr>
              <w:t>100</w:t>
            </w:r>
          </w:p>
        </w:tc>
        <w:tc>
          <w:tcPr>
            <w:tcW w:w="99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en-US"/>
              </w:rPr>
              <w:t>元</w:t>
            </w:r>
          </w:p>
        </w:tc>
        <w:tc>
          <w:tcPr>
            <w:tcW w:w="71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宋体" w:cs="Times New Roman"/>
                <w:color w:val="auto"/>
                <w:kern w:val="0"/>
                <w:sz w:val="20"/>
                <w:szCs w:val="20"/>
                <w:highlight w:val="none"/>
                <w:lang w:eastAsia="en-US"/>
              </w:rPr>
            </w:pPr>
          </w:p>
        </w:tc>
      </w:tr>
      <w:tr>
        <w:tblPrEx>
          <w:tblCellMar>
            <w:top w:w="0" w:type="dxa"/>
            <w:left w:w="108" w:type="dxa"/>
            <w:bottom w:w="0" w:type="dxa"/>
            <w:right w:w="108" w:type="dxa"/>
          </w:tblCellMar>
        </w:tblPrEx>
        <w:trPr>
          <w:trHeight w:val="480" w:hRule="atLeast"/>
          <w:jc w:val="center"/>
        </w:trPr>
        <w:tc>
          <w:tcPr>
            <w:tcW w:w="717" w:type="dxa"/>
            <w:vMerge w:val="continue"/>
            <w:tcBorders>
              <w:left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zh-CN"/>
              </w:rPr>
            </w:pPr>
          </w:p>
        </w:tc>
        <w:tc>
          <w:tcPr>
            <w:tcW w:w="1220" w:type="dxa"/>
            <w:vMerge w:val="continue"/>
            <w:tcBorders>
              <w:left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zh-CN"/>
              </w:rPr>
            </w:pPr>
          </w:p>
        </w:tc>
        <w:tc>
          <w:tcPr>
            <w:tcW w:w="5200"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left"/>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zh-CN"/>
              </w:rPr>
              <w:t>562系列潜油引接电缆AWG4</w:t>
            </w:r>
            <w:r>
              <w:rPr>
                <w:rFonts w:hint="default" w:ascii="Times New Roman" w:hAnsi="Times New Roman" w:eastAsia="宋体" w:cs="Times New Roman"/>
                <w:color w:val="auto"/>
                <w:kern w:val="0"/>
                <w:sz w:val="20"/>
                <w:szCs w:val="20"/>
                <w:highlight w:val="none"/>
                <w:vertAlign w:val="superscript"/>
                <w:lang w:eastAsia="zh-CN"/>
              </w:rPr>
              <w:t>#</w:t>
            </w:r>
            <w:r>
              <w:rPr>
                <w:rFonts w:hint="default" w:ascii="Times New Roman" w:hAnsi="Times New Roman" w:eastAsia="宋体" w:cs="Times New Roman"/>
                <w:color w:val="auto"/>
                <w:kern w:val="0"/>
                <w:sz w:val="20"/>
                <w:szCs w:val="20"/>
                <w:highlight w:val="none"/>
                <w:lang w:eastAsia="zh-CN"/>
              </w:rPr>
              <w:t>(3×20mm</w:t>
            </w:r>
            <w:r>
              <w:rPr>
                <w:rFonts w:hint="default" w:ascii="Times New Roman" w:hAnsi="Times New Roman" w:eastAsia="宋体" w:cs="Times New Roman"/>
                <w:color w:val="auto"/>
                <w:kern w:val="0"/>
                <w:sz w:val="20"/>
                <w:szCs w:val="20"/>
                <w:highlight w:val="none"/>
                <w:vertAlign w:val="superscript"/>
                <w:lang w:eastAsia="zh-CN"/>
              </w:rPr>
              <w:t>2</w:t>
            </w:r>
            <w:r>
              <w:rPr>
                <w:rFonts w:hint="default" w:ascii="Times New Roman" w:hAnsi="Times New Roman" w:eastAsia="宋体" w:cs="Times New Roman"/>
                <w:color w:val="auto"/>
                <w:kern w:val="0"/>
                <w:sz w:val="20"/>
                <w:szCs w:val="20"/>
                <w:highlight w:val="none"/>
                <w:lang w:eastAsia="zh-CN"/>
              </w:rPr>
              <w:t>)，每增减1米，增减</w:t>
            </w:r>
          </w:p>
        </w:tc>
        <w:tc>
          <w:tcPr>
            <w:tcW w:w="802"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zh-CN"/>
              </w:rPr>
              <w:t>200</w:t>
            </w:r>
          </w:p>
        </w:tc>
        <w:tc>
          <w:tcPr>
            <w:tcW w:w="99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en-US"/>
              </w:rPr>
              <w:t>元</w:t>
            </w:r>
          </w:p>
        </w:tc>
        <w:tc>
          <w:tcPr>
            <w:tcW w:w="71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宋体" w:cs="Times New Roman"/>
                <w:color w:val="auto"/>
                <w:kern w:val="0"/>
                <w:sz w:val="20"/>
                <w:szCs w:val="20"/>
                <w:highlight w:val="none"/>
                <w:lang w:eastAsia="zh-CN"/>
              </w:rPr>
            </w:pPr>
          </w:p>
        </w:tc>
      </w:tr>
      <w:tr>
        <w:tblPrEx>
          <w:tblCellMar>
            <w:top w:w="0" w:type="dxa"/>
            <w:left w:w="108" w:type="dxa"/>
            <w:bottom w:w="0" w:type="dxa"/>
            <w:right w:w="108" w:type="dxa"/>
          </w:tblCellMar>
        </w:tblPrEx>
        <w:trPr>
          <w:trHeight w:val="480" w:hRule="atLeast"/>
          <w:jc w:val="center"/>
        </w:trPr>
        <w:tc>
          <w:tcPr>
            <w:tcW w:w="717" w:type="dxa"/>
            <w:vMerge w:val="continue"/>
            <w:tcBorders>
              <w:left w:val="single" w:color="auto" w:sz="4" w:space="0"/>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zh-CN"/>
              </w:rPr>
            </w:pPr>
          </w:p>
        </w:tc>
        <w:tc>
          <w:tcPr>
            <w:tcW w:w="1220" w:type="dxa"/>
            <w:vMerge w:val="continue"/>
            <w:tcBorders>
              <w:left w:val="single" w:color="auto" w:sz="4" w:space="0"/>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zh-CN"/>
              </w:rPr>
            </w:pPr>
          </w:p>
        </w:tc>
        <w:tc>
          <w:tcPr>
            <w:tcW w:w="5200"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left"/>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zh-CN"/>
              </w:rPr>
              <w:t>潜油引接电缆，采用防腐材质（-C），每条潜油引接电缆价格为普通不防腐同等规格型号潜油引接电缆价格的</w:t>
            </w:r>
          </w:p>
        </w:tc>
        <w:tc>
          <w:tcPr>
            <w:tcW w:w="802"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zh-CN"/>
              </w:rPr>
              <w:t>1.1</w:t>
            </w:r>
          </w:p>
        </w:tc>
        <w:tc>
          <w:tcPr>
            <w:tcW w:w="99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default" w:ascii="Times New Roman" w:hAnsi="Times New Roman" w:eastAsia="宋体" w:cs="Times New Roman"/>
                <w:color w:val="auto"/>
                <w:kern w:val="0"/>
                <w:sz w:val="22"/>
                <w:highlight w:val="none"/>
                <w:lang w:eastAsia="en-US"/>
              </w:rPr>
            </w:pPr>
            <w:r>
              <w:rPr>
                <w:rFonts w:hint="default" w:ascii="Times New Roman" w:hAnsi="Times New Roman" w:eastAsia="宋体" w:cs="Times New Roman"/>
                <w:color w:val="auto"/>
                <w:kern w:val="0"/>
                <w:sz w:val="22"/>
                <w:highlight w:val="none"/>
                <w:lang w:eastAsia="zh-CN"/>
              </w:rPr>
              <w:t>倍</w:t>
            </w:r>
          </w:p>
        </w:tc>
        <w:tc>
          <w:tcPr>
            <w:tcW w:w="71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宋体" w:cs="Times New Roman"/>
                <w:color w:val="auto"/>
                <w:kern w:val="0"/>
                <w:sz w:val="20"/>
                <w:szCs w:val="20"/>
                <w:highlight w:val="none"/>
                <w:lang w:eastAsia="zh-CN"/>
              </w:rPr>
            </w:pPr>
          </w:p>
        </w:tc>
      </w:tr>
      <w:tr>
        <w:tblPrEx>
          <w:tblCellMar>
            <w:top w:w="0" w:type="dxa"/>
            <w:left w:w="108" w:type="dxa"/>
            <w:bottom w:w="0" w:type="dxa"/>
            <w:right w:w="108" w:type="dxa"/>
          </w:tblCellMar>
        </w:tblPrEx>
        <w:trPr>
          <w:trHeight w:val="480" w:hRule="atLeast"/>
          <w:jc w:val="center"/>
        </w:trPr>
        <w:tc>
          <w:tcPr>
            <w:tcW w:w="717" w:type="dxa"/>
            <w:vMerge w:val="restart"/>
            <w:tcBorders>
              <w:top w:val="single" w:color="auto" w:sz="4" w:space="0"/>
              <w:left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val="en-US" w:eastAsia="zh-CN"/>
              </w:rPr>
            </w:pPr>
            <w:r>
              <w:rPr>
                <w:rFonts w:hint="default" w:ascii="Times New Roman" w:hAnsi="Times New Roman" w:eastAsia="宋体" w:cs="Times New Roman"/>
                <w:color w:val="auto"/>
                <w:kern w:val="0"/>
                <w:sz w:val="20"/>
                <w:szCs w:val="20"/>
                <w:highlight w:val="none"/>
                <w:lang w:val="en-US" w:eastAsia="zh-CN"/>
              </w:rPr>
              <w:t>3</w:t>
            </w:r>
          </w:p>
        </w:tc>
        <w:tc>
          <w:tcPr>
            <w:tcW w:w="1220" w:type="dxa"/>
            <w:vMerge w:val="restart"/>
            <w:tcBorders>
              <w:top w:val="single" w:color="auto" w:sz="4" w:space="0"/>
              <w:left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cs="Times New Roman" w:eastAsiaTheme="minorEastAsia"/>
                <w:color w:val="000000"/>
                <w:kern w:val="0"/>
                <w:sz w:val="20"/>
                <w:szCs w:val="20"/>
                <w:highlight w:val="none"/>
                <w:lang w:eastAsia="zh-CN"/>
              </w:rPr>
              <w:t>潜油保护器</w:t>
            </w:r>
          </w:p>
        </w:tc>
        <w:tc>
          <w:tcPr>
            <w:tcW w:w="5200"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left"/>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cs="Times New Roman" w:eastAsiaTheme="minorEastAsia"/>
                <w:color w:val="000000"/>
                <w:kern w:val="0"/>
                <w:sz w:val="20"/>
                <w:szCs w:val="20"/>
                <w:highlight w:val="none"/>
                <w:lang w:eastAsia="zh-CN"/>
              </w:rPr>
              <w:t>潜油保护器采用高强轴（Inconel 718材质），每台潜油保护器价格为普通Monel K500轴同等规格型号潜油保护器价格的</w:t>
            </w:r>
          </w:p>
        </w:tc>
        <w:tc>
          <w:tcPr>
            <w:tcW w:w="802"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宋体" w:cs="Times New Roman"/>
                <w:color w:val="auto"/>
                <w:kern w:val="0"/>
                <w:sz w:val="20"/>
                <w:szCs w:val="20"/>
                <w:highlight w:val="none"/>
                <w:lang w:val="en-US" w:eastAsia="zh-CN"/>
              </w:rPr>
            </w:pPr>
            <w:r>
              <w:rPr>
                <w:rFonts w:hint="default" w:ascii="Times New Roman" w:hAnsi="Times New Roman" w:cs="Times New Roman" w:eastAsiaTheme="minorEastAsia"/>
                <w:color w:val="000000"/>
                <w:kern w:val="0"/>
                <w:sz w:val="20"/>
                <w:szCs w:val="20"/>
                <w:highlight w:val="none"/>
                <w:lang w:eastAsia="zh-CN"/>
              </w:rPr>
              <w:t>1.</w:t>
            </w:r>
            <w:r>
              <w:rPr>
                <w:rFonts w:hint="default" w:ascii="Times New Roman" w:hAnsi="Times New Roman" w:cs="Times New Roman" w:eastAsiaTheme="minorEastAsia"/>
                <w:color w:val="000000"/>
                <w:kern w:val="0"/>
                <w:sz w:val="20"/>
                <w:szCs w:val="20"/>
                <w:highlight w:val="none"/>
                <w:lang w:val="en-US" w:eastAsia="zh-CN"/>
              </w:rPr>
              <w:t>1</w:t>
            </w:r>
          </w:p>
        </w:tc>
        <w:tc>
          <w:tcPr>
            <w:tcW w:w="99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default" w:ascii="Times New Roman" w:hAnsi="Times New Roman" w:eastAsia="宋体" w:cs="Times New Roman"/>
                <w:color w:val="auto"/>
                <w:kern w:val="0"/>
                <w:sz w:val="22"/>
                <w:highlight w:val="none"/>
                <w:lang w:eastAsia="zh-CN"/>
              </w:rPr>
            </w:pPr>
            <w:r>
              <w:rPr>
                <w:rFonts w:hint="default" w:ascii="Times New Roman" w:hAnsi="Times New Roman" w:cs="Times New Roman" w:eastAsiaTheme="minorEastAsia"/>
                <w:kern w:val="0"/>
                <w:sz w:val="22"/>
                <w:highlight w:val="none"/>
                <w:lang w:eastAsia="zh-CN"/>
              </w:rPr>
              <w:t>倍</w:t>
            </w:r>
          </w:p>
        </w:tc>
        <w:tc>
          <w:tcPr>
            <w:tcW w:w="71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宋体" w:cs="Times New Roman"/>
                <w:color w:val="auto"/>
                <w:kern w:val="0"/>
                <w:sz w:val="20"/>
                <w:szCs w:val="20"/>
                <w:highlight w:val="none"/>
                <w:lang w:eastAsia="zh-CN"/>
              </w:rPr>
            </w:pPr>
          </w:p>
        </w:tc>
      </w:tr>
      <w:tr>
        <w:tblPrEx>
          <w:tblCellMar>
            <w:top w:w="0" w:type="dxa"/>
            <w:left w:w="108" w:type="dxa"/>
            <w:bottom w:w="0" w:type="dxa"/>
            <w:right w:w="108" w:type="dxa"/>
          </w:tblCellMar>
        </w:tblPrEx>
        <w:trPr>
          <w:trHeight w:val="480" w:hRule="atLeast"/>
          <w:jc w:val="center"/>
        </w:trPr>
        <w:tc>
          <w:tcPr>
            <w:tcW w:w="717" w:type="dxa"/>
            <w:vMerge w:val="continue"/>
            <w:tcBorders>
              <w:left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val="en-US" w:eastAsia="zh-CN"/>
              </w:rPr>
            </w:pPr>
          </w:p>
        </w:tc>
        <w:tc>
          <w:tcPr>
            <w:tcW w:w="1220" w:type="dxa"/>
            <w:vMerge w:val="continue"/>
            <w:tcBorders>
              <w:left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zh-CN"/>
              </w:rPr>
            </w:pPr>
          </w:p>
        </w:tc>
        <w:tc>
          <w:tcPr>
            <w:tcW w:w="5200"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left"/>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cs="Times New Roman" w:eastAsiaTheme="minorEastAsia"/>
                <w:color w:val="000000"/>
                <w:kern w:val="0"/>
                <w:sz w:val="20"/>
                <w:szCs w:val="20"/>
                <w:highlight w:val="none"/>
                <w:lang w:eastAsia="zh-CN"/>
              </w:rPr>
              <w:t>潜油保护器采用防腐材质（-C），每台潜油保护器价格为普通不防腐同等规格型号潜油保护器价格的</w:t>
            </w:r>
          </w:p>
        </w:tc>
        <w:tc>
          <w:tcPr>
            <w:tcW w:w="802"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宋体" w:cs="Times New Roman"/>
                <w:color w:val="auto"/>
                <w:kern w:val="0"/>
                <w:sz w:val="20"/>
                <w:szCs w:val="20"/>
                <w:highlight w:val="none"/>
                <w:lang w:val="en-US" w:eastAsia="zh-CN"/>
              </w:rPr>
            </w:pPr>
            <w:r>
              <w:rPr>
                <w:rFonts w:hint="default" w:ascii="Times New Roman" w:hAnsi="Times New Roman" w:cs="Times New Roman" w:eastAsiaTheme="minorEastAsia"/>
                <w:color w:val="000000"/>
                <w:kern w:val="0"/>
                <w:sz w:val="20"/>
                <w:szCs w:val="20"/>
                <w:highlight w:val="none"/>
                <w:lang w:eastAsia="zh-CN"/>
              </w:rPr>
              <w:t>1.</w:t>
            </w:r>
            <w:r>
              <w:rPr>
                <w:rFonts w:hint="default" w:ascii="Times New Roman" w:hAnsi="Times New Roman" w:cs="Times New Roman" w:eastAsiaTheme="minorEastAsia"/>
                <w:color w:val="000000"/>
                <w:kern w:val="0"/>
                <w:sz w:val="20"/>
                <w:szCs w:val="20"/>
                <w:highlight w:val="none"/>
                <w:lang w:val="en-US" w:eastAsia="zh-CN"/>
              </w:rPr>
              <w:t>1</w:t>
            </w:r>
          </w:p>
        </w:tc>
        <w:tc>
          <w:tcPr>
            <w:tcW w:w="99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default" w:ascii="Times New Roman" w:hAnsi="Times New Roman" w:eastAsia="宋体" w:cs="Times New Roman"/>
                <w:color w:val="auto"/>
                <w:kern w:val="0"/>
                <w:sz w:val="22"/>
                <w:highlight w:val="none"/>
                <w:lang w:eastAsia="zh-CN"/>
              </w:rPr>
            </w:pPr>
            <w:r>
              <w:rPr>
                <w:rFonts w:hint="default" w:ascii="Times New Roman" w:hAnsi="Times New Roman" w:cs="Times New Roman" w:eastAsiaTheme="minorEastAsia"/>
                <w:kern w:val="0"/>
                <w:sz w:val="22"/>
                <w:highlight w:val="none"/>
                <w:lang w:eastAsia="zh-CN"/>
              </w:rPr>
              <w:t>倍</w:t>
            </w:r>
          </w:p>
        </w:tc>
        <w:tc>
          <w:tcPr>
            <w:tcW w:w="71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宋体" w:cs="Times New Roman"/>
                <w:color w:val="auto"/>
                <w:kern w:val="0"/>
                <w:sz w:val="20"/>
                <w:szCs w:val="20"/>
                <w:highlight w:val="none"/>
                <w:lang w:eastAsia="zh-CN"/>
              </w:rPr>
            </w:pPr>
          </w:p>
        </w:tc>
      </w:tr>
      <w:tr>
        <w:tblPrEx>
          <w:tblCellMar>
            <w:top w:w="0" w:type="dxa"/>
            <w:left w:w="108" w:type="dxa"/>
            <w:bottom w:w="0" w:type="dxa"/>
            <w:right w:w="108" w:type="dxa"/>
          </w:tblCellMar>
        </w:tblPrEx>
        <w:trPr>
          <w:trHeight w:val="480" w:hRule="atLeast"/>
          <w:jc w:val="center"/>
        </w:trPr>
        <w:tc>
          <w:tcPr>
            <w:tcW w:w="717" w:type="dxa"/>
            <w:vMerge w:val="continue"/>
            <w:tcBorders>
              <w:left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zh-CN"/>
              </w:rPr>
            </w:pPr>
          </w:p>
        </w:tc>
        <w:tc>
          <w:tcPr>
            <w:tcW w:w="1220" w:type="dxa"/>
            <w:vMerge w:val="continue"/>
            <w:tcBorders>
              <w:left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zh-CN"/>
              </w:rPr>
            </w:pPr>
          </w:p>
        </w:tc>
        <w:tc>
          <w:tcPr>
            <w:tcW w:w="5200"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left"/>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cs="Times New Roman" w:eastAsiaTheme="minorEastAsia"/>
                <w:color w:val="000000"/>
                <w:kern w:val="0"/>
                <w:sz w:val="20"/>
                <w:szCs w:val="20"/>
                <w:highlight w:val="none"/>
                <w:lang w:eastAsia="zh-CN"/>
              </w:rPr>
              <w:t>潜油保护器采用防砂材质和结构（-D），每台潜油保护器价格为普通不防砂同等规格型号潜油保护器价格的</w:t>
            </w:r>
          </w:p>
        </w:tc>
        <w:tc>
          <w:tcPr>
            <w:tcW w:w="802"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宋体" w:cs="Times New Roman"/>
                <w:color w:val="auto"/>
                <w:kern w:val="0"/>
                <w:sz w:val="20"/>
                <w:szCs w:val="20"/>
                <w:highlight w:val="none"/>
                <w:lang w:val="en-US" w:eastAsia="zh-CN"/>
              </w:rPr>
            </w:pPr>
            <w:r>
              <w:rPr>
                <w:rFonts w:hint="default" w:ascii="Times New Roman" w:hAnsi="Times New Roman" w:cs="Times New Roman" w:eastAsiaTheme="minorEastAsia"/>
                <w:color w:val="000000"/>
                <w:kern w:val="0"/>
                <w:sz w:val="20"/>
                <w:szCs w:val="20"/>
                <w:highlight w:val="none"/>
                <w:lang w:eastAsia="zh-CN"/>
              </w:rPr>
              <w:t>1.</w:t>
            </w:r>
            <w:r>
              <w:rPr>
                <w:rFonts w:hint="default" w:ascii="Times New Roman" w:hAnsi="Times New Roman" w:cs="Times New Roman" w:eastAsiaTheme="minorEastAsia"/>
                <w:color w:val="000000"/>
                <w:kern w:val="0"/>
                <w:sz w:val="20"/>
                <w:szCs w:val="20"/>
                <w:highlight w:val="none"/>
                <w:lang w:val="en-US" w:eastAsia="zh-CN"/>
              </w:rPr>
              <w:t>05</w:t>
            </w:r>
          </w:p>
        </w:tc>
        <w:tc>
          <w:tcPr>
            <w:tcW w:w="99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default" w:ascii="Times New Roman" w:hAnsi="Times New Roman" w:eastAsia="宋体" w:cs="Times New Roman"/>
                <w:color w:val="auto"/>
                <w:kern w:val="0"/>
                <w:sz w:val="22"/>
                <w:highlight w:val="none"/>
                <w:lang w:eastAsia="zh-CN"/>
              </w:rPr>
            </w:pPr>
            <w:r>
              <w:rPr>
                <w:rFonts w:hint="default" w:ascii="Times New Roman" w:hAnsi="Times New Roman" w:cs="Times New Roman" w:eastAsiaTheme="minorEastAsia"/>
                <w:kern w:val="0"/>
                <w:sz w:val="22"/>
                <w:highlight w:val="none"/>
                <w:lang w:eastAsia="zh-CN"/>
              </w:rPr>
              <w:t>倍</w:t>
            </w:r>
          </w:p>
        </w:tc>
        <w:tc>
          <w:tcPr>
            <w:tcW w:w="71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宋体" w:cs="Times New Roman"/>
                <w:color w:val="auto"/>
                <w:kern w:val="0"/>
                <w:sz w:val="20"/>
                <w:szCs w:val="20"/>
                <w:highlight w:val="none"/>
                <w:lang w:eastAsia="zh-CN"/>
              </w:rPr>
            </w:pPr>
          </w:p>
        </w:tc>
      </w:tr>
      <w:tr>
        <w:tblPrEx>
          <w:tblCellMar>
            <w:top w:w="0" w:type="dxa"/>
            <w:left w:w="108" w:type="dxa"/>
            <w:bottom w:w="0" w:type="dxa"/>
            <w:right w:w="108" w:type="dxa"/>
          </w:tblCellMar>
        </w:tblPrEx>
        <w:trPr>
          <w:trHeight w:val="480" w:hRule="atLeast"/>
          <w:jc w:val="center"/>
        </w:trPr>
        <w:tc>
          <w:tcPr>
            <w:tcW w:w="717" w:type="dxa"/>
            <w:vMerge w:val="continue"/>
            <w:tcBorders>
              <w:left w:val="single" w:color="auto" w:sz="4" w:space="0"/>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zh-CN"/>
              </w:rPr>
            </w:pPr>
          </w:p>
        </w:tc>
        <w:tc>
          <w:tcPr>
            <w:tcW w:w="1220" w:type="dxa"/>
            <w:vMerge w:val="continue"/>
            <w:tcBorders>
              <w:left w:val="single" w:color="auto" w:sz="4" w:space="0"/>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宋体" w:cs="Times New Roman"/>
                <w:color w:val="auto"/>
                <w:kern w:val="0"/>
                <w:sz w:val="20"/>
                <w:szCs w:val="20"/>
                <w:highlight w:val="none"/>
                <w:lang w:eastAsia="zh-CN"/>
              </w:rPr>
            </w:pPr>
          </w:p>
        </w:tc>
        <w:tc>
          <w:tcPr>
            <w:tcW w:w="5200"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left"/>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cs="Times New Roman" w:eastAsiaTheme="minorEastAsia"/>
                <w:color w:val="000000"/>
                <w:kern w:val="0"/>
                <w:sz w:val="20"/>
                <w:szCs w:val="20"/>
                <w:highlight w:val="none"/>
                <w:lang w:eastAsia="zh-CN"/>
              </w:rPr>
              <w:t>潜油保护器同时采用防腐材质、防砂材质和结构（-D）、高强轴（Inconel 718材质），每台潜油保护器价格为普通不防腐、不防砂、普通Monel K500轴同等规格型号潜油保护器价格的</w:t>
            </w:r>
          </w:p>
        </w:tc>
        <w:tc>
          <w:tcPr>
            <w:tcW w:w="802"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宋体" w:cs="Times New Roman"/>
                <w:color w:val="auto"/>
                <w:kern w:val="0"/>
                <w:sz w:val="20"/>
                <w:szCs w:val="20"/>
                <w:highlight w:val="none"/>
                <w:lang w:val="en-US" w:eastAsia="zh-CN"/>
              </w:rPr>
            </w:pPr>
            <w:r>
              <w:rPr>
                <w:rFonts w:hint="default" w:ascii="Times New Roman" w:hAnsi="Times New Roman" w:cs="Times New Roman" w:eastAsiaTheme="minorEastAsia"/>
                <w:color w:val="000000"/>
                <w:kern w:val="0"/>
                <w:sz w:val="20"/>
                <w:szCs w:val="20"/>
                <w:highlight w:val="none"/>
                <w:lang w:eastAsia="zh-CN"/>
              </w:rPr>
              <w:t>1.</w:t>
            </w:r>
            <w:r>
              <w:rPr>
                <w:rFonts w:hint="default" w:ascii="Times New Roman" w:hAnsi="Times New Roman" w:cs="Times New Roman" w:eastAsiaTheme="minorEastAsia"/>
                <w:color w:val="000000"/>
                <w:kern w:val="0"/>
                <w:sz w:val="20"/>
                <w:szCs w:val="20"/>
                <w:highlight w:val="none"/>
                <w:lang w:val="en-US" w:eastAsia="zh-CN"/>
              </w:rPr>
              <w:t>25</w:t>
            </w:r>
          </w:p>
        </w:tc>
        <w:tc>
          <w:tcPr>
            <w:tcW w:w="99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default" w:ascii="Times New Roman" w:hAnsi="Times New Roman" w:eastAsia="宋体" w:cs="Times New Roman"/>
                <w:color w:val="auto"/>
                <w:kern w:val="0"/>
                <w:sz w:val="22"/>
                <w:highlight w:val="none"/>
                <w:lang w:eastAsia="zh-CN"/>
              </w:rPr>
            </w:pPr>
            <w:r>
              <w:rPr>
                <w:rFonts w:hint="default" w:ascii="Times New Roman" w:hAnsi="Times New Roman" w:cs="Times New Roman" w:eastAsiaTheme="minorEastAsia"/>
                <w:kern w:val="0"/>
                <w:sz w:val="22"/>
                <w:highlight w:val="none"/>
                <w:lang w:eastAsia="zh-CN"/>
              </w:rPr>
              <w:t>倍</w:t>
            </w:r>
          </w:p>
        </w:tc>
        <w:tc>
          <w:tcPr>
            <w:tcW w:w="71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宋体" w:cs="Times New Roman"/>
                <w:color w:val="auto"/>
                <w:kern w:val="0"/>
                <w:sz w:val="20"/>
                <w:szCs w:val="20"/>
                <w:highlight w:val="none"/>
                <w:lang w:eastAsia="zh-CN"/>
              </w:rPr>
            </w:pPr>
          </w:p>
        </w:tc>
      </w:tr>
      <w:tr>
        <w:tblPrEx>
          <w:tblCellMar>
            <w:top w:w="0" w:type="dxa"/>
            <w:left w:w="108" w:type="dxa"/>
            <w:bottom w:w="0" w:type="dxa"/>
            <w:right w:w="108" w:type="dxa"/>
          </w:tblCellMar>
        </w:tblPrEx>
        <w:trPr>
          <w:trHeight w:val="480" w:hRule="atLeast"/>
          <w:jc w:val="center"/>
        </w:trPr>
        <w:tc>
          <w:tcPr>
            <w:tcW w:w="7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b/>
                <w:color w:val="auto"/>
                <w:kern w:val="0"/>
                <w:sz w:val="20"/>
                <w:szCs w:val="20"/>
                <w:highlight w:val="none"/>
                <w:lang w:eastAsia="en-US"/>
              </w:rPr>
            </w:pPr>
            <w:r>
              <w:rPr>
                <w:rFonts w:hint="default" w:ascii="Times New Roman" w:hAnsi="Times New Roman" w:eastAsia="宋体" w:cs="Times New Roman"/>
                <w:b/>
                <w:color w:val="auto"/>
                <w:kern w:val="0"/>
                <w:sz w:val="20"/>
                <w:szCs w:val="20"/>
                <w:highlight w:val="none"/>
                <w:lang w:eastAsia="en-US"/>
              </w:rPr>
              <w:t>说明</w:t>
            </w:r>
          </w:p>
        </w:tc>
        <w:tc>
          <w:tcPr>
            <w:tcW w:w="8933"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zh-CN"/>
              </w:rPr>
              <w:t>1、以招标清单中电机型号为基准型号；</w:t>
            </w:r>
          </w:p>
          <w:p>
            <w:pPr>
              <w:widowControl/>
              <w:jc w:val="left"/>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zh-CN"/>
              </w:rPr>
              <w:t>2、若电机或引接电缆或保护器的规格发生变化，以变化后的型号供货，并以基准价±变化单价为最终价格；</w:t>
            </w:r>
          </w:p>
          <w:p>
            <w:pPr>
              <w:widowControl/>
              <w:jc w:val="left"/>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zh-CN"/>
              </w:rPr>
              <w:t>3、实际使用电机功率以报价中相近的功率作为计算依据；</w:t>
            </w:r>
          </w:p>
          <w:p>
            <w:pPr>
              <w:widowControl/>
              <w:jc w:val="left"/>
              <w:rPr>
                <w:rFonts w:hint="default" w:ascii="Times New Roman" w:hAnsi="Times New Roman" w:eastAsia="宋体" w:cs="Times New Roman"/>
                <w:color w:val="auto"/>
                <w:kern w:val="0"/>
                <w:sz w:val="20"/>
                <w:szCs w:val="20"/>
                <w:highlight w:val="none"/>
                <w:lang w:eastAsia="zh-CN"/>
              </w:rPr>
            </w:pPr>
            <w:r>
              <w:rPr>
                <w:rFonts w:hint="default" w:ascii="Times New Roman" w:hAnsi="Times New Roman" w:eastAsia="宋体" w:cs="Times New Roman"/>
                <w:color w:val="auto"/>
                <w:kern w:val="0"/>
                <w:sz w:val="20"/>
                <w:szCs w:val="20"/>
                <w:highlight w:val="none"/>
                <w:lang w:eastAsia="zh-CN"/>
              </w:rPr>
              <w:t>4、若出现上下相邻功率加减计算后不一致的情况，以价格低的为准。</w:t>
            </w:r>
          </w:p>
        </w:tc>
      </w:tr>
    </w:tbl>
    <w:p>
      <w:pPr>
        <w:autoSpaceDE w:val="0"/>
        <w:autoSpaceDN w:val="0"/>
        <w:adjustRightInd w:val="0"/>
        <w:snapToGrid w:val="0"/>
        <w:spacing w:line="360" w:lineRule="auto"/>
        <w:ind w:left="720" w:right="-21" w:rightChars="-10"/>
        <w:jc w:val="left"/>
        <w:rPr>
          <w:rFonts w:cs="黑体" w:asciiTheme="minorEastAsia" w:hAnsiTheme="minorEastAsia" w:eastAsiaTheme="minorEastAsia"/>
          <w:color w:val="auto"/>
          <w:kern w:val="0"/>
          <w:sz w:val="24"/>
          <w:szCs w:val="24"/>
          <w:highlight w:val="none"/>
          <w:lang w:eastAsia="zh-CN"/>
        </w:rPr>
      </w:pPr>
    </w:p>
    <w:p>
      <w:pPr>
        <w:autoSpaceDE w:val="0"/>
        <w:autoSpaceDN w:val="0"/>
        <w:adjustRightInd w:val="0"/>
        <w:snapToGrid w:val="0"/>
        <w:spacing w:line="360" w:lineRule="auto"/>
        <w:ind w:right="-21" w:rightChars="-10"/>
        <w:jc w:val="left"/>
        <w:rPr>
          <w:rFonts w:cs="黑体" w:asciiTheme="minorEastAsia" w:hAnsiTheme="minorEastAsia" w:eastAsiaTheme="minorEastAsia"/>
          <w:color w:val="auto"/>
          <w:kern w:val="0"/>
          <w:sz w:val="24"/>
          <w:szCs w:val="24"/>
          <w:highlight w:val="none"/>
          <w:lang w:eastAsia="zh-CN"/>
        </w:rPr>
      </w:pPr>
    </w:p>
    <w:p>
      <w:pPr>
        <w:autoSpaceDE w:val="0"/>
        <w:autoSpaceDN w:val="0"/>
        <w:adjustRightInd w:val="0"/>
        <w:snapToGrid w:val="0"/>
        <w:spacing w:line="360" w:lineRule="auto"/>
        <w:ind w:right="-21" w:rightChars="-10"/>
        <w:rPr>
          <w:rFonts w:cs="黑体" w:asciiTheme="minorEastAsia" w:hAnsiTheme="minorEastAsia"/>
          <w:color w:val="auto"/>
          <w:sz w:val="24"/>
          <w:szCs w:val="24"/>
          <w:highlight w:val="none"/>
          <w:lang w:eastAsia="zh-CN"/>
        </w:rPr>
        <w:sectPr>
          <w:footerReference r:id="rId11" w:type="first"/>
          <w:footerReference r:id="rId10" w:type="default"/>
          <w:pgSz w:w="11906" w:h="16838"/>
          <w:pgMar w:top="1440" w:right="1558" w:bottom="1440" w:left="1797" w:header="851" w:footer="992" w:gutter="0"/>
          <w:pgNumType w:start="1"/>
          <w:cols w:space="425" w:num="1"/>
          <w:titlePg/>
          <w:docGrid w:type="lines" w:linePitch="312" w:charSpace="0"/>
        </w:sectPr>
      </w:pPr>
    </w:p>
    <w:tbl>
      <w:tblPr>
        <w:tblStyle w:val="11"/>
        <w:tblW w:w="13026" w:type="dxa"/>
        <w:tblInd w:w="469" w:type="dxa"/>
        <w:tblLayout w:type="autofit"/>
        <w:tblCellMar>
          <w:top w:w="0" w:type="dxa"/>
          <w:left w:w="108" w:type="dxa"/>
          <w:bottom w:w="0" w:type="dxa"/>
          <w:right w:w="108" w:type="dxa"/>
        </w:tblCellMar>
      </w:tblPr>
      <w:tblGrid>
        <w:gridCol w:w="466"/>
        <w:gridCol w:w="466"/>
        <w:gridCol w:w="466"/>
        <w:gridCol w:w="672"/>
        <w:gridCol w:w="2064"/>
        <w:gridCol w:w="978"/>
        <w:gridCol w:w="1712"/>
        <w:gridCol w:w="653"/>
        <w:gridCol w:w="653"/>
        <w:gridCol w:w="815"/>
        <w:gridCol w:w="491"/>
        <w:gridCol w:w="653"/>
        <w:gridCol w:w="653"/>
        <w:gridCol w:w="653"/>
        <w:gridCol w:w="653"/>
        <w:gridCol w:w="978"/>
      </w:tblGrid>
      <w:tr>
        <w:tblPrEx>
          <w:tblCellMar>
            <w:top w:w="0" w:type="dxa"/>
            <w:left w:w="108" w:type="dxa"/>
            <w:bottom w:w="0" w:type="dxa"/>
            <w:right w:w="108" w:type="dxa"/>
          </w:tblCellMar>
        </w:tblPrEx>
        <w:trPr>
          <w:trHeight w:val="243" w:hRule="atLeast"/>
        </w:trPr>
        <w:tc>
          <w:tcPr>
            <w:tcW w:w="4134" w:type="dxa"/>
            <w:gridSpan w:val="5"/>
            <w:tcBorders>
              <w:top w:val="nil"/>
              <w:left w:val="nil"/>
              <w:bottom w:val="single" w:color="auto" w:sz="4" w:space="0"/>
              <w:right w:val="nil"/>
            </w:tcBorders>
            <w:shd w:val="clear" w:color="auto" w:fill="auto"/>
            <w:noWrap/>
            <w:vAlign w:val="center"/>
          </w:tcPr>
          <w:p>
            <w:pPr>
              <w:widowControl/>
              <w:jc w:val="center"/>
              <w:rPr>
                <w:rFonts w:hint="default" w:ascii="Times New Roman" w:hAnsi="Times New Roman" w:cs="Times New Roman" w:eastAsiaTheme="minorEastAsia"/>
                <w:b/>
                <w:bCs/>
                <w:color w:val="auto"/>
                <w:kern w:val="0"/>
                <w:sz w:val="32"/>
                <w:szCs w:val="32"/>
                <w:highlight w:val="none"/>
                <w:lang w:eastAsia="en-US"/>
              </w:rPr>
            </w:pPr>
            <w:r>
              <w:rPr>
                <w:rFonts w:hint="default" w:ascii="Times New Roman" w:hAnsi="Times New Roman" w:cs="Times New Roman" w:eastAsiaTheme="minorEastAsia"/>
                <w:b/>
                <w:bCs/>
                <w:color w:val="auto"/>
                <w:kern w:val="0"/>
                <w:sz w:val="32"/>
                <w:szCs w:val="32"/>
                <w:highlight w:val="none"/>
                <w:lang w:eastAsia="en-US"/>
              </w:rPr>
              <w:t>原材料发货资料清单</w:t>
            </w:r>
          </w:p>
        </w:tc>
        <w:tc>
          <w:tcPr>
            <w:tcW w:w="978" w:type="dxa"/>
            <w:tcBorders>
              <w:top w:val="nil"/>
              <w:left w:val="nil"/>
              <w:bottom w:val="single" w:color="auto" w:sz="4" w:space="0"/>
              <w:right w:val="nil"/>
            </w:tcBorders>
            <w:shd w:val="clear" w:color="auto" w:fill="auto"/>
            <w:noWrap/>
            <w:vAlign w:val="center"/>
          </w:tcPr>
          <w:p>
            <w:pPr>
              <w:widowControl/>
              <w:jc w:val="center"/>
              <w:rPr>
                <w:rFonts w:hint="default" w:ascii="Times New Roman" w:hAnsi="Times New Roman" w:cs="Times New Roman" w:eastAsiaTheme="minorEastAsia"/>
                <w:b/>
                <w:bCs/>
                <w:color w:val="auto"/>
                <w:kern w:val="0"/>
                <w:sz w:val="40"/>
                <w:szCs w:val="40"/>
                <w:highlight w:val="none"/>
                <w:lang w:eastAsia="en-US"/>
              </w:rPr>
            </w:pPr>
          </w:p>
        </w:tc>
        <w:tc>
          <w:tcPr>
            <w:tcW w:w="1712" w:type="dxa"/>
            <w:tcBorders>
              <w:top w:val="nil"/>
              <w:left w:val="nil"/>
              <w:bottom w:val="single" w:color="auto" w:sz="4" w:space="0"/>
              <w:right w:val="nil"/>
            </w:tcBorders>
            <w:shd w:val="clear" w:color="auto" w:fill="auto"/>
            <w:noWrap/>
            <w:vAlign w:val="center"/>
          </w:tcPr>
          <w:p>
            <w:pPr>
              <w:widowControl/>
              <w:jc w:val="center"/>
              <w:rPr>
                <w:rFonts w:hint="default" w:ascii="Times New Roman" w:hAnsi="Times New Roman" w:cs="Times New Roman" w:eastAsiaTheme="minorEastAsia"/>
                <w:b/>
                <w:bCs/>
                <w:color w:val="auto"/>
                <w:kern w:val="0"/>
                <w:sz w:val="40"/>
                <w:szCs w:val="40"/>
                <w:highlight w:val="none"/>
                <w:lang w:eastAsia="en-US"/>
              </w:rPr>
            </w:pPr>
          </w:p>
        </w:tc>
        <w:tc>
          <w:tcPr>
            <w:tcW w:w="653" w:type="dxa"/>
            <w:tcBorders>
              <w:top w:val="nil"/>
              <w:left w:val="nil"/>
              <w:bottom w:val="single" w:color="auto" w:sz="4" w:space="0"/>
              <w:right w:val="nil"/>
            </w:tcBorders>
            <w:shd w:val="clear" w:color="auto" w:fill="auto"/>
            <w:noWrap/>
            <w:vAlign w:val="center"/>
          </w:tcPr>
          <w:p>
            <w:pPr>
              <w:widowControl/>
              <w:jc w:val="center"/>
              <w:rPr>
                <w:rFonts w:hint="default" w:ascii="Times New Roman" w:hAnsi="Times New Roman" w:cs="Times New Roman" w:eastAsiaTheme="minorEastAsia"/>
                <w:b/>
                <w:bCs/>
                <w:color w:val="auto"/>
                <w:kern w:val="0"/>
                <w:sz w:val="40"/>
                <w:szCs w:val="40"/>
                <w:highlight w:val="none"/>
                <w:lang w:eastAsia="en-US"/>
              </w:rPr>
            </w:pPr>
          </w:p>
        </w:tc>
        <w:tc>
          <w:tcPr>
            <w:tcW w:w="653" w:type="dxa"/>
            <w:tcBorders>
              <w:top w:val="nil"/>
              <w:left w:val="nil"/>
              <w:bottom w:val="single" w:color="auto" w:sz="4" w:space="0"/>
              <w:right w:val="nil"/>
            </w:tcBorders>
            <w:shd w:val="clear" w:color="auto" w:fill="auto"/>
            <w:noWrap/>
            <w:vAlign w:val="center"/>
          </w:tcPr>
          <w:p>
            <w:pPr>
              <w:widowControl/>
              <w:jc w:val="center"/>
              <w:rPr>
                <w:rFonts w:hint="default" w:ascii="Times New Roman" w:hAnsi="Times New Roman" w:cs="Times New Roman" w:eastAsiaTheme="minorEastAsia"/>
                <w:b/>
                <w:bCs/>
                <w:color w:val="auto"/>
                <w:kern w:val="0"/>
                <w:sz w:val="40"/>
                <w:szCs w:val="40"/>
                <w:highlight w:val="none"/>
                <w:lang w:eastAsia="en-US"/>
              </w:rPr>
            </w:pPr>
          </w:p>
        </w:tc>
        <w:tc>
          <w:tcPr>
            <w:tcW w:w="815" w:type="dxa"/>
            <w:tcBorders>
              <w:top w:val="nil"/>
              <w:left w:val="nil"/>
              <w:bottom w:val="single" w:color="auto" w:sz="4" w:space="0"/>
              <w:right w:val="nil"/>
            </w:tcBorders>
            <w:shd w:val="clear" w:color="auto" w:fill="auto"/>
            <w:noWrap/>
            <w:vAlign w:val="center"/>
          </w:tcPr>
          <w:p>
            <w:pPr>
              <w:widowControl/>
              <w:jc w:val="center"/>
              <w:rPr>
                <w:rFonts w:hint="default" w:ascii="Times New Roman" w:hAnsi="Times New Roman" w:cs="Times New Roman" w:eastAsiaTheme="minorEastAsia"/>
                <w:b/>
                <w:bCs/>
                <w:color w:val="auto"/>
                <w:kern w:val="0"/>
                <w:sz w:val="40"/>
                <w:szCs w:val="40"/>
                <w:highlight w:val="none"/>
                <w:lang w:eastAsia="en-US"/>
              </w:rPr>
            </w:pPr>
          </w:p>
        </w:tc>
        <w:tc>
          <w:tcPr>
            <w:tcW w:w="491" w:type="dxa"/>
            <w:tcBorders>
              <w:top w:val="nil"/>
              <w:left w:val="nil"/>
              <w:bottom w:val="single" w:color="auto" w:sz="4" w:space="0"/>
              <w:right w:val="nil"/>
            </w:tcBorders>
            <w:shd w:val="clear" w:color="auto" w:fill="auto"/>
            <w:noWrap/>
            <w:vAlign w:val="center"/>
          </w:tcPr>
          <w:p>
            <w:pPr>
              <w:widowControl/>
              <w:jc w:val="center"/>
              <w:rPr>
                <w:rFonts w:hint="default" w:ascii="Times New Roman" w:hAnsi="Times New Roman" w:cs="Times New Roman" w:eastAsiaTheme="minorEastAsia"/>
                <w:b/>
                <w:bCs/>
                <w:color w:val="auto"/>
                <w:kern w:val="0"/>
                <w:sz w:val="40"/>
                <w:szCs w:val="40"/>
                <w:highlight w:val="none"/>
                <w:lang w:eastAsia="en-US"/>
              </w:rPr>
            </w:pPr>
          </w:p>
        </w:tc>
        <w:tc>
          <w:tcPr>
            <w:tcW w:w="653" w:type="dxa"/>
            <w:tcBorders>
              <w:top w:val="nil"/>
              <w:left w:val="nil"/>
              <w:bottom w:val="single" w:color="auto" w:sz="4" w:space="0"/>
              <w:right w:val="nil"/>
            </w:tcBorders>
            <w:shd w:val="clear" w:color="auto" w:fill="auto"/>
            <w:noWrap/>
            <w:vAlign w:val="center"/>
          </w:tcPr>
          <w:p>
            <w:pPr>
              <w:widowControl/>
              <w:jc w:val="center"/>
              <w:rPr>
                <w:rFonts w:hint="default" w:ascii="Times New Roman" w:hAnsi="Times New Roman" w:cs="Times New Roman" w:eastAsiaTheme="minorEastAsia"/>
                <w:b/>
                <w:bCs/>
                <w:color w:val="auto"/>
                <w:kern w:val="0"/>
                <w:sz w:val="40"/>
                <w:szCs w:val="40"/>
                <w:highlight w:val="none"/>
                <w:lang w:eastAsia="en-US"/>
              </w:rPr>
            </w:pPr>
          </w:p>
        </w:tc>
        <w:tc>
          <w:tcPr>
            <w:tcW w:w="653" w:type="dxa"/>
            <w:tcBorders>
              <w:top w:val="nil"/>
              <w:left w:val="nil"/>
              <w:bottom w:val="single" w:color="auto" w:sz="4" w:space="0"/>
              <w:right w:val="nil"/>
            </w:tcBorders>
            <w:shd w:val="clear" w:color="auto" w:fill="auto"/>
            <w:noWrap/>
            <w:vAlign w:val="center"/>
          </w:tcPr>
          <w:p>
            <w:pPr>
              <w:widowControl/>
              <w:jc w:val="center"/>
              <w:rPr>
                <w:rFonts w:hint="default" w:ascii="Times New Roman" w:hAnsi="Times New Roman" w:cs="Times New Roman" w:eastAsiaTheme="minorEastAsia"/>
                <w:b/>
                <w:bCs/>
                <w:color w:val="auto"/>
                <w:kern w:val="0"/>
                <w:sz w:val="40"/>
                <w:szCs w:val="40"/>
                <w:highlight w:val="none"/>
                <w:lang w:eastAsia="en-US"/>
              </w:rPr>
            </w:pPr>
          </w:p>
        </w:tc>
        <w:tc>
          <w:tcPr>
            <w:tcW w:w="653" w:type="dxa"/>
            <w:tcBorders>
              <w:top w:val="nil"/>
              <w:left w:val="nil"/>
              <w:bottom w:val="single" w:color="auto" w:sz="4" w:space="0"/>
              <w:right w:val="nil"/>
            </w:tcBorders>
            <w:shd w:val="clear" w:color="auto" w:fill="auto"/>
            <w:noWrap/>
            <w:vAlign w:val="center"/>
          </w:tcPr>
          <w:p>
            <w:pPr>
              <w:widowControl/>
              <w:jc w:val="center"/>
              <w:rPr>
                <w:rFonts w:hint="default" w:ascii="Times New Roman" w:hAnsi="Times New Roman" w:cs="Times New Roman" w:eastAsiaTheme="minorEastAsia"/>
                <w:b/>
                <w:bCs/>
                <w:color w:val="auto"/>
                <w:kern w:val="0"/>
                <w:sz w:val="40"/>
                <w:szCs w:val="40"/>
                <w:highlight w:val="none"/>
                <w:lang w:eastAsia="en-US"/>
              </w:rPr>
            </w:pPr>
          </w:p>
        </w:tc>
        <w:tc>
          <w:tcPr>
            <w:tcW w:w="653" w:type="dxa"/>
            <w:tcBorders>
              <w:top w:val="nil"/>
              <w:left w:val="nil"/>
              <w:bottom w:val="single" w:color="auto" w:sz="4" w:space="0"/>
              <w:right w:val="nil"/>
            </w:tcBorders>
            <w:shd w:val="clear" w:color="auto" w:fill="auto"/>
            <w:noWrap/>
            <w:vAlign w:val="center"/>
          </w:tcPr>
          <w:p>
            <w:pPr>
              <w:widowControl/>
              <w:jc w:val="center"/>
              <w:rPr>
                <w:rFonts w:hint="default" w:ascii="Times New Roman" w:hAnsi="Times New Roman" w:cs="Times New Roman" w:eastAsiaTheme="minorEastAsia"/>
                <w:b/>
                <w:bCs/>
                <w:color w:val="auto"/>
                <w:kern w:val="0"/>
                <w:sz w:val="40"/>
                <w:szCs w:val="40"/>
                <w:highlight w:val="none"/>
                <w:lang w:eastAsia="en-US"/>
              </w:rPr>
            </w:pPr>
          </w:p>
        </w:tc>
        <w:tc>
          <w:tcPr>
            <w:tcW w:w="978" w:type="dxa"/>
            <w:tcBorders>
              <w:top w:val="nil"/>
              <w:left w:val="nil"/>
              <w:bottom w:val="single" w:color="auto" w:sz="4" w:space="0"/>
              <w:right w:val="nil"/>
            </w:tcBorders>
            <w:shd w:val="clear" w:color="auto" w:fill="auto"/>
            <w:noWrap/>
            <w:vAlign w:val="center"/>
          </w:tcPr>
          <w:p>
            <w:pPr>
              <w:widowControl/>
              <w:jc w:val="center"/>
              <w:rPr>
                <w:rFonts w:hint="default" w:ascii="Times New Roman" w:hAnsi="Times New Roman" w:cs="Times New Roman" w:eastAsiaTheme="minorEastAsia"/>
                <w:b/>
                <w:bCs/>
                <w:color w:val="auto"/>
                <w:kern w:val="0"/>
                <w:sz w:val="40"/>
                <w:szCs w:val="40"/>
                <w:highlight w:val="none"/>
                <w:lang w:eastAsia="en-US"/>
              </w:rPr>
            </w:pPr>
          </w:p>
        </w:tc>
      </w:tr>
      <w:tr>
        <w:tblPrEx>
          <w:tblCellMar>
            <w:top w:w="0" w:type="dxa"/>
            <w:left w:w="108" w:type="dxa"/>
            <w:bottom w:w="0" w:type="dxa"/>
            <w:right w:w="108" w:type="dxa"/>
          </w:tblCellMar>
        </w:tblPrEx>
        <w:trPr>
          <w:trHeight w:val="486" w:hRule="atLeast"/>
        </w:trPr>
        <w:tc>
          <w:tcPr>
            <w:tcW w:w="4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黑体" w:cs="Times New Roman"/>
                <w:b/>
                <w:bCs/>
                <w:color w:val="auto"/>
                <w:kern w:val="0"/>
                <w:sz w:val="24"/>
                <w:highlight w:val="none"/>
                <w:lang w:eastAsia="en-US"/>
              </w:rPr>
            </w:pPr>
            <w:r>
              <w:rPr>
                <w:rFonts w:hint="default" w:ascii="Times New Roman" w:hAnsi="Times New Roman" w:eastAsia="黑体" w:cs="Times New Roman"/>
                <w:b/>
                <w:bCs/>
                <w:color w:val="auto"/>
                <w:kern w:val="0"/>
                <w:sz w:val="24"/>
                <w:highlight w:val="none"/>
                <w:lang w:eastAsia="en-US"/>
              </w:rPr>
              <w:t>类别1</w:t>
            </w:r>
          </w:p>
        </w:tc>
        <w:tc>
          <w:tcPr>
            <w:tcW w:w="466"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黑体" w:cs="Times New Roman"/>
                <w:b/>
                <w:bCs/>
                <w:color w:val="auto"/>
                <w:kern w:val="0"/>
                <w:sz w:val="24"/>
                <w:highlight w:val="none"/>
                <w:lang w:eastAsia="en-US"/>
              </w:rPr>
            </w:pPr>
            <w:r>
              <w:rPr>
                <w:rFonts w:hint="default" w:ascii="Times New Roman" w:hAnsi="Times New Roman" w:eastAsia="黑体" w:cs="Times New Roman"/>
                <w:b/>
                <w:bCs/>
                <w:color w:val="auto"/>
                <w:kern w:val="0"/>
                <w:sz w:val="24"/>
                <w:highlight w:val="none"/>
                <w:lang w:eastAsia="en-US"/>
              </w:rPr>
              <w:t>类别2</w:t>
            </w:r>
          </w:p>
        </w:tc>
        <w:tc>
          <w:tcPr>
            <w:tcW w:w="466"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黑体" w:cs="Times New Roman"/>
                <w:b/>
                <w:bCs/>
                <w:color w:val="auto"/>
                <w:kern w:val="0"/>
                <w:sz w:val="24"/>
                <w:highlight w:val="none"/>
                <w:lang w:eastAsia="en-US"/>
              </w:rPr>
            </w:pPr>
            <w:r>
              <w:rPr>
                <w:rFonts w:hint="default" w:ascii="Times New Roman" w:hAnsi="Times New Roman" w:eastAsia="黑体" w:cs="Times New Roman"/>
                <w:b/>
                <w:bCs/>
                <w:color w:val="auto"/>
                <w:kern w:val="0"/>
                <w:sz w:val="24"/>
                <w:highlight w:val="none"/>
                <w:lang w:eastAsia="en-US"/>
              </w:rPr>
              <w:t>类别3</w:t>
            </w:r>
          </w:p>
        </w:tc>
        <w:tc>
          <w:tcPr>
            <w:tcW w:w="67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黑体" w:cs="Times New Roman"/>
                <w:b/>
                <w:bCs/>
                <w:color w:val="auto"/>
                <w:kern w:val="0"/>
                <w:sz w:val="24"/>
                <w:highlight w:val="none"/>
                <w:lang w:eastAsia="en-US"/>
              </w:rPr>
            </w:pPr>
            <w:r>
              <w:rPr>
                <w:rFonts w:hint="default" w:ascii="Times New Roman" w:hAnsi="Times New Roman" w:eastAsia="黑体" w:cs="Times New Roman"/>
                <w:b/>
                <w:bCs/>
                <w:color w:val="auto"/>
                <w:kern w:val="0"/>
                <w:sz w:val="24"/>
                <w:highlight w:val="none"/>
                <w:lang w:eastAsia="en-US"/>
              </w:rPr>
              <w:t>序号</w:t>
            </w:r>
          </w:p>
        </w:tc>
        <w:tc>
          <w:tcPr>
            <w:tcW w:w="206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黑体" w:cs="Times New Roman"/>
                <w:b/>
                <w:bCs/>
                <w:color w:val="auto"/>
                <w:kern w:val="0"/>
                <w:sz w:val="24"/>
                <w:highlight w:val="none"/>
                <w:lang w:eastAsia="en-US"/>
              </w:rPr>
            </w:pPr>
            <w:r>
              <w:rPr>
                <w:rFonts w:hint="default" w:ascii="Times New Roman" w:hAnsi="Times New Roman" w:eastAsia="黑体" w:cs="Times New Roman"/>
                <w:b/>
                <w:bCs/>
                <w:color w:val="auto"/>
                <w:kern w:val="0"/>
                <w:sz w:val="24"/>
                <w:highlight w:val="none"/>
                <w:lang w:eastAsia="en-US"/>
              </w:rPr>
              <w:t>物资名称</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4"/>
                <w:highlight w:val="none"/>
                <w:lang w:eastAsia="en-US"/>
              </w:rPr>
            </w:pPr>
            <w:r>
              <w:rPr>
                <w:rFonts w:hint="default" w:ascii="Times New Roman" w:hAnsi="Times New Roman" w:cs="Times New Roman" w:eastAsiaTheme="minorEastAsia"/>
                <w:color w:val="auto"/>
                <w:kern w:val="0"/>
                <w:sz w:val="24"/>
                <w:highlight w:val="none"/>
                <w:lang w:eastAsia="en-US"/>
              </w:rPr>
              <w:t>送货单</w:t>
            </w: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4"/>
                <w:highlight w:val="none"/>
                <w:lang w:eastAsia="zh-CN"/>
              </w:rPr>
            </w:pPr>
            <w:r>
              <w:rPr>
                <w:rFonts w:hint="default" w:ascii="Times New Roman" w:hAnsi="Times New Roman" w:cs="Times New Roman" w:eastAsiaTheme="minorEastAsia"/>
                <w:color w:val="auto"/>
                <w:kern w:val="0"/>
                <w:sz w:val="24"/>
                <w:highlight w:val="none"/>
                <w:lang w:eastAsia="zh-CN"/>
              </w:rPr>
              <w:t>技术要求(合同、澄清纪要)</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4"/>
                <w:highlight w:val="none"/>
                <w:lang w:eastAsia="en-US"/>
              </w:rPr>
            </w:pPr>
            <w:r>
              <w:rPr>
                <w:rFonts w:hint="default" w:ascii="Times New Roman" w:hAnsi="Times New Roman" w:cs="Times New Roman" w:eastAsiaTheme="minorEastAsia"/>
                <w:color w:val="auto"/>
                <w:kern w:val="0"/>
                <w:sz w:val="24"/>
                <w:highlight w:val="none"/>
                <w:lang w:eastAsia="en-US"/>
              </w:rPr>
              <w:t>合格证</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4"/>
                <w:highlight w:val="none"/>
                <w:lang w:eastAsia="en-US"/>
              </w:rPr>
            </w:pPr>
            <w:r>
              <w:rPr>
                <w:rFonts w:hint="default" w:ascii="Times New Roman" w:hAnsi="Times New Roman" w:cs="Times New Roman" w:eastAsiaTheme="minorEastAsia"/>
                <w:color w:val="auto"/>
                <w:kern w:val="0"/>
                <w:sz w:val="24"/>
                <w:highlight w:val="none"/>
                <w:lang w:eastAsia="en-US"/>
              </w:rPr>
              <w:t>说明书</w:t>
            </w:r>
          </w:p>
        </w:tc>
        <w:tc>
          <w:tcPr>
            <w:tcW w:w="815"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4"/>
                <w:highlight w:val="none"/>
                <w:lang w:eastAsia="en-US"/>
              </w:rPr>
            </w:pPr>
            <w:r>
              <w:rPr>
                <w:rFonts w:hint="default" w:ascii="Times New Roman" w:hAnsi="Times New Roman" w:cs="Times New Roman" w:eastAsiaTheme="minorEastAsia"/>
                <w:color w:val="auto"/>
                <w:kern w:val="0"/>
                <w:sz w:val="24"/>
                <w:highlight w:val="none"/>
                <w:lang w:eastAsia="en-US"/>
              </w:rPr>
              <w:t>出厂检验报告</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4"/>
                <w:highlight w:val="none"/>
                <w:lang w:eastAsia="en-US"/>
              </w:rPr>
            </w:pPr>
            <w:r>
              <w:rPr>
                <w:rFonts w:hint="default" w:ascii="Times New Roman" w:hAnsi="Times New Roman" w:cs="Times New Roman" w:eastAsiaTheme="minorEastAsia"/>
                <w:color w:val="auto"/>
                <w:kern w:val="0"/>
                <w:sz w:val="24"/>
                <w:highlight w:val="none"/>
                <w:lang w:eastAsia="en-US"/>
              </w:rPr>
              <w:t>图纸</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4"/>
                <w:highlight w:val="none"/>
                <w:lang w:eastAsia="en-US"/>
              </w:rPr>
            </w:pPr>
            <w:r>
              <w:rPr>
                <w:rFonts w:hint="default" w:ascii="Times New Roman" w:hAnsi="Times New Roman" w:cs="Times New Roman" w:eastAsiaTheme="minorEastAsia"/>
                <w:color w:val="auto"/>
                <w:kern w:val="0"/>
                <w:sz w:val="24"/>
                <w:highlight w:val="none"/>
                <w:lang w:eastAsia="en-US"/>
              </w:rPr>
              <w:t>防爆 证书</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4"/>
                <w:highlight w:val="none"/>
                <w:lang w:eastAsia="en-US"/>
              </w:rPr>
            </w:pPr>
            <w:r>
              <w:rPr>
                <w:rFonts w:hint="default" w:ascii="Times New Roman" w:hAnsi="Times New Roman" w:cs="Times New Roman" w:eastAsiaTheme="minorEastAsia"/>
                <w:color w:val="auto"/>
                <w:kern w:val="0"/>
                <w:sz w:val="24"/>
                <w:highlight w:val="none"/>
                <w:lang w:eastAsia="en-US"/>
              </w:rPr>
              <w:t>船检 证书</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4"/>
                <w:highlight w:val="none"/>
                <w:lang w:eastAsia="en-US"/>
              </w:rPr>
            </w:pPr>
            <w:r>
              <w:rPr>
                <w:rFonts w:hint="default" w:ascii="Times New Roman" w:hAnsi="Times New Roman" w:cs="Times New Roman" w:eastAsiaTheme="minorEastAsia"/>
                <w:color w:val="auto"/>
                <w:kern w:val="0"/>
                <w:sz w:val="24"/>
                <w:highlight w:val="none"/>
                <w:lang w:eastAsia="en-US"/>
              </w:rPr>
              <w:t>标定证书</w:t>
            </w:r>
          </w:p>
        </w:tc>
        <w:tc>
          <w:tcPr>
            <w:tcW w:w="653"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4"/>
                <w:highlight w:val="none"/>
                <w:lang w:eastAsia="en-US"/>
              </w:rPr>
            </w:pPr>
            <w:r>
              <w:rPr>
                <w:rFonts w:hint="default" w:ascii="Times New Roman" w:hAnsi="Times New Roman" w:cs="Times New Roman" w:eastAsiaTheme="minorEastAsia"/>
                <w:color w:val="auto"/>
                <w:kern w:val="0"/>
                <w:sz w:val="24"/>
                <w:highlight w:val="none"/>
                <w:lang w:eastAsia="en-US"/>
              </w:rPr>
              <w:t>材质证明</w:t>
            </w:r>
          </w:p>
        </w:tc>
        <w:tc>
          <w:tcPr>
            <w:tcW w:w="97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4"/>
                <w:highlight w:val="none"/>
                <w:lang w:eastAsia="en-US"/>
              </w:rPr>
            </w:pPr>
            <w:r>
              <w:rPr>
                <w:rFonts w:hint="default" w:ascii="Times New Roman" w:hAnsi="Times New Roman" w:cs="Times New Roman" w:eastAsiaTheme="minorEastAsia"/>
                <w:color w:val="auto"/>
                <w:kern w:val="0"/>
                <w:sz w:val="24"/>
                <w:highlight w:val="none"/>
                <w:lang w:eastAsia="en-US"/>
              </w:rPr>
              <w:t>备注</w:t>
            </w:r>
          </w:p>
        </w:tc>
      </w:tr>
      <w:tr>
        <w:tblPrEx>
          <w:tblCellMar>
            <w:top w:w="0" w:type="dxa"/>
            <w:left w:w="108" w:type="dxa"/>
            <w:bottom w:w="0" w:type="dxa"/>
            <w:right w:w="108" w:type="dxa"/>
          </w:tblCellMar>
        </w:tblPrEx>
        <w:trPr>
          <w:trHeight w:val="729" w:hRule="atLeast"/>
        </w:trPr>
        <w:tc>
          <w:tcPr>
            <w:tcW w:w="466" w:type="dxa"/>
            <w:vMerge w:val="restart"/>
            <w:tcBorders>
              <w:top w:val="single" w:color="auto" w:sz="4" w:space="0"/>
              <w:left w:val="single" w:color="auto" w:sz="4" w:space="0"/>
              <w:right w:val="single" w:color="auto" w:sz="4" w:space="0"/>
            </w:tcBorders>
            <w:shd w:val="clear" w:color="auto" w:fill="auto"/>
            <w:vAlign w:val="center"/>
          </w:tcPr>
          <w:p>
            <w:pPr>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原材料</w:t>
            </w:r>
          </w:p>
        </w:tc>
        <w:tc>
          <w:tcPr>
            <w:tcW w:w="466" w:type="dxa"/>
            <w:vMerge w:val="restart"/>
            <w:tcBorders>
              <w:top w:val="single" w:color="auto" w:sz="4" w:space="0"/>
              <w:left w:val="single" w:color="auto" w:sz="4" w:space="0"/>
              <w:right w:val="single" w:color="auto" w:sz="4" w:space="0"/>
            </w:tcBorders>
            <w:shd w:val="clear" w:color="auto" w:fill="auto"/>
            <w:vAlign w:val="center"/>
          </w:tcPr>
          <w:p>
            <w:pPr>
              <w:jc w:val="left"/>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潜油</w:t>
            </w:r>
            <w:r>
              <w:rPr>
                <w:rFonts w:hint="default" w:ascii="Times New Roman" w:hAnsi="Times New Roman" w:cs="Times New Roman" w:eastAsiaTheme="minorEastAsia"/>
                <w:color w:val="auto"/>
                <w:kern w:val="0"/>
                <w:sz w:val="22"/>
                <w:highlight w:val="none"/>
                <w:lang w:eastAsia="zh-CN"/>
              </w:rPr>
              <w:t>永磁同步</w:t>
            </w:r>
            <w:r>
              <w:rPr>
                <w:rFonts w:hint="default" w:ascii="Times New Roman" w:hAnsi="Times New Roman" w:cs="Times New Roman" w:eastAsiaTheme="minorEastAsia"/>
                <w:color w:val="auto"/>
                <w:kern w:val="0"/>
                <w:sz w:val="22"/>
                <w:highlight w:val="none"/>
                <w:lang w:eastAsia="en-US"/>
              </w:rPr>
              <w:t>电机</w:t>
            </w:r>
          </w:p>
        </w:tc>
        <w:tc>
          <w:tcPr>
            <w:tcW w:w="466" w:type="dxa"/>
            <w:vMerge w:val="restart"/>
            <w:tcBorders>
              <w:top w:val="single" w:color="auto" w:sz="4" w:space="0"/>
              <w:left w:val="single" w:color="auto" w:sz="4" w:space="0"/>
              <w:right w:val="single" w:color="auto" w:sz="4" w:space="0"/>
            </w:tcBorders>
            <w:shd w:val="clear" w:color="auto" w:fill="auto"/>
            <w:vAlign w:val="center"/>
          </w:tcPr>
          <w:p>
            <w:pPr>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A类</w:t>
            </w:r>
          </w:p>
        </w:tc>
        <w:tc>
          <w:tcPr>
            <w:tcW w:w="672" w:type="dxa"/>
            <w:tcBorders>
              <w:top w:val="single" w:color="auto" w:sz="4" w:space="0"/>
              <w:left w:val="nil"/>
              <w:bottom w:val="single" w:color="auto" w:sz="4" w:space="0"/>
              <w:right w:val="single" w:color="auto" w:sz="4" w:space="0"/>
            </w:tcBorders>
            <w:shd w:val="clear" w:color="auto" w:fill="auto"/>
            <w:noWrap/>
            <w:vAlign w:val="center"/>
          </w:tcPr>
          <w:p>
            <w:pPr>
              <w:widowControl/>
              <w:numPr>
                <w:ilvl w:val="0"/>
                <w:numId w:val="0"/>
              </w:numPr>
              <w:overflowPunct w:val="0"/>
              <w:autoSpaceDE w:val="0"/>
              <w:autoSpaceDN w:val="0"/>
              <w:adjustRightInd w:val="0"/>
              <w:spacing w:line="360" w:lineRule="auto"/>
              <w:ind w:left="0" w:leftChars="0" w:firstLine="210" w:firstLineChars="100"/>
              <w:jc w:val="both"/>
              <w:textAlignment w:val="baseline"/>
              <w:rPr>
                <w:rFonts w:hint="default" w:ascii="Times New Roman" w:hAnsi="Times New Roman" w:eastAsia="微软雅黑" w:cs="Times New Roman"/>
                <w:color w:val="auto"/>
                <w:sz w:val="22"/>
                <w:szCs w:val="22"/>
                <w:highlight w:val="none"/>
                <w:lang w:val="en-GB" w:eastAsia="nb-NO" w:bidi="ar"/>
              </w:rPr>
            </w:pPr>
            <w:r>
              <w:rPr>
                <w:rFonts w:hint="default" w:ascii="Times New Roman" w:hAnsi="Times New Roman" w:eastAsia="微软雅黑" w:cs="Times New Roman"/>
                <w:color w:val="auto"/>
                <w:sz w:val="21"/>
                <w:szCs w:val="21"/>
                <w:highlight w:val="none"/>
                <w:lang w:val="en-US" w:eastAsia="zh-CN" w:bidi="ar"/>
              </w:rPr>
              <w:t>1</w:t>
            </w:r>
          </w:p>
        </w:tc>
        <w:tc>
          <w:tcPr>
            <w:tcW w:w="2064" w:type="dxa"/>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eastAsiaTheme="minorEastAsia"/>
                <w:color w:val="auto"/>
                <w:kern w:val="0"/>
                <w:sz w:val="18"/>
                <w:szCs w:val="18"/>
                <w:highlight w:val="none"/>
                <w:lang w:eastAsia="en-US"/>
              </w:rPr>
            </w:pPr>
            <w:r>
              <w:rPr>
                <w:rFonts w:hint="default" w:ascii="Times New Roman" w:hAnsi="Times New Roman" w:eastAsia="宋体" w:cs="Times New Roman"/>
                <w:color w:val="auto"/>
                <w:kern w:val="0"/>
                <w:sz w:val="18"/>
                <w:szCs w:val="18"/>
                <w:highlight w:val="none"/>
                <w:lang w:eastAsia="zh-CN" w:bidi="ar"/>
              </w:rPr>
              <w:t>潜油电机</w:t>
            </w:r>
          </w:p>
        </w:tc>
        <w:tc>
          <w:tcPr>
            <w:tcW w:w="978"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171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815"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491"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978"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r>
      <w:tr>
        <w:tblPrEx>
          <w:tblCellMar>
            <w:top w:w="0" w:type="dxa"/>
            <w:left w:w="108" w:type="dxa"/>
            <w:bottom w:w="0" w:type="dxa"/>
            <w:right w:w="108" w:type="dxa"/>
          </w:tblCellMar>
        </w:tblPrEx>
        <w:trPr>
          <w:trHeight w:val="692" w:hRule="atLeast"/>
        </w:trPr>
        <w:tc>
          <w:tcPr>
            <w:tcW w:w="466" w:type="dxa"/>
            <w:vMerge w:val="continue"/>
            <w:tcBorders>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466" w:type="dxa"/>
            <w:vMerge w:val="continue"/>
            <w:tcBorders>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466" w:type="dxa"/>
            <w:vMerge w:val="continue"/>
            <w:tcBorders>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72" w:type="dxa"/>
            <w:tcBorders>
              <w:top w:val="single" w:color="auto" w:sz="4" w:space="0"/>
              <w:left w:val="nil"/>
              <w:bottom w:val="single" w:color="auto" w:sz="4" w:space="0"/>
              <w:right w:val="single" w:color="auto" w:sz="4" w:space="0"/>
            </w:tcBorders>
            <w:shd w:val="clear" w:color="auto" w:fill="auto"/>
            <w:noWrap/>
            <w:vAlign w:val="center"/>
          </w:tcPr>
          <w:p>
            <w:pPr>
              <w:widowControl/>
              <w:numPr>
                <w:ilvl w:val="0"/>
                <w:numId w:val="0"/>
              </w:numPr>
              <w:overflowPunct w:val="0"/>
              <w:autoSpaceDE w:val="0"/>
              <w:autoSpaceDN w:val="0"/>
              <w:adjustRightInd w:val="0"/>
              <w:spacing w:line="360" w:lineRule="auto"/>
              <w:ind w:left="0" w:leftChars="0" w:firstLine="210" w:firstLineChars="100"/>
              <w:jc w:val="both"/>
              <w:textAlignment w:val="baseline"/>
              <w:rPr>
                <w:rFonts w:hint="default" w:ascii="Times New Roman" w:hAnsi="Times New Roman" w:eastAsia="微软雅黑" w:cs="Times New Roman"/>
                <w:color w:val="auto"/>
                <w:sz w:val="22"/>
                <w:szCs w:val="22"/>
                <w:highlight w:val="none"/>
                <w:lang w:val="en-GB" w:eastAsia="nb-NO" w:bidi="ar"/>
              </w:rPr>
            </w:pPr>
            <w:r>
              <w:rPr>
                <w:rFonts w:hint="default" w:ascii="Times New Roman" w:hAnsi="Times New Roman" w:eastAsia="微软雅黑" w:cs="Times New Roman"/>
                <w:color w:val="auto"/>
                <w:sz w:val="21"/>
                <w:szCs w:val="21"/>
                <w:highlight w:val="none"/>
                <w:lang w:val="en-US" w:eastAsia="zh-CN" w:bidi="ar"/>
              </w:rPr>
              <w:t>2</w:t>
            </w:r>
          </w:p>
        </w:tc>
        <w:tc>
          <w:tcPr>
            <w:tcW w:w="2064" w:type="dxa"/>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eastAsiaTheme="minorEastAsia"/>
                <w:color w:val="auto"/>
                <w:kern w:val="0"/>
                <w:sz w:val="18"/>
                <w:szCs w:val="18"/>
                <w:highlight w:val="none"/>
                <w:lang w:eastAsia="en-US"/>
              </w:rPr>
            </w:pPr>
            <w:r>
              <w:rPr>
                <w:rFonts w:hint="default" w:ascii="Times New Roman" w:hAnsi="Times New Roman" w:eastAsia="宋体" w:cs="Times New Roman"/>
                <w:color w:val="auto"/>
                <w:kern w:val="0"/>
                <w:sz w:val="18"/>
                <w:szCs w:val="18"/>
                <w:highlight w:val="none"/>
                <w:lang w:eastAsia="zh-CN" w:bidi="ar"/>
              </w:rPr>
              <w:t>潜油引接电缆</w:t>
            </w:r>
          </w:p>
        </w:tc>
        <w:tc>
          <w:tcPr>
            <w:tcW w:w="978"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171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815"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491"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978"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r>
      <w:tr>
        <w:tblPrEx>
          <w:tblCellMar>
            <w:top w:w="0" w:type="dxa"/>
            <w:left w:w="108" w:type="dxa"/>
            <w:bottom w:w="0" w:type="dxa"/>
            <w:right w:w="108" w:type="dxa"/>
          </w:tblCellMar>
        </w:tblPrEx>
        <w:trPr>
          <w:trHeight w:val="692" w:hRule="atLeast"/>
        </w:trPr>
        <w:tc>
          <w:tcPr>
            <w:tcW w:w="466" w:type="dxa"/>
            <w:vMerge w:val="continue"/>
            <w:tcBorders>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466" w:type="dxa"/>
            <w:vMerge w:val="continue"/>
            <w:tcBorders>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466" w:type="dxa"/>
            <w:vMerge w:val="continue"/>
            <w:tcBorders>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72" w:type="dxa"/>
            <w:tcBorders>
              <w:top w:val="single" w:color="auto" w:sz="4" w:space="0"/>
              <w:left w:val="nil"/>
              <w:bottom w:val="single" w:color="auto" w:sz="4" w:space="0"/>
              <w:right w:val="single" w:color="auto" w:sz="4" w:space="0"/>
            </w:tcBorders>
            <w:shd w:val="clear" w:color="auto" w:fill="auto"/>
            <w:noWrap/>
            <w:vAlign w:val="center"/>
          </w:tcPr>
          <w:p>
            <w:pPr>
              <w:widowControl/>
              <w:numPr>
                <w:ilvl w:val="0"/>
                <w:numId w:val="0"/>
              </w:numPr>
              <w:overflowPunct w:val="0"/>
              <w:autoSpaceDE w:val="0"/>
              <w:autoSpaceDN w:val="0"/>
              <w:adjustRightInd w:val="0"/>
              <w:spacing w:line="360" w:lineRule="auto"/>
              <w:ind w:left="0" w:leftChars="0" w:firstLine="210" w:firstLineChars="100"/>
              <w:jc w:val="both"/>
              <w:textAlignment w:val="baseline"/>
              <w:rPr>
                <w:rFonts w:hint="default" w:ascii="Times New Roman" w:hAnsi="Times New Roman" w:eastAsia="微软雅黑" w:cs="Times New Roman"/>
                <w:color w:val="auto"/>
                <w:sz w:val="22"/>
                <w:szCs w:val="22"/>
                <w:highlight w:val="none"/>
                <w:lang w:val="en-GB" w:eastAsia="nb-NO" w:bidi="ar"/>
              </w:rPr>
            </w:pPr>
            <w:r>
              <w:rPr>
                <w:rFonts w:hint="default" w:ascii="Times New Roman" w:hAnsi="Times New Roman" w:eastAsia="微软雅黑" w:cs="Times New Roman"/>
                <w:color w:val="auto"/>
                <w:sz w:val="21"/>
                <w:szCs w:val="21"/>
                <w:highlight w:val="none"/>
                <w:lang w:val="en-US" w:eastAsia="zh-CN" w:bidi="ar"/>
              </w:rPr>
              <w:t>3</w:t>
            </w:r>
          </w:p>
        </w:tc>
        <w:tc>
          <w:tcPr>
            <w:tcW w:w="2064" w:type="dxa"/>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eastAsiaTheme="minorEastAsia"/>
                <w:color w:val="auto"/>
                <w:kern w:val="0"/>
                <w:sz w:val="18"/>
                <w:szCs w:val="18"/>
                <w:highlight w:val="none"/>
                <w:lang w:eastAsia="en-US"/>
              </w:rPr>
            </w:pPr>
            <w:r>
              <w:rPr>
                <w:rFonts w:hint="default" w:ascii="Times New Roman" w:hAnsi="Times New Roman" w:eastAsia="宋体" w:cs="Times New Roman"/>
                <w:color w:val="auto"/>
                <w:kern w:val="0"/>
                <w:sz w:val="18"/>
                <w:szCs w:val="18"/>
                <w:highlight w:val="none"/>
                <w:lang w:eastAsia="zh-CN" w:bidi="ar"/>
              </w:rPr>
              <w:t>潜油保护器</w:t>
            </w:r>
          </w:p>
        </w:tc>
        <w:tc>
          <w:tcPr>
            <w:tcW w:w="978"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1712"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815"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491"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978"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r>
      <w:tr>
        <w:tblPrEx>
          <w:tblCellMar>
            <w:top w:w="0" w:type="dxa"/>
            <w:left w:w="108" w:type="dxa"/>
            <w:bottom w:w="0" w:type="dxa"/>
            <w:right w:w="108" w:type="dxa"/>
          </w:tblCellMar>
        </w:tblPrEx>
        <w:trPr>
          <w:trHeight w:val="745" w:hRule="atLeast"/>
        </w:trPr>
        <w:tc>
          <w:tcPr>
            <w:tcW w:w="466" w:type="dxa"/>
            <w:vMerge w:val="continue"/>
            <w:tcBorders>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466" w:type="dxa"/>
            <w:vMerge w:val="continue"/>
            <w:tcBorders>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466" w:type="dxa"/>
            <w:vMerge w:val="continue"/>
            <w:tcBorders>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7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zh-CN"/>
              </w:rPr>
            </w:pPr>
            <w:r>
              <w:rPr>
                <w:rFonts w:hint="default" w:ascii="Times New Roman" w:hAnsi="Times New Roman" w:cs="Times New Roman" w:eastAsiaTheme="minorEastAsia"/>
                <w:color w:val="auto"/>
                <w:kern w:val="0"/>
                <w:sz w:val="21"/>
                <w:szCs w:val="21"/>
                <w:highlight w:val="none"/>
                <w:lang w:eastAsia="zh-CN"/>
              </w:rPr>
              <w:t>4</w:t>
            </w:r>
          </w:p>
        </w:tc>
        <w:tc>
          <w:tcPr>
            <w:tcW w:w="2064" w:type="dxa"/>
            <w:tcBorders>
              <w:top w:val="single" w:color="auto" w:sz="4" w:space="0"/>
              <w:left w:val="nil"/>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eastAsiaTheme="minorEastAsia"/>
                <w:color w:val="auto"/>
                <w:kern w:val="0"/>
                <w:sz w:val="18"/>
                <w:szCs w:val="18"/>
                <w:highlight w:val="none"/>
                <w:lang w:eastAsia="en-US"/>
              </w:rPr>
            </w:pPr>
            <w:r>
              <w:rPr>
                <w:rFonts w:hint="default" w:ascii="Times New Roman" w:hAnsi="Times New Roman" w:eastAsia="宋体" w:cs="Times New Roman"/>
                <w:color w:val="auto"/>
                <w:kern w:val="0"/>
                <w:sz w:val="18"/>
                <w:szCs w:val="18"/>
                <w:highlight w:val="none"/>
                <w:lang w:eastAsia="zh-CN" w:bidi="ar"/>
              </w:rPr>
              <w:t>扭矩连接轴</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171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81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49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r>
      <w:tr>
        <w:tblPrEx>
          <w:tblCellMar>
            <w:top w:w="0" w:type="dxa"/>
            <w:left w:w="108" w:type="dxa"/>
            <w:bottom w:w="0" w:type="dxa"/>
            <w:right w:w="108" w:type="dxa"/>
          </w:tblCellMar>
        </w:tblPrEx>
        <w:trPr>
          <w:trHeight w:val="745" w:hRule="atLeast"/>
        </w:trPr>
        <w:tc>
          <w:tcPr>
            <w:tcW w:w="466" w:type="dxa"/>
            <w:vMerge w:val="continue"/>
            <w:tcBorders>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466" w:type="dxa"/>
            <w:vMerge w:val="continue"/>
            <w:tcBorders>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466" w:type="dxa"/>
            <w:tcBorders>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7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zh-CN"/>
              </w:rPr>
            </w:pPr>
            <w:r>
              <w:rPr>
                <w:rFonts w:hint="default" w:ascii="Times New Roman" w:hAnsi="Times New Roman" w:cs="Times New Roman" w:eastAsiaTheme="minorEastAsia"/>
                <w:color w:val="auto"/>
                <w:kern w:val="0"/>
                <w:sz w:val="21"/>
                <w:szCs w:val="21"/>
                <w:highlight w:val="none"/>
                <w:lang w:eastAsia="zh-CN"/>
              </w:rPr>
              <w:t>5</w:t>
            </w:r>
          </w:p>
        </w:tc>
        <w:tc>
          <w:tcPr>
            <w:tcW w:w="2064" w:type="dxa"/>
            <w:tcBorders>
              <w:top w:val="single" w:color="auto" w:sz="4" w:space="0"/>
              <w:left w:val="nil"/>
              <w:bottom w:val="single" w:color="auto" w:sz="4" w:space="0"/>
              <w:right w:val="single" w:color="auto" w:sz="4" w:space="0"/>
            </w:tcBorders>
            <w:shd w:val="clear" w:color="auto" w:fill="auto"/>
            <w:noWrap/>
            <w:vAlign w:val="center"/>
          </w:tcPr>
          <w:p>
            <w:pPr>
              <w:widowControl/>
              <w:jc w:val="both"/>
              <w:textAlignment w:val="center"/>
              <w:rPr>
                <w:rFonts w:hint="default" w:ascii="Times New Roman" w:hAnsi="Times New Roman" w:cs="Times New Roman" w:eastAsiaTheme="minorEastAsia"/>
                <w:color w:val="auto"/>
                <w:kern w:val="0"/>
                <w:sz w:val="22"/>
                <w:highlight w:val="none"/>
                <w:lang w:eastAsia="zh-CN"/>
              </w:rPr>
            </w:pPr>
            <w:r>
              <w:rPr>
                <w:rFonts w:hint="default" w:ascii="Times New Roman" w:hAnsi="Times New Roman" w:eastAsia="宋体" w:cs="Times New Roman"/>
                <w:color w:val="auto"/>
                <w:kern w:val="0"/>
                <w:sz w:val="18"/>
                <w:szCs w:val="18"/>
                <w:highlight w:val="none"/>
                <w:lang w:eastAsia="zh-CN" w:bidi="ar"/>
              </w:rPr>
              <w:t>450系列永磁</w:t>
            </w:r>
            <w:r>
              <w:rPr>
                <w:rFonts w:hint="default" w:ascii="Times New Roman" w:hAnsi="Times New Roman" w:eastAsia="宋体" w:cs="Times New Roman"/>
                <w:color w:val="auto"/>
                <w:kern w:val="0"/>
                <w:sz w:val="18"/>
                <w:szCs w:val="18"/>
                <w:highlight w:val="none"/>
                <w:lang w:val="en-US" w:eastAsia="zh-CN" w:bidi="ar"/>
              </w:rPr>
              <w:t>高转速电机转子总成</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171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81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49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r>
      <w:tr>
        <w:tblPrEx>
          <w:tblCellMar>
            <w:top w:w="0" w:type="dxa"/>
            <w:left w:w="108" w:type="dxa"/>
            <w:bottom w:w="0" w:type="dxa"/>
            <w:right w:w="108" w:type="dxa"/>
          </w:tblCellMar>
        </w:tblPrEx>
        <w:trPr>
          <w:trHeight w:val="745" w:hRule="atLeast"/>
        </w:trPr>
        <w:tc>
          <w:tcPr>
            <w:tcW w:w="466" w:type="dxa"/>
            <w:vMerge w:val="continue"/>
            <w:tcBorders>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466" w:type="dxa"/>
            <w:vMerge w:val="continue"/>
            <w:tcBorders>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466" w:type="dxa"/>
            <w:tcBorders>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7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zh-CN"/>
              </w:rPr>
            </w:pPr>
            <w:r>
              <w:rPr>
                <w:rFonts w:hint="default" w:ascii="Times New Roman" w:hAnsi="Times New Roman" w:cs="Times New Roman" w:eastAsiaTheme="minorEastAsia"/>
                <w:color w:val="auto"/>
                <w:kern w:val="0"/>
                <w:sz w:val="21"/>
                <w:szCs w:val="21"/>
                <w:highlight w:val="none"/>
                <w:lang w:eastAsia="zh-CN"/>
              </w:rPr>
              <w:t>6</w:t>
            </w:r>
          </w:p>
        </w:tc>
        <w:tc>
          <w:tcPr>
            <w:tcW w:w="2064" w:type="dxa"/>
            <w:tcBorders>
              <w:top w:val="single" w:color="auto" w:sz="4" w:space="0"/>
              <w:left w:val="nil"/>
              <w:bottom w:val="single" w:color="auto" w:sz="4" w:space="0"/>
              <w:right w:val="single" w:color="auto" w:sz="4" w:space="0"/>
            </w:tcBorders>
            <w:shd w:val="clear" w:color="auto" w:fill="auto"/>
            <w:noWrap/>
            <w:vAlign w:val="center"/>
          </w:tcPr>
          <w:p>
            <w:pPr>
              <w:widowControl/>
              <w:jc w:val="both"/>
              <w:textAlignment w:val="center"/>
              <w:rPr>
                <w:rFonts w:hint="default" w:ascii="Times New Roman" w:hAnsi="Times New Roman" w:cs="Times New Roman" w:eastAsiaTheme="minorEastAsia"/>
                <w:color w:val="auto"/>
                <w:kern w:val="0"/>
                <w:sz w:val="22"/>
                <w:highlight w:val="none"/>
                <w:lang w:eastAsia="zh-CN"/>
              </w:rPr>
            </w:pPr>
            <w:r>
              <w:rPr>
                <w:rFonts w:hint="default" w:ascii="Times New Roman" w:hAnsi="Times New Roman" w:eastAsia="宋体" w:cs="Times New Roman"/>
                <w:color w:val="auto"/>
                <w:kern w:val="0"/>
                <w:sz w:val="18"/>
                <w:szCs w:val="18"/>
                <w:highlight w:val="none"/>
                <w:lang w:eastAsia="zh-CN" w:bidi="ar"/>
              </w:rPr>
              <w:t>450系列永磁</w:t>
            </w:r>
            <w:r>
              <w:rPr>
                <w:rFonts w:hint="default" w:ascii="Times New Roman" w:hAnsi="Times New Roman" w:eastAsia="宋体" w:cs="Times New Roman"/>
                <w:color w:val="auto"/>
                <w:kern w:val="0"/>
                <w:sz w:val="18"/>
                <w:szCs w:val="18"/>
                <w:highlight w:val="none"/>
                <w:lang w:val="en-US" w:eastAsia="zh-CN" w:bidi="ar"/>
              </w:rPr>
              <w:t>高速</w:t>
            </w:r>
            <w:r>
              <w:rPr>
                <w:rFonts w:hint="default" w:ascii="Times New Roman" w:hAnsi="Times New Roman" w:eastAsia="宋体" w:cs="Times New Roman"/>
                <w:color w:val="auto"/>
                <w:kern w:val="0"/>
                <w:sz w:val="18"/>
                <w:szCs w:val="18"/>
                <w:highlight w:val="none"/>
                <w:lang w:eastAsia="zh-CN" w:bidi="ar"/>
              </w:rPr>
              <w:t>电机定子片</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171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81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49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r>
      <w:tr>
        <w:tblPrEx>
          <w:tblCellMar>
            <w:top w:w="0" w:type="dxa"/>
            <w:left w:w="108" w:type="dxa"/>
            <w:bottom w:w="0" w:type="dxa"/>
            <w:right w:w="108" w:type="dxa"/>
          </w:tblCellMar>
        </w:tblPrEx>
        <w:trPr>
          <w:trHeight w:val="745" w:hRule="atLeast"/>
        </w:trPr>
        <w:tc>
          <w:tcPr>
            <w:tcW w:w="466" w:type="dxa"/>
            <w:tcBorders>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466" w:type="dxa"/>
            <w:tcBorders>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466" w:type="dxa"/>
            <w:tcBorders>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7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val="en-US" w:eastAsia="zh-CN"/>
              </w:rPr>
            </w:pPr>
            <w:r>
              <w:rPr>
                <w:rFonts w:hint="default" w:ascii="Times New Roman" w:hAnsi="Times New Roman" w:cs="Times New Roman" w:eastAsiaTheme="minorEastAsia"/>
                <w:color w:val="auto"/>
                <w:kern w:val="0"/>
                <w:sz w:val="21"/>
                <w:szCs w:val="21"/>
                <w:highlight w:val="none"/>
                <w:lang w:val="en-US" w:eastAsia="zh-CN"/>
              </w:rPr>
              <w:t>7</w:t>
            </w:r>
          </w:p>
        </w:tc>
        <w:tc>
          <w:tcPr>
            <w:tcW w:w="2064" w:type="dxa"/>
            <w:tcBorders>
              <w:top w:val="single" w:color="auto" w:sz="4" w:space="0"/>
              <w:left w:val="nil"/>
              <w:bottom w:val="single" w:color="auto" w:sz="4" w:space="0"/>
              <w:right w:val="single" w:color="auto" w:sz="4" w:space="0"/>
            </w:tcBorders>
            <w:shd w:val="clear" w:color="auto" w:fill="auto"/>
            <w:noWrap/>
            <w:vAlign w:val="center"/>
          </w:tcPr>
          <w:p>
            <w:pPr>
              <w:widowControl/>
              <w:jc w:val="both"/>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562</w:t>
            </w:r>
            <w:r>
              <w:rPr>
                <w:rFonts w:hint="default" w:ascii="Times New Roman" w:hAnsi="Times New Roman" w:eastAsia="宋体" w:cs="Times New Roman"/>
                <w:color w:val="auto"/>
                <w:kern w:val="0"/>
                <w:sz w:val="18"/>
                <w:szCs w:val="18"/>
                <w:highlight w:val="none"/>
                <w:lang w:eastAsia="zh-CN" w:bidi="ar"/>
              </w:rPr>
              <w:t>系列永磁</w:t>
            </w:r>
            <w:r>
              <w:rPr>
                <w:rFonts w:hint="default" w:ascii="Times New Roman" w:hAnsi="Times New Roman" w:eastAsia="宋体" w:cs="Times New Roman"/>
                <w:color w:val="auto"/>
                <w:kern w:val="0"/>
                <w:sz w:val="18"/>
                <w:szCs w:val="18"/>
                <w:highlight w:val="none"/>
                <w:lang w:val="en-US" w:eastAsia="zh-CN" w:bidi="ar"/>
              </w:rPr>
              <w:t>高转速电机转子总成</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171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81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49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r>
      <w:tr>
        <w:tblPrEx>
          <w:tblCellMar>
            <w:top w:w="0" w:type="dxa"/>
            <w:left w:w="108" w:type="dxa"/>
            <w:bottom w:w="0" w:type="dxa"/>
            <w:right w:w="108" w:type="dxa"/>
          </w:tblCellMar>
        </w:tblPrEx>
        <w:trPr>
          <w:trHeight w:val="745" w:hRule="atLeast"/>
        </w:trPr>
        <w:tc>
          <w:tcPr>
            <w:tcW w:w="466" w:type="dxa"/>
            <w:tcBorders>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466" w:type="dxa"/>
            <w:tcBorders>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466" w:type="dxa"/>
            <w:tcBorders>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7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val="en-US" w:eastAsia="zh-CN"/>
              </w:rPr>
            </w:pPr>
            <w:r>
              <w:rPr>
                <w:rFonts w:hint="default" w:ascii="Times New Roman" w:hAnsi="Times New Roman" w:cs="Times New Roman" w:eastAsiaTheme="minorEastAsia"/>
                <w:color w:val="auto"/>
                <w:kern w:val="0"/>
                <w:sz w:val="21"/>
                <w:szCs w:val="21"/>
                <w:highlight w:val="none"/>
                <w:lang w:val="en-US" w:eastAsia="zh-CN"/>
              </w:rPr>
              <w:t>8</w:t>
            </w:r>
          </w:p>
        </w:tc>
        <w:tc>
          <w:tcPr>
            <w:tcW w:w="2064" w:type="dxa"/>
            <w:tcBorders>
              <w:top w:val="single" w:color="auto" w:sz="4" w:space="0"/>
              <w:left w:val="nil"/>
              <w:bottom w:val="single" w:color="auto" w:sz="4" w:space="0"/>
              <w:right w:val="single" w:color="auto" w:sz="4" w:space="0"/>
            </w:tcBorders>
            <w:shd w:val="clear" w:color="auto" w:fill="auto"/>
            <w:noWrap/>
            <w:vAlign w:val="center"/>
          </w:tcPr>
          <w:p>
            <w:pPr>
              <w:widowControl/>
              <w:jc w:val="both"/>
              <w:textAlignment w:val="center"/>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562</w:t>
            </w:r>
            <w:r>
              <w:rPr>
                <w:rFonts w:hint="default" w:ascii="Times New Roman" w:hAnsi="Times New Roman" w:eastAsia="宋体" w:cs="Times New Roman"/>
                <w:color w:val="auto"/>
                <w:kern w:val="0"/>
                <w:sz w:val="18"/>
                <w:szCs w:val="18"/>
                <w:highlight w:val="none"/>
                <w:lang w:eastAsia="zh-CN" w:bidi="ar"/>
              </w:rPr>
              <w:t>系列永磁</w:t>
            </w:r>
            <w:r>
              <w:rPr>
                <w:rFonts w:hint="default" w:ascii="Times New Roman" w:hAnsi="Times New Roman" w:eastAsia="宋体" w:cs="Times New Roman"/>
                <w:color w:val="auto"/>
                <w:kern w:val="0"/>
                <w:sz w:val="18"/>
                <w:szCs w:val="18"/>
                <w:highlight w:val="none"/>
                <w:lang w:val="en-US" w:eastAsia="zh-CN" w:bidi="ar"/>
              </w:rPr>
              <w:t>高速</w:t>
            </w:r>
            <w:r>
              <w:rPr>
                <w:rFonts w:hint="default" w:ascii="Times New Roman" w:hAnsi="Times New Roman" w:eastAsia="宋体" w:cs="Times New Roman"/>
                <w:color w:val="auto"/>
                <w:kern w:val="0"/>
                <w:sz w:val="18"/>
                <w:szCs w:val="18"/>
                <w:highlight w:val="none"/>
                <w:lang w:eastAsia="zh-CN" w:bidi="ar"/>
              </w:rPr>
              <w:t>电机定子片</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171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81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49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c>
          <w:tcPr>
            <w:tcW w:w="65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r>
              <w:rPr>
                <w:rFonts w:hint="default" w:ascii="Times New Roman" w:hAnsi="Times New Roman" w:cs="Times New Roman" w:eastAsiaTheme="minorEastAsia"/>
                <w:color w:val="auto"/>
                <w:kern w:val="0"/>
                <w:sz w:val="22"/>
                <w:highlight w:val="none"/>
                <w:lang w:eastAsia="en-US"/>
              </w:rPr>
              <w:t>√</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color w:val="auto"/>
                <w:kern w:val="0"/>
                <w:sz w:val="22"/>
                <w:highlight w:val="none"/>
                <w:lang w:eastAsia="en-US"/>
              </w:rPr>
            </w:pPr>
          </w:p>
        </w:tc>
      </w:tr>
    </w:tbl>
    <w:p>
      <w:pPr>
        <w:jc w:val="both"/>
        <w:rPr>
          <w:rFonts w:asciiTheme="minorHAnsi" w:hAnsiTheme="minorHAnsi" w:eastAsiaTheme="minorEastAsia" w:cstheme="minorBidi"/>
          <w:color w:val="auto"/>
          <w:kern w:val="2"/>
          <w:sz w:val="21"/>
          <w:highlight w:val="none"/>
          <w:lang w:eastAsia="zh-CN"/>
        </w:rPr>
      </w:pPr>
    </w:p>
    <w:p>
      <w:pPr>
        <w:keepNext/>
        <w:keepLines/>
        <w:widowControl w:val="0"/>
        <w:spacing w:before="240" w:after="240" w:line="578" w:lineRule="auto"/>
        <w:jc w:val="both"/>
        <w:outlineLvl w:val="0"/>
        <w:rPr>
          <w:rStyle w:val="13"/>
          <w:rFonts w:hint="eastAsia" w:eastAsia="黑体" w:cs="Times New Roman" w:asciiTheme="minorEastAsia" w:hAnsiTheme="minorEastAsia"/>
          <w:b/>
          <w:bCs/>
          <w:kern w:val="44"/>
          <w:sz w:val="32"/>
          <w:szCs w:val="32"/>
          <w:lang w:val="en-US" w:eastAsia="zh-CN" w:bidi="ar-SA"/>
        </w:rPr>
      </w:pPr>
      <w:r>
        <w:rPr>
          <w:rStyle w:val="13"/>
          <w:rFonts w:hint="eastAsia" w:eastAsia="黑体" w:cs="Times New Roman" w:asciiTheme="minorEastAsia" w:hAnsiTheme="minorEastAsia"/>
          <w:b/>
          <w:bCs/>
          <w:kern w:val="44"/>
          <w:sz w:val="32"/>
          <w:szCs w:val="32"/>
          <w:lang w:val="en-US" w:eastAsia="zh-CN" w:bidi="ar-SA"/>
        </w:rPr>
        <w:t>附件一</w:t>
      </w:r>
      <w:r>
        <w:rPr>
          <w:rFonts w:hint="eastAsia" w:ascii="黑体" w:hAnsi="黑体" w:eastAsia="黑体" w:cs="Times New Roman"/>
          <w:b/>
          <w:bCs/>
          <w:kern w:val="44"/>
          <w:sz w:val="32"/>
          <w:szCs w:val="32"/>
          <w:lang w:val="en-US" w:eastAsia="zh-CN" w:bidi="ar-SA"/>
        </w:rPr>
        <w:t xml:space="preserve"> 接口尺寸</w:t>
      </w:r>
    </w:p>
    <w:p>
      <w:pPr>
        <w:spacing w:before="156" w:beforeLines="50"/>
        <w:jc w:val="center"/>
        <w:rPr>
          <w:rStyle w:val="14"/>
          <w:rFonts w:hint="default" w:ascii="Times New Roman" w:hAnsi="Times New Roman" w:cs="Times New Roman" w:eastAsiaTheme="minorEastAsia"/>
          <w:kern w:val="0"/>
          <w:sz w:val="24"/>
          <w:lang w:eastAsia="en-US"/>
        </w:rPr>
      </w:pPr>
      <w:r>
        <w:rPr>
          <w:rStyle w:val="14"/>
          <w:rFonts w:ascii="Times New Roman" w:hAnsi="Times New Roman" w:cs="Times New Roman"/>
          <w:kern w:val="0"/>
          <w:sz w:val="24"/>
          <w:lang w:eastAsia="en-US"/>
        </w:rPr>
        <w:t xml:space="preserve"> </w:t>
      </w:r>
      <w:r>
        <w:rPr>
          <w:rStyle w:val="14"/>
          <w:rFonts w:hint="default" w:ascii="Times New Roman" w:hAnsi="Times New Roman" w:cs="Times New Roman"/>
          <w:kern w:val="0"/>
          <w:sz w:val="24"/>
          <w:lang w:eastAsia="en-US"/>
        </w:rPr>
        <w:t>保护器</w:t>
      </w:r>
      <w:r>
        <w:rPr>
          <w:rStyle w:val="14"/>
          <w:rFonts w:ascii="Times New Roman" w:hAnsi="Times New Roman" w:cs="Times New Roman"/>
          <w:kern w:val="0"/>
          <w:sz w:val="24"/>
          <w:lang w:eastAsia="en-US"/>
        </w:rPr>
        <w:t>接口尺寸</w:t>
      </w:r>
    </w:p>
    <w:tbl>
      <w:tblPr>
        <w:tblStyle w:val="11"/>
        <w:tblW w:w="4405" w:type="pct"/>
        <w:jc w:val="center"/>
        <w:tblLayout w:type="fixed"/>
        <w:tblCellMar>
          <w:top w:w="0" w:type="dxa"/>
          <w:left w:w="108" w:type="dxa"/>
          <w:bottom w:w="0" w:type="dxa"/>
          <w:right w:w="108" w:type="dxa"/>
        </w:tblCellMar>
      </w:tblPr>
      <w:tblGrid>
        <w:gridCol w:w="869"/>
        <w:gridCol w:w="675"/>
        <w:gridCol w:w="1059"/>
        <w:gridCol w:w="961"/>
        <w:gridCol w:w="1194"/>
        <w:gridCol w:w="1014"/>
        <w:gridCol w:w="384"/>
        <w:gridCol w:w="862"/>
        <w:gridCol w:w="2113"/>
        <w:gridCol w:w="1246"/>
        <w:gridCol w:w="1441"/>
        <w:gridCol w:w="670"/>
      </w:tblGrid>
      <w:tr>
        <w:tblPrEx>
          <w:tblCellMar>
            <w:top w:w="0" w:type="dxa"/>
            <w:left w:w="108" w:type="dxa"/>
            <w:bottom w:w="0" w:type="dxa"/>
            <w:right w:w="108" w:type="dxa"/>
          </w:tblCellMar>
        </w:tblPrEx>
        <w:trPr>
          <w:trHeight w:val="283" w:hRule="atLeast"/>
          <w:tblHeader/>
          <w:jc w:val="center"/>
        </w:trPr>
        <w:tc>
          <w:tcPr>
            <w:tcW w:w="34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系列</w:t>
            </w:r>
          </w:p>
        </w:tc>
        <w:tc>
          <w:tcPr>
            <w:tcW w:w="27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位置</w:t>
            </w:r>
          </w:p>
        </w:tc>
        <w:tc>
          <w:tcPr>
            <w:tcW w:w="424"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D</w:t>
            </w:r>
            <w:r>
              <w:rPr>
                <w:rFonts w:ascii="Times New Roman" w:hAnsi="Times New Roman" w:cs="Times New Roman" w:eastAsiaTheme="minorEastAsia"/>
                <w:kern w:val="0"/>
                <w:sz w:val="18"/>
                <w:szCs w:val="18"/>
                <w:lang w:eastAsia="en-US"/>
              </w:rPr>
              <w:t>1</w:t>
            </w:r>
          </w:p>
        </w:tc>
        <w:tc>
          <w:tcPr>
            <w:tcW w:w="385"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D</w:t>
            </w:r>
            <w:r>
              <w:rPr>
                <w:rFonts w:ascii="Times New Roman" w:hAnsi="Times New Roman" w:cs="Times New Roman" w:eastAsiaTheme="minorEastAsia"/>
                <w:kern w:val="0"/>
                <w:sz w:val="18"/>
                <w:szCs w:val="18"/>
                <w:lang w:eastAsia="en-US"/>
              </w:rPr>
              <w:t>2</w:t>
            </w:r>
          </w:p>
        </w:tc>
        <w:tc>
          <w:tcPr>
            <w:tcW w:w="478"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n×D3</w:t>
            </w:r>
          </w:p>
        </w:tc>
        <w:tc>
          <w:tcPr>
            <w:tcW w:w="560" w:type="pct"/>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L</w:t>
            </w:r>
          </w:p>
        </w:tc>
        <w:tc>
          <w:tcPr>
            <w:tcW w:w="345"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轴窜量</w:t>
            </w:r>
          </w:p>
        </w:tc>
        <w:tc>
          <w:tcPr>
            <w:tcW w:w="846"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轴花键</w:t>
            </w:r>
          </w:p>
        </w:tc>
        <w:tc>
          <w:tcPr>
            <w:tcW w:w="499"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D4×b</w:t>
            </w:r>
          </w:p>
        </w:tc>
        <w:tc>
          <w:tcPr>
            <w:tcW w:w="577"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D×d</w:t>
            </w:r>
          </w:p>
        </w:tc>
        <w:tc>
          <w:tcPr>
            <w:tcW w:w="269"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图例</w:t>
            </w:r>
          </w:p>
        </w:tc>
      </w:tr>
      <w:tr>
        <w:tblPrEx>
          <w:tblCellMar>
            <w:top w:w="0" w:type="dxa"/>
            <w:left w:w="108" w:type="dxa"/>
            <w:bottom w:w="0" w:type="dxa"/>
            <w:right w:w="108" w:type="dxa"/>
          </w:tblCellMar>
        </w:tblPrEx>
        <w:trPr>
          <w:trHeight w:val="283" w:hRule="atLeast"/>
          <w:tblHeader/>
          <w:jc w:val="center"/>
        </w:trPr>
        <w:tc>
          <w:tcPr>
            <w:tcW w:w="348" w:type="pct"/>
            <w:vMerge w:val="restart"/>
            <w:tcBorders>
              <w:top w:val="single" w:color="auto" w:sz="4" w:space="0"/>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3</w:t>
            </w:r>
            <w:r>
              <w:rPr>
                <w:rFonts w:ascii="Times New Roman" w:hAnsi="Times New Roman" w:cs="Times New Roman" w:eastAsiaTheme="minorEastAsia"/>
                <w:kern w:val="0"/>
                <w:sz w:val="18"/>
                <w:szCs w:val="18"/>
                <w:lang w:eastAsia="en-US"/>
              </w:rPr>
              <w:t>87/400</w:t>
            </w:r>
          </w:p>
        </w:tc>
        <w:tc>
          <w:tcPr>
            <w:tcW w:w="27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上接头</w:t>
            </w:r>
          </w:p>
        </w:tc>
        <w:tc>
          <w:tcPr>
            <w:tcW w:w="424"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77.77</w:t>
            </w:r>
            <w:r>
              <w:rPr>
                <w:rFonts w:hint="default" w:ascii="Times New Roman" w:hAnsi="Times New Roman" w:cs="Times New Roman" w:eastAsiaTheme="minorEastAsia"/>
                <w:kern w:val="0"/>
                <w:sz w:val="18"/>
                <w:szCs w:val="18"/>
                <w:lang w:eastAsia="en-US"/>
              </w:rPr>
              <w:t>±0.1</w:t>
            </w:r>
          </w:p>
        </w:tc>
        <w:tc>
          <w:tcPr>
            <w:tcW w:w="385"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62</w:t>
            </w:r>
            <w:r>
              <w:rPr>
                <w:rFonts w:ascii="Times New Roman" w:hAnsi="Times New Roman" w:cs="Times New Roman" w:eastAsiaTheme="minorEastAsia"/>
                <w:kern w:val="0"/>
                <w:sz w:val="18"/>
                <w:szCs w:val="18"/>
                <w:lang w:eastAsia="en-US"/>
                <w:eastAsianLayout w:id="31" w:combine="1"/>
              </w:rPr>
              <w:t>+0.027 0</w:t>
            </w:r>
          </w:p>
        </w:tc>
        <w:tc>
          <w:tcPr>
            <w:tcW w:w="478"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6</w:t>
            </w:r>
            <w:r>
              <w:rPr>
                <w:rFonts w:hint="default" w:ascii="Times New Roman" w:hAnsi="Times New Roman" w:cs="Times New Roman" w:eastAsiaTheme="minorEastAsia"/>
                <w:kern w:val="0"/>
                <w:sz w:val="18"/>
                <w:szCs w:val="18"/>
                <w:lang w:eastAsia="en-US"/>
              </w:rPr>
              <w:t>×</w:t>
            </w:r>
            <w:r>
              <w:rPr>
                <w:rFonts w:ascii="Times New Roman" w:hAnsi="Times New Roman" w:cs="Times New Roman" w:eastAsiaTheme="minorEastAsia"/>
                <w:kern w:val="0"/>
                <w:sz w:val="18"/>
                <w:szCs w:val="18"/>
                <w:lang w:eastAsia="en-US"/>
              </w:rPr>
              <w:t>3/8″-24UNF</w:t>
            </w:r>
          </w:p>
        </w:tc>
        <w:tc>
          <w:tcPr>
            <w:tcW w:w="406"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-12.7</w:t>
            </w:r>
            <w:r>
              <w:rPr>
                <w:rFonts w:hint="default" w:ascii="Times New Roman" w:hAnsi="Times New Roman" w:cs="Times New Roman" w:eastAsiaTheme="minorEastAsia"/>
                <w:kern w:val="0"/>
                <w:sz w:val="18"/>
                <w:szCs w:val="18"/>
                <w:lang w:eastAsia="en-US"/>
              </w:rPr>
              <w:t>±</w:t>
            </w:r>
            <w:r>
              <w:rPr>
                <w:rFonts w:ascii="Times New Roman" w:hAnsi="Times New Roman" w:cs="Times New Roman" w:eastAsiaTheme="minorEastAsia"/>
                <w:kern w:val="0"/>
                <w:sz w:val="18"/>
                <w:szCs w:val="18"/>
                <w:lang w:eastAsia="en-US"/>
              </w:rPr>
              <w:t>1.19</w:t>
            </w:r>
          </w:p>
        </w:tc>
        <w:tc>
          <w:tcPr>
            <w:tcW w:w="154" w:type="pct"/>
            <w:vMerge w:val="restart"/>
            <w:tcBorders>
              <w:top w:val="single" w:color="auto" w:sz="4" w:space="0"/>
              <w:left w:val="nil"/>
              <w:right w:val="single" w:color="auto" w:sz="4" w:space="0"/>
            </w:tcBorders>
            <w:vAlign w:val="center"/>
          </w:tcPr>
          <w:p>
            <w:pPr>
              <w:widowControl/>
              <w:spacing w:line="300" w:lineRule="exact"/>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轴下推到底</w:t>
            </w:r>
          </w:p>
        </w:tc>
        <w:tc>
          <w:tcPr>
            <w:tcW w:w="345"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0.8～1.6</w:t>
            </w:r>
          </w:p>
        </w:tc>
        <w:tc>
          <w:tcPr>
            <w:tcW w:w="846"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7</w:t>
            </w:r>
            <w:r>
              <w:rPr>
                <w:rFonts w:ascii="Times New Roman" w:hAnsi="Times New Roman" w:cs="Times New Roman" w:eastAsiaTheme="minorEastAsia"/>
                <w:kern w:val="0"/>
                <w:sz w:val="18"/>
                <w:szCs w:val="18"/>
                <w:lang w:eastAsia="en-US"/>
              </w:rPr>
              <w:t>/8</w:t>
            </w:r>
            <w:r>
              <w:rPr>
                <w:rFonts w:hint="default" w:ascii="Times New Roman" w:hAnsi="Times New Roman" w:cs="Times New Roman" w:eastAsiaTheme="minorEastAsia"/>
                <w:kern w:val="0"/>
                <w:sz w:val="18"/>
                <w:szCs w:val="18"/>
                <w:lang w:eastAsia="en-US"/>
              </w:rPr>
              <w:t>″</w:t>
            </w:r>
          </w:p>
        </w:tc>
        <w:tc>
          <w:tcPr>
            <w:tcW w:w="499"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577"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269"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图1</w:t>
            </w:r>
          </w:p>
        </w:tc>
      </w:tr>
      <w:tr>
        <w:tblPrEx>
          <w:tblCellMar>
            <w:top w:w="0" w:type="dxa"/>
            <w:left w:w="108" w:type="dxa"/>
            <w:bottom w:w="0" w:type="dxa"/>
            <w:right w:w="108" w:type="dxa"/>
          </w:tblCellMar>
        </w:tblPrEx>
        <w:trPr>
          <w:trHeight w:val="283" w:hRule="atLeast"/>
          <w:jc w:val="center"/>
        </w:trPr>
        <w:tc>
          <w:tcPr>
            <w:tcW w:w="348" w:type="pct"/>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p>
        </w:tc>
        <w:tc>
          <w:tcPr>
            <w:tcW w:w="270"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下接头</w:t>
            </w:r>
          </w:p>
        </w:tc>
        <w:tc>
          <w:tcPr>
            <w:tcW w:w="424"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93.65</w:t>
            </w:r>
            <w:r>
              <w:rPr>
                <w:rFonts w:hint="default" w:ascii="Times New Roman" w:hAnsi="Times New Roman" w:cs="Times New Roman" w:eastAsiaTheme="minorEastAsia"/>
                <w:kern w:val="0"/>
                <w:sz w:val="18"/>
                <w:szCs w:val="18"/>
                <w:lang w:eastAsia="en-US"/>
              </w:rPr>
              <w:t>±0.1</w:t>
            </w:r>
          </w:p>
        </w:tc>
        <w:tc>
          <w:tcPr>
            <w:tcW w:w="385"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73.03</w:t>
            </w:r>
            <w:r>
              <w:rPr>
                <w:rFonts w:ascii="Times New Roman" w:hAnsi="Times New Roman" w:cs="Times New Roman" w:eastAsiaTheme="minorEastAsia"/>
                <w:kern w:val="0"/>
                <w:sz w:val="18"/>
                <w:szCs w:val="18"/>
                <w:lang w:eastAsia="en-US"/>
                <w:eastAsianLayout w:id="32" w:combine="1"/>
              </w:rPr>
              <w:t>-0.03 -0.056</w:t>
            </w:r>
          </w:p>
        </w:tc>
        <w:tc>
          <w:tcPr>
            <w:tcW w:w="478"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406" w:type="pct"/>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-28.5</w:t>
            </w:r>
            <w:r>
              <w:rPr>
                <w:rFonts w:ascii="Times New Roman" w:hAnsi="Times New Roman" w:cs="Times New Roman" w:eastAsiaTheme="minorEastAsia"/>
                <w:kern w:val="0"/>
                <w:sz w:val="18"/>
                <w:szCs w:val="18"/>
                <w:lang w:eastAsia="en-US"/>
                <w:eastAsianLayout w:id="33" w:combine="1"/>
              </w:rPr>
              <w:t>+0.87 -0.72</w:t>
            </w:r>
          </w:p>
        </w:tc>
        <w:tc>
          <w:tcPr>
            <w:tcW w:w="154" w:type="pct"/>
            <w:vMerge w:val="continue"/>
            <w:tcBorders>
              <w:left w:val="nil"/>
              <w:right w:val="single" w:color="auto" w:sz="4" w:space="0"/>
            </w:tcBorders>
          </w:tcPr>
          <w:p>
            <w:pPr>
              <w:widowControl/>
              <w:jc w:val="center"/>
              <w:rPr>
                <w:rFonts w:hint="default" w:ascii="Times New Roman" w:hAnsi="Times New Roman" w:cs="Times New Roman" w:eastAsiaTheme="minorEastAsia"/>
                <w:kern w:val="0"/>
                <w:sz w:val="18"/>
                <w:szCs w:val="18"/>
                <w:lang w:eastAsia="en-US"/>
              </w:rPr>
            </w:pPr>
          </w:p>
        </w:tc>
        <w:tc>
          <w:tcPr>
            <w:tcW w:w="345"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846" w:type="pct"/>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轴花键：7/8</w:t>
            </w:r>
            <w:r>
              <w:rPr>
                <w:rFonts w:ascii="Times New Roman" w:hAnsi="Times New Roman" w:cs="Times New Roman" w:eastAsiaTheme="minorEastAsia"/>
                <w:kern w:val="0"/>
                <w:sz w:val="18"/>
                <w:szCs w:val="18"/>
                <w:lang w:eastAsia="zh-CN"/>
              </w:rPr>
              <w:t>″</w:t>
            </w:r>
            <w:r>
              <w:rPr>
                <w:rFonts w:hint="default" w:ascii="Times New Roman" w:hAnsi="Times New Roman" w:cs="Times New Roman" w:eastAsiaTheme="minorEastAsia"/>
                <w:kern w:val="0"/>
                <w:sz w:val="18"/>
                <w:szCs w:val="18"/>
                <w:lang w:eastAsia="zh-CN"/>
              </w:rPr>
              <w:t>，花键接头：</w:t>
            </w:r>
            <w:r>
              <w:rPr>
                <w:rFonts w:ascii="Times New Roman" w:hAnsi="Times New Roman" w:cs="Times New Roman" w:eastAsiaTheme="minorEastAsia"/>
                <w:kern w:val="0"/>
                <w:sz w:val="18"/>
                <w:szCs w:val="18"/>
                <w:lang w:eastAsia="zh-CN"/>
              </w:rPr>
              <w:t>1</w:t>
            </w:r>
            <w:r>
              <w:rPr>
                <w:rFonts w:hint="default" w:ascii="Times New Roman" w:hAnsi="Times New Roman" w:cs="Times New Roman" w:eastAsiaTheme="minorEastAsia"/>
                <w:kern w:val="0"/>
                <w:sz w:val="18"/>
                <w:szCs w:val="18"/>
                <w:lang w:eastAsia="zh-CN"/>
              </w:rPr>
              <w:t>-1/2</w:t>
            </w:r>
            <w:r>
              <w:rPr>
                <w:rFonts w:ascii="Times New Roman" w:hAnsi="Times New Roman" w:cs="Times New Roman" w:eastAsiaTheme="minorEastAsia"/>
                <w:kern w:val="0"/>
                <w:sz w:val="18"/>
                <w:szCs w:val="18"/>
                <w:lang w:eastAsia="zh-CN"/>
              </w:rPr>
              <w:t>″</w:t>
            </w:r>
          </w:p>
        </w:tc>
        <w:tc>
          <w:tcPr>
            <w:tcW w:w="499"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67</w:t>
            </w:r>
            <w:r>
              <w:rPr>
                <w:rFonts w:ascii="Times New Roman" w:hAnsi="Times New Roman" w:cs="Times New Roman" w:eastAsiaTheme="minorEastAsia"/>
                <w:kern w:val="0"/>
                <w:sz w:val="18"/>
                <w:szCs w:val="18"/>
                <w:lang w:eastAsia="en-US"/>
                <w:eastAsianLayout w:id="34" w:combine="1"/>
              </w:rPr>
              <w:t>+0.</w:t>
            </w:r>
            <w:r>
              <w:rPr>
                <w:rFonts w:hint="default" w:ascii="Times New Roman" w:hAnsi="Times New Roman" w:cs="Times New Roman" w:eastAsiaTheme="minorEastAsia"/>
                <w:kern w:val="0"/>
                <w:sz w:val="18"/>
                <w:szCs w:val="18"/>
                <w:lang w:eastAsia="en-US"/>
                <w:eastAsianLayout w:id="35" w:combine="1"/>
              </w:rPr>
              <w:t>39</w:t>
            </w:r>
            <w:r>
              <w:rPr>
                <w:rFonts w:ascii="Times New Roman" w:hAnsi="Times New Roman" w:cs="Times New Roman" w:eastAsiaTheme="minorEastAsia"/>
                <w:kern w:val="0"/>
                <w:sz w:val="18"/>
                <w:szCs w:val="18"/>
                <w:lang w:eastAsia="en-US"/>
                <w:eastAsianLayout w:id="36" w:combine="1"/>
              </w:rPr>
              <w:t xml:space="preserve"> +0.</w:t>
            </w:r>
            <w:r>
              <w:rPr>
                <w:rFonts w:hint="default" w:ascii="Times New Roman" w:hAnsi="Times New Roman" w:cs="Times New Roman" w:eastAsiaTheme="minorEastAsia"/>
                <w:kern w:val="0"/>
                <w:sz w:val="18"/>
                <w:szCs w:val="18"/>
                <w:lang w:eastAsia="en-US"/>
                <w:eastAsianLayout w:id="37" w:combine="1"/>
              </w:rPr>
              <w:t>28</w:t>
            </w:r>
            <w:r>
              <w:rPr>
                <w:rFonts w:hint="default" w:ascii="Times New Roman" w:hAnsi="Times New Roman" w:cs="Times New Roman" w:eastAsiaTheme="minorEastAsia"/>
                <w:kern w:val="0"/>
                <w:sz w:val="18"/>
                <w:szCs w:val="18"/>
                <w:lang w:eastAsia="en-US"/>
              </w:rPr>
              <w:t>×3.81±0</w:t>
            </w:r>
            <w:r>
              <w:rPr>
                <w:rFonts w:ascii="Times New Roman" w:hAnsi="Times New Roman" w:cs="Times New Roman" w:eastAsiaTheme="minorEastAsia"/>
                <w:kern w:val="0"/>
                <w:sz w:val="18"/>
                <w:szCs w:val="18"/>
                <w:lang w:eastAsia="en-US"/>
              </w:rPr>
              <w:t>.13</w:t>
            </w:r>
          </w:p>
        </w:tc>
        <w:tc>
          <w:tcPr>
            <w:tcW w:w="577"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径封</w:t>
            </w:r>
            <w:r>
              <w:rPr>
                <w:rFonts w:ascii="Times New Roman" w:hAnsi="Times New Roman" w:cs="Times New Roman" w:eastAsiaTheme="minorEastAsia"/>
                <w:kern w:val="0"/>
                <w:sz w:val="18"/>
                <w:szCs w:val="18"/>
                <w:lang w:eastAsia="en-US"/>
              </w:rPr>
              <w:t>66</w:t>
            </w:r>
            <w:r>
              <w:rPr>
                <w:rFonts w:ascii="Times New Roman" w:hAnsi="Times New Roman" w:cs="Times New Roman" w:eastAsiaTheme="minorEastAsia"/>
                <w:kern w:val="0"/>
                <w:sz w:val="18"/>
                <w:szCs w:val="18"/>
                <w:lang w:eastAsia="en-US"/>
                <w:eastAsianLayout w:id="38" w:combine="1"/>
              </w:rPr>
              <w:t>+0.52 -0.015</w:t>
            </w:r>
            <w:r>
              <w:rPr>
                <w:rFonts w:hint="default" w:ascii="Times New Roman" w:hAnsi="Times New Roman" w:cs="Times New Roman" w:eastAsiaTheme="minorEastAsia"/>
                <w:kern w:val="0"/>
                <w:sz w:val="18"/>
                <w:szCs w:val="18"/>
                <w:lang w:eastAsia="en-US"/>
              </w:rPr>
              <w:t>×</w:t>
            </w:r>
            <w:r>
              <w:rPr>
                <w:rFonts w:ascii="Times New Roman" w:hAnsi="Times New Roman" w:cs="Times New Roman" w:eastAsiaTheme="minorEastAsia"/>
                <w:kern w:val="0"/>
                <w:sz w:val="18"/>
                <w:szCs w:val="18"/>
                <w:lang w:eastAsia="en-US"/>
              </w:rPr>
              <w:t>3.5</w:t>
            </w:r>
            <w:r>
              <w:rPr>
                <w:rFonts w:ascii="Times New Roman" w:hAnsi="Times New Roman" w:cs="Times New Roman" w:eastAsiaTheme="minorEastAsia"/>
                <w:kern w:val="0"/>
                <w:sz w:val="18"/>
                <w:szCs w:val="18"/>
                <w:lang w:eastAsia="en-US"/>
                <w:eastAsianLayout w:id="39" w:combine="1"/>
              </w:rPr>
              <w:t>+0.13 -0.07</w:t>
            </w:r>
          </w:p>
        </w:tc>
        <w:tc>
          <w:tcPr>
            <w:tcW w:w="269" w:type="pct"/>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图2</w:t>
            </w:r>
          </w:p>
        </w:tc>
      </w:tr>
      <w:tr>
        <w:tblPrEx>
          <w:tblCellMar>
            <w:top w:w="0" w:type="dxa"/>
            <w:left w:w="108" w:type="dxa"/>
            <w:bottom w:w="0" w:type="dxa"/>
            <w:right w:w="108" w:type="dxa"/>
          </w:tblCellMar>
        </w:tblPrEx>
        <w:trPr>
          <w:trHeight w:val="283" w:hRule="atLeast"/>
          <w:jc w:val="center"/>
        </w:trPr>
        <w:tc>
          <w:tcPr>
            <w:tcW w:w="34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en-US"/>
              </w:rPr>
              <w:t>5</w:t>
            </w:r>
            <w:r>
              <w:rPr>
                <w:rFonts w:ascii="Times New Roman" w:hAnsi="Times New Roman" w:cs="Times New Roman" w:eastAsiaTheme="minorEastAsia"/>
                <w:kern w:val="0"/>
                <w:sz w:val="18"/>
                <w:szCs w:val="18"/>
                <w:lang w:eastAsia="en-US"/>
              </w:rPr>
              <w:t>13</w:t>
            </w:r>
            <w:r>
              <w:rPr>
                <w:rFonts w:hint="default" w:ascii="Times New Roman" w:hAnsi="Times New Roman" w:cs="Times New Roman" w:eastAsiaTheme="minorEastAsia"/>
                <w:kern w:val="0"/>
                <w:sz w:val="18"/>
                <w:szCs w:val="18"/>
                <w:lang w:eastAsia="zh-CN"/>
              </w:rPr>
              <w:t>/540</w:t>
            </w:r>
          </w:p>
        </w:tc>
        <w:tc>
          <w:tcPr>
            <w:tcW w:w="270"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上接头</w:t>
            </w:r>
          </w:p>
        </w:tc>
        <w:tc>
          <w:tcPr>
            <w:tcW w:w="424" w:type="pct"/>
            <w:vMerge w:val="restart"/>
            <w:tcBorders>
              <w:top w:val="nil"/>
              <w:left w:val="nil"/>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112.7</w:t>
            </w:r>
            <w:r>
              <w:rPr>
                <w:rFonts w:hint="default" w:ascii="Times New Roman" w:hAnsi="Times New Roman" w:cs="Times New Roman" w:eastAsiaTheme="minorEastAsia"/>
                <w:kern w:val="0"/>
                <w:sz w:val="18"/>
                <w:szCs w:val="18"/>
                <w:lang w:eastAsia="en-US"/>
              </w:rPr>
              <w:t>±0.1</w:t>
            </w:r>
          </w:p>
        </w:tc>
        <w:tc>
          <w:tcPr>
            <w:tcW w:w="385"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92.075</w:t>
            </w:r>
            <w:r>
              <w:rPr>
                <w:rFonts w:ascii="Times New Roman" w:hAnsi="Times New Roman" w:cs="Times New Roman" w:eastAsiaTheme="minorEastAsia"/>
                <w:kern w:val="0"/>
                <w:sz w:val="18"/>
                <w:szCs w:val="18"/>
                <w:lang w:eastAsia="en-US"/>
                <w:eastAsianLayout w:id="40" w:combine="1"/>
              </w:rPr>
              <w:t>+0.043  0</w:t>
            </w:r>
          </w:p>
        </w:tc>
        <w:tc>
          <w:tcPr>
            <w:tcW w:w="478"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11×</w:t>
            </w:r>
            <w:r>
              <w:rPr>
                <w:rFonts w:ascii="Times New Roman" w:hAnsi="Times New Roman" w:cs="Times New Roman" w:eastAsiaTheme="minorEastAsia"/>
                <w:kern w:val="0"/>
                <w:sz w:val="18"/>
                <w:szCs w:val="18"/>
                <w:lang w:eastAsia="en-US"/>
              </w:rPr>
              <w:t>7/16</w:t>
            </w:r>
            <w:r>
              <w:rPr>
                <w:rFonts w:hint="default" w:ascii="Times New Roman" w:hAnsi="Times New Roman" w:cs="Times New Roman" w:eastAsiaTheme="minorEastAsia"/>
                <w:kern w:val="0"/>
                <w:sz w:val="18"/>
                <w:szCs w:val="18"/>
                <w:lang w:eastAsia="en-US"/>
              </w:rPr>
              <w:t>＂</w:t>
            </w:r>
            <w:r>
              <w:rPr>
                <w:rFonts w:ascii="Times New Roman" w:hAnsi="Times New Roman" w:cs="Times New Roman" w:eastAsiaTheme="minorEastAsia"/>
                <w:kern w:val="0"/>
                <w:sz w:val="18"/>
                <w:szCs w:val="18"/>
                <w:lang w:eastAsia="en-US"/>
              </w:rPr>
              <w:t>-20UNF</w:t>
            </w:r>
          </w:p>
        </w:tc>
        <w:tc>
          <w:tcPr>
            <w:tcW w:w="406" w:type="pct"/>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-7.925</w:t>
            </w:r>
            <w:r>
              <w:rPr>
                <w:rFonts w:ascii="Times New Roman" w:hAnsi="Times New Roman" w:cs="Times New Roman" w:eastAsiaTheme="minorEastAsia"/>
                <w:kern w:val="0"/>
                <w:sz w:val="18"/>
                <w:szCs w:val="18"/>
                <w:lang w:eastAsia="en-US"/>
                <w:eastAsianLayout w:id="41" w:combine="1"/>
              </w:rPr>
              <w:t>+1.168 -1.575</w:t>
            </w:r>
          </w:p>
        </w:tc>
        <w:tc>
          <w:tcPr>
            <w:tcW w:w="154" w:type="pct"/>
            <w:vMerge w:val="continue"/>
            <w:tcBorders>
              <w:left w:val="nil"/>
              <w:right w:val="single" w:color="auto" w:sz="4" w:space="0"/>
            </w:tcBorders>
          </w:tcPr>
          <w:p>
            <w:pPr>
              <w:widowControl/>
              <w:spacing w:line="300" w:lineRule="exact"/>
              <w:jc w:val="center"/>
              <w:rPr>
                <w:rFonts w:hint="default" w:ascii="Times New Roman" w:hAnsi="Times New Roman" w:cs="Times New Roman" w:eastAsiaTheme="minorEastAsia"/>
                <w:kern w:val="0"/>
                <w:sz w:val="18"/>
                <w:szCs w:val="18"/>
                <w:lang w:eastAsia="en-US"/>
              </w:rPr>
            </w:pPr>
          </w:p>
        </w:tc>
        <w:tc>
          <w:tcPr>
            <w:tcW w:w="345" w:type="pct"/>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0.8～1.6</w:t>
            </w:r>
          </w:p>
        </w:tc>
        <w:tc>
          <w:tcPr>
            <w:tcW w:w="846"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1</w:t>
            </w:r>
            <w:r>
              <w:rPr>
                <w:rFonts w:hint="default" w:ascii="Times New Roman" w:hAnsi="Times New Roman" w:cs="Times New Roman" w:eastAsiaTheme="minorEastAsia"/>
                <w:kern w:val="0"/>
                <w:sz w:val="18"/>
                <w:szCs w:val="18"/>
                <w:lang w:eastAsia="en-US"/>
              </w:rPr>
              <w:t>-3/16</w:t>
            </w:r>
            <w:r>
              <w:rPr>
                <w:rFonts w:ascii="Times New Roman" w:hAnsi="Times New Roman" w:cs="Times New Roman" w:eastAsiaTheme="minorEastAsia"/>
                <w:kern w:val="0"/>
                <w:sz w:val="18"/>
                <w:szCs w:val="18"/>
                <w:lang w:eastAsia="en-US"/>
              </w:rPr>
              <w:t>″</w:t>
            </w:r>
          </w:p>
        </w:tc>
        <w:tc>
          <w:tcPr>
            <w:tcW w:w="499"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577"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269" w:type="pct"/>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图1</w:t>
            </w:r>
          </w:p>
        </w:tc>
      </w:tr>
      <w:tr>
        <w:tblPrEx>
          <w:tblCellMar>
            <w:top w:w="0" w:type="dxa"/>
            <w:left w:w="108" w:type="dxa"/>
            <w:bottom w:w="0" w:type="dxa"/>
            <w:right w:w="108" w:type="dxa"/>
          </w:tblCellMar>
        </w:tblPrEx>
        <w:trPr>
          <w:trHeight w:val="283" w:hRule="atLeast"/>
          <w:jc w:val="center"/>
        </w:trPr>
        <w:tc>
          <w:tcPr>
            <w:tcW w:w="3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p>
        </w:tc>
        <w:tc>
          <w:tcPr>
            <w:tcW w:w="270"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下接头</w:t>
            </w:r>
          </w:p>
        </w:tc>
        <w:tc>
          <w:tcPr>
            <w:tcW w:w="424" w:type="pct"/>
            <w:vMerge w:val="continue"/>
            <w:tcBorders>
              <w:left w:val="nil"/>
              <w:bottom w:val="single" w:color="auto" w:sz="4" w:space="0"/>
              <w:right w:val="single" w:color="auto" w:sz="4" w:space="0"/>
            </w:tcBorders>
            <w:shd w:val="clear" w:color="auto" w:fill="auto"/>
            <w:noWrap/>
            <w:vAlign w:val="center"/>
          </w:tcPr>
          <w:p>
            <w:pPr>
              <w:widowControl/>
              <w:jc w:val="left"/>
              <w:rPr>
                <w:rFonts w:hint="default" w:ascii="Times New Roman" w:hAnsi="Times New Roman" w:cs="Times New Roman" w:eastAsiaTheme="minorEastAsia"/>
                <w:kern w:val="0"/>
                <w:sz w:val="18"/>
                <w:szCs w:val="18"/>
                <w:lang w:eastAsia="en-US"/>
              </w:rPr>
            </w:pPr>
          </w:p>
        </w:tc>
        <w:tc>
          <w:tcPr>
            <w:tcW w:w="385"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92.075</w:t>
            </w:r>
            <w:r>
              <w:rPr>
                <w:rFonts w:ascii="Times New Roman" w:hAnsi="Times New Roman" w:cs="Times New Roman" w:eastAsiaTheme="minorEastAsia"/>
                <w:kern w:val="0"/>
                <w:sz w:val="18"/>
                <w:szCs w:val="18"/>
                <w:lang w:eastAsia="en-US"/>
                <w:eastAsianLayout w:id="42" w:combine="1"/>
              </w:rPr>
              <w:t>-0.075 -0.126</w:t>
            </w:r>
          </w:p>
        </w:tc>
        <w:tc>
          <w:tcPr>
            <w:tcW w:w="478"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406" w:type="pct"/>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-31.75</w:t>
            </w:r>
            <w:r>
              <w:rPr>
                <w:rFonts w:hint="default" w:ascii="Times New Roman" w:hAnsi="Times New Roman" w:cs="Times New Roman" w:eastAsiaTheme="minorEastAsia"/>
                <w:kern w:val="0"/>
                <w:sz w:val="18"/>
                <w:szCs w:val="18"/>
                <w:lang w:eastAsia="en-US"/>
              </w:rPr>
              <w:t>±</w:t>
            </w:r>
            <w:r>
              <w:rPr>
                <w:rFonts w:ascii="Times New Roman" w:hAnsi="Times New Roman" w:cs="Times New Roman" w:eastAsiaTheme="minorEastAsia"/>
                <w:kern w:val="0"/>
                <w:sz w:val="18"/>
                <w:szCs w:val="18"/>
                <w:lang w:eastAsia="en-US"/>
              </w:rPr>
              <w:t>0.79</w:t>
            </w:r>
          </w:p>
        </w:tc>
        <w:tc>
          <w:tcPr>
            <w:tcW w:w="154" w:type="pct"/>
            <w:vMerge w:val="continue"/>
            <w:tcBorders>
              <w:left w:val="nil"/>
              <w:right w:val="single" w:color="auto" w:sz="4" w:space="0"/>
            </w:tcBorders>
          </w:tcPr>
          <w:p>
            <w:pPr>
              <w:widowControl/>
              <w:jc w:val="center"/>
              <w:rPr>
                <w:rFonts w:hint="default" w:ascii="Times New Roman" w:hAnsi="Times New Roman" w:cs="Times New Roman" w:eastAsiaTheme="minorEastAsia"/>
                <w:kern w:val="0"/>
                <w:sz w:val="18"/>
                <w:szCs w:val="18"/>
                <w:lang w:eastAsia="en-US"/>
              </w:rPr>
            </w:pPr>
          </w:p>
        </w:tc>
        <w:tc>
          <w:tcPr>
            <w:tcW w:w="345"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846" w:type="pct"/>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轴花键：</w:t>
            </w:r>
            <w:r>
              <w:rPr>
                <w:rFonts w:ascii="Times New Roman" w:hAnsi="Times New Roman" w:cs="Times New Roman" w:eastAsiaTheme="minorEastAsia"/>
                <w:kern w:val="0"/>
                <w:sz w:val="18"/>
                <w:szCs w:val="18"/>
                <w:lang w:eastAsia="zh-CN"/>
              </w:rPr>
              <w:t>1</w:t>
            </w:r>
            <w:r>
              <w:rPr>
                <w:rFonts w:hint="default" w:ascii="Times New Roman" w:hAnsi="Times New Roman" w:cs="Times New Roman" w:eastAsiaTheme="minorEastAsia"/>
                <w:kern w:val="0"/>
                <w:sz w:val="18"/>
                <w:szCs w:val="18"/>
                <w:lang w:eastAsia="zh-CN"/>
              </w:rPr>
              <w:t>-3/16</w:t>
            </w:r>
            <w:r>
              <w:rPr>
                <w:rFonts w:ascii="Times New Roman" w:hAnsi="Times New Roman" w:cs="Times New Roman" w:eastAsiaTheme="minorEastAsia"/>
                <w:kern w:val="0"/>
                <w:sz w:val="18"/>
                <w:szCs w:val="18"/>
                <w:lang w:eastAsia="zh-CN"/>
              </w:rPr>
              <w:t>″</w:t>
            </w:r>
            <w:r>
              <w:rPr>
                <w:rFonts w:hint="default" w:ascii="Times New Roman" w:hAnsi="Times New Roman" w:cs="Times New Roman" w:eastAsiaTheme="minorEastAsia"/>
                <w:kern w:val="0"/>
                <w:sz w:val="18"/>
                <w:szCs w:val="18"/>
                <w:lang w:eastAsia="zh-CN"/>
              </w:rPr>
              <w:t>，花键接头：</w:t>
            </w:r>
            <w:r>
              <w:rPr>
                <w:rFonts w:ascii="Times New Roman" w:hAnsi="Times New Roman" w:cs="Times New Roman" w:eastAsiaTheme="minorEastAsia"/>
                <w:kern w:val="0"/>
                <w:sz w:val="18"/>
                <w:szCs w:val="18"/>
                <w:lang w:eastAsia="zh-CN"/>
              </w:rPr>
              <w:t>2″</w:t>
            </w:r>
          </w:p>
        </w:tc>
        <w:tc>
          <w:tcPr>
            <w:tcW w:w="499"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86.436</w:t>
            </w:r>
            <w:r>
              <w:rPr>
                <w:rFonts w:hint="default" w:ascii="Times New Roman" w:hAnsi="Times New Roman" w:cs="Times New Roman" w:eastAsiaTheme="minorEastAsia"/>
                <w:kern w:val="0"/>
                <w:sz w:val="18"/>
                <w:szCs w:val="18"/>
                <w:lang w:eastAsia="en-US"/>
                <w:eastAsianLayout w:id="43" w:combine="1"/>
              </w:rPr>
              <w:t xml:space="preserve">    0 -0.102</w:t>
            </w:r>
            <w:r>
              <w:rPr>
                <w:rFonts w:hint="default" w:ascii="Times New Roman" w:hAnsi="Times New Roman" w:cs="Times New Roman" w:eastAsiaTheme="minorEastAsia"/>
                <w:kern w:val="0"/>
                <w:sz w:val="18"/>
                <w:szCs w:val="18"/>
                <w:lang w:eastAsia="en-US"/>
              </w:rPr>
              <w:t>×3.8</w:t>
            </w:r>
            <w:r>
              <w:rPr>
                <w:rFonts w:hint="default" w:ascii="Times New Roman" w:hAnsi="Times New Roman" w:cs="Times New Roman" w:eastAsiaTheme="minorEastAsia"/>
                <w:kern w:val="0"/>
                <w:sz w:val="18"/>
                <w:szCs w:val="18"/>
                <w:lang w:eastAsia="en-US"/>
                <w:eastAsianLayout w:id="44" w:combine="1"/>
              </w:rPr>
              <w:t>+0.1 0</w:t>
            </w:r>
          </w:p>
        </w:tc>
        <w:tc>
          <w:tcPr>
            <w:tcW w:w="577"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径封85</w:t>
            </w:r>
            <w:r>
              <w:rPr>
                <w:rFonts w:hint="default" w:ascii="Times New Roman" w:hAnsi="Times New Roman" w:cs="Times New Roman" w:eastAsiaTheme="minorEastAsia"/>
                <w:kern w:val="0"/>
                <w:sz w:val="18"/>
                <w:szCs w:val="18"/>
                <w:lang w:eastAsia="en-US"/>
                <w:eastAsianLayout w:id="45" w:combine="1"/>
              </w:rPr>
              <w:t>+0.70 -0.06</w:t>
            </w:r>
            <w:r>
              <w:rPr>
                <w:rFonts w:hint="default" w:ascii="Times New Roman" w:hAnsi="Times New Roman" w:cs="Times New Roman" w:eastAsiaTheme="minorEastAsia"/>
                <w:kern w:val="0"/>
                <w:sz w:val="18"/>
                <w:szCs w:val="18"/>
                <w:lang w:eastAsia="en-US"/>
              </w:rPr>
              <w:t xml:space="preserve"> × 3.5</w:t>
            </w:r>
            <w:r>
              <w:rPr>
                <w:rFonts w:hint="default" w:ascii="Times New Roman" w:hAnsi="Times New Roman" w:cs="Times New Roman" w:eastAsiaTheme="minorEastAsia"/>
                <w:kern w:val="0"/>
                <w:sz w:val="18"/>
                <w:szCs w:val="18"/>
                <w:lang w:eastAsia="en-US"/>
                <w:eastAsianLayout w:id="46" w:combine="1"/>
              </w:rPr>
              <w:t>+0.132 -0.071</w:t>
            </w:r>
          </w:p>
        </w:tc>
        <w:tc>
          <w:tcPr>
            <w:tcW w:w="269" w:type="pct"/>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图2</w:t>
            </w:r>
          </w:p>
        </w:tc>
      </w:tr>
      <w:tr>
        <w:tblPrEx>
          <w:tblCellMar>
            <w:top w:w="0" w:type="dxa"/>
            <w:left w:w="108" w:type="dxa"/>
            <w:bottom w:w="0" w:type="dxa"/>
            <w:right w:w="108" w:type="dxa"/>
          </w:tblCellMar>
        </w:tblPrEx>
        <w:trPr>
          <w:trHeight w:val="283" w:hRule="atLeast"/>
          <w:jc w:val="center"/>
        </w:trPr>
        <w:tc>
          <w:tcPr>
            <w:tcW w:w="348" w:type="pct"/>
            <w:vMerge w:val="restart"/>
            <w:tcBorders>
              <w:top w:val="single" w:color="auto" w:sz="4" w:space="0"/>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675</w:t>
            </w:r>
          </w:p>
        </w:tc>
        <w:tc>
          <w:tcPr>
            <w:tcW w:w="27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上接头</w:t>
            </w:r>
          </w:p>
        </w:tc>
        <w:tc>
          <w:tcPr>
            <w:tcW w:w="424"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149.225</w:t>
            </w:r>
          </w:p>
        </w:tc>
        <w:tc>
          <w:tcPr>
            <w:tcW w:w="385"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120.701</w:t>
            </w:r>
            <w:r>
              <w:rPr>
                <w:rFonts w:ascii="Times New Roman" w:hAnsi="Times New Roman" w:cs="Times New Roman" w:eastAsiaTheme="minorEastAsia"/>
                <w:kern w:val="0"/>
                <w:sz w:val="18"/>
                <w:szCs w:val="18"/>
                <w:lang w:eastAsia="zh-CN"/>
              </w:rPr>
              <w:t>~</w:t>
            </w:r>
            <w:r>
              <w:rPr>
                <w:rFonts w:hint="default" w:ascii="Times New Roman" w:hAnsi="Times New Roman" w:cs="Times New Roman" w:eastAsiaTheme="minorEastAsia"/>
                <w:kern w:val="0"/>
                <w:sz w:val="18"/>
                <w:szCs w:val="18"/>
                <w:lang w:eastAsia="zh-CN"/>
              </w:rPr>
              <w:t>120.726</w:t>
            </w:r>
          </w:p>
        </w:tc>
        <w:tc>
          <w:tcPr>
            <w:tcW w:w="478" w:type="pct"/>
            <w:tcBorders>
              <w:top w:val="single" w:color="auto" w:sz="4" w:space="0"/>
              <w:left w:val="single" w:color="auto" w:sz="4" w:space="0"/>
              <w:bottom w:val="single" w:color="auto" w:sz="4" w:space="0"/>
              <w:right w:val="single" w:color="auto" w:sz="4" w:space="0"/>
            </w:tcBorders>
            <w:shd w:val="clear" w:color="auto" w:fill="auto"/>
            <w:noWrap/>
          </w:tcPr>
          <w:p>
            <w:pPr>
              <w:widowControl/>
              <w:jc w:val="left"/>
              <w:textAlignment w:val="top"/>
              <w:rPr>
                <w:rFonts w:hint="default" w:ascii="Times New Roman" w:hAnsi="Times New Roman" w:cs="Times New Roman" w:eastAsiaTheme="minorEastAsia"/>
                <w:kern w:val="0"/>
                <w:sz w:val="18"/>
                <w:szCs w:val="18"/>
                <w:lang w:eastAsia="en-US"/>
              </w:rPr>
            </w:pPr>
            <w:r>
              <w:rPr>
                <w:rFonts w:hint="default" w:ascii="Times New Roman" w:hAnsi="Times New Roman" w:eastAsia="宋体" w:cs="Times New Roman"/>
                <w:kern w:val="0"/>
                <w:sz w:val="18"/>
                <w:szCs w:val="18"/>
                <w:lang w:eastAsia="zh-CN" w:bidi="ar"/>
              </w:rPr>
              <w:t>12×1/2"-20UNF-2</w:t>
            </w:r>
          </w:p>
        </w:tc>
        <w:tc>
          <w:tcPr>
            <w:tcW w:w="40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eastAsiaTheme="minorEastAsia"/>
                <w:kern w:val="0"/>
                <w:sz w:val="18"/>
                <w:szCs w:val="18"/>
                <w:lang w:eastAsia="en-US"/>
              </w:rPr>
            </w:pPr>
            <w:r>
              <w:rPr>
                <w:rFonts w:hint="default" w:ascii="Times New Roman" w:hAnsi="Times New Roman" w:eastAsia="宋体" w:cs="Times New Roman"/>
                <w:kern w:val="0"/>
                <w:sz w:val="20"/>
                <w:szCs w:val="20"/>
                <w:lang w:eastAsia="zh-CN" w:bidi="ar"/>
              </w:rPr>
              <w:t>-6.35</w:t>
            </w:r>
            <w:r>
              <w:rPr>
                <w:rFonts w:ascii="Times New Roman" w:hAnsi="Times New Roman" w:eastAsia="宋体" w:cs="Times New Roman"/>
                <w:kern w:val="0"/>
                <w:sz w:val="20"/>
                <w:szCs w:val="20"/>
                <w:lang w:eastAsia="zh-CN" w:bidi="ar"/>
              </w:rPr>
              <w:t>~</w:t>
            </w:r>
            <w:r>
              <w:rPr>
                <w:rFonts w:hint="default" w:ascii="Times New Roman" w:hAnsi="Times New Roman" w:eastAsia="宋体" w:cs="Times New Roman"/>
                <w:kern w:val="0"/>
                <w:sz w:val="20"/>
                <w:szCs w:val="20"/>
                <w:lang w:eastAsia="zh-CN" w:bidi="ar"/>
              </w:rPr>
              <w:t>-9.093</w:t>
            </w:r>
          </w:p>
        </w:tc>
        <w:tc>
          <w:tcPr>
            <w:tcW w:w="154" w:type="pct"/>
            <w:vMerge w:val="continue"/>
            <w:tcBorders>
              <w:left w:val="nil"/>
              <w:right w:val="single" w:color="auto" w:sz="4" w:space="0"/>
            </w:tcBorders>
          </w:tcPr>
          <w:p>
            <w:pPr>
              <w:widowControl/>
              <w:jc w:val="center"/>
              <w:rPr>
                <w:rFonts w:hint="default" w:ascii="Times New Roman" w:hAnsi="Times New Roman" w:cs="Times New Roman" w:eastAsiaTheme="minorEastAsia"/>
                <w:kern w:val="0"/>
                <w:sz w:val="18"/>
                <w:szCs w:val="18"/>
                <w:lang w:eastAsia="en-US"/>
              </w:rPr>
            </w:pPr>
          </w:p>
        </w:tc>
        <w:tc>
          <w:tcPr>
            <w:tcW w:w="345"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0.8～1.6</w:t>
            </w:r>
          </w:p>
        </w:tc>
        <w:tc>
          <w:tcPr>
            <w:tcW w:w="846" w:type="pct"/>
            <w:tcBorders>
              <w:top w:val="single" w:color="auto" w:sz="4" w:space="0"/>
              <w:left w:val="single" w:color="auto" w:sz="4" w:space="0"/>
              <w:bottom w:val="single" w:color="auto" w:sz="4" w:space="0"/>
              <w:right w:val="single" w:color="auto" w:sz="4" w:space="0"/>
            </w:tcBorders>
            <w:shd w:val="clear" w:color="auto" w:fill="auto"/>
            <w:noWrap/>
          </w:tcPr>
          <w:p>
            <w:pPr>
              <w:widowControl/>
              <w:jc w:val="center"/>
              <w:textAlignment w:val="top"/>
              <w:rPr>
                <w:rFonts w:hint="default" w:ascii="Times New Roman" w:hAnsi="Times New Roman" w:cs="Times New Roman" w:eastAsiaTheme="minorEastAsia"/>
                <w:kern w:val="0"/>
                <w:sz w:val="18"/>
                <w:szCs w:val="18"/>
                <w:lang w:eastAsia="en-US"/>
              </w:rPr>
            </w:pPr>
            <w:r>
              <w:rPr>
                <w:rFonts w:hint="default" w:ascii="Times New Roman" w:hAnsi="Times New Roman" w:eastAsia="宋体" w:cs="Times New Roman"/>
                <w:kern w:val="0"/>
                <w:sz w:val="20"/>
                <w:szCs w:val="20"/>
                <w:lang w:eastAsia="zh-CN" w:bidi="ar"/>
              </w:rPr>
              <w:t>1.5"-6B</w:t>
            </w:r>
          </w:p>
        </w:tc>
        <w:tc>
          <w:tcPr>
            <w:tcW w:w="499" w:type="pct"/>
            <w:tcBorders>
              <w:top w:val="single" w:color="auto" w:sz="4" w:space="0"/>
              <w:left w:val="single" w:color="auto" w:sz="4" w:space="0"/>
              <w:bottom w:val="single" w:color="auto" w:sz="4" w:space="0"/>
              <w:right w:val="single" w:color="auto" w:sz="4" w:space="0"/>
            </w:tcBorders>
            <w:shd w:val="clear" w:color="auto" w:fill="auto"/>
            <w:noWrap/>
          </w:tcPr>
          <w:p>
            <w:pPr>
              <w:widowControl/>
              <w:jc w:val="center"/>
              <w:textAlignment w:val="top"/>
              <w:rPr>
                <w:rFonts w:hint="default" w:ascii="Times New Roman" w:hAnsi="Times New Roman" w:cs="Times New Roman" w:eastAsiaTheme="minorEastAsia"/>
                <w:kern w:val="0"/>
                <w:sz w:val="18"/>
                <w:szCs w:val="18"/>
                <w:lang w:eastAsia="en-US"/>
              </w:rPr>
            </w:pPr>
            <w:r>
              <w:rPr>
                <w:rFonts w:hint="default" w:ascii="Times New Roman" w:hAnsi="Times New Roman" w:eastAsia="宋体" w:cs="Times New Roman"/>
                <w:kern w:val="0"/>
                <w:sz w:val="18"/>
                <w:szCs w:val="18"/>
                <w:lang w:eastAsia="zh-CN" w:bidi="ar"/>
              </w:rPr>
              <w:t>128.885×2.7</w:t>
            </w:r>
          </w:p>
        </w:tc>
        <w:tc>
          <w:tcPr>
            <w:tcW w:w="577" w:type="pct"/>
            <w:tcBorders>
              <w:top w:val="single" w:color="auto" w:sz="4" w:space="0"/>
              <w:left w:val="single" w:color="auto" w:sz="4" w:space="0"/>
              <w:bottom w:val="single" w:color="auto" w:sz="4" w:space="0"/>
              <w:right w:val="single" w:color="auto" w:sz="4" w:space="0"/>
            </w:tcBorders>
            <w:shd w:val="clear" w:color="auto" w:fill="auto"/>
            <w:noWrap/>
          </w:tcPr>
          <w:p>
            <w:pPr>
              <w:widowControl/>
              <w:jc w:val="center"/>
              <w:textAlignment w:val="top"/>
              <w:rPr>
                <w:rFonts w:hint="default" w:ascii="Times New Roman" w:hAnsi="Times New Roman" w:cs="Times New Roman" w:eastAsiaTheme="minorEastAsia"/>
                <w:kern w:val="0"/>
                <w:sz w:val="18"/>
                <w:szCs w:val="18"/>
                <w:lang w:eastAsia="en-US"/>
              </w:rPr>
            </w:pPr>
            <w:r>
              <w:rPr>
                <w:rFonts w:hint="default" w:ascii="Times New Roman" w:hAnsi="Times New Roman" w:eastAsia="宋体" w:cs="Times New Roman"/>
                <w:kern w:val="0"/>
                <w:sz w:val="20"/>
                <w:szCs w:val="20"/>
                <w:lang w:eastAsia="zh-CN" w:bidi="ar"/>
              </w:rPr>
              <w:t>径封 113.89×3.53</w:t>
            </w:r>
          </w:p>
        </w:tc>
        <w:tc>
          <w:tcPr>
            <w:tcW w:w="2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图1</w:t>
            </w:r>
          </w:p>
        </w:tc>
      </w:tr>
      <w:tr>
        <w:tblPrEx>
          <w:tblCellMar>
            <w:top w:w="0" w:type="dxa"/>
            <w:left w:w="108" w:type="dxa"/>
            <w:bottom w:w="0" w:type="dxa"/>
            <w:right w:w="108" w:type="dxa"/>
          </w:tblCellMar>
        </w:tblPrEx>
        <w:trPr>
          <w:trHeight w:val="283" w:hRule="atLeast"/>
          <w:jc w:val="center"/>
        </w:trPr>
        <w:tc>
          <w:tcPr>
            <w:tcW w:w="348" w:type="pct"/>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p>
        </w:tc>
        <w:tc>
          <w:tcPr>
            <w:tcW w:w="27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下接头</w:t>
            </w:r>
          </w:p>
        </w:tc>
        <w:tc>
          <w:tcPr>
            <w:tcW w:w="424"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158.75</w:t>
            </w:r>
          </w:p>
        </w:tc>
        <w:tc>
          <w:tcPr>
            <w:tcW w:w="385"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123.698</w:t>
            </w:r>
            <w:r>
              <w:rPr>
                <w:rFonts w:ascii="Times New Roman" w:hAnsi="Times New Roman" w:cs="Times New Roman" w:eastAsiaTheme="minorEastAsia"/>
                <w:kern w:val="0"/>
                <w:sz w:val="18"/>
                <w:szCs w:val="18"/>
                <w:lang w:eastAsia="en-US"/>
              </w:rPr>
              <w:t>~</w:t>
            </w:r>
            <w:r>
              <w:rPr>
                <w:rFonts w:hint="default" w:ascii="Times New Roman" w:hAnsi="Times New Roman" w:cs="Times New Roman" w:eastAsiaTheme="minorEastAsia"/>
                <w:kern w:val="0"/>
                <w:sz w:val="18"/>
                <w:szCs w:val="18"/>
                <w:lang w:eastAsia="en-US"/>
              </w:rPr>
              <w:t>123.749</w:t>
            </w:r>
          </w:p>
        </w:tc>
        <w:tc>
          <w:tcPr>
            <w:tcW w:w="478" w:type="pct"/>
            <w:tcBorders>
              <w:top w:val="single" w:color="auto" w:sz="4" w:space="0"/>
              <w:left w:val="single" w:color="auto" w:sz="4" w:space="0"/>
              <w:bottom w:val="single" w:color="auto" w:sz="4" w:space="0"/>
              <w:right w:val="single" w:color="auto" w:sz="4" w:space="0"/>
            </w:tcBorders>
            <w:shd w:val="clear" w:color="auto" w:fill="auto"/>
            <w:noWrap/>
          </w:tcPr>
          <w:p>
            <w:pPr>
              <w:widowControl/>
              <w:jc w:val="left"/>
              <w:textAlignment w:val="top"/>
              <w:rPr>
                <w:rFonts w:hint="default" w:ascii="Times New Roman" w:hAnsi="Times New Roman" w:cs="Times New Roman" w:eastAsiaTheme="minorEastAsia"/>
                <w:kern w:val="0"/>
                <w:sz w:val="18"/>
                <w:szCs w:val="18"/>
                <w:lang w:eastAsia="en-US"/>
              </w:rPr>
            </w:pPr>
            <w:r>
              <w:rPr>
                <w:rFonts w:hint="default" w:ascii="Times New Roman" w:hAnsi="Times New Roman" w:eastAsia="宋体" w:cs="Times New Roman"/>
                <w:kern w:val="0"/>
                <w:sz w:val="18"/>
                <w:szCs w:val="18"/>
                <w:lang w:eastAsia="zh-CN" w:bidi="ar"/>
              </w:rPr>
              <w:t>11×Φ13.5</w:t>
            </w:r>
            <w:r>
              <w:rPr>
                <w:rFonts w:hint="default" w:ascii="Times New Roman" w:hAnsi="Times New Roman" w:eastAsia="宋体" w:cs="Times New Roman"/>
                <w:kern w:val="0"/>
                <w:sz w:val="18"/>
                <w:szCs w:val="18"/>
                <w:lang w:eastAsia="zh-CN" w:bidi="ar"/>
              </w:rPr>
              <w:br w:type="textWrapping"/>
            </w:r>
            <w:r>
              <w:rPr>
                <w:rFonts w:hint="default" w:ascii="Times New Roman" w:hAnsi="Times New Roman" w:eastAsia="宋体" w:cs="Times New Roman"/>
                <w:kern w:val="0"/>
                <w:sz w:val="18"/>
                <w:szCs w:val="18"/>
                <w:lang w:eastAsia="zh-CN" w:bidi="ar"/>
              </w:rPr>
              <w:t>11×1/2"-20UNF-2</w:t>
            </w:r>
          </w:p>
        </w:tc>
        <w:tc>
          <w:tcPr>
            <w:tcW w:w="40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eastAsiaTheme="minorEastAsia"/>
                <w:kern w:val="0"/>
                <w:sz w:val="18"/>
                <w:szCs w:val="18"/>
                <w:lang w:eastAsia="en-US"/>
              </w:rPr>
            </w:pPr>
            <w:r>
              <w:rPr>
                <w:rFonts w:hint="default" w:ascii="Times New Roman" w:hAnsi="Times New Roman" w:eastAsia="宋体" w:cs="Times New Roman"/>
                <w:kern w:val="0"/>
                <w:sz w:val="20"/>
                <w:szCs w:val="20"/>
                <w:lang w:eastAsia="zh-CN" w:bidi="ar"/>
              </w:rPr>
              <w:t>30.96</w:t>
            </w:r>
            <w:r>
              <w:rPr>
                <w:rFonts w:ascii="Times New Roman" w:hAnsi="Times New Roman" w:eastAsia="宋体" w:cs="Times New Roman"/>
                <w:kern w:val="0"/>
                <w:sz w:val="20"/>
                <w:szCs w:val="20"/>
                <w:lang w:eastAsia="zh-CN" w:bidi="ar"/>
              </w:rPr>
              <w:t>~</w:t>
            </w:r>
            <w:r>
              <w:rPr>
                <w:rFonts w:hint="default" w:ascii="Times New Roman" w:hAnsi="Times New Roman" w:eastAsia="宋体" w:cs="Times New Roman"/>
                <w:kern w:val="0"/>
                <w:sz w:val="20"/>
                <w:szCs w:val="20"/>
                <w:lang w:eastAsia="zh-CN" w:bidi="ar"/>
              </w:rPr>
              <w:t>32.54</w:t>
            </w:r>
          </w:p>
        </w:tc>
        <w:tc>
          <w:tcPr>
            <w:tcW w:w="154" w:type="pct"/>
            <w:vMerge w:val="continue"/>
            <w:tcBorders>
              <w:left w:val="nil"/>
              <w:bottom w:val="single" w:color="auto" w:sz="4" w:space="0"/>
              <w:right w:val="single" w:color="auto" w:sz="4" w:space="0"/>
            </w:tcBorders>
          </w:tcPr>
          <w:p>
            <w:pPr>
              <w:widowControl/>
              <w:jc w:val="center"/>
              <w:rPr>
                <w:rFonts w:hint="default" w:ascii="Times New Roman" w:hAnsi="Times New Roman" w:cs="Times New Roman" w:eastAsiaTheme="minorEastAsia"/>
                <w:kern w:val="0"/>
                <w:sz w:val="18"/>
                <w:szCs w:val="18"/>
                <w:lang w:eastAsia="en-US"/>
              </w:rPr>
            </w:pPr>
          </w:p>
        </w:tc>
        <w:tc>
          <w:tcPr>
            <w:tcW w:w="345"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846" w:type="pct"/>
            <w:tcBorders>
              <w:top w:val="single" w:color="auto" w:sz="4" w:space="0"/>
              <w:left w:val="single" w:color="auto" w:sz="4" w:space="0"/>
              <w:bottom w:val="single" w:color="auto" w:sz="4" w:space="0"/>
              <w:right w:val="single" w:color="auto" w:sz="4" w:space="0"/>
            </w:tcBorders>
            <w:shd w:val="clear" w:color="auto" w:fill="auto"/>
            <w:noWrap/>
          </w:tcPr>
          <w:p>
            <w:pPr>
              <w:widowControl/>
              <w:jc w:val="left"/>
              <w:textAlignment w:val="top"/>
              <w:rPr>
                <w:rFonts w:hint="default" w:ascii="Times New Roman" w:hAnsi="Times New Roman" w:cs="Times New Roman" w:eastAsiaTheme="minorEastAsia"/>
                <w:kern w:val="0"/>
                <w:sz w:val="18"/>
                <w:szCs w:val="18"/>
                <w:lang w:eastAsia="zh-CN"/>
              </w:rPr>
            </w:pPr>
            <w:r>
              <w:rPr>
                <w:rFonts w:hint="default" w:ascii="Times New Roman" w:hAnsi="Times New Roman" w:eastAsia="宋体" w:cs="Times New Roman"/>
                <w:kern w:val="0"/>
                <w:sz w:val="18"/>
                <w:szCs w:val="18"/>
                <w:lang w:eastAsia="zh-CN" w:bidi="ar"/>
              </w:rPr>
              <w:t>轴花键：1.5"-6B， 花键接头：无</w:t>
            </w:r>
          </w:p>
        </w:tc>
        <w:tc>
          <w:tcPr>
            <w:tcW w:w="499" w:type="pct"/>
            <w:tcBorders>
              <w:top w:val="single" w:color="auto" w:sz="4" w:space="0"/>
              <w:left w:val="single" w:color="auto" w:sz="4" w:space="0"/>
              <w:bottom w:val="single" w:color="auto" w:sz="4" w:space="0"/>
              <w:right w:val="single" w:color="auto" w:sz="4" w:space="0"/>
            </w:tcBorders>
            <w:shd w:val="clear" w:color="auto" w:fill="auto"/>
            <w:noWrap/>
          </w:tcPr>
          <w:p>
            <w:pPr>
              <w:widowControl/>
              <w:jc w:val="center"/>
              <w:textAlignment w:val="top"/>
              <w:rPr>
                <w:rFonts w:hint="default" w:ascii="Times New Roman" w:hAnsi="Times New Roman" w:cs="Times New Roman" w:eastAsiaTheme="minorEastAsia"/>
                <w:kern w:val="0"/>
                <w:sz w:val="18"/>
                <w:szCs w:val="18"/>
                <w:lang w:eastAsia="en-US"/>
              </w:rPr>
            </w:pPr>
            <w:r>
              <w:rPr>
                <w:rFonts w:hint="default" w:ascii="Times New Roman" w:hAnsi="Times New Roman" w:eastAsia="宋体" w:cs="Times New Roman"/>
                <w:kern w:val="0"/>
                <w:sz w:val="18"/>
                <w:szCs w:val="18"/>
                <w:lang w:eastAsia="zh-CN" w:bidi="ar"/>
              </w:rPr>
              <w:t>115.138×7.137</w:t>
            </w:r>
          </w:p>
        </w:tc>
        <w:tc>
          <w:tcPr>
            <w:tcW w:w="577" w:type="pct"/>
            <w:tcBorders>
              <w:top w:val="single" w:color="auto" w:sz="4" w:space="0"/>
              <w:left w:val="single" w:color="auto" w:sz="4" w:space="0"/>
              <w:bottom w:val="single" w:color="auto" w:sz="4" w:space="0"/>
              <w:right w:val="single" w:color="auto" w:sz="4" w:space="0"/>
            </w:tcBorders>
            <w:shd w:val="clear" w:color="auto" w:fill="auto"/>
            <w:noWrap/>
          </w:tcPr>
          <w:p>
            <w:pPr>
              <w:widowControl/>
              <w:jc w:val="center"/>
              <w:textAlignment w:val="top"/>
              <w:rPr>
                <w:rFonts w:hint="default" w:ascii="Times New Roman" w:hAnsi="Times New Roman" w:cs="Times New Roman" w:eastAsiaTheme="minorEastAsia"/>
                <w:kern w:val="0"/>
                <w:sz w:val="18"/>
                <w:szCs w:val="18"/>
                <w:lang w:eastAsia="en-US"/>
              </w:rPr>
            </w:pPr>
            <w:r>
              <w:rPr>
                <w:rFonts w:hint="default" w:ascii="Times New Roman" w:hAnsi="Times New Roman" w:eastAsia="宋体" w:cs="Times New Roman"/>
                <w:kern w:val="0"/>
                <w:sz w:val="20"/>
                <w:szCs w:val="20"/>
                <w:lang w:eastAsia="zh-CN" w:bidi="ar"/>
              </w:rPr>
              <w:t>径封 113.67*5.33</w:t>
            </w:r>
          </w:p>
        </w:tc>
        <w:tc>
          <w:tcPr>
            <w:tcW w:w="26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图2</w:t>
            </w:r>
          </w:p>
        </w:tc>
      </w:tr>
    </w:tbl>
    <w:p>
      <w:pPr>
        <w:spacing w:before="156" w:beforeLines="50"/>
        <w:jc w:val="center"/>
        <w:rPr>
          <w:rStyle w:val="14"/>
          <w:rFonts w:hint="default" w:ascii="Times New Roman" w:hAnsi="Times New Roman" w:cs="Times New Roman" w:eastAsiaTheme="minorEastAsia"/>
          <w:kern w:val="0"/>
          <w:sz w:val="24"/>
          <w:lang w:eastAsia="en-US"/>
        </w:rPr>
      </w:pPr>
      <w:r>
        <w:rPr>
          <w:rStyle w:val="14"/>
          <w:rFonts w:ascii="Times New Roman" w:hAnsi="Times New Roman" w:cs="Times New Roman"/>
          <w:kern w:val="0"/>
          <w:sz w:val="24"/>
          <w:lang w:eastAsia="en-US"/>
        </w:rPr>
        <w:t>电机接口尺寸</w:t>
      </w:r>
    </w:p>
    <w:tbl>
      <w:tblPr>
        <w:tblStyle w:val="11"/>
        <w:tblW w:w="4300" w:type="pct"/>
        <w:jc w:val="center"/>
        <w:tblLayout w:type="fixed"/>
        <w:tblCellMar>
          <w:top w:w="0" w:type="dxa"/>
          <w:left w:w="108" w:type="dxa"/>
          <w:bottom w:w="0" w:type="dxa"/>
          <w:right w:w="108" w:type="dxa"/>
        </w:tblCellMar>
      </w:tblPr>
      <w:tblGrid>
        <w:gridCol w:w="484"/>
        <w:gridCol w:w="1154"/>
        <w:gridCol w:w="803"/>
        <w:gridCol w:w="920"/>
        <w:gridCol w:w="1149"/>
        <w:gridCol w:w="959"/>
        <w:gridCol w:w="291"/>
        <w:gridCol w:w="867"/>
        <w:gridCol w:w="671"/>
        <w:gridCol w:w="1248"/>
        <w:gridCol w:w="1726"/>
        <w:gridCol w:w="1438"/>
        <w:gridCol w:w="481"/>
      </w:tblGrid>
      <w:tr>
        <w:tblPrEx>
          <w:tblCellMar>
            <w:top w:w="0" w:type="dxa"/>
            <w:left w:w="108" w:type="dxa"/>
            <w:bottom w:w="0" w:type="dxa"/>
            <w:right w:w="108" w:type="dxa"/>
          </w:tblCellMar>
        </w:tblPrEx>
        <w:trPr>
          <w:trHeight w:val="270" w:hRule="atLeast"/>
          <w:tblHeader/>
          <w:jc w:val="center"/>
        </w:trPr>
        <w:tc>
          <w:tcPr>
            <w:tcW w:w="19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系列</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位置</w:t>
            </w:r>
          </w:p>
        </w:tc>
        <w:tc>
          <w:tcPr>
            <w:tcW w:w="329"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D</w:t>
            </w:r>
            <w:r>
              <w:rPr>
                <w:rFonts w:ascii="Times New Roman" w:hAnsi="Times New Roman" w:cs="Times New Roman" w:eastAsiaTheme="minorEastAsia"/>
                <w:kern w:val="0"/>
                <w:sz w:val="18"/>
                <w:szCs w:val="18"/>
                <w:lang w:eastAsia="en-US"/>
              </w:rPr>
              <w:t>1</w:t>
            </w:r>
          </w:p>
        </w:tc>
        <w:tc>
          <w:tcPr>
            <w:tcW w:w="377"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D</w:t>
            </w:r>
            <w:r>
              <w:rPr>
                <w:rFonts w:ascii="Times New Roman" w:hAnsi="Times New Roman" w:cs="Times New Roman" w:eastAsiaTheme="minorEastAsia"/>
                <w:kern w:val="0"/>
                <w:sz w:val="18"/>
                <w:szCs w:val="18"/>
                <w:lang w:eastAsia="en-US"/>
              </w:rPr>
              <w:t>2</w:t>
            </w:r>
          </w:p>
        </w:tc>
        <w:tc>
          <w:tcPr>
            <w:tcW w:w="471"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n×D3</w:t>
            </w:r>
          </w:p>
        </w:tc>
        <w:tc>
          <w:tcPr>
            <w:tcW w:w="512" w:type="pct"/>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L</w:t>
            </w:r>
          </w:p>
        </w:tc>
        <w:tc>
          <w:tcPr>
            <w:tcW w:w="355"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轴窜量</w:t>
            </w:r>
          </w:p>
        </w:tc>
        <w:tc>
          <w:tcPr>
            <w:tcW w:w="275"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轴花键</w:t>
            </w:r>
          </w:p>
        </w:tc>
        <w:tc>
          <w:tcPr>
            <w:tcW w:w="512"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花键套</w:t>
            </w:r>
          </w:p>
        </w:tc>
        <w:tc>
          <w:tcPr>
            <w:tcW w:w="707"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D4×b</w:t>
            </w:r>
          </w:p>
        </w:tc>
        <w:tc>
          <w:tcPr>
            <w:tcW w:w="590"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D×d</w:t>
            </w:r>
          </w:p>
        </w:tc>
        <w:tc>
          <w:tcPr>
            <w:tcW w:w="19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图例</w:t>
            </w:r>
          </w:p>
        </w:tc>
      </w:tr>
      <w:tr>
        <w:tblPrEx>
          <w:tblCellMar>
            <w:top w:w="0" w:type="dxa"/>
            <w:left w:w="108" w:type="dxa"/>
            <w:bottom w:w="0" w:type="dxa"/>
            <w:right w:w="108" w:type="dxa"/>
          </w:tblCellMar>
        </w:tblPrEx>
        <w:trPr>
          <w:trHeight w:val="270" w:hRule="atLeast"/>
          <w:jc w:val="center"/>
        </w:trPr>
        <w:tc>
          <w:tcPr>
            <w:tcW w:w="198" w:type="pct"/>
            <w:vMerge w:val="restart"/>
            <w:tcBorders>
              <w:top w:val="nil"/>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4</w:t>
            </w:r>
            <w:r>
              <w:rPr>
                <w:rFonts w:ascii="Times New Roman" w:hAnsi="Times New Roman" w:cs="Times New Roman" w:eastAsiaTheme="minorEastAsia"/>
                <w:kern w:val="0"/>
                <w:sz w:val="18"/>
                <w:szCs w:val="18"/>
                <w:lang w:eastAsia="en-US"/>
              </w:rPr>
              <w:t xml:space="preserve">56 </w:t>
            </w:r>
          </w:p>
        </w:tc>
        <w:tc>
          <w:tcPr>
            <w:tcW w:w="473"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单节/上节上接头</w:t>
            </w:r>
          </w:p>
        </w:tc>
        <w:tc>
          <w:tcPr>
            <w:tcW w:w="329" w:type="pct"/>
            <w:vMerge w:val="restart"/>
            <w:tcBorders>
              <w:top w:val="nil"/>
              <w:left w:val="nil"/>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93.65</w:t>
            </w:r>
            <w:r>
              <w:rPr>
                <w:rFonts w:hint="default" w:ascii="Times New Roman" w:hAnsi="Times New Roman" w:cs="Times New Roman" w:eastAsiaTheme="minorEastAsia"/>
                <w:kern w:val="0"/>
                <w:sz w:val="18"/>
                <w:szCs w:val="18"/>
                <w:lang w:eastAsia="en-US"/>
              </w:rPr>
              <w:t>±0.1</w:t>
            </w:r>
          </w:p>
        </w:tc>
        <w:tc>
          <w:tcPr>
            <w:tcW w:w="377"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73.03</w:t>
            </w:r>
            <w:r>
              <w:rPr>
                <w:rFonts w:ascii="Times New Roman" w:hAnsi="Times New Roman" w:cs="Times New Roman" w:eastAsiaTheme="minorEastAsia"/>
                <w:kern w:val="0"/>
                <w:sz w:val="18"/>
                <w:szCs w:val="18"/>
                <w:lang w:eastAsia="en-US"/>
                <w:eastAsianLayout w:id="47" w:combine="1"/>
              </w:rPr>
              <w:t>+0.05 +0</w:t>
            </w:r>
          </w:p>
        </w:tc>
        <w:tc>
          <w:tcPr>
            <w:tcW w:w="471"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6</w:t>
            </w:r>
            <w:r>
              <w:rPr>
                <w:rFonts w:hint="default" w:ascii="Times New Roman" w:hAnsi="Times New Roman" w:cs="Times New Roman" w:eastAsiaTheme="minorEastAsia"/>
                <w:kern w:val="0"/>
                <w:sz w:val="18"/>
                <w:szCs w:val="18"/>
                <w:lang w:eastAsia="en-US"/>
              </w:rPr>
              <w:t>×</w:t>
            </w:r>
            <w:r>
              <w:rPr>
                <w:rFonts w:ascii="Times New Roman" w:hAnsi="Times New Roman" w:cs="Times New Roman" w:eastAsiaTheme="minorEastAsia"/>
                <w:kern w:val="0"/>
                <w:sz w:val="18"/>
                <w:szCs w:val="18"/>
                <w:lang w:eastAsia="en-US"/>
              </w:rPr>
              <w:t>7/16</w:t>
            </w:r>
            <w:r>
              <w:rPr>
                <w:rFonts w:hint="default" w:ascii="Times New Roman" w:hAnsi="Times New Roman" w:cs="Times New Roman" w:eastAsiaTheme="minorEastAsia"/>
                <w:kern w:val="0"/>
                <w:sz w:val="18"/>
                <w:szCs w:val="18"/>
                <w:lang w:eastAsia="en-US"/>
              </w:rPr>
              <w:t>＂</w:t>
            </w:r>
            <w:r>
              <w:rPr>
                <w:rFonts w:ascii="Times New Roman" w:hAnsi="Times New Roman" w:cs="Times New Roman" w:eastAsiaTheme="minorEastAsia"/>
                <w:kern w:val="0"/>
                <w:sz w:val="18"/>
                <w:szCs w:val="18"/>
                <w:lang w:eastAsia="en-US"/>
              </w:rPr>
              <w:t>-20UNF</w:t>
            </w:r>
          </w:p>
        </w:tc>
        <w:tc>
          <w:tcPr>
            <w:tcW w:w="393" w:type="pct"/>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+22.23</w:t>
            </w:r>
            <w:r>
              <w:rPr>
                <w:rFonts w:ascii="Times New Roman" w:hAnsi="Times New Roman" w:cs="Times New Roman" w:eastAsiaTheme="minorEastAsia"/>
                <w:kern w:val="0"/>
                <w:sz w:val="18"/>
                <w:szCs w:val="18"/>
                <w:lang w:eastAsia="en-US"/>
                <w:eastAsianLayout w:id="48" w:combine="1"/>
              </w:rPr>
              <w:t>+3.96 +0</w:t>
            </w:r>
          </w:p>
        </w:tc>
        <w:tc>
          <w:tcPr>
            <w:tcW w:w="119" w:type="pct"/>
            <w:vMerge w:val="restart"/>
            <w:tcBorders>
              <w:top w:val="single" w:color="auto" w:sz="4" w:space="0"/>
              <w:left w:val="nil"/>
              <w:right w:val="single" w:color="auto" w:sz="4" w:space="0"/>
            </w:tcBorders>
            <w:vAlign w:val="center"/>
          </w:tcPr>
          <w:p>
            <w:pPr>
              <w:widowControl/>
              <w:spacing w:line="300" w:lineRule="exact"/>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轴下推到底</w:t>
            </w:r>
          </w:p>
        </w:tc>
        <w:tc>
          <w:tcPr>
            <w:tcW w:w="355" w:type="pct"/>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1.59～4.76</w:t>
            </w:r>
          </w:p>
        </w:tc>
        <w:tc>
          <w:tcPr>
            <w:tcW w:w="275" w:type="pct"/>
            <w:vMerge w:val="restart"/>
            <w:tcBorders>
              <w:top w:val="nil"/>
              <w:left w:val="nil"/>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1</w:t>
            </w:r>
            <w:r>
              <w:rPr>
                <w:rFonts w:hint="default" w:ascii="Times New Roman" w:hAnsi="Times New Roman" w:cs="Times New Roman" w:eastAsiaTheme="minorEastAsia"/>
                <w:kern w:val="0"/>
                <w:sz w:val="18"/>
                <w:szCs w:val="18"/>
                <w:lang w:eastAsia="en-US"/>
              </w:rPr>
              <w:t>-</w:t>
            </w:r>
            <w:r>
              <w:rPr>
                <w:rFonts w:ascii="Times New Roman" w:hAnsi="Times New Roman" w:cs="Times New Roman" w:eastAsiaTheme="minorEastAsia"/>
                <w:kern w:val="0"/>
                <w:sz w:val="18"/>
                <w:szCs w:val="18"/>
                <w:lang w:eastAsia="en-US"/>
              </w:rPr>
              <w:t>3/16</w:t>
            </w:r>
            <w:r>
              <w:rPr>
                <w:rFonts w:hint="default" w:ascii="Times New Roman" w:hAnsi="Times New Roman" w:cs="Times New Roman" w:eastAsiaTheme="minorEastAsia"/>
                <w:kern w:val="0"/>
                <w:sz w:val="18"/>
                <w:szCs w:val="18"/>
                <w:lang w:eastAsia="en-US"/>
              </w:rPr>
              <w:t>″</w:t>
            </w:r>
          </w:p>
        </w:tc>
        <w:tc>
          <w:tcPr>
            <w:tcW w:w="512" w:type="pct"/>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1-1/2″×</w:t>
            </w:r>
            <w:r>
              <w:rPr>
                <w:rFonts w:ascii="Times New Roman" w:hAnsi="Times New Roman" w:cs="Times New Roman" w:eastAsiaTheme="minorEastAsia"/>
                <w:kern w:val="0"/>
                <w:sz w:val="18"/>
                <w:szCs w:val="18"/>
                <w:lang w:eastAsia="en-US"/>
              </w:rPr>
              <w:t>1</w:t>
            </w:r>
            <w:r>
              <w:rPr>
                <w:rFonts w:hint="default" w:ascii="Times New Roman" w:hAnsi="Times New Roman" w:cs="Times New Roman" w:eastAsiaTheme="minorEastAsia"/>
                <w:kern w:val="0"/>
                <w:sz w:val="18"/>
                <w:szCs w:val="18"/>
                <w:lang w:eastAsia="en-US"/>
              </w:rPr>
              <w:t>-</w:t>
            </w:r>
            <w:r>
              <w:rPr>
                <w:rFonts w:ascii="Times New Roman" w:hAnsi="Times New Roman" w:cs="Times New Roman" w:eastAsiaTheme="minorEastAsia"/>
                <w:kern w:val="0"/>
                <w:sz w:val="18"/>
                <w:szCs w:val="18"/>
                <w:lang w:eastAsia="en-US"/>
              </w:rPr>
              <w:t>3/16</w:t>
            </w:r>
            <w:r>
              <w:rPr>
                <w:rFonts w:hint="default" w:ascii="Times New Roman" w:hAnsi="Times New Roman" w:cs="Times New Roman" w:eastAsiaTheme="minorEastAsia"/>
                <w:kern w:val="0"/>
                <w:sz w:val="18"/>
                <w:szCs w:val="18"/>
                <w:lang w:eastAsia="en-US"/>
              </w:rPr>
              <w:t>″</w:t>
            </w:r>
          </w:p>
        </w:tc>
        <w:tc>
          <w:tcPr>
            <w:tcW w:w="707"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无</w:t>
            </w:r>
          </w:p>
        </w:tc>
        <w:tc>
          <w:tcPr>
            <w:tcW w:w="590"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无</w:t>
            </w:r>
          </w:p>
        </w:tc>
        <w:tc>
          <w:tcPr>
            <w:tcW w:w="197" w:type="pct"/>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图1</w:t>
            </w:r>
          </w:p>
        </w:tc>
      </w:tr>
      <w:tr>
        <w:tblPrEx>
          <w:tblCellMar>
            <w:top w:w="0" w:type="dxa"/>
            <w:left w:w="108" w:type="dxa"/>
            <w:bottom w:w="0" w:type="dxa"/>
            <w:right w:w="108" w:type="dxa"/>
          </w:tblCellMar>
        </w:tblPrEx>
        <w:trPr>
          <w:trHeight w:val="270" w:hRule="atLeast"/>
          <w:jc w:val="center"/>
        </w:trPr>
        <w:tc>
          <w:tcPr>
            <w:tcW w:w="198" w:type="pct"/>
            <w:vMerge w:val="continue"/>
            <w:tcBorders>
              <w:top w:val="nil"/>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p>
        </w:tc>
        <w:tc>
          <w:tcPr>
            <w:tcW w:w="473"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上节下接头*</w:t>
            </w:r>
          </w:p>
        </w:tc>
        <w:tc>
          <w:tcPr>
            <w:tcW w:w="329" w:type="pct"/>
            <w:vMerge w:val="continue"/>
            <w:tcBorders>
              <w:top w:val="nil"/>
              <w:left w:val="nil"/>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377"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73.03</w:t>
            </w:r>
            <w:r>
              <w:rPr>
                <w:rFonts w:ascii="Times New Roman" w:hAnsi="Times New Roman" w:cs="Times New Roman" w:eastAsiaTheme="minorEastAsia"/>
                <w:kern w:val="0"/>
                <w:sz w:val="18"/>
                <w:szCs w:val="18"/>
                <w:lang w:eastAsia="en-US"/>
                <w:eastAsianLayout w:id="49" w:combine="1"/>
              </w:rPr>
              <w:t>-0.056 -0.081</w:t>
            </w:r>
          </w:p>
        </w:tc>
        <w:tc>
          <w:tcPr>
            <w:tcW w:w="471"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393" w:type="pct"/>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3</w:t>
            </w:r>
            <w:r>
              <w:rPr>
                <w:rFonts w:ascii="Times New Roman" w:hAnsi="Times New Roman" w:cs="Times New Roman" w:eastAsiaTheme="minorEastAsia"/>
                <w:kern w:val="0"/>
                <w:sz w:val="18"/>
                <w:szCs w:val="18"/>
                <w:lang w:eastAsia="en-US"/>
              </w:rPr>
              <w:t>.16</w:t>
            </w:r>
            <w:r>
              <w:rPr>
                <w:rFonts w:ascii="Times New Roman" w:hAnsi="Times New Roman" w:cs="Times New Roman" w:eastAsiaTheme="minorEastAsia"/>
                <w:kern w:val="0"/>
                <w:sz w:val="18"/>
                <w:szCs w:val="18"/>
                <w:lang w:eastAsia="en-US"/>
                <w:eastAsianLayout w:id="50" w:combine="1"/>
              </w:rPr>
              <w:t xml:space="preserve">  +0 -4.76</w:t>
            </w:r>
          </w:p>
        </w:tc>
        <w:tc>
          <w:tcPr>
            <w:tcW w:w="119" w:type="pct"/>
            <w:vMerge w:val="continue"/>
            <w:tcBorders>
              <w:left w:val="nil"/>
              <w:right w:val="single" w:color="auto" w:sz="4" w:space="0"/>
            </w:tcBorders>
            <w:vAlign w:val="center"/>
          </w:tcPr>
          <w:p>
            <w:pPr>
              <w:widowControl/>
              <w:spacing w:line="300" w:lineRule="exact"/>
              <w:jc w:val="center"/>
              <w:rPr>
                <w:rFonts w:hint="default" w:ascii="Times New Roman" w:hAnsi="Times New Roman" w:cs="Times New Roman" w:eastAsiaTheme="minorEastAsia"/>
                <w:kern w:val="0"/>
                <w:sz w:val="18"/>
                <w:szCs w:val="18"/>
                <w:lang w:eastAsia="en-US"/>
              </w:rPr>
            </w:pPr>
          </w:p>
        </w:tc>
        <w:tc>
          <w:tcPr>
            <w:tcW w:w="355" w:type="pct"/>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cs="Times New Roman" w:eastAsiaTheme="minorEastAsia"/>
                <w:kern w:val="0"/>
                <w:sz w:val="18"/>
                <w:szCs w:val="18"/>
                <w:lang w:eastAsia="en-US"/>
              </w:rPr>
            </w:pPr>
          </w:p>
        </w:tc>
        <w:tc>
          <w:tcPr>
            <w:tcW w:w="275" w:type="pct"/>
            <w:vMerge w:val="continue"/>
            <w:tcBorders>
              <w:top w:val="nil"/>
              <w:left w:val="nil"/>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512" w:type="pct"/>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hint="default" w:ascii="Times New Roman" w:hAnsi="Times New Roman" w:cs="Times New Roman" w:eastAsiaTheme="minorEastAsia"/>
                <w:kern w:val="0"/>
                <w:sz w:val="18"/>
                <w:szCs w:val="18"/>
                <w:lang w:eastAsia="en-US"/>
              </w:rPr>
            </w:pPr>
          </w:p>
        </w:tc>
        <w:tc>
          <w:tcPr>
            <w:tcW w:w="707"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无</w:t>
            </w:r>
          </w:p>
        </w:tc>
        <w:tc>
          <w:tcPr>
            <w:tcW w:w="590"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无</w:t>
            </w:r>
          </w:p>
        </w:tc>
        <w:tc>
          <w:tcPr>
            <w:tcW w:w="197" w:type="pct"/>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图2</w:t>
            </w:r>
          </w:p>
        </w:tc>
      </w:tr>
      <w:tr>
        <w:tblPrEx>
          <w:tblCellMar>
            <w:top w:w="0" w:type="dxa"/>
            <w:left w:w="108" w:type="dxa"/>
            <w:bottom w:w="0" w:type="dxa"/>
            <w:right w:w="108" w:type="dxa"/>
          </w:tblCellMar>
        </w:tblPrEx>
        <w:trPr>
          <w:trHeight w:val="270" w:hRule="atLeast"/>
          <w:jc w:val="center"/>
        </w:trPr>
        <w:tc>
          <w:tcPr>
            <w:tcW w:w="198" w:type="pct"/>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p>
        </w:tc>
        <w:tc>
          <w:tcPr>
            <w:tcW w:w="473"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下节上接头*</w:t>
            </w:r>
          </w:p>
        </w:tc>
        <w:tc>
          <w:tcPr>
            <w:tcW w:w="329" w:type="pct"/>
            <w:vMerge w:val="continue"/>
            <w:tcBorders>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377"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73.03</w:t>
            </w:r>
            <w:r>
              <w:rPr>
                <w:rFonts w:ascii="Times New Roman" w:hAnsi="Times New Roman" w:cs="Times New Roman" w:eastAsiaTheme="minorEastAsia"/>
                <w:kern w:val="0"/>
                <w:sz w:val="18"/>
                <w:szCs w:val="18"/>
                <w:lang w:eastAsia="en-US"/>
                <w:eastAsianLayout w:id="51" w:combine="1"/>
              </w:rPr>
              <w:t>+0.05 +0</w:t>
            </w:r>
          </w:p>
        </w:tc>
        <w:tc>
          <w:tcPr>
            <w:tcW w:w="471"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6</w:t>
            </w:r>
            <w:r>
              <w:rPr>
                <w:rFonts w:hint="default" w:ascii="Times New Roman" w:hAnsi="Times New Roman" w:cs="Times New Roman" w:eastAsiaTheme="minorEastAsia"/>
                <w:kern w:val="0"/>
                <w:sz w:val="18"/>
                <w:szCs w:val="18"/>
                <w:lang w:eastAsia="en-US"/>
              </w:rPr>
              <w:t>×</w:t>
            </w:r>
            <w:r>
              <w:rPr>
                <w:rFonts w:ascii="Times New Roman" w:hAnsi="Times New Roman" w:cs="Times New Roman" w:eastAsiaTheme="minorEastAsia"/>
                <w:kern w:val="0"/>
                <w:sz w:val="18"/>
                <w:szCs w:val="18"/>
                <w:lang w:eastAsia="en-US"/>
              </w:rPr>
              <w:t>7/16</w:t>
            </w:r>
            <w:r>
              <w:rPr>
                <w:rFonts w:hint="default" w:ascii="Times New Roman" w:hAnsi="Times New Roman" w:cs="Times New Roman" w:eastAsiaTheme="minorEastAsia"/>
                <w:kern w:val="0"/>
                <w:sz w:val="18"/>
                <w:szCs w:val="18"/>
                <w:lang w:eastAsia="en-US"/>
              </w:rPr>
              <w:t>＂</w:t>
            </w:r>
            <w:r>
              <w:rPr>
                <w:rFonts w:ascii="Times New Roman" w:hAnsi="Times New Roman" w:cs="Times New Roman" w:eastAsiaTheme="minorEastAsia"/>
                <w:kern w:val="0"/>
                <w:sz w:val="18"/>
                <w:szCs w:val="18"/>
                <w:lang w:eastAsia="en-US"/>
              </w:rPr>
              <w:t>-20UNF</w:t>
            </w:r>
          </w:p>
        </w:tc>
        <w:tc>
          <w:tcPr>
            <w:tcW w:w="393"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w:t>
            </w:r>
            <w:r>
              <w:rPr>
                <w:rFonts w:hint="default" w:ascii="Times New Roman" w:hAnsi="Times New Roman" w:cs="Times New Roman" w:eastAsiaTheme="minorEastAsia"/>
                <w:kern w:val="0"/>
                <w:sz w:val="18"/>
                <w:szCs w:val="18"/>
                <w:lang w:eastAsia="en-US"/>
              </w:rPr>
              <w:t>1</w:t>
            </w:r>
            <w:r>
              <w:rPr>
                <w:rFonts w:ascii="Times New Roman" w:hAnsi="Times New Roman" w:cs="Times New Roman" w:eastAsiaTheme="minorEastAsia"/>
                <w:kern w:val="0"/>
                <w:sz w:val="18"/>
                <w:szCs w:val="18"/>
                <w:lang w:eastAsia="en-US"/>
              </w:rPr>
              <w:t>0.32</w:t>
            </w:r>
            <w:r>
              <w:rPr>
                <w:rFonts w:ascii="Times New Roman" w:hAnsi="Times New Roman" w:cs="Times New Roman" w:eastAsiaTheme="minorEastAsia"/>
                <w:kern w:val="0"/>
                <w:sz w:val="18"/>
                <w:szCs w:val="18"/>
                <w:lang w:eastAsia="en-US"/>
                <w:eastAsianLayout w:id="52" w:combine="1"/>
              </w:rPr>
              <w:t>+2.38 +0</w:t>
            </w:r>
          </w:p>
        </w:tc>
        <w:tc>
          <w:tcPr>
            <w:tcW w:w="119" w:type="pct"/>
            <w:vMerge w:val="continue"/>
            <w:tcBorders>
              <w:left w:val="nil"/>
              <w:right w:val="single" w:color="auto" w:sz="4" w:space="0"/>
            </w:tcBorders>
          </w:tcPr>
          <w:p>
            <w:pPr>
              <w:widowControl/>
              <w:jc w:val="center"/>
              <w:rPr>
                <w:rFonts w:hint="default" w:ascii="Times New Roman" w:hAnsi="Times New Roman" w:cs="Times New Roman" w:eastAsiaTheme="minorEastAsia"/>
                <w:kern w:val="0"/>
                <w:sz w:val="18"/>
                <w:szCs w:val="18"/>
                <w:lang w:eastAsia="en-US"/>
              </w:rPr>
            </w:pPr>
          </w:p>
        </w:tc>
        <w:tc>
          <w:tcPr>
            <w:tcW w:w="355"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1.59～4.76</w:t>
            </w:r>
          </w:p>
        </w:tc>
        <w:tc>
          <w:tcPr>
            <w:tcW w:w="275" w:type="pct"/>
            <w:vMerge w:val="continue"/>
            <w:tcBorders>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512"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w:t>
            </w:r>
            <w:r>
              <w:rPr>
                <w:rFonts w:ascii="Times New Roman" w:hAnsi="Times New Roman" w:cs="Times New Roman" w:eastAsiaTheme="minorEastAsia"/>
                <w:kern w:val="0"/>
                <w:sz w:val="18"/>
                <w:szCs w:val="18"/>
                <w:lang w:eastAsia="en-US"/>
              </w:rPr>
              <w:t>3</w:t>
            </w:r>
            <w:r>
              <w:rPr>
                <w:rFonts w:hint="default" w:ascii="Times New Roman" w:hAnsi="Times New Roman" w:cs="Times New Roman" w:eastAsiaTheme="minorEastAsia"/>
                <w:kern w:val="0"/>
                <w:sz w:val="18"/>
                <w:szCs w:val="18"/>
                <w:lang w:eastAsia="en-US"/>
              </w:rPr>
              <w:t>/</w:t>
            </w:r>
            <w:r>
              <w:rPr>
                <w:rFonts w:ascii="Times New Roman" w:hAnsi="Times New Roman" w:cs="Times New Roman" w:eastAsiaTheme="minorEastAsia"/>
                <w:kern w:val="0"/>
                <w:sz w:val="18"/>
                <w:szCs w:val="18"/>
                <w:lang w:eastAsia="en-US"/>
              </w:rPr>
              <w:t>16</w:t>
            </w:r>
            <w:r>
              <w:rPr>
                <w:rFonts w:hint="default" w:ascii="Times New Roman" w:hAnsi="Times New Roman" w:cs="Times New Roman" w:eastAsiaTheme="minorEastAsia"/>
                <w:kern w:val="0"/>
                <w:sz w:val="18"/>
                <w:szCs w:val="18"/>
                <w:lang w:eastAsia="en-US"/>
              </w:rPr>
              <w:t>″×1-</w:t>
            </w:r>
            <w:r>
              <w:rPr>
                <w:rFonts w:ascii="Times New Roman" w:hAnsi="Times New Roman" w:cs="Times New Roman" w:eastAsiaTheme="minorEastAsia"/>
                <w:kern w:val="0"/>
                <w:sz w:val="18"/>
                <w:szCs w:val="18"/>
                <w:lang w:eastAsia="en-US"/>
              </w:rPr>
              <w:t>3</w:t>
            </w:r>
            <w:r>
              <w:rPr>
                <w:rFonts w:hint="default" w:ascii="Times New Roman" w:hAnsi="Times New Roman" w:cs="Times New Roman" w:eastAsiaTheme="minorEastAsia"/>
                <w:kern w:val="0"/>
                <w:sz w:val="18"/>
                <w:szCs w:val="18"/>
                <w:lang w:eastAsia="en-US"/>
              </w:rPr>
              <w:t>/</w:t>
            </w:r>
            <w:r>
              <w:rPr>
                <w:rFonts w:ascii="Times New Roman" w:hAnsi="Times New Roman" w:cs="Times New Roman" w:eastAsiaTheme="minorEastAsia"/>
                <w:kern w:val="0"/>
                <w:sz w:val="18"/>
                <w:szCs w:val="18"/>
                <w:lang w:eastAsia="en-US"/>
              </w:rPr>
              <w:t>16</w:t>
            </w:r>
            <w:r>
              <w:rPr>
                <w:rFonts w:hint="default" w:ascii="Times New Roman" w:hAnsi="Times New Roman" w:cs="Times New Roman" w:eastAsiaTheme="minorEastAsia"/>
                <w:kern w:val="0"/>
                <w:sz w:val="18"/>
                <w:szCs w:val="18"/>
                <w:lang w:eastAsia="en-US"/>
              </w:rPr>
              <w:t>″</w:t>
            </w:r>
          </w:p>
        </w:tc>
        <w:tc>
          <w:tcPr>
            <w:tcW w:w="707"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8</w:t>
            </w:r>
            <w:r>
              <w:rPr>
                <w:rFonts w:ascii="Times New Roman" w:hAnsi="Times New Roman" w:cs="Times New Roman" w:eastAsiaTheme="minorEastAsia"/>
                <w:kern w:val="0"/>
                <w:sz w:val="18"/>
                <w:szCs w:val="18"/>
                <w:lang w:eastAsia="en-US"/>
              </w:rPr>
              <w:t>0.086</w:t>
            </w:r>
            <w:r>
              <w:rPr>
                <w:rFonts w:ascii="Times New Roman" w:hAnsi="Times New Roman" w:cs="Times New Roman" w:eastAsiaTheme="minorEastAsia"/>
                <w:kern w:val="0"/>
                <w:sz w:val="18"/>
                <w:szCs w:val="18"/>
                <w:lang w:eastAsia="en-US"/>
                <w:eastAsianLayout w:id="53" w:combine="1"/>
              </w:rPr>
              <w:t>+0.051 -0.051</w:t>
            </w:r>
            <w:r>
              <w:rPr>
                <w:rFonts w:ascii="Times New Roman" w:hAnsi="Times New Roman" w:cs="Times New Roman" w:eastAsiaTheme="minorEastAsia"/>
                <w:kern w:val="0"/>
                <w:sz w:val="18"/>
                <w:szCs w:val="18"/>
                <w:lang w:eastAsia="en-US"/>
              </w:rPr>
              <w:t>×2.03±0.13</w:t>
            </w:r>
          </w:p>
        </w:tc>
        <w:tc>
          <w:tcPr>
            <w:tcW w:w="590" w:type="pct"/>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角封</w:t>
            </w:r>
            <w:r>
              <w:rPr>
                <w:rFonts w:ascii="Times New Roman" w:hAnsi="Times New Roman" w:cs="Times New Roman" w:eastAsiaTheme="minorEastAsia"/>
                <w:kern w:val="0"/>
                <w:sz w:val="18"/>
                <w:szCs w:val="18"/>
                <w:lang w:eastAsia="en-US"/>
              </w:rPr>
              <w:t>72.6</w:t>
            </w:r>
            <w:r>
              <w:rPr>
                <w:rFonts w:ascii="Times New Roman" w:hAnsi="Times New Roman" w:cs="Times New Roman" w:eastAsiaTheme="minorEastAsia"/>
                <w:kern w:val="0"/>
                <w:sz w:val="18"/>
                <w:szCs w:val="18"/>
                <w:lang w:eastAsia="en-US"/>
                <w:eastAsianLayout w:id="54" w:combine="1"/>
              </w:rPr>
              <w:t>+0.4 -0.1</w:t>
            </w:r>
            <w:r>
              <w:rPr>
                <w:rFonts w:hint="default" w:ascii="Times New Roman" w:hAnsi="Times New Roman" w:cs="Times New Roman" w:eastAsiaTheme="minorEastAsia"/>
                <w:kern w:val="0"/>
                <w:sz w:val="18"/>
                <w:szCs w:val="18"/>
                <w:lang w:eastAsia="en-US"/>
              </w:rPr>
              <w:t>×</w:t>
            </w:r>
            <w:r>
              <w:rPr>
                <w:rFonts w:ascii="Times New Roman" w:hAnsi="Times New Roman" w:cs="Times New Roman" w:eastAsiaTheme="minorEastAsia"/>
                <w:kern w:val="0"/>
                <w:sz w:val="18"/>
                <w:szCs w:val="18"/>
                <w:lang w:eastAsia="en-US"/>
              </w:rPr>
              <w:t>3.1</w:t>
            </w:r>
            <w:r>
              <w:rPr>
                <w:rFonts w:ascii="Times New Roman" w:hAnsi="Times New Roman" w:cs="Times New Roman" w:eastAsiaTheme="minorEastAsia"/>
                <w:kern w:val="0"/>
                <w:sz w:val="18"/>
                <w:szCs w:val="18"/>
                <w:lang w:eastAsia="en-US"/>
                <w:eastAsianLayout w:id="55" w:combine="1"/>
              </w:rPr>
              <w:t>+0.12 -0.10</w:t>
            </w:r>
          </w:p>
        </w:tc>
        <w:tc>
          <w:tcPr>
            <w:tcW w:w="197" w:type="pct"/>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图1</w:t>
            </w:r>
          </w:p>
        </w:tc>
      </w:tr>
      <w:tr>
        <w:tblPrEx>
          <w:tblCellMar>
            <w:top w:w="0" w:type="dxa"/>
            <w:left w:w="108" w:type="dxa"/>
            <w:bottom w:w="0" w:type="dxa"/>
            <w:right w:w="108" w:type="dxa"/>
          </w:tblCellMar>
        </w:tblPrEx>
        <w:trPr>
          <w:trHeight w:val="270" w:hRule="atLeast"/>
          <w:jc w:val="center"/>
        </w:trPr>
        <w:tc>
          <w:tcPr>
            <w:tcW w:w="198" w:type="pct"/>
            <w:vMerge w:val="restart"/>
            <w:tcBorders>
              <w:top w:val="single" w:color="auto" w:sz="4" w:space="0"/>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5</w:t>
            </w:r>
            <w:r>
              <w:rPr>
                <w:rFonts w:ascii="Times New Roman" w:hAnsi="Times New Roman" w:cs="Times New Roman" w:eastAsiaTheme="minorEastAsia"/>
                <w:kern w:val="0"/>
                <w:sz w:val="18"/>
                <w:szCs w:val="18"/>
                <w:lang w:eastAsia="en-US"/>
              </w:rPr>
              <w:t>40</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单节/上节上接头</w:t>
            </w:r>
          </w:p>
        </w:tc>
        <w:tc>
          <w:tcPr>
            <w:tcW w:w="329" w:type="pct"/>
            <w:vMerge w:val="restart"/>
            <w:tcBorders>
              <w:top w:val="single" w:color="auto" w:sz="4" w:space="0"/>
              <w:left w:val="nil"/>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112.7</w:t>
            </w:r>
            <w:r>
              <w:rPr>
                <w:rFonts w:hint="default" w:ascii="Times New Roman" w:hAnsi="Times New Roman" w:cs="Times New Roman" w:eastAsiaTheme="minorEastAsia"/>
                <w:kern w:val="0"/>
                <w:sz w:val="18"/>
                <w:szCs w:val="18"/>
                <w:lang w:eastAsia="en-US"/>
              </w:rPr>
              <w:t>±0.1</w:t>
            </w:r>
          </w:p>
        </w:tc>
        <w:tc>
          <w:tcPr>
            <w:tcW w:w="377"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92.075</w:t>
            </w:r>
            <w:r>
              <w:rPr>
                <w:rFonts w:ascii="Times New Roman" w:hAnsi="Times New Roman" w:cs="Times New Roman" w:eastAsiaTheme="minorEastAsia"/>
                <w:kern w:val="0"/>
                <w:sz w:val="18"/>
                <w:szCs w:val="18"/>
                <w:lang w:eastAsia="en-US"/>
                <w:eastAsianLayout w:id="56" w:combine="1"/>
              </w:rPr>
              <w:t>+0.051 +0</w:t>
            </w:r>
          </w:p>
        </w:tc>
        <w:tc>
          <w:tcPr>
            <w:tcW w:w="471"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11×</w:t>
            </w:r>
            <w:r>
              <w:rPr>
                <w:rFonts w:ascii="Times New Roman" w:hAnsi="Times New Roman" w:cs="Times New Roman" w:eastAsiaTheme="minorEastAsia"/>
                <w:kern w:val="0"/>
                <w:sz w:val="18"/>
                <w:szCs w:val="18"/>
                <w:lang w:eastAsia="en-US"/>
              </w:rPr>
              <w:t>7/16</w:t>
            </w:r>
            <w:r>
              <w:rPr>
                <w:rFonts w:hint="default" w:ascii="Times New Roman" w:hAnsi="Times New Roman" w:cs="Times New Roman" w:eastAsiaTheme="minorEastAsia"/>
                <w:kern w:val="0"/>
                <w:sz w:val="18"/>
                <w:szCs w:val="18"/>
                <w:lang w:eastAsia="en-US"/>
              </w:rPr>
              <w:t>＂</w:t>
            </w:r>
            <w:r>
              <w:rPr>
                <w:rFonts w:ascii="Times New Roman" w:hAnsi="Times New Roman" w:cs="Times New Roman" w:eastAsiaTheme="minorEastAsia"/>
                <w:kern w:val="0"/>
                <w:sz w:val="18"/>
                <w:szCs w:val="18"/>
                <w:lang w:eastAsia="en-US"/>
              </w:rPr>
              <w:t>-20UNF</w:t>
            </w:r>
          </w:p>
        </w:tc>
        <w:tc>
          <w:tcPr>
            <w:tcW w:w="393"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+25.4</w:t>
            </w:r>
            <w:r>
              <w:rPr>
                <w:rFonts w:ascii="Times New Roman" w:hAnsi="Times New Roman" w:cs="Times New Roman" w:eastAsiaTheme="minorEastAsia"/>
                <w:kern w:val="0"/>
                <w:sz w:val="18"/>
                <w:szCs w:val="18"/>
                <w:lang w:eastAsia="en-US"/>
                <w:eastAsianLayout w:id="57" w:combine="1"/>
              </w:rPr>
              <w:t>+2.38 -1.59</w:t>
            </w:r>
          </w:p>
        </w:tc>
        <w:tc>
          <w:tcPr>
            <w:tcW w:w="119" w:type="pct"/>
            <w:vMerge w:val="continue"/>
            <w:tcBorders>
              <w:left w:val="nil"/>
              <w:right w:val="single" w:color="auto" w:sz="4" w:space="0"/>
            </w:tcBorders>
          </w:tcPr>
          <w:p>
            <w:pPr>
              <w:widowControl/>
              <w:jc w:val="center"/>
              <w:rPr>
                <w:rFonts w:hint="default" w:ascii="Times New Roman" w:hAnsi="Times New Roman" w:cs="Times New Roman" w:eastAsiaTheme="minorEastAsia"/>
                <w:kern w:val="0"/>
                <w:sz w:val="18"/>
                <w:szCs w:val="18"/>
                <w:lang w:eastAsia="en-US"/>
              </w:rPr>
            </w:pPr>
          </w:p>
        </w:tc>
        <w:tc>
          <w:tcPr>
            <w:tcW w:w="355"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1.6～7.1</w:t>
            </w:r>
          </w:p>
        </w:tc>
        <w:tc>
          <w:tcPr>
            <w:tcW w:w="275" w:type="pct"/>
            <w:vMerge w:val="restart"/>
            <w:tcBorders>
              <w:top w:val="single" w:color="auto" w:sz="4" w:space="0"/>
              <w:left w:val="nil"/>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1</w:t>
            </w:r>
            <w:r>
              <w:rPr>
                <w:rFonts w:hint="default" w:ascii="Times New Roman" w:hAnsi="Times New Roman" w:cs="Times New Roman" w:eastAsiaTheme="minorEastAsia"/>
                <w:kern w:val="0"/>
                <w:sz w:val="18"/>
                <w:szCs w:val="18"/>
                <w:lang w:eastAsia="en-US"/>
              </w:rPr>
              <w:t>-3/8″</w:t>
            </w:r>
          </w:p>
        </w:tc>
        <w:tc>
          <w:tcPr>
            <w:tcW w:w="512"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2″×</w:t>
            </w:r>
            <w:r>
              <w:rPr>
                <w:rFonts w:ascii="Times New Roman" w:hAnsi="Times New Roman" w:cs="Times New Roman" w:eastAsiaTheme="minorEastAsia"/>
                <w:kern w:val="0"/>
                <w:sz w:val="18"/>
                <w:szCs w:val="18"/>
                <w:lang w:eastAsia="en-US"/>
              </w:rPr>
              <w:t>1</w:t>
            </w:r>
            <w:r>
              <w:rPr>
                <w:rFonts w:hint="default" w:ascii="Times New Roman" w:hAnsi="Times New Roman" w:cs="Times New Roman" w:eastAsiaTheme="minorEastAsia"/>
                <w:kern w:val="0"/>
                <w:sz w:val="18"/>
                <w:szCs w:val="18"/>
                <w:lang w:eastAsia="en-US"/>
              </w:rPr>
              <w:t>-3/8″</w:t>
            </w:r>
          </w:p>
        </w:tc>
        <w:tc>
          <w:tcPr>
            <w:tcW w:w="707"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98.806±0.051×2.03±0</w:t>
            </w:r>
            <w:r>
              <w:rPr>
                <w:rFonts w:ascii="Times New Roman" w:hAnsi="Times New Roman" w:cs="Times New Roman" w:eastAsiaTheme="minorEastAsia"/>
                <w:kern w:val="0"/>
                <w:sz w:val="18"/>
                <w:szCs w:val="18"/>
                <w:lang w:eastAsia="en-US"/>
              </w:rPr>
              <w:t>.13</w:t>
            </w:r>
          </w:p>
        </w:tc>
        <w:tc>
          <w:tcPr>
            <w:tcW w:w="590"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角封89</w:t>
            </w:r>
            <w:r>
              <w:rPr>
                <w:rFonts w:hint="default" w:ascii="Times New Roman" w:hAnsi="Times New Roman" w:cs="Times New Roman" w:eastAsiaTheme="minorEastAsia"/>
                <w:kern w:val="0"/>
                <w:sz w:val="18"/>
                <w:szCs w:val="18"/>
                <w:lang w:eastAsia="en-US"/>
                <w:eastAsianLayout w:id="58" w:combine="1"/>
              </w:rPr>
              <w:t>-0.049 -0.811</w:t>
            </w:r>
            <w:r>
              <w:rPr>
                <w:rFonts w:hint="default" w:ascii="Times New Roman" w:hAnsi="Times New Roman" w:cs="Times New Roman" w:eastAsiaTheme="minorEastAsia"/>
                <w:kern w:val="0"/>
                <w:sz w:val="18"/>
                <w:szCs w:val="18"/>
                <w:lang w:eastAsia="en-US"/>
              </w:rPr>
              <w:t xml:space="preserve"> × 2.5</w:t>
            </w:r>
            <w:r>
              <w:rPr>
                <w:rFonts w:hint="default" w:ascii="Times New Roman" w:hAnsi="Times New Roman" w:cs="Times New Roman" w:eastAsiaTheme="minorEastAsia"/>
                <w:kern w:val="0"/>
                <w:sz w:val="18"/>
                <w:szCs w:val="18"/>
                <w:lang w:eastAsia="en-US"/>
                <w:eastAsianLayout w:id="59" w:combine="1"/>
              </w:rPr>
              <w:t>+0.192 +0.040</w:t>
            </w:r>
          </w:p>
        </w:tc>
        <w:tc>
          <w:tcPr>
            <w:tcW w:w="19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图1</w:t>
            </w:r>
          </w:p>
        </w:tc>
      </w:tr>
      <w:tr>
        <w:tblPrEx>
          <w:tblCellMar>
            <w:top w:w="0" w:type="dxa"/>
            <w:left w:w="108" w:type="dxa"/>
            <w:bottom w:w="0" w:type="dxa"/>
            <w:right w:w="108" w:type="dxa"/>
          </w:tblCellMar>
        </w:tblPrEx>
        <w:trPr>
          <w:trHeight w:val="270" w:hRule="atLeast"/>
          <w:jc w:val="center"/>
        </w:trPr>
        <w:tc>
          <w:tcPr>
            <w:tcW w:w="198" w:type="pct"/>
            <w:vMerge w:val="continue"/>
            <w:tcBorders>
              <w:top w:val="single" w:color="auto" w:sz="4" w:space="0"/>
              <w:left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上节下接头*</w:t>
            </w:r>
          </w:p>
        </w:tc>
        <w:tc>
          <w:tcPr>
            <w:tcW w:w="329" w:type="pct"/>
            <w:vMerge w:val="continue"/>
            <w:tcBorders>
              <w:top w:val="single" w:color="auto" w:sz="4" w:space="0"/>
              <w:left w:val="nil"/>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377"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92.075</w:t>
            </w:r>
            <w:r>
              <w:rPr>
                <w:rFonts w:ascii="Times New Roman" w:hAnsi="Times New Roman" w:cs="Times New Roman" w:eastAsiaTheme="minorEastAsia"/>
                <w:kern w:val="0"/>
                <w:sz w:val="18"/>
                <w:szCs w:val="18"/>
                <w:lang w:eastAsia="en-US"/>
                <w:eastAsianLayout w:id="60" w:combine="1"/>
              </w:rPr>
              <w:t>-0.051 -0.076</w:t>
            </w:r>
          </w:p>
        </w:tc>
        <w:tc>
          <w:tcPr>
            <w:tcW w:w="471"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393"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7</w:t>
            </w:r>
            <w:r>
              <w:rPr>
                <w:rFonts w:ascii="Times New Roman" w:hAnsi="Times New Roman" w:cs="Times New Roman" w:eastAsiaTheme="minorEastAsia"/>
                <w:kern w:val="0"/>
                <w:sz w:val="18"/>
                <w:szCs w:val="18"/>
                <w:lang w:eastAsia="en-US"/>
              </w:rPr>
              <w:t>.938±3.18</w:t>
            </w:r>
          </w:p>
        </w:tc>
        <w:tc>
          <w:tcPr>
            <w:tcW w:w="119" w:type="pct"/>
            <w:vMerge w:val="continue"/>
            <w:tcBorders>
              <w:left w:val="nil"/>
              <w:right w:val="single" w:color="auto" w:sz="4" w:space="0"/>
            </w:tcBorders>
          </w:tcPr>
          <w:p>
            <w:pPr>
              <w:widowControl/>
              <w:jc w:val="center"/>
              <w:rPr>
                <w:rFonts w:hint="default" w:ascii="Times New Roman" w:hAnsi="Times New Roman" w:cs="Times New Roman" w:eastAsiaTheme="minorEastAsia"/>
                <w:kern w:val="0"/>
                <w:sz w:val="18"/>
                <w:szCs w:val="18"/>
                <w:lang w:eastAsia="en-US"/>
              </w:rPr>
            </w:pPr>
          </w:p>
        </w:tc>
        <w:tc>
          <w:tcPr>
            <w:tcW w:w="355"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275" w:type="pct"/>
            <w:vMerge w:val="continue"/>
            <w:tcBorders>
              <w:top w:val="single" w:color="auto" w:sz="4" w:space="0"/>
              <w:left w:val="nil"/>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512"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707"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87.960</w:t>
            </w:r>
            <w:r>
              <w:rPr>
                <w:rFonts w:ascii="Times New Roman" w:hAnsi="Times New Roman" w:cs="Times New Roman" w:eastAsiaTheme="minorEastAsia"/>
                <w:kern w:val="0"/>
                <w:sz w:val="18"/>
                <w:szCs w:val="18"/>
                <w:lang w:eastAsia="en-US"/>
                <w:eastAsianLayout w:id="61" w:combine="1"/>
              </w:rPr>
              <w:t xml:space="preserve">    0 -0.102</w:t>
            </w:r>
            <w:r>
              <w:rPr>
                <w:rFonts w:hint="default" w:ascii="Times New Roman" w:hAnsi="Times New Roman" w:cs="Times New Roman" w:eastAsiaTheme="minorEastAsia"/>
                <w:kern w:val="0"/>
                <w:sz w:val="18"/>
                <w:szCs w:val="18"/>
                <w:lang w:eastAsia="en-US"/>
              </w:rPr>
              <w:t>×3</w:t>
            </w:r>
            <w:r>
              <w:rPr>
                <w:rFonts w:ascii="Times New Roman" w:hAnsi="Times New Roman" w:cs="Times New Roman" w:eastAsiaTheme="minorEastAsia"/>
                <w:kern w:val="0"/>
                <w:sz w:val="18"/>
                <w:szCs w:val="18"/>
                <w:lang w:eastAsia="en-US"/>
              </w:rPr>
              <w:t>.05±0.13</w:t>
            </w:r>
          </w:p>
        </w:tc>
        <w:tc>
          <w:tcPr>
            <w:tcW w:w="590"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径封</w:t>
            </w:r>
            <w:r>
              <w:rPr>
                <w:rFonts w:ascii="Times New Roman" w:hAnsi="Times New Roman" w:cs="Times New Roman" w:eastAsiaTheme="minorEastAsia"/>
                <w:kern w:val="0"/>
                <w:sz w:val="18"/>
                <w:szCs w:val="18"/>
                <w:lang w:eastAsia="en-US"/>
              </w:rPr>
              <w:t>82</w:t>
            </w:r>
            <w:r>
              <w:rPr>
                <w:rFonts w:ascii="Times New Roman" w:hAnsi="Times New Roman" w:cs="Times New Roman" w:eastAsiaTheme="minorEastAsia"/>
                <w:kern w:val="0"/>
                <w:sz w:val="18"/>
                <w:szCs w:val="18"/>
                <w:lang w:eastAsia="en-US"/>
                <w:eastAsianLayout w:id="62" w:combine="1"/>
              </w:rPr>
              <w:t>+0.601 -0.161</w:t>
            </w:r>
            <w:r>
              <w:rPr>
                <w:rFonts w:hint="default" w:ascii="Times New Roman" w:hAnsi="Times New Roman" w:cs="Times New Roman" w:eastAsiaTheme="minorEastAsia"/>
                <w:kern w:val="0"/>
                <w:sz w:val="18"/>
                <w:szCs w:val="18"/>
                <w:lang w:eastAsia="en-US"/>
              </w:rPr>
              <w:t>×</w:t>
            </w:r>
            <w:r>
              <w:rPr>
                <w:rFonts w:ascii="Times New Roman" w:hAnsi="Times New Roman" w:cs="Times New Roman" w:eastAsiaTheme="minorEastAsia"/>
                <w:kern w:val="0"/>
                <w:sz w:val="18"/>
                <w:szCs w:val="18"/>
                <w:lang w:eastAsia="en-US"/>
              </w:rPr>
              <w:t>2.5</w:t>
            </w:r>
            <w:r>
              <w:rPr>
                <w:rFonts w:ascii="Times New Roman" w:hAnsi="Times New Roman" w:cs="Times New Roman" w:eastAsiaTheme="minorEastAsia"/>
                <w:kern w:val="0"/>
                <w:sz w:val="18"/>
                <w:szCs w:val="18"/>
                <w:lang w:eastAsia="en-US"/>
                <w:eastAsianLayout w:id="63" w:combine="1"/>
              </w:rPr>
              <w:t>+0.192 +0.040</w:t>
            </w:r>
          </w:p>
        </w:tc>
        <w:tc>
          <w:tcPr>
            <w:tcW w:w="19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图2</w:t>
            </w:r>
          </w:p>
        </w:tc>
      </w:tr>
      <w:tr>
        <w:tblPrEx>
          <w:tblCellMar>
            <w:top w:w="0" w:type="dxa"/>
            <w:left w:w="108" w:type="dxa"/>
            <w:bottom w:w="0" w:type="dxa"/>
            <w:right w:w="108" w:type="dxa"/>
          </w:tblCellMar>
        </w:tblPrEx>
        <w:trPr>
          <w:trHeight w:val="270" w:hRule="atLeast"/>
          <w:jc w:val="center"/>
        </w:trPr>
        <w:tc>
          <w:tcPr>
            <w:tcW w:w="198" w:type="pct"/>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下节上接头*</w:t>
            </w:r>
          </w:p>
        </w:tc>
        <w:tc>
          <w:tcPr>
            <w:tcW w:w="329" w:type="pct"/>
            <w:vMerge w:val="continue"/>
            <w:tcBorders>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377"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92.075</w:t>
            </w:r>
            <w:r>
              <w:rPr>
                <w:rFonts w:ascii="Times New Roman" w:hAnsi="Times New Roman" w:cs="Times New Roman" w:eastAsiaTheme="minorEastAsia"/>
                <w:kern w:val="0"/>
                <w:sz w:val="18"/>
                <w:szCs w:val="18"/>
                <w:lang w:eastAsia="en-US"/>
                <w:eastAsianLayout w:id="64" w:combine="1"/>
              </w:rPr>
              <w:t>+0.025  0</w:t>
            </w:r>
          </w:p>
        </w:tc>
        <w:tc>
          <w:tcPr>
            <w:tcW w:w="471"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11×</w:t>
            </w:r>
            <w:r>
              <w:rPr>
                <w:rFonts w:ascii="Times New Roman" w:hAnsi="Times New Roman" w:cs="Times New Roman" w:eastAsiaTheme="minorEastAsia"/>
                <w:kern w:val="0"/>
                <w:sz w:val="18"/>
                <w:szCs w:val="18"/>
                <w:lang w:eastAsia="en-US"/>
              </w:rPr>
              <w:t>7/16</w:t>
            </w:r>
            <w:r>
              <w:rPr>
                <w:rFonts w:hint="default" w:ascii="Times New Roman" w:hAnsi="Times New Roman" w:cs="Times New Roman" w:eastAsiaTheme="minorEastAsia"/>
                <w:kern w:val="0"/>
                <w:sz w:val="18"/>
                <w:szCs w:val="18"/>
                <w:lang w:eastAsia="en-US"/>
              </w:rPr>
              <w:t>＂</w:t>
            </w:r>
            <w:r>
              <w:rPr>
                <w:rFonts w:ascii="Times New Roman" w:hAnsi="Times New Roman" w:cs="Times New Roman" w:eastAsiaTheme="minorEastAsia"/>
                <w:kern w:val="0"/>
                <w:sz w:val="18"/>
                <w:szCs w:val="18"/>
                <w:lang w:eastAsia="en-US"/>
              </w:rPr>
              <w:t>-20UNF</w:t>
            </w:r>
          </w:p>
        </w:tc>
        <w:tc>
          <w:tcPr>
            <w:tcW w:w="393"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w:t>
            </w:r>
            <w:r>
              <w:rPr>
                <w:rFonts w:hint="default" w:ascii="Times New Roman" w:hAnsi="Times New Roman" w:cs="Times New Roman" w:eastAsiaTheme="minorEastAsia"/>
                <w:kern w:val="0"/>
                <w:sz w:val="18"/>
                <w:szCs w:val="18"/>
                <w:lang w:eastAsia="en-US"/>
              </w:rPr>
              <w:t>2</w:t>
            </w:r>
            <w:r>
              <w:rPr>
                <w:rFonts w:ascii="Times New Roman" w:hAnsi="Times New Roman" w:cs="Times New Roman" w:eastAsiaTheme="minorEastAsia"/>
                <w:kern w:val="0"/>
                <w:sz w:val="18"/>
                <w:szCs w:val="18"/>
                <w:lang w:eastAsia="en-US"/>
              </w:rPr>
              <w:t>0.638</w:t>
            </w:r>
            <w:r>
              <w:rPr>
                <w:rFonts w:ascii="Times New Roman" w:hAnsi="Times New Roman" w:cs="Times New Roman" w:eastAsiaTheme="minorEastAsia"/>
                <w:kern w:val="0"/>
                <w:sz w:val="18"/>
                <w:szCs w:val="18"/>
                <w:lang w:eastAsia="en-US"/>
                <w:eastAsianLayout w:id="65" w:combine="1"/>
              </w:rPr>
              <w:t>+1.588 -2.381</w:t>
            </w:r>
          </w:p>
        </w:tc>
        <w:tc>
          <w:tcPr>
            <w:tcW w:w="119" w:type="pct"/>
            <w:vMerge w:val="continue"/>
            <w:tcBorders>
              <w:left w:val="nil"/>
              <w:bottom w:val="single" w:color="auto" w:sz="4" w:space="0"/>
              <w:right w:val="single" w:color="auto" w:sz="4" w:space="0"/>
            </w:tcBorders>
          </w:tcPr>
          <w:p>
            <w:pPr>
              <w:widowControl/>
              <w:jc w:val="center"/>
              <w:rPr>
                <w:rFonts w:hint="default" w:ascii="Times New Roman" w:hAnsi="Times New Roman" w:cs="Times New Roman" w:eastAsiaTheme="minorEastAsia"/>
                <w:kern w:val="0"/>
                <w:sz w:val="18"/>
                <w:szCs w:val="18"/>
                <w:lang w:eastAsia="en-US"/>
              </w:rPr>
            </w:pPr>
          </w:p>
        </w:tc>
        <w:tc>
          <w:tcPr>
            <w:tcW w:w="355"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1.6～7.1</w:t>
            </w:r>
          </w:p>
        </w:tc>
        <w:tc>
          <w:tcPr>
            <w:tcW w:w="275" w:type="pct"/>
            <w:vMerge w:val="continue"/>
            <w:tcBorders>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512"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1-3/8″×</w:t>
            </w:r>
            <w:r>
              <w:rPr>
                <w:rFonts w:ascii="Times New Roman" w:hAnsi="Times New Roman" w:cs="Times New Roman" w:eastAsiaTheme="minorEastAsia"/>
                <w:kern w:val="0"/>
                <w:sz w:val="18"/>
                <w:szCs w:val="18"/>
                <w:lang w:eastAsia="en-US"/>
              </w:rPr>
              <w:t>1</w:t>
            </w:r>
            <w:r>
              <w:rPr>
                <w:rFonts w:hint="default" w:ascii="Times New Roman" w:hAnsi="Times New Roman" w:cs="Times New Roman" w:eastAsiaTheme="minorEastAsia"/>
                <w:kern w:val="0"/>
                <w:sz w:val="18"/>
                <w:szCs w:val="18"/>
                <w:lang w:eastAsia="en-US"/>
              </w:rPr>
              <w:t>-3/8″</w:t>
            </w:r>
          </w:p>
        </w:tc>
        <w:tc>
          <w:tcPr>
            <w:tcW w:w="707"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98.806</w:t>
            </w:r>
            <w:r>
              <w:rPr>
                <w:rFonts w:ascii="Times New Roman" w:hAnsi="Times New Roman" w:cs="Times New Roman" w:eastAsiaTheme="minorEastAsia"/>
                <w:kern w:val="0"/>
                <w:sz w:val="18"/>
                <w:szCs w:val="18"/>
                <w:lang w:eastAsia="en-US"/>
                <w:eastAsianLayout w:id="66" w:combine="1"/>
              </w:rPr>
              <w:t>+0.051 -0.051</w:t>
            </w:r>
            <w:r>
              <w:rPr>
                <w:rFonts w:hint="default" w:ascii="Times New Roman" w:hAnsi="Times New Roman" w:cs="Times New Roman" w:eastAsiaTheme="minorEastAsia"/>
                <w:kern w:val="0"/>
                <w:sz w:val="18"/>
                <w:szCs w:val="18"/>
                <w:lang w:eastAsia="en-US"/>
              </w:rPr>
              <w:t>×2</w:t>
            </w:r>
            <w:r>
              <w:rPr>
                <w:rFonts w:ascii="Times New Roman" w:hAnsi="Times New Roman" w:cs="Times New Roman" w:eastAsiaTheme="minorEastAsia"/>
                <w:kern w:val="0"/>
                <w:sz w:val="18"/>
                <w:szCs w:val="18"/>
                <w:lang w:eastAsia="en-US"/>
              </w:rPr>
              <w:t>.03±0.13</w:t>
            </w:r>
          </w:p>
        </w:tc>
        <w:tc>
          <w:tcPr>
            <w:tcW w:w="590"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角封</w:t>
            </w:r>
            <w:r>
              <w:rPr>
                <w:rFonts w:ascii="Times New Roman" w:hAnsi="Times New Roman" w:cs="Times New Roman" w:eastAsiaTheme="minorEastAsia"/>
                <w:kern w:val="0"/>
                <w:sz w:val="18"/>
                <w:szCs w:val="18"/>
                <w:lang w:eastAsia="en-US"/>
              </w:rPr>
              <w:t>89</w:t>
            </w:r>
            <w:r>
              <w:rPr>
                <w:rFonts w:ascii="Times New Roman" w:hAnsi="Times New Roman" w:cs="Times New Roman" w:eastAsiaTheme="minorEastAsia"/>
                <w:kern w:val="0"/>
                <w:sz w:val="18"/>
                <w:szCs w:val="18"/>
                <w:lang w:eastAsia="en-US"/>
                <w:eastAsianLayout w:id="67" w:combine="1"/>
              </w:rPr>
              <w:t>-0.049 -0.811</w:t>
            </w:r>
            <w:r>
              <w:rPr>
                <w:rFonts w:ascii="Times New Roman" w:hAnsi="Times New Roman" w:cs="Times New Roman" w:eastAsiaTheme="minorEastAsia"/>
                <w:kern w:val="0"/>
                <w:sz w:val="18"/>
                <w:szCs w:val="18"/>
                <w:lang w:eastAsia="en-US"/>
              </w:rPr>
              <w:t>×2.5</w:t>
            </w:r>
            <w:r>
              <w:rPr>
                <w:rFonts w:ascii="Times New Roman" w:hAnsi="Times New Roman" w:cs="Times New Roman" w:eastAsiaTheme="minorEastAsia"/>
                <w:kern w:val="0"/>
                <w:sz w:val="18"/>
                <w:szCs w:val="18"/>
                <w:lang w:eastAsia="en-US"/>
                <w:eastAsianLayout w:id="68" w:combine="1"/>
              </w:rPr>
              <w:t>+0.192 +0.040</w:t>
            </w:r>
          </w:p>
        </w:tc>
        <w:tc>
          <w:tcPr>
            <w:tcW w:w="19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图1</w:t>
            </w:r>
          </w:p>
        </w:tc>
      </w:tr>
      <w:tr>
        <w:tblPrEx>
          <w:tblCellMar>
            <w:top w:w="0" w:type="dxa"/>
            <w:left w:w="108" w:type="dxa"/>
            <w:bottom w:w="0" w:type="dxa"/>
            <w:right w:w="108" w:type="dxa"/>
          </w:tblCellMar>
        </w:tblPrEx>
        <w:trPr>
          <w:trHeight w:val="270" w:hRule="atLeast"/>
          <w:jc w:val="center"/>
        </w:trPr>
        <w:tc>
          <w:tcPr>
            <w:tcW w:w="19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562</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单节/上节上接头</w:t>
            </w:r>
          </w:p>
        </w:tc>
        <w:tc>
          <w:tcPr>
            <w:tcW w:w="329"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112.7</w:t>
            </w:r>
            <w:r>
              <w:rPr>
                <w:rFonts w:hint="default" w:ascii="Times New Roman" w:hAnsi="Times New Roman" w:cs="Times New Roman" w:eastAsiaTheme="minorEastAsia"/>
                <w:kern w:val="0"/>
                <w:sz w:val="18"/>
                <w:szCs w:val="18"/>
                <w:lang w:eastAsia="en-US"/>
              </w:rPr>
              <w:t>±0.1</w:t>
            </w:r>
          </w:p>
        </w:tc>
        <w:tc>
          <w:tcPr>
            <w:tcW w:w="37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92.075</w:t>
            </w:r>
            <w:r>
              <w:rPr>
                <w:rFonts w:ascii="Times New Roman" w:hAnsi="Times New Roman" w:cs="Times New Roman" w:eastAsiaTheme="minorEastAsia"/>
                <w:kern w:val="0"/>
                <w:sz w:val="18"/>
                <w:szCs w:val="18"/>
                <w:lang w:eastAsia="en-US"/>
                <w:eastAsianLayout w:id="69" w:combine="1"/>
              </w:rPr>
              <w:t>+0.051 +0</w:t>
            </w:r>
          </w:p>
        </w:tc>
        <w:tc>
          <w:tcPr>
            <w:tcW w:w="47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11×</w:t>
            </w:r>
            <w:r>
              <w:rPr>
                <w:rFonts w:ascii="Times New Roman" w:hAnsi="Times New Roman" w:cs="Times New Roman" w:eastAsiaTheme="minorEastAsia"/>
                <w:kern w:val="0"/>
                <w:sz w:val="18"/>
                <w:szCs w:val="18"/>
                <w:lang w:eastAsia="en-US"/>
              </w:rPr>
              <w:t>7/16</w:t>
            </w:r>
            <w:r>
              <w:rPr>
                <w:rFonts w:hint="default" w:ascii="Times New Roman" w:hAnsi="Times New Roman" w:cs="Times New Roman" w:eastAsiaTheme="minorEastAsia"/>
                <w:kern w:val="0"/>
                <w:sz w:val="18"/>
                <w:szCs w:val="18"/>
                <w:lang w:eastAsia="en-US"/>
              </w:rPr>
              <w:t>＂</w:t>
            </w:r>
            <w:r>
              <w:rPr>
                <w:rFonts w:ascii="Times New Roman" w:hAnsi="Times New Roman" w:cs="Times New Roman" w:eastAsiaTheme="minorEastAsia"/>
                <w:kern w:val="0"/>
                <w:sz w:val="18"/>
                <w:szCs w:val="18"/>
                <w:lang w:eastAsia="en-US"/>
              </w:rPr>
              <w:t>-20UNF</w:t>
            </w:r>
          </w:p>
        </w:tc>
        <w:tc>
          <w:tcPr>
            <w:tcW w:w="39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+25.4</w:t>
            </w:r>
            <w:r>
              <w:rPr>
                <w:rFonts w:ascii="Times New Roman" w:hAnsi="Times New Roman" w:cs="Times New Roman" w:eastAsiaTheme="minorEastAsia"/>
                <w:kern w:val="0"/>
                <w:sz w:val="18"/>
                <w:szCs w:val="18"/>
                <w:lang w:eastAsia="en-US"/>
                <w:eastAsianLayout w:id="70" w:combine="1"/>
              </w:rPr>
              <w:t>+2.38 -1.59</w:t>
            </w:r>
          </w:p>
        </w:tc>
        <w:tc>
          <w:tcPr>
            <w:tcW w:w="119" w:type="pct"/>
            <w:vMerge w:val="continue"/>
            <w:tcBorders>
              <w:top w:val="single" w:color="auto" w:sz="4" w:space="0"/>
              <w:left w:val="single" w:color="auto" w:sz="4" w:space="0"/>
              <w:bottom w:val="single" w:color="auto" w:sz="4" w:space="0"/>
              <w:right w:val="single" w:color="auto" w:sz="4" w:space="0"/>
            </w:tcBorders>
          </w:tcPr>
          <w:p>
            <w:pPr>
              <w:widowControl/>
              <w:jc w:val="center"/>
              <w:rPr>
                <w:rFonts w:hint="default" w:ascii="Times New Roman" w:hAnsi="Times New Roman" w:cs="Times New Roman" w:eastAsiaTheme="minorEastAsia"/>
                <w:kern w:val="0"/>
                <w:sz w:val="18"/>
                <w:szCs w:val="18"/>
                <w:lang w:eastAsia="en-US"/>
              </w:rPr>
            </w:pPr>
          </w:p>
        </w:tc>
        <w:tc>
          <w:tcPr>
            <w:tcW w:w="355"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1.6～7.1</w:t>
            </w:r>
          </w:p>
        </w:tc>
        <w:tc>
          <w:tcPr>
            <w:tcW w:w="275"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1-3/8″</w:t>
            </w:r>
          </w:p>
        </w:tc>
        <w:tc>
          <w:tcPr>
            <w:tcW w:w="512"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2″×</w:t>
            </w:r>
            <w:r>
              <w:rPr>
                <w:rFonts w:ascii="Times New Roman" w:hAnsi="Times New Roman" w:cs="Times New Roman" w:eastAsiaTheme="minorEastAsia"/>
                <w:kern w:val="0"/>
                <w:sz w:val="18"/>
                <w:szCs w:val="18"/>
                <w:lang w:eastAsia="en-US"/>
              </w:rPr>
              <w:t>1</w:t>
            </w:r>
            <w:r>
              <w:rPr>
                <w:rFonts w:hint="default" w:ascii="Times New Roman" w:hAnsi="Times New Roman" w:cs="Times New Roman" w:eastAsiaTheme="minorEastAsia"/>
                <w:kern w:val="0"/>
                <w:sz w:val="18"/>
                <w:szCs w:val="18"/>
                <w:lang w:eastAsia="en-US"/>
              </w:rPr>
              <w:t>-3/8″</w:t>
            </w:r>
          </w:p>
        </w:tc>
        <w:tc>
          <w:tcPr>
            <w:tcW w:w="70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98.806±0.051×2.03</w:t>
            </w:r>
            <w:r>
              <w:rPr>
                <w:rFonts w:ascii="Times New Roman" w:hAnsi="Times New Roman" w:cs="Times New Roman" w:eastAsiaTheme="minorEastAsia"/>
                <w:kern w:val="0"/>
                <w:sz w:val="18"/>
                <w:szCs w:val="18"/>
                <w:lang w:eastAsia="en-US"/>
              </w:rPr>
              <w:t>±0.13</w:t>
            </w:r>
          </w:p>
        </w:tc>
        <w:tc>
          <w:tcPr>
            <w:tcW w:w="59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角封89</w:t>
            </w:r>
            <w:r>
              <w:rPr>
                <w:rFonts w:hint="default" w:ascii="Times New Roman" w:hAnsi="Times New Roman" w:cs="Times New Roman" w:eastAsiaTheme="minorEastAsia"/>
                <w:kern w:val="0"/>
                <w:sz w:val="18"/>
                <w:szCs w:val="18"/>
                <w:lang w:eastAsia="en-US"/>
                <w:eastAsianLayout w:id="71" w:combine="1"/>
              </w:rPr>
              <w:t>-0.049 -0.811</w:t>
            </w:r>
            <w:r>
              <w:rPr>
                <w:rFonts w:hint="default" w:ascii="Times New Roman" w:hAnsi="Times New Roman" w:cs="Times New Roman" w:eastAsiaTheme="minorEastAsia"/>
                <w:kern w:val="0"/>
                <w:sz w:val="18"/>
                <w:szCs w:val="18"/>
                <w:lang w:eastAsia="en-US"/>
              </w:rPr>
              <w:t xml:space="preserve"> × 2.5</w:t>
            </w:r>
            <w:r>
              <w:rPr>
                <w:rFonts w:hint="default" w:ascii="Times New Roman" w:hAnsi="Times New Roman" w:cs="Times New Roman" w:eastAsiaTheme="minorEastAsia"/>
                <w:kern w:val="0"/>
                <w:sz w:val="18"/>
                <w:szCs w:val="18"/>
                <w:lang w:eastAsia="en-US"/>
                <w:eastAsianLayout w:id="72" w:combine="1"/>
              </w:rPr>
              <w:t>+0.192 +0.040</w:t>
            </w:r>
          </w:p>
        </w:tc>
        <w:tc>
          <w:tcPr>
            <w:tcW w:w="1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图1</w:t>
            </w:r>
          </w:p>
        </w:tc>
      </w:tr>
      <w:tr>
        <w:tblPrEx>
          <w:tblCellMar>
            <w:top w:w="0" w:type="dxa"/>
            <w:left w:w="108" w:type="dxa"/>
            <w:bottom w:w="0" w:type="dxa"/>
            <w:right w:w="108" w:type="dxa"/>
          </w:tblCellMar>
        </w:tblPrEx>
        <w:trPr>
          <w:trHeight w:val="270" w:hRule="atLeast"/>
          <w:jc w:val="center"/>
        </w:trPr>
        <w:tc>
          <w:tcPr>
            <w:tcW w:w="19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上节下接头*</w:t>
            </w:r>
          </w:p>
        </w:tc>
        <w:tc>
          <w:tcPr>
            <w:tcW w:w="32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37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92.075</w:t>
            </w:r>
            <w:r>
              <w:rPr>
                <w:rFonts w:ascii="Times New Roman" w:hAnsi="Times New Roman" w:cs="Times New Roman" w:eastAsiaTheme="minorEastAsia"/>
                <w:kern w:val="0"/>
                <w:sz w:val="18"/>
                <w:szCs w:val="18"/>
                <w:lang w:eastAsia="en-US"/>
                <w:eastAsianLayout w:id="73" w:combine="1"/>
              </w:rPr>
              <w:t>-0.051 -0.076</w:t>
            </w:r>
          </w:p>
        </w:tc>
        <w:tc>
          <w:tcPr>
            <w:tcW w:w="47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39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7.938±3.18</w:t>
            </w:r>
          </w:p>
        </w:tc>
        <w:tc>
          <w:tcPr>
            <w:tcW w:w="119" w:type="pct"/>
            <w:vMerge w:val="continue"/>
            <w:tcBorders>
              <w:top w:val="single" w:color="auto" w:sz="4" w:space="0"/>
              <w:left w:val="single" w:color="auto" w:sz="4" w:space="0"/>
              <w:bottom w:val="single" w:color="auto" w:sz="4" w:space="0"/>
              <w:right w:val="single" w:color="auto" w:sz="4" w:space="0"/>
            </w:tcBorders>
          </w:tcPr>
          <w:p>
            <w:pPr>
              <w:widowControl/>
              <w:jc w:val="center"/>
              <w:rPr>
                <w:rFonts w:hint="default" w:ascii="Times New Roman" w:hAnsi="Times New Roman" w:cs="Times New Roman" w:eastAsiaTheme="minorEastAsia"/>
                <w:kern w:val="0"/>
                <w:sz w:val="18"/>
                <w:szCs w:val="18"/>
                <w:lang w:eastAsia="en-US"/>
              </w:rPr>
            </w:pPr>
          </w:p>
        </w:tc>
        <w:tc>
          <w:tcPr>
            <w:tcW w:w="355"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27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512"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70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87.960</w:t>
            </w:r>
            <w:r>
              <w:rPr>
                <w:rFonts w:ascii="Times New Roman" w:hAnsi="Times New Roman" w:cs="Times New Roman" w:eastAsiaTheme="minorEastAsia"/>
                <w:kern w:val="0"/>
                <w:sz w:val="18"/>
                <w:szCs w:val="18"/>
                <w:lang w:eastAsia="en-US"/>
                <w:eastAsianLayout w:id="74" w:combine="1"/>
              </w:rPr>
              <w:t xml:space="preserve">    0 -0.102</w:t>
            </w:r>
            <w:r>
              <w:rPr>
                <w:rFonts w:hint="default" w:ascii="Times New Roman" w:hAnsi="Times New Roman" w:cs="Times New Roman" w:eastAsiaTheme="minorEastAsia"/>
                <w:kern w:val="0"/>
                <w:sz w:val="18"/>
                <w:szCs w:val="18"/>
                <w:lang w:eastAsia="en-US"/>
              </w:rPr>
              <w:t>×3</w:t>
            </w:r>
            <w:r>
              <w:rPr>
                <w:rFonts w:ascii="Times New Roman" w:hAnsi="Times New Roman" w:cs="Times New Roman" w:eastAsiaTheme="minorEastAsia"/>
                <w:kern w:val="0"/>
                <w:sz w:val="18"/>
                <w:szCs w:val="18"/>
                <w:lang w:eastAsia="en-US"/>
              </w:rPr>
              <w:t>.05±0.13</w:t>
            </w:r>
          </w:p>
        </w:tc>
        <w:tc>
          <w:tcPr>
            <w:tcW w:w="59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径封</w:t>
            </w:r>
            <w:r>
              <w:rPr>
                <w:rFonts w:ascii="Times New Roman" w:hAnsi="Times New Roman" w:cs="Times New Roman" w:eastAsiaTheme="minorEastAsia"/>
                <w:kern w:val="0"/>
                <w:sz w:val="18"/>
                <w:szCs w:val="18"/>
                <w:lang w:eastAsia="en-US"/>
              </w:rPr>
              <w:t>82</w:t>
            </w:r>
            <w:r>
              <w:rPr>
                <w:rFonts w:ascii="Times New Roman" w:hAnsi="Times New Roman" w:cs="Times New Roman" w:eastAsiaTheme="minorEastAsia"/>
                <w:kern w:val="0"/>
                <w:sz w:val="18"/>
                <w:szCs w:val="18"/>
                <w:lang w:eastAsia="en-US"/>
                <w:eastAsianLayout w:id="75" w:combine="1"/>
              </w:rPr>
              <w:t>+0.601 -0.161</w:t>
            </w:r>
            <w:r>
              <w:rPr>
                <w:rFonts w:hint="default" w:ascii="Times New Roman" w:hAnsi="Times New Roman" w:cs="Times New Roman" w:eastAsiaTheme="minorEastAsia"/>
                <w:kern w:val="0"/>
                <w:sz w:val="18"/>
                <w:szCs w:val="18"/>
                <w:lang w:eastAsia="en-US"/>
              </w:rPr>
              <w:t>×</w:t>
            </w:r>
            <w:r>
              <w:rPr>
                <w:rFonts w:ascii="Times New Roman" w:hAnsi="Times New Roman" w:cs="Times New Roman" w:eastAsiaTheme="minorEastAsia"/>
                <w:kern w:val="0"/>
                <w:sz w:val="18"/>
                <w:szCs w:val="18"/>
                <w:lang w:eastAsia="en-US"/>
              </w:rPr>
              <w:t>2.5</w:t>
            </w:r>
            <w:r>
              <w:rPr>
                <w:rFonts w:ascii="Times New Roman" w:hAnsi="Times New Roman" w:cs="Times New Roman" w:eastAsiaTheme="minorEastAsia"/>
                <w:kern w:val="0"/>
                <w:sz w:val="18"/>
                <w:szCs w:val="18"/>
                <w:lang w:eastAsia="en-US"/>
                <w:eastAsianLayout w:id="76" w:combine="1"/>
              </w:rPr>
              <w:t>+0.192 +0.040</w:t>
            </w:r>
          </w:p>
        </w:tc>
        <w:tc>
          <w:tcPr>
            <w:tcW w:w="19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图2</w:t>
            </w:r>
          </w:p>
        </w:tc>
      </w:tr>
      <w:tr>
        <w:tblPrEx>
          <w:tblCellMar>
            <w:top w:w="0" w:type="dxa"/>
            <w:left w:w="108" w:type="dxa"/>
            <w:bottom w:w="0" w:type="dxa"/>
            <w:right w:w="108" w:type="dxa"/>
          </w:tblCellMar>
        </w:tblPrEx>
        <w:trPr>
          <w:trHeight w:val="270" w:hRule="atLeast"/>
          <w:jc w:val="center"/>
        </w:trPr>
        <w:tc>
          <w:tcPr>
            <w:tcW w:w="19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下节上接头*</w:t>
            </w:r>
          </w:p>
        </w:tc>
        <w:tc>
          <w:tcPr>
            <w:tcW w:w="32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37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92.075</w:t>
            </w:r>
            <w:r>
              <w:rPr>
                <w:rFonts w:hint="default" w:ascii="Times New Roman" w:hAnsi="Times New Roman" w:cs="Times New Roman" w:eastAsiaTheme="minorEastAsia"/>
                <w:kern w:val="0"/>
                <w:sz w:val="18"/>
                <w:szCs w:val="18"/>
                <w:lang w:eastAsia="en-US"/>
                <w:eastAsianLayout w:id="77" w:combine="1"/>
              </w:rPr>
              <w:t>+</w:t>
            </w:r>
            <w:r>
              <w:rPr>
                <w:rFonts w:ascii="Times New Roman" w:hAnsi="Times New Roman" w:cs="Times New Roman" w:eastAsiaTheme="minorEastAsia"/>
                <w:kern w:val="0"/>
                <w:sz w:val="18"/>
                <w:szCs w:val="18"/>
                <w:lang w:eastAsia="en-US"/>
                <w:eastAsianLayout w:id="78" w:combine="1"/>
              </w:rPr>
              <w:t>0.025 0</w:t>
            </w:r>
          </w:p>
        </w:tc>
        <w:tc>
          <w:tcPr>
            <w:tcW w:w="47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11×</w:t>
            </w:r>
            <w:r>
              <w:rPr>
                <w:rFonts w:ascii="Times New Roman" w:hAnsi="Times New Roman" w:cs="Times New Roman" w:eastAsiaTheme="minorEastAsia"/>
                <w:kern w:val="0"/>
                <w:sz w:val="18"/>
                <w:szCs w:val="18"/>
                <w:lang w:eastAsia="en-US"/>
              </w:rPr>
              <w:t>7/16</w:t>
            </w:r>
            <w:r>
              <w:rPr>
                <w:rFonts w:hint="default" w:ascii="Times New Roman" w:hAnsi="Times New Roman" w:cs="Times New Roman" w:eastAsiaTheme="minorEastAsia"/>
                <w:kern w:val="0"/>
                <w:sz w:val="18"/>
                <w:szCs w:val="18"/>
                <w:lang w:eastAsia="en-US"/>
              </w:rPr>
              <w:t>＂</w:t>
            </w:r>
            <w:r>
              <w:rPr>
                <w:rFonts w:ascii="Times New Roman" w:hAnsi="Times New Roman" w:cs="Times New Roman" w:eastAsiaTheme="minorEastAsia"/>
                <w:kern w:val="0"/>
                <w:sz w:val="18"/>
                <w:szCs w:val="18"/>
                <w:lang w:eastAsia="en-US"/>
              </w:rPr>
              <w:t>-20UNF</w:t>
            </w:r>
          </w:p>
        </w:tc>
        <w:tc>
          <w:tcPr>
            <w:tcW w:w="39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w:t>
            </w:r>
            <w:r>
              <w:rPr>
                <w:rFonts w:hint="default" w:ascii="Times New Roman" w:hAnsi="Times New Roman" w:cs="Times New Roman" w:eastAsiaTheme="minorEastAsia"/>
                <w:kern w:val="0"/>
                <w:sz w:val="18"/>
                <w:szCs w:val="18"/>
                <w:lang w:eastAsia="en-US"/>
              </w:rPr>
              <w:t>2</w:t>
            </w:r>
            <w:r>
              <w:rPr>
                <w:rFonts w:ascii="Times New Roman" w:hAnsi="Times New Roman" w:cs="Times New Roman" w:eastAsiaTheme="minorEastAsia"/>
                <w:kern w:val="0"/>
                <w:sz w:val="18"/>
                <w:szCs w:val="18"/>
                <w:lang w:eastAsia="en-US"/>
              </w:rPr>
              <w:t>0.638</w:t>
            </w:r>
            <w:r>
              <w:rPr>
                <w:rFonts w:ascii="Times New Roman" w:hAnsi="Times New Roman" w:cs="Times New Roman" w:eastAsiaTheme="minorEastAsia"/>
                <w:kern w:val="0"/>
                <w:sz w:val="18"/>
                <w:szCs w:val="18"/>
                <w:lang w:eastAsia="en-US"/>
                <w:eastAsianLayout w:id="79" w:combine="1"/>
              </w:rPr>
              <w:t>+1.588 -2.381</w:t>
            </w:r>
          </w:p>
        </w:tc>
        <w:tc>
          <w:tcPr>
            <w:tcW w:w="119" w:type="pct"/>
            <w:vMerge w:val="continue"/>
            <w:tcBorders>
              <w:top w:val="single" w:color="auto" w:sz="4" w:space="0"/>
              <w:left w:val="single" w:color="auto" w:sz="4" w:space="0"/>
              <w:bottom w:val="single" w:color="auto" w:sz="4" w:space="0"/>
              <w:right w:val="single" w:color="auto" w:sz="4" w:space="0"/>
            </w:tcBorders>
          </w:tcPr>
          <w:p>
            <w:pPr>
              <w:widowControl/>
              <w:jc w:val="center"/>
              <w:rPr>
                <w:rFonts w:hint="default" w:ascii="Times New Roman" w:hAnsi="Times New Roman" w:cs="Times New Roman" w:eastAsiaTheme="minorEastAsia"/>
                <w:kern w:val="0"/>
                <w:sz w:val="18"/>
                <w:szCs w:val="18"/>
                <w:lang w:eastAsia="en-US"/>
              </w:rPr>
            </w:pPr>
          </w:p>
        </w:tc>
        <w:tc>
          <w:tcPr>
            <w:tcW w:w="355"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1.6～7.1</w:t>
            </w:r>
          </w:p>
        </w:tc>
        <w:tc>
          <w:tcPr>
            <w:tcW w:w="27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512"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1-3/8″×</w:t>
            </w:r>
            <w:r>
              <w:rPr>
                <w:rFonts w:ascii="Times New Roman" w:hAnsi="Times New Roman" w:cs="Times New Roman" w:eastAsiaTheme="minorEastAsia"/>
                <w:kern w:val="0"/>
                <w:sz w:val="18"/>
                <w:szCs w:val="18"/>
                <w:lang w:eastAsia="en-US"/>
              </w:rPr>
              <w:t>1</w:t>
            </w:r>
            <w:r>
              <w:rPr>
                <w:rFonts w:hint="default" w:ascii="Times New Roman" w:hAnsi="Times New Roman" w:cs="Times New Roman" w:eastAsiaTheme="minorEastAsia"/>
                <w:kern w:val="0"/>
                <w:sz w:val="18"/>
                <w:szCs w:val="18"/>
                <w:lang w:eastAsia="en-US"/>
              </w:rPr>
              <w:t>-3/8″</w:t>
            </w:r>
          </w:p>
        </w:tc>
        <w:tc>
          <w:tcPr>
            <w:tcW w:w="70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98.806</w:t>
            </w:r>
            <w:r>
              <w:rPr>
                <w:rFonts w:ascii="Times New Roman" w:hAnsi="Times New Roman" w:cs="Times New Roman" w:eastAsiaTheme="minorEastAsia"/>
                <w:kern w:val="0"/>
                <w:sz w:val="18"/>
                <w:szCs w:val="18"/>
                <w:lang w:eastAsia="en-US"/>
                <w:eastAsianLayout w:id="80" w:combine="1"/>
              </w:rPr>
              <w:t>+0.051 -0.051</w:t>
            </w:r>
            <w:r>
              <w:rPr>
                <w:rFonts w:hint="default" w:ascii="Times New Roman" w:hAnsi="Times New Roman" w:cs="Times New Roman" w:eastAsiaTheme="minorEastAsia"/>
                <w:kern w:val="0"/>
                <w:sz w:val="18"/>
                <w:szCs w:val="18"/>
                <w:lang w:eastAsia="en-US"/>
              </w:rPr>
              <w:t>×2</w:t>
            </w:r>
            <w:r>
              <w:rPr>
                <w:rFonts w:ascii="Times New Roman" w:hAnsi="Times New Roman" w:cs="Times New Roman" w:eastAsiaTheme="minorEastAsia"/>
                <w:kern w:val="0"/>
                <w:sz w:val="18"/>
                <w:szCs w:val="18"/>
                <w:lang w:eastAsia="en-US"/>
              </w:rPr>
              <w:t>.03±0.13</w:t>
            </w:r>
          </w:p>
        </w:tc>
        <w:tc>
          <w:tcPr>
            <w:tcW w:w="59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角封</w:t>
            </w:r>
            <w:r>
              <w:rPr>
                <w:rFonts w:ascii="Times New Roman" w:hAnsi="Times New Roman" w:cs="Times New Roman" w:eastAsiaTheme="minorEastAsia"/>
                <w:kern w:val="0"/>
                <w:sz w:val="18"/>
                <w:szCs w:val="18"/>
                <w:lang w:eastAsia="en-US"/>
              </w:rPr>
              <w:t>89</w:t>
            </w:r>
            <w:r>
              <w:rPr>
                <w:rFonts w:ascii="Times New Roman" w:hAnsi="Times New Roman" w:cs="Times New Roman" w:eastAsiaTheme="minorEastAsia"/>
                <w:kern w:val="0"/>
                <w:sz w:val="18"/>
                <w:szCs w:val="18"/>
                <w:lang w:eastAsia="en-US"/>
                <w:eastAsianLayout w:id="81" w:combine="1"/>
              </w:rPr>
              <w:t>-0.049 -0.811</w:t>
            </w:r>
            <w:r>
              <w:rPr>
                <w:rFonts w:ascii="Times New Roman" w:hAnsi="Times New Roman" w:cs="Times New Roman" w:eastAsiaTheme="minorEastAsia"/>
                <w:kern w:val="0"/>
                <w:sz w:val="18"/>
                <w:szCs w:val="18"/>
                <w:lang w:eastAsia="en-US"/>
              </w:rPr>
              <w:t>×2.5</w:t>
            </w:r>
            <w:r>
              <w:rPr>
                <w:rFonts w:ascii="Times New Roman" w:hAnsi="Times New Roman" w:cs="Times New Roman" w:eastAsiaTheme="minorEastAsia"/>
                <w:kern w:val="0"/>
                <w:sz w:val="18"/>
                <w:szCs w:val="18"/>
                <w:lang w:eastAsia="en-US"/>
                <w:eastAsianLayout w:id="82" w:combine="1"/>
              </w:rPr>
              <w:t>+0.192 +0.040</w:t>
            </w:r>
          </w:p>
        </w:tc>
        <w:tc>
          <w:tcPr>
            <w:tcW w:w="19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图1</w:t>
            </w:r>
          </w:p>
        </w:tc>
      </w:tr>
      <w:tr>
        <w:tblPrEx>
          <w:tblCellMar>
            <w:top w:w="0" w:type="dxa"/>
            <w:left w:w="108" w:type="dxa"/>
            <w:bottom w:w="0" w:type="dxa"/>
            <w:right w:w="108" w:type="dxa"/>
          </w:tblCellMar>
        </w:tblPrEx>
        <w:trPr>
          <w:trHeight w:val="270" w:hRule="atLeast"/>
          <w:jc w:val="center"/>
        </w:trPr>
        <w:tc>
          <w:tcPr>
            <w:tcW w:w="19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738</w:t>
            </w: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en-US"/>
              </w:rPr>
              <w:t>单节/上节</w:t>
            </w:r>
            <w:r>
              <w:rPr>
                <w:rFonts w:hint="default" w:ascii="Times New Roman" w:hAnsi="Times New Roman" w:cs="Times New Roman" w:eastAsiaTheme="minorEastAsia"/>
                <w:kern w:val="0"/>
                <w:sz w:val="18"/>
                <w:szCs w:val="18"/>
                <w:lang w:eastAsia="zh-CN"/>
              </w:rPr>
              <w:t>上接头</w:t>
            </w:r>
          </w:p>
        </w:tc>
        <w:tc>
          <w:tcPr>
            <w:tcW w:w="329"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158.75</w:t>
            </w:r>
          </w:p>
        </w:tc>
        <w:tc>
          <w:tcPr>
            <w:tcW w:w="37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vertAlign w:val="superscript"/>
                <w:lang w:eastAsia="zh-CN"/>
              </w:rPr>
            </w:pPr>
            <w:r>
              <w:rPr>
                <w:rFonts w:hint="default" w:ascii="Times New Roman" w:hAnsi="Times New Roman" w:cs="Times New Roman" w:eastAsiaTheme="minorEastAsia"/>
                <w:kern w:val="0"/>
                <w:sz w:val="18"/>
                <w:szCs w:val="18"/>
                <w:lang w:eastAsia="zh-CN"/>
              </w:rPr>
              <w:t>123.825</w:t>
            </w:r>
            <w:r>
              <w:rPr>
                <w:rFonts w:ascii="Times New Roman" w:hAnsi="Times New Roman" w:cs="Times New Roman" w:eastAsiaTheme="minorEastAsia"/>
                <w:kern w:val="0"/>
                <w:sz w:val="18"/>
                <w:szCs w:val="18"/>
                <w:lang w:eastAsia="en-US"/>
                <w:eastAsianLayout w:id="83" w:combine="1"/>
              </w:rPr>
              <w:t>+0.051 +0</w:t>
            </w:r>
          </w:p>
        </w:tc>
        <w:tc>
          <w:tcPr>
            <w:tcW w:w="47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11</w:t>
            </w:r>
            <w:r>
              <w:rPr>
                <w:rFonts w:hint="default" w:ascii="Times New Roman" w:hAnsi="Times New Roman" w:cs="Times New Roman" w:eastAsiaTheme="minorEastAsia"/>
                <w:kern w:val="0"/>
                <w:sz w:val="18"/>
                <w:szCs w:val="18"/>
                <w:lang w:eastAsia="zh-CN"/>
              </w:rPr>
              <w:t>×</w:t>
            </w:r>
            <w:r>
              <w:rPr>
                <w:rFonts w:hint="default" w:ascii="Times New Roman" w:hAnsi="Times New Roman" w:cs="Times New Roman" w:eastAsiaTheme="minorEastAsia"/>
                <w:kern w:val="0"/>
                <w:sz w:val="18"/>
                <w:szCs w:val="18"/>
                <w:lang w:eastAsia="en-US"/>
              </w:rPr>
              <w:t>1/2"-20UNF-2</w:t>
            </w:r>
          </w:p>
        </w:tc>
        <w:tc>
          <w:tcPr>
            <w:tcW w:w="39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25.4±1.6</w:t>
            </w:r>
          </w:p>
        </w:tc>
        <w:tc>
          <w:tcPr>
            <w:tcW w:w="119" w:type="pct"/>
            <w:vMerge w:val="continue"/>
            <w:tcBorders>
              <w:top w:val="single" w:color="auto" w:sz="4" w:space="0"/>
              <w:left w:val="single" w:color="auto" w:sz="4" w:space="0"/>
              <w:bottom w:val="single" w:color="auto" w:sz="4" w:space="0"/>
              <w:right w:val="single" w:color="auto" w:sz="4" w:space="0"/>
            </w:tcBorders>
          </w:tcPr>
          <w:p>
            <w:pPr>
              <w:widowControl/>
              <w:jc w:val="center"/>
              <w:rPr>
                <w:rFonts w:hint="default" w:ascii="Times New Roman" w:hAnsi="Times New Roman" w:cs="Times New Roman" w:eastAsiaTheme="minorEastAsia"/>
                <w:kern w:val="0"/>
                <w:sz w:val="18"/>
                <w:szCs w:val="18"/>
                <w:lang w:eastAsia="en-US"/>
              </w:rPr>
            </w:pPr>
          </w:p>
        </w:tc>
        <w:tc>
          <w:tcPr>
            <w:tcW w:w="355"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en-US"/>
              </w:rPr>
              <w:t>1.6～7.1</w:t>
            </w:r>
          </w:p>
        </w:tc>
        <w:tc>
          <w:tcPr>
            <w:tcW w:w="275"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2"-31T</w:t>
            </w:r>
          </w:p>
        </w:tc>
        <w:tc>
          <w:tcPr>
            <w:tcW w:w="512"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2"-31T/1.5"-6B</w:t>
            </w:r>
          </w:p>
        </w:tc>
        <w:tc>
          <w:tcPr>
            <w:tcW w:w="70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(132±0.051)</w:t>
            </w:r>
            <w:r>
              <w:rPr>
                <w:rFonts w:hint="default" w:ascii="Times New Roman" w:hAnsi="Times New Roman" w:cs="Times New Roman" w:eastAsiaTheme="minorEastAsia"/>
                <w:kern w:val="0"/>
                <w:sz w:val="18"/>
                <w:szCs w:val="18"/>
                <w:lang w:eastAsia="zh-CN"/>
              </w:rPr>
              <w:t>×</w:t>
            </w:r>
            <w:r>
              <w:rPr>
                <w:rFonts w:hint="default" w:ascii="Times New Roman" w:hAnsi="Times New Roman" w:cs="Times New Roman" w:eastAsiaTheme="minorEastAsia"/>
                <w:kern w:val="0"/>
                <w:sz w:val="18"/>
                <w:szCs w:val="18"/>
                <w:lang w:eastAsia="en-US"/>
              </w:rPr>
              <w:t>2.73</w:t>
            </w:r>
          </w:p>
        </w:tc>
        <w:tc>
          <w:tcPr>
            <w:tcW w:w="59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角封123.42×3.53</w:t>
            </w:r>
          </w:p>
        </w:tc>
        <w:tc>
          <w:tcPr>
            <w:tcW w:w="19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图1</w:t>
            </w:r>
          </w:p>
        </w:tc>
      </w:tr>
      <w:tr>
        <w:tblPrEx>
          <w:tblCellMar>
            <w:top w:w="0" w:type="dxa"/>
            <w:left w:w="108" w:type="dxa"/>
            <w:bottom w:w="0" w:type="dxa"/>
            <w:right w:w="108" w:type="dxa"/>
          </w:tblCellMar>
        </w:tblPrEx>
        <w:trPr>
          <w:trHeight w:val="270" w:hRule="atLeast"/>
          <w:jc w:val="center"/>
        </w:trPr>
        <w:tc>
          <w:tcPr>
            <w:tcW w:w="19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上节下接头</w:t>
            </w:r>
          </w:p>
        </w:tc>
        <w:tc>
          <w:tcPr>
            <w:tcW w:w="32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37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133.274</w:t>
            </w:r>
            <w:r>
              <w:rPr>
                <w:rFonts w:hint="default" w:ascii="Times New Roman" w:hAnsi="Times New Roman" w:cs="Times New Roman" w:eastAsiaTheme="minorEastAsia"/>
                <w:kern w:val="0"/>
                <w:sz w:val="18"/>
                <w:szCs w:val="18"/>
                <w:lang w:eastAsia="zh-CN"/>
                <w:eastAsianLayout w:id="84" w:combine="1"/>
              </w:rPr>
              <w:t>0 -0.025</w:t>
            </w:r>
          </w:p>
        </w:tc>
        <w:tc>
          <w:tcPr>
            <w:tcW w:w="471" w:type="pct"/>
            <w:tcBorders>
              <w:top w:val="single" w:color="auto" w:sz="4" w:space="0"/>
              <w:left w:val="single" w:color="auto" w:sz="4" w:space="0"/>
              <w:bottom w:val="single" w:color="auto" w:sz="4" w:space="0"/>
              <w:right w:val="single" w:color="auto" w:sz="4" w:space="0"/>
            </w:tcBorders>
            <w:shd w:val="clear" w:color="auto" w:fill="auto"/>
            <w:noWrap/>
          </w:tcPr>
          <w:p>
            <w:pPr>
              <w:widowControl/>
              <w:jc w:val="left"/>
              <w:rPr>
                <w:rFonts w:hint="default" w:ascii="Times New Roman" w:hAnsi="Times New Roman" w:cs="Times New Roman" w:eastAsiaTheme="minorEastAsia"/>
                <w:kern w:val="0"/>
                <w:sz w:val="18"/>
                <w:szCs w:val="18"/>
                <w:lang w:eastAsia="zh-CN"/>
              </w:rPr>
            </w:pPr>
            <w:r>
              <w:rPr>
                <w:rFonts w:ascii="Times New Roman" w:hAnsi="Times New Roman" w:cs="Times New Roman" w:eastAsiaTheme="minorEastAsia"/>
                <w:kern w:val="0"/>
                <w:sz w:val="18"/>
                <w:szCs w:val="18"/>
                <w:lang w:eastAsia="zh-CN"/>
              </w:rPr>
              <w:t>11</w:t>
            </w:r>
            <w:r>
              <w:rPr>
                <w:rFonts w:hint="default" w:ascii="Times New Roman" w:hAnsi="Times New Roman" w:cs="Times New Roman" w:eastAsiaTheme="minorEastAsia"/>
                <w:kern w:val="0"/>
                <w:sz w:val="18"/>
                <w:szCs w:val="18"/>
                <w:lang w:eastAsia="zh-CN"/>
              </w:rPr>
              <w:t>×</w:t>
            </w:r>
            <w:r>
              <w:rPr>
                <w:rFonts w:ascii="Times New Roman" w:hAnsi="Times New Roman" w:cs="Times New Roman" w:eastAsiaTheme="minorEastAsia"/>
                <w:kern w:val="0"/>
                <w:sz w:val="18"/>
                <w:szCs w:val="18"/>
                <w:lang w:eastAsia="zh-CN"/>
              </w:rPr>
              <w:t>Φ14</w:t>
            </w:r>
          </w:p>
          <w:p>
            <w:pPr>
              <w:widowControl/>
              <w:jc w:val="left"/>
              <w:rPr>
                <w:rFonts w:hint="default" w:ascii="Times New Roman" w:hAnsi="Times New Roman" w:cs="Times New Roman" w:eastAsiaTheme="minorEastAsia"/>
                <w:kern w:val="0"/>
                <w:sz w:val="18"/>
                <w:szCs w:val="18"/>
                <w:lang w:eastAsia="zh-CN"/>
              </w:rPr>
            </w:pPr>
            <w:r>
              <w:rPr>
                <w:rFonts w:ascii="Times New Roman" w:hAnsi="Times New Roman" w:cs="Times New Roman" w:eastAsiaTheme="minorEastAsia"/>
                <w:kern w:val="0"/>
                <w:sz w:val="18"/>
                <w:szCs w:val="18"/>
                <w:lang w:eastAsia="zh-CN"/>
              </w:rPr>
              <w:t>11</w:t>
            </w:r>
            <w:r>
              <w:rPr>
                <w:rFonts w:hint="default" w:ascii="Times New Roman" w:hAnsi="Times New Roman" w:cs="Times New Roman" w:eastAsiaTheme="minorEastAsia"/>
                <w:kern w:val="0"/>
                <w:sz w:val="18"/>
                <w:szCs w:val="18"/>
                <w:lang w:eastAsia="zh-CN"/>
              </w:rPr>
              <w:t>×</w:t>
            </w:r>
            <w:r>
              <w:rPr>
                <w:rFonts w:ascii="Times New Roman" w:hAnsi="Times New Roman" w:cs="Times New Roman" w:eastAsiaTheme="minorEastAsia"/>
                <w:kern w:val="0"/>
                <w:sz w:val="18"/>
                <w:szCs w:val="18"/>
                <w:lang w:eastAsia="zh-CN"/>
              </w:rPr>
              <w:t>1/2"-20UNF-2</w:t>
            </w:r>
          </w:p>
        </w:tc>
        <w:tc>
          <w:tcPr>
            <w:tcW w:w="39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7.938</w:t>
            </w:r>
            <w:r>
              <w:rPr>
                <w:rFonts w:hint="default" w:ascii="Times New Roman" w:hAnsi="Times New Roman" w:cs="Times New Roman" w:eastAsiaTheme="minorEastAsia"/>
                <w:kern w:val="0"/>
                <w:sz w:val="18"/>
                <w:szCs w:val="18"/>
                <w:lang w:eastAsia="zh-CN"/>
                <w:eastAsianLayout w:id="85" w:combine="1"/>
              </w:rPr>
              <w:t>+3.18 -1.5</w:t>
            </w:r>
          </w:p>
        </w:tc>
        <w:tc>
          <w:tcPr>
            <w:tcW w:w="119" w:type="pct"/>
            <w:vMerge w:val="continue"/>
            <w:tcBorders>
              <w:top w:val="single" w:color="auto" w:sz="4" w:space="0"/>
              <w:left w:val="single" w:color="auto" w:sz="4" w:space="0"/>
              <w:bottom w:val="single" w:color="auto" w:sz="4" w:space="0"/>
              <w:right w:val="single" w:color="auto" w:sz="4" w:space="0"/>
            </w:tcBorders>
          </w:tcPr>
          <w:p>
            <w:pPr>
              <w:widowControl/>
              <w:jc w:val="center"/>
              <w:rPr>
                <w:rFonts w:hint="default" w:ascii="Times New Roman" w:hAnsi="Times New Roman" w:cs="Times New Roman" w:eastAsiaTheme="minorEastAsia"/>
                <w:kern w:val="0"/>
                <w:sz w:val="18"/>
                <w:szCs w:val="18"/>
                <w:lang w:eastAsia="en-US"/>
              </w:rPr>
            </w:pPr>
          </w:p>
        </w:tc>
        <w:tc>
          <w:tcPr>
            <w:tcW w:w="355"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1.6～7.1</w:t>
            </w:r>
          </w:p>
        </w:tc>
        <w:tc>
          <w:tcPr>
            <w:tcW w:w="27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512"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2"-31T/2"-31T</w:t>
            </w:r>
          </w:p>
        </w:tc>
        <w:tc>
          <w:tcPr>
            <w:tcW w:w="70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127.71</w:t>
            </w:r>
            <w:r>
              <w:rPr>
                <w:rFonts w:hint="default" w:ascii="Times New Roman" w:hAnsi="Times New Roman" w:cs="Times New Roman" w:eastAsiaTheme="minorEastAsia"/>
                <w:kern w:val="0"/>
                <w:sz w:val="18"/>
                <w:szCs w:val="18"/>
                <w:lang w:eastAsia="zh-CN"/>
                <w:eastAsianLayout w:id="86" w:combine="1"/>
              </w:rPr>
              <w:t>0 -0.051</w:t>
            </w:r>
            <w:r>
              <w:rPr>
                <w:rFonts w:hint="default" w:ascii="Times New Roman" w:hAnsi="Times New Roman" w:cs="Times New Roman" w:eastAsiaTheme="minorEastAsia"/>
                <w:kern w:val="0"/>
                <w:sz w:val="18"/>
                <w:szCs w:val="18"/>
                <w:lang w:eastAsia="zh-CN"/>
              </w:rPr>
              <w:t>×4.75</w:t>
            </w:r>
            <w:r>
              <w:rPr>
                <w:rFonts w:hint="default" w:ascii="Times New Roman" w:hAnsi="Times New Roman" w:cs="Times New Roman" w:eastAsiaTheme="minorEastAsia"/>
                <w:kern w:val="0"/>
                <w:sz w:val="18"/>
                <w:szCs w:val="18"/>
                <w:lang w:eastAsia="zh-CN"/>
                <w:eastAsianLayout w:id="87" w:combine="1"/>
              </w:rPr>
              <w:t>+0.127 0</w:t>
            </w:r>
          </w:p>
        </w:tc>
        <w:tc>
          <w:tcPr>
            <w:tcW w:w="59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径封126.59×3.53</w:t>
            </w:r>
          </w:p>
        </w:tc>
        <w:tc>
          <w:tcPr>
            <w:tcW w:w="19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图2</w:t>
            </w:r>
          </w:p>
        </w:tc>
      </w:tr>
      <w:tr>
        <w:tblPrEx>
          <w:tblCellMar>
            <w:top w:w="0" w:type="dxa"/>
            <w:left w:w="108" w:type="dxa"/>
            <w:bottom w:w="0" w:type="dxa"/>
            <w:right w:w="108" w:type="dxa"/>
          </w:tblCellMar>
        </w:tblPrEx>
        <w:trPr>
          <w:trHeight w:val="270" w:hRule="atLeast"/>
          <w:jc w:val="center"/>
        </w:trPr>
        <w:tc>
          <w:tcPr>
            <w:tcW w:w="19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p>
        </w:tc>
        <w:tc>
          <w:tcPr>
            <w:tcW w:w="4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下节上接头</w:t>
            </w:r>
          </w:p>
        </w:tc>
        <w:tc>
          <w:tcPr>
            <w:tcW w:w="32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37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133.35</w:t>
            </w:r>
            <w:r>
              <w:rPr>
                <w:rFonts w:ascii="Times New Roman" w:hAnsi="Times New Roman" w:cs="Times New Roman" w:eastAsiaTheme="minorEastAsia"/>
                <w:kern w:val="0"/>
                <w:sz w:val="18"/>
                <w:szCs w:val="18"/>
                <w:lang w:eastAsia="en-US"/>
                <w:eastAsianLayout w:id="88" w:combine="1"/>
              </w:rPr>
              <w:t>+0.051 +0</w:t>
            </w:r>
          </w:p>
        </w:tc>
        <w:tc>
          <w:tcPr>
            <w:tcW w:w="47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11</w:t>
            </w:r>
            <w:r>
              <w:rPr>
                <w:rFonts w:hint="default" w:ascii="Times New Roman" w:hAnsi="Times New Roman" w:cs="Times New Roman" w:eastAsiaTheme="minorEastAsia"/>
                <w:kern w:val="0"/>
                <w:sz w:val="18"/>
                <w:szCs w:val="18"/>
                <w:lang w:eastAsia="zh-CN"/>
              </w:rPr>
              <w:t>×</w:t>
            </w:r>
            <w:r>
              <w:rPr>
                <w:rFonts w:hint="default" w:ascii="Times New Roman" w:hAnsi="Times New Roman" w:cs="Times New Roman" w:eastAsiaTheme="minorEastAsia"/>
                <w:kern w:val="0"/>
                <w:sz w:val="18"/>
                <w:szCs w:val="18"/>
                <w:lang w:eastAsia="en-US"/>
              </w:rPr>
              <w:t>1/2"-20UNF-2</w:t>
            </w:r>
          </w:p>
        </w:tc>
        <w:tc>
          <w:tcPr>
            <w:tcW w:w="39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-（20.638±1.6）</w:t>
            </w:r>
          </w:p>
        </w:tc>
        <w:tc>
          <w:tcPr>
            <w:tcW w:w="119" w:type="pct"/>
            <w:vMerge w:val="continue"/>
            <w:tcBorders>
              <w:top w:val="single" w:color="auto" w:sz="4" w:space="0"/>
              <w:left w:val="single" w:color="auto" w:sz="4" w:space="0"/>
              <w:bottom w:val="single" w:color="auto" w:sz="4" w:space="0"/>
              <w:right w:val="single" w:color="auto" w:sz="4" w:space="0"/>
            </w:tcBorders>
          </w:tcPr>
          <w:p>
            <w:pPr>
              <w:widowControl/>
              <w:jc w:val="center"/>
              <w:rPr>
                <w:rFonts w:hint="default" w:ascii="Times New Roman" w:hAnsi="Times New Roman" w:cs="Times New Roman" w:eastAsiaTheme="minorEastAsia"/>
                <w:kern w:val="0"/>
                <w:sz w:val="18"/>
                <w:szCs w:val="18"/>
                <w:lang w:eastAsia="en-US"/>
              </w:rPr>
            </w:pPr>
          </w:p>
        </w:tc>
        <w:tc>
          <w:tcPr>
            <w:tcW w:w="355"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1.6～7.1</w:t>
            </w:r>
          </w:p>
        </w:tc>
        <w:tc>
          <w:tcPr>
            <w:tcW w:w="27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p>
        </w:tc>
        <w:tc>
          <w:tcPr>
            <w:tcW w:w="512"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2"-31T/2"-31T</w:t>
            </w:r>
          </w:p>
        </w:tc>
        <w:tc>
          <w:tcPr>
            <w:tcW w:w="70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（142.2±0.051）×2.73</w:t>
            </w:r>
          </w:p>
        </w:tc>
        <w:tc>
          <w:tcPr>
            <w:tcW w:w="59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角封132.94×3.53</w:t>
            </w:r>
          </w:p>
        </w:tc>
        <w:tc>
          <w:tcPr>
            <w:tcW w:w="19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zh-CN"/>
              </w:rPr>
            </w:pPr>
            <w:r>
              <w:rPr>
                <w:rFonts w:hint="default" w:ascii="Times New Roman" w:hAnsi="Times New Roman" w:cs="Times New Roman" w:eastAsiaTheme="minorEastAsia"/>
                <w:kern w:val="0"/>
                <w:sz w:val="18"/>
                <w:szCs w:val="18"/>
                <w:lang w:eastAsia="zh-CN"/>
              </w:rPr>
              <w:t>图1</w:t>
            </w:r>
          </w:p>
        </w:tc>
      </w:tr>
    </w:tbl>
    <w:p>
      <w:pPr>
        <w:spacing w:before="156" w:beforeLines="50"/>
        <w:jc w:val="center"/>
        <w:rPr>
          <w:rStyle w:val="14"/>
          <w:rFonts w:ascii="Times New Roman" w:hAnsi="Times New Roman" w:cs="Times New Roman" w:eastAsiaTheme="minorEastAsia"/>
          <w:b w:val="0"/>
          <w:bCs w:val="0"/>
          <w:kern w:val="0"/>
          <w:sz w:val="24"/>
          <w:lang w:eastAsia="zh-CN"/>
        </w:rPr>
      </w:pPr>
    </w:p>
    <w:p>
      <w:pPr>
        <w:spacing w:before="156" w:beforeLines="50"/>
        <w:jc w:val="center"/>
        <w:rPr>
          <w:rStyle w:val="14"/>
          <w:rFonts w:ascii="Times New Roman" w:hAnsi="Times New Roman" w:cs="Times New Roman" w:eastAsiaTheme="minorEastAsia"/>
          <w:b w:val="0"/>
          <w:bCs w:val="0"/>
          <w:kern w:val="0"/>
          <w:sz w:val="24"/>
          <w:lang w:eastAsia="zh-CN"/>
        </w:rPr>
      </w:pPr>
      <w:r>
        <w:rPr>
          <w:rStyle w:val="14"/>
          <w:rFonts w:ascii="Times New Roman" w:hAnsi="Times New Roman" w:cs="Times New Roman"/>
          <w:b w:val="0"/>
          <w:bCs w:val="0"/>
          <w:kern w:val="0"/>
          <w:sz w:val="24"/>
          <w:lang w:eastAsia="zh-CN"/>
        </w:rPr>
        <w:t>电机接泵工况接口尺寸</w:t>
      </w:r>
    </w:p>
    <w:tbl>
      <w:tblPr>
        <w:tblStyle w:val="11"/>
        <w:tblW w:w="0" w:type="auto"/>
        <w:jc w:val="center"/>
        <w:tblLayout w:type="autofit"/>
        <w:tblCellMar>
          <w:top w:w="0" w:type="dxa"/>
          <w:left w:w="108" w:type="dxa"/>
          <w:bottom w:w="0" w:type="dxa"/>
          <w:right w:w="108" w:type="dxa"/>
        </w:tblCellMar>
      </w:tblPr>
      <w:tblGrid>
        <w:gridCol w:w="1127"/>
        <w:gridCol w:w="756"/>
        <w:gridCol w:w="1381"/>
        <w:gridCol w:w="1125"/>
        <w:gridCol w:w="1403"/>
        <w:gridCol w:w="576"/>
      </w:tblGrid>
      <w:tr>
        <w:tblPrEx>
          <w:tblCellMar>
            <w:top w:w="0" w:type="dxa"/>
            <w:left w:w="108" w:type="dxa"/>
            <w:bottom w:w="0" w:type="dxa"/>
            <w:right w:w="108" w:type="dxa"/>
          </w:tblCellMar>
        </w:tblPrEx>
        <w:trPr>
          <w:trHeight w:val="444" w:hRule="atLeast"/>
          <w:tblHeader/>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系列</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位置</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螺纹孔心距D</w:t>
            </w:r>
            <w:r>
              <w:rPr>
                <w:rFonts w:ascii="Times New Roman" w:hAnsi="Times New Roman" w:cs="Times New Roman" w:eastAsiaTheme="minorEastAsia"/>
                <w:kern w:val="0"/>
                <w:sz w:val="18"/>
                <w:szCs w:val="18"/>
                <w:lang w:eastAsia="en-US"/>
              </w:rPr>
              <w:t>1</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止口D</w:t>
            </w:r>
            <w:r>
              <w:rPr>
                <w:rFonts w:ascii="Times New Roman" w:hAnsi="Times New Roman" w:cs="Times New Roman" w:eastAsiaTheme="minorEastAsia"/>
                <w:kern w:val="0"/>
                <w:sz w:val="18"/>
                <w:szCs w:val="18"/>
                <w:lang w:eastAsia="en-US"/>
              </w:rPr>
              <w:t>2</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螺纹孔n×D3</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图例</w:t>
            </w:r>
          </w:p>
        </w:tc>
      </w:tr>
      <w:tr>
        <w:tblPrEx>
          <w:tblCellMar>
            <w:top w:w="0" w:type="dxa"/>
            <w:left w:w="108" w:type="dxa"/>
            <w:bottom w:w="0" w:type="dxa"/>
            <w:right w:w="108" w:type="dxa"/>
          </w:tblCellMar>
        </w:tblPrEx>
        <w:trPr>
          <w:trHeight w:val="419"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4</w:t>
            </w:r>
            <w:r>
              <w:rPr>
                <w:rFonts w:ascii="Times New Roman" w:hAnsi="Times New Roman" w:cs="Times New Roman" w:eastAsiaTheme="minorEastAsia"/>
                <w:kern w:val="0"/>
                <w:sz w:val="18"/>
                <w:szCs w:val="18"/>
                <w:lang w:eastAsia="en-US"/>
              </w:rPr>
              <w:t xml:space="preserve">56/540/562 </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下接头</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96.84±</w:t>
            </w:r>
            <w:r>
              <w:rPr>
                <w:rFonts w:ascii="Times New Roman" w:hAnsi="Times New Roman" w:cs="Times New Roman" w:eastAsiaTheme="minorEastAsia"/>
                <w:kern w:val="0"/>
                <w:sz w:val="18"/>
                <w:szCs w:val="18"/>
                <w:lang w:eastAsia="en-US"/>
              </w:rPr>
              <w:t>0.1</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79.43±0.025</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6×7/16″-20UNF</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图</w:t>
            </w:r>
            <w:r>
              <w:rPr>
                <w:rFonts w:hint="default" w:ascii="Times New Roman" w:hAnsi="Times New Roman" w:cs="Times New Roman" w:eastAsiaTheme="minorEastAsia"/>
                <w:kern w:val="0"/>
                <w:sz w:val="18"/>
                <w:szCs w:val="18"/>
                <w:lang w:eastAsia="en-US"/>
              </w:rPr>
              <w:t>1</w:t>
            </w:r>
          </w:p>
        </w:tc>
      </w:tr>
    </w:tbl>
    <w:p>
      <w:pPr>
        <w:spacing w:before="156" w:beforeLines="50"/>
        <w:jc w:val="center"/>
        <w:rPr>
          <w:rStyle w:val="14"/>
          <w:rFonts w:ascii="Times New Roman" w:hAnsi="Times New Roman" w:cs="Times New Roman" w:eastAsiaTheme="minorEastAsia"/>
          <w:b w:val="0"/>
          <w:bCs w:val="0"/>
          <w:kern w:val="0"/>
          <w:sz w:val="24"/>
          <w:lang w:eastAsia="en-US"/>
        </w:rPr>
      </w:pPr>
      <w:r>
        <w:rPr>
          <w:rStyle w:val="14"/>
          <w:rFonts w:hint="default" w:ascii="Times New Roman" w:hAnsi="Times New Roman" w:cs="Times New Roman"/>
          <w:b w:val="0"/>
          <w:bCs w:val="0"/>
          <w:kern w:val="0"/>
          <w:sz w:val="24"/>
          <w:lang w:eastAsia="en-US"/>
        </w:rPr>
        <w:t>花键副参数</w:t>
      </w:r>
    </w:p>
    <w:tbl>
      <w:tblPr>
        <w:tblStyle w:val="11"/>
        <w:tblW w:w="3080" w:type="pct"/>
        <w:jc w:val="center"/>
        <w:tblLayout w:type="autofit"/>
        <w:tblCellMar>
          <w:top w:w="0" w:type="dxa"/>
          <w:left w:w="108" w:type="dxa"/>
          <w:bottom w:w="0" w:type="dxa"/>
          <w:right w:w="108" w:type="dxa"/>
        </w:tblCellMar>
      </w:tblPr>
      <w:tblGrid>
        <w:gridCol w:w="1296"/>
        <w:gridCol w:w="576"/>
        <w:gridCol w:w="4719"/>
        <w:gridCol w:w="5274"/>
      </w:tblGrid>
      <w:tr>
        <w:tblPrEx>
          <w:tblCellMar>
            <w:top w:w="0" w:type="dxa"/>
            <w:left w:w="108" w:type="dxa"/>
            <w:bottom w:w="0" w:type="dxa"/>
            <w:right w:w="108" w:type="dxa"/>
          </w:tblCellMar>
        </w:tblPrEx>
        <w:trPr>
          <w:trHeight w:val="170"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花键基本尺寸</w:t>
            </w:r>
          </w:p>
        </w:tc>
        <w:tc>
          <w:tcPr>
            <w:tcW w:w="41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齿数</w:t>
            </w:r>
          </w:p>
        </w:tc>
        <w:tc>
          <w:tcPr>
            <w:tcW w:w="1904"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花键套（mm）</w:t>
            </w:r>
          </w:p>
        </w:tc>
        <w:tc>
          <w:tcPr>
            <w:tcW w:w="1813"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轴花键（mm）</w:t>
            </w:r>
          </w:p>
        </w:tc>
      </w:tr>
      <w:tr>
        <w:tblPrEx>
          <w:tblCellMar>
            <w:top w:w="0" w:type="dxa"/>
            <w:left w:w="108" w:type="dxa"/>
            <w:bottom w:w="0" w:type="dxa"/>
            <w:right w:w="108" w:type="dxa"/>
          </w:tblCellMar>
        </w:tblPrEx>
        <w:trPr>
          <w:trHeight w:val="170"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11/16</w:t>
            </w:r>
            <w:r>
              <w:rPr>
                <w:rFonts w:ascii="Times New Roman" w:hAnsi="Times New Roman" w:cs="Times New Roman" w:eastAsiaTheme="minorEastAsia"/>
                <w:kern w:val="0"/>
                <w:sz w:val="18"/>
                <w:szCs w:val="18"/>
                <w:lang w:eastAsia="en-US"/>
              </w:rPr>
              <w:t>”</w:t>
            </w:r>
          </w:p>
        </w:tc>
        <w:tc>
          <w:tcPr>
            <w:tcW w:w="41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6</w:t>
            </w:r>
          </w:p>
        </w:tc>
        <w:tc>
          <w:tcPr>
            <w:tcW w:w="1904" w:type="pct"/>
            <w:tcBorders>
              <w:top w:val="single" w:color="auto" w:sz="4" w:space="0"/>
              <w:left w:val="nil"/>
              <w:bottom w:val="single" w:color="auto" w:sz="4" w:space="0"/>
              <w:right w:val="single" w:color="auto" w:sz="4" w:space="0"/>
            </w:tcBorders>
            <w:shd w:val="clear" w:color="auto" w:fill="auto"/>
            <w:noWrap/>
            <w:vAlign w:val="center"/>
          </w:tcPr>
          <w:p>
            <w:pPr>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φ1</w:t>
            </w:r>
            <w:r>
              <w:rPr>
                <w:rFonts w:ascii="Times New Roman" w:hAnsi="Times New Roman" w:cs="Times New Roman" w:eastAsiaTheme="minorEastAsia"/>
                <w:kern w:val="0"/>
                <w:sz w:val="18"/>
                <w:szCs w:val="18"/>
                <w:lang w:eastAsia="en-US"/>
              </w:rPr>
              <w:t>7.526</w:t>
            </w:r>
            <w:r>
              <w:rPr>
                <w:rFonts w:ascii="Times New Roman" w:hAnsi="Times New Roman" w:cs="Times New Roman" w:eastAsiaTheme="minorEastAsia"/>
                <w:kern w:val="0"/>
                <w:sz w:val="18"/>
                <w:szCs w:val="18"/>
                <w:lang w:eastAsia="en-US"/>
                <w:eastAsianLayout w:id="89" w:combine="1"/>
              </w:rPr>
              <w:t xml:space="preserve">     0 -0.102</w:t>
            </w:r>
            <w:r>
              <w:rPr>
                <w:rFonts w:ascii="Times New Roman" w:hAnsi="Times New Roman" w:cs="Times New Roman" w:eastAsiaTheme="minorEastAsia"/>
                <w:kern w:val="0"/>
                <w:sz w:val="18"/>
                <w:szCs w:val="18"/>
                <w:lang w:eastAsia="en-US"/>
              </w:rPr>
              <w:t>×</w:t>
            </w: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 xml:space="preserve">15.773 </w:t>
            </w:r>
            <w:r>
              <w:rPr>
                <w:rFonts w:ascii="Times New Roman" w:hAnsi="Times New Roman" w:cs="Times New Roman" w:eastAsiaTheme="minorEastAsia"/>
                <w:kern w:val="0"/>
                <w:sz w:val="18"/>
                <w:szCs w:val="18"/>
                <w:lang w:eastAsia="en-US"/>
                <w:eastAsianLayout w:id="90" w:combine="1"/>
              </w:rPr>
              <w:t>+0.051 0</w:t>
            </w:r>
            <w:r>
              <w:rPr>
                <w:rFonts w:ascii="Times New Roman" w:hAnsi="Times New Roman" w:cs="Times New Roman" w:eastAsiaTheme="minorEastAsia"/>
                <w:kern w:val="0"/>
                <w:sz w:val="18"/>
                <w:szCs w:val="18"/>
                <w:lang w:eastAsia="en-US"/>
              </w:rPr>
              <w:t>×4.420</w:t>
            </w:r>
            <w:r>
              <w:rPr>
                <w:rFonts w:ascii="Times New Roman" w:hAnsi="Times New Roman" w:cs="Times New Roman" w:eastAsiaTheme="minorEastAsia"/>
                <w:kern w:val="0"/>
                <w:sz w:val="18"/>
                <w:szCs w:val="18"/>
                <w:lang w:eastAsia="en-US"/>
                <w:eastAsianLayout w:id="91" w:combine="1"/>
              </w:rPr>
              <w:t xml:space="preserve">    0 -0.076</w:t>
            </w:r>
          </w:p>
        </w:tc>
        <w:tc>
          <w:tcPr>
            <w:tcW w:w="1813"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φ1</w:t>
            </w:r>
            <w:r>
              <w:rPr>
                <w:rFonts w:ascii="Times New Roman" w:hAnsi="Times New Roman" w:cs="Times New Roman" w:eastAsiaTheme="minorEastAsia"/>
                <w:kern w:val="0"/>
                <w:sz w:val="18"/>
                <w:szCs w:val="18"/>
                <w:lang w:eastAsia="en-US"/>
              </w:rPr>
              <w:t>7.374</w:t>
            </w:r>
            <w:r>
              <w:rPr>
                <w:rFonts w:ascii="Times New Roman" w:hAnsi="Times New Roman" w:cs="Times New Roman" w:eastAsiaTheme="minorEastAsia"/>
                <w:kern w:val="0"/>
                <w:sz w:val="18"/>
                <w:szCs w:val="18"/>
                <w:lang w:eastAsia="en-US"/>
                <w:eastAsianLayout w:id="92" w:combine="1"/>
              </w:rPr>
              <w:t xml:space="preserve">     0 -0.076</w:t>
            </w:r>
            <w:r>
              <w:rPr>
                <w:rFonts w:ascii="Times New Roman" w:hAnsi="Times New Roman" w:cs="Times New Roman" w:eastAsiaTheme="minorEastAsia"/>
                <w:kern w:val="0"/>
                <w:sz w:val="18"/>
                <w:szCs w:val="18"/>
                <w:lang w:eastAsia="en-US"/>
              </w:rPr>
              <w:t>×</w:t>
            </w: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 xml:space="preserve">15.674 </w:t>
            </w:r>
            <w:r>
              <w:rPr>
                <w:rFonts w:ascii="Times New Roman" w:hAnsi="Times New Roman" w:cs="Times New Roman" w:eastAsiaTheme="minorEastAsia"/>
                <w:kern w:val="0"/>
                <w:sz w:val="18"/>
                <w:szCs w:val="18"/>
                <w:lang w:eastAsia="en-US"/>
                <w:eastAsianLayout w:id="93" w:combine="1"/>
              </w:rPr>
              <w:t xml:space="preserve">    0 -0.127</w:t>
            </w:r>
            <w:r>
              <w:rPr>
                <w:rFonts w:ascii="Times New Roman" w:hAnsi="Times New Roman" w:cs="Times New Roman" w:eastAsiaTheme="minorEastAsia"/>
                <w:kern w:val="0"/>
                <w:sz w:val="18"/>
                <w:szCs w:val="18"/>
                <w:lang w:eastAsia="en-US"/>
              </w:rPr>
              <w:t>×4.216</w:t>
            </w:r>
            <w:r>
              <w:rPr>
                <w:rFonts w:ascii="Times New Roman" w:hAnsi="Times New Roman" w:cs="Times New Roman" w:eastAsiaTheme="minorEastAsia"/>
                <w:kern w:val="0"/>
                <w:sz w:val="18"/>
                <w:szCs w:val="18"/>
                <w:lang w:eastAsia="en-US"/>
                <w:eastAsianLayout w:id="94" w:combine="1"/>
              </w:rPr>
              <w:t>+0.076  -0.051</w:t>
            </w:r>
          </w:p>
        </w:tc>
      </w:tr>
      <w:tr>
        <w:tblPrEx>
          <w:tblCellMar>
            <w:top w:w="0" w:type="dxa"/>
            <w:left w:w="108" w:type="dxa"/>
            <w:bottom w:w="0" w:type="dxa"/>
            <w:right w:w="108" w:type="dxa"/>
          </w:tblCellMar>
        </w:tblPrEx>
        <w:trPr>
          <w:trHeight w:val="170"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7/8</w:t>
            </w:r>
            <w:r>
              <w:rPr>
                <w:rFonts w:ascii="Times New Roman" w:hAnsi="Times New Roman" w:cs="Times New Roman" w:eastAsiaTheme="minorEastAsia"/>
                <w:kern w:val="0"/>
                <w:sz w:val="18"/>
                <w:szCs w:val="18"/>
                <w:lang w:eastAsia="en-US"/>
              </w:rPr>
              <w:t>”</w:t>
            </w:r>
          </w:p>
        </w:tc>
        <w:tc>
          <w:tcPr>
            <w:tcW w:w="41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6</w:t>
            </w:r>
          </w:p>
        </w:tc>
        <w:tc>
          <w:tcPr>
            <w:tcW w:w="1904" w:type="pct"/>
            <w:tcBorders>
              <w:top w:val="single" w:color="auto" w:sz="4" w:space="0"/>
              <w:left w:val="nil"/>
              <w:bottom w:val="single" w:color="auto" w:sz="4" w:space="0"/>
              <w:right w:val="single" w:color="auto" w:sz="4" w:space="0"/>
            </w:tcBorders>
            <w:shd w:val="clear" w:color="auto" w:fill="auto"/>
            <w:noWrap/>
            <w:vAlign w:val="center"/>
          </w:tcPr>
          <w:p>
            <w:pPr>
              <w:jc w:val="center"/>
              <w:rPr>
                <w:rFonts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22.301</w:t>
            </w:r>
            <w:r>
              <w:rPr>
                <w:rFonts w:ascii="Times New Roman" w:hAnsi="Times New Roman" w:cs="Times New Roman" w:eastAsiaTheme="minorEastAsia"/>
                <w:kern w:val="0"/>
                <w:sz w:val="18"/>
                <w:szCs w:val="18"/>
                <w:lang w:eastAsia="en-US"/>
                <w:eastAsianLayout w:id="95" w:combine="1"/>
              </w:rPr>
              <w:t xml:space="preserve">     0 -0.102</w:t>
            </w:r>
            <w:r>
              <w:rPr>
                <w:rFonts w:ascii="Times New Roman" w:hAnsi="Times New Roman" w:cs="Times New Roman" w:eastAsiaTheme="minorEastAsia"/>
                <w:kern w:val="0"/>
                <w:sz w:val="18"/>
                <w:szCs w:val="18"/>
                <w:lang w:eastAsia="en-US"/>
              </w:rPr>
              <w:t>×</w:t>
            </w: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 xml:space="preserve">19.990 </w:t>
            </w:r>
            <w:r>
              <w:rPr>
                <w:rFonts w:ascii="Times New Roman" w:hAnsi="Times New Roman" w:cs="Times New Roman" w:eastAsiaTheme="minorEastAsia"/>
                <w:kern w:val="0"/>
                <w:sz w:val="18"/>
                <w:szCs w:val="18"/>
                <w:lang w:eastAsia="en-US"/>
                <w:eastAsianLayout w:id="96" w:combine="1"/>
              </w:rPr>
              <w:t>+0.051 0</w:t>
            </w:r>
            <w:r>
              <w:rPr>
                <w:rFonts w:ascii="Times New Roman" w:hAnsi="Times New Roman" w:cs="Times New Roman" w:eastAsiaTheme="minorEastAsia"/>
                <w:kern w:val="0"/>
                <w:sz w:val="18"/>
                <w:szCs w:val="18"/>
                <w:lang w:eastAsia="en-US"/>
              </w:rPr>
              <w:t>×5.613</w:t>
            </w:r>
            <w:r>
              <w:rPr>
                <w:rFonts w:ascii="Times New Roman" w:hAnsi="Times New Roman" w:cs="Times New Roman" w:eastAsiaTheme="minorEastAsia"/>
                <w:kern w:val="0"/>
                <w:sz w:val="18"/>
                <w:szCs w:val="18"/>
                <w:lang w:eastAsia="en-US"/>
                <w:eastAsianLayout w:id="97" w:combine="1"/>
              </w:rPr>
              <w:t xml:space="preserve">    0 -0.102</w:t>
            </w:r>
          </w:p>
        </w:tc>
        <w:tc>
          <w:tcPr>
            <w:tcW w:w="1813"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22.149</w:t>
            </w:r>
            <w:r>
              <w:rPr>
                <w:rFonts w:ascii="Times New Roman" w:hAnsi="Times New Roman" w:cs="Times New Roman" w:eastAsiaTheme="minorEastAsia"/>
                <w:kern w:val="0"/>
                <w:sz w:val="18"/>
                <w:szCs w:val="18"/>
                <w:lang w:eastAsia="en-US"/>
                <w:eastAsianLayout w:id="98" w:combine="1"/>
              </w:rPr>
              <w:t xml:space="preserve">     0 -0.076</w:t>
            </w:r>
            <w:r>
              <w:rPr>
                <w:rFonts w:ascii="Times New Roman" w:hAnsi="Times New Roman" w:cs="Times New Roman" w:eastAsiaTheme="minorEastAsia"/>
                <w:kern w:val="0"/>
                <w:sz w:val="18"/>
                <w:szCs w:val="18"/>
                <w:lang w:eastAsia="en-US"/>
              </w:rPr>
              <w:t>×</w:t>
            </w: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 xml:space="preserve">19.837 </w:t>
            </w:r>
            <w:r>
              <w:rPr>
                <w:rFonts w:ascii="Times New Roman" w:hAnsi="Times New Roman" w:cs="Times New Roman" w:eastAsiaTheme="minorEastAsia"/>
                <w:kern w:val="0"/>
                <w:sz w:val="18"/>
                <w:szCs w:val="18"/>
                <w:lang w:eastAsia="en-US"/>
                <w:eastAsianLayout w:id="99" w:combine="1"/>
              </w:rPr>
              <w:t xml:space="preserve">    0 -0.127</w:t>
            </w:r>
            <w:r>
              <w:rPr>
                <w:rFonts w:ascii="Times New Roman" w:hAnsi="Times New Roman" w:cs="Times New Roman" w:eastAsiaTheme="minorEastAsia"/>
                <w:kern w:val="0"/>
                <w:sz w:val="18"/>
                <w:szCs w:val="18"/>
                <w:lang w:eastAsia="en-US"/>
              </w:rPr>
              <w:t>×5.410</w:t>
            </w:r>
            <w:r>
              <w:rPr>
                <w:rFonts w:ascii="Times New Roman" w:hAnsi="Times New Roman" w:cs="Times New Roman" w:eastAsiaTheme="minorEastAsia"/>
                <w:kern w:val="0"/>
                <w:sz w:val="18"/>
                <w:szCs w:val="18"/>
                <w:lang w:eastAsia="en-US"/>
                <w:eastAsianLayout w:id="100" w:combine="1"/>
              </w:rPr>
              <w:t>+0.076  -0.051</w:t>
            </w:r>
          </w:p>
        </w:tc>
      </w:tr>
      <w:tr>
        <w:tblPrEx>
          <w:tblCellMar>
            <w:top w:w="0" w:type="dxa"/>
            <w:left w:w="108" w:type="dxa"/>
            <w:bottom w:w="0" w:type="dxa"/>
            <w:right w:w="108" w:type="dxa"/>
          </w:tblCellMar>
        </w:tblPrEx>
        <w:trPr>
          <w:trHeight w:val="170"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ascii="Times New Roman" w:hAnsi="Times New Roman" w:cs="Times New Roman" w:eastAsiaTheme="minorEastAsia"/>
                <w:kern w:val="0"/>
                <w:sz w:val="18"/>
                <w:szCs w:val="18"/>
                <w:lang w:eastAsia="en-US"/>
              </w:rPr>
              <w:t>1”</w:t>
            </w:r>
          </w:p>
        </w:tc>
        <w:tc>
          <w:tcPr>
            <w:tcW w:w="41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6</w:t>
            </w:r>
          </w:p>
        </w:tc>
        <w:tc>
          <w:tcPr>
            <w:tcW w:w="1904" w:type="pct"/>
            <w:tcBorders>
              <w:top w:val="single" w:color="auto" w:sz="4" w:space="0"/>
              <w:left w:val="nil"/>
              <w:bottom w:val="single" w:color="auto" w:sz="4" w:space="0"/>
              <w:right w:val="single" w:color="auto" w:sz="4" w:space="0"/>
            </w:tcBorders>
            <w:shd w:val="clear" w:color="auto" w:fill="auto"/>
            <w:noWrap/>
            <w:vAlign w:val="center"/>
          </w:tcPr>
          <w:p>
            <w:pPr>
              <w:jc w:val="center"/>
              <w:rPr>
                <w:rFonts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25.476</w:t>
            </w:r>
            <w:r>
              <w:rPr>
                <w:rFonts w:ascii="Times New Roman" w:hAnsi="Times New Roman" w:cs="Times New Roman" w:eastAsiaTheme="minorEastAsia"/>
                <w:kern w:val="0"/>
                <w:sz w:val="18"/>
                <w:szCs w:val="18"/>
                <w:lang w:eastAsia="en-US"/>
                <w:eastAsianLayout w:id="101" w:combine="1"/>
              </w:rPr>
              <w:t xml:space="preserve">     0 -0.102</w:t>
            </w:r>
            <w:r>
              <w:rPr>
                <w:rFonts w:ascii="Times New Roman" w:hAnsi="Times New Roman" w:cs="Times New Roman" w:eastAsiaTheme="minorEastAsia"/>
                <w:kern w:val="0"/>
                <w:sz w:val="18"/>
                <w:szCs w:val="18"/>
                <w:lang w:eastAsia="en-US"/>
              </w:rPr>
              <w:t>×</w:t>
            </w: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 xml:space="preserve">21.463 </w:t>
            </w:r>
            <w:r>
              <w:rPr>
                <w:rFonts w:ascii="Times New Roman" w:hAnsi="Times New Roman" w:cs="Times New Roman" w:eastAsiaTheme="minorEastAsia"/>
                <w:kern w:val="0"/>
                <w:sz w:val="18"/>
                <w:szCs w:val="18"/>
                <w:lang w:eastAsia="en-US"/>
                <w:eastAsianLayout w:id="102" w:combine="1"/>
              </w:rPr>
              <w:t>+0.051 0</w:t>
            </w:r>
            <w:r>
              <w:rPr>
                <w:rFonts w:ascii="Times New Roman" w:hAnsi="Times New Roman" w:cs="Times New Roman" w:eastAsiaTheme="minorEastAsia"/>
                <w:kern w:val="0"/>
                <w:sz w:val="18"/>
                <w:szCs w:val="18"/>
                <w:lang w:eastAsia="en-US"/>
              </w:rPr>
              <w:t>×6.401</w:t>
            </w:r>
            <w:r>
              <w:rPr>
                <w:rFonts w:ascii="Times New Roman" w:hAnsi="Times New Roman" w:cs="Times New Roman" w:eastAsiaTheme="minorEastAsia"/>
                <w:kern w:val="0"/>
                <w:sz w:val="18"/>
                <w:szCs w:val="18"/>
                <w:lang w:eastAsia="en-US"/>
                <w:eastAsianLayout w:id="103" w:combine="1"/>
              </w:rPr>
              <w:t xml:space="preserve">    0 -0.102</w:t>
            </w:r>
          </w:p>
        </w:tc>
        <w:tc>
          <w:tcPr>
            <w:tcW w:w="1813"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25.273</w:t>
            </w:r>
            <w:r>
              <w:rPr>
                <w:rFonts w:ascii="Times New Roman" w:hAnsi="Times New Roman" w:cs="Times New Roman" w:eastAsiaTheme="minorEastAsia"/>
                <w:kern w:val="0"/>
                <w:sz w:val="18"/>
                <w:szCs w:val="18"/>
                <w:lang w:eastAsia="en-US"/>
                <w:eastAsianLayout w:id="104" w:combine="1"/>
              </w:rPr>
              <w:t xml:space="preserve">     0 -0.076</w:t>
            </w:r>
            <w:r>
              <w:rPr>
                <w:rFonts w:ascii="Times New Roman" w:hAnsi="Times New Roman" w:cs="Times New Roman" w:eastAsiaTheme="minorEastAsia"/>
                <w:kern w:val="0"/>
                <w:sz w:val="18"/>
                <w:szCs w:val="18"/>
                <w:lang w:eastAsia="en-US"/>
              </w:rPr>
              <w:t>×</w:t>
            </w: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 xml:space="preserve">21.311 </w:t>
            </w:r>
            <w:r>
              <w:rPr>
                <w:rFonts w:ascii="Times New Roman" w:hAnsi="Times New Roman" w:cs="Times New Roman" w:eastAsiaTheme="minorEastAsia"/>
                <w:kern w:val="0"/>
                <w:sz w:val="18"/>
                <w:szCs w:val="18"/>
                <w:lang w:eastAsia="en-US"/>
                <w:eastAsianLayout w:id="105" w:combine="1"/>
              </w:rPr>
              <w:t xml:space="preserve">    0 -0.127</w:t>
            </w:r>
            <w:r>
              <w:rPr>
                <w:rFonts w:ascii="Times New Roman" w:hAnsi="Times New Roman" w:cs="Times New Roman" w:eastAsiaTheme="minorEastAsia"/>
                <w:kern w:val="0"/>
                <w:sz w:val="18"/>
                <w:szCs w:val="18"/>
                <w:lang w:eastAsia="en-US"/>
              </w:rPr>
              <w:t>×6.198</w:t>
            </w:r>
            <w:r>
              <w:rPr>
                <w:rFonts w:ascii="Times New Roman" w:hAnsi="Times New Roman" w:cs="Times New Roman" w:eastAsiaTheme="minorEastAsia"/>
                <w:kern w:val="0"/>
                <w:sz w:val="18"/>
                <w:szCs w:val="18"/>
                <w:lang w:eastAsia="en-US"/>
                <w:eastAsianLayout w:id="106" w:combine="1"/>
              </w:rPr>
              <w:t>+0.076  -0.051</w:t>
            </w:r>
          </w:p>
        </w:tc>
      </w:tr>
      <w:tr>
        <w:tblPrEx>
          <w:tblCellMar>
            <w:top w:w="0" w:type="dxa"/>
            <w:left w:w="108" w:type="dxa"/>
            <w:bottom w:w="0" w:type="dxa"/>
            <w:right w:w="108" w:type="dxa"/>
          </w:tblCellMar>
        </w:tblPrEx>
        <w:trPr>
          <w:trHeight w:val="170"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1-3/16</w:t>
            </w:r>
          </w:p>
        </w:tc>
        <w:tc>
          <w:tcPr>
            <w:tcW w:w="41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6</w:t>
            </w:r>
          </w:p>
        </w:tc>
        <w:tc>
          <w:tcPr>
            <w:tcW w:w="1904" w:type="pct"/>
            <w:tcBorders>
              <w:top w:val="single" w:color="auto" w:sz="4" w:space="0"/>
              <w:left w:val="nil"/>
              <w:bottom w:val="single" w:color="auto" w:sz="4" w:space="0"/>
              <w:right w:val="single" w:color="auto" w:sz="4" w:space="0"/>
            </w:tcBorders>
            <w:shd w:val="clear" w:color="auto" w:fill="auto"/>
            <w:noWrap/>
            <w:vAlign w:val="center"/>
          </w:tcPr>
          <w:p>
            <w:pPr>
              <w:jc w:val="center"/>
              <w:rPr>
                <w:rFonts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30.226</w:t>
            </w:r>
            <w:r>
              <w:rPr>
                <w:rFonts w:ascii="Times New Roman" w:hAnsi="Times New Roman" w:cs="Times New Roman" w:eastAsiaTheme="minorEastAsia"/>
                <w:kern w:val="0"/>
                <w:sz w:val="18"/>
                <w:szCs w:val="18"/>
                <w:lang w:eastAsia="en-US"/>
                <w:eastAsianLayout w:id="107" w:combine="1"/>
              </w:rPr>
              <w:t xml:space="preserve">     0 -0.102</w:t>
            </w:r>
            <w:r>
              <w:rPr>
                <w:rFonts w:ascii="Times New Roman" w:hAnsi="Times New Roman" w:cs="Times New Roman" w:eastAsiaTheme="minorEastAsia"/>
                <w:kern w:val="0"/>
                <w:sz w:val="18"/>
                <w:szCs w:val="18"/>
                <w:lang w:eastAsia="en-US"/>
              </w:rPr>
              <w:t>×</w:t>
            </w: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 xml:space="preserve">25.502 </w:t>
            </w:r>
            <w:r>
              <w:rPr>
                <w:rFonts w:ascii="Times New Roman" w:hAnsi="Times New Roman" w:cs="Times New Roman" w:eastAsiaTheme="minorEastAsia"/>
                <w:kern w:val="0"/>
                <w:sz w:val="18"/>
                <w:szCs w:val="18"/>
                <w:lang w:eastAsia="en-US"/>
                <w:eastAsianLayout w:id="108" w:combine="1"/>
              </w:rPr>
              <w:t>+0.051 0</w:t>
            </w:r>
            <w:r>
              <w:rPr>
                <w:rFonts w:ascii="Times New Roman" w:hAnsi="Times New Roman" w:cs="Times New Roman" w:eastAsiaTheme="minorEastAsia"/>
                <w:kern w:val="0"/>
                <w:sz w:val="18"/>
                <w:szCs w:val="18"/>
                <w:lang w:eastAsia="en-US"/>
              </w:rPr>
              <w:t>×7.569</w:t>
            </w:r>
            <w:r>
              <w:rPr>
                <w:rFonts w:ascii="Times New Roman" w:hAnsi="Times New Roman" w:cs="Times New Roman" w:eastAsiaTheme="minorEastAsia"/>
                <w:kern w:val="0"/>
                <w:sz w:val="18"/>
                <w:szCs w:val="18"/>
                <w:lang w:eastAsia="en-US"/>
                <w:eastAsianLayout w:id="109" w:combine="1"/>
              </w:rPr>
              <w:t xml:space="preserve">    0 -0.102</w:t>
            </w:r>
          </w:p>
        </w:tc>
        <w:tc>
          <w:tcPr>
            <w:tcW w:w="1813"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29.997</w:t>
            </w:r>
            <w:r>
              <w:rPr>
                <w:rFonts w:ascii="Times New Roman" w:hAnsi="Times New Roman" w:cs="Times New Roman" w:eastAsiaTheme="minorEastAsia"/>
                <w:kern w:val="0"/>
                <w:sz w:val="18"/>
                <w:szCs w:val="18"/>
                <w:lang w:eastAsia="en-US"/>
                <w:eastAsianLayout w:id="110" w:combine="1"/>
              </w:rPr>
              <w:t xml:space="preserve">     0 -0.076</w:t>
            </w:r>
            <w:r>
              <w:rPr>
                <w:rFonts w:ascii="Times New Roman" w:hAnsi="Times New Roman" w:cs="Times New Roman" w:eastAsiaTheme="minorEastAsia"/>
                <w:kern w:val="0"/>
                <w:sz w:val="18"/>
                <w:szCs w:val="18"/>
                <w:lang w:eastAsia="en-US"/>
              </w:rPr>
              <w:t>×</w:t>
            </w: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 xml:space="preserve">25.324 </w:t>
            </w:r>
            <w:r>
              <w:rPr>
                <w:rFonts w:ascii="Times New Roman" w:hAnsi="Times New Roman" w:cs="Times New Roman" w:eastAsiaTheme="minorEastAsia"/>
                <w:kern w:val="0"/>
                <w:sz w:val="18"/>
                <w:szCs w:val="18"/>
                <w:lang w:eastAsia="en-US"/>
                <w:eastAsianLayout w:id="111" w:combine="1"/>
              </w:rPr>
              <w:t xml:space="preserve">    0 -0.127</w:t>
            </w:r>
            <w:r>
              <w:rPr>
                <w:rFonts w:ascii="Times New Roman" w:hAnsi="Times New Roman" w:cs="Times New Roman" w:eastAsiaTheme="minorEastAsia"/>
                <w:kern w:val="0"/>
                <w:sz w:val="18"/>
                <w:szCs w:val="18"/>
                <w:lang w:eastAsia="en-US"/>
              </w:rPr>
              <w:t>×7.366</w:t>
            </w:r>
            <w:r>
              <w:rPr>
                <w:rFonts w:ascii="Times New Roman" w:hAnsi="Times New Roman" w:cs="Times New Roman" w:eastAsiaTheme="minorEastAsia"/>
                <w:kern w:val="0"/>
                <w:sz w:val="18"/>
                <w:szCs w:val="18"/>
                <w:lang w:eastAsia="en-US"/>
                <w:eastAsianLayout w:id="112" w:combine="1"/>
              </w:rPr>
              <w:t xml:space="preserve">    0 -0.127</w:t>
            </w:r>
          </w:p>
        </w:tc>
      </w:tr>
      <w:tr>
        <w:tblPrEx>
          <w:tblCellMar>
            <w:top w:w="0" w:type="dxa"/>
            <w:left w:w="108" w:type="dxa"/>
            <w:bottom w:w="0" w:type="dxa"/>
            <w:right w:w="108" w:type="dxa"/>
          </w:tblCellMar>
        </w:tblPrEx>
        <w:trPr>
          <w:trHeight w:val="170" w:hRule="atLeast"/>
          <w:jc w:val="center"/>
        </w:trPr>
        <w:tc>
          <w:tcPr>
            <w:tcW w:w="8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1-3/8</w:t>
            </w:r>
            <w:r>
              <w:rPr>
                <w:rFonts w:ascii="Times New Roman" w:hAnsi="Times New Roman" w:cs="Times New Roman" w:eastAsiaTheme="minorEastAsia"/>
                <w:kern w:val="0"/>
                <w:sz w:val="18"/>
                <w:szCs w:val="18"/>
                <w:lang w:eastAsia="en-US"/>
              </w:rPr>
              <w:t>”</w:t>
            </w:r>
          </w:p>
        </w:tc>
        <w:tc>
          <w:tcPr>
            <w:tcW w:w="41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6</w:t>
            </w:r>
          </w:p>
        </w:tc>
        <w:tc>
          <w:tcPr>
            <w:tcW w:w="1904" w:type="pct"/>
            <w:tcBorders>
              <w:top w:val="single" w:color="auto" w:sz="4" w:space="0"/>
              <w:left w:val="nil"/>
              <w:bottom w:val="single" w:color="auto" w:sz="4" w:space="0"/>
              <w:right w:val="single" w:color="auto" w:sz="4" w:space="0"/>
            </w:tcBorders>
            <w:shd w:val="clear" w:color="auto" w:fill="auto"/>
            <w:noWrap/>
            <w:vAlign w:val="center"/>
          </w:tcPr>
          <w:p>
            <w:pPr>
              <w:jc w:val="center"/>
              <w:rPr>
                <w:rFonts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35.001</w:t>
            </w:r>
            <w:r>
              <w:rPr>
                <w:rFonts w:ascii="Times New Roman" w:hAnsi="Times New Roman" w:cs="Times New Roman" w:eastAsiaTheme="minorEastAsia"/>
                <w:kern w:val="0"/>
                <w:sz w:val="18"/>
                <w:szCs w:val="18"/>
                <w:lang w:eastAsia="en-US"/>
                <w:eastAsianLayout w:id="113" w:combine="1"/>
              </w:rPr>
              <w:t xml:space="preserve">     0 -0.102</w:t>
            </w:r>
            <w:r>
              <w:rPr>
                <w:rFonts w:ascii="Times New Roman" w:hAnsi="Times New Roman" w:cs="Times New Roman" w:eastAsiaTheme="minorEastAsia"/>
                <w:kern w:val="0"/>
                <w:sz w:val="18"/>
                <w:szCs w:val="18"/>
                <w:lang w:eastAsia="en-US"/>
              </w:rPr>
              <w:t>×</w:t>
            </w: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 xml:space="preserve">29.693 </w:t>
            </w:r>
            <w:r>
              <w:rPr>
                <w:rFonts w:ascii="Times New Roman" w:hAnsi="Times New Roman" w:cs="Times New Roman" w:eastAsiaTheme="minorEastAsia"/>
                <w:kern w:val="0"/>
                <w:sz w:val="18"/>
                <w:szCs w:val="18"/>
                <w:lang w:eastAsia="en-US"/>
                <w:eastAsianLayout w:id="114" w:combine="1"/>
              </w:rPr>
              <w:t>+0.051 0</w:t>
            </w:r>
            <w:r>
              <w:rPr>
                <w:rFonts w:ascii="Times New Roman" w:hAnsi="Times New Roman" w:cs="Times New Roman" w:eastAsiaTheme="minorEastAsia"/>
                <w:kern w:val="0"/>
                <w:sz w:val="18"/>
                <w:szCs w:val="18"/>
                <w:lang w:eastAsia="en-US"/>
              </w:rPr>
              <w:t>×8.788</w:t>
            </w:r>
            <w:r>
              <w:rPr>
                <w:rFonts w:ascii="Times New Roman" w:hAnsi="Times New Roman" w:cs="Times New Roman" w:eastAsiaTheme="minorEastAsia"/>
                <w:kern w:val="0"/>
                <w:sz w:val="18"/>
                <w:szCs w:val="18"/>
                <w:lang w:eastAsia="en-US"/>
                <w:eastAsianLayout w:id="115" w:combine="1"/>
              </w:rPr>
              <w:t xml:space="preserve">    0 -0.102</w:t>
            </w:r>
          </w:p>
        </w:tc>
        <w:tc>
          <w:tcPr>
            <w:tcW w:w="1813"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34.849</w:t>
            </w:r>
            <w:r>
              <w:rPr>
                <w:rFonts w:ascii="Times New Roman" w:hAnsi="Times New Roman" w:cs="Times New Roman" w:eastAsiaTheme="minorEastAsia"/>
                <w:kern w:val="0"/>
                <w:sz w:val="18"/>
                <w:szCs w:val="18"/>
                <w:lang w:eastAsia="en-US"/>
                <w:eastAsianLayout w:id="116" w:combine="1"/>
              </w:rPr>
              <w:t xml:space="preserve">     0 -0.076</w:t>
            </w:r>
            <w:r>
              <w:rPr>
                <w:rFonts w:ascii="Times New Roman" w:hAnsi="Times New Roman" w:cs="Times New Roman" w:eastAsiaTheme="minorEastAsia"/>
                <w:kern w:val="0"/>
                <w:sz w:val="18"/>
                <w:szCs w:val="18"/>
                <w:lang w:eastAsia="en-US"/>
              </w:rPr>
              <w:t>×</w:t>
            </w: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 xml:space="preserve">29.515 </w:t>
            </w:r>
            <w:r>
              <w:rPr>
                <w:rFonts w:ascii="Times New Roman" w:hAnsi="Times New Roman" w:cs="Times New Roman" w:eastAsiaTheme="minorEastAsia"/>
                <w:kern w:val="0"/>
                <w:sz w:val="18"/>
                <w:szCs w:val="18"/>
                <w:lang w:eastAsia="en-US"/>
                <w:eastAsianLayout w:id="117" w:combine="1"/>
              </w:rPr>
              <w:t xml:space="preserve">    0 -0.127</w:t>
            </w:r>
            <w:r>
              <w:rPr>
                <w:rFonts w:ascii="Times New Roman" w:hAnsi="Times New Roman" w:cs="Times New Roman" w:eastAsiaTheme="minorEastAsia"/>
                <w:kern w:val="0"/>
                <w:sz w:val="18"/>
                <w:szCs w:val="18"/>
                <w:lang w:eastAsia="en-US"/>
              </w:rPr>
              <w:t>×8.585</w:t>
            </w:r>
            <w:r>
              <w:rPr>
                <w:rFonts w:ascii="Times New Roman" w:hAnsi="Times New Roman" w:cs="Times New Roman" w:eastAsiaTheme="minorEastAsia"/>
                <w:kern w:val="0"/>
                <w:sz w:val="18"/>
                <w:szCs w:val="18"/>
                <w:lang w:eastAsia="en-US"/>
                <w:eastAsianLayout w:id="118" w:combine="1"/>
              </w:rPr>
              <w:t xml:space="preserve">    0 -0.127</w:t>
            </w:r>
          </w:p>
        </w:tc>
      </w:tr>
      <w:tr>
        <w:tblPrEx>
          <w:tblCellMar>
            <w:top w:w="0" w:type="dxa"/>
            <w:left w:w="108" w:type="dxa"/>
            <w:bottom w:w="0" w:type="dxa"/>
            <w:right w:w="108" w:type="dxa"/>
          </w:tblCellMar>
        </w:tblPrEx>
        <w:trPr>
          <w:trHeight w:val="170" w:hRule="atLeast"/>
          <w:jc w:val="center"/>
        </w:trPr>
        <w:tc>
          <w:tcPr>
            <w:tcW w:w="873" w:type="pct"/>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w:t>
            </w:r>
            <w:r>
              <w:rPr>
                <w:rFonts w:ascii="Times New Roman" w:hAnsi="Times New Roman" w:cs="Times New Roman" w:eastAsiaTheme="minorEastAsia"/>
                <w:kern w:val="0"/>
                <w:sz w:val="18"/>
                <w:szCs w:val="18"/>
                <w:lang w:eastAsia="en-US"/>
              </w:rPr>
              <w:t>-1/2”</w:t>
            </w:r>
          </w:p>
        </w:tc>
        <w:tc>
          <w:tcPr>
            <w:tcW w:w="410" w:type="pct"/>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6</w:t>
            </w:r>
          </w:p>
        </w:tc>
        <w:tc>
          <w:tcPr>
            <w:tcW w:w="1904" w:type="pct"/>
            <w:tcBorders>
              <w:top w:val="single" w:color="auto" w:sz="4" w:space="0"/>
              <w:left w:val="nil"/>
              <w:bottom w:val="single" w:color="auto" w:sz="4" w:space="0"/>
              <w:right w:val="single" w:color="auto" w:sz="4" w:space="0"/>
            </w:tcBorders>
            <w:shd w:val="clear" w:color="auto" w:fill="auto"/>
            <w:noWrap/>
            <w:vAlign w:val="center"/>
          </w:tcPr>
          <w:p>
            <w:pPr>
              <w:jc w:val="center"/>
              <w:rPr>
                <w:rFonts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38.176</w:t>
            </w:r>
            <w:r>
              <w:rPr>
                <w:rFonts w:ascii="Times New Roman" w:hAnsi="Times New Roman" w:cs="Times New Roman" w:eastAsiaTheme="minorEastAsia"/>
                <w:kern w:val="0"/>
                <w:sz w:val="18"/>
                <w:szCs w:val="18"/>
                <w:lang w:eastAsia="en-US"/>
                <w:eastAsianLayout w:id="119" w:combine="1"/>
              </w:rPr>
              <w:t xml:space="preserve">     0 -0.102</w:t>
            </w:r>
            <w:r>
              <w:rPr>
                <w:rFonts w:ascii="Times New Roman" w:hAnsi="Times New Roman" w:cs="Times New Roman" w:eastAsiaTheme="minorEastAsia"/>
                <w:kern w:val="0"/>
                <w:sz w:val="18"/>
                <w:szCs w:val="18"/>
                <w:lang w:eastAsia="en-US"/>
              </w:rPr>
              <w:t>×</w:t>
            </w: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 xml:space="preserve">32.385 </w:t>
            </w:r>
            <w:r>
              <w:rPr>
                <w:rFonts w:ascii="Times New Roman" w:hAnsi="Times New Roman" w:cs="Times New Roman" w:eastAsiaTheme="minorEastAsia"/>
                <w:kern w:val="0"/>
                <w:sz w:val="18"/>
                <w:szCs w:val="18"/>
                <w:lang w:eastAsia="en-US"/>
                <w:eastAsianLayout w:id="120" w:combine="1"/>
              </w:rPr>
              <w:t>+0.051 0</w:t>
            </w:r>
            <w:r>
              <w:rPr>
                <w:rFonts w:ascii="Times New Roman" w:hAnsi="Times New Roman" w:cs="Times New Roman" w:eastAsiaTheme="minorEastAsia"/>
                <w:kern w:val="0"/>
                <w:sz w:val="18"/>
                <w:szCs w:val="18"/>
                <w:lang w:eastAsia="en-US"/>
              </w:rPr>
              <w:t>×9.576</w:t>
            </w:r>
            <w:r>
              <w:rPr>
                <w:rFonts w:ascii="Times New Roman" w:hAnsi="Times New Roman" w:cs="Times New Roman" w:eastAsiaTheme="minorEastAsia"/>
                <w:kern w:val="0"/>
                <w:sz w:val="18"/>
                <w:szCs w:val="18"/>
                <w:lang w:eastAsia="en-US"/>
                <w:eastAsianLayout w:id="121" w:combine="1"/>
              </w:rPr>
              <w:t xml:space="preserve">    0 -0.102</w:t>
            </w:r>
          </w:p>
        </w:tc>
        <w:tc>
          <w:tcPr>
            <w:tcW w:w="1813"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38.024</w:t>
            </w:r>
            <w:r>
              <w:rPr>
                <w:rFonts w:ascii="Times New Roman" w:hAnsi="Times New Roman" w:cs="Times New Roman" w:eastAsiaTheme="minorEastAsia"/>
                <w:kern w:val="0"/>
                <w:sz w:val="18"/>
                <w:szCs w:val="18"/>
                <w:lang w:eastAsia="en-US"/>
                <w:eastAsianLayout w:id="122" w:combine="1"/>
              </w:rPr>
              <w:t xml:space="preserve">    0 -0.076</w:t>
            </w:r>
            <w:r>
              <w:rPr>
                <w:rFonts w:ascii="Times New Roman" w:hAnsi="Times New Roman" w:cs="Times New Roman" w:eastAsiaTheme="minorEastAsia"/>
                <w:kern w:val="0"/>
                <w:sz w:val="18"/>
                <w:szCs w:val="18"/>
                <w:lang w:eastAsia="en-US"/>
              </w:rPr>
              <w:t>×</w:t>
            </w: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32.207</w:t>
            </w:r>
            <w:r>
              <w:rPr>
                <w:rFonts w:ascii="Times New Roman" w:hAnsi="Times New Roman" w:cs="Times New Roman" w:eastAsiaTheme="minorEastAsia"/>
                <w:kern w:val="0"/>
                <w:sz w:val="18"/>
                <w:szCs w:val="18"/>
                <w:lang w:eastAsia="en-US"/>
                <w:eastAsianLayout w:id="123" w:combine="1"/>
              </w:rPr>
              <w:t xml:space="preserve">    0 -0.076</w:t>
            </w:r>
            <w:r>
              <w:rPr>
                <w:rFonts w:ascii="Times New Roman" w:hAnsi="Times New Roman" w:cs="Times New Roman" w:eastAsiaTheme="minorEastAsia"/>
                <w:kern w:val="0"/>
                <w:sz w:val="18"/>
                <w:szCs w:val="18"/>
                <w:lang w:eastAsia="en-US"/>
              </w:rPr>
              <w:t>×9.373</w:t>
            </w:r>
            <w:r>
              <w:rPr>
                <w:rFonts w:ascii="Times New Roman" w:hAnsi="Times New Roman" w:cs="Times New Roman" w:eastAsiaTheme="minorEastAsia"/>
                <w:kern w:val="0"/>
                <w:sz w:val="18"/>
                <w:szCs w:val="18"/>
                <w:lang w:eastAsia="en-US"/>
                <w:eastAsianLayout w:id="124" w:combine="1"/>
              </w:rPr>
              <w:t xml:space="preserve">    0 -0.076</w:t>
            </w:r>
          </w:p>
        </w:tc>
      </w:tr>
      <w:tr>
        <w:tblPrEx>
          <w:tblCellMar>
            <w:top w:w="0" w:type="dxa"/>
            <w:left w:w="108" w:type="dxa"/>
            <w:bottom w:w="0" w:type="dxa"/>
            <w:right w:w="108" w:type="dxa"/>
          </w:tblCellMar>
        </w:tblPrEx>
        <w:trPr>
          <w:trHeight w:val="170" w:hRule="atLeast"/>
          <w:jc w:val="center"/>
        </w:trPr>
        <w:tc>
          <w:tcPr>
            <w:tcW w:w="873" w:type="pct"/>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2</w:t>
            </w:r>
            <w:r>
              <w:rPr>
                <w:rFonts w:ascii="Times New Roman" w:hAnsi="Times New Roman" w:cs="Times New Roman" w:eastAsiaTheme="minorEastAsia"/>
                <w:kern w:val="0"/>
                <w:sz w:val="18"/>
                <w:szCs w:val="18"/>
                <w:lang w:eastAsia="en-US"/>
              </w:rPr>
              <w:t>”</w:t>
            </w:r>
          </w:p>
        </w:tc>
        <w:tc>
          <w:tcPr>
            <w:tcW w:w="410" w:type="pct"/>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1</w:t>
            </w:r>
            <w:r>
              <w:rPr>
                <w:rFonts w:ascii="Times New Roman" w:hAnsi="Times New Roman" w:cs="Times New Roman" w:eastAsiaTheme="minorEastAsia"/>
                <w:kern w:val="0"/>
                <w:sz w:val="18"/>
                <w:szCs w:val="18"/>
                <w:lang w:eastAsia="en-US"/>
              </w:rPr>
              <w:t>6</w:t>
            </w:r>
          </w:p>
        </w:tc>
        <w:tc>
          <w:tcPr>
            <w:tcW w:w="1904" w:type="pct"/>
            <w:tcBorders>
              <w:top w:val="single" w:color="auto" w:sz="4" w:space="0"/>
              <w:left w:val="nil"/>
              <w:bottom w:val="single" w:color="auto" w:sz="4" w:space="0"/>
              <w:right w:val="single" w:color="auto" w:sz="4" w:space="0"/>
            </w:tcBorders>
            <w:shd w:val="clear" w:color="auto" w:fill="auto"/>
            <w:noWrap/>
            <w:vAlign w:val="center"/>
          </w:tcPr>
          <w:p>
            <w:pPr>
              <w:jc w:val="center"/>
              <w:rPr>
                <w:rFonts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50.800</w:t>
            </w:r>
            <w:r>
              <w:rPr>
                <w:rFonts w:ascii="Times New Roman" w:hAnsi="Times New Roman" w:cs="Times New Roman" w:eastAsiaTheme="minorEastAsia"/>
                <w:kern w:val="0"/>
                <w:sz w:val="18"/>
                <w:szCs w:val="18"/>
                <w:lang w:eastAsia="en-US"/>
                <w:eastAsianLayout w:id="125" w:combine="1"/>
              </w:rPr>
              <w:t xml:space="preserve">     0 -0.102</w:t>
            </w:r>
            <w:r>
              <w:rPr>
                <w:rFonts w:ascii="Times New Roman" w:hAnsi="Times New Roman" w:cs="Times New Roman" w:eastAsiaTheme="minorEastAsia"/>
                <w:kern w:val="0"/>
                <w:sz w:val="18"/>
                <w:szCs w:val="18"/>
                <w:lang w:eastAsia="en-US"/>
              </w:rPr>
              <w:t>×</w:t>
            </w: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 xml:space="preserve">41.046 </w:t>
            </w:r>
            <w:r>
              <w:rPr>
                <w:rFonts w:ascii="Times New Roman" w:hAnsi="Times New Roman" w:cs="Times New Roman" w:eastAsiaTheme="minorEastAsia"/>
                <w:kern w:val="0"/>
                <w:sz w:val="18"/>
                <w:szCs w:val="18"/>
                <w:lang w:eastAsia="en-US"/>
                <w:eastAsianLayout w:id="126" w:combine="1"/>
              </w:rPr>
              <w:t>+0.051 0</w:t>
            </w:r>
            <w:r>
              <w:rPr>
                <w:rFonts w:ascii="Times New Roman" w:hAnsi="Times New Roman" w:cs="Times New Roman" w:eastAsiaTheme="minorEastAsia"/>
                <w:kern w:val="0"/>
                <w:sz w:val="18"/>
                <w:szCs w:val="18"/>
                <w:lang w:eastAsia="en-US"/>
              </w:rPr>
              <w:t>×4.953</w:t>
            </w:r>
            <w:r>
              <w:rPr>
                <w:rFonts w:ascii="Times New Roman" w:hAnsi="Times New Roman" w:cs="Times New Roman" w:eastAsiaTheme="minorEastAsia"/>
                <w:kern w:val="0"/>
                <w:sz w:val="18"/>
                <w:szCs w:val="18"/>
                <w:lang w:eastAsia="en-US"/>
                <w:eastAsianLayout w:id="127" w:combine="1"/>
              </w:rPr>
              <w:t xml:space="preserve">    0 -0.076</w:t>
            </w:r>
          </w:p>
        </w:tc>
        <w:tc>
          <w:tcPr>
            <w:tcW w:w="1813"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50.648</w:t>
            </w:r>
            <w:r>
              <w:rPr>
                <w:rFonts w:ascii="Times New Roman" w:hAnsi="Times New Roman" w:cs="Times New Roman" w:eastAsiaTheme="minorEastAsia"/>
                <w:kern w:val="0"/>
                <w:sz w:val="18"/>
                <w:szCs w:val="18"/>
                <w:lang w:eastAsia="en-US"/>
                <w:eastAsianLayout w:id="128" w:combine="1"/>
              </w:rPr>
              <w:t xml:space="preserve">    0 -0.076</w:t>
            </w:r>
            <w:r>
              <w:rPr>
                <w:rFonts w:ascii="Times New Roman" w:hAnsi="Times New Roman" w:cs="Times New Roman" w:eastAsiaTheme="minorEastAsia"/>
                <w:kern w:val="0"/>
                <w:sz w:val="18"/>
                <w:szCs w:val="18"/>
                <w:lang w:eastAsia="en-US"/>
              </w:rPr>
              <w:t>×</w:t>
            </w:r>
            <w:r>
              <w:rPr>
                <w:rFonts w:hint="default" w:ascii="Times New Roman" w:hAnsi="Times New Roman" w:cs="Times New Roman" w:eastAsiaTheme="minorEastAsia"/>
                <w:kern w:val="0"/>
                <w:sz w:val="18"/>
                <w:szCs w:val="18"/>
                <w:lang w:eastAsia="en-US"/>
              </w:rPr>
              <w:t>φ</w:t>
            </w:r>
            <w:r>
              <w:rPr>
                <w:rFonts w:ascii="Times New Roman" w:hAnsi="Times New Roman" w:cs="Times New Roman" w:eastAsiaTheme="minorEastAsia"/>
                <w:kern w:val="0"/>
                <w:sz w:val="18"/>
                <w:szCs w:val="18"/>
                <w:lang w:eastAsia="en-US"/>
              </w:rPr>
              <w:t>41.021</w:t>
            </w:r>
            <w:r>
              <w:rPr>
                <w:rFonts w:ascii="Times New Roman" w:hAnsi="Times New Roman" w:cs="Times New Roman" w:eastAsiaTheme="minorEastAsia"/>
                <w:kern w:val="0"/>
                <w:sz w:val="18"/>
                <w:szCs w:val="18"/>
                <w:lang w:eastAsia="en-US"/>
                <w:eastAsianLayout w:id="129" w:combine="1"/>
              </w:rPr>
              <w:t>+0.025 0</w:t>
            </w:r>
            <w:r>
              <w:rPr>
                <w:rFonts w:ascii="Times New Roman" w:hAnsi="Times New Roman" w:cs="Times New Roman" w:eastAsiaTheme="minorEastAsia"/>
                <w:kern w:val="0"/>
                <w:sz w:val="18"/>
                <w:szCs w:val="18"/>
                <w:lang w:eastAsia="en-US"/>
              </w:rPr>
              <w:t>×4.826</w:t>
            </w:r>
            <w:r>
              <w:rPr>
                <w:rFonts w:ascii="Times New Roman" w:hAnsi="Times New Roman" w:cs="Times New Roman" w:eastAsiaTheme="minorEastAsia"/>
                <w:kern w:val="0"/>
                <w:sz w:val="18"/>
                <w:szCs w:val="18"/>
                <w:lang w:eastAsia="en-US"/>
                <w:eastAsianLayout w:id="130" w:combine="1"/>
              </w:rPr>
              <w:t xml:space="preserve">    0 -0.076</w:t>
            </w:r>
          </w:p>
        </w:tc>
      </w:tr>
    </w:tbl>
    <w:p>
      <w:pPr>
        <w:jc w:val="center"/>
        <w:rPr>
          <w:rStyle w:val="14"/>
          <w:rFonts w:ascii="Times New Roman" w:hAnsi="Times New Roman" w:cs="Times New Roman" w:eastAsiaTheme="minorEastAsia"/>
          <w:b w:val="0"/>
          <w:bCs w:val="0"/>
          <w:kern w:val="0"/>
          <w:sz w:val="24"/>
          <w:lang w:eastAsia="en-US"/>
        </w:rPr>
      </w:pPr>
      <w:r>
        <w:rPr>
          <w:rStyle w:val="14"/>
          <w:rFonts w:hint="default" w:ascii="Times New Roman" w:hAnsi="Times New Roman" w:cs="Times New Roman"/>
          <w:b w:val="0"/>
          <w:bCs w:val="0"/>
          <w:kern w:val="0"/>
          <w:sz w:val="24"/>
          <w:lang w:eastAsia="en-US"/>
        </w:rPr>
        <w:t>注油塞及注油阀参数</w:t>
      </w:r>
    </w:p>
    <w:tbl>
      <w:tblPr>
        <w:tblStyle w:val="11"/>
        <w:tblW w:w="206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21"/>
        <w:gridCol w:w="2113"/>
        <w:gridCol w:w="19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555" w:type="pct"/>
            <w:vAlign w:val="center"/>
          </w:tcPr>
          <w:p>
            <w:pPr>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项目</w:t>
            </w:r>
          </w:p>
        </w:tc>
        <w:tc>
          <w:tcPr>
            <w:tcW w:w="1805" w:type="pct"/>
            <w:vAlign w:val="center"/>
          </w:tcPr>
          <w:p>
            <w:pPr>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注油塞（丝堵）参数</w:t>
            </w:r>
          </w:p>
        </w:tc>
        <w:tc>
          <w:tcPr>
            <w:tcW w:w="1641" w:type="pct"/>
            <w:vAlign w:val="center"/>
          </w:tcPr>
          <w:p>
            <w:pPr>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注油阀参数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555" w:type="pct"/>
            <w:vAlign w:val="center"/>
          </w:tcPr>
          <w:p>
            <w:pPr>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电机</w:t>
            </w:r>
          </w:p>
        </w:tc>
        <w:tc>
          <w:tcPr>
            <w:tcW w:w="1805" w:type="pct"/>
            <w:vAlign w:val="center"/>
          </w:tcPr>
          <w:p>
            <w:pPr>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3/8</w:t>
            </w:r>
            <w:r>
              <w:rPr>
                <w:rFonts w:ascii="Times New Roman" w:hAnsi="Times New Roman" w:cs="Times New Roman" w:eastAsiaTheme="minorEastAsia"/>
                <w:bCs/>
                <w:kern w:val="0"/>
                <w:sz w:val="18"/>
                <w:szCs w:val="18"/>
                <w:lang w:eastAsia="en-US"/>
              </w:rPr>
              <w:t>＂</w:t>
            </w:r>
            <w:r>
              <w:rPr>
                <w:rFonts w:hint="default" w:ascii="Times New Roman" w:hAnsi="Times New Roman" w:cs="Times New Roman" w:eastAsiaTheme="minorEastAsia"/>
                <w:bCs/>
                <w:kern w:val="0"/>
                <w:sz w:val="18"/>
                <w:szCs w:val="18"/>
                <w:lang w:eastAsia="en-US"/>
              </w:rPr>
              <w:t>-24UNF</w:t>
            </w:r>
          </w:p>
        </w:tc>
        <w:tc>
          <w:tcPr>
            <w:tcW w:w="1641" w:type="pct"/>
            <w:vAlign w:val="center"/>
          </w:tcPr>
          <w:p>
            <w:pPr>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5/8</w:t>
            </w:r>
            <w:r>
              <w:rPr>
                <w:rFonts w:ascii="Times New Roman" w:hAnsi="Times New Roman" w:cs="Times New Roman" w:eastAsiaTheme="minorEastAsia"/>
                <w:bCs/>
                <w:kern w:val="0"/>
                <w:sz w:val="18"/>
                <w:szCs w:val="18"/>
                <w:lang w:eastAsia="en-US"/>
              </w:rPr>
              <w:t>＂</w:t>
            </w:r>
            <w:r>
              <w:rPr>
                <w:rFonts w:hint="default" w:ascii="Times New Roman" w:hAnsi="Times New Roman" w:cs="Times New Roman" w:eastAsiaTheme="minorEastAsia"/>
                <w:bCs/>
                <w:kern w:val="0"/>
                <w:sz w:val="18"/>
                <w:szCs w:val="18"/>
                <w:lang w:eastAsia="en-US"/>
              </w:rPr>
              <w:t>-18UNF</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555" w:type="pct"/>
            <w:vAlign w:val="center"/>
          </w:tcPr>
          <w:p>
            <w:pPr>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保护器</w:t>
            </w:r>
          </w:p>
        </w:tc>
        <w:tc>
          <w:tcPr>
            <w:tcW w:w="1805" w:type="pct"/>
            <w:vAlign w:val="center"/>
          </w:tcPr>
          <w:p>
            <w:pPr>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3/8</w:t>
            </w:r>
            <w:r>
              <w:rPr>
                <w:rFonts w:ascii="Times New Roman" w:hAnsi="Times New Roman" w:cs="Times New Roman" w:eastAsiaTheme="minorEastAsia"/>
                <w:bCs/>
                <w:kern w:val="0"/>
                <w:sz w:val="18"/>
                <w:szCs w:val="18"/>
                <w:lang w:eastAsia="en-US"/>
              </w:rPr>
              <w:t>＂</w:t>
            </w:r>
            <w:r>
              <w:rPr>
                <w:rFonts w:hint="default" w:ascii="Times New Roman" w:hAnsi="Times New Roman" w:cs="Times New Roman" w:eastAsiaTheme="minorEastAsia"/>
                <w:bCs/>
                <w:kern w:val="0"/>
                <w:sz w:val="18"/>
                <w:szCs w:val="18"/>
                <w:lang w:eastAsia="en-US"/>
              </w:rPr>
              <w:t>-24UNF</w:t>
            </w:r>
          </w:p>
        </w:tc>
        <w:tc>
          <w:tcPr>
            <w:tcW w:w="1641" w:type="pct"/>
            <w:vAlign w:val="center"/>
          </w:tcPr>
          <w:p>
            <w:pPr>
              <w:jc w:val="center"/>
              <w:rPr>
                <w:rFonts w:hint="default" w:ascii="Times New Roman" w:hAnsi="Times New Roman" w:cs="Times New Roman" w:eastAsiaTheme="minorEastAsia"/>
                <w:kern w:val="0"/>
                <w:sz w:val="18"/>
                <w:szCs w:val="18"/>
                <w:lang w:eastAsia="en-US"/>
              </w:rPr>
            </w:pPr>
            <w:r>
              <w:rPr>
                <w:rFonts w:hint="default" w:ascii="Times New Roman" w:hAnsi="Times New Roman" w:cs="Times New Roman" w:eastAsiaTheme="minorEastAsia"/>
                <w:kern w:val="0"/>
                <w:sz w:val="18"/>
                <w:szCs w:val="18"/>
                <w:lang w:eastAsia="en-US"/>
              </w:rPr>
              <w:t>5/8</w:t>
            </w:r>
            <w:r>
              <w:rPr>
                <w:rFonts w:ascii="Times New Roman" w:hAnsi="Times New Roman" w:cs="Times New Roman" w:eastAsiaTheme="minorEastAsia"/>
                <w:bCs/>
                <w:kern w:val="0"/>
                <w:sz w:val="18"/>
                <w:szCs w:val="18"/>
                <w:lang w:eastAsia="en-US"/>
              </w:rPr>
              <w:t>＂</w:t>
            </w:r>
            <w:r>
              <w:rPr>
                <w:rFonts w:hint="default" w:ascii="Times New Roman" w:hAnsi="Times New Roman" w:cs="Times New Roman" w:eastAsiaTheme="minorEastAsia"/>
                <w:bCs/>
                <w:kern w:val="0"/>
                <w:sz w:val="18"/>
                <w:szCs w:val="18"/>
                <w:lang w:eastAsia="en-US"/>
              </w:rPr>
              <w:t>-18UNF</w:t>
            </w:r>
          </w:p>
        </w:tc>
      </w:tr>
    </w:tbl>
    <w:p>
      <w:pPr>
        <w:jc w:val="center"/>
        <w:rPr>
          <w:color w:val="auto"/>
          <w:kern w:val="2"/>
          <w:sz w:val="21"/>
          <w:highlight w:val="none"/>
          <w:lang w:eastAsia="zh-CN"/>
        </w:rPr>
        <w:sectPr>
          <w:pgSz w:w="16838" w:h="11906" w:orient="landscape"/>
          <w:pgMar w:top="1800" w:right="1440" w:bottom="1800" w:left="1440" w:header="851" w:footer="992" w:gutter="0"/>
          <w:cols w:space="425" w:num="1"/>
          <w:docGrid w:type="lines" w:linePitch="312" w:charSpace="0"/>
        </w:sectPr>
      </w:pPr>
    </w:p>
    <w:p>
      <w:pPr>
        <w:keepNext/>
        <w:keepLines/>
        <w:widowControl w:val="0"/>
        <w:spacing w:before="240" w:after="240" w:line="578" w:lineRule="auto"/>
        <w:jc w:val="both"/>
        <w:outlineLvl w:val="0"/>
        <w:rPr>
          <w:rFonts w:ascii="Times New Roman" w:hAnsi="Times New Roman" w:eastAsia="黑体" w:cs="Times New Roman"/>
          <w:b/>
          <w:bCs/>
          <w:kern w:val="2"/>
          <w:sz w:val="32"/>
          <w:szCs w:val="32"/>
          <w:lang w:val="en-US" w:eastAsia="zh-CN" w:bidi="ar-SA"/>
        </w:rPr>
      </w:pPr>
      <w:r>
        <w:rPr>
          <w:rFonts w:hint="eastAsia" w:ascii="Times New Roman" w:hAnsi="Times New Roman" w:eastAsia="黑体" w:cs="Times New Roman"/>
          <w:b/>
          <w:bCs/>
          <w:kern w:val="2"/>
          <w:sz w:val="32"/>
          <w:szCs w:val="32"/>
          <w:lang w:val="en-US" w:eastAsia="zh-CN" w:bidi="ar-SA"/>
        </w:rPr>
        <w:t>附件二</w:t>
      </w:r>
    </w:p>
    <w:p>
      <w:pPr>
        <w:jc w:val="center"/>
        <w:rPr>
          <w:rFonts w:ascii="Times New Roman" w:hAnsi="Times New Roman" w:cs="Times New Roman"/>
          <w:lang w:eastAsia="zh-CN"/>
        </w:rPr>
        <w:sectPr>
          <w:pgSz w:w="11906" w:h="16838"/>
          <w:pgMar w:top="1440" w:right="1800" w:bottom="1440" w:left="1800" w:header="851" w:footer="992" w:gutter="0"/>
          <w:cols w:space="425" w:num="1"/>
          <w:docGrid w:type="lines" w:linePitch="312" w:charSpace="0"/>
        </w:sectPr>
      </w:pPr>
      <w:r>
        <w:rPr>
          <w:rFonts w:ascii="Times New Roman" w:hAnsi="Times New Roman" w:cs="Times New Roman" w:eastAsiaTheme="minorEastAsia"/>
          <w:kern w:val="2"/>
          <w:sz w:val="21"/>
          <w:lang w:eastAsia="zh-CN"/>
        </w:rPr>
        <w:drawing>
          <wp:inline distT="0" distB="0" distL="114300" distR="114300">
            <wp:extent cx="5241290" cy="3591560"/>
            <wp:effectExtent l="0" t="0" r="16510" b="8890"/>
            <wp:docPr id="13" name="图片 1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
                    <pic:cNvPicPr>
                      <a:picLocks noChangeAspect="1"/>
                    </pic:cNvPicPr>
                  </pic:nvPicPr>
                  <pic:blipFill>
                    <a:blip r:embed="rId27"/>
                    <a:stretch>
                      <a:fillRect/>
                    </a:stretch>
                  </pic:blipFill>
                  <pic:spPr>
                    <a:xfrm>
                      <a:off x="0" y="0"/>
                      <a:ext cx="5241290" cy="3591560"/>
                    </a:xfrm>
                    <a:prstGeom prst="rect">
                      <a:avLst/>
                    </a:prstGeom>
                  </pic:spPr>
                </pic:pic>
              </a:graphicData>
            </a:graphic>
          </wp:inline>
        </w:drawing>
      </w:r>
      <w:r>
        <w:rPr>
          <w:rFonts w:ascii="Times New Roman" w:hAnsi="Times New Roman" w:cs="Times New Roman" w:eastAsiaTheme="minorEastAsia"/>
          <w:kern w:val="2"/>
          <w:sz w:val="21"/>
          <w:lang w:eastAsia="zh-CN"/>
        </w:rPr>
        <w:drawing>
          <wp:inline distT="0" distB="0" distL="114300" distR="114300">
            <wp:extent cx="5344160" cy="3720465"/>
            <wp:effectExtent l="0" t="0" r="8890" b="13335"/>
            <wp:docPr id="14" name="图片 1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
                    <pic:cNvPicPr>
                      <a:picLocks noChangeAspect="1"/>
                    </pic:cNvPicPr>
                  </pic:nvPicPr>
                  <pic:blipFill>
                    <a:blip r:embed="rId28"/>
                    <a:stretch>
                      <a:fillRect/>
                    </a:stretch>
                  </pic:blipFill>
                  <pic:spPr>
                    <a:xfrm>
                      <a:off x="0" y="0"/>
                      <a:ext cx="5344160" cy="3720465"/>
                    </a:xfrm>
                    <a:prstGeom prst="rect">
                      <a:avLst/>
                    </a:prstGeom>
                  </pic:spPr>
                </pic:pic>
              </a:graphicData>
            </a:graphic>
          </wp:inline>
        </w:drawing>
      </w:r>
    </w:p>
    <w:p>
      <w:pPr>
        <w:keepNext/>
        <w:keepLines/>
        <w:widowControl w:val="0"/>
        <w:spacing w:before="240" w:after="240" w:line="578" w:lineRule="auto"/>
        <w:jc w:val="both"/>
        <w:outlineLvl w:val="0"/>
        <w:rPr>
          <w:rFonts w:hint="eastAsia" w:ascii="微软雅黑" w:hAnsi="微软雅黑" w:eastAsia="黑体" w:cs="Times New Roman"/>
          <w:b/>
          <w:bCs/>
          <w:kern w:val="44"/>
          <w:sz w:val="32"/>
          <w:szCs w:val="32"/>
          <w:lang w:val="en-US" w:eastAsia="zh-CN" w:bidi="ar-SA"/>
        </w:rPr>
      </w:pPr>
      <w:bookmarkStart w:id="264" w:name="_Toc20821"/>
      <w:bookmarkStart w:id="265" w:name="_Toc32145"/>
      <w:bookmarkStart w:id="266" w:name="_Toc6652"/>
      <w:bookmarkStart w:id="267" w:name="_Toc22271"/>
      <w:bookmarkStart w:id="268" w:name="_Toc31611"/>
      <w:r>
        <w:rPr>
          <w:rFonts w:hint="eastAsia" w:ascii="宋体" w:hAnsi="宋体" w:eastAsia="黑体" w:cs="宋体"/>
          <w:b/>
          <w:bCs/>
          <w:kern w:val="44"/>
          <w:sz w:val="32"/>
          <w:szCs w:val="32"/>
          <w:lang w:val="en-US" w:eastAsia="en-US" w:bidi="ar-SA"/>
        </w:rPr>
        <w:t>附件</w:t>
      </w:r>
      <w:bookmarkEnd w:id="264"/>
      <w:r>
        <w:rPr>
          <w:rFonts w:hint="eastAsia" w:ascii="宋体" w:hAnsi="宋体" w:eastAsia="黑体" w:cs="宋体"/>
          <w:b/>
          <w:bCs/>
          <w:kern w:val="44"/>
          <w:sz w:val="32"/>
          <w:szCs w:val="32"/>
          <w:lang w:val="en-US" w:eastAsia="zh-CN" w:bidi="ar-SA"/>
        </w:rPr>
        <w:t>三</w:t>
      </w:r>
      <w:bookmarkEnd w:id="265"/>
      <w:bookmarkEnd w:id="266"/>
      <w:bookmarkEnd w:id="267"/>
      <w:bookmarkEnd w:id="268"/>
      <w:r>
        <w:rPr>
          <w:rFonts w:hint="eastAsia" w:ascii="宋体" w:hAnsi="宋体" w:eastAsia="黑体" w:cs="宋体"/>
          <w:b/>
          <w:bCs/>
          <w:kern w:val="44"/>
          <w:sz w:val="32"/>
          <w:szCs w:val="32"/>
          <w:lang w:val="en-US" w:eastAsia="zh-CN" w:bidi="ar-SA"/>
        </w:rPr>
        <w:t xml:space="preserve"> 机组包装箱图纸</w:t>
      </w:r>
    </w:p>
    <w:p>
      <w:pPr>
        <w:widowControl w:val="0"/>
        <w:spacing w:line="257" w:lineRule="auto"/>
        <w:ind w:right="122" w:firstLine="400" w:firstLineChars="200"/>
        <w:jc w:val="center"/>
        <w:rPr>
          <w:rFonts w:hint="default" w:ascii="Times New Roman" w:hAnsi="Times New Roman" w:eastAsia="微软雅黑" w:cs="Times New Roman"/>
          <w:b/>
          <w:sz w:val="28"/>
          <w:szCs w:val="28"/>
          <w:lang w:val="en-US" w:eastAsia="zh-CN" w:bidi="ar-SA"/>
        </w:rPr>
      </w:pPr>
      <w:r>
        <w:rPr>
          <w:rFonts w:hint="default" w:ascii="Times New Roman" w:hAnsi="Times New Roman" w:eastAsia="宋体" w:cs="Times New Roman"/>
          <w:bCs/>
          <w:sz w:val="20"/>
          <w:szCs w:val="20"/>
          <w:lang w:val="en-US" w:eastAsia="zh-CN" w:bidi="ar-SA"/>
        </w:rPr>
        <w:drawing>
          <wp:inline distT="0" distB="0" distL="114300" distR="114300">
            <wp:extent cx="5635625" cy="4135120"/>
            <wp:effectExtent l="0" t="0" r="3175" b="17780"/>
            <wp:docPr id="65" name="图片 65" descr="主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主体"/>
                    <pic:cNvPicPr>
                      <a:picLocks noChangeAspect="1"/>
                    </pic:cNvPicPr>
                  </pic:nvPicPr>
                  <pic:blipFill>
                    <a:blip r:embed="rId29"/>
                    <a:stretch>
                      <a:fillRect/>
                    </a:stretch>
                  </pic:blipFill>
                  <pic:spPr>
                    <a:xfrm>
                      <a:off x="0" y="0"/>
                      <a:ext cx="5639325" cy="4138053"/>
                    </a:xfrm>
                    <a:prstGeom prst="rect">
                      <a:avLst/>
                    </a:prstGeom>
                  </pic:spPr>
                </pic:pic>
              </a:graphicData>
            </a:graphic>
          </wp:inline>
        </w:drawing>
      </w: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hint="default" w:ascii="Times New Roman" w:hAnsi="Times New Roman" w:eastAsia="微软雅黑" w:cs="Times New Roman"/>
          <w:bCs/>
          <w:sz w:val="18"/>
          <w:szCs w:val="18"/>
          <w:lang w:val="en-US" w:eastAsia="zh-CN" w:bidi="ar-SA"/>
        </w:rPr>
        <w:t>图一、750机组箱装配图</w:t>
      </w:r>
    </w:p>
    <w:p>
      <w:pPr>
        <w:widowControl w:val="0"/>
        <w:spacing w:line="257" w:lineRule="auto"/>
        <w:ind w:right="122" w:firstLine="0" w:firstLineChars="0"/>
        <w:jc w:val="left"/>
        <w:rPr>
          <w:rFonts w:hint="default" w:ascii="Times New Roman" w:hAnsi="Times New Roman" w:eastAsia="微软雅黑" w:cs="Times New Roman"/>
          <w:b/>
          <w:sz w:val="28"/>
          <w:szCs w:val="28"/>
          <w:lang w:val="en-US" w:eastAsia="zh-CN" w:bidi="ar-SA"/>
        </w:rPr>
      </w:pPr>
    </w:p>
    <w:p>
      <w:pPr>
        <w:widowControl w:val="0"/>
        <w:spacing w:line="257" w:lineRule="auto"/>
        <w:ind w:right="122" w:firstLine="0" w:firstLineChars="0"/>
        <w:jc w:val="center"/>
        <w:rPr>
          <w:rFonts w:hint="default" w:ascii="Times New Roman" w:hAnsi="Times New Roman" w:eastAsia="微软雅黑" w:cs="Times New Roman"/>
          <w:b/>
          <w:sz w:val="28"/>
          <w:szCs w:val="28"/>
          <w:lang w:val="en-US" w:eastAsia="zh-CN" w:bidi="ar-SA"/>
        </w:rPr>
      </w:pPr>
      <w:r>
        <w:rPr>
          <w:rFonts w:ascii="Times New Roman" w:hAnsi="Times New Roman" w:eastAsia="微软雅黑" w:cs="Times New Roman"/>
          <w:b/>
          <w:sz w:val="28"/>
          <w:szCs w:val="28"/>
          <w:lang w:val="en-US" w:eastAsia="zh-CN" w:bidi="ar-SA"/>
        </w:rPr>
        <w:drawing>
          <wp:inline distT="0" distB="0" distL="114300" distR="114300">
            <wp:extent cx="6046470" cy="4436745"/>
            <wp:effectExtent l="0" t="0" r="11430" b="1905"/>
            <wp:docPr id="70" name="图片 16" descr="批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6" descr="批注"/>
                    <pic:cNvPicPr>
                      <a:picLocks noChangeAspect="1"/>
                    </pic:cNvPicPr>
                  </pic:nvPicPr>
                  <pic:blipFill>
                    <a:blip r:embed="rId30"/>
                    <a:stretch>
                      <a:fillRect/>
                    </a:stretch>
                  </pic:blipFill>
                  <pic:spPr>
                    <a:xfrm>
                      <a:off x="0" y="0"/>
                      <a:ext cx="6046470" cy="4436745"/>
                    </a:xfrm>
                    <a:prstGeom prst="rect">
                      <a:avLst/>
                    </a:prstGeom>
                    <a:noFill/>
                    <a:ln>
                      <a:noFill/>
                    </a:ln>
                  </pic:spPr>
                </pic:pic>
              </a:graphicData>
            </a:graphic>
          </wp:inline>
        </w:drawing>
      </w: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hint="default" w:ascii="Times New Roman" w:hAnsi="Times New Roman" w:eastAsia="微软雅黑" w:cs="Times New Roman"/>
          <w:bCs/>
          <w:sz w:val="18"/>
          <w:szCs w:val="18"/>
          <w:lang w:val="en-US" w:eastAsia="zh-CN" w:bidi="ar-SA"/>
        </w:rPr>
        <w:t>图二、750长上盖</w:t>
      </w:r>
    </w:p>
    <w:p>
      <w:pPr>
        <w:spacing w:line="257" w:lineRule="auto"/>
        <w:ind w:right="122" w:firstLine="0" w:firstLineChars="0"/>
        <w:jc w:val="center"/>
        <w:rPr>
          <w:rFonts w:hint="eastAsia" w:ascii="Times New Roman" w:hAnsi="Times New Roman" w:eastAsia="微软雅黑" w:cs="Times New Roman"/>
          <w:bCs/>
          <w:sz w:val="18"/>
          <w:szCs w:val="18"/>
          <w:lang w:eastAsia="zh-CN"/>
        </w:rPr>
        <w:sectPr>
          <w:pgSz w:w="16838" w:h="11906" w:orient="landscape"/>
          <w:pgMar w:top="1800" w:right="1440" w:bottom="1800" w:left="1440" w:header="851" w:footer="992" w:gutter="0"/>
          <w:cols w:space="425" w:num="1"/>
          <w:docGrid w:type="lines" w:linePitch="312" w:charSpace="0"/>
        </w:sectPr>
      </w:pPr>
      <w:r>
        <w:rPr>
          <w:rFonts w:hint="default" w:ascii="Times New Roman" w:hAnsi="Times New Roman" w:eastAsia="微软雅黑" w:cs="Times New Roman"/>
          <w:bCs/>
          <w:sz w:val="18"/>
          <w:szCs w:val="18"/>
          <w:lang w:val="en-US" w:eastAsia="zh-CN" w:bidi="ar-SA"/>
        </w:rPr>
        <w:drawing>
          <wp:inline distT="0" distB="0" distL="114300" distR="114300">
            <wp:extent cx="5904865" cy="4356735"/>
            <wp:effectExtent l="0" t="0" r="635" b="5715"/>
            <wp:docPr id="61" name="图片 17" descr="短上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7" descr="短上盖"/>
                    <pic:cNvPicPr>
                      <a:picLocks noChangeAspect="1"/>
                    </pic:cNvPicPr>
                  </pic:nvPicPr>
                  <pic:blipFill>
                    <a:blip r:embed="rId31"/>
                    <a:stretch>
                      <a:fillRect/>
                    </a:stretch>
                  </pic:blipFill>
                  <pic:spPr>
                    <a:xfrm>
                      <a:off x="0" y="0"/>
                      <a:ext cx="5904865" cy="4356735"/>
                    </a:xfrm>
                    <a:prstGeom prst="rect">
                      <a:avLst/>
                    </a:prstGeom>
                    <a:noFill/>
                    <a:ln>
                      <a:noFill/>
                    </a:ln>
                  </pic:spPr>
                </pic:pic>
              </a:graphicData>
            </a:graphic>
          </wp:inline>
        </w:drawing>
      </w:r>
    </w:p>
    <w:p>
      <w:pPr>
        <w:jc w:val="center"/>
        <w:rPr>
          <w:rFonts w:hint="default" w:ascii="Times New Roman" w:hAnsi="Times New Roman" w:eastAsia="微软雅黑" w:cs="Times New Roman"/>
          <w:bCs/>
          <w:kern w:val="0"/>
          <w:sz w:val="18"/>
          <w:szCs w:val="18"/>
          <w:lang w:eastAsia="zh-CN"/>
        </w:rPr>
      </w:pPr>
      <w:r>
        <w:rPr>
          <w:rFonts w:hint="default" w:ascii="Times New Roman" w:hAnsi="Times New Roman" w:eastAsia="微软雅黑" w:cs="Times New Roman"/>
          <w:bCs/>
          <w:kern w:val="0"/>
          <w:sz w:val="18"/>
          <w:szCs w:val="18"/>
          <w:lang w:eastAsia="zh-CN"/>
        </w:rPr>
        <w:drawing>
          <wp:inline distT="0" distB="0" distL="114300" distR="114300">
            <wp:extent cx="6398260" cy="4720590"/>
            <wp:effectExtent l="0" t="0" r="2540" b="3810"/>
            <wp:docPr id="15" name="图片 17" descr="短上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7" descr="短上盖"/>
                    <pic:cNvPicPr>
                      <a:picLocks noChangeAspect="1"/>
                    </pic:cNvPicPr>
                  </pic:nvPicPr>
                  <pic:blipFill>
                    <a:blip r:embed="rId31"/>
                    <a:stretch>
                      <a:fillRect/>
                    </a:stretch>
                  </pic:blipFill>
                  <pic:spPr>
                    <a:xfrm>
                      <a:off x="0" y="0"/>
                      <a:ext cx="6398260" cy="4720590"/>
                    </a:xfrm>
                    <a:prstGeom prst="rect">
                      <a:avLst/>
                    </a:prstGeom>
                    <a:noFill/>
                    <a:ln>
                      <a:noFill/>
                    </a:ln>
                  </pic:spPr>
                </pic:pic>
              </a:graphicData>
            </a:graphic>
          </wp:inline>
        </w:drawing>
      </w: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hint="default" w:ascii="Times New Roman" w:hAnsi="Times New Roman" w:eastAsia="微软雅黑" w:cs="Times New Roman"/>
          <w:bCs/>
          <w:sz w:val="18"/>
          <w:szCs w:val="18"/>
          <w:lang w:val="en-US" w:eastAsia="zh-CN" w:bidi="ar-SA"/>
        </w:rPr>
        <w:t>图三、750短上盖</w:t>
      </w:r>
    </w:p>
    <w:p>
      <w:pPr>
        <w:spacing w:line="257" w:lineRule="auto"/>
        <w:ind w:right="122" w:firstLine="0" w:firstLineChars="0"/>
        <w:jc w:val="center"/>
        <w:rPr>
          <w:rFonts w:hint="eastAsia" w:ascii="Times New Roman" w:hAnsi="Times New Roman" w:eastAsia="微软雅黑" w:cs="Times New Roman"/>
          <w:bCs/>
          <w:sz w:val="18"/>
          <w:szCs w:val="18"/>
          <w:lang w:eastAsia="zh-CN"/>
        </w:rPr>
        <w:sectPr>
          <w:pgSz w:w="16838" w:h="11906" w:orient="landscape"/>
          <w:pgMar w:top="1800" w:right="1440" w:bottom="1800" w:left="1440" w:header="851" w:footer="992" w:gutter="0"/>
          <w:cols w:space="425" w:num="1"/>
          <w:docGrid w:type="lines" w:linePitch="312" w:charSpace="0"/>
        </w:sectPr>
      </w:pPr>
    </w:p>
    <w:p>
      <w:pPr>
        <w:jc w:val="left"/>
        <w:rPr>
          <w:rFonts w:ascii="Times New Roman" w:hAnsi="Times New Roman" w:cs="Times New Roman" w:eastAsiaTheme="minorEastAsia"/>
          <w:kern w:val="0"/>
          <w:sz w:val="22"/>
          <w:lang w:eastAsia="zh-CN"/>
        </w:rPr>
      </w:pP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hint="default" w:ascii="Times New Roman" w:hAnsi="Times New Roman" w:eastAsia="微软雅黑" w:cs="Times New Roman"/>
          <w:bCs/>
          <w:sz w:val="18"/>
          <w:szCs w:val="18"/>
          <w:lang w:val="en-US" w:eastAsia="zh-CN" w:bidi="ar-SA"/>
        </w:rPr>
        <w:drawing>
          <wp:inline distT="0" distB="0" distL="114300" distR="114300">
            <wp:extent cx="4934585" cy="7755255"/>
            <wp:effectExtent l="0" t="0" r="18415" b="17145"/>
            <wp:docPr id="72" name="图片 18" descr="批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8" descr="批注"/>
                    <pic:cNvPicPr>
                      <a:picLocks noChangeAspect="1"/>
                    </pic:cNvPicPr>
                  </pic:nvPicPr>
                  <pic:blipFill>
                    <a:blip r:embed="rId32"/>
                    <a:stretch>
                      <a:fillRect/>
                    </a:stretch>
                  </pic:blipFill>
                  <pic:spPr>
                    <a:xfrm>
                      <a:off x="0" y="0"/>
                      <a:ext cx="4934585" cy="7755255"/>
                    </a:xfrm>
                    <a:prstGeom prst="rect">
                      <a:avLst/>
                    </a:prstGeom>
                    <a:noFill/>
                    <a:ln>
                      <a:noFill/>
                    </a:ln>
                  </pic:spPr>
                </pic:pic>
              </a:graphicData>
            </a:graphic>
          </wp:inline>
        </w:drawing>
      </w:r>
    </w:p>
    <w:p>
      <w:pPr>
        <w:spacing w:line="257" w:lineRule="auto"/>
        <w:ind w:right="122" w:firstLine="0" w:firstLineChars="0"/>
        <w:jc w:val="center"/>
        <w:rPr>
          <w:rFonts w:hint="eastAsia" w:ascii="Times New Roman" w:hAnsi="Times New Roman" w:eastAsia="微软雅黑" w:cs="Times New Roman"/>
          <w:bCs/>
          <w:sz w:val="18"/>
          <w:szCs w:val="18"/>
          <w:lang w:eastAsia="zh-CN"/>
        </w:rPr>
        <w:sectPr>
          <w:pgSz w:w="11906" w:h="16838"/>
          <w:pgMar w:top="1440" w:right="1800" w:bottom="1440" w:left="1800" w:header="851" w:footer="992" w:gutter="0"/>
          <w:cols w:space="425" w:num="1"/>
          <w:docGrid w:type="lines" w:linePitch="312" w:charSpace="0"/>
        </w:sectPr>
      </w:pPr>
      <w:r>
        <w:rPr>
          <w:rFonts w:hint="default" w:ascii="Times New Roman" w:hAnsi="Times New Roman" w:eastAsia="微软雅黑" w:cs="Times New Roman"/>
          <w:bCs/>
          <w:sz w:val="18"/>
          <w:szCs w:val="18"/>
          <w:lang w:val="en-US" w:eastAsia="zh-CN" w:bidi="ar-SA"/>
        </w:rPr>
        <w:t>图四、四联排橡胶支撑块</w:t>
      </w:r>
    </w:p>
    <w:p>
      <w:pPr>
        <w:jc w:val="left"/>
        <w:rPr>
          <w:rFonts w:ascii="Times New Roman" w:hAnsi="Times New Roman" w:cs="Times New Roman" w:eastAsiaTheme="minorEastAsia"/>
          <w:kern w:val="0"/>
          <w:sz w:val="22"/>
          <w:lang w:eastAsia="zh-CN"/>
        </w:rPr>
      </w:pP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hint="default" w:ascii="Times New Roman" w:hAnsi="Times New Roman" w:eastAsia="微软雅黑" w:cs="Times New Roman"/>
          <w:bCs/>
          <w:sz w:val="18"/>
          <w:szCs w:val="18"/>
          <w:lang w:val="en-US" w:eastAsia="zh-CN" w:bidi="ar-SA"/>
        </w:rPr>
        <w:drawing>
          <wp:inline distT="0" distB="0" distL="114300" distR="114300">
            <wp:extent cx="5903595" cy="4331970"/>
            <wp:effectExtent l="0" t="0" r="1905" b="11430"/>
            <wp:docPr id="63" name="图片 19" descr="主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9" descr="主体"/>
                    <pic:cNvPicPr>
                      <a:picLocks noChangeAspect="1"/>
                    </pic:cNvPicPr>
                  </pic:nvPicPr>
                  <pic:blipFill>
                    <a:blip r:embed="rId29"/>
                    <a:stretch>
                      <a:fillRect/>
                    </a:stretch>
                  </pic:blipFill>
                  <pic:spPr>
                    <a:xfrm>
                      <a:off x="0" y="0"/>
                      <a:ext cx="5903595" cy="4331970"/>
                    </a:xfrm>
                    <a:prstGeom prst="rect">
                      <a:avLst/>
                    </a:prstGeom>
                    <a:noFill/>
                    <a:ln>
                      <a:noFill/>
                    </a:ln>
                  </pic:spPr>
                </pic:pic>
              </a:graphicData>
            </a:graphic>
          </wp:inline>
        </w:drawing>
      </w: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hint="default" w:ascii="Times New Roman" w:hAnsi="Times New Roman" w:eastAsia="微软雅黑" w:cs="Times New Roman"/>
          <w:bCs/>
          <w:sz w:val="18"/>
          <w:szCs w:val="18"/>
          <w:lang w:val="en-US" w:eastAsia="zh-CN" w:bidi="ar-SA"/>
        </w:rPr>
        <w:t>图五、750机组箱主体</w:t>
      </w: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p>
    <w:p>
      <w:pPr>
        <w:widowControl w:val="0"/>
        <w:spacing w:line="257" w:lineRule="auto"/>
        <w:ind w:right="122" w:firstLine="0" w:firstLineChars="0"/>
        <w:jc w:val="both"/>
        <w:rPr>
          <w:rFonts w:hint="default" w:ascii="Times New Roman" w:hAnsi="Times New Roman" w:eastAsia="微软雅黑" w:cs="Times New Roman"/>
          <w:bCs/>
          <w:sz w:val="18"/>
          <w:szCs w:val="18"/>
          <w:lang w:val="en-US" w:eastAsia="zh-CN" w:bidi="ar-SA"/>
        </w:rPr>
      </w:pP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ascii="Times New Roman" w:hAnsi="Times New Roman" w:eastAsia="微软雅黑" w:cs="Times New Roman"/>
          <w:bCs/>
          <w:sz w:val="18"/>
          <w:szCs w:val="18"/>
          <w:lang w:val="en-US" w:eastAsia="zh-CN" w:bidi="ar-SA"/>
        </w:rPr>
        <w:drawing>
          <wp:inline distT="0" distB="0" distL="114300" distR="114300">
            <wp:extent cx="6334125" cy="4689475"/>
            <wp:effectExtent l="0" t="0" r="9525" b="15875"/>
            <wp:docPr id="66" name="图片 20" descr="批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0" descr="批注"/>
                    <pic:cNvPicPr>
                      <a:picLocks noChangeAspect="1"/>
                    </pic:cNvPicPr>
                  </pic:nvPicPr>
                  <pic:blipFill>
                    <a:blip r:embed="rId33"/>
                    <a:stretch>
                      <a:fillRect/>
                    </a:stretch>
                  </pic:blipFill>
                  <pic:spPr>
                    <a:xfrm>
                      <a:off x="0" y="0"/>
                      <a:ext cx="6334125" cy="4689475"/>
                    </a:xfrm>
                    <a:prstGeom prst="rect">
                      <a:avLst/>
                    </a:prstGeom>
                    <a:noFill/>
                    <a:ln>
                      <a:noFill/>
                    </a:ln>
                  </pic:spPr>
                </pic:pic>
              </a:graphicData>
            </a:graphic>
          </wp:inline>
        </w:drawing>
      </w: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hint="default" w:ascii="Times New Roman" w:hAnsi="Times New Roman" w:eastAsia="微软雅黑" w:cs="Times New Roman"/>
          <w:bCs/>
          <w:sz w:val="18"/>
          <w:szCs w:val="18"/>
          <w:lang w:val="en-US" w:eastAsia="zh-CN" w:bidi="ar-SA"/>
        </w:rPr>
        <w:t>图六、950机组箱装配图</w:t>
      </w: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ascii="Times New Roman" w:hAnsi="Times New Roman" w:eastAsia="微软雅黑" w:cs="Times New Roman"/>
          <w:bCs/>
          <w:sz w:val="18"/>
          <w:szCs w:val="18"/>
          <w:lang w:val="en-US" w:eastAsia="zh-CN" w:bidi="ar-SA"/>
        </w:rPr>
        <w:drawing>
          <wp:inline distT="0" distB="0" distL="114300" distR="114300">
            <wp:extent cx="5948680" cy="4366895"/>
            <wp:effectExtent l="0" t="0" r="13970" b="14605"/>
            <wp:docPr id="59" name="图片 2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1" descr="1"/>
                    <pic:cNvPicPr>
                      <a:picLocks noChangeAspect="1"/>
                    </pic:cNvPicPr>
                  </pic:nvPicPr>
                  <pic:blipFill>
                    <a:blip r:embed="rId34"/>
                    <a:stretch>
                      <a:fillRect/>
                    </a:stretch>
                  </pic:blipFill>
                  <pic:spPr>
                    <a:xfrm>
                      <a:off x="0" y="0"/>
                      <a:ext cx="5948680" cy="4366895"/>
                    </a:xfrm>
                    <a:prstGeom prst="rect">
                      <a:avLst/>
                    </a:prstGeom>
                    <a:noFill/>
                    <a:ln>
                      <a:noFill/>
                    </a:ln>
                  </pic:spPr>
                </pic:pic>
              </a:graphicData>
            </a:graphic>
          </wp:inline>
        </w:drawing>
      </w: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hint="default" w:ascii="Times New Roman" w:hAnsi="Times New Roman" w:eastAsia="微软雅黑" w:cs="Times New Roman"/>
          <w:bCs/>
          <w:sz w:val="18"/>
          <w:szCs w:val="18"/>
          <w:lang w:val="en-US" w:eastAsia="zh-CN" w:bidi="ar-SA"/>
        </w:rPr>
        <w:t>图七、950短上盖</w:t>
      </w: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ascii="Times New Roman" w:hAnsi="Times New Roman" w:eastAsia="微软雅黑" w:cs="Times New Roman"/>
          <w:bCs/>
          <w:sz w:val="18"/>
          <w:szCs w:val="18"/>
          <w:lang w:val="en-US" w:eastAsia="zh-CN" w:bidi="ar-SA"/>
        </w:rPr>
        <w:drawing>
          <wp:inline distT="0" distB="0" distL="114300" distR="114300">
            <wp:extent cx="6419215" cy="4709160"/>
            <wp:effectExtent l="0" t="0" r="635" b="15240"/>
            <wp:docPr id="30" name="图片 2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2" descr="2"/>
                    <pic:cNvPicPr>
                      <a:picLocks noChangeAspect="1"/>
                    </pic:cNvPicPr>
                  </pic:nvPicPr>
                  <pic:blipFill>
                    <a:blip r:embed="rId35"/>
                    <a:stretch>
                      <a:fillRect/>
                    </a:stretch>
                  </pic:blipFill>
                  <pic:spPr>
                    <a:xfrm>
                      <a:off x="0" y="0"/>
                      <a:ext cx="6419215" cy="4709160"/>
                    </a:xfrm>
                    <a:prstGeom prst="rect">
                      <a:avLst/>
                    </a:prstGeom>
                    <a:noFill/>
                    <a:ln>
                      <a:noFill/>
                    </a:ln>
                  </pic:spPr>
                </pic:pic>
              </a:graphicData>
            </a:graphic>
          </wp:inline>
        </w:drawing>
      </w:r>
    </w:p>
    <w:p>
      <w:pPr>
        <w:spacing w:line="257" w:lineRule="auto"/>
        <w:ind w:right="122" w:firstLine="0" w:firstLineChars="0"/>
        <w:jc w:val="center"/>
        <w:rPr>
          <w:rFonts w:hint="eastAsia" w:ascii="Times New Roman" w:hAnsi="Times New Roman" w:eastAsia="微软雅黑" w:cs="Times New Roman"/>
          <w:bCs/>
          <w:sz w:val="18"/>
          <w:szCs w:val="18"/>
          <w:lang w:eastAsia="zh-CN"/>
        </w:rPr>
        <w:sectPr>
          <w:pgSz w:w="16838" w:h="11906" w:orient="landscape"/>
          <w:pgMar w:top="1800" w:right="1440" w:bottom="1800" w:left="1440" w:header="851" w:footer="992" w:gutter="0"/>
          <w:cols w:space="425" w:num="1"/>
          <w:docGrid w:type="lines" w:linePitch="312" w:charSpace="0"/>
        </w:sectPr>
      </w:pPr>
      <w:r>
        <w:rPr>
          <w:rFonts w:hint="default" w:ascii="Times New Roman" w:hAnsi="Times New Roman" w:eastAsia="微软雅黑" w:cs="Times New Roman"/>
          <w:bCs/>
          <w:sz w:val="18"/>
          <w:szCs w:val="18"/>
          <w:lang w:val="en-US" w:eastAsia="zh-CN" w:bidi="ar-SA"/>
        </w:rPr>
        <w:t>图八、950长上盖</w:t>
      </w:r>
    </w:p>
    <w:p>
      <w:pPr>
        <w:jc w:val="left"/>
        <w:rPr>
          <w:rFonts w:ascii="Times New Roman" w:hAnsi="Times New Roman" w:cs="Times New Roman" w:eastAsiaTheme="minorEastAsia"/>
          <w:kern w:val="0"/>
          <w:sz w:val="22"/>
          <w:lang w:eastAsia="zh-CN"/>
        </w:rPr>
      </w:pP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ascii="Times New Roman" w:hAnsi="Times New Roman" w:eastAsia="微软雅黑" w:cs="Times New Roman"/>
          <w:bCs/>
          <w:sz w:val="18"/>
          <w:szCs w:val="18"/>
          <w:lang w:val="en-US" w:eastAsia="zh-CN" w:bidi="ar-SA"/>
        </w:rPr>
        <w:drawing>
          <wp:inline distT="0" distB="0" distL="114300" distR="114300">
            <wp:extent cx="4214495" cy="6515735"/>
            <wp:effectExtent l="0" t="0" r="14605" b="18415"/>
            <wp:docPr id="38" name="图片 2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3" descr="3"/>
                    <pic:cNvPicPr>
                      <a:picLocks noChangeAspect="1"/>
                    </pic:cNvPicPr>
                  </pic:nvPicPr>
                  <pic:blipFill>
                    <a:blip r:embed="rId36"/>
                    <a:stretch>
                      <a:fillRect/>
                    </a:stretch>
                  </pic:blipFill>
                  <pic:spPr>
                    <a:xfrm>
                      <a:off x="0" y="0"/>
                      <a:ext cx="4214495" cy="6515735"/>
                    </a:xfrm>
                    <a:prstGeom prst="rect">
                      <a:avLst/>
                    </a:prstGeom>
                    <a:noFill/>
                    <a:ln>
                      <a:noFill/>
                    </a:ln>
                  </pic:spPr>
                </pic:pic>
              </a:graphicData>
            </a:graphic>
          </wp:inline>
        </w:drawing>
      </w:r>
    </w:p>
    <w:p>
      <w:pPr>
        <w:spacing w:line="257" w:lineRule="auto"/>
        <w:ind w:right="122" w:firstLine="0" w:firstLineChars="0"/>
        <w:jc w:val="center"/>
        <w:rPr>
          <w:rFonts w:hint="eastAsia" w:ascii="Times New Roman" w:hAnsi="Times New Roman" w:eastAsia="微软雅黑" w:cs="Times New Roman"/>
          <w:bCs/>
          <w:sz w:val="18"/>
          <w:szCs w:val="18"/>
          <w:lang w:eastAsia="zh-CN"/>
        </w:rPr>
        <w:sectPr>
          <w:pgSz w:w="11906" w:h="16838"/>
          <w:pgMar w:top="1440" w:right="1800" w:bottom="1440" w:left="1800" w:header="851" w:footer="992" w:gutter="0"/>
          <w:cols w:space="425" w:num="1"/>
          <w:docGrid w:type="lines" w:linePitch="312" w:charSpace="0"/>
        </w:sectPr>
      </w:pPr>
      <w:r>
        <w:rPr>
          <w:rFonts w:hint="default" w:ascii="Times New Roman" w:hAnsi="Times New Roman" w:eastAsia="微软雅黑" w:cs="Times New Roman"/>
          <w:bCs/>
          <w:sz w:val="18"/>
          <w:szCs w:val="18"/>
          <w:lang w:val="en-US" w:eastAsia="zh-CN" w:bidi="ar-SA"/>
        </w:rPr>
        <w:t>图九、橡胶支撑</w:t>
      </w:r>
    </w:p>
    <w:p>
      <w:pPr>
        <w:jc w:val="left"/>
        <w:rPr>
          <w:rFonts w:ascii="Times New Roman" w:hAnsi="Times New Roman" w:cs="Times New Roman" w:eastAsiaTheme="minorEastAsia"/>
          <w:kern w:val="0"/>
          <w:sz w:val="22"/>
          <w:lang w:eastAsia="zh-CN"/>
        </w:rPr>
      </w:pP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ascii="Times New Roman" w:hAnsi="Times New Roman" w:eastAsia="微软雅黑" w:cs="Times New Roman"/>
          <w:bCs/>
          <w:sz w:val="18"/>
          <w:szCs w:val="18"/>
          <w:lang w:val="en-US" w:eastAsia="zh-CN" w:bidi="ar-SA"/>
        </w:rPr>
        <w:drawing>
          <wp:inline distT="0" distB="0" distL="114300" distR="114300">
            <wp:extent cx="5722620" cy="4243070"/>
            <wp:effectExtent l="0" t="0" r="11430" b="5080"/>
            <wp:docPr id="31" name="图片 2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4" descr="4"/>
                    <pic:cNvPicPr>
                      <a:picLocks noChangeAspect="1"/>
                    </pic:cNvPicPr>
                  </pic:nvPicPr>
                  <pic:blipFill>
                    <a:blip r:embed="rId37"/>
                    <a:stretch>
                      <a:fillRect/>
                    </a:stretch>
                  </pic:blipFill>
                  <pic:spPr>
                    <a:xfrm>
                      <a:off x="0" y="0"/>
                      <a:ext cx="5722620" cy="4243070"/>
                    </a:xfrm>
                    <a:prstGeom prst="rect">
                      <a:avLst/>
                    </a:prstGeom>
                    <a:noFill/>
                    <a:ln>
                      <a:noFill/>
                    </a:ln>
                  </pic:spPr>
                </pic:pic>
              </a:graphicData>
            </a:graphic>
          </wp:inline>
        </w:drawing>
      </w: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hint="default" w:ascii="Times New Roman" w:hAnsi="Times New Roman" w:eastAsia="微软雅黑" w:cs="Times New Roman"/>
          <w:bCs/>
          <w:sz w:val="18"/>
          <w:szCs w:val="18"/>
          <w:lang w:val="en-US" w:eastAsia="zh-CN" w:bidi="ar-SA"/>
        </w:rPr>
        <w:t>图十、950机组箱主体</w:t>
      </w:r>
    </w:p>
    <w:p>
      <w:pPr>
        <w:spacing w:line="257" w:lineRule="auto"/>
        <w:ind w:right="122" w:firstLine="0" w:firstLineChars="0"/>
        <w:jc w:val="center"/>
        <w:rPr>
          <w:rFonts w:hint="eastAsia" w:ascii="Times New Roman" w:hAnsi="Times New Roman" w:eastAsia="微软雅黑" w:cs="Times New Roman"/>
          <w:bCs/>
          <w:sz w:val="18"/>
          <w:szCs w:val="18"/>
          <w:lang w:eastAsia="zh-CN"/>
        </w:rPr>
        <w:sectPr>
          <w:pgSz w:w="16838" w:h="11906" w:orient="landscape"/>
          <w:pgMar w:top="1800" w:right="1440" w:bottom="1800" w:left="1440" w:header="851" w:footer="992" w:gutter="0"/>
          <w:cols w:space="425" w:num="1"/>
          <w:docGrid w:type="lines" w:linePitch="312" w:charSpace="0"/>
        </w:sectPr>
      </w:pPr>
    </w:p>
    <w:p>
      <w:pPr>
        <w:jc w:val="left"/>
        <w:rPr>
          <w:rFonts w:ascii="Times New Roman" w:hAnsi="Times New Roman" w:cs="Times New Roman" w:eastAsiaTheme="minorEastAsia"/>
          <w:kern w:val="0"/>
          <w:sz w:val="22"/>
          <w:lang w:eastAsia="zh-CN"/>
        </w:rPr>
      </w:pP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ascii="Times New Roman" w:hAnsi="Times New Roman" w:eastAsia="微软雅黑" w:cs="Times New Roman"/>
          <w:bCs/>
          <w:sz w:val="18"/>
          <w:szCs w:val="18"/>
          <w:lang w:val="en-US" w:eastAsia="zh-CN" w:bidi="ar-SA"/>
        </w:rPr>
        <w:drawing>
          <wp:inline distT="0" distB="0" distL="114300" distR="114300">
            <wp:extent cx="8246745" cy="5288915"/>
            <wp:effectExtent l="0" t="0" r="6985" b="1905"/>
            <wp:docPr id="40" name="图片 2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5" descr="1"/>
                    <pic:cNvPicPr>
                      <a:picLocks noChangeAspect="1"/>
                    </pic:cNvPicPr>
                  </pic:nvPicPr>
                  <pic:blipFill>
                    <a:blip r:embed="rId38"/>
                    <a:stretch>
                      <a:fillRect/>
                    </a:stretch>
                  </pic:blipFill>
                  <pic:spPr>
                    <a:xfrm rot="5400000">
                      <a:off x="0" y="0"/>
                      <a:ext cx="8246745" cy="5288915"/>
                    </a:xfrm>
                    <a:prstGeom prst="rect">
                      <a:avLst/>
                    </a:prstGeom>
                    <a:noFill/>
                    <a:ln>
                      <a:noFill/>
                    </a:ln>
                  </pic:spPr>
                </pic:pic>
              </a:graphicData>
            </a:graphic>
          </wp:inline>
        </w:drawing>
      </w: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hint="default" w:ascii="Times New Roman" w:hAnsi="Times New Roman" w:eastAsia="微软雅黑" w:cs="Times New Roman"/>
          <w:bCs/>
          <w:sz w:val="18"/>
          <w:szCs w:val="18"/>
          <w:lang w:val="en-US" w:eastAsia="zh-CN" w:bidi="ar-SA"/>
        </w:rPr>
        <w:t>图十一、铭牌长垫片</w:t>
      </w: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ascii="Times New Roman" w:hAnsi="Times New Roman" w:eastAsia="微软雅黑" w:cs="Times New Roman"/>
          <w:bCs/>
          <w:sz w:val="18"/>
          <w:szCs w:val="18"/>
          <w:lang w:val="en-US" w:eastAsia="zh-CN" w:bidi="ar-SA"/>
        </w:rPr>
        <w:drawing>
          <wp:inline distT="0" distB="0" distL="114300" distR="114300">
            <wp:extent cx="5110480" cy="7941310"/>
            <wp:effectExtent l="0" t="0" r="13970" b="2540"/>
            <wp:docPr id="41" name="图片 2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6" descr="2"/>
                    <pic:cNvPicPr>
                      <a:picLocks noChangeAspect="1"/>
                    </pic:cNvPicPr>
                  </pic:nvPicPr>
                  <pic:blipFill>
                    <a:blip r:embed="rId39"/>
                    <a:stretch>
                      <a:fillRect/>
                    </a:stretch>
                  </pic:blipFill>
                  <pic:spPr>
                    <a:xfrm>
                      <a:off x="0" y="0"/>
                      <a:ext cx="5110480" cy="7941310"/>
                    </a:xfrm>
                    <a:prstGeom prst="rect">
                      <a:avLst/>
                    </a:prstGeom>
                    <a:noFill/>
                    <a:ln>
                      <a:noFill/>
                    </a:ln>
                  </pic:spPr>
                </pic:pic>
              </a:graphicData>
            </a:graphic>
          </wp:inline>
        </w:drawing>
      </w: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hint="default" w:ascii="Times New Roman" w:hAnsi="Times New Roman" w:eastAsia="微软雅黑" w:cs="Times New Roman"/>
          <w:bCs/>
          <w:sz w:val="18"/>
          <w:szCs w:val="18"/>
          <w:lang w:val="en-US" w:eastAsia="zh-CN" w:bidi="ar-SA"/>
        </w:rPr>
        <w:t>图十二、铭牌总成</w:t>
      </w: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ascii="Times New Roman" w:hAnsi="Times New Roman" w:eastAsia="微软雅黑" w:cs="Times New Roman"/>
          <w:bCs/>
          <w:sz w:val="18"/>
          <w:szCs w:val="18"/>
          <w:lang w:val="en-US" w:eastAsia="zh-CN" w:bidi="ar-SA"/>
        </w:rPr>
        <w:drawing>
          <wp:inline distT="0" distB="0" distL="114300" distR="114300">
            <wp:extent cx="5026660" cy="7807325"/>
            <wp:effectExtent l="0" t="0" r="2540" b="3175"/>
            <wp:docPr id="34" name="图片 2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7" descr="3"/>
                    <pic:cNvPicPr>
                      <a:picLocks noChangeAspect="1"/>
                    </pic:cNvPicPr>
                  </pic:nvPicPr>
                  <pic:blipFill>
                    <a:blip r:embed="rId40"/>
                    <a:stretch>
                      <a:fillRect/>
                    </a:stretch>
                  </pic:blipFill>
                  <pic:spPr>
                    <a:xfrm>
                      <a:off x="0" y="0"/>
                      <a:ext cx="5026660" cy="7807325"/>
                    </a:xfrm>
                    <a:prstGeom prst="rect">
                      <a:avLst/>
                    </a:prstGeom>
                    <a:noFill/>
                    <a:ln>
                      <a:noFill/>
                    </a:ln>
                  </pic:spPr>
                </pic:pic>
              </a:graphicData>
            </a:graphic>
          </wp:inline>
        </w:drawing>
      </w: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hint="default" w:ascii="Times New Roman" w:hAnsi="Times New Roman" w:eastAsia="微软雅黑" w:cs="Times New Roman"/>
          <w:bCs/>
          <w:sz w:val="18"/>
          <w:szCs w:val="18"/>
          <w:lang w:val="en-US" w:eastAsia="zh-CN" w:bidi="ar-SA"/>
        </w:rPr>
        <w:t>图十三、机组箱底座</w:t>
      </w: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ascii="Times New Roman" w:hAnsi="Times New Roman" w:eastAsia="微软雅黑" w:cs="Times New Roman"/>
          <w:bCs/>
          <w:sz w:val="18"/>
          <w:szCs w:val="18"/>
          <w:lang w:val="en-US" w:eastAsia="zh-CN" w:bidi="ar-SA"/>
        </w:rPr>
        <w:drawing>
          <wp:inline distT="0" distB="0" distL="114300" distR="114300">
            <wp:extent cx="4925695" cy="7759065"/>
            <wp:effectExtent l="0" t="0" r="8255" b="13335"/>
            <wp:docPr id="37" name="图片 2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8" descr="4"/>
                    <pic:cNvPicPr>
                      <a:picLocks noChangeAspect="1"/>
                    </pic:cNvPicPr>
                  </pic:nvPicPr>
                  <pic:blipFill>
                    <a:blip r:embed="rId41"/>
                    <a:stretch>
                      <a:fillRect/>
                    </a:stretch>
                  </pic:blipFill>
                  <pic:spPr>
                    <a:xfrm>
                      <a:off x="0" y="0"/>
                      <a:ext cx="4925695" cy="7759065"/>
                    </a:xfrm>
                    <a:prstGeom prst="rect">
                      <a:avLst/>
                    </a:prstGeom>
                    <a:noFill/>
                    <a:ln>
                      <a:noFill/>
                    </a:ln>
                  </pic:spPr>
                </pic:pic>
              </a:graphicData>
            </a:graphic>
          </wp:inline>
        </w:drawing>
      </w: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hint="default" w:ascii="Times New Roman" w:hAnsi="Times New Roman" w:eastAsia="微软雅黑" w:cs="Times New Roman"/>
          <w:bCs/>
          <w:sz w:val="18"/>
          <w:szCs w:val="18"/>
          <w:lang w:val="en-US" w:eastAsia="zh-CN" w:bidi="ar-SA"/>
        </w:rPr>
        <w:t>图十四、铭牌板</w:t>
      </w: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ascii="Times New Roman" w:hAnsi="Times New Roman" w:eastAsia="微软雅黑" w:cs="Times New Roman"/>
          <w:bCs/>
          <w:sz w:val="18"/>
          <w:szCs w:val="18"/>
          <w:lang w:val="en-US" w:eastAsia="zh-CN" w:bidi="ar-SA"/>
        </w:rPr>
        <w:drawing>
          <wp:inline distT="0" distB="0" distL="114300" distR="114300">
            <wp:extent cx="4972685" cy="7863840"/>
            <wp:effectExtent l="0" t="0" r="18415" b="3810"/>
            <wp:docPr id="39" name="图片 2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9" descr="5"/>
                    <pic:cNvPicPr>
                      <a:picLocks noChangeAspect="1"/>
                    </pic:cNvPicPr>
                  </pic:nvPicPr>
                  <pic:blipFill>
                    <a:blip r:embed="rId42"/>
                    <a:stretch>
                      <a:fillRect/>
                    </a:stretch>
                  </pic:blipFill>
                  <pic:spPr>
                    <a:xfrm>
                      <a:off x="0" y="0"/>
                      <a:ext cx="4972685" cy="7863840"/>
                    </a:xfrm>
                    <a:prstGeom prst="rect">
                      <a:avLst/>
                    </a:prstGeom>
                    <a:noFill/>
                    <a:ln>
                      <a:noFill/>
                    </a:ln>
                  </pic:spPr>
                </pic:pic>
              </a:graphicData>
            </a:graphic>
          </wp:inline>
        </w:drawing>
      </w: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hint="default" w:ascii="Times New Roman" w:hAnsi="Times New Roman" w:eastAsia="微软雅黑" w:cs="Times New Roman"/>
          <w:bCs/>
          <w:sz w:val="18"/>
          <w:szCs w:val="18"/>
          <w:lang w:val="en-US" w:eastAsia="zh-CN" w:bidi="ar-SA"/>
        </w:rPr>
        <w:t>图十五、五连排橡胶支撑块</w:t>
      </w: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ascii="Times New Roman" w:hAnsi="Times New Roman" w:eastAsia="微软雅黑" w:cs="Times New Roman"/>
          <w:bCs/>
          <w:sz w:val="18"/>
          <w:szCs w:val="18"/>
          <w:lang w:val="en-US" w:eastAsia="zh-CN" w:bidi="ar-SA"/>
        </w:rPr>
        <w:drawing>
          <wp:inline distT="0" distB="0" distL="114300" distR="114300">
            <wp:extent cx="5177155" cy="8245475"/>
            <wp:effectExtent l="0" t="0" r="4445" b="3175"/>
            <wp:docPr id="33" name="图片 30"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0" descr="6"/>
                    <pic:cNvPicPr>
                      <a:picLocks noChangeAspect="1"/>
                    </pic:cNvPicPr>
                  </pic:nvPicPr>
                  <pic:blipFill>
                    <a:blip r:embed="rId43"/>
                    <a:stretch>
                      <a:fillRect/>
                    </a:stretch>
                  </pic:blipFill>
                  <pic:spPr>
                    <a:xfrm>
                      <a:off x="0" y="0"/>
                      <a:ext cx="5177155" cy="8245475"/>
                    </a:xfrm>
                    <a:prstGeom prst="rect">
                      <a:avLst/>
                    </a:prstGeom>
                    <a:noFill/>
                    <a:ln>
                      <a:noFill/>
                    </a:ln>
                  </pic:spPr>
                </pic:pic>
              </a:graphicData>
            </a:graphic>
          </wp:inline>
        </w:drawing>
      </w: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hint="default" w:ascii="Times New Roman" w:hAnsi="Times New Roman" w:eastAsia="微软雅黑" w:cs="Times New Roman"/>
          <w:bCs/>
          <w:sz w:val="18"/>
          <w:szCs w:val="18"/>
          <w:lang w:val="en-US" w:eastAsia="zh-CN" w:bidi="ar-SA"/>
        </w:rPr>
        <w:t>图十六、提手焊接件</w:t>
      </w:r>
    </w:p>
    <w:p>
      <w:pPr>
        <w:widowControl w:val="0"/>
        <w:spacing w:line="257" w:lineRule="auto"/>
        <w:ind w:right="122" w:firstLine="0" w:firstLineChars="0"/>
        <w:jc w:val="center"/>
        <w:rPr>
          <w:rFonts w:hint="default" w:ascii="Times New Roman" w:hAnsi="Times New Roman" w:eastAsia="微软雅黑" w:cs="Times New Roman"/>
          <w:bCs/>
          <w:sz w:val="18"/>
          <w:szCs w:val="18"/>
          <w:lang w:val="en-US" w:eastAsia="zh-CN" w:bidi="ar-SA"/>
        </w:rPr>
      </w:pPr>
      <w:r>
        <w:rPr>
          <w:rFonts w:ascii="Times New Roman" w:hAnsi="Times New Roman" w:eastAsia="微软雅黑" w:cs="Times New Roman"/>
          <w:bCs/>
          <w:sz w:val="18"/>
          <w:szCs w:val="18"/>
          <w:lang w:val="en-US" w:eastAsia="zh-CN" w:bidi="ar-SA"/>
        </w:rPr>
        <w:drawing>
          <wp:inline distT="0" distB="0" distL="114300" distR="114300">
            <wp:extent cx="4909185" cy="7767955"/>
            <wp:effectExtent l="0" t="0" r="5715" b="4445"/>
            <wp:docPr id="32" name="图片 3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descr="7"/>
                    <pic:cNvPicPr>
                      <a:picLocks noChangeAspect="1"/>
                    </pic:cNvPicPr>
                  </pic:nvPicPr>
                  <pic:blipFill>
                    <a:blip r:embed="rId44"/>
                    <a:stretch>
                      <a:fillRect/>
                    </a:stretch>
                  </pic:blipFill>
                  <pic:spPr>
                    <a:xfrm>
                      <a:off x="0" y="0"/>
                      <a:ext cx="4909185" cy="7767955"/>
                    </a:xfrm>
                    <a:prstGeom prst="rect">
                      <a:avLst/>
                    </a:prstGeom>
                    <a:noFill/>
                    <a:ln>
                      <a:noFill/>
                    </a:ln>
                  </pic:spPr>
                </pic:pic>
              </a:graphicData>
            </a:graphic>
          </wp:inline>
        </w:drawing>
      </w:r>
    </w:p>
    <w:p>
      <w:pPr>
        <w:widowControl w:val="0"/>
        <w:spacing w:line="257" w:lineRule="auto"/>
        <w:ind w:right="122" w:firstLine="0" w:firstLineChars="0"/>
        <w:jc w:val="center"/>
        <w:rPr>
          <w:rFonts w:hint="default" w:ascii="Times New Roman" w:hAnsi="Times New Roman" w:eastAsia="Microsoft YaHei UI" w:cs="Times New Roman"/>
          <w:sz w:val="21"/>
          <w:szCs w:val="21"/>
          <w:lang w:val="en-US" w:eastAsia="zh-CN" w:bidi="ar-SA"/>
        </w:rPr>
      </w:pPr>
      <w:r>
        <w:rPr>
          <w:rFonts w:hint="default" w:ascii="Times New Roman" w:hAnsi="Times New Roman" w:eastAsia="微软雅黑" w:cs="Times New Roman"/>
          <w:bCs/>
          <w:sz w:val="18"/>
          <w:szCs w:val="18"/>
          <w:lang w:val="en-US" w:eastAsia="zh-CN" w:bidi="ar-SA"/>
        </w:rPr>
        <w:t>图十七、提手</w:t>
      </w:r>
    </w:p>
    <w:p>
      <w:pPr>
        <w:jc w:val="left"/>
        <w:rPr>
          <w:rFonts w:ascii="Times New Roman" w:hAnsi="Times New Roman" w:cs="Times New Roman" w:eastAsiaTheme="minorEastAsia"/>
          <w:kern w:val="0"/>
          <w:sz w:val="22"/>
          <w:lang w:eastAsia="zh-CN"/>
        </w:rPr>
      </w:pPr>
    </w:p>
    <w:p>
      <w:pPr>
        <w:jc w:val="left"/>
        <w:rPr>
          <w:rFonts w:ascii="Times New Roman" w:hAnsi="Times New Roman" w:cs="Times New Roman" w:eastAsiaTheme="minorEastAsia"/>
          <w:kern w:val="0"/>
          <w:sz w:val="22"/>
          <w:lang w:eastAsia="zh-CN"/>
        </w:rPr>
      </w:pPr>
    </w:p>
    <w:p>
      <w:pPr>
        <w:rPr>
          <w:rFonts w:ascii="Times New Roman" w:hAnsi="Times New Roman" w:cs="Times New Roman"/>
          <w:lang w:eastAsia="zh-CN"/>
        </w:rPr>
        <w:sectPr>
          <w:pgSz w:w="11906" w:h="16838"/>
          <w:pgMar w:top="1440" w:right="1800" w:bottom="1440" w:left="1800" w:header="851" w:footer="992" w:gutter="0"/>
          <w:cols w:space="425" w:num="1"/>
          <w:docGrid w:type="lines" w:linePitch="312" w:charSpace="0"/>
        </w:sectPr>
      </w:pPr>
    </w:p>
    <w:p>
      <w:pPr>
        <w:keepNext/>
        <w:keepLines/>
        <w:widowControl w:val="0"/>
        <w:spacing w:before="240" w:after="240" w:line="578" w:lineRule="auto"/>
        <w:jc w:val="both"/>
        <w:outlineLvl w:val="0"/>
        <w:rPr>
          <w:rFonts w:ascii="Times New Roman" w:hAnsi="Times New Roman" w:eastAsia="黑体" w:cs="Times New Roman"/>
          <w:b/>
          <w:bCs/>
          <w:kern w:val="44"/>
          <w:sz w:val="32"/>
          <w:szCs w:val="32"/>
          <w:lang w:val="en-US" w:eastAsia="zh-CN" w:bidi="ar-SA"/>
        </w:rPr>
      </w:pPr>
      <w:r>
        <w:rPr>
          <w:rFonts w:hint="eastAsia" w:ascii="Times New Roman" w:hAnsi="Times New Roman" w:eastAsia="黑体" w:cs="Times New Roman"/>
          <w:b/>
          <w:bCs/>
          <w:kern w:val="44"/>
          <w:sz w:val="32"/>
          <w:szCs w:val="32"/>
          <w:lang w:val="en-US" w:eastAsia="zh-CN" w:bidi="ar-SA"/>
        </w:rPr>
        <w:t>附件四 永磁高转速电机定子片</w:t>
      </w:r>
    </w:p>
    <w:p>
      <w:pPr>
        <w:widowControl w:val="0"/>
        <w:snapToGrid w:val="0"/>
        <w:jc w:val="center"/>
        <w:rPr>
          <w:rFonts w:ascii="Times New Roman" w:hAnsi="Times New Roman" w:cs="Times New Roman" w:eastAsiaTheme="minorEastAsia"/>
          <w:sz w:val="18"/>
          <w:szCs w:val="18"/>
          <w:lang w:val="en-US" w:eastAsia="en-US" w:bidi="ar-SA"/>
        </w:rPr>
      </w:pPr>
      <w:r>
        <w:rPr>
          <w:rFonts w:ascii="Times New Roman" w:hAnsi="Times New Roman" w:cs="Times New Roman" w:eastAsiaTheme="minorEastAsia"/>
          <w:sz w:val="18"/>
          <w:szCs w:val="18"/>
          <w:lang w:val="en-US" w:eastAsia="en-US" w:bidi="ar-SA"/>
        </w:rPr>
        <w:drawing>
          <wp:inline distT="0" distB="0" distL="114300" distR="114300">
            <wp:extent cx="7515225" cy="4307840"/>
            <wp:effectExtent l="0" t="0" r="9525" b="1651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45"/>
                    <a:stretch>
                      <a:fillRect/>
                    </a:stretch>
                  </pic:blipFill>
                  <pic:spPr>
                    <a:xfrm>
                      <a:off x="0" y="0"/>
                      <a:ext cx="7521760" cy="4312125"/>
                    </a:xfrm>
                    <a:prstGeom prst="rect">
                      <a:avLst/>
                    </a:prstGeom>
                    <a:noFill/>
                    <a:ln>
                      <a:noFill/>
                    </a:ln>
                  </pic:spPr>
                </pic:pic>
              </a:graphicData>
            </a:graphic>
          </wp:inline>
        </w:drawing>
      </w:r>
    </w:p>
    <w:p>
      <w:pPr>
        <w:widowControl w:val="0"/>
        <w:snapToGrid w:val="0"/>
        <w:jc w:val="center"/>
        <w:rPr>
          <w:rFonts w:ascii="Times New Roman" w:hAnsi="Times New Roman" w:cs="Times New Roman" w:eastAsiaTheme="minorEastAsia"/>
          <w:sz w:val="18"/>
          <w:szCs w:val="18"/>
          <w:lang w:val="en-US" w:eastAsia="zh-CN" w:bidi="ar-SA"/>
        </w:rPr>
      </w:pPr>
      <w:r>
        <w:rPr>
          <w:rFonts w:hint="default" w:ascii="Times New Roman" w:hAnsi="Times New Roman" w:cs="Times New Roman" w:eastAsiaTheme="minorEastAsia"/>
          <w:sz w:val="18"/>
          <w:szCs w:val="18"/>
          <w:lang w:val="en-US" w:eastAsia="zh-CN" w:bidi="ar-SA"/>
        </w:rPr>
        <w:t>450永磁定子片</w:t>
      </w:r>
    </w:p>
    <w:p>
      <w:pPr>
        <w:widowControl w:val="0"/>
        <w:snapToGrid w:val="0"/>
        <w:rPr>
          <w:rFonts w:ascii="Times New Roman" w:hAnsi="Times New Roman" w:cs="Times New Roman" w:eastAsiaTheme="minorEastAsia"/>
          <w:sz w:val="18"/>
          <w:szCs w:val="18"/>
          <w:lang w:val="en-US" w:eastAsia="en-US" w:bidi="ar-SA"/>
        </w:rPr>
      </w:pPr>
      <w:r>
        <w:rPr>
          <w:rFonts w:ascii="Times New Roman" w:hAnsi="Times New Roman" w:cs="Times New Roman" w:eastAsiaTheme="minorEastAsia"/>
          <w:sz w:val="18"/>
          <w:szCs w:val="18"/>
          <w:lang w:val="en-US" w:eastAsia="en-US" w:bidi="ar-SA"/>
        </w:rPr>
        <w:drawing>
          <wp:inline distT="0" distB="0" distL="114300" distR="114300">
            <wp:extent cx="7567930" cy="4652010"/>
            <wp:effectExtent l="0" t="0" r="13970" b="15240"/>
            <wp:docPr id="1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pic:cNvPicPr>
                      <a:picLocks noChangeAspect="1"/>
                    </pic:cNvPicPr>
                  </pic:nvPicPr>
                  <pic:blipFill>
                    <a:blip r:embed="rId46"/>
                    <a:stretch>
                      <a:fillRect/>
                    </a:stretch>
                  </pic:blipFill>
                  <pic:spPr>
                    <a:xfrm>
                      <a:off x="0" y="0"/>
                      <a:ext cx="7567930" cy="4652010"/>
                    </a:xfrm>
                    <a:prstGeom prst="rect">
                      <a:avLst/>
                    </a:prstGeom>
                    <a:noFill/>
                    <a:ln>
                      <a:noFill/>
                    </a:ln>
                  </pic:spPr>
                </pic:pic>
              </a:graphicData>
            </a:graphic>
          </wp:inline>
        </w:drawing>
      </w:r>
    </w:p>
    <w:p>
      <w:pPr>
        <w:widowControl w:val="0"/>
        <w:snapToGrid w:val="0"/>
        <w:rPr>
          <w:rFonts w:ascii="Times New Roman" w:hAnsi="Times New Roman" w:cs="Times New Roman" w:eastAsiaTheme="minorEastAsia"/>
          <w:sz w:val="18"/>
          <w:szCs w:val="18"/>
          <w:lang w:val="en-US" w:eastAsia="en-US" w:bidi="ar-SA"/>
        </w:rPr>
      </w:pPr>
    </w:p>
    <w:p>
      <w:pPr>
        <w:widowControl w:val="0"/>
        <w:snapToGrid w:val="0"/>
        <w:jc w:val="center"/>
        <w:rPr>
          <w:rFonts w:ascii="Times New Roman" w:hAnsi="Times New Roman" w:cs="Times New Roman" w:eastAsiaTheme="minorEastAsia"/>
          <w:sz w:val="18"/>
          <w:szCs w:val="18"/>
          <w:lang w:val="en-US" w:eastAsia="zh-CN" w:bidi="ar-SA"/>
        </w:rPr>
      </w:pPr>
      <w:r>
        <w:rPr>
          <w:rFonts w:hint="default" w:ascii="Times New Roman" w:hAnsi="Times New Roman" w:cs="Times New Roman" w:eastAsiaTheme="minorEastAsia"/>
          <w:sz w:val="18"/>
          <w:szCs w:val="18"/>
          <w:lang w:val="en-US" w:eastAsia="zh-CN" w:bidi="ar-SA"/>
        </w:rPr>
        <w:t>562永磁定子片</w:t>
      </w:r>
    </w:p>
    <w:p>
      <w:pPr>
        <w:rPr>
          <w:rFonts w:ascii="Times New Roman" w:hAnsi="Times New Roman" w:cs="Times New Roman"/>
          <w:lang w:eastAsia="zh-CN"/>
        </w:rPr>
        <w:sectPr>
          <w:pgSz w:w="16838" w:h="11906" w:orient="landscape"/>
          <w:pgMar w:top="1800" w:right="1440" w:bottom="1800" w:left="1440" w:header="851" w:footer="992" w:gutter="0"/>
          <w:cols w:space="425" w:num="1"/>
          <w:docGrid w:type="lines" w:linePitch="312" w:charSpace="0"/>
        </w:sectPr>
      </w:pPr>
    </w:p>
    <w:p>
      <w:pPr>
        <w:widowControl w:val="0"/>
        <w:snapToGrid w:val="0"/>
        <w:rPr>
          <w:rFonts w:ascii="Times New Roman" w:hAnsi="Times New Roman" w:cs="Times New Roman" w:eastAsiaTheme="minorEastAsia"/>
          <w:sz w:val="18"/>
          <w:szCs w:val="18"/>
          <w:lang w:val="en-US" w:eastAsia="zh-CN" w:bidi="ar-SA"/>
        </w:rPr>
      </w:pPr>
    </w:p>
    <w:p>
      <w:pPr>
        <w:keepNext/>
        <w:keepLines/>
        <w:widowControl w:val="0"/>
        <w:spacing w:before="240" w:after="240" w:line="578" w:lineRule="auto"/>
        <w:jc w:val="both"/>
        <w:outlineLvl w:val="0"/>
        <w:rPr>
          <w:rFonts w:ascii="Times New Roman" w:hAnsi="Times New Roman" w:eastAsia="黑体" w:cs="Times New Roman"/>
          <w:b/>
          <w:bCs/>
          <w:kern w:val="44"/>
          <w:sz w:val="32"/>
          <w:szCs w:val="32"/>
          <w:lang w:val="en-US" w:eastAsia="zh-CN" w:bidi="ar-SA"/>
        </w:rPr>
      </w:pPr>
      <w:r>
        <w:rPr>
          <w:rFonts w:hint="eastAsia" w:ascii="Times New Roman" w:hAnsi="Times New Roman" w:eastAsia="黑体" w:cs="Times New Roman"/>
          <w:b/>
          <w:bCs/>
          <w:kern w:val="44"/>
          <w:sz w:val="32"/>
          <w:szCs w:val="32"/>
          <w:lang w:val="en-US" w:eastAsia="zh-CN" w:bidi="ar-SA"/>
        </w:rPr>
        <w:t>附件五：</w:t>
      </w:r>
      <w:r>
        <w:rPr>
          <w:rFonts w:ascii="Times New Roman" w:hAnsi="Times New Roman" w:eastAsia="黑体" w:cs="Times New Roman"/>
          <w:b/>
          <w:bCs/>
          <w:kern w:val="44"/>
          <w:sz w:val="32"/>
          <w:szCs w:val="32"/>
          <w:lang w:val="en-US" w:eastAsia="zh-CN" w:bidi="ar-SA"/>
        </w:rPr>
        <w:t>《JXCY-ZZ-02-014潜油电泵机组外表面喷漆作业工艺标准》</w:t>
      </w:r>
    </w:p>
    <w:p>
      <w:pPr>
        <w:widowControl w:val="0"/>
        <w:snapToGrid w:val="0"/>
        <w:rPr>
          <w:rFonts w:ascii="Times New Roman" w:hAnsi="Times New Roman" w:eastAsia="宋体" w:cs="Times New Roman"/>
          <w:b/>
          <w:bCs/>
          <w:sz w:val="32"/>
          <w:szCs w:val="32"/>
          <w:lang w:val="en-US" w:eastAsia="zh-CN" w:bidi="ar-SA"/>
        </w:rPr>
      </w:pPr>
      <w:r>
        <w:rPr>
          <w:rFonts w:ascii="Times New Roman" w:hAnsi="Times New Roman" w:cs="Times New Roman" w:eastAsiaTheme="minorEastAsia"/>
          <w:sz w:val="18"/>
          <w:szCs w:val="18"/>
          <w:lang w:val="en-US" w:eastAsia="en-US" w:bidi="ar-SA"/>
        </w:rPr>
        <w:drawing>
          <wp:inline distT="0" distB="0" distL="114300" distR="114300">
            <wp:extent cx="5336540" cy="6118860"/>
            <wp:effectExtent l="0" t="0" r="16510" b="15240"/>
            <wp:docPr id="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
                    <pic:cNvPicPr>
                      <a:picLocks noChangeAspect="1"/>
                    </pic:cNvPicPr>
                  </pic:nvPicPr>
                  <pic:blipFill>
                    <a:blip r:embed="rId47"/>
                    <a:stretch>
                      <a:fillRect/>
                    </a:stretch>
                  </pic:blipFill>
                  <pic:spPr>
                    <a:xfrm>
                      <a:off x="0" y="0"/>
                      <a:ext cx="5336540" cy="6118860"/>
                    </a:xfrm>
                    <a:prstGeom prst="rect">
                      <a:avLst/>
                    </a:prstGeom>
                    <a:noFill/>
                    <a:ln>
                      <a:noFill/>
                    </a:ln>
                  </pic:spPr>
                </pic:pic>
              </a:graphicData>
            </a:graphic>
          </wp:inline>
        </w:drawing>
      </w:r>
    </w:p>
    <w:p>
      <w:pPr>
        <w:widowControl w:val="0"/>
        <w:snapToGrid w:val="0"/>
        <w:rPr>
          <w:rFonts w:ascii="Times New Roman" w:hAnsi="Times New Roman" w:eastAsia="宋体" w:cs="Times New Roman"/>
          <w:b/>
          <w:bCs/>
          <w:sz w:val="32"/>
          <w:szCs w:val="32"/>
          <w:lang w:val="en-US" w:eastAsia="zh-CN" w:bidi="ar-SA"/>
        </w:rPr>
      </w:pPr>
      <w:r>
        <w:rPr>
          <w:rFonts w:ascii="Times New Roman" w:hAnsi="Times New Roman" w:cs="Times New Roman" w:eastAsiaTheme="minorEastAsia"/>
          <w:sz w:val="18"/>
          <w:szCs w:val="18"/>
          <w:lang w:val="en-US" w:eastAsia="en-US" w:bidi="ar-SA"/>
        </w:rPr>
        <w:drawing>
          <wp:inline distT="0" distB="0" distL="114300" distR="114300">
            <wp:extent cx="5125085" cy="8249920"/>
            <wp:effectExtent l="0" t="0" r="18415" b="17780"/>
            <wp:docPr id="8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3"/>
                    <pic:cNvPicPr>
                      <a:picLocks noChangeAspect="1"/>
                    </pic:cNvPicPr>
                  </pic:nvPicPr>
                  <pic:blipFill>
                    <a:blip r:embed="rId48"/>
                    <a:stretch>
                      <a:fillRect/>
                    </a:stretch>
                  </pic:blipFill>
                  <pic:spPr>
                    <a:xfrm>
                      <a:off x="0" y="0"/>
                      <a:ext cx="5125085" cy="8249920"/>
                    </a:xfrm>
                    <a:prstGeom prst="rect">
                      <a:avLst/>
                    </a:prstGeom>
                    <a:noFill/>
                    <a:ln>
                      <a:noFill/>
                    </a:ln>
                  </pic:spPr>
                </pic:pic>
              </a:graphicData>
            </a:graphic>
          </wp:inline>
        </w:drawing>
      </w:r>
    </w:p>
    <w:p>
      <w:pPr>
        <w:widowControl w:val="0"/>
        <w:snapToGrid w:val="0"/>
        <w:rPr>
          <w:rFonts w:ascii="Times New Roman" w:hAnsi="Times New Roman" w:eastAsia="宋体" w:cs="Times New Roman"/>
          <w:b/>
          <w:bCs/>
          <w:sz w:val="32"/>
          <w:szCs w:val="32"/>
          <w:lang w:val="en-US" w:eastAsia="zh-CN" w:bidi="ar-SA"/>
        </w:rPr>
      </w:pPr>
      <w:r>
        <w:rPr>
          <w:rFonts w:ascii="Times New Roman" w:hAnsi="Times New Roman" w:cs="Times New Roman" w:eastAsiaTheme="minorEastAsia"/>
          <w:sz w:val="18"/>
          <w:szCs w:val="18"/>
          <w:lang w:val="en-US" w:eastAsia="en-US" w:bidi="ar-SA"/>
        </w:rPr>
        <w:drawing>
          <wp:inline distT="0" distB="0" distL="114300" distR="114300">
            <wp:extent cx="5175250" cy="8437880"/>
            <wp:effectExtent l="0" t="0" r="6350" b="1270"/>
            <wp:docPr id="9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4"/>
                    <pic:cNvPicPr>
                      <a:picLocks noChangeAspect="1"/>
                    </pic:cNvPicPr>
                  </pic:nvPicPr>
                  <pic:blipFill>
                    <a:blip r:embed="rId49"/>
                    <a:stretch>
                      <a:fillRect/>
                    </a:stretch>
                  </pic:blipFill>
                  <pic:spPr>
                    <a:xfrm>
                      <a:off x="0" y="0"/>
                      <a:ext cx="5175250" cy="8437880"/>
                    </a:xfrm>
                    <a:prstGeom prst="rect">
                      <a:avLst/>
                    </a:prstGeom>
                    <a:noFill/>
                    <a:ln>
                      <a:noFill/>
                    </a:ln>
                  </pic:spPr>
                </pic:pic>
              </a:graphicData>
            </a:graphic>
          </wp:inline>
        </w:drawing>
      </w:r>
    </w:p>
    <w:p>
      <w:pPr>
        <w:widowControl w:val="0"/>
        <w:snapToGrid w:val="0"/>
        <w:rPr>
          <w:rFonts w:hint="default" w:ascii="Times New Roman" w:hAnsi="Times New Roman" w:cs="Times New Roman" w:eastAsiaTheme="minorEastAsia"/>
          <w:sz w:val="24"/>
          <w:szCs w:val="24"/>
          <w:lang w:val="en-US" w:eastAsia="zh-CN" w:bidi="ar-SA"/>
        </w:rPr>
      </w:pPr>
    </w:p>
    <w:p>
      <w:pPr>
        <w:widowControl w:val="0"/>
        <w:snapToGrid w:val="0"/>
        <w:rPr>
          <w:rFonts w:hint="default" w:ascii="Times New Roman" w:hAnsi="Times New Roman" w:cs="Times New Roman" w:eastAsiaTheme="minorEastAsia"/>
          <w:sz w:val="24"/>
          <w:szCs w:val="24"/>
          <w:lang w:val="en-US" w:eastAsia="zh-CN" w:bidi="ar-SA"/>
        </w:rPr>
      </w:pPr>
    </w:p>
    <w:p>
      <w:pPr>
        <w:keepNext/>
        <w:keepLines/>
        <w:widowControl w:val="0"/>
        <w:spacing w:before="240" w:after="240" w:line="578" w:lineRule="auto"/>
        <w:jc w:val="both"/>
        <w:outlineLvl w:val="0"/>
        <w:rPr>
          <w:rFonts w:hint="eastAsia" w:eastAsia="黑体" w:cs="黑体" w:asciiTheme="minorEastAsia" w:hAnsiTheme="minorEastAsia"/>
          <w:b/>
          <w:bCs/>
          <w:kern w:val="44"/>
          <w:sz w:val="32"/>
          <w:szCs w:val="32"/>
          <w:lang w:val="en-US" w:eastAsia="zh-CN" w:bidi="ar-SA"/>
        </w:rPr>
      </w:pPr>
      <w:r>
        <w:rPr>
          <w:rFonts w:hint="eastAsia" w:eastAsia="黑体" w:cs="黑体" w:asciiTheme="minorEastAsia" w:hAnsiTheme="minorEastAsia"/>
          <w:b/>
          <w:bCs/>
          <w:kern w:val="44"/>
          <w:sz w:val="32"/>
          <w:szCs w:val="32"/>
          <w:lang w:val="en-US" w:eastAsia="zh-CN" w:bidi="ar-SA"/>
        </w:rPr>
        <w:t>附件六：泵工况对插接头。</w:t>
      </w:r>
    </w:p>
    <w:p>
      <w:pPr>
        <w:widowControl w:val="0"/>
        <w:snapToGrid w:val="0"/>
        <w:rPr>
          <w:rFonts w:hint="default" w:ascii="Times New Roman" w:hAnsi="Times New Roman" w:cs="Times New Roman" w:eastAsiaTheme="minorEastAsia"/>
          <w:sz w:val="24"/>
          <w:szCs w:val="24"/>
          <w:lang w:val="en-US" w:eastAsia="zh-CN" w:bidi="ar-SA"/>
        </w:rPr>
      </w:pPr>
      <w:r>
        <w:rPr>
          <w:rFonts w:ascii="Times New Roman" w:hAnsi="Times New Roman" w:cs="Times New Roman" w:eastAsiaTheme="minorEastAsia"/>
          <w:sz w:val="18"/>
          <w:szCs w:val="18"/>
          <w:lang w:val="en-US" w:eastAsia="en-US" w:bidi="ar-SA"/>
        </w:rPr>
        <w:drawing>
          <wp:inline distT="0" distB="0" distL="114300" distR="114300">
            <wp:extent cx="5272405" cy="6152515"/>
            <wp:effectExtent l="0" t="0" r="4445" b="63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50"/>
                    <a:stretch>
                      <a:fillRect/>
                    </a:stretch>
                  </pic:blipFill>
                  <pic:spPr>
                    <a:xfrm>
                      <a:off x="0" y="0"/>
                      <a:ext cx="5272405" cy="6152515"/>
                    </a:xfrm>
                    <a:prstGeom prst="rect">
                      <a:avLst/>
                    </a:prstGeom>
                    <a:noFill/>
                    <a:ln>
                      <a:noFill/>
                    </a:ln>
                  </pic:spPr>
                </pic:pic>
              </a:graphicData>
            </a:graphic>
          </wp:inline>
        </w:drawing>
      </w:r>
    </w:p>
    <w:p>
      <w:pPr>
        <w:widowControl w:val="0"/>
        <w:snapToGrid w:val="0"/>
        <w:rPr>
          <w:rFonts w:ascii="Times New Roman" w:hAnsi="Times New Roman" w:cs="Times New Roman" w:eastAsiaTheme="minorEastAsia"/>
          <w:sz w:val="18"/>
          <w:szCs w:val="18"/>
          <w:lang w:val="en-US" w:eastAsia="en-US" w:bidi="ar-SA"/>
        </w:rPr>
      </w:pPr>
      <w:r>
        <w:rPr>
          <w:rFonts w:ascii="Times New Roman" w:hAnsi="Times New Roman" w:cs="Times New Roman" w:eastAsiaTheme="minorEastAsia"/>
          <w:sz w:val="18"/>
          <w:szCs w:val="18"/>
          <w:lang w:val="en-US" w:eastAsia="en-US" w:bidi="ar-SA"/>
        </w:rPr>
        <w:drawing>
          <wp:inline distT="0" distB="0" distL="114300" distR="114300">
            <wp:extent cx="5273675" cy="7061835"/>
            <wp:effectExtent l="0" t="0" r="3175" b="571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51"/>
                    <a:stretch>
                      <a:fillRect/>
                    </a:stretch>
                  </pic:blipFill>
                  <pic:spPr>
                    <a:xfrm>
                      <a:off x="0" y="0"/>
                      <a:ext cx="5273675" cy="7061835"/>
                    </a:xfrm>
                    <a:prstGeom prst="rect">
                      <a:avLst/>
                    </a:prstGeom>
                    <a:noFill/>
                    <a:ln>
                      <a:noFill/>
                    </a:ln>
                  </pic:spPr>
                </pic:pic>
              </a:graphicData>
            </a:graphic>
          </wp:inline>
        </w:drawing>
      </w:r>
    </w:p>
    <w:p>
      <w:pPr>
        <w:widowControl w:val="0"/>
        <w:snapToGrid w:val="0"/>
        <w:rPr>
          <w:rFonts w:ascii="Times New Roman" w:hAnsi="Times New Roman" w:cs="Times New Roman" w:eastAsiaTheme="minorEastAsia"/>
          <w:sz w:val="18"/>
          <w:szCs w:val="18"/>
          <w:lang w:val="en-US" w:eastAsia="en-US" w:bidi="ar-SA"/>
        </w:rPr>
      </w:pPr>
      <w:r>
        <w:rPr>
          <w:rFonts w:ascii="Times New Roman" w:hAnsi="Times New Roman" w:cs="Times New Roman" w:eastAsiaTheme="minorEastAsia"/>
          <w:sz w:val="18"/>
          <w:szCs w:val="18"/>
          <w:lang w:val="en-US" w:eastAsia="en-US" w:bidi="ar-SA"/>
        </w:rPr>
        <w:drawing>
          <wp:inline distT="0" distB="0" distL="114300" distR="114300">
            <wp:extent cx="5273040" cy="7106285"/>
            <wp:effectExtent l="0" t="0" r="3810" b="1841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52"/>
                    <a:stretch>
                      <a:fillRect/>
                    </a:stretch>
                  </pic:blipFill>
                  <pic:spPr>
                    <a:xfrm>
                      <a:off x="0" y="0"/>
                      <a:ext cx="5273040" cy="7106285"/>
                    </a:xfrm>
                    <a:prstGeom prst="rect">
                      <a:avLst/>
                    </a:prstGeom>
                    <a:noFill/>
                    <a:ln>
                      <a:noFill/>
                    </a:ln>
                  </pic:spPr>
                </pic:pic>
              </a:graphicData>
            </a:graphic>
          </wp:inline>
        </w:drawing>
      </w:r>
    </w:p>
    <w:p>
      <w:pPr>
        <w:widowControl w:val="0"/>
        <w:snapToGrid w:val="0"/>
        <w:rPr>
          <w:rFonts w:ascii="Times New Roman" w:hAnsi="Times New Roman" w:cs="Times New Roman" w:eastAsiaTheme="minorEastAsia"/>
          <w:sz w:val="18"/>
          <w:szCs w:val="18"/>
          <w:lang w:val="en-US" w:eastAsia="en-US" w:bidi="ar-SA"/>
        </w:rPr>
      </w:pPr>
      <w:r>
        <w:rPr>
          <w:rFonts w:ascii="Times New Roman" w:hAnsi="Times New Roman" w:cs="Times New Roman" w:eastAsiaTheme="minorEastAsia"/>
          <w:sz w:val="18"/>
          <w:szCs w:val="18"/>
          <w:lang w:val="en-US" w:eastAsia="en-US" w:bidi="ar-SA"/>
        </w:rPr>
        <w:drawing>
          <wp:inline distT="0" distB="0" distL="114300" distR="114300">
            <wp:extent cx="5270500" cy="6619240"/>
            <wp:effectExtent l="0" t="0" r="6350" b="10160"/>
            <wp:docPr id="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pic:cNvPicPr>
                      <a:picLocks noChangeAspect="1"/>
                    </pic:cNvPicPr>
                  </pic:nvPicPr>
                  <pic:blipFill>
                    <a:blip r:embed="rId53"/>
                    <a:stretch>
                      <a:fillRect/>
                    </a:stretch>
                  </pic:blipFill>
                  <pic:spPr>
                    <a:xfrm>
                      <a:off x="0" y="0"/>
                      <a:ext cx="5270500" cy="6619240"/>
                    </a:xfrm>
                    <a:prstGeom prst="rect">
                      <a:avLst/>
                    </a:prstGeom>
                    <a:noFill/>
                    <a:ln>
                      <a:noFill/>
                    </a:ln>
                  </pic:spPr>
                </pic:pic>
              </a:graphicData>
            </a:graphic>
          </wp:inline>
        </w:drawing>
      </w:r>
    </w:p>
    <w:p>
      <w:pPr>
        <w:widowControl w:val="0"/>
        <w:snapToGrid w:val="0"/>
        <w:jc w:val="left"/>
        <w:rPr>
          <w:rFonts w:asciiTheme="minorHAnsi" w:hAnsiTheme="minorHAnsi" w:eastAsiaTheme="minorEastAsia" w:cstheme="minorBidi"/>
          <w:color w:val="auto"/>
          <w:sz w:val="16"/>
          <w:szCs w:val="16"/>
          <w:highlight w:val="none"/>
          <w:lang w:val="en-US" w:eastAsia="en-US" w:bidi="ar-SA"/>
        </w:rPr>
      </w:pPr>
      <w:r>
        <w:rPr>
          <w:rFonts w:ascii="Times New Roman" w:hAnsi="Times New Roman" w:cs="Times New Roman" w:eastAsiaTheme="minorEastAsia"/>
          <w:sz w:val="18"/>
          <w:szCs w:val="18"/>
          <w:lang w:val="en-US" w:eastAsia="en-US" w:bidi="ar-SA"/>
        </w:rPr>
        <w:drawing>
          <wp:inline distT="0" distB="0" distL="114300" distR="114300">
            <wp:extent cx="5273675" cy="6177915"/>
            <wp:effectExtent l="0" t="0" r="3175" b="13335"/>
            <wp:docPr id="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pic:cNvPicPr>
                      <a:picLocks noChangeAspect="1"/>
                    </pic:cNvPicPr>
                  </pic:nvPicPr>
                  <pic:blipFill>
                    <a:blip r:embed="rId54"/>
                    <a:stretch>
                      <a:fillRect/>
                    </a:stretch>
                  </pic:blipFill>
                  <pic:spPr>
                    <a:xfrm>
                      <a:off x="0" y="0"/>
                      <a:ext cx="5273675" cy="6177915"/>
                    </a:xfrm>
                    <a:prstGeom prst="rect">
                      <a:avLst/>
                    </a:prstGeom>
                    <a:noFill/>
                    <a:ln>
                      <a:noFill/>
                    </a:ln>
                  </pic:spPr>
                </pic:pic>
              </a:graphicData>
            </a:graphic>
          </wp:inline>
        </w:drawing>
      </w:r>
      <w:r>
        <w:rPr>
          <w:rFonts w:ascii="Times New Roman" w:hAnsi="Times New Roman" w:cs="Times New Roman" w:eastAsiaTheme="minorEastAsia"/>
          <w:sz w:val="18"/>
          <w:szCs w:val="18"/>
          <w:lang w:val="en-US" w:eastAsia="en-US" w:bidi="ar-SA"/>
        </w:rPr>
        <w:drawing>
          <wp:inline distT="0" distB="0" distL="114300" distR="114300">
            <wp:extent cx="5273040" cy="6844665"/>
            <wp:effectExtent l="0" t="0" r="3810" b="13335"/>
            <wp:docPr id="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
                    <pic:cNvPicPr>
                      <a:picLocks noChangeAspect="1"/>
                    </pic:cNvPicPr>
                  </pic:nvPicPr>
                  <pic:blipFill>
                    <a:blip r:embed="rId55"/>
                    <a:stretch>
                      <a:fillRect/>
                    </a:stretch>
                  </pic:blipFill>
                  <pic:spPr>
                    <a:xfrm>
                      <a:off x="0" y="0"/>
                      <a:ext cx="5273040" cy="6844665"/>
                    </a:xfrm>
                    <a:prstGeom prst="rect">
                      <a:avLst/>
                    </a:prstGeom>
                    <a:noFill/>
                    <a:ln>
                      <a:noFill/>
                    </a:ln>
                  </pic:spPr>
                </pic:pic>
              </a:graphicData>
            </a:graphic>
          </wp:inline>
        </w:drawing>
      </w:r>
      <w:r>
        <w:rPr>
          <w:rFonts w:ascii="Times New Roman" w:hAnsi="Times New Roman" w:cs="Times New Roman" w:eastAsiaTheme="minorEastAsia"/>
          <w:sz w:val="18"/>
          <w:szCs w:val="18"/>
          <w:lang w:val="en-US" w:eastAsia="en-US" w:bidi="ar-SA"/>
        </w:rPr>
        <w:drawing>
          <wp:inline distT="0" distB="0" distL="114300" distR="114300">
            <wp:extent cx="5269865" cy="6987540"/>
            <wp:effectExtent l="0" t="0" r="6985" b="3810"/>
            <wp:docPr id="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pic:cNvPicPr>
                      <a:picLocks noChangeAspect="1"/>
                    </pic:cNvPicPr>
                  </pic:nvPicPr>
                  <pic:blipFill>
                    <a:blip r:embed="rId56"/>
                    <a:stretch>
                      <a:fillRect/>
                    </a:stretch>
                  </pic:blipFill>
                  <pic:spPr>
                    <a:xfrm>
                      <a:off x="0" y="0"/>
                      <a:ext cx="5269865" cy="6987540"/>
                    </a:xfrm>
                    <a:prstGeom prst="rect">
                      <a:avLst/>
                    </a:prstGeom>
                    <a:noFill/>
                    <a:ln>
                      <a:noFill/>
                    </a:ln>
                  </pic:spPr>
                </pic:pic>
              </a:graphicData>
            </a:graphic>
          </wp:inline>
        </w:drawing>
      </w:r>
    </w:p>
    <w:p>
      <w:pPr>
        <w:widowControl w:val="0"/>
        <w:snapToGrid w:val="0"/>
        <w:jc w:val="left"/>
        <w:rPr>
          <w:rFonts w:asciiTheme="minorHAnsi" w:hAnsiTheme="minorHAnsi" w:eastAsiaTheme="minorEastAsia" w:cstheme="minorBidi"/>
          <w:color w:val="auto"/>
          <w:sz w:val="16"/>
          <w:szCs w:val="16"/>
          <w:highlight w:val="none"/>
          <w:lang w:val="en-US" w:eastAsia="en-US" w:bidi="ar-SA"/>
        </w:rPr>
      </w:pPr>
    </w:p>
    <w:p>
      <w:pPr>
        <w:widowControl w:val="0"/>
        <w:snapToGrid w:val="0"/>
        <w:jc w:val="left"/>
        <w:rPr>
          <w:rFonts w:asciiTheme="minorHAnsi" w:hAnsiTheme="minorHAnsi" w:eastAsiaTheme="minorEastAsia" w:cstheme="minorBidi"/>
          <w:color w:val="auto"/>
          <w:sz w:val="16"/>
          <w:szCs w:val="16"/>
          <w:highlight w:val="none"/>
          <w:lang w:val="en-US" w:eastAsia="en-US" w:bidi="ar-SA"/>
        </w:rPr>
      </w:pPr>
    </w:p>
    <w:p>
      <w:pPr>
        <w:widowControl w:val="0"/>
        <w:snapToGrid w:val="0"/>
        <w:jc w:val="left"/>
        <w:rPr>
          <w:rFonts w:asciiTheme="minorHAnsi" w:hAnsiTheme="minorHAnsi" w:eastAsiaTheme="minorEastAsia" w:cstheme="minorBidi"/>
          <w:color w:val="auto"/>
          <w:sz w:val="16"/>
          <w:szCs w:val="16"/>
          <w:highlight w:val="none"/>
          <w:lang w:val="en-US" w:eastAsia="en-US" w:bidi="ar-SA"/>
        </w:rPr>
      </w:pPr>
    </w:p>
    <w:p>
      <w:pPr>
        <w:widowControl w:val="0"/>
        <w:snapToGrid w:val="0"/>
        <w:jc w:val="left"/>
        <w:rPr>
          <w:rFonts w:asciiTheme="minorHAnsi" w:hAnsiTheme="minorHAnsi" w:eastAsiaTheme="minorEastAsia" w:cstheme="minorBidi"/>
          <w:color w:val="auto"/>
          <w:sz w:val="16"/>
          <w:szCs w:val="16"/>
          <w:highlight w:val="none"/>
          <w:lang w:val="en-US" w:eastAsia="en-US" w:bidi="ar-SA"/>
        </w:rPr>
      </w:pPr>
    </w:p>
    <w:p>
      <w:pPr>
        <w:widowControl w:val="0"/>
        <w:snapToGrid w:val="0"/>
        <w:jc w:val="left"/>
        <w:rPr>
          <w:rFonts w:asciiTheme="minorHAnsi" w:hAnsiTheme="minorHAnsi" w:eastAsiaTheme="minorEastAsia" w:cstheme="minorBidi"/>
          <w:color w:val="auto"/>
          <w:sz w:val="16"/>
          <w:szCs w:val="16"/>
          <w:highlight w:val="none"/>
          <w:lang w:val="en-US" w:eastAsia="en-US" w:bidi="ar-SA"/>
        </w:rPr>
      </w:pPr>
    </w:p>
    <w:p>
      <w:pPr>
        <w:widowControl w:val="0"/>
        <w:snapToGrid w:val="0"/>
        <w:jc w:val="left"/>
        <w:rPr>
          <w:rFonts w:asciiTheme="minorHAnsi" w:hAnsiTheme="minorHAnsi" w:eastAsiaTheme="minorEastAsia" w:cstheme="minorBidi"/>
          <w:color w:val="auto"/>
          <w:sz w:val="16"/>
          <w:szCs w:val="16"/>
          <w:highlight w:val="none"/>
          <w:lang w:val="en-US" w:eastAsia="en-US" w:bidi="ar-SA"/>
        </w:rPr>
      </w:pPr>
    </w:p>
    <w:p>
      <w:pPr>
        <w:widowControl w:val="0"/>
        <w:snapToGrid w:val="0"/>
        <w:jc w:val="left"/>
        <w:rPr>
          <w:rFonts w:asciiTheme="minorHAnsi" w:hAnsiTheme="minorHAnsi" w:eastAsiaTheme="minorEastAsia" w:cstheme="minorBidi"/>
          <w:color w:val="auto"/>
          <w:sz w:val="16"/>
          <w:szCs w:val="16"/>
          <w:highlight w:val="none"/>
          <w:lang w:val="en-US" w:eastAsia="en-US" w:bidi="ar-SA"/>
        </w:rPr>
      </w:pPr>
    </w:p>
    <w:p>
      <w:pPr>
        <w:widowControl w:val="0"/>
        <w:snapToGrid w:val="0"/>
        <w:jc w:val="left"/>
        <w:rPr>
          <w:rFonts w:asciiTheme="minorHAnsi" w:hAnsiTheme="minorHAnsi" w:eastAsiaTheme="minorEastAsia" w:cstheme="minorBidi"/>
          <w:color w:val="auto"/>
          <w:sz w:val="16"/>
          <w:szCs w:val="16"/>
          <w:highlight w:val="none"/>
          <w:lang w:val="en-US" w:eastAsia="en-US" w:bidi="ar-SA"/>
        </w:rPr>
      </w:pPr>
    </w:p>
    <w:p>
      <w:pPr>
        <w:widowControl w:val="0"/>
        <w:snapToGrid w:val="0"/>
        <w:jc w:val="left"/>
        <w:rPr>
          <w:rFonts w:asciiTheme="minorHAnsi" w:hAnsiTheme="minorHAnsi" w:eastAsiaTheme="minorEastAsia" w:cstheme="minorBidi"/>
          <w:color w:val="auto"/>
          <w:sz w:val="16"/>
          <w:szCs w:val="16"/>
          <w:highlight w:val="none"/>
          <w:lang w:val="en-US" w:eastAsia="en-US" w:bidi="ar-SA"/>
        </w:rPr>
      </w:pPr>
    </w:p>
    <w:p>
      <w:pPr>
        <w:widowControl w:val="0"/>
        <w:snapToGrid w:val="0"/>
        <w:jc w:val="left"/>
        <w:rPr>
          <w:rFonts w:asciiTheme="minorHAnsi" w:hAnsiTheme="minorHAnsi" w:eastAsiaTheme="minorEastAsia" w:cstheme="minorBidi"/>
          <w:color w:val="auto"/>
          <w:sz w:val="16"/>
          <w:szCs w:val="16"/>
          <w:highlight w:val="none"/>
          <w:lang w:val="en-US" w:eastAsia="en-US" w:bidi="ar-SA"/>
        </w:rPr>
      </w:pPr>
    </w:p>
    <w:p>
      <w:pPr>
        <w:widowControl w:val="0"/>
        <w:snapToGrid w:val="0"/>
        <w:jc w:val="left"/>
        <w:rPr>
          <w:rFonts w:asciiTheme="minorHAnsi" w:hAnsiTheme="minorHAnsi" w:eastAsiaTheme="minorEastAsia" w:cstheme="minorBidi"/>
          <w:color w:val="auto"/>
          <w:sz w:val="16"/>
          <w:szCs w:val="16"/>
          <w:highlight w:val="none"/>
          <w:lang w:val="en-US" w:eastAsia="en-US" w:bidi="ar-SA"/>
        </w:rPr>
      </w:pPr>
    </w:p>
    <w:p>
      <w:pPr>
        <w:widowControl w:val="0"/>
        <w:snapToGrid w:val="0"/>
        <w:jc w:val="left"/>
        <w:rPr>
          <w:rFonts w:asciiTheme="minorHAnsi" w:hAnsiTheme="minorHAnsi" w:eastAsiaTheme="minorEastAsia" w:cstheme="minorBidi"/>
          <w:color w:val="auto"/>
          <w:sz w:val="16"/>
          <w:szCs w:val="16"/>
          <w:highlight w:val="none"/>
          <w:lang w:val="en-US" w:eastAsia="en-US" w:bidi="ar-SA"/>
        </w:rPr>
      </w:pPr>
    </w:p>
    <w:p>
      <w:pPr>
        <w:widowControl w:val="0"/>
        <w:snapToGrid w:val="0"/>
        <w:jc w:val="left"/>
        <w:rPr>
          <w:rFonts w:asciiTheme="minorHAnsi" w:hAnsiTheme="minorHAnsi" w:eastAsiaTheme="minorEastAsia" w:cstheme="minorBidi"/>
          <w:color w:val="auto"/>
          <w:sz w:val="16"/>
          <w:szCs w:val="16"/>
          <w:highlight w:val="none"/>
          <w:lang w:val="en-US" w:eastAsia="en-US" w:bidi="ar-SA"/>
        </w:rPr>
      </w:pPr>
    </w:p>
    <w:p>
      <w:pPr>
        <w:widowControl w:val="0"/>
        <w:numPr>
          <w:ilvl w:val="0"/>
          <w:numId w:val="0"/>
        </w:numPr>
        <w:snapToGrid w:val="0"/>
        <w:jc w:val="left"/>
        <w:rPr>
          <w:rFonts w:hint="eastAsia" w:ascii="宋体" w:hAnsi="宋体" w:eastAsia="宋体" w:cs="宋体"/>
          <w:b w:val="0"/>
          <w:bCs w:val="0"/>
          <w:color w:val="0D0D0D"/>
          <w:sz w:val="22"/>
          <w:szCs w:val="22"/>
          <w:highlight w:val="none"/>
          <w:lang w:val="en-US" w:eastAsia="zh-CN" w:bidi="ar-SA"/>
        </w:rPr>
      </w:pPr>
    </w:p>
    <w:p>
      <w:pPr>
        <w:keepNext/>
        <w:keepLines/>
        <w:widowControl w:val="0"/>
        <w:spacing w:before="240" w:after="240" w:line="578" w:lineRule="auto"/>
        <w:jc w:val="both"/>
        <w:outlineLvl w:val="0"/>
        <w:rPr>
          <w:rFonts w:hint="eastAsia" w:ascii="宋体" w:hAnsi="宋体" w:eastAsia="黑体" w:cs="宋体"/>
          <w:b/>
          <w:bCs/>
          <w:color w:val="0D0D0D"/>
          <w:kern w:val="44"/>
          <w:sz w:val="32"/>
          <w:szCs w:val="32"/>
          <w:lang w:val="en-US" w:eastAsia="zh-CN" w:bidi="ar-SA"/>
        </w:rPr>
      </w:pPr>
      <w:r>
        <w:rPr>
          <w:rFonts w:hint="eastAsia" w:ascii="宋体" w:hAnsi="宋体" w:eastAsia="黑体" w:cs="宋体"/>
          <w:b/>
          <w:bCs/>
          <w:color w:val="0D0D0D"/>
          <w:kern w:val="44"/>
          <w:sz w:val="32"/>
          <w:szCs w:val="32"/>
          <w:lang w:val="en-US" w:eastAsia="zh-CN" w:bidi="ar-SA"/>
        </w:rPr>
        <w:t>附件七：永磁电机与感应电机效率、功率因数对比表</w:t>
      </w:r>
    </w:p>
    <w:tbl>
      <w:tblPr>
        <w:tblStyle w:val="11"/>
        <w:tblW w:w="8497" w:type="dxa"/>
        <w:tblInd w:w="93" w:type="dxa"/>
        <w:tblLayout w:type="autofit"/>
        <w:tblCellMar>
          <w:top w:w="0" w:type="dxa"/>
          <w:left w:w="108" w:type="dxa"/>
          <w:bottom w:w="0" w:type="dxa"/>
          <w:right w:w="108" w:type="dxa"/>
        </w:tblCellMar>
      </w:tblPr>
      <w:tblGrid>
        <w:gridCol w:w="1217"/>
        <w:gridCol w:w="1196"/>
        <w:gridCol w:w="1200"/>
        <w:gridCol w:w="1196"/>
        <w:gridCol w:w="1694"/>
        <w:gridCol w:w="1994"/>
      </w:tblGrid>
      <w:tr>
        <w:tblPrEx>
          <w:tblCellMar>
            <w:top w:w="0" w:type="dxa"/>
            <w:left w:w="108" w:type="dxa"/>
            <w:bottom w:w="0" w:type="dxa"/>
            <w:right w:w="108" w:type="dxa"/>
          </w:tblCellMar>
        </w:tblPrEx>
        <w:trPr>
          <w:trHeight w:val="404" w:hRule="atLeast"/>
        </w:trPr>
        <w:tc>
          <w:tcPr>
            <w:tcW w:w="121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 w:cs="Times New Roman"/>
                <w:color w:val="auto"/>
                <w:kern w:val="0"/>
                <w:sz w:val="22"/>
                <w:lang w:eastAsia="en-US"/>
              </w:rPr>
            </w:pPr>
            <w:r>
              <w:rPr>
                <w:rFonts w:hint="default" w:ascii="Times New Roman" w:hAnsi="Times New Roman" w:eastAsia="仿宋" w:cs="Times New Roman"/>
                <w:color w:val="auto"/>
                <w:kern w:val="0"/>
                <w:sz w:val="22"/>
                <w:lang w:eastAsia="zh-CN" w:bidi="ar"/>
              </w:rPr>
              <w:t>种类</w:t>
            </w:r>
          </w:p>
        </w:tc>
        <w:tc>
          <w:tcPr>
            <w:tcW w:w="11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 w:cs="Times New Roman"/>
                <w:color w:val="auto"/>
                <w:kern w:val="0"/>
                <w:sz w:val="24"/>
                <w:szCs w:val="24"/>
                <w:lang w:eastAsia="en-US"/>
              </w:rPr>
            </w:pPr>
            <w:r>
              <w:rPr>
                <w:rFonts w:hint="default" w:ascii="Times New Roman" w:hAnsi="Times New Roman" w:eastAsia="仿宋" w:cs="Times New Roman"/>
                <w:color w:val="auto"/>
                <w:kern w:val="0"/>
                <w:sz w:val="24"/>
                <w:szCs w:val="24"/>
                <w:lang w:eastAsia="zh-CN" w:bidi="ar"/>
              </w:rPr>
              <w:t>系列</w:t>
            </w:r>
          </w:p>
        </w:tc>
        <w:tc>
          <w:tcPr>
            <w:tcW w:w="12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 w:cs="Times New Roman"/>
                <w:color w:val="auto"/>
                <w:kern w:val="0"/>
                <w:sz w:val="24"/>
                <w:szCs w:val="24"/>
                <w:lang w:eastAsia="en-US"/>
              </w:rPr>
            </w:pPr>
            <w:r>
              <w:rPr>
                <w:rFonts w:hint="default" w:ascii="Times New Roman" w:hAnsi="Times New Roman" w:eastAsia="仿宋" w:cs="Times New Roman"/>
                <w:color w:val="auto"/>
                <w:kern w:val="0"/>
                <w:sz w:val="24"/>
                <w:szCs w:val="24"/>
                <w:lang w:eastAsia="zh-CN" w:bidi="ar"/>
              </w:rPr>
              <w:t>功率</w:t>
            </w:r>
          </w:p>
        </w:tc>
        <w:tc>
          <w:tcPr>
            <w:tcW w:w="11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 w:cs="Times New Roman"/>
                <w:color w:val="auto"/>
                <w:kern w:val="0"/>
                <w:sz w:val="22"/>
                <w:lang w:eastAsia="en-US"/>
              </w:rPr>
            </w:pPr>
            <w:r>
              <w:rPr>
                <w:rFonts w:hint="default" w:ascii="Times New Roman" w:hAnsi="Times New Roman" w:eastAsia="仿宋" w:cs="Times New Roman"/>
                <w:color w:val="auto"/>
                <w:kern w:val="0"/>
                <w:sz w:val="22"/>
                <w:lang w:eastAsia="zh-CN" w:bidi="ar"/>
              </w:rPr>
              <w:t>负载率</w:t>
            </w:r>
            <w:r>
              <w:rPr>
                <w:rFonts w:hint="default" w:ascii="Times New Roman" w:hAnsi="Times New Roman" w:eastAsia="仿宋" w:cs="Times New Roman"/>
                <w:color w:val="auto"/>
                <w:kern w:val="0"/>
                <w:sz w:val="21"/>
                <w:szCs w:val="21"/>
                <w:lang w:eastAsia="zh-CN" w:bidi="ar"/>
              </w:rPr>
              <w:t>%</w:t>
            </w:r>
          </w:p>
        </w:tc>
        <w:tc>
          <w:tcPr>
            <w:tcW w:w="16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 w:cs="Times New Roman"/>
                <w:color w:val="auto"/>
                <w:kern w:val="0"/>
                <w:sz w:val="22"/>
                <w:lang w:eastAsia="en-US"/>
              </w:rPr>
            </w:pPr>
            <w:r>
              <w:rPr>
                <w:rFonts w:hint="default" w:ascii="Times New Roman" w:hAnsi="Times New Roman" w:eastAsia="仿宋" w:cs="Times New Roman"/>
                <w:color w:val="auto"/>
                <w:kern w:val="0"/>
                <w:sz w:val="22"/>
                <w:lang w:eastAsia="zh-CN" w:bidi="ar"/>
              </w:rPr>
              <w:t xml:space="preserve">效率 </w:t>
            </w:r>
            <w:r>
              <w:rPr>
                <w:rFonts w:hint="default" w:ascii="Times New Roman" w:hAnsi="Times New Roman" w:eastAsia="仿宋" w:cs="Times New Roman"/>
                <w:color w:val="auto"/>
                <w:kern w:val="0"/>
                <w:sz w:val="21"/>
                <w:szCs w:val="21"/>
                <w:lang w:eastAsia="zh-CN" w:bidi="ar"/>
              </w:rPr>
              <w:t>Eff.</w:t>
            </w:r>
          </w:p>
        </w:tc>
        <w:tc>
          <w:tcPr>
            <w:tcW w:w="19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仿宋" w:cs="Times New Roman"/>
                <w:i/>
                <w:iCs/>
                <w:color w:val="auto"/>
                <w:kern w:val="0"/>
                <w:sz w:val="22"/>
                <w:lang w:eastAsia="en-US"/>
              </w:rPr>
            </w:pPr>
            <w:r>
              <w:rPr>
                <w:rFonts w:hint="default" w:ascii="Times New Roman" w:hAnsi="Times New Roman" w:eastAsia="仿宋" w:cs="Times New Roman"/>
                <w:i/>
                <w:iCs/>
                <w:color w:val="auto"/>
                <w:kern w:val="0"/>
                <w:sz w:val="22"/>
                <w:lang w:eastAsia="zh-CN" w:bidi="ar"/>
              </w:rPr>
              <w:t xml:space="preserve">功率因数 </w:t>
            </w:r>
            <w:r>
              <w:rPr>
                <w:rFonts w:hint="default" w:ascii="Times New Roman" w:hAnsi="Times New Roman" w:eastAsia="仿宋" w:cs="Times New Roman"/>
                <w:i/>
                <w:iCs/>
                <w:color w:val="auto"/>
                <w:kern w:val="0"/>
                <w:sz w:val="21"/>
                <w:szCs w:val="21"/>
                <w:lang w:eastAsia="zh-CN" w:bidi="ar"/>
              </w:rPr>
              <w:t>PF</w:t>
            </w:r>
          </w:p>
        </w:tc>
      </w:tr>
      <w:tr>
        <w:tblPrEx>
          <w:tblCellMar>
            <w:top w:w="0" w:type="dxa"/>
            <w:left w:w="108" w:type="dxa"/>
            <w:bottom w:w="0" w:type="dxa"/>
            <w:right w:w="108" w:type="dxa"/>
          </w:tblCellMar>
        </w:tblPrEx>
        <w:trPr>
          <w:trHeight w:val="288" w:hRule="atLeast"/>
        </w:trPr>
        <w:tc>
          <w:tcPr>
            <w:tcW w:w="1217" w:type="dxa"/>
            <w:vMerge w:val="restart"/>
            <w:tcBorders>
              <w:top w:val="single" w:color="000000" w:sz="4" w:space="0"/>
              <w:left w:val="single" w:color="000000" w:sz="4" w:space="0"/>
              <w:right w:val="single" w:color="000000" w:sz="4" w:space="0"/>
            </w:tcBorders>
            <w:noWrap/>
            <w:vAlign w:val="center"/>
          </w:tcPr>
          <w:p>
            <w:pPr>
              <w:widowControl/>
              <w:jc w:val="center"/>
              <w:textAlignment w:val="center"/>
              <w:rPr>
                <w:rFonts w:hint="default" w:ascii="Times New Roman" w:hAnsi="Times New Roman" w:eastAsia="仿宋" w:cs="Times New Roman"/>
                <w:color w:val="auto"/>
                <w:kern w:val="0"/>
                <w:sz w:val="22"/>
                <w:lang w:eastAsia="en-US"/>
              </w:rPr>
            </w:pPr>
            <w:r>
              <w:rPr>
                <w:rFonts w:hint="default" w:ascii="Times New Roman" w:hAnsi="Times New Roman" w:eastAsia="仿宋" w:cs="Times New Roman"/>
                <w:color w:val="auto"/>
                <w:kern w:val="0"/>
                <w:sz w:val="22"/>
                <w:lang w:eastAsia="zh-CN" w:bidi="ar"/>
              </w:rPr>
              <w:t>感应电机</w:t>
            </w:r>
          </w:p>
        </w:tc>
        <w:tc>
          <w:tcPr>
            <w:tcW w:w="1196" w:type="dxa"/>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default" w:ascii="Times New Roman" w:hAnsi="Times New Roman" w:eastAsia="仿宋" w:cs="Times New Roman"/>
                <w:color w:val="auto"/>
                <w:kern w:val="0"/>
                <w:sz w:val="24"/>
                <w:szCs w:val="24"/>
                <w:lang w:val="en-US" w:eastAsia="en-US"/>
              </w:rPr>
            </w:pPr>
            <w:r>
              <w:rPr>
                <w:rFonts w:hint="default" w:ascii="Times New Roman" w:hAnsi="Times New Roman" w:eastAsia="仿宋" w:cs="Times New Roman"/>
                <w:color w:val="auto"/>
                <w:kern w:val="0"/>
                <w:sz w:val="24"/>
                <w:szCs w:val="24"/>
                <w:lang w:eastAsia="zh-CN" w:bidi="ar"/>
              </w:rPr>
              <w:t>3</w:t>
            </w:r>
            <w:r>
              <w:rPr>
                <w:rFonts w:hint="eastAsia" w:ascii="Times New Roman" w:hAnsi="Times New Roman" w:eastAsia="仿宋" w:cs="Times New Roman"/>
                <w:color w:val="auto"/>
                <w:kern w:val="0"/>
                <w:sz w:val="24"/>
                <w:szCs w:val="24"/>
                <w:lang w:val="en-US" w:eastAsia="zh-CN" w:bidi="ar"/>
              </w:rPr>
              <w:t>75</w:t>
            </w:r>
          </w:p>
        </w:tc>
        <w:tc>
          <w:tcPr>
            <w:tcW w:w="1200" w:type="dxa"/>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default" w:ascii="Times New Roman" w:hAnsi="Times New Roman" w:eastAsia="仿宋" w:cs="Times New Roman"/>
                <w:color w:val="auto"/>
                <w:kern w:val="0"/>
                <w:sz w:val="24"/>
                <w:szCs w:val="24"/>
                <w:lang w:eastAsia="en-US"/>
              </w:rPr>
            </w:pPr>
            <w:r>
              <w:rPr>
                <w:rFonts w:hint="eastAsia" w:ascii="Times New Roman" w:hAnsi="Times New Roman" w:eastAsia="仿宋" w:cs="Times New Roman"/>
                <w:color w:val="auto"/>
                <w:kern w:val="0"/>
                <w:sz w:val="24"/>
                <w:szCs w:val="24"/>
                <w:lang w:val="en-US" w:eastAsia="zh-CN" w:bidi="ar"/>
              </w:rPr>
              <w:t>140</w:t>
            </w:r>
            <w:r>
              <w:rPr>
                <w:rFonts w:hint="default" w:ascii="Times New Roman" w:hAnsi="Times New Roman" w:eastAsia="仿宋" w:cs="Times New Roman"/>
                <w:color w:val="auto"/>
                <w:kern w:val="0"/>
                <w:sz w:val="24"/>
                <w:szCs w:val="24"/>
                <w:lang w:eastAsia="zh-CN" w:bidi="ar"/>
              </w:rPr>
              <w:t>HP</w:t>
            </w:r>
          </w:p>
        </w:tc>
        <w:tc>
          <w:tcPr>
            <w:tcW w:w="1196" w:type="dxa"/>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default" w:ascii="Times New Roman" w:hAnsi="Times New Roman" w:eastAsia="仿宋" w:cs="Times New Roman"/>
                <w:color w:val="auto"/>
                <w:kern w:val="0"/>
                <w:sz w:val="24"/>
                <w:szCs w:val="24"/>
                <w:lang w:eastAsia="en-US"/>
              </w:rPr>
            </w:pPr>
            <w:r>
              <w:rPr>
                <w:rFonts w:hint="default" w:ascii="Times New Roman" w:hAnsi="Times New Roman" w:eastAsia="仿宋" w:cs="Times New Roman"/>
                <w:color w:val="auto"/>
                <w:kern w:val="0"/>
                <w:sz w:val="24"/>
                <w:szCs w:val="24"/>
                <w:lang w:eastAsia="zh-CN" w:bidi="ar"/>
              </w:rPr>
              <w:t>80</w:t>
            </w:r>
          </w:p>
        </w:tc>
        <w:tc>
          <w:tcPr>
            <w:tcW w:w="1694" w:type="dxa"/>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default" w:ascii="Times New Roman" w:hAnsi="Times New Roman" w:eastAsia="仿宋" w:cs="Times New Roman"/>
                <w:color w:val="auto"/>
                <w:kern w:val="0"/>
                <w:sz w:val="24"/>
                <w:szCs w:val="24"/>
                <w:lang w:eastAsia="en-US"/>
              </w:rPr>
            </w:pPr>
            <w:r>
              <w:rPr>
                <w:rFonts w:hint="default" w:ascii="Times New Roman" w:hAnsi="Times New Roman" w:eastAsia="宋体" w:cs="Times New Roman"/>
                <w:color w:val="auto"/>
                <w:kern w:val="0"/>
                <w:sz w:val="22"/>
                <w:lang w:eastAsia="zh-CN"/>
              </w:rPr>
              <w:t>***</w:t>
            </w:r>
          </w:p>
        </w:tc>
        <w:tc>
          <w:tcPr>
            <w:tcW w:w="1994" w:type="dxa"/>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default" w:ascii="Times New Roman" w:hAnsi="Times New Roman" w:eastAsia="仿宋" w:cs="Times New Roman"/>
                <w:color w:val="auto"/>
                <w:kern w:val="0"/>
                <w:sz w:val="24"/>
                <w:szCs w:val="24"/>
                <w:lang w:eastAsia="en-US"/>
              </w:rPr>
            </w:pPr>
            <w:r>
              <w:rPr>
                <w:rFonts w:hint="default" w:ascii="Times New Roman" w:hAnsi="Times New Roman" w:eastAsia="宋体" w:cs="Times New Roman"/>
                <w:color w:val="auto"/>
                <w:kern w:val="0"/>
                <w:sz w:val="22"/>
                <w:lang w:eastAsia="zh-CN"/>
              </w:rPr>
              <w:t>***</w:t>
            </w:r>
          </w:p>
        </w:tc>
      </w:tr>
      <w:tr>
        <w:tblPrEx>
          <w:tblCellMar>
            <w:top w:w="0" w:type="dxa"/>
            <w:left w:w="108" w:type="dxa"/>
            <w:bottom w:w="0" w:type="dxa"/>
            <w:right w:w="108" w:type="dxa"/>
          </w:tblCellMar>
        </w:tblPrEx>
        <w:trPr>
          <w:trHeight w:val="288" w:hRule="atLeast"/>
        </w:trPr>
        <w:tc>
          <w:tcPr>
            <w:tcW w:w="1217" w:type="dxa"/>
            <w:vMerge w:val="continue"/>
            <w:tcBorders>
              <w:left w:val="single" w:color="000000" w:sz="4" w:space="0"/>
              <w:right w:val="single" w:color="000000" w:sz="4" w:space="0"/>
            </w:tcBorders>
            <w:noWrap/>
            <w:vAlign w:val="center"/>
          </w:tcPr>
          <w:p>
            <w:pPr>
              <w:jc w:val="center"/>
              <w:rPr>
                <w:rFonts w:hint="default" w:ascii="Times New Roman" w:hAnsi="Times New Roman" w:eastAsia="仿宋" w:cs="Times New Roman"/>
                <w:color w:val="auto"/>
                <w:kern w:val="0"/>
                <w:sz w:val="22"/>
                <w:lang w:eastAsia="en-US"/>
              </w:rPr>
            </w:pPr>
          </w:p>
        </w:tc>
        <w:tc>
          <w:tcPr>
            <w:tcW w:w="1196" w:type="dxa"/>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default" w:ascii="Times New Roman" w:hAnsi="Times New Roman" w:eastAsia="仿宋" w:cs="Times New Roman"/>
                <w:color w:val="auto"/>
                <w:kern w:val="0"/>
                <w:sz w:val="24"/>
                <w:szCs w:val="24"/>
                <w:lang w:eastAsia="en-US"/>
              </w:rPr>
            </w:pPr>
            <w:r>
              <w:rPr>
                <w:rFonts w:hint="default" w:ascii="Times New Roman" w:hAnsi="Times New Roman" w:eastAsia="仿宋" w:cs="Times New Roman"/>
                <w:color w:val="auto"/>
                <w:kern w:val="0"/>
                <w:sz w:val="24"/>
                <w:szCs w:val="24"/>
                <w:lang w:eastAsia="zh-CN" w:bidi="ar"/>
              </w:rPr>
              <w:t>456</w:t>
            </w:r>
          </w:p>
        </w:tc>
        <w:tc>
          <w:tcPr>
            <w:tcW w:w="1200" w:type="dxa"/>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default" w:ascii="Times New Roman" w:hAnsi="Times New Roman" w:eastAsia="仿宋" w:cs="Times New Roman"/>
                <w:color w:val="auto"/>
                <w:kern w:val="0"/>
                <w:sz w:val="24"/>
                <w:szCs w:val="24"/>
                <w:lang w:eastAsia="en-US"/>
              </w:rPr>
            </w:pPr>
            <w:r>
              <w:rPr>
                <w:rFonts w:hint="eastAsia" w:ascii="Times New Roman" w:hAnsi="Times New Roman" w:eastAsia="仿宋" w:cs="Times New Roman"/>
                <w:color w:val="auto"/>
                <w:kern w:val="0"/>
                <w:sz w:val="24"/>
                <w:szCs w:val="24"/>
                <w:lang w:val="en-US" w:eastAsia="zh-CN" w:bidi="ar"/>
              </w:rPr>
              <w:t>200</w:t>
            </w:r>
            <w:r>
              <w:rPr>
                <w:rFonts w:hint="default" w:ascii="Times New Roman" w:hAnsi="Times New Roman" w:eastAsia="仿宋" w:cs="Times New Roman"/>
                <w:color w:val="auto"/>
                <w:kern w:val="0"/>
                <w:sz w:val="24"/>
                <w:szCs w:val="24"/>
                <w:lang w:eastAsia="zh-CN" w:bidi="ar"/>
              </w:rPr>
              <w:t>HP</w:t>
            </w:r>
          </w:p>
        </w:tc>
        <w:tc>
          <w:tcPr>
            <w:tcW w:w="1196" w:type="dxa"/>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default" w:ascii="Times New Roman" w:hAnsi="Times New Roman" w:eastAsia="仿宋" w:cs="Times New Roman"/>
                <w:color w:val="auto"/>
                <w:kern w:val="0"/>
                <w:sz w:val="24"/>
                <w:szCs w:val="24"/>
                <w:lang w:eastAsia="en-US"/>
              </w:rPr>
            </w:pPr>
            <w:r>
              <w:rPr>
                <w:rFonts w:hint="default" w:ascii="Times New Roman" w:hAnsi="Times New Roman" w:eastAsia="仿宋" w:cs="Times New Roman"/>
                <w:color w:val="auto"/>
                <w:kern w:val="0"/>
                <w:sz w:val="24"/>
                <w:szCs w:val="24"/>
                <w:lang w:eastAsia="zh-CN" w:bidi="ar"/>
              </w:rPr>
              <w:t>80</w:t>
            </w:r>
          </w:p>
        </w:tc>
        <w:tc>
          <w:tcPr>
            <w:tcW w:w="1694" w:type="dxa"/>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default" w:ascii="Times New Roman" w:hAnsi="Times New Roman" w:eastAsia="仿宋" w:cs="Times New Roman"/>
                <w:color w:val="auto"/>
                <w:kern w:val="0"/>
                <w:sz w:val="24"/>
                <w:szCs w:val="24"/>
                <w:lang w:eastAsia="en-US"/>
              </w:rPr>
            </w:pPr>
            <w:r>
              <w:rPr>
                <w:rFonts w:hint="default" w:ascii="Times New Roman" w:hAnsi="Times New Roman" w:eastAsia="宋体" w:cs="Times New Roman"/>
                <w:color w:val="auto"/>
                <w:kern w:val="0"/>
                <w:sz w:val="22"/>
                <w:lang w:eastAsia="zh-CN"/>
              </w:rPr>
              <w:t>***</w:t>
            </w:r>
          </w:p>
        </w:tc>
        <w:tc>
          <w:tcPr>
            <w:tcW w:w="1994" w:type="dxa"/>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default" w:ascii="Times New Roman" w:hAnsi="Times New Roman" w:eastAsia="仿宋" w:cs="Times New Roman"/>
                <w:color w:val="auto"/>
                <w:kern w:val="0"/>
                <w:sz w:val="24"/>
                <w:szCs w:val="24"/>
                <w:lang w:eastAsia="en-US"/>
              </w:rPr>
            </w:pPr>
            <w:r>
              <w:rPr>
                <w:rFonts w:hint="default" w:ascii="Times New Roman" w:hAnsi="Times New Roman" w:eastAsia="宋体" w:cs="Times New Roman"/>
                <w:color w:val="auto"/>
                <w:kern w:val="0"/>
                <w:sz w:val="22"/>
                <w:lang w:eastAsia="zh-CN"/>
              </w:rPr>
              <w:t>***</w:t>
            </w:r>
          </w:p>
        </w:tc>
      </w:tr>
      <w:tr>
        <w:tblPrEx>
          <w:tblCellMar>
            <w:top w:w="0" w:type="dxa"/>
            <w:left w:w="108" w:type="dxa"/>
            <w:bottom w:w="0" w:type="dxa"/>
            <w:right w:w="108" w:type="dxa"/>
          </w:tblCellMar>
        </w:tblPrEx>
        <w:trPr>
          <w:trHeight w:val="288" w:hRule="atLeast"/>
        </w:trPr>
        <w:tc>
          <w:tcPr>
            <w:tcW w:w="1217" w:type="dxa"/>
            <w:vMerge w:val="continue"/>
            <w:tcBorders>
              <w:left w:val="single" w:color="000000" w:sz="4" w:space="0"/>
              <w:right w:val="single" w:color="000000" w:sz="4" w:space="0"/>
            </w:tcBorders>
            <w:noWrap/>
            <w:vAlign w:val="center"/>
          </w:tcPr>
          <w:p>
            <w:pPr>
              <w:jc w:val="center"/>
              <w:rPr>
                <w:rFonts w:hint="default" w:ascii="Times New Roman" w:hAnsi="Times New Roman" w:eastAsia="仿宋" w:cs="Times New Roman"/>
                <w:color w:val="auto"/>
                <w:kern w:val="0"/>
                <w:sz w:val="22"/>
                <w:lang w:eastAsia="en-US"/>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 w:cs="Times New Roman"/>
                <w:color w:val="auto"/>
                <w:kern w:val="0"/>
                <w:sz w:val="22"/>
                <w:lang w:eastAsia="en-US"/>
              </w:rPr>
            </w:pPr>
            <w:r>
              <w:rPr>
                <w:rFonts w:hint="default" w:ascii="Times New Roman" w:hAnsi="Times New Roman" w:eastAsia="仿宋" w:cs="Times New Roman"/>
                <w:color w:val="auto"/>
                <w:kern w:val="0"/>
                <w:sz w:val="22"/>
                <w:lang w:eastAsia="zh-CN" w:bidi="ar"/>
              </w:rPr>
              <w:t>562</w:t>
            </w:r>
          </w:p>
        </w:tc>
        <w:tc>
          <w:tcPr>
            <w:tcW w:w="1200" w:type="dxa"/>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default" w:ascii="Times New Roman" w:hAnsi="Times New Roman" w:eastAsia="仿宋" w:cs="Times New Roman"/>
                <w:color w:val="auto"/>
                <w:kern w:val="0"/>
                <w:sz w:val="24"/>
                <w:szCs w:val="24"/>
                <w:lang w:eastAsia="en-US"/>
              </w:rPr>
            </w:pPr>
            <w:r>
              <w:rPr>
                <w:rFonts w:hint="eastAsia" w:ascii="Times New Roman" w:hAnsi="Times New Roman" w:eastAsia="仿宋" w:cs="Times New Roman"/>
                <w:color w:val="auto"/>
                <w:kern w:val="0"/>
                <w:sz w:val="24"/>
                <w:szCs w:val="24"/>
                <w:lang w:val="en-US" w:eastAsia="zh-CN" w:bidi="ar"/>
              </w:rPr>
              <w:t>440</w:t>
            </w:r>
            <w:r>
              <w:rPr>
                <w:rFonts w:hint="default" w:ascii="Times New Roman" w:hAnsi="Times New Roman" w:eastAsia="仿宋" w:cs="Times New Roman"/>
                <w:color w:val="auto"/>
                <w:kern w:val="0"/>
                <w:sz w:val="24"/>
                <w:szCs w:val="24"/>
                <w:lang w:eastAsia="zh-CN" w:bidi="ar"/>
              </w:rPr>
              <w:t>hp</w:t>
            </w:r>
          </w:p>
        </w:tc>
        <w:tc>
          <w:tcPr>
            <w:tcW w:w="1196" w:type="dxa"/>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default" w:ascii="Times New Roman" w:hAnsi="Times New Roman" w:eastAsia="仿宋" w:cs="Times New Roman"/>
                <w:color w:val="auto"/>
                <w:kern w:val="0"/>
                <w:sz w:val="24"/>
                <w:szCs w:val="24"/>
                <w:lang w:eastAsia="en-US"/>
              </w:rPr>
            </w:pPr>
            <w:r>
              <w:rPr>
                <w:rFonts w:hint="default" w:ascii="Times New Roman" w:hAnsi="Times New Roman" w:eastAsia="仿宋" w:cs="Times New Roman"/>
                <w:color w:val="auto"/>
                <w:kern w:val="0"/>
                <w:sz w:val="24"/>
                <w:szCs w:val="24"/>
                <w:lang w:eastAsia="zh-CN" w:bidi="ar"/>
              </w:rPr>
              <w:t>80</w:t>
            </w:r>
          </w:p>
        </w:tc>
        <w:tc>
          <w:tcPr>
            <w:tcW w:w="1694" w:type="dxa"/>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default" w:ascii="Times New Roman" w:hAnsi="Times New Roman" w:eastAsia="仿宋" w:cs="Times New Roman"/>
                <w:color w:val="auto"/>
                <w:kern w:val="0"/>
                <w:sz w:val="24"/>
                <w:szCs w:val="24"/>
                <w:lang w:eastAsia="en-US"/>
              </w:rPr>
            </w:pPr>
            <w:r>
              <w:rPr>
                <w:rFonts w:hint="default" w:ascii="Times New Roman" w:hAnsi="Times New Roman" w:eastAsia="宋体" w:cs="Times New Roman"/>
                <w:color w:val="auto"/>
                <w:kern w:val="0"/>
                <w:sz w:val="22"/>
                <w:lang w:eastAsia="zh-CN"/>
              </w:rPr>
              <w:t>***</w:t>
            </w:r>
          </w:p>
        </w:tc>
        <w:tc>
          <w:tcPr>
            <w:tcW w:w="1994" w:type="dxa"/>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default" w:ascii="Times New Roman" w:hAnsi="Times New Roman" w:eastAsia="仿宋" w:cs="Times New Roman"/>
                <w:color w:val="auto"/>
                <w:kern w:val="0"/>
                <w:sz w:val="24"/>
                <w:szCs w:val="24"/>
                <w:lang w:eastAsia="en-US"/>
              </w:rPr>
            </w:pPr>
            <w:r>
              <w:rPr>
                <w:rFonts w:hint="default" w:ascii="Times New Roman" w:hAnsi="Times New Roman" w:eastAsia="宋体" w:cs="Times New Roman"/>
                <w:color w:val="auto"/>
                <w:kern w:val="0"/>
                <w:sz w:val="22"/>
                <w:lang w:eastAsia="zh-CN"/>
              </w:rPr>
              <w:t>***</w:t>
            </w:r>
          </w:p>
        </w:tc>
      </w:tr>
      <w:tr>
        <w:tblPrEx>
          <w:tblCellMar>
            <w:top w:w="0" w:type="dxa"/>
            <w:left w:w="108" w:type="dxa"/>
            <w:bottom w:w="0" w:type="dxa"/>
            <w:right w:w="108" w:type="dxa"/>
          </w:tblCellMar>
        </w:tblPrEx>
        <w:trPr>
          <w:trHeight w:val="288" w:hRule="atLeast"/>
        </w:trPr>
        <w:tc>
          <w:tcPr>
            <w:tcW w:w="1217" w:type="dxa"/>
            <w:vMerge w:val="continue"/>
            <w:tcBorders>
              <w:left w:val="single" w:color="000000" w:sz="4" w:space="0"/>
              <w:right w:val="single" w:color="000000" w:sz="4" w:space="0"/>
            </w:tcBorders>
            <w:noWrap/>
            <w:vAlign w:val="center"/>
          </w:tcPr>
          <w:p>
            <w:pPr>
              <w:jc w:val="center"/>
              <w:rPr>
                <w:rFonts w:hint="default" w:ascii="Times New Roman" w:hAnsi="Times New Roman" w:eastAsia="仿宋" w:cs="Times New Roman"/>
                <w:color w:val="auto"/>
                <w:kern w:val="0"/>
                <w:sz w:val="22"/>
                <w:lang w:eastAsia="en-US"/>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仿宋" w:cs="Times New Roman"/>
                <w:color w:val="auto"/>
                <w:kern w:val="0"/>
                <w:sz w:val="24"/>
                <w:szCs w:val="24"/>
                <w:lang w:val="en-US" w:eastAsia="zh-CN" w:bidi="ar-SA"/>
              </w:rPr>
            </w:pPr>
            <w:r>
              <w:rPr>
                <w:rFonts w:hint="default" w:ascii="Times New Roman" w:hAnsi="Times New Roman" w:eastAsia="仿宋" w:cs="Times New Roman"/>
                <w:color w:val="auto"/>
                <w:kern w:val="0"/>
                <w:sz w:val="24"/>
                <w:szCs w:val="24"/>
                <w:lang w:eastAsia="zh-CN" w:bidi="ar"/>
              </w:rPr>
              <w:t>3</w:t>
            </w:r>
            <w:r>
              <w:rPr>
                <w:rFonts w:hint="eastAsia" w:ascii="Times New Roman" w:hAnsi="Times New Roman" w:eastAsia="仿宋" w:cs="Times New Roman"/>
                <w:color w:val="auto"/>
                <w:kern w:val="0"/>
                <w:sz w:val="24"/>
                <w:szCs w:val="24"/>
                <w:lang w:val="en-US" w:eastAsia="zh-CN" w:bidi="ar"/>
              </w:rPr>
              <w:t>75</w:t>
            </w:r>
          </w:p>
        </w:tc>
        <w:tc>
          <w:tcPr>
            <w:tcW w:w="1200" w:type="dxa"/>
            <w:tcBorders>
              <w:top w:val="single" w:color="000000" w:sz="4" w:space="0"/>
              <w:left w:val="single" w:color="000000" w:sz="4" w:space="0"/>
              <w:bottom w:val="single" w:color="000000" w:sz="4" w:space="0"/>
              <w:right w:val="single" w:color="000000" w:sz="4" w:space="0"/>
            </w:tcBorders>
            <w:vAlign w:val="top"/>
          </w:tcPr>
          <w:p>
            <w:pPr>
              <w:widowControl/>
              <w:jc w:val="center"/>
              <w:textAlignment w:val="top"/>
              <w:rPr>
                <w:rFonts w:hint="default" w:ascii="Times New Roman" w:hAnsi="Times New Roman" w:eastAsia="仿宋" w:cs="Times New Roman"/>
                <w:color w:val="auto"/>
                <w:kern w:val="0"/>
                <w:sz w:val="24"/>
                <w:szCs w:val="24"/>
                <w:lang w:eastAsia="zh-CN" w:bidi="ar"/>
              </w:rPr>
            </w:pPr>
            <w:r>
              <w:rPr>
                <w:rFonts w:hint="default" w:ascii="Times New Roman" w:hAnsi="Times New Roman" w:eastAsia="宋体" w:cs="Times New Roman"/>
                <w:color w:val="auto"/>
                <w:kern w:val="0"/>
                <w:sz w:val="22"/>
                <w:lang w:eastAsia="zh-CN"/>
              </w:rPr>
              <w:t>***</w:t>
            </w:r>
          </w:p>
        </w:tc>
        <w:tc>
          <w:tcPr>
            <w:tcW w:w="1196" w:type="dxa"/>
            <w:tcBorders>
              <w:top w:val="single" w:color="000000" w:sz="4" w:space="0"/>
              <w:left w:val="single" w:color="000000" w:sz="4" w:space="0"/>
              <w:bottom w:val="single" w:color="000000" w:sz="4" w:space="0"/>
              <w:right w:val="single" w:color="000000" w:sz="4" w:space="0"/>
            </w:tcBorders>
            <w:vAlign w:val="top"/>
          </w:tcPr>
          <w:p>
            <w:pPr>
              <w:widowControl/>
              <w:jc w:val="center"/>
              <w:textAlignment w:val="top"/>
              <w:rPr>
                <w:rFonts w:hint="default" w:ascii="Times New Roman" w:hAnsi="Times New Roman" w:eastAsia="仿宋" w:cs="Times New Roman"/>
                <w:color w:val="auto"/>
                <w:kern w:val="0"/>
                <w:sz w:val="24"/>
                <w:szCs w:val="24"/>
                <w:lang w:eastAsia="zh-CN" w:bidi="ar"/>
              </w:rPr>
            </w:pPr>
            <w:r>
              <w:rPr>
                <w:rFonts w:hint="default" w:ascii="Times New Roman" w:hAnsi="Times New Roman" w:eastAsia="仿宋" w:cs="Times New Roman"/>
                <w:color w:val="auto"/>
                <w:kern w:val="0"/>
                <w:sz w:val="24"/>
                <w:szCs w:val="24"/>
                <w:lang w:eastAsia="zh-CN" w:bidi="ar"/>
              </w:rPr>
              <w:t>80</w:t>
            </w:r>
          </w:p>
        </w:tc>
        <w:tc>
          <w:tcPr>
            <w:tcW w:w="1694" w:type="dxa"/>
            <w:tcBorders>
              <w:top w:val="single" w:color="000000" w:sz="4" w:space="0"/>
              <w:left w:val="single" w:color="000000" w:sz="4" w:space="0"/>
              <w:bottom w:val="single" w:color="000000" w:sz="4" w:space="0"/>
              <w:right w:val="single" w:color="000000" w:sz="4" w:space="0"/>
            </w:tcBorders>
            <w:vAlign w:val="top"/>
          </w:tcPr>
          <w:p>
            <w:pPr>
              <w:widowControl/>
              <w:jc w:val="center"/>
              <w:textAlignment w:val="top"/>
              <w:rPr>
                <w:rFonts w:hint="default" w:ascii="Times New Roman" w:hAnsi="Times New Roman" w:eastAsia="宋体" w:cs="Times New Roman"/>
                <w:color w:val="auto"/>
                <w:kern w:val="0"/>
                <w:sz w:val="22"/>
                <w:lang w:eastAsia="zh-CN"/>
              </w:rPr>
            </w:pPr>
            <w:r>
              <w:rPr>
                <w:rFonts w:hint="default" w:ascii="Times New Roman" w:hAnsi="Times New Roman" w:eastAsia="宋体" w:cs="Times New Roman"/>
                <w:color w:val="auto"/>
                <w:kern w:val="0"/>
                <w:sz w:val="22"/>
                <w:lang w:eastAsia="zh-CN"/>
              </w:rPr>
              <w:t>***</w:t>
            </w:r>
          </w:p>
        </w:tc>
        <w:tc>
          <w:tcPr>
            <w:tcW w:w="1994" w:type="dxa"/>
            <w:tcBorders>
              <w:top w:val="single" w:color="000000" w:sz="4" w:space="0"/>
              <w:left w:val="single" w:color="000000" w:sz="4" w:space="0"/>
              <w:bottom w:val="single" w:color="000000" w:sz="4" w:space="0"/>
              <w:right w:val="single" w:color="000000" w:sz="4" w:space="0"/>
            </w:tcBorders>
            <w:vAlign w:val="top"/>
          </w:tcPr>
          <w:p>
            <w:pPr>
              <w:widowControl/>
              <w:jc w:val="center"/>
              <w:textAlignment w:val="top"/>
              <w:rPr>
                <w:rFonts w:hint="default" w:ascii="Times New Roman" w:hAnsi="Times New Roman" w:eastAsia="宋体" w:cs="Times New Roman"/>
                <w:color w:val="auto"/>
                <w:kern w:val="0"/>
                <w:sz w:val="22"/>
                <w:lang w:eastAsia="zh-CN"/>
              </w:rPr>
            </w:pPr>
            <w:r>
              <w:rPr>
                <w:rFonts w:hint="default" w:ascii="Times New Roman" w:hAnsi="Times New Roman" w:eastAsia="宋体" w:cs="Times New Roman"/>
                <w:color w:val="auto"/>
                <w:kern w:val="0"/>
                <w:sz w:val="22"/>
                <w:lang w:eastAsia="zh-CN"/>
              </w:rPr>
              <w:t>***</w:t>
            </w:r>
          </w:p>
        </w:tc>
      </w:tr>
      <w:tr>
        <w:tblPrEx>
          <w:tblCellMar>
            <w:top w:w="0" w:type="dxa"/>
            <w:left w:w="108" w:type="dxa"/>
            <w:bottom w:w="0" w:type="dxa"/>
            <w:right w:w="108" w:type="dxa"/>
          </w:tblCellMar>
        </w:tblPrEx>
        <w:trPr>
          <w:trHeight w:val="288" w:hRule="atLeast"/>
        </w:trPr>
        <w:tc>
          <w:tcPr>
            <w:tcW w:w="1217" w:type="dxa"/>
            <w:vMerge w:val="continue"/>
            <w:tcBorders>
              <w:left w:val="single" w:color="000000" w:sz="4" w:space="0"/>
              <w:right w:val="single" w:color="000000" w:sz="4" w:space="0"/>
            </w:tcBorders>
            <w:noWrap/>
            <w:vAlign w:val="center"/>
          </w:tcPr>
          <w:p>
            <w:pPr>
              <w:jc w:val="center"/>
              <w:rPr>
                <w:rFonts w:hint="default" w:ascii="Times New Roman" w:hAnsi="Times New Roman" w:eastAsia="仿宋" w:cs="Times New Roman"/>
                <w:color w:val="auto"/>
                <w:kern w:val="0"/>
                <w:sz w:val="22"/>
                <w:lang w:eastAsia="en-US"/>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仿宋" w:cs="Times New Roman"/>
                <w:color w:val="auto"/>
                <w:kern w:val="0"/>
                <w:sz w:val="24"/>
                <w:szCs w:val="24"/>
                <w:lang w:val="en-US" w:eastAsia="zh-CN" w:bidi="ar-SA"/>
              </w:rPr>
            </w:pPr>
            <w:r>
              <w:rPr>
                <w:rFonts w:hint="default" w:ascii="Times New Roman" w:hAnsi="Times New Roman" w:eastAsia="仿宋" w:cs="Times New Roman"/>
                <w:color w:val="auto"/>
                <w:kern w:val="0"/>
                <w:sz w:val="24"/>
                <w:szCs w:val="24"/>
                <w:lang w:eastAsia="zh-CN" w:bidi="ar"/>
              </w:rPr>
              <w:t>456</w:t>
            </w:r>
          </w:p>
        </w:tc>
        <w:tc>
          <w:tcPr>
            <w:tcW w:w="1200" w:type="dxa"/>
            <w:tcBorders>
              <w:top w:val="single" w:color="000000" w:sz="4" w:space="0"/>
              <w:left w:val="single" w:color="000000" w:sz="4" w:space="0"/>
              <w:bottom w:val="single" w:color="000000" w:sz="4" w:space="0"/>
              <w:right w:val="single" w:color="000000" w:sz="4" w:space="0"/>
            </w:tcBorders>
            <w:vAlign w:val="top"/>
          </w:tcPr>
          <w:p>
            <w:pPr>
              <w:widowControl/>
              <w:jc w:val="center"/>
              <w:textAlignment w:val="top"/>
              <w:rPr>
                <w:rFonts w:hint="default" w:ascii="Times New Roman" w:hAnsi="Times New Roman" w:eastAsia="仿宋" w:cs="Times New Roman"/>
                <w:color w:val="auto"/>
                <w:kern w:val="0"/>
                <w:sz w:val="24"/>
                <w:szCs w:val="24"/>
                <w:lang w:eastAsia="zh-CN" w:bidi="ar"/>
              </w:rPr>
            </w:pPr>
            <w:r>
              <w:rPr>
                <w:rFonts w:hint="default" w:ascii="Times New Roman" w:hAnsi="Times New Roman" w:eastAsia="宋体" w:cs="Times New Roman"/>
                <w:color w:val="auto"/>
                <w:kern w:val="0"/>
                <w:sz w:val="22"/>
                <w:lang w:eastAsia="zh-CN"/>
              </w:rPr>
              <w:t>***</w:t>
            </w:r>
          </w:p>
        </w:tc>
        <w:tc>
          <w:tcPr>
            <w:tcW w:w="1196" w:type="dxa"/>
            <w:tcBorders>
              <w:top w:val="single" w:color="000000" w:sz="4" w:space="0"/>
              <w:left w:val="single" w:color="000000" w:sz="4" w:space="0"/>
              <w:bottom w:val="single" w:color="000000" w:sz="4" w:space="0"/>
              <w:right w:val="single" w:color="000000" w:sz="4" w:space="0"/>
            </w:tcBorders>
            <w:vAlign w:val="top"/>
          </w:tcPr>
          <w:p>
            <w:pPr>
              <w:widowControl/>
              <w:jc w:val="center"/>
              <w:textAlignment w:val="top"/>
              <w:rPr>
                <w:rFonts w:hint="default" w:ascii="Times New Roman" w:hAnsi="Times New Roman" w:eastAsia="仿宋" w:cs="Times New Roman"/>
                <w:color w:val="auto"/>
                <w:kern w:val="0"/>
                <w:sz w:val="24"/>
                <w:szCs w:val="24"/>
                <w:lang w:eastAsia="zh-CN" w:bidi="ar"/>
              </w:rPr>
            </w:pPr>
            <w:r>
              <w:rPr>
                <w:rFonts w:hint="default" w:ascii="Times New Roman" w:hAnsi="Times New Roman" w:eastAsia="仿宋" w:cs="Times New Roman"/>
                <w:color w:val="auto"/>
                <w:kern w:val="0"/>
                <w:sz w:val="24"/>
                <w:szCs w:val="24"/>
                <w:lang w:eastAsia="zh-CN" w:bidi="ar"/>
              </w:rPr>
              <w:t>80</w:t>
            </w:r>
          </w:p>
        </w:tc>
        <w:tc>
          <w:tcPr>
            <w:tcW w:w="1694" w:type="dxa"/>
            <w:tcBorders>
              <w:top w:val="single" w:color="000000" w:sz="4" w:space="0"/>
              <w:left w:val="single" w:color="000000" w:sz="4" w:space="0"/>
              <w:bottom w:val="single" w:color="000000" w:sz="4" w:space="0"/>
              <w:right w:val="single" w:color="000000" w:sz="4" w:space="0"/>
            </w:tcBorders>
            <w:vAlign w:val="top"/>
          </w:tcPr>
          <w:p>
            <w:pPr>
              <w:widowControl/>
              <w:jc w:val="center"/>
              <w:textAlignment w:val="top"/>
              <w:rPr>
                <w:rFonts w:hint="default" w:ascii="Times New Roman" w:hAnsi="Times New Roman" w:eastAsia="宋体" w:cs="Times New Roman"/>
                <w:color w:val="auto"/>
                <w:kern w:val="0"/>
                <w:sz w:val="22"/>
                <w:lang w:eastAsia="zh-CN"/>
              </w:rPr>
            </w:pPr>
            <w:r>
              <w:rPr>
                <w:rFonts w:hint="default" w:ascii="Times New Roman" w:hAnsi="Times New Roman" w:eastAsia="宋体" w:cs="Times New Roman"/>
                <w:color w:val="auto"/>
                <w:kern w:val="0"/>
                <w:sz w:val="22"/>
                <w:lang w:eastAsia="zh-CN"/>
              </w:rPr>
              <w:t>***</w:t>
            </w:r>
          </w:p>
        </w:tc>
        <w:tc>
          <w:tcPr>
            <w:tcW w:w="1994" w:type="dxa"/>
            <w:tcBorders>
              <w:top w:val="single" w:color="000000" w:sz="4" w:space="0"/>
              <w:left w:val="single" w:color="000000" w:sz="4" w:space="0"/>
              <w:bottom w:val="single" w:color="000000" w:sz="4" w:space="0"/>
              <w:right w:val="single" w:color="000000" w:sz="4" w:space="0"/>
            </w:tcBorders>
            <w:vAlign w:val="top"/>
          </w:tcPr>
          <w:p>
            <w:pPr>
              <w:widowControl/>
              <w:jc w:val="center"/>
              <w:textAlignment w:val="top"/>
              <w:rPr>
                <w:rFonts w:hint="default" w:ascii="Times New Roman" w:hAnsi="Times New Roman" w:eastAsia="宋体" w:cs="Times New Roman"/>
                <w:color w:val="auto"/>
                <w:kern w:val="0"/>
                <w:sz w:val="22"/>
                <w:lang w:eastAsia="zh-CN"/>
              </w:rPr>
            </w:pPr>
            <w:r>
              <w:rPr>
                <w:rFonts w:hint="default" w:ascii="Times New Roman" w:hAnsi="Times New Roman" w:eastAsia="宋体" w:cs="Times New Roman"/>
                <w:color w:val="auto"/>
                <w:kern w:val="0"/>
                <w:sz w:val="22"/>
                <w:lang w:eastAsia="zh-CN"/>
              </w:rPr>
              <w:t>***</w:t>
            </w:r>
          </w:p>
        </w:tc>
      </w:tr>
      <w:tr>
        <w:tblPrEx>
          <w:tblCellMar>
            <w:top w:w="0" w:type="dxa"/>
            <w:left w:w="108" w:type="dxa"/>
            <w:bottom w:w="0" w:type="dxa"/>
            <w:right w:w="108" w:type="dxa"/>
          </w:tblCellMar>
        </w:tblPrEx>
        <w:trPr>
          <w:trHeight w:val="288" w:hRule="atLeast"/>
        </w:trPr>
        <w:tc>
          <w:tcPr>
            <w:tcW w:w="1217" w:type="dxa"/>
            <w:vMerge w:val="continue"/>
            <w:tcBorders>
              <w:left w:val="single" w:color="000000" w:sz="4" w:space="0"/>
              <w:bottom w:val="single" w:color="000000" w:sz="4" w:space="0"/>
              <w:right w:val="single" w:color="000000" w:sz="4" w:space="0"/>
            </w:tcBorders>
            <w:noWrap/>
            <w:vAlign w:val="center"/>
          </w:tcPr>
          <w:p>
            <w:pPr>
              <w:jc w:val="center"/>
              <w:rPr>
                <w:rFonts w:hint="default" w:ascii="Times New Roman" w:hAnsi="Times New Roman" w:eastAsia="仿宋" w:cs="Times New Roman"/>
                <w:color w:val="auto"/>
                <w:kern w:val="0"/>
                <w:sz w:val="22"/>
                <w:lang w:eastAsia="en-US"/>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 w:cs="Times New Roman"/>
                <w:color w:val="auto"/>
                <w:kern w:val="0"/>
                <w:sz w:val="22"/>
                <w:szCs w:val="22"/>
                <w:lang w:val="en-US" w:eastAsia="zh-CN" w:bidi="ar-SA"/>
              </w:rPr>
            </w:pPr>
            <w:r>
              <w:rPr>
                <w:rFonts w:hint="default" w:ascii="Times New Roman" w:hAnsi="Times New Roman" w:eastAsia="仿宋" w:cs="Times New Roman"/>
                <w:color w:val="auto"/>
                <w:kern w:val="0"/>
                <w:sz w:val="22"/>
                <w:lang w:eastAsia="zh-CN" w:bidi="ar"/>
              </w:rPr>
              <w:t>562</w:t>
            </w:r>
          </w:p>
        </w:tc>
        <w:tc>
          <w:tcPr>
            <w:tcW w:w="1200" w:type="dxa"/>
            <w:tcBorders>
              <w:top w:val="single" w:color="000000" w:sz="4" w:space="0"/>
              <w:left w:val="single" w:color="000000" w:sz="4" w:space="0"/>
              <w:bottom w:val="single" w:color="000000" w:sz="4" w:space="0"/>
              <w:right w:val="single" w:color="000000" w:sz="4" w:space="0"/>
            </w:tcBorders>
            <w:vAlign w:val="top"/>
          </w:tcPr>
          <w:p>
            <w:pPr>
              <w:widowControl/>
              <w:jc w:val="center"/>
              <w:textAlignment w:val="top"/>
              <w:rPr>
                <w:rFonts w:hint="default" w:ascii="Times New Roman" w:hAnsi="Times New Roman" w:eastAsia="仿宋" w:cs="Times New Roman"/>
                <w:color w:val="auto"/>
                <w:kern w:val="0"/>
                <w:sz w:val="24"/>
                <w:szCs w:val="24"/>
                <w:lang w:eastAsia="zh-CN" w:bidi="ar"/>
              </w:rPr>
            </w:pPr>
            <w:r>
              <w:rPr>
                <w:rFonts w:hint="default" w:ascii="Times New Roman" w:hAnsi="Times New Roman" w:eastAsia="宋体" w:cs="Times New Roman"/>
                <w:color w:val="auto"/>
                <w:kern w:val="0"/>
                <w:sz w:val="22"/>
                <w:lang w:eastAsia="zh-CN"/>
              </w:rPr>
              <w:t>***</w:t>
            </w:r>
          </w:p>
        </w:tc>
        <w:tc>
          <w:tcPr>
            <w:tcW w:w="1196" w:type="dxa"/>
            <w:tcBorders>
              <w:top w:val="single" w:color="000000" w:sz="4" w:space="0"/>
              <w:left w:val="single" w:color="000000" w:sz="4" w:space="0"/>
              <w:bottom w:val="single" w:color="000000" w:sz="4" w:space="0"/>
              <w:right w:val="single" w:color="000000" w:sz="4" w:space="0"/>
            </w:tcBorders>
            <w:vAlign w:val="top"/>
          </w:tcPr>
          <w:p>
            <w:pPr>
              <w:widowControl/>
              <w:jc w:val="center"/>
              <w:textAlignment w:val="top"/>
              <w:rPr>
                <w:rFonts w:hint="default" w:ascii="Times New Roman" w:hAnsi="Times New Roman" w:eastAsia="仿宋" w:cs="Times New Roman"/>
                <w:color w:val="auto"/>
                <w:kern w:val="0"/>
                <w:sz w:val="24"/>
                <w:szCs w:val="24"/>
                <w:lang w:eastAsia="zh-CN" w:bidi="ar"/>
              </w:rPr>
            </w:pPr>
            <w:r>
              <w:rPr>
                <w:rFonts w:hint="default" w:ascii="Times New Roman" w:hAnsi="Times New Roman" w:eastAsia="仿宋" w:cs="Times New Roman"/>
                <w:color w:val="auto"/>
                <w:kern w:val="0"/>
                <w:sz w:val="24"/>
                <w:szCs w:val="24"/>
                <w:lang w:eastAsia="zh-CN" w:bidi="ar"/>
              </w:rPr>
              <w:t>80</w:t>
            </w:r>
          </w:p>
        </w:tc>
        <w:tc>
          <w:tcPr>
            <w:tcW w:w="1694" w:type="dxa"/>
            <w:tcBorders>
              <w:top w:val="single" w:color="000000" w:sz="4" w:space="0"/>
              <w:left w:val="single" w:color="000000" w:sz="4" w:space="0"/>
              <w:bottom w:val="single" w:color="000000" w:sz="4" w:space="0"/>
              <w:right w:val="single" w:color="000000" w:sz="4" w:space="0"/>
            </w:tcBorders>
            <w:vAlign w:val="top"/>
          </w:tcPr>
          <w:p>
            <w:pPr>
              <w:widowControl/>
              <w:jc w:val="center"/>
              <w:textAlignment w:val="top"/>
              <w:rPr>
                <w:rFonts w:hint="default" w:ascii="Times New Roman" w:hAnsi="Times New Roman" w:eastAsia="宋体" w:cs="Times New Roman"/>
                <w:color w:val="auto"/>
                <w:kern w:val="0"/>
                <w:sz w:val="22"/>
                <w:lang w:eastAsia="zh-CN"/>
              </w:rPr>
            </w:pPr>
            <w:r>
              <w:rPr>
                <w:rFonts w:hint="default" w:ascii="Times New Roman" w:hAnsi="Times New Roman" w:eastAsia="宋体" w:cs="Times New Roman"/>
                <w:color w:val="auto"/>
                <w:kern w:val="0"/>
                <w:sz w:val="22"/>
                <w:lang w:eastAsia="zh-CN"/>
              </w:rPr>
              <w:t>***</w:t>
            </w:r>
          </w:p>
        </w:tc>
        <w:tc>
          <w:tcPr>
            <w:tcW w:w="1994" w:type="dxa"/>
            <w:tcBorders>
              <w:top w:val="single" w:color="000000" w:sz="4" w:space="0"/>
              <w:left w:val="single" w:color="000000" w:sz="4" w:space="0"/>
              <w:bottom w:val="single" w:color="000000" w:sz="4" w:space="0"/>
              <w:right w:val="single" w:color="000000" w:sz="4" w:space="0"/>
            </w:tcBorders>
            <w:vAlign w:val="top"/>
          </w:tcPr>
          <w:p>
            <w:pPr>
              <w:widowControl/>
              <w:jc w:val="center"/>
              <w:textAlignment w:val="top"/>
              <w:rPr>
                <w:rFonts w:hint="default" w:ascii="Times New Roman" w:hAnsi="Times New Roman" w:eastAsia="宋体" w:cs="Times New Roman"/>
                <w:color w:val="auto"/>
                <w:kern w:val="0"/>
                <w:sz w:val="22"/>
                <w:lang w:eastAsia="zh-CN"/>
              </w:rPr>
            </w:pPr>
            <w:r>
              <w:rPr>
                <w:rFonts w:hint="default" w:ascii="Times New Roman" w:hAnsi="Times New Roman" w:eastAsia="宋体" w:cs="Times New Roman"/>
                <w:color w:val="auto"/>
                <w:kern w:val="0"/>
                <w:sz w:val="22"/>
                <w:lang w:eastAsia="zh-CN"/>
              </w:rPr>
              <w:t>***</w:t>
            </w:r>
          </w:p>
        </w:tc>
      </w:tr>
      <w:tr>
        <w:tblPrEx>
          <w:tblCellMar>
            <w:top w:w="0" w:type="dxa"/>
            <w:left w:w="108" w:type="dxa"/>
            <w:bottom w:w="0" w:type="dxa"/>
            <w:right w:w="108" w:type="dxa"/>
          </w:tblCellMar>
        </w:tblPrEx>
        <w:trPr>
          <w:trHeight w:val="289" w:hRule="atLeast"/>
        </w:trPr>
        <w:tc>
          <w:tcPr>
            <w:tcW w:w="1217"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Times New Roman" w:hAnsi="Times New Roman" w:eastAsia="仿宋" w:cs="Times New Roman"/>
                <w:color w:val="auto"/>
                <w:kern w:val="0"/>
                <w:sz w:val="22"/>
                <w:lang w:eastAsia="en-US"/>
              </w:rPr>
            </w:pPr>
            <w:r>
              <w:rPr>
                <w:rFonts w:hint="default" w:ascii="Times New Roman" w:hAnsi="Times New Roman" w:eastAsia="仿宋" w:cs="Times New Roman"/>
                <w:color w:val="auto"/>
                <w:kern w:val="0"/>
                <w:sz w:val="22"/>
                <w:lang w:eastAsia="zh-CN" w:bidi="ar"/>
              </w:rPr>
              <w:t>永磁电机</w:t>
            </w:r>
          </w:p>
        </w:tc>
        <w:tc>
          <w:tcPr>
            <w:tcW w:w="1196" w:type="dxa"/>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default" w:ascii="Times New Roman" w:hAnsi="Times New Roman" w:eastAsia="仿宋" w:cs="Times New Roman"/>
                <w:color w:val="auto"/>
                <w:kern w:val="0"/>
                <w:sz w:val="24"/>
                <w:szCs w:val="24"/>
                <w:lang w:eastAsia="en-US"/>
              </w:rPr>
            </w:pPr>
            <w:r>
              <w:rPr>
                <w:rFonts w:hint="default" w:ascii="Times New Roman" w:hAnsi="Times New Roman" w:eastAsia="仿宋" w:cs="Times New Roman"/>
                <w:color w:val="auto"/>
                <w:kern w:val="0"/>
                <w:sz w:val="24"/>
                <w:szCs w:val="24"/>
                <w:lang w:eastAsia="zh-CN" w:bidi="ar"/>
              </w:rPr>
              <w:t>350</w:t>
            </w:r>
          </w:p>
        </w:tc>
        <w:tc>
          <w:tcPr>
            <w:tcW w:w="1200" w:type="dxa"/>
            <w:tcBorders>
              <w:top w:val="single" w:color="000000" w:sz="4" w:space="0"/>
              <w:left w:val="single" w:color="000000" w:sz="4" w:space="0"/>
              <w:bottom w:val="single" w:color="000000" w:sz="4" w:space="0"/>
              <w:right w:val="single" w:color="000000" w:sz="4" w:space="0"/>
            </w:tcBorders>
            <w:vAlign w:val="top"/>
          </w:tcPr>
          <w:p>
            <w:pPr>
              <w:widowControl/>
              <w:jc w:val="center"/>
              <w:textAlignment w:val="top"/>
              <w:rPr>
                <w:rFonts w:hint="default" w:ascii="Times New Roman" w:hAnsi="Times New Roman" w:eastAsia="仿宋" w:cs="Times New Roman"/>
                <w:color w:val="auto"/>
                <w:kern w:val="0"/>
                <w:sz w:val="24"/>
                <w:szCs w:val="24"/>
                <w:lang w:eastAsia="zh-CN"/>
              </w:rPr>
            </w:pPr>
            <w:r>
              <w:rPr>
                <w:rFonts w:hint="eastAsia" w:ascii="Times New Roman" w:hAnsi="Times New Roman" w:eastAsia="仿宋" w:cs="Times New Roman"/>
                <w:color w:val="auto"/>
                <w:kern w:val="0"/>
                <w:sz w:val="24"/>
                <w:szCs w:val="24"/>
                <w:lang w:val="en-US" w:eastAsia="zh-CN" w:bidi="ar"/>
              </w:rPr>
              <w:t>140</w:t>
            </w:r>
            <w:r>
              <w:rPr>
                <w:rFonts w:hint="default" w:ascii="Times New Roman" w:hAnsi="Times New Roman" w:eastAsia="仿宋" w:cs="Times New Roman"/>
                <w:color w:val="auto"/>
                <w:kern w:val="0"/>
                <w:sz w:val="24"/>
                <w:szCs w:val="24"/>
                <w:lang w:eastAsia="zh-CN" w:bidi="ar"/>
              </w:rPr>
              <w:t>HP</w:t>
            </w:r>
          </w:p>
        </w:tc>
        <w:tc>
          <w:tcPr>
            <w:tcW w:w="1196"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仿宋" w:cs="Times New Roman"/>
                <w:color w:val="auto"/>
                <w:kern w:val="0"/>
                <w:sz w:val="22"/>
                <w:lang w:eastAsia="en-US"/>
              </w:rPr>
            </w:pPr>
            <w:r>
              <w:rPr>
                <w:rFonts w:hint="default" w:ascii="Times New Roman" w:hAnsi="Times New Roman" w:eastAsia="仿宋" w:cs="Times New Roman"/>
                <w:color w:val="auto"/>
                <w:kern w:val="0"/>
                <w:sz w:val="24"/>
                <w:szCs w:val="24"/>
                <w:lang w:eastAsia="zh-CN" w:bidi="ar"/>
              </w:rPr>
              <w:t>80</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仿宋" w:cs="Times New Roman"/>
                <w:color w:val="auto"/>
                <w:kern w:val="0"/>
                <w:sz w:val="24"/>
                <w:szCs w:val="24"/>
                <w:lang w:val="en-US" w:eastAsia="en-US" w:bidi="ar-SA"/>
              </w:rPr>
            </w:pPr>
            <w:r>
              <w:rPr>
                <w:rFonts w:hint="default" w:ascii="Times New Roman" w:hAnsi="Times New Roman" w:eastAsia="宋体" w:cs="Times New Roman"/>
                <w:color w:val="auto"/>
                <w:kern w:val="0"/>
                <w:sz w:val="22"/>
                <w:lang w:eastAsia="zh-CN"/>
              </w:rPr>
              <w:t>***</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仿宋" w:cs="Times New Roman"/>
                <w:color w:val="auto"/>
                <w:kern w:val="0"/>
                <w:sz w:val="24"/>
                <w:szCs w:val="24"/>
                <w:lang w:val="en-US" w:eastAsia="en-US" w:bidi="ar-SA"/>
              </w:rPr>
            </w:pPr>
            <w:r>
              <w:rPr>
                <w:rFonts w:hint="default" w:ascii="Times New Roman" w:hAnsi="Times New Roman" w:eastAsia="宋体" w:cs="Times New Roman"/>
                <w:color w:val="auto"/>
                <w:kern w:val="0"/>
                <w:sz w:val="22"/>
                <w:lang w:eastAsia="zh-CN"/>
              </w:rPr>
              <w:t>***</w:t>
            </w:r>
          </w:p>
        </w:tc>
      </w:tr>
      <w:tr>
        <w:tblPrEx>
          <w:tblCellMar>
            <w:top w:w="0" w:type="dxa"/>
            <w:left w:w="108" w:type="dxa"/>
            <w:bottom w:w="0" w:type="dxa"/>
            <w:right w:w="108" w:type="dxa"/>
          </w:tblCellMar>
        </w:tblPrEx>
        <w:trPr>
          <w:trHeight w:val="288" w:hRule="atLeast"/>
        </w:trPr>
        <w:tc>
          <w:tcPr>
            <w:tcW w:w="1217"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仿宋" w:cs="Times New Roman"/>
                <w:color w:val="auto"/>
                <w:kern w:val="0"/>
                <w:sz w:val="22"/>
                <w:lang w:eastAsia="en-US"/>
              </w:rPr>
            </w:pPr>
          </w:p>
        </w:tc>
        <w:tc>
          <w:tcPr>
            <w:tcW w:w="1196" w:type="dxa"/>
            <w:tcBorders>
              <w:top w:val="single" w:color="000000" w:sz="4" w:space="0"/>
              <w:left w:val="single" w:color="000000" w:sz="4" w:space="0"/>
              <w:bottom w:val="single" w:color="000000" w:sz="4" w:space="0"/>
              <w:right w:val="single" w:color="000000" w:sz="4" w:space="0"/>
            </w:tcBorders>
          </w:tcPr>
          <w:p>
            <w:pPr>
              <w:widowControl/>
              <w:jc w:val="center"/>
              <w:textAlignment w:val="top"/>
              <w:rPr>
                <w:rFonts w:hint="default" w:ascii="Times New Roman" w:hAnsi="Times New Roman" w:eastAsia="仿宋" w:cs="Times New Roman"/>
                <w:color w:val="auto"/>
                <w:kern w:val="0"/>
                <w:sz w:val="24"/>
                <w:szCs w:val="24"/>
                <w:lang w:eastAsia="en-US"/>
              </w:rPr>
            </w:pPr>
            <w:r>
              <w:rPr>
                <w:rFonts w:hint="default" w:ascii="Times New Roman" w:hAnsi="Times New Roman" w:eastAsia="仿宋" w:cs="Times New Roman"/>
                <w:color w:val="auto"/>
                <w:kern w:val="0"/>
                <w:sz w:val="24"/>
                <w:szCs w:val="24"/>
                <w:lang w:eastAsia="zh-CN" w:bidi="ar"/>
              </w:rPr>
              <w:t>450</w:t>
            </w:r>
          </w:p>
        </w:tc>
        <w:tc>
          <w:tcPr>
            <w:tcW w:w="1200" w:type="dxa"/>
            <w:tcBorders>
              <w:top w:val="single" w:color="000000" w:sz="4" w:space="0"/>
              <w:left w:val="single" w:color="000000" w:sz="4" w:space="0"/>
              <w:bottom w:val="single" w:color="000000" w:sz="4" w:space="0"/>
              <w:right w:val="single" w:color="000000" w:sz="4" w:space="0"/>
            </w:tcBorders>
            <w:vAlign w:val="top"/>
          </w:tcPr>
          <w:p>
            <w:pPr>
              <w:widowControl/>
              <w:jc w:val="center"/>
              <w:textAlignment w:val="top"/>
              <w:rPr>
                <w:rFonts w:hint="default" w:ascii="Times New Roman" w:hAnsi="Times New Roman" w:eastAsia="仿宋" w:cs="Times New Roman"/>
                <w:color w:val="auto"/>
                <w:kern w:val="0"/>
                <w:sz w:val="24"/>
                <w:szCs w:val="24"/>
                <w:lang w:eastAsia="zh-CN"/>
              </w:rPr>
            </w:pPr>
            <w:r>
              <w:rPr>
                <w:rFonts w:hint="eastAsia" w:ascii="Times New Roman" w:hAnsi="Times New Roman" w:eastAsia="仿宋" w:cs="Times New Roman"/>
                <w:color w:val="auto"/>
                <w:kern w:val="0"/>
                <w:sz w:val="24"/>
                <w:szCs w:val="24"/>
                <w:lang w:val="en-US" w:eastAsia="zh-CN" w:bidi="ar"/>
              </w:rPr>
              <w:t>200</w:t>
            </w:r>
            <w:r>
              <w:rPr>
                <w:rFonts w:hint="default" w:ascii="Times New Roman" w:hAnsi="Times New Roman" w:eastAsia="仿宋" w:cs="Times New Roman"/>
                <w:color w:val="auto"/>
                <w:kern w:val="0"/>
                <w:sz w:val="24"/>
                <w:szCs w:val="24"/>
                <w:lang w:eastAsia="zh-CN" w:bidi="ar"/>
              </w:rPr>
              <w:t>HP</w:t>
            </w:r>
          </w:p>
        </w:tc>
        <w:tc>
          <w:tcPr>
            <w:tcW w:w="1196"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仿宋" w:cs="Times New Roman"/>
                <w:color w:val="auto"/>
                <w:kern w:val="0"/>
                <w:sz w:val="22"/>
                <w:lang w:eastAsia="en-US"/>
              </w:rPr>
            </w:pPr>
            <w:r>
              <w:rPr>
                <w:rFonts w:hint="default" w:ascii="Times New Roman" w:hAnsi="Times New Roman" w:eastAsia="仿宋" w:cs="Times New Roman"/>
                <w:color w:val="auto"/>
                <w:kern w:val="0"/>
                <w:sz w:val="24"/>
                <w:szCs w:val="24"/>
                <w:lang w:eastAsia="zh-CN" w:bidi="ar"/>
              </w:rPr>
              <w:t>80</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仿宋" w:cs="Times New Roman"/>
                <w:color w:val="auto"/>
                <w:kern w:val="0"/>
                <w:sz w:val="24"/>
                <w:szCs w:val="24"/>
                <w:lang w:val="en-US" w:eastAsia="en-US" w:bidi="ar-SA"/>
              </w:rPr>
            </w:pPr>
            <w:r>
              <w:rPr>
                <w:rFonts w:hint="default" w:ascii="Times New Roman" w:hAnsi="Times New Roman" w:eastAsia="宋体" w:cs="Times New Roman"/>
                <w:color w:val="auto"/>
                <w:kern w:val="0"/>
                <w:sz w:val="22"/>
                <w:lang w:eastAsia="zh-CN"/>
              </w:rPr>
              <w:t>***</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仿宋" w:cs="Times New Roman"/>
                <w:color w:val="auto"/>
                <w:kern w:val="0"/>
                <w:sz w:val="24"/>
                <w:szCs w:val="24"/>
                <w:lang w:val="en-US" w:eastAsia="en-US" w:bidi="ar-SA"/>
              </w:rPr>
            </w:pPr>
            <w:r>
              <w:rPr>
                <w:rFonts w:hint="default" w:ascii="Times New Roman" w:hAnsi="Times New Roman" w:eastAsia="宋体" w:cs="Times New Roman"/>
                <w:color w:val="auto"/>
                <w:kern w:val="0"/>
                <w:sz w:val="22"/>
                <w:lang w:eastAsia="zh-CN"/>
              </w:rPr>
              <w:t>***</w:t>
            </w:r>
          </w:p>
        </w:tc>
      </w:tr>
      <w:tr>
        <w:tblPrEx>
          <w:tblCellMar>
            <w:top w:w="0" w:type="dxa"/>
            <w:left w:w="108" w:type="dxa"/>
            <w:bottom w:w="0" w:type="dxa"/>
            <w:right w:w="108" w:type="dxa"/>
          </w:tblCellMar>
        </w:tblPrEx>
        <w:trPr>
          <w:trHeight w:val="265" w:hRule="atLeast"/>
        </w:trPr>
        <w:tc>
          <w:tcPr>
            <w:tcW w:w="1217"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仿宋" w:cs="Times New Roman"/>
                <w:color w:val="auto"/>
                <w:kern w:val="0"/>
                <w:sz w:val="22"/>
                <w:lang w:eastAsia="en-US"/>
              </w:rPr>
            </w:pPr>
          </w:p>
        </w:tc>
        <w:tc>
          <w:tcPr>
            <w:tcW w:w="119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color w:val="auto"/>
                <w:kern w:val="0"/>
                <w:sz w:val="22"/>
                <w:lang w:eastAsia="en-US"/>
              </w:rPr>
            </w:pPr>
            <w:r>
              <w:rPr>
                <w:rFonts w:hint="default" w:ascii="Times New Roman" w:hAnsi="Times New Roman" w:eastAsia="仿宋" w:cs="Times New Roman"/>
                <w:color w:val="auto"/>
                <w:kern w:val="0"/>
                <w:sz w:val="22"/>
                <w:lang w:eastAsia="zh-CN" w:bidi="ar"/>
              </w:rPr>
              <w:t>562</w:t>
            </w:r>
          </w:p>
        </w:tc>
        <w:tc>
          <w:tcPr>
            <w:tcW w:w="120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宋体" w:cs="Times New Roman"/>
                <w:color w:val="auto"/>
                <w:kern w:val="0"/>
                <w:sz w:val="22"/>
                <w:lang w:eastAsia="zh-CN"/>
              </w:rPr>
            </w:pPr>
            <w:r>
              <w:rPr>
                <w:rFonts w:hint="eastAsia" w:ascii="Times New Roman" w:hAnsi="Times New Roman" w:eastAsia="仿宋" w:cs="Times New Roman"/>
                <w:color w:val="auto"/>
                <w:kern w:val="0"/>
                <w:sz w:val="24"/>
                <w:szCs w:val="24"/>
                <w:lang w:val="en-US" w:eastAsia="zh-CN" w:bidi="ar"/>
              </w:rPr>
              <w:t>440</w:t>
            </w:r>
            <w:r>
              <w:rPr>
                <w:rFonts w:hint="default" w:ascii="Times New Roman" w:hAnsi="Times New Roman" w:eastAsia="仿宋" w:cs="Times New Roman"/>
                <w:color w:val="auto"/>
                <w:kern w:val="0"/>
                <w:sz w:val="24"/>
                <w:szCs w:val="24"/>
                <w:lang w:eastAsia="zh-CN" w:bidi="ar"/>
              </w:rPr>
              <w:t>hp</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仿宋" w:cs="Times New Roman"/>
                <w:color w:val="auto"/>
                <w:kern w:val="0"/>
                <w:sz w:val="24"/>
                <w:szCs w:val="24"/>
                <w:lang w:val="en-US" w:eastAsia="en-US" w:bidi="ar-SA"/>
              </w:rPr>
            </w:pPr>
            <w:r>
              <w:rPr>
                <w:rFonts w:hint="default" w:ascii="Times New Roman" w:hAnsi="Times New Roman" w:eastAsia="仿宋" w:cs="Times New Roman"/>
                <w:color w:val="auto"/>
                <w:kern w:val="0"/>
                <w:sz w:val="24"/>
                <w:szCs w:val="24"/>
                <w:lang w:eastAsia="zh-CN" w:bidi="ar"/>
              </w:rPr>
              <w:t>80</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宋体" w:cs="Times New Roman"/>
                <w:color w:val="auto"/>
                <w:kern w:val="0"/>
                <w:sz w:val="22"/>
                <w:szCs w:val="22"/>
                <w:lang w:val="en-US" w:eastAsia="zh-CN" w:bidi="ar-SA"/>
              </w:rPr>
            </w:pPr>
            <w:r>
              <w:rPr>
                <w:rFonts w:hint="default" w:ascii="Times New Roman" w:hAnsi="Times New Roman" w:eastAsia="宋体" w:cs="Times New Roman"/>
                <w:color w:val="auto"/>
                <w:kern w:val="0"/>
                <w:sz w:val="22"/>
                <w:lang w:eastAsia="zh-CN"/>
              </w:rPr>
              <w:t>***</w:t>
            </w:r>
          </w:p>
        </w:tc>
        <w:tc>
          <w:tcPr>
            <w:tcW w:w="0" w:type="auto"/>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宋体" w:cs="Times New Roman"/>
                <w:color w:val="auto"/>
                <w:kern w:val="0"/>
                <w:sz w:val="22"/>
                <w:szCs w:val="22"/>
                <w:lang w:val="en-US" w:eastAsia="zh-CN" w:bidi="ar-SA"/>
              </w:rPr>
            </w:pPr>
            <w:r>
              <w:rPr>
                <w:rFonts w:hint="default" w:ascii="Times New Roman" w:hAnsi="Times New Roman" w:eastAsia="宋体" w:cs="Times New Roman"/>
                <w:color w:val="auto"/>
                <w:kern w:val="0"/>
                <w:sz w:val="22"/>
                <w:lang w:eastAsia="zh-CN"/>
              </w:rPr>
              <w:t>***</w:t>
            </w:r>
          </w:p>
        </w:tc>
      </w:tr>
      <w:tr>
        <w:tblPrEx>
          <w:tblCellMar>
            <w:top w:w="0" w:type="dxa"/>
            <w:left w:w="108" w:type="dxa"/>
            <w:bottom w:w="0" w:type="dxa"/>
            <w:right w:w="108" w:type="dxa"/>
          </w:tblCellMar>
        </w:tblPrEx>
        <w:trPr>
          <w:trHeight w:val="274" w:hRule="atLeast"/>
        </w:trPr>
        <w:tc>
          <w:tcPr>
            <w:tcW w:w="1217"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仿宋" w:cs="Times New Roman"/>
                <w:color w:val="auto"/>
                <w:kern w:val="0"/>
                <w:sz w:val="22"/>
                <w:lang w:eastAsia="en-US"/>
              </w:rPr>
            </w:pPr>
          </w:p>
        </w:tc>
        <w:tc>
          <w:tcPr>
            <w:tcW w:w="1196"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仿宋" w:cs="Times New Roman"/>
                <w:color w:val="auto"/>
                <w:kern w:val="0"/>
                <w:sz w:val="24"/>
                <w:szCs w:val="24"/>
                <w:lang w:val="en-US" w:eastAsia="en-US" w:bidi="ar-SA"/>
              </w:rPr>
            </w:pPr>
            <w:r>
              <w:rPr>
                <w:rFonts w:hint="default" w:ascii="Times New Roman" w:hAnsi="Times New Roman" w:eastAsia="仿宋" w:cs="Times New Roman"/>
                <w:color w:val="auto"/>
                <w:kern w:val="0"/>
                <w:sz w:val="24"/>
                <w:szCs w:val="24"/>
                <w:lang w:eastAsia="zh-CN" w:bidi="ar"/>
              </w:rPr>
              <w:t>350</w:t>
            </w:r>
          </w:p>
        </w:tc>
        <w:tc>
          <w:tcPr>
            <w:tcW w:w="120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宋体" w:cs="Times New Roman"/>
                <w:color w:val="auto"/>
                <w:kern w:val="0"/>
                <w:sz w:val="22"/>
                <w:lang w:eastAsia="zh-CN"/>
              </w:rPr>
              <w:t>***</w:t>
            </w:r>
          </w:p>
        </w:tc>
        <w:tc>
          <w:tcPr>
            <w:tcW w:w="1196"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宋体" w:cs="Times New Roman"/>
                <w:color w:val="auto"/>
                <w:kern w:val="0"/>
                <w:sz w:val="22"/>
                <w:lang w:eastAsia="en-US"/>
              </w:rPr>
            </w:pPr>
            <w:r>
              <w:rPr>
                <w:rFonts w:hint="default" w:ascii="Times New Roman" w:hAnsi="Times New Roman" w:eastAsia="仿宋" w:cs="Times New Roman"/>
                <w:color w:val="auto"/>
                <w:kern w:val="0"/>
                <w:sz w:val="24"/>
                <w:szCs w:val="24"/>
                <w:lang w:eastAsia="zh-CN" w:bidi="ar"/>
              </w:rPr>
              <w:t>80</w:t>
            </w:r>
          </w:p>
        </w:tc>
        <w:tc>
          <w:tcPr>
            <w:tcW w:w="1694"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宋体" w:cs="Times New Roman"/>
                <w:color w:val="auto"/>
                <w:kern w:val="0"/>
                <w:sz w:val="22"/>
                <w:szCs w:val="22"/>
                <w:lang w:val="en-US" w:eastAsia="zh-CN" w:bidi="ar-SA"/>
              </w:rPr>
            </w:pPr>
            <w:r>
              <w:rPr>
                <w:rFonts w:hint="default" w:ascii="Times New Roman" w:hAnsi="Times New Roman" w:eastAsia="宋体" w:cs="Times New Roman"/>
                <w:color w:val="auto"/>
                <w:kern w:val="0"/>
                <w:sz w:val="22"/>
                <w:lang w:eastAsia="zh-CN"/>
              </w:rPr>
              <w:t>***</w:t>
            </w:r>
          </w:p>
        </w:tc>
        <w:tc>
          <w:tcPr>
            <w:tcW w:w="1994"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宋体" w:cs="Times New Roman"/>
                <w:color w:val="auto"/>
                <w:kern w:val="0"/>
                <w:sz w:val="22"/>
                <w:szCs w:val="22"/>
                <w:lang w:val="en-US" w:eastAsia="zh-CN" w:bidi="ar-SA"/>
              </w:rPr>
            </w:pPr>
            <w:r>
              <w:rPr>
                <w:rFonts w:hint="default" w:ascii="Times New Roman" w:hAnsi="Times New Roman" w:eastAsia="宋体" w:cs="Times New Roman"/>
                <w:color w:val="auto"/>
                <w:kern w:val="0"/>
                <w:sz w:val="22"/>
                <w:lang w:eastAsia="zh-CN"/>
              </w:rPr>
              <w:t>***</w:t>
            </w:r>
          </w:p>
        </w:tc>
      </w:tr>
      <w:tr>
        <w:tblPrEx>
          <w:tblCellMar>
            <w:top w:w="0" w:type="dxa"/>
            <w:left w:w="108" w:type="dxa"/>
            <w:bottom w:w="0" w:type="dxa"/>
            <w:right w:w="108" w:type="dxa"/>
          </w:tblCellMar>
        </w:tblPrEx>
        <w:trPr>
          <w:trHeight w:val="274" w:hRule="atLeast"/>
        </w:trPr>
        <w:tc>
          <w:tcPr>
            <w:tcW w:w="1217"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仿宋" w:cs="Times New Roman"/>
                <w:color w:val="auto"/>
                <w:kern w:val="0"/>
                <w:sz w:val="22"/>
                <w:lang w:eastAsia="en-US"/>
              </w:rPr>
            </w:pPr>
          </w:p>
        </w:tc>
        <w:tc>
          <w:tcPr>
            <w:tcW w:w="1196"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仿宋" w:cs="Times New Roman"/>
                <w:color w:val="auto"/>
                <w:kern w:val="0"/>
                <w:sz w:val="24"/>
                <w:szCs w:val="24"/>
                <w:lang w:val="en-US" w:eastAsia="zh-CN" w:bidi="ar-SA"/>
              </w:rPr>
            </w:pPr>
            <w:r>
              <w:rPr>
                <w:rFonts w:hint="default" w:ascii="Times New Roman" w:hAnsi="Times New Roman" w:eastAsia="仿宋" w:cs="Times New Roman"/>
                <w:color w:val="auto"/>
                <w:kern w:val="0"/>
                <w:sz w:val="24"/>
                <w:szCs w:val="24"/>
                <w:lang w:eastAsia="zh-CN" w:bidi="ar"/>
              </w:rPr>
              <w:t>450</w:t>
            </w:r>
          </w:p>
        </w:tc>
        <w:tc>
          <w:tcPr>
            <w:tcW w:w="120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宋体" w:cs="Times New Roman"/>
                <w:color w:val="auto"/>
                <w:kern w:val="0"/>
                <w:sz w:val="22"/>
                <w:lang w:eastAsia="zh-CN"/>
              </w:rPr>
              <w:t>***</w:t>
            </w:r>
          </w:p>
        </w:tc>
        <w:tc>
          <w:tcPr>
            <w:tcW w:w="1196"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仿宋" w:cs="Times New Roman"/>
                <w:color w:val="auto"/>
                <w:kern w:val="0"/>
                <w:sz w:val="24"/>
                <w:szCs w:val="24"/>
                <w:lang w:eastAsia="zh-CN" w:bidi="ar"/>
              </w:rPr>
            </w:pPr>
            <w:r>
              <w:rPr>
                <w:rFonts w:hint="default" w:ascii="Times New Roman" w:hAnsi="Times New Roman" w:eastAsia="仿宋" w:cs="Times New Roman"/>
                <w:color w:val="auto"/>
                <w:kern w:val="0"/>
                <w:sz w:val="24"/>
                <w:szCs w:val="24"/>
                <w:lang w:eastAsia="zh-CN" w:bidi="ar"/>
              </w:rPr>
              <w:t>80</w:t>
            </w:r>
          </w:p>
        </w:tc>
        <w:tc>
          <w:tcPr>
            <w:tcW w:w="1694"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宋体" w:cs="Times New Roman"/>
                <w:color w:val="auto"/>
                <w:kern w:val="0"/>
                <w:sz w:val="22"/>
                <w:lang w:eastAsia="zh-CN"/>
              </w:rPr>
            </w:pPr>
            <w:r>
              <w:rPr>
                <w:rFonts w:hint="default" w:ascii="Times New Roman" w:hAnsi="Times New Roman" w:eastAsia="宋体" w:cs="Times New Roman"/>
                <w:color w:val="auto"/>
                <w:kern w:val="0"/>
                <w:sz w:val="22"/>
                <w:lang w:eastAsia="zh-CN"/>
              </w:rPr>
              <w:t>***</w:t>
            </w:r>
          </w:p>
        </w:tc>
        <w:tc>
          <w:tcPr>
            <w:tcW w:w="1994"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宋体" w:cs="Times New Roman"/>
                <w:color w:val="auto"/>
                <w:kern w:val="0"/>
                <w:sz w:val="22"/>
                <w:lang w:eastAsia="zh-CN"/>
              </w:rPr>
            </w:pPr>
            <w:r>
              <w:rPr>
                <w:rFonts w:hint="default" w:ascii="Times New Roman" w:hAnsi="Times New Roman" w:eastAsia="宋体" w:cs="Times New Roman"/>
                <w:color w:val="auto"/>
                <w:kern w:val="0"/>
                <w:sz w:val="22"/>
                <w:lang w:eastAsia="zh-CN"/>
              </w:rPr>
              <w:t>***</w:t>
            </w:r>
          </w:p>
        </w:tc>
      </w:tr>
      <w:tr>
        <w:tblPrEx>
          <w:tblCellMar>
            <w:top w:w="0" w:type="dxa"/>
            <w:left w:w="108" w:type="dxa"/>
            <w:bottom w:w="0" w:type="dxa"/>
            <w:right w:w="108" w:type="dxa"/>
          </w:tblCellMar>
        </w:tblPrEx>
        <w:trPr>
          <w:trHeight w:val="274" w:hRule="atLeast"/>
        </w:trPr>
        <w:tc>
          <w:tcPr>
            <w:tcW w:w="1217"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仿宋" w:cs="Times New Roman"/>
                <w:color w:val="auto"/>
                <w:kern w:val="0"/>
                <w:sz w:val="22"/>
                <w:lang w:eastAsia="en-US"/>
              </w:rPr>
            </w:pPr>
          </w:p>
        </w:tc>
        <w:tc>
          <w:tcPr>
            <w:tcW w:w="119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color w:val="auto"/>
                <w:kern w:val="0"/>
                <w:sz w:val="22"/>
                <w:szCs w:val="22"/>
                <w:lang w:val="en-US" w:eastAsia="zh-CN" w:bidi="ar-SA"/>
              </w:rPr>
            </w:pPr>
            <w:r>
              <w:rPr>
                <w:rFonts w:hint="default" w:ascii="Times New Roman" w:hAnsi="Times New Roman" w:eastAsia="仿宋" w:cs="Times New Roman"/>
                <w:color w:val="auto"/>
                <w:kern w:val="0"/>
                <w:sz w:val="22"/>
                <w:lang w:eastAsia="zh-CN" w:bidi="ar"/>
              </w:rPr>
              <w:t>562</w:t>
            </w:r>
          </w:p>
        </w:tc>
        <w:tc>
          <w:tcPr>
            <w:tcW w:w="1200"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仿宋" w:cs="Times New Roman"/>
                <w:color w:val="auto"/>
                <w:kern w:val="0"/>
                <w:sz w:val="24"/>
                <w:szCs w:val="24"/>
                <w:lang w:val="en-US" w:eastAsia="zh-CN" w:bidi="ar"/>
              </w:rPr>
            </w:pPr>
            <w:r>
              <w:rPr>
                <w:rFonts w:hint="default" w:ascii="Times New Roman" w:hAnsi="Times New Roman" w:eastAsia="宋体" w:cs="Times New Roman"/>
                <w:color w:val="auto"/>
                <w:kern w:val="0"/>
                <w:sz w:val="22"/>
                <w:lang w:eastAsia="zh-CN"/>
              </w:rPr>
              <w:t>***</w:t>
            </w:r>
          </w:p>
        </w:tc>
        <w:tc>
          <w:tcPr>
            <w:tcW w:w="1196"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仿宋" w:cs="Times New Roman"/>
                <w:color w:val="auto"/>
                <w:kern w:val="0"/>
                <w:sz w:val="24"/>
                <w:szCs w:val="24"/>
                <w:lang w:eastAsia="zh-CN" w:bidi="ar"/>
              </w:rPr>
            </w:pPr>
            <w:r>
              <w:rPr>
                <w:rFonts w:hint="default" w:ascii="Times New Roman" w:hAnsi="Times New Roman" w:eastAsia="仿宋" w:cs="Times New Roman"/>
                <w:color w:val="auto"/>
                <w:kern w:val="0"/>
                <w:sz w:val="24"/>
                <w:szCs w:val="24"/>
                <w:lang w:eastAsia="zh-CN" w:bidi="ar"/>
              </w:rPr>
              <w:t>80</w:t>
            </w:r>
          </w:p>
        </w:tc>
        <w:tc>
          <w:tcPr>
            <w:tcW w:w="1694"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宋体" w:cs="Times New Roman"/>
                <w:color w:val="auto"/>
                <w:kern w:val="0"/>
                <w:sz w:val="22"/>
                <w:lang w:eastAsia="zh-CN"/>
              </w:rPr>
            </w:pPr>
            <w:r>
              <w:rPr>
                <w:rFonts w:hint="default" w:ascii="Times New Roman" w:hAnsi="Times New Roman" w:eastAsia="宋体" w:cs="Times New Roman"/>
                <w:color w:val="auto"/>
                <w:kern w:val="0"/>
                <w:sz w:val="22"/>
                <w:lang w:eastAsia="zh-CN"/>
              </w:rPr>
              <w:t>***</w:t>
            </w:r>
          </w:p>
        </w:tc>
        <w:tc>
          <w:tcPr>
            <w:tcW w:w="1994"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Times New Roman" w:hAnsi="Times New Roman" w:eastAsia="宋体" w:cs="Times New Roman"/>
                <w:color w:val="auto"/>
                <w:kern w:val="0"/>
                <w:sz w:val="22"/>
                <w:lang w:eastAsia="zh-CN"/>
              </w:rPr>
            </w:pPr>
            <w:r>
              <w:rPr>
                <w:rFonts w:hint="default" w:ascii="Times New Roman" w:hAnsi="Times New Roman" w:eastAsia="宋体" w:cs="Times New Roman"/>
                <w:color w:val="auto"/>
                <w:kern w:val="0"/>
                <w:sz w:val="22"/>
                <w:lang w:eastAsia="zh-CN"/>
              </w:rPr>
              <w:t>***</w:t>
            </w:r>
          </w:p>
        </w:tc>
      </w:tr>
    </w:tbl>
    <w:p>
      <w:pPr>
        <w:widowControl w:val="0"/>
        <w:numPr>
          <w:ilvl w:val="0"/>
          <w:numId w:val="0"/>
        </w:numPr>
        <w:snapToGrid w:val="0"/>
        <w:jc w:val="left"/>
        <w:rPr>
          <w:rFonts w:hint="default" w:ascii="宋体" w:hAnsi="宋体" w:eastAsia="宋体" w:cs="宋体"/>
          <w:b w:val="0"/>
          <w:bCs w:val="0"/>
          <w:color w:val="0D0D0D"/>
          <w:sz w:val="22"/>
          <w:szCs w:val="22"/>
          <w:highlight w:val="none"/>
          <w:lang w:val="en-US" w:eastAsia="zh-CN" w:bidi="ar-SA"/>
        </w:rPr>
      </w:pPr>
    </w:p>
    <w:p>
      <w:pPr>
        <w:widowControl w:val="0"/>
        <w:snapToGrid w:val="0"/>
        <w:jc w:val="left"/>
        <w:rPr>
          <w:rFonts w:hint="eastAsia" w:asciiTheme="minorHAnsi" w:hAnsiTheme="minorHAnsi" w:eastAsiaTheme="minorEastAsia" w:cstheme="minorBidi"/>
          <w:color w:val="auto"/>
          <w:sz w:val="16"/>
          <w:szCs w:val="16"/>
          <w:highlight w:val="none"/>
          <w:lang w:val="en-US" w:eastAsia="zh-CN" w:bidi="ar-SA"/>
        </w:rPr>
      </w:pPr>
    </w:p>
    <w:p>
      <w:pPr>
        <w:widowControl w:val="0"/>
        <w:snapToGrid w:val="0"/>
        <w:jc w:val="left"/>
        <w:rPr>
          <w:rFonts w:hint="eastAsia" w:asciiTheme="minorHAnsi" w:hAnsiTheme="minorHAnsi" w:eastAsiaTheme="minorEastAsia" w:cstheme="minorBidi"/>
          <w:color w:val="auto"/>
          <w:sz w:val="16"/>
          <w:szCs w:val="16"/>
          <w:highlight w:val="none"/>
          <w:lang w:val="en-US" w:eastAsia="zh-CN" w:bidi="ar-SA"/>
        </w:rPr>
      </w:pPr>
    </w:p>
    <w:p>
      <w:pPr>
        <w:widowControl w:val="0"/>
        <w:snapToGrid w:val="0"/>
        <w:jc w:val="left"/>
        <w:rPr>
          <w:rFonts w:hint="eastAsia" w:asciiTheme="minorHAnsi" w:hAnsiTheme="minorHAnsi" w:eastAsiaTheme="minorEastAsia" w:cstheme="minorBidi"/>
          <w:color w:val="auto"/>
          <w:sz w:val="16"/>
          <w:szCs w:val="16"/>
          <w:highlight w:val="none"/>
          <w:lang w:val="en-US" w:eastAsia="zh-CN" w:bidi="ar-SA"/>
        </w:rPr>
      </w:pPr>
    </w:p>
    <w:p>
      <w:pPr>
        <w:pStyle w:val="16"/>
        <w:numPr>
          <w:ilvl w:val="0"/>
          <w:numId w:val="0"/>
        </w:numPr>
        <w:spacing w:line="360" w:lineRule="auto"/>
        <w:jc w:val="both"/>
        <w:outlineLvl w:val="0"/>
        <w:rPr>
          <w:rFonts w:ascii="宋体" w:cs="宋体"/>
          <w:b/>
          <w:sz w:val="32"/>
          <w:szCs w:val="32"/>
        </w:rPr>
      </w:pPr>
      <w:r>
        <w:rPr>
          <w:rFonts w:hint="eastAsia" w:ascii="Arial Unicode MS" w:eastAsia="Arial Unicode MS" w:cs="Arial Unicode MS"/>
          <w:spacing w:val="2"/>
          <w:w w:val="99"/>
          <w:sz w:val="36"/>
          <w:szCs w:val="36"/>
        </w:rPr>
        <w:t xml:space="preserve">        </w:t>
      </w:r>
    </w:p>
    <w:p>
      <w:pPr>
        <w:pStyle w:val="8"/>
        <w:spacing w:line="360" w:lineRule="auto"/>
        <w:ind w:firstLine="420"/>
        <w:rPr>
          <w:rFonts w:ascii="宋体" w:hAnsi="宋体" w:cs="宋体"/>
          <w:color w:val="000000"/>
          <w:lang w:eastAsia="zh-CN"/>
        </w:rPr>
        <w:sectPr>
          <w:headerReference r:id="rId12" w:type="default"/>
          <w:footerReference r:id="rId13" w:type="default"/>
          <w:pgSz w:w="12240" w:h="15840"/>
          <w:pgMar w:top="1380" w:right="1720" w:bottom="1120" w:left="1720" w:header="0" w:footer="921" w:gutter="0"/>
          <w:cols w:space="720" w:num="1"/>
        </w:sectPr>
      </w:pPr>
    </w:p>
    <w:p>
      <w:pPr>
        <w:pStyle w:val="16"/>
        <w:adjustRightInd w:val="0"/>
        <w:snapToGrid w:val="0"/>
        <w:spacing w:line="360" w:lineRule="auto"/>
        <w:ind w:left="567" w:leftChars="270"/>
        <w:jc w:val="center"/>
        <w:outlineLvl w:val="0"/>
        <w:rPr>
          <w:rFonts w:ascii="黑体" w:hAnsi="黑体" w:eastAsia="黑体"/>
          <w:b/>
          <w:bCs/>
          <w:sz w:val="44"/>
          <w:szCs w:val="44"/>
        </w:rPr>
      </w:pPr>
      <w:bookmarkStart w:id="269" w:name="_Toc5427"/>
      <w:bookmarkStart w:id="270" w:name="_Toc26386"/>
      <w:r>
        <w:rPr>
          <w:rFonts w:hint="eastAsia" w:ascii="黑体" w:hAnsi="黑体" w:eastAsia="黑体"/>
          <w:b/>
          <w:bCs/>
          <w:sz w:val="44"/>
          <w:szCs w:val="44"/>
        </w:rPr>
        <w:t>第五章 书面投标文件审核的商务和技术评议表</w:t>
      </w:r>
      <w:bookmarkEnd w:id="269"/>
      <w:bookmarkEnd w:id="270"/>
    </w:p>
    <w:p>
      <w:pPr>
        <w:pStyle w:val="16"/>
        <w:spacing w:line="360" w:lineRule="auto"/>
        <w:jc w:val="center"/>
        <w:outlineLvl w:val="1"/>
        <w:rPr>
          <w:sz w:val="24"/>
        </w:rPr>
      </w:pPr>
      <w:r>
        <w:rPr>
          <w:rFonts w:hint="eastAsia"/>
          <w:sz w:val="24"/>
        </w:rPr>
        <w:t>否决项评议表</w:t>
      </w:r>
    </w:p>
    <w:p>
      <w:pPr>
        <w:pStyle w:val="16"/>
        <w:spacing w:line="360" w:lineRule="auto"/>
        <w:rPr>
          <w:rFonts w:ascii="Arial" w:hAnsi="宋体" w:cs="宋体"/>
          <w:bCs/>
          <w:kern w:val="0"/>
          <w:sz w:val="24"/>
          <w:lang w:val="zh-CN"/>
        </w:rPr>
      </w:pPr>
      <w:r>
        <w:rPr>
          <w:kern w:val="0"/>
          <w:szCs w:val="21"/>
        </w:rPr>
        <w:t>项目名称：</w:t>
      </w:r>
      <w:r>
        <w:rPr>
          <w:rFonts w:ascii="Arial" w:hAnsi="宋体" w:cs="宋体"/>
          <w:bCs/>
          <w:kern w:val="0"/>
          <w:szCs w:val="21"/>
          <w:lang w:val="zh-CN"/>
        </w:rPr>
        <w:t xml:space="preserve"> </w:t>
      </w:r>
      <w:r>
        <w:rPr>
          <w:rFonts w:hint="eastAsia" w:ascii="Arial" w:hAnsi="宋体" w:cs="宋体"/>
          <w:bCs/>
          <w:kern w:val="0"/>
          <w:sz w:val="24"/>
          <w:lang w:val="zh-CN"/>
        </w:rPr>
        <w:t>中海油能源发展股份有限公司工程技术公司永磁系列潜油电机等物资采购专有协议--标段六 供应商投标资格审查项目</w:t>
      </w:r>
    </w:p>
    <w:p>
      <w:pPr>
        <w:pStyle w:val="16"/>
        <w:spacing w:line="360" w:lineRule="auto"/>
        <w:jc w:val="left"/>
        <w:rPr>
          <w:rFonts w:hint="eastAsia" w:ascii="Arial" w:hAnsi="Arial" w:eastAsia="宋体" w:cs="Arial"/>
          <w:kern w:val="0"/>
          <w:szCs w:val="21"/>
          <w:lang w:eastAsia="zh-CN"/>
        </w:rPr>
      </w:pPr>
      <w:r>
        <w:rPr>
          <w:rFonts w:hint="eastAsia" w:ascii="Arial" w:hAnsi="Arial" w:cs="Arial"/>
          <w:kern w:val="0"/>
          <w:szCs w:val="21"/>
        </w:rPr>
        <w:t>标段（包）编号：</w:t>
      </w:r>
      <w:r>
        <w:rPr>
          <w:rFonts w:hint="eastAsia" w:ascii="Arial" w:hAnsi="Arial" w:cs="Arial"/>
          <w:kern w:val="0"/>
          <w:szCs w:val="21"/>
          <w:highlight w:val="yellow"/>
          <w:lang w:eastAsia="zh-CN"/>
        </w:rPr>
        <w:t>GK-2025-ZC-1263/01/06</w:t>
      </w:r>
    </w:p>
    <w:tbl>
      <w:tblPr>
        <w:tblStyle w:val="11"/>
        <w:tblW w:w="9311" w:type="dxa"/>
        <w:tblInd w:w="-459" w:type="dxa"/>
        <w:tblLayout w:type="autofit"/>
        <w:tblCellMar>
          <w:top w:w="0" w:type="dxa"/>
          <w:left w:w="108" w:type="dxa"/>
          <w:bottom w:w="0" w:type="dxa"/>
          <w:right w:w="108" w:type="dxa"/>
        </w:tblCellMar>
      </w:tblPr>
      <w:tblGrid>
        <w:gridCol w:w="851"/>
        <w:gridCol w:w="3742"/>
        <w:gridCol w:w="2353"/>
        <w:gridCol w:w="2365"/>
      </w:tblGrid>
      <w:tr>
        <w:tblPrEx>
          <w:tblCellMar>
            <w:top w:w="0" w:type="dxa"/>
            <w:left w:w="108" w:type="dxa"/>
            <w:bottom w:w="0" w:type="dxa"/>
            <w:right w:w="108" w:type="dxa"/>
          </w:tblCellMar>
        </w:tblPrEx>
        <w:trPr>
          <w:trHeight w:val="689" w:hRule="atLeast"/>
        </w:trPr>
        <w:tc>
          <w:tcPr>
            <w:tcW w:w="851" w:type="dxa"/>
            <w:vMerge w:val="restart"/>
            <w:tcBorders>
              <w:top w:val="single" w:color="auto" w:sz="4" w:space="0"/>
              <w:left w:val="single" w:color="auto" w:sz="4" w:space="0"/>
              <w:bottom w:val="single" w:color="auto" w:sz="4" w:space="0"/>
              <w:right w:val="single" w:color="auto" w:sz="4" w:space="0"/>
            </w:tcBorders>
            <w:noWrap w:val="0"/>
            <w:vAlign w:val="center"/>
          </w:tcPr>
          <w:p>
            <w:pPr>
              <w:pStyle w:val="16"/>
              <w:widowControl/>
              <w:jc w:val="center"/>
              <w:rPr>
                <w:rFonts w:ascii="宋体" w:hAnsi="宋体" w:cs="宋体"/>
                <w:kern w:val="0"/>
                <w:szCs w:val="21"/>
              </w:rPr>
            </w:pPr>
            <w:r>
              <w:rPr>
                <w:rFonts w:hint="eastAsia" w:ascii="宋体" w:hAnsi="宋体" w:cs="宋体"/>
                <w:kern w:val="0"/>
                <w:szCs w:val="21"/>
              </w:rPr>
              <w:t>序号</w:t>
            </w:r>
          </w:p>
        </w:tc>
        <w:tc>
          <w:tcPr>
            <w:tcW w:w="3742" w:type="dxa"/>
            <w:vMerge w:val="restart"/>
            <w:tcBorders>
              <w:top w:val="single" w:color="auto" w:sz="4" w:space="0"/>
              <w:left w:val="single" w:color="auto" w:sz="4" w:space="0"/>
              <w:bottom w:val="single" w:color="auto" w:sz="4" w:space="0"/>
              <w:right w:val="single" w:color="auto" w:sz="4" w:space="0"/>
              <w:tl2br w:val="single" w:color="000000" w:sz="4" w:space="0"/>
            </w:tcBorders>
            <w:noWrap w:val="0"/>
            <w:vAlign w:val="top"/>
          </w:tcPr>
          <w:p>
            <w:pPr>
              <w:pStyle w:val="16"/>
              <w:widowControl/>
              <w:ind w:right="420"/>
              <w:jc w:val="center"/>
              <w:rPr>
                <w:rFonts w:ascii="宋体" w:hAnsi="宋体" w:cs="宋体"/>
                <w:kern w:val="0"/>
                <w:szCs w:val="21"/>
              </w:rPr>
            </w:pPr>
            <w:r>
              <w:rPr>
                <w:rFonts w:hint="eastAsia" w:ascii="宋体" w:hAnsi="宋体" w:cs="宋体"/>
                <w:kern w:val="0"/>
                <w:szCs w:val="21"/>
              </w:rPr>
              <w:t xml:space="preserve">                              申请人名称                                        </w:t>
            </w:r>
            <w:r>
              <w:rPr>
                <w:rFonts w:hint="eastAsia" w:ascii="宋体" w:hAnsi="宋体" w:cs="宋体"/>
                <w:kern w:val="0"/>
                <w:szCs w:val="21"/>
              </w:rPr>
              <w:br w:type="textWrapping"/>
            </w:r>
          </w:p>
          <w:p>
            <w:pPr>
              <w:pStyle w:val="16"/>
              <w:widowControl/>
              <w:jc w:val="center"/>
              <w:rPr>
                <w:rFonts w:ascii="宋体" w:hAnsi="宋体" w:cs="宋体"/>
                <w:kern w:val="0"/>
                <w:szCs w:val="21"/>
              </w:rPr>
            </w:pPr>
          </w:p>
          <w:p>
            <w:pPr>
              <w:pStyle w:val="16"/>
              <w:widowControl/>
              <w:jc w:val="left"/>
              <w:rPr>
                <w:rFonts w:ascii="宋体" w:hAnsi="宋体" w:cs="宋体"/>
                <w:kern w:val="0"/>
                <w:szCs w:val="21"/>
              </w:rPr>
            </w:pPr>
            <w:r>
              <w:rPr>
                <w:rFonts w:hint="eastAsia" w:ascii="宋体" w:hAnsi="宋体" w:cs="宋体"/>
                <w:kern w:val="0"/>
                <w:szCs w:val="21"/>
              </w:rPr>
              <w:t>评议内容/招标文件要求</w:t>
            </w:r>
          </w:p>
        </w:tc>
        <w:tc>
          <w:tcPr>
            <w:tcW w:w="4718" w:type="dxa"/>
            <w:gridSpan w:val="2"/>
            <w:tcBorders>
              <w:top w:val="single" w:color="auto" w:sz="4" w:space="0"/>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r>
      <w:tr>
        <w:tblPrEx>
          <w:tblCellMar>
            <w:top w:w="0" w:type="dxa"/>
            <w:left w:w="108" w:type="dxa"/>
            <w:bottom w:w="0" w:type="dxa"/>
            <w:right w:w="108" w:type="dxa"/>
          </w:tblCellMar>
        </w:tblPrEx>
        <w:trPr>
          <w:trHeight w:val="689" w:hRule="atLeast"/>
        </w:trPr>
        <w:tc>
          <w:tcPr>
            <w:tcW w:w="851" w:type="dxa"/>
            <w:vMerge w:val="continue"/>
            <w:tcBorders>
              <w:top w:val="single" w:color="auto" w:sz="4" w:space="0"/>
              <w:left w:val="single" w:color="auto" w:sz="4" w:space="0"/>
              <w:bottom w:val="single" w:color="auto" w:sz="4" w:space="0"/>
              <w:right w:val="single" w:color="auto" w:sz="4" w:space="0"/>
              <w:tl2br w:val="single" w:color="000000" w:sz="4" w:space="0"/>
            </w:tcBorders>
            <w:noWrap w:val="0"/>
            <w:vAlign w:val="center"/>
          </w:tcPr>
          <w:p>
            <w:pPr>
              <w:pStyle w:val="16"/>
              <w:widowControl/>
              <w:jc w:val="center"/>
              <w:rPr>
                <w:rFonts w:ascii="宋体" w:hAnsi="宋体" w:cs="宋体"/>
                <w:kern w:val="0"/>
                <w:szCs w:val="21"/>
              </w:rPr>
            </w:pPr>
          </w:p>
        </w:tc>
        <w:tc>
          <w:tcPr>
            <w:tcW w:w="3742" w:type="dxa"/>
            <w:vMerge w:val="continue"/>
            <w:tcBorders>
              <w:top w:val="single" w:color="auto" w:sz="4" w:space="0"/>
              <w:left w:val="single" w:color="auto" w:sz="4" w:space="0"/>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c>
          <w:tcPr>
            <w:tcW w:w="2353" w:type="dxa"/>
            <w:tcBorders>
              <w:top w:val="single" w:color="auto" w:sz="4" w:space="0"/>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r>
              <w:rPr>
                <w:rFonts w:hint="eastAsia" w:ascii="宋体" w:hAnsi="宋体" w:cs="宋体"/>
                <w:kern w:val="0"/>
                <w:szCs w:val="21"/>
              </w:rPr>
              <w:t>申请文件响应</w:t>
            </w:r>
          </w:p>
        </w:tc>
        <w:tc>
          <w:tcPr>
            <w:tcW w:w="2365" w:type="dxa"/>
            <w:tcBorders>
              <w:top w:val="single" w:color="auto" w:sz="4" w:space="0"/>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r>
              <w:rPr>
                <w:rFonts w:hint="eastAsia" w:ascii="宋体" w:hAnsi="宋体" w:cs="宋体"/>
                <w:kern w:val="0"/>
                <w:szCs w:val="21"/>
              </w:rPr>
              <w:t>评议</w:t>
            </w:r>
          </w:p>
        </w:tc>
      </w:tr>
      <w:tr>
        <w:tblPrEx>
          <w:tblCellMar>
            <w:top w:w="0" w:type="dxa"/>
            <w:left w:w="108" w:type="dxa"/>
            <w:bottom w:w="0" w:type="dxa"/>
            <w:right w:w="108" w:type="dxa"/>
          </w:tblCellMar>
        </w:tblPrEx>
        <w:trPr>
          <w:trHeight w:val="403" w:hRule="atLeast"/>
        </w:trPr>
        <w:tc>
          <w:tcPr>
            <w:tcW w:w="851" w:type="dxa"/>
            <w:tcBorders>
              <w:top w:val="single" w:color="auto" w:sz="4" w:space="0"/>
              <w:left w:val="single" w:color="auto" w:sz="4" w:space="0"/>
              <w:bottom w:val="single" w:color="auto" w:sz="4" w:space="0"/>
              <w:right w:val="single" w:color="auto" w:sz="4" w:space="0"/>
            </w:tcBorders>
            <w:noWrap w:val="0"/>
            <w:vAlign w:val="bottom"/>
          </w:tcPr>
          <w:p>
            <w:pPr>
              <w:jc w:val="both"/>
              <w:rPr>
                <w:rFonts w:ascii="宋体" w:hAnsi="宋体" w:cs="宋体"/>
                <w:szCs w:val="21"/>
              </w:rPr>
            </w:pPr>
            <w:r>
              <w:rPr>
                <w:kern w:val="2"/>
                <w:sz w:val="21"/>
                <w:szCs w:val="24"/>
                <w:lang w:eastAsia="zh-CN"/>
              </w:rPr>
              <w:t>★投标人名称</w:t>
            </w:r>
          </w:p>
        </w:tc>
        <w:tc>
          <w:tcPr>
            <w:tcW w:w="3742" w:type="dxa"/>
            <w:tcBorders>
              <w:top w:val="single" w:color="auto" w:sz="4" w:space="0"/>
              <w:left w:val="single" w:color="auto" w:sz="4" w:space="0"/>
              <w:bottom w:val="single" w:color="auto" w:sz="4" w:space="0"/>
              <w:right w:val="single" w:color="auto" w:sz="4" w:space="0"/>
            </w:tcBorders>
            <w:noWrap w:val="0"/>
            <w:vAlign w:val="bottom"/>
          </w:tcPr>
          <w:p>
            <w:pPr>
              <w:jc w:val="both"/>
              <w:rPr>
                <w:rFonts w:ascii="宋体" w:hAnsi="宋体" w:cs="宋体"/>
                <w:sz w:val="21"/>
                <w:szCs w:val="21"/>
              </w:rPr>
            </w:pPr>
            <w:r>
              <w:rPr>
                <w:kern w:val="2"/>
                <w:sz w:val="21"/>
                <w:szCs w:val="24"/>
                <w:lang w:eastAsia="zh-CN"/>
              </w:rPr>
              <w:t>与营业执照、资质证书一致</w:t>
            </w:r>
          </w:p>
        </w:tc>
        <w:tc>
          <w:tcPr>
            <w:tcW w:w="2353" w:type="dxa"/>
            <w:tcBorders>
              <w:top w:val="single" w:color="auto" w:sz="4" w:space="0"/>
              <w:left w:val="single" w:color="auto" w:sz="4" w:space="0"/>
              <w:bottom w:val="single" w:color="auto" w:sz="4" w:space="0"/>
              <w:right w:val="single" w:color="auto" w:sz="4" w:space="0"/>
            </w:tcBorders>
            <w:noWrap w:val="0"/>
            <w:vAlign w:val="center"/>
          </w:tcPr>
          <w:p>
            <w:pPr>
              <w:pStyle w:val="16"/>
              <w:widowControl/>
              <w:jc w:val="center"/>
              <w:rPr>
                <w:rFonts w:ascii="宋体" w:hAnsi="宋体" w:cs="宋体"/>
                <w:szCs w:val="21"/>
              </w:rPr>
            </w:pPr>
          </w:p>
        </w:tc>
        <w:tc>
          <w:tcPr>
            <w:tcW w:w="2365" w:type="dxa"/>
            <w:tcBorders>
              <w:top w:val="single" w:color="auto" w:sz="4" w:space="0"/>
              <w:left w:val="single" w:color="auto" w:sz="4" w:space="0"/>
              <w:bottom w:val="single" w:color="auto" w:sz="4" w:space="0"/>
              <w:right w:val="single" w:color="auto" w:sz="4" w:space="0"/>
            </w:tcBorders>
            <w:noWrap w:val="0"/>
            <w:vAlign w:val="center"/>
          </w:tcPr>
          <w:p>
            <w:pPr>
              <w:pStyle w:val="16"/>
              <w:widowControl/>
              <w:jc w:val="center"/>
              <w:rPr>
                <w:rFonts w:ascii="宋体" w:hAnsi="宋体" w:cs="宋体"/>
                <w:szCs w:val="21"/>
              </w:rPr>
            </w:pPr>
          </w:p>
        </w:tc>
      </w:tr>
      <w:tr>
        <w:tblPrEx>
          <w:tblCellMar>
            <w:top w:w="0" w:type="dxa"/>
            <w:left w:w="108" w:type="dxa"/>
            <w:bottom w:w="0" w:type="dxa"/>
            <w:right w:w="108" w:type="dxa"/>
          </w:tblCellMar>
        </w:tblPrEx>
        <w:trPr>
          <w:trHeight w:val="1427" w:hRule="atLeast"/>
        </w:trPr>
        <w:tc>
          <w:tcPr>
            <w:tcW w:w="851" w:type="dxa"/>
            <w:tcBorders>
              <w:top w:val="single" w:color="auto" w:sz="4" w:space="0"/>
              <w:left w:val="single" w:color="auto" w:sz="4" w:space="0"/>
              <w:bottom w:val="single" w:color="auto" w:sz="4" w:space="0"/>
              <w:right w:val="single" w:color="auto" w:sz="4" w:space="0"/>
            </w:tcBorders>
            <w:noWrap w:val="0"/>
            <w:vAlign w:val="bottom"/>
          </w:tcPr>
          <w:p>
            <w:pPr>
              <w:jc w:val="both"/>
              <w:rPr>
                <w:rFonts w:hint="eastAsia" w:ascii="宋体" w:hAnsi="宋体" w:cs="宋体"/>
                <w:szCs w:val="21"/>
              </w:rPr>
            </w:pPr>
            <w:r>
              <w:rPr>
                <w:kern w:val="2"/>
                <w:sz w:val="21"/>
                <w:szCs w:val="24"/>
                <w:lang w:eastAsia="zh-CN"/>
              </w:rPr>
              <w:t>★投标函签字盖章</w:t>
            </w:r>
          </w:p>
        </w:tc>
        <w:tc>
          <w:tcPr>
            <w:tcW w:w="3742" w:type="dxa"/>
            <w:tcBorders>
              <w:top w:val="single" w:color="auto" w:sz="4" w:space="0"/>
              <w:left w:val="single" w:color="auto" w:sz="4" w:space="0"/>
              <w:bottom w:val="single" w:color="auto" w:sz="4" w:space="0"/>
              <w:right w:val="single" w:color="auto" w:sz="4" w:space="0"/>
            </w:tcBorders>
            <w:noWrap w:val="0"/>
            <w:vAlign w:val="bottom"/>
          </w:tcPr>
          <w:p>
            <w:pPr>
              <w:jc w:val="both"/>
              <w:rPr>
                <w:rFonts w:hint="eastAsia" w:ascii="宋体" w:hAnsi="宋体" w:cs="宋体"/>
                <w:sz w:val="21"/>
                <w:szCs w:val="21"/>
              </w:rPr>
            </w:pPr>
            <w:r>
              <w:rPr>
                <w:kern w:val="2"/>
                <w:sz w:val="21"/>
                <w:szCs w:val="24"/>
                <w:lang w:eastAsia="zh-CN"/>
              </w:rPr>
              <w:t>有法定代表人（单位负责人）或其委托代理人签字或加盖单位章。由法定代表人（单位负责人）签字的，应附法定代表人（单位负责人）身份证明，由代理人签字的，应附授权委托书，身份证明或授权委托书应符合“投标文件格式”的规定</w:t>
            </w:r>
          </w:p>
        </w:tc>
        <w:tc>
          <w:tcPr>
            <w:tcW w:w="2353" w:type="dxa"/>
            <w:tcBorders>
              <w:top w:val="single" w:color="auto" w:sz="4" w:space="0"/>
              <w:left w:val="single" w:color="auto" w:sz="4" w:space="0"/>
              <w:bottom w:val="single" w:color="auto" w:sz="4" w:space="0"/>
              <w:right w:val="single" w:color="auto" w:sz="4" w:space="0"/>
            </w:tcBorders>
            <w:noWrap w:val="0"/>
            <w:vAlign w:val="center"/>
          </w:tcPr>
          <w:p>
            <w:pPr>
              <w:pStyle w:val="16"/>
              <w:widowControl/>
              <w:jc w:val="center"/>
              <w:rPr>
                <w:rFonts w:ascii="宋体" w:hAnsi="宋体" w:cs="宋体"/>
                <w:szCs w:val="21"/>
              </w:rPr>
            </w:pPr>
          </w:p>
        </w:tc>
        <w:tc>
          <w:tcPr>
            <w:tcW w:w="2365" w:type="dxa"/>
            <w:tcBorders>
              <w:top w:val="single" w:color="auto" w:sz="4" w:space="0"/>
              <w:left w:val="single" w:color="auto" w:sz="4" w:space="0"/>
              <w:bottom w:val="single" w:color="auto" w:sz="4" w:space="0"/>
              <w:right w:val="single" w:color="auto" w:sz="4" w:space="0"/>
            </w:tcBorders>
            <w:noWrap w:val="0"/>
            <w:vAlign w:val="center"/>
          </w:tcPr>
          <w:p>
            <w:pPr>
              <w:pStyle w:val="16"/>
              <w:widowControl/>
              <w:jc w:val="center"/>
              <w:rPr>
                <w:rFonts w:ascii="宋体" w:hAnsi="宋体" w:cs="宋体"/>
                <w:szCs w:val="21"/>
              </w:rPr>
            </w:pPr>
          </w:p>
        </w:tc>
      </w:tr>
      <w:tr>
        <w:tblPrEx>
          <w:tblCellMar>
            <w:top w:w="0" w:type="dxa"/>
            <w:left w:w="108" w:type="dxa"/>
            <w:bottom w:w="0" w:type="dxa"/>
            <w:right w:w="108" w:type="dxa"/>
          </w:tblCellMar>
        </w:tblPrEx>
        <w:trPr>
          <w:trHeight w:val="689" w:hRule="atLeast"/>
        </w:trPr>
        <w:tc>
          <w:tcPr>
            <w:tcW w:w="851" w:type="dxa"/>
            <w:tcBorders>
              <w:top w:val="single" w:color="auto" w:sz="4" w:space="0"/>
              <w:left w:val="single" w:color="auto" w:sz="4" w:space="0"/>
              <w:bottom w:val="single" w:color="auto" w:sz="4" w:space="0"/>
              <w:right w:val="single" w:color="auto" w:sz="4" w:space="0"/>
            </w:tcBorders>
            <w:noWrap w:val="0"/>
            <w:vAlign w:val="bottom"/>
          </w:tcPr>
          <w:p>
            <w:pPr>
              <w:jc w:val="both"/>
              <w:rPr>
                <w:rFonts w:ascii="宋体" w:hAnsi="宋体" w:cs="宋体"/>
                <w:szCs w:val="21"/>
              </w:rPr>
            </w:pPr>
            <w:r>
              <w:rPr>
                <w:kern w:val="2"/>
                <w:sz w:val="21"/>
                <w:szCs w:val="24"/>
                <w:lang w:eastAsia="zh-CN"/>
              </w:rPr>
              <w:t>★投标有效期</w:t>
            </w:r>
          </w:p>
        </w:tc>
        <w:tc>
          <w:tcPr>
            <w:tcW w:w="3742" w:type="dxa"/>
            <w:tcBorders>
              <w:top w:val="single" w:color="auto" w:sz="4" w:space="0"/>
              <w:left w:val="single" w:color="auto" w:sz="4" w:space="0"/>
              <w:bottom w:val="single" w:color="auto" w:sz="4" w:space="0"/>
              <w:right w:val="single" w:color="auto" w:sz="4" w:space="0"/>
            </w:tcBorders>
            <w:noWrap w:val="0"/>
            <w:vAlign w:val="bottom"/>
          </w:tcPr>
          <w:p>
            <w:pPr>
              <w:jc w:val="both"/>
              <w:rPr>
                <w:rFonts w:ascii="宋体" w:hAnsi="宋体" w:cs="宋体"/>
                <w:snapToGrid w:val="0"/>
                <w:kern w:val="0"/>
                <w:szCs w:val="21"/>
              </w:rPr>
            </w:pPr>
            <w:r>
              <w:rPr>
                <w:kern w:val="2"/>
                <w:sz w:val="21"/>
                <w:szCs w:val="24"/>
                <w:lang w:eastAsia="zh-CN"/>
              </w:rPr>
              <w:t>投标截止之日起120天内保持有效。</w:t>
            </w:r>
          </w:p>
        </w:tc>
        <w:tc>
          <w:tcPr>
            <w:tcW w:w="2353" w:type="dxa"/>
            <w:tcBorders>
              <w:top w:val="single" w:color="auto" w:sz="4" w:space="0"/>
              <w:left w:val="single" w:color="auto" w:sz="4" w:space="0"/>
              <w:bottom w:val="single" w:color="auto" w:sz="4" w:space="0"/>
              <w:right w:val="single" w:color="auto" w:sz="4" w:space="0"/>
            </w:tcBorders>
            <w:noWrap w:val="0"/>
            <w:vAlign w:val="center"/>
          </w:tcPr>
          <w:p>
            <w:pPr>
              <w:pStyle w:val="16"/>
              <w:widowControl/>
              <w:jc w:val="center"/>
              <w:rPr>
                <w:rFonts w:ascii="宋体" w:hAnsi="宋体" w:cs="宋体"/>
                <w:szCs w:val="21"/>
              </w:rPr>
            </w:pPr>
          </w:p>
        </w:tc>
        <w:tc>
          <w:tcPr>
            <w:tcW w:w="2365" w:type="dxa"/>
            <w:tcBorders>
              <w:top w:val="single" w:color="auto" w:sz="4" w:space="0"/>
              <w:left w:val="single" w:color="auto" w:sz="4" w:space="0"/>
              <w:bottom w:val="single" w:color="auto" w:sz="4" w:space="0"/>
              <w:right w:val="single" w:color="auto" w:sz="4" w:space="0"/>
            </w:tcBorders>
            <w:noWrap w:val="0"/>
            <w:vAlign w:val="center"/>
          </w:tcPr>
          <w:p>
            <w:pPr>
              <w:pStyle w:val="16"/>
              <w:widowControl/>
              <w:jc w:val="center"/>
              <w:rPr>
                <w:rFonts w:ascii="宋体" w:hAnsi="宋体" w:cs="宋体"/>
                <w:szCs w:val="21"/>
              </w:rPr>
            </w:pPr>
          </w:p>
        </w:tc>
      </w:tr>
      <w:tr>
        <w:tblPrEx>
          <w:tblCellMar>
            <w:top w:w="0" w:type="dxa"/>
            <w:left w:w="108" w:type="dxa"/>
            <w:bottom w:w="0" w:type="dxa"/>
            <w:right w:w="108" w:type="dxa"/>
          </w:tblCellMar>
        </w:tblPrEx>
        <w:trPr>
          <w:trHeight w:val="689" w:hRule="atLeast"/>
        </w:trPr>
        <w:tc>
          <w:tcPr>
            <w:tcW w:w="851" w:type="dxa"/>
            <w:tcBorders>
              <w:top w:val="single" w:color="auto" w:sz="4" w:space="0"/>
              <w:left w:val="single" w:color="auto" w:sz="4" w:space="0"/>
              <w:bottom w:val="single" w:color="auto" w:sz="4" w:space="0"/>
              <w:right w:val="single" w:color="auto" w:sz="4" w:space="0"/>
            </w:tcBorders>
            <w:noWrap w:val="0"/>
            <w:vAlign w:val="bottom"/>
          </w:tcPr>
          <w:p>
            <w:pPr>
              <w:jc w:val="both"/>
              <w:rPr>
                <w:rFonts w:ascii="宋体" w:hAnsi="宋体" w:cs="宋体"/>
                <w:snapToGrid w:val="0"/>
                <w:kern w:val="0"/>
                <w:szCs w:val="21"/>
              </w:rPr>
            </w:pPr>
            <w:r>
              <w:rPr>
                <w:kern w:val="2"/>
                <w:sz w:val="21"/>
                <w:szCs w:val="24"/>
                <w:lang w:eastAsia="zh-CN"/>
              </w:rPr>
              <w:t>★联合体投标</w:t>
            </w:r>
          </w:p>
        </w:tc>
        <w:tc>
          <w:tcPr>
            <w:tcW w:w="3742" w:type="dxa"/>
            <w:tcBorders>
              <w:top w:val="single" w:color="auto" w:sz="4" w:space="0"/>
              <w:left w:val="single" w:color="auto" w:sz="4" w:space="0"/>
              <w:bottom w:val="single" w:color="auto" w:sz="4" w:space="0"/>
              <w:right w:val="single" w:color="auto" w:sz="4" w:space="0"/>
            </w:tcBorders>
            <w:noWrap w:val="0"/>
            <w:vAlign w:val="bottom"/>
          </w:tcPr>
          <w:p>
            <w:pPr>
              <w:jc w:val="both"/>
              <w:rPr>
                <w:rFonts w:ascii="宋体" w:hAnsi="宋体" w:cs="宋体"/>
                <w:snapToGrid w:val="0"/>
                <w:kern w:val="0"/>
                <w:szCs w:val="21"/>
              </w:rPr>
            </w:pPr>
            <w:r>
              <w:rPr>
                <w:kern w:val="2"/>
                <w:sz w:val="21"/>
                <w:szCs w:val="24"/>
                <w:lang w:eastAsia="zh-CN"/>
              </w:rPr>
              <w:t>不接受联合体投标</w:t>
            </w:r>
          </w:p>
        </w:tc>
        <w:tc>
          <w:tcPr>
            <w:tcW w:w="2353" w:type="dxa"/>
            <w:tcBorders>
              <w:top w:val="single" w:color="auto" w:sz="4" w:space="0"/>
              <w:left w:val="single" w:color="auto" w:sz="4" w:space="0"/>
              <w:bottom w:val="single" w:color="auto" w:sz="4" w:space="0"/>
              <w:right w:val="single" w:color="auto" w:sz="4" w:space="0"/>
            </w:tcBorders>
            <w:noWrap w:val="0"/>
            <w:vAlign w:val="center"/>
          </w:tcPr>
          <w:p>
            <w:pPr>
              <w:pStyle w:val="16"/>
              <w:widowControl/>
              <w:jc w:val="center"/>
              <w:rPr>
                <w:rFonts w:ascii="宋体" w:hAnsi="宋体" w:cs="宋体"/>
                <w:szCs w:val="21"/>
              </w:rPr>
            </w:pPr>
          </w:p>
        </w:tc>
        <w:tc>
          <w:tcPr>
            <w:tcW w:w="2365" w:type="dxa"/>
            <w:tcBorders>
              <w:top w:val="single" w:color="auto" w:sz="4" w:space="0"/>
              <w:left w:val="single" w:color="auto" w:sz="4" w:space="0"/>
              <w:bottom w:val="single" w:color="auto" w:sz="4" w:space="0"/>
              <w:right w:val="single" w:color="auto" w:sz="4" w:space="0"/>
            </w:tcBorders>
            <w:noWrap w:val="0"/>
            <w:vAlign w:val="center"/>
          </w:tcPr>
          <w:p>
            <w:pPr>
              <w:pStyle w:val="16"/>
              <w:widowControl/>
              <w:jc w:val="center"/>
              <w:rPr>
                <w:rFonts w:ascii="宋体" w:hAnsi="宋体" w:cs="宋体"/>
                <w:szCs w:val="21"/>
              </w:rPr>
            </w:pPr>
          </w:p>
        </w:tc>
      </w:tr>
      <w:tr>
        <w:tblPrEx>
          <w:tblCellMar>
            <w:top w:w="0" w:type="dxa"/>
            <w:left w:w="108" w:type="dxa"/>
            <w:bottom w:w="0" w:type="dxa"/>
            <w:right w:w="108" w:type="dxa"/>
          </w:tblCellMar>
        </w:tblPrEx>
        <w:trPr>
          <w:trHeight w:val="689" w:hRule="atLeast"/>
        </w:trPr>
        <w:tc>
          <w:tcPr>
            <w:tcW w:w="851" w:type="dxa"/>
            <w:tcBorders>
              <w:top w:val="single" w:color="auto" w:sz="4" w:space="0"/>
              <w:left w:val="single" w:color="auto" w:sz="4" w:space="0"/>
              <w:bottom w:val="single" w:color="auto" w:sz="4" w:space="0"/>
              <w:right w:val="single" w:color="auto" w:sz="4" w:space="0"/>
            </w:tcBorders>
            <w:noWrap w:val="0"/>
            <w:vAlign w:val="bottom"/>
          </w:tcPr>
          <w:p>
            <w:pPr>
              <w:jc w:val="both"/>
              <w:rPr>
                <w:rFonts w:ascii="宋体" w:hAnsi="宋体" w:cs="宋体"/>
                <w:snapToGrid w:val="0"/>
                <w:kern w:val="0"/>
                <w:szCs w:val="21"/>
              </w:rPr>
            </w:pPr>
            <w:r>
              <w:rPr>
                <w:kern w:val="2"/>
                <w:sz w:val="21"/>
                <w:szCs w:val="24"/>
                <w:lang w:eastAsia="zh-CN"/>
              </w:rPr>
              <w:t>★备选方案</w:t>
            </w:r>
          </w:p>
        </w:tc>
        <w:tc>
          <w:tcPr>
            <w:tcW w:w="3742" w:type="dxa"/>
            <w:tcBorders>
              <w:top w:val="single" w:color="auto" w:sz="4" w:space="0"/>
              <w:left w:val="single" w:color="auto" w:sz="4" w:space="0"/>
              <w:bottom w:val="single" w:color="auto" w:sz="4" w:space="0"/>
              <w:right w:val="single" w:color="auto" w:sz="4" w:space="0"/>
            </w:tcBorders>
            <w:noWrap w:val="0"/>
            <w:vAlign w:val="bottom"/>
          </w:tcPr>
          <w:p>
            <w:pPr>
              <w:jc w:val="both"/>
              <w:rPr>
                <w:rFonts w:ascii="宋体" w:hAnsi="宋体" w:cs="宋体"/>
                <w:snapToGrid w:val="0"/>
                <w:kern w:val="0"/>
                <w:szCs w:val="21"/>
              </w:rPr>
            </w:pPr>
            <w:r>
              <w:rPr>
                <w:kern w:val="2"/>
                <w:sz w:val="21"/>
                <w:szCs w:val="24"/>
                <w:lang w:eastAsia="zh-CN"/>
              </w:rPr>
              <w:t>不允许备选方案</w:t>
            </w:r>
          </w:p>
        </w:tc>
        <w:tc>
          <w:tcPr>
            <w:tcW w:w="2353" w:type="dxa"/>
            <w:tcBorders>
              <w:top w:val="single" w:color="auto" w:sz="4" w:space="0"/>
              <w:left w:val="single" w:color="auto" w:sz="4" w:space="0"/>
              <w:bottom w:val="single" w:color="auto" w:sz="4" w:space="0"/>
              <w:right w:val="single" w:color="auto" w:sz="4" w:space="0"/>
            </w:tcBorders>
            <w:noWrap w:val="0"/>
            <w:vAlign w:val="center"/>
          </w:tcPr>
          <w:p>
            <w:pPr>
              <w:pStyle w:val="16"/>
              <w:widowControl/>
              <w:jc w:val="center"/>
              <w:rPr>
                <w:rFonts w:ascii="宋体" w:hAnsi="宋体" w:cs="宋体"/>
                <w:szCs w:val="21"/>
              </w:rPr>
            </w:pPr>
          </w:p>
        </w:tc>
        <w:tc>
          <w:tcPr>
            <w:tcW w:w="2365" w:type="dxa"/>
            <w:tcBorders>
              <w:top w:val="single" w:color="auto" w:sz="4" w:space="0"/>
              <w:left w:val="single" w:color="auto" w:sz="4" w:space="0"/>
              <w:bottom w:val="single" w:color="auto" w:sz="4" w:space="0"/>
              <w:right w:val="single" w:color="auto" w:sz="4" w:space="0"/>
            </w:tcBorders>
            <w:noWrap w:val="0"/>
            <w:vAlign w:val="center"/>
          </w:tcPr>
          <w:p>
            <w:pPr>
              <w:pStyle w:val="16"/>
              <w:widowControl/>
              <w:jc w:val="center"/>
              <w:rPr>
                <w:rFonts w:ascii="宋体" w:hAnsi="宋体" w:cs="宋体"/>
                <w:szCs w:val="21"/>
              </w:rPr>
            </w:pPr>
          </w:p>
        </w:tc>
      </w:tr>
      <w:tr>
        <w:tblPrEx>
          <w:tblCellMar>
            <w:top w:w="0" w:type="dxa"/>
            <w:left w:w="108" w:type="dxa"/>
            <w:bottom w:w="0" w:type="dxa"/>
            <w:right w:w="108" w:type="dxa"/>
          </w:tblCellMar>
        </w:tblPrEx>
        <w:trPr>
          <w:trHeight w:val="689" w:hRule="atLeast"/>
        </w:trPr>
        <w:tc>
          <w:tcPr>
            <w:tcW w:w="851" w:type="dxa"/>
            <w:tcBorders>
              <w:top w:val="single" w:color="auto" w:sz="4" w:space="0"/>
              <w:left w:val="single" w:color="auto" w:sz="4" w:space="0"/>
              <w:bottom w:val="single" w:color="auto" w:sz="4" w:space="0"/>
              <w:right w:val="single" w:color="auto" w:sz="4" w:space="0"/>
            </w:tcBorders>
            <w:noWrap w:val="0"/>
            <w:vAlign w:val="bottom"/>
          </w:tcPr>
          <w:p>
            <w:pPr>
              <w:jc w:val="both"/>
              <w:rPr>
                <w:rFonts w:ascii="宋体" w:hAnsi="宋体" w:cs="宋体"/>
                <w:szCs w:val="21"/>
              </w:rPr>
            </w:pPr>
            <w:r>
              <w:rPr>
                <w:kern w:val="2"/>
                <w:sz w:val="21"/>
                <w:szCs w:val="24"/>
                <w:lang w:eastAsia="zh-CN"/>
              </w:rPr>
              <w:t>★报价文件特征码</w:t>
            </w:r>
          </w:p>
        </w:tc>
        <w:tc>
          <w:tcPr>
            <w:tcW w:w="3742" w:type="dxa"/>
            <w:tcBorders>
              <w:top w:val="single" w:color="auto" w:sz="4" w:space="0"/>
              <w:left w:val="single" w:color="auto" w:sz="4" w:space="0"/>
              <w:bottom w:val="single" w:color="auto" w:sz="4" w:space="0"/>
              <w:right w:val="single" w:color="auto" w:sz="4" w:space="0"/>
            </w:tcBorders>
            <w:noWrap w:val="0"/>
            <w:vAlign w:val="bottom"/>
          </w:tcPr>
          <w:p>
            <w:pPr>
              <w:jc w:val="both"/>
              <w:rPr>
                <w:rFonts w:ascii="宋体" w:hAnsi="宋体" w:cs="宋体"/>
                <w:szCs w:val="21"/>
              </w:rPr>
            </w:pPr>
            <w:r>
              <w:rPr>
                <w:kern w:val="2"/>
                <w:sz w:val="21"/>
                <w:szCs w:val="24"/>
                <w:lang w:eastAsia="zh-CN"/>
              </w:rPr>
              <w:t>有以下情形之一的，视为投标人相互串通投标： a.不同投标人的投标文件由同一单位或者个人编制，例如：不同投标人在集团公司数字化供应链平台上下载招标文件或上传投标文件记录的“文件制作机器码、文件创建标识码和投标电脑 MAC 地址（或“网卡序列号”）”内容任何一项一致； b.不同投标人的投标文件异常一致或者存在两处以上一致性错误； ★关于投标人违规：被认定为“属于投标人相互串通投标”“视为投标人相互串通投标”或“提供虚假投标资料”的供应商，将按照中国海油相关制度规定，对围标串标的投标人处于禁用两年及以上的处理，对提供虚假投标资料的投标人处于禁用一年及以上的处理，处理期内不能参与新的投标活动。</w:t>
            </w:r>
          </w:p>
        </w:tc>
        <w:tc>
          <w:tcPr>
            <w:tcW w:w="2353" w:type="dxa"/>
            <w:tcBorders>
              <w:top w:val="single" w:color="auto" w:sz="4" w:space="0"/>
              <w:left w:val="single" w:color="auto" w:sz="4" w:space="0"/>
              <w:bottom w:val="single" w:color="auto" w:sz="4" w:space="0"/>
              <w:right w:val="single" w:color="auto" w:sz="4" w:space="0"/>
            </w:tcBorders>
            <w:noWrap w:val="0"/>
            <w:vAlign w:val="center"/>
          </w:tcPr>
          <w:p>
            <w:pPr>
              <w:pStyle w:val="16"/>
              <w:widowControl/>
              <w:jc w:val="center"/>
              <w:rPr>
                <w:rFonts w:ascii="宋体" w:hAnsi="宋体" w:cs="宋体"/>
                <w:szCs w:val="21"/>
              </w:rPr>
            </w:pPr>
          </w:p>
        </w:tc>
        <w:tc>
          <w:tcPr>
            <w:tcW w:w="2365" w:type="dxa"/>
            <w:tcBorders>
              <w:top w:val="single" w:color="auto" w:sz="4" w:space="0"/>
              <w:left w:val="single" w:color="auto" w:sz="4" w:space="0"/>
              <w:bottom w:val="single" w:color="auto" w:sz="4" w:space="0"/>
              <w:right w:val="single" w:color="auto" w:sz="4" w:space="0"/>
            </w:tcBorders>
            <w:noWrap w:val="0"/>
            <w:vAlign w:val="center"/>
          </w:tcPr>
          <w:p>
            <w:pPr>
              <w:pStyle w:val="16"/>
              <w:widowControl/>
              <w:jc w:val="center"/>
              <w:rPr>
                <w:rFonts w:ascii="宋体" w:hAnsi="宋体" w:cs="宋体"/>
                <w:szCs w:val="21"/>
              </w:rPr>
            </w:pPr>
          </w:p>
        </w:tc>
      </w:tr>
      <w:tr>
        <w:tblPrEx>
          <w:tblCellMar>
            <w:top w:w="0" w:type="dxa"/>
            <w:left w:w="108" w:type="dxa"/>
            <w:bottom w:w="0" w:type="dxa"/>
            <w:right w:w="108" w:type="dxa"/>
          </w:tblCellMar>
        </w:tblPrEx>
        <w:trPr>
          <w:trHeight w:val="689" w:hRule="atLeast"/>
        </w:trPr>
        <w:tc>
          <w:tcPr>
            <w:tcW w:w="851" w:type="dxa"/>
            <w:tcBorders>
              <w:top w:val="single" w:color="auto" w:sz="4" w:space="0"/>
              <w:left w:val="single" w:color="auto" w:sz="4" w:space="0"/>
              <w:bottom w:val="single" w:color="auto" w:sz="4" w:space="0"/>
              <w:right w:val="single" w:color="auto" w:sz="4" w:space="0"/>
            </w:tcBorders>
            <w:noWrap w:val="0"/>
            <w:vAlign w:val="bottom"/>
          </w:tcPr>
          <w:p>
            <w:pPr>
              <w:jc w:val="both"/>
              <w:rPr>
                <w:rFonts w:ascii="宋体" w:hAnsi="宋体" w:cs="宋体"/>
                <w:szCs w:val="21"/>
              </w:rPr>
            </w:pPr>
            <w:r>
              <w:rPr>
                <w:kern w:val="2"/>
                <w:sz w:val="21"/>
                <w:szCs w:val="24"/>
                <w:lang w:eastAsia="zh-CN"/>
              </w:rPr>
              <w:t>★分包要求</w:t>
            </w:r>
          </w:p>
        </w:tc>
        <w:tc>
          <w:tcPr>
            <w:tcW w:w="3742" w:type="dxa"/>
            <w:tcBorders>
              <w:top w:val="single" w:color="auto" w:sz="4" w:space="0"/>
              <w:left w:val="single" w:color="auto" w:sz="4" w:space="0"/>
              <w:bottom w:val="single" w:color="auto" w:sz="4" w:space="0"/>
              <w:right w:val="single" w:color="auto" w:sz="4" w:space="0"/>
            </w:tcBorders>
            <w:noWrap w:val="0"/>
            <w:vAlign w:val="bottom"/>
          </w:tcPr>
          <w:p>
            <w:pPr>
              <w:jc w:val="both"/>
              <w:rPr>
                <w:rFonts w:ascii="宋体" w:hAnsi="宋体" w:cs="宋体"/>
                <w:snapToGrid w:val="0"/>
                <w:kern w:val="0"/>
                <w:szCs w:val="21"/>
              </w:rPr>
            </w:pPr>
            <w:r>
              <w:rPr>
                <w:kern w:val="2"/>
                <w:sz w:val="21"/>
                <w:szCs w:val="24"/>
                <w:lang w:eastAsia="zh-CN"/>
              </w:rPr>
              <w:t>不允许分包。</w:t>
            </w:r>
          </w:p>
        </w:tc>
        <w:tc>
          <w:tcPr>
            <w:tcW w:w="2353" w:type="dxa"/>
            <w:tcBorders>
              <w:top w:val="single" w:color="auto" w:sz="4" w:space="0"/>
              <w:left w:val="single" w:color="auto" w:sz="4" w:space="0"/>
              <w:bottom w:val="single" w:color="auto" w:sz="4" w:space="0"/>
              <w:right w:val="single" w:color="auto" w:sz="4" w:space="0"/>
            </w:tcBorders>
            <w:noWrap w:val="0"/>
            <w:vAlign w:val="center"/>
          </w:tcPr>
          <w:p>
            <w:pPr>
              <w:pStyle w:val="16"/>
              <w:widowControl/>
              <w:jc w:val="center"/>
              <w:rPr>
                <w:rFonts w:ascii="宋体" w:hAnsi="宋体" w:cs="宋体"/>
                <w:szCs w:val="21"/>
              </w:rPr>
            </w:pPr>
          </w:p>
        </w:tc>
        <w:tc>
          <w:tcPr>
            <w:tcW w:w="2365" w:type="dxa"/>
            <w:tcBorders>
              <w:top w:val="single" w:color="auto" w:sz="4" w:space="0"/>
              <w:left w:val="single" w:color="auto" w:sz="4" w:space="0"/>
              <w:bottom w:val="single" w:color="auto" w:sz="4" w:space="0"/>
              <w:right w:val="single" w:color="auto" w:sz="4" w:space="0"/>
            </w:tcBorders>
            <w:noWrap w:val="0"/>
            <w:vAlign w:val="center"/>
          </w:tcPr>
          <w:p>
            <w:pPr>
              <w:pStyle w:val="16"/>
              <w:widowControl/>
              <w:jc w:val="center"/>
              <w:rPr>
                <w:rFonts w:ascii="宋体" w:hAnsi="宋体" w:cs="宋体"/>
                <w:szCs w:val="21"/>
              </w:rPr>
            </w:pPr>
          </w:p>
        </w:tc>
      </w:tr>
      <w:tr>
        <w:tblPrEx>
          <w:tblCellMar>
            <w:top w:w="0" w:type="dxa"/>
            <w:left w:w="108" w:type="dxa"/>
            <w:bottom w:w="0" w:type="dxa"/>
            <w:right w:w="108" w:type="dxa"/>
          </w:tblCellMar>
        </w:tblPrEx>
        <w:trPr>
          <w:trHeight w:val="689" w:hRule="atLeast"/>
        </w:trPr>
        <w:tc>
          <w:tcPr>
            <w:tcW w:w="4593" w:type="dxa"/>
            <w:gridSpan w:val="2"/>
            <w:tcBorders>
              <w:top w:val="single" w:color="auto" w:sz="4" w:space="0"/>
              <w:left w:val="single" w:color="auto" w:sz="4" w:space="0"/>
              <w:bottom w:val="single" w:color="auto" w:sz="4" w:space="0"/>
              <w:right w:val="single" w:color="auto" w:sz="4" w:space="0"/>
            </w:tcBorders>
            <w:noWrap w:val="0"/>
            <w:vAlign w:val="center"/>
          </w:tcPr>
          <w:p>
            <w:pPr>
              <w:pStyle w:val="16"/>
              <w:widowControl/>
              <w:jc w:val="center"/>
              <w:rPr>
                <w:rFonts w:ascii="宋体" w:hAnsi="宋体" w:cs="宋体"/>
                <w:szCs w:val="21"/>
              </w:rPr>
            </w:pPr>
            <w:r>
              <w:rPr>
                <w:rFonts w:hint="eastAsia" w:ascii="宋体" w:hAnsi="宋体" w:cs="宋体"/>
                <w:szCs w:val="21"/>
              </w:rPr>
              <w:t>结论</w:t>
            </w:r>
          </w:p>
        </w:tc>
        <w:tc>
          <w:tcPr>
            <w:tcW w:w="4718" w:type="dxa"/>
            <w:gridSpan w:val="2"/>
            <w:tcBorders>
              <w:top w:val="single" w:color="auto" w:sz="4" w:space="0"/>
              <w:left w:val="single" w:color="auto" w:sz="4" w:space="0"/>
              <w:bottom w:val="single" w:color="auto" w:sz="4" w:space="0"/>
              <w:right w:val="single" w:color="auto" w:sz="4" w:space="0"/>
            </w:tcBorders>
            <w:noWrap w:val="0"/>
            <w:vAlign w:val="center"/>
          </w:tcPr>
          <w:p>
            <w:pPr>
              <w:pStyle w:val="16"/>
              <w:widowControl/>
              <w:jc w:val="center"/>
              <w:rPr>
                <w:rFonts w:ascii="宋体" w:hAnsi="宋体" w:cs="宋体"/>
                <w:szCs w:val="21"/>
              </w:rPr>
            </w:pPr>
          </w:p>
        </w:tc>
      </w:tr>
    </w:tbl>
    <w:p>
      <w:pPr>
        <w:pStyle w:val="16"/>
      </w:pPr>
      <w:bookmarkStart w:id="312" w:name="_GoBack"/>
      <w:bookmarkEnd w:id="312"/>
      <w:r>
        <w:rPr>
          <w:rFonts w:hint="eastAsia"/>
        </w:rPr>
        <w:t>注：</w:t>
      </w:r>
    </w:p>
    <w:p>
      <w:pPr>
        <w:pStyle w:val="16"/>
        <w:rPr>
          <w:rFonts w:ascii="宋体" w:hAnsi="宋体"/>
          <w:bCs/>
          <w:sz w:val="24"/>
        </w:rPr>
      </w:pPr>
      <w:r>
        <w:rPr>
          <w:rFonts w:hint="eastAsia"/>
        </w:rPr>
        <w:t>1.申请文件响应</w:t>
      </w:r>
      <w:r>
        <w:t>可填具体的数据或填“满足”、“不满足”；</w:t>
      </w:r>
      <w:r>
        <w:rPr>
          <w:rFonts w:hint="eastAsia"/>
        </w:rPr>
        <w:t>评议栏中填写“接受”或“不接受”，结论为合格或不合格。</w:t>
      </w:r>
      <w:r>
        <w:rPr>
          <w:rFonts w:ascii="宋体" w:hAnsi="宋体"/>
          <w:bCs/>
        </w:rPr>
        <w:t>即</w:t>
      </w:r>
      <w:r>
        <w:rPr>
          <w:rFonts w:hint="eastAsia" w:ascii="宋体" w:hAnsi="宋体"/>
          <w:bCs/>
        </w:rPr>
        <w:t>有1项不满足的，</w:t>
      </w:r>
      <w:r>
        <w:rPr>
          <w:rFonts w:ascii="宋体" w:hAnsi="宋体"/>
          <w:bCs/>
        </w:rPr>
        <w:t>视为</w:t>
      </w:r>
      <w:r>
        <w:rPr>
          <w:rFonts w:hint="eastAsia" w:ascii="宋体" w:hAnsi="宋体"/>
          <w:bCs/>
        </w:rPr>
        <w:t>否决项评审结论为“</w:t>
      </w:r>
      <w:r>
        <w:rPr>
          <w:rFonts w:ascii="宋体" w:hAnsi="宋体"/>
          <w:bCs/>
        </w:rPr>
        <w:t>不合格</w:t>
      </w:r>
      <w:r>
        <w:rPr>
          <w:rFonts w:hint="eastAsia" w:ascii="宋体" w:hAnsi="宋体"/>
          <w:bCs/>
        </w:rPr>
        <w:t>”。</w:t>
      </w:r>
    </w:p>
    <w:p>
      <w:pPr>
        <w:pStyle w:val="16"/>
      </w:pPr>
    </w:p>
    <w:p>
      <w:pPr>
        <w:pStyle w:val="16"/>
      </w:pPr>
      <w:r>
        <w:rPr>
          <w:rFonts w:hint="eastAsia"/>
          <w:kern w:val="0"/>
          <w:szCs w:val="21"/>
        </w:rPr>
        <w:t>评审专家签字：</w:t>
      </w:r>
      <w:r>
        <w:rPr>
          <w:rFonts w:hint="eastAsia"/>
        </w:rPr>
        <w:t xml:space="preserve"> </w:t>
      </w:r>
    </w:p>
    <w:p>
      <w:pPr>
        <w:pStyle w:val="16"/>
        <w:spacing w:line="360" w:lineRule="auto"/>
        <w:jc w:val="center"/>
        <w:outlineLvl w:val="1"/>
        <w:rPr>
          <w:b/>
          <w:sz w:val="24"/>
        </w:rPr>
      </w:pPr>
      <w:r>
        <w:rPr>
          <w:b/>
          <w:bCs/>
          <w:kern w:val="0"/>
          <w:sz w:val="28"/>
          <w:szCs w:val="28"/>
        </w:rPr>
        <w:br w:type="page"/>
      </w:r>
      <w:r>
        <w:rPr>
          <w:rFonts w:hint="eastAsia"/>
          <w:b/>
          <w:bCs/>
          <w:kern w:val="0"/>
          <w:sz w:val="28"/>
          <w:szCs w:val="28"/>
        </w:rPr>
        <w:t>商务评议表</w:t>
      </w:r>
    </w:p>
    <w:p>
      <w:pPr>
        <w:pStyle w:val="16"/>
        <w:rPr>
          <w:rFonts w:ascii="Arial" w:hAnsi="宋体" w:cs="宋体"/>
          <w:bCs/>
          <w:kern w:val="0"/>
          <w:sz w:val="24"/>
          <w:lang w:val="zh-CN"/>
        </w:rPr>
      </w:pPr>
      <w:r>
        <w:rPr>
          <w:kern w:val="0"/>
          <w:szCs w:val="21"/>
        </w:rPr>
        <w:t>项目名称：</w:t>
      </w:r>
      <w:r>
        <w:rPr>
          <w:rFonts w:ascii="Arial" w:hAnsi="宋体" w:cs="宋体"/>
          <w:bCs/>
          <w:kern w:val="0"/>
          <w:szCs w:val="21"/>
          <w:lang w:val="zh-CN"/>
        </w:rPr>
        <w:t xml:space="preserve">  </w:t>
      </w:r>
      <w:r>
        <w:rPr>
          <w:rFonts w:hint="eastAsia" w:ascii="Arial" w:hAnsi="宋体" w:cs="宋体"/>
          <w:bCs/>
          <w:kern w:val="0"/>
          <w:sz w:val="24"/>
          <w:lang w:val="zh-CN"/>
        </w:rPr>
        <w:t>中海油能源发展股份有限公司工程技术公司永磁系列潜油电机等物资采购专有协议--标段六 供应商投标资格审查项目</w:t>
      </w:r>
    </w:p>
    <w:p>
      <w:pPr>
        <w:pStyle w:val="16"/>
        <w:spacing w:line="360" w:lineRule="auto"/>
        <w:jc w:val="left"/>
        <w:rPr>
          <w:rFonts w:hint="eastAsia" w:ascii="Arial" w:hAnsi="Arial" w:cs="Arial"/>
          <w:kern w:val="0"/>
          <w:szCs w:val="21"/>
          <w:highlight w:val="yellow"/>
          <w:lang w:eastAsia="zh-CN"/>
        </w:rPr>
      </w:pPr>
      <w:r>
        <w:rPr>
          <w:rFonts w:hint="eastAsia" w:ascii="Arial" w:hAnsi="Arial" w:cs="Arial"/>
          <w:kern w:val="0"/>
          <w:szCs w:val="21"/>
        </w:rPr>
        <w:t>标段（包）编号：</w:t>
      </w:r>
      <w:r>
        <w:rPr>
          <w:rFonts w:hint="eastAsia" w:ascii="Arial" w:hAnsi="Arial" w:cs="Arial"/>
          <w:kern w:val="0"/>
          <w:szCs w:val="21"/>
          <w:highlight w:val="yellow"/>
          <w:lang w:eastAsia="zh-CN"/>
        </w:rPr>
        <w:t>GK-2025-ZC-1263/01/06</w:t>
      </w:r>
    </w:p>
    <w:p>
      <w:pPr>
        <w:pStyle w:val="17"/>
        <w:rPr>
          <w:rFonts w:hint="eastAsia"/>
          <w:lang w:eastAsia="zh-CN"/>
        </w:rPr>
      </w:pPr>
    </w:p>
    <w:tbl>
      <w:tblPr>
        <w:tblStyle w:val="11"/>
        <w:tblpPr w:leftFromText="180" w:rightFromText="180" w:vertAnchor="text" w:horzAnchor="page" w:tblpX="503" w:tblpY="372"/>
        <w:tblOverlap w:val="never"/>
        <w:tblW w:w="9939" w:type="dxa"/>
        <w:tblInd w:w="0" w:type="dxa"/>
        <w:tblLayout w:type="autofit"/>
        <w:tblCellMar>
          <w:top w:w="0" w:type="dxa"/>
          <w:left w:w="108" w:type="dxa"/>
          <w:bottom w:w="0" w:type="dxa"/>
          <w:right w:w="108" w:type="dxa"/>
        </w:tblCellMar>
      </w:tblPr>
      <w:tblGrid>
        <w:gridCol w:w="1166"/>
        <w:gridCol w:w="5604"/>
        <w:gridCol w:w="1845"/>
        <w:gridCol w:w="1324"/>
      </w:tblGrid>
      <w:tr>
        <w:tblPrEx>
          <w:tblCellMar>
            <w:top w:w="0" w:type="dxa"/>
            <w:left w:w="108" w:type="dxa"/>
            <w:bottom w:w="0" w:type="dxa"/>
            <w:right w:w="108" w:type="dxa"/>
          </w:tblCellMar>
        </w:tblPrEx>
        <w:trPr>
          <w:trHeight w:val="395" w:hRule="atLeast"/>
        </w:trPr>
        <w:tc>
          <w:tcPr>
            <w:tcW w:w="1166" w:type="dxa"/>
            <w:vMerge w:val="restart"/>
            <w:tcBorders>
              <w:top w:val="single" w:color="auto" w:sz="4" w:space="0"/>
              <w:left w:val="single" w:color="auto" w:sz="4" w:space="0"/>
              <w:right w:val="single" w:color="auto" w:sz="4" w:space="0"/>
            </w:tcBorders>
            <w:noWrap w:val="0"/>
            <w:vAlign w:val="center"/>
          </w:tcPr>
          <w:p>
            <w:pPr>
              <w:pStyle w:val="16"/>
              <w:widowControl/>
              <w:jc w:val="center"/>
              <w:rPr>
                <w:rFonts w:ascii="宋体" w:hAnsi="宋体" w:cs="宋体"/>
                <w:kern w:val="0"/>
                <w:szCs w:val="21"/>
              </w:rPr>
            </w:pPr>
            <w:r>
              <w:rPr>
                <w:rFonts w:hint="eastAsia" w:ascii="宋体" w:hAnsi="宋体" w:cs="宋体"/>
                <w:kern w:val="0"/>
                <w:szCs w:val="21"/>
              </w:rPr>
              <w:t>序号</w:t>
            </w:r>
          </w:p>
        </w:tc>
        <w:tc>
          <w:tcPr>
            <w:tcW w:w="5604" w:type="dxa"/>
            <w:vMerge w:val="restart"/>
            <w:tcBorders>
              <w:top w:val="single" w:color="auto" w:sz="4" w:space="0"/>
              <w:left w:val="single" w:color="auto" w:sz="4" w:space="0"/>
              <w:bottom w:val="single" w:color="auto" w:sz="4" w:space="0"/>
              <w:right w:val="single" w:color="auto" w:sz="4" w:space="0"/>
              <w:tl2br w:val="single" w:color="000000" w:sz="4" w:space="0"/>
            </w:tcBorders>
            <w:noWrap w:val="0"/>
            <w:vAlign w:val="top"/>
          </w:tcPr>
          <w:p>
            <w:pPr>
              <w:pStyle w:val="16"/>
              <w:widowControl/>
              <w:ind w:right="420"/>
              <w:jc w:val="center"/>
              <w:rPr>
                <w:rFonts w:ascii="宋体" w:hAnsi="宋体" w:cs="宋体"/>
                <w:kern w:val="0"/>
                <w:szCs w:val="21"/>
              </w:rPr>
            </w:pPr>
            <w:r>
              <w:rPr>
                <w:rFonts w:hint="eastAsia" w:ascii="宋体" w:hAnsi="宋体" w:cs="宋体"/>
                <w:kern w:val="0"/>
                <w:szCs w:val="21"/>
              </w:rPr>
              <w:t xml:space="preserve">                              申请人名称                                        </w:t>
            </w:r>
          </w:p>
          <w:p>
            <w:pPr>
              <w:pStyle w:val="16"/>
              <w:widowControl/>
              <w:rPr>
                <w:rFonts w:ascii="宋体" w:hAnsi="宋体" w:cs="宋体"/>
                <w:kern w:val="0"/>
                <w:szCs w:val="21"/>
              </w:rPr>
            </w:pPr>
          </w:p>
          <w:p>
            <w:pPr>
              <w:pStyle w:val="16"/>
              <w:widowControl/>
              <w:jc w:val="left"/>
              <w:rPr>
                <w:rFonts w:ascii="宋体" w:hAnsi="宋体" w:cs="宋体"/>
                <w:kern w:val="0"/>
                <w:szCs w:val="21"/>
              </w:rPr>
            </w:pPr>
            <w:r>
              <w:rPr>
                <w:rFonts w:hint="eastAsia" w:ascii="宋体" w:hAnsi="宋体" w:cs="宋体"/>
                <w:kern w:val="0"/>
                <w:szCs w:val="21"/>
              </w:rPr>
              <w:t>评议内容/招标文件要求</w:t>
            </w:r>
          </w:p>
        </w:tc>
        <w:tc>
          <w:tcPr>
            <w:tcW w:w="3169" w:type="dxa"/>
            <w:gridSpan w:val="2"/>
            <w:tcBorders>
              <w:top w:val="single" w:color="auto" w:sz="4" w:space="0"/>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r>
      <w:tr>
        <w:tblPrEx>
          <w:tblCellMar>
            <w:top w:w="0" w:type="dxa"/>
            <w:left w:w="108" w:type="dxa"/>
            <w:bottom w:w="0" w:type="dxa"/>
            <w:right w:w="108" w:type="dxa"/>
          </w:tblCellMar>
        </w:tblPrEx>
        <w:trPr>
          <w:trHeight w:val="219" w:hRule="atLeast"/>
        </w:trPr>
        <w:tc>
          <w:tcPr>
            <w:tcW w:w="1166" w:type="dxa"/>
            <w:vMerge w:val="continue"/>
            <w:tcBorders>
              <w:left w:val="single" w:color="auto" w:sz="4" w:space="0"/>
              <w:bottom w:val="single" w:color="auto" w:sz="4" w:space="0"/>
              <w:right w:val="single" w:color="auto" w:sz="4" w:space="0"/>
              <w:tl2br w:val="single" w:color="000000" w:sz="4" w:space="0"/>
            </w:tcBorders>
            <w:noWrap w:val="0"/>
            <w:vAlign w:val="center"/>
          </w:tcPr>
          <w:p>
            <w:pPr>
              <w:pStyle w:val="16"/>
              <w:widowControl/>
              <w:jc w:val="center"/>
              <w:rPr>
                <w:rFonts w:ascii="宋体" w:hAnsi="宋体" w:cs="宋体"/>
                <w:kern w:val="0"/>
                <w:szCs w:val="21"/>
              </w:rPr>
            </w:pPr>
          </w:p>
        </w:tc>
        <w:tc>
          <w:tcPr>
            <w:tcW w:w="5604" w:type="dxa"/>
            <w:vMerge w:val="continue"/>
            <w:tcBorders>
              <w:top w:val="single" w:color="auto" w:sz="4" w:space="0"/>
              <w:left w:val="single" w:color="auto" w:sz="4" w:space="0"/>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c>
          <w:tcPr>
            <w:tcW w:w="1845" w:type="dxa"/>
            <w:tcBorders>
              <w:top w:val="nil"/>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r>
              <w:rPr>
                <w:rFonts w:hint="eastAsia" w:ascii="宋体" w:hAnsi="宋体" w:cs="宋体"/>
                <w:kern w:val="0"/>
                <w:szCs w:val="21"/>
              </w:rPr>
              <w:t>申请文件响应</w:t>
            </w:r>
          </w:p>
        </w:tc>
        <w:tc>
          <w:tcPr>
            <w:tcW w:w="1324" w:type="dxa"/>
            <w:tcBorders>
              <w:top w:val="nil"/>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r>
              <w:rPr>
                <w:rFonts w:hint="eastAsia" w:ascii="宋体" w:hAnsi="宋体" w:cs="宋体"/>
                <w:kern w:val="0"/>
                <w:szCs w:val="21"/>
              </w:rPr>
              <w:t>评议</w:t>
            </w:r>
          </w:p>
        </w:tc>
      </w:tr>
      <w:tr>
        <w:tblPrEx>
          <w:tblCellMar>
            <w:top w:w="0" w:type="dxa"/>
            <w:left w:w="108" w:type="dxa"/>
            <w:bottom w:w="0" w:type="dxa"/>
            <w:right w:w="108" w:type="dxa"/>
          </w:tblCellMar>
        </w:tblPrEx>
        <w:trPr>
          <w:trHeight w:val="589" w:hRule="atLeast"/>
        </w:trPr>
        <w:tc>
          <w:tcPr>
            <w:tcW w:w="1166" w:type="dxa"/>
            <w:tcBorders>
              <w:top w:val="single" w:color="auto" w:sz="4" w:space="0"/>
              <w:left w:val="single" w:color="auto" w:sz="8" w:space="0"/>
              <w:bottom w:val="single" w:color="auto" w:sz="4" w:space="0"/>
              <w:right w:val="single" w:color="000000" w:sz="4" w:space="0"/>
            </w:tcBorders>
            <w:noWrap w:val="0"/>
            <w:vAlign w:val="bottom"/>
          </w:tcPr>
          <w:p>
            <w:pPr>
              <w:jc w:val="both"/>
              <w:rPr>
                <w:rFonts w:hint="eastAsia" w:ascii="宋体" w:hAnsi="宋体" w:eastAsia="宋体" w:cs="宋体"/>
                <w:kern w:val="0"/>
                <w:szCs w:val="21"/>
                <w:lang w:val="en-US" w:eastAsia="zh-CN"/>
              </w:rPr>
            </w:pPr>
            <w:r>
              <w:rPr>
                <w:rFonts w:hint="eastAsia" w:ascii="宋体" w:hAnsi="宋体" w:cs="宋体"/>
                <w:kern w:val="0"/>
                <w:szCs w:val="21"/>
                <w:lang w:val="en-US" w:eastAsia="zh-CN"/>
              </w:rPr>
              <w:t>1</w:t>
            </w:r>
          </w:p>
        </w:tc>
        <w:tc>
          <w:tcPr>
            <w:tcW w:w="5604" w:type="dxa"/>
            <w:tcBorders>
              <w:top w:val="single" w:color="auto" w:sz="4" w:space="0"/>
              <w:left w:val="single" w:color="auto" w:sz="8" w:space="0"/>
              <w:bottom w:val="single" w:color="auto" w:sz="4" w:space="0"/>
              <w:right w:val="single" w:color="000000" w:sz="4" w:space="0"/>
            </w:tcBorders>
            <w:noWrap w:val="0"/>
            <w:vAlign w:val="bottom"/>
          </w:tcPr>
          <w:p>
            <w:pPr>
              <w:jc w:val="both"/>
              <w:rPr>
                <w:rFonts w:hint="eastAsia"/>
                <w:kern w:val="2"/>
                <w:sz w:val="21"/>
                <w:szCs w:val="24"/>
                <w:lang w:eastAsia="zh-CN"/>
              </w:rPr>
            </w:pPr>
            <w:r>
              <w:rPr>
                <w:kern w:val="2"/>
                <w:sz w:val="21"/>
                <w:szCs w:val="24"/>
                <w:lang w:eastAsia="zh-CN"/>
              </w:rPr>
              <w:t>★营业执照</w:t>
            </w:r>
            <w:r>
              <w:rPr>
                <w:rFonts w:hint="eastAsia"/>
                <w:kern w:val="2"/>
                <w:sz w:val="21"/>
                <w:szCs w:val="24"/>
                <w:lang w:eastAsia="zh-CN"/>
              </w:rPr>
              <w:t xml:space="preserve">：投标人须是中华人民共和国境内具有独立承担民事责任能力的法人，或具备国家认可经营资格的其他组织。  </w:t>
            </w:r>
          </w:p>
          <w:p>
            <w:pPr>
              <w:jc w:val="both"/>
              <w:rPr>
                <w:rFonts w:hint="eastAsia"/>
                <w:kern w:val="2"/>
                <w:sz w:val="21"/>
                <w:szCs w:val="24"/>
                <w:lang w:eastAsia="zh-CN"/>
              </w:rPr>
            </w:pPr>
            <w:r>
              <w:rPr>
                <w:rFonts w:hint="eastAsia"/>
                <w:kern w:val="2"/>
                <w:sz w:val="21"/>
                <w:szCs w:val="24"/>
                <w:lang w:eastAsia="zh-CN"/>
              </w:rPr>
              <w:t>1）投标人具有合法有效的企业法人营业执照、税务登记证及组织机构代码证或证照合一的营业执照，投标时需提供原件扫描件（原件备查）。</w:t>
            </w:r>
          </w:p>
          <w:p>
            <w:pPr>
              <w:jc w:val="both"/>
              <w:rPr>
                <w:rFonts w:hint="eastAsia"/>
                <w:kern w:val="2"/>
                <w:sz w:val="21"/>
                <w:szCs w:val="24"/>
                <w:lang w:eastAsia="zh-CN"/>
              </w:rPr>
            </w:pPr>
            <w:r>
              <w:rPr>
                <w:rFonts w:hint="eastAsia"/>
                <w:kern w:val="2"/>
                <w:sz w:val="21"/>
                <w:szCs w:val="24"/>
                <w:lang w:eastAsia="zh-CN"/>
              </w:rPr>
              <w:t>2）投标人为事业单位的，应具有合法有效的事业单位法人证书，投标时需提供原件扫描件（原件备查）。</w:t>
            </w:r>
          </w:p>
          <w:p>
            <w:pPr>
              <w:jc w:val="both"/>
              <w:rPr>
                <w:rFonts w:hint="eastAsia" w:ascii="宋体" w:hAnsi="宋体" w:eastAsia="宋体" w:cs="宋体"/>
                <w:kern w:val="0"/>
                <w:szCs w:val="21"/>
                <w:lang w:eastAsia="zh-CN"/>
              </w:rPr>
            </w:pPr>
            <w:r>
              <w:rPr>
                <w:rFonts w:hint="eastAsia"/>
                <w:kern w:val="2"/>
                <w:sz w:val="21"/>
                <w:szCs w:val="24"/>
                <w:lang w:eastAsia="zh-CN"/>
              </w:rPr>
              <w:t>投标人为分公司的，提供具有合法有效的营业执照和上级法人单位授权书（授权该分公司投标），认可该分公司和上级法人单位的资质、资格和业绩，不认可同一上级法人单位的其它分公司的资质、资格和业绩，投标时需提供原件扫描件（原件备查）。分公司与上级法人单位只可一家参与投标，同时参与投标的，投标均无效。</w:t>
            </w:r>
          </w:p>
        </w:tc>
        <w:tc>
          <w:tcPr>
            <w:tcW w:w="1845" w:type="dxa"/>
            <w:tcBorders>
              <w:top w:val="nil"/>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c>
          <w:tcPr>
            <w:tcW w:w="1324" w:type="dxa"/>
            <w:tcBorders>
              <w:top w:val="nil"/>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r>
      <w:tr>
        <w:tblPrEx>
          <w:tblCellMar>
            <w:top w:w="0" w:type="dxa"/>
            <w:left w:w="108" w:type="dxa"/>
            <w:bottom w:w="0" w:type="dxa"/>
            <w:right w:w="108" w:type="dxa"/>
          </w:tblCellMar>
        </w:tblPrEx>
        <w:trPr>
          <w:trHeight w:val="589" w:hRule="atLeast"/>
        </w:trPr>
        <w:tc>
          <w:tcPr>
            <w:tcW w:w="1166" w:type="dxa"/>
            <w:tcBorders>
              <w:top w:val="single" w:color="auto" w:sz="4" w:space="0"/>
              <w:left w:val="single" w:color="auto" w:sz="8" w:space="0"/>
              <w:bottom w:val="single" w:color="auto" w:sz="4" w:space="0"/>
              <w:right w:val="single" w:color="000000" w:sz="4" w:space="0"/>
            </w:tcBorders>
            <w:noWrap w:val="0"/>
            <w:vAlign w:val="bottom"/>
          </w:tcPr>
          <w:p>
            <w:pPr>
              <w:jc w:val="both"/>
              <w:rPr>
                <w:rFonts w:hint="eastAsia" w:ascii="宋体" w:hAnsi="宋体" w:eastAsia="宋体" w:cs="宋体"/>
                <w:kern w:val="0"/>
                <w:szCs w:val="21"/>
                <w:lang w:val="en-US" w:eastAsia="zh-CN"/>
              </w:rPr>
            </w:pPr>
            <w:r>
              <w:rPr>
                <w:rFonts w:hint="eastAsia" w:ascii="宋体" w:hAnsi="宋体" w:cs="宋体"/>
                <w:kern w:val="0"/>
                <w:szCs w:val="21"/>
                <w:lang w:val="en-US" w:eastAsia="zh-CN"/>
              </w:rPr>
              <w:t>2</w:t>
            </w:r>
          </w:p>
        </w:tc>
        <w:tc>
          <w:tcPr>
            <w:tcW w:w="5604" w:type="dxa"/>
            <w:tcBorders>
              <w:top w:val="single" w:color="auto" w:sz="4" w:space="0"/>
              <w:left w:val="single" w:color="auto" w:sz="8" w:space="0"/>
              <w:bottom w:val="single" w:color="auto" w:sz="4" w:space="0"/>
              <w:right w:val="single" w:color="000000" w:sz="4" w:space="0"/>
            </w:tcBorders>
            <w:noWrap w:val="0"/>
            <w:vAlign w:val="bottom"/>
          </w:tcPr>
          <w:p>
            <w:pPr>
              <w:jc w:val="both"/>
              <w:rPr>
                <w:rFonts w:hint="eastAsia"/>
                <w:kern w:val="2"/>
                <w:sz w:val="21"/>
                <w:szCs w:val="24"/>
                <w:lang w:eastAsia="zh-CN"/>
              </w:rPr>
            </w:pPr>
            <w:r>
              <w:rPr>
                <w:kern w:val="2"/>
                <w:sz w:val="21"/>
                <w:szCs w:val="24"/>
                <w:lang w:eastAsia="zh-CN"/>
              </w:rPr>
              <w:t>★业绩要求（开标环节需要公开）</w:t>
            </w:r>
            <w:r>
              <w:rPr>
                <w:rFonts w:hint="eastAsia"/>
                <w:kern w:val="2"/>
                <w:sz w:val="21"/>
                <w:szCs w:val="24"/>
                <w:lang w:eastAsia="zh-CN"/>
              </w:rPr>
              <w:t>：1）投标人合同签订时间在2020年1月1日至投标截止时间之前，具有1个已完成的永磁潜油电机或永磁转子总成的销售或</w:t>
            </w:r>
            <w:r>
              <w:rPr>
                <w:rFonts w:hint="eastAsia"/>
                <w:kern w:val="2"/>
                <w:sz w:val="21"/>
                <w:szCs w:val="24"/>
                <w:lang w:val="en-US" w:eastAsia="zh-CN"/>
              </w:rPr>
              <w:t>加工制造或</w:t>
            </w:r>
            <w:r>
              <w:rPr>
                <w:rFonts w:hint="eastAsia"/>
                <w:kern w:val="2"/>
                <w:sz w:val="21"/>
                <w:szCs w:val="24"/>
                <w:lang w:eastAsia="zh-CN"/>
              </w:rPr>
              <w:t xml:space="preserve">租赁业绩合同，并提供相应业绩证明文件。   </w:t>
            </w:r>
          </w:p>
          <w:p>
            <w:pPr>
              <w:jc w:val="both"/>
              <w:rPr>
                <w:rFonts w:hint="eastAsia"/>
                <w:kern w:val="2"/>
                <w:sz w:val="21"/>
                <w:szCs w:val="24"/>
                <w:lang w:eastAsia="zh-CN"/>
              </w:rPr>
            </w:pPr>
            <w:r>
              <w:rPr>
                <w:rFonts w:hint="eastAsia"/>
                <w:kern w:val="2"/>
                <w:sz w:val="21"/>
                <w:szCs w:val="24"/>
                <w:lang w:eastAsia="zh-CN"/>
              </w:rPr>
              <w:t xml:space="preserve">2）投标人提供的业绩证明文件包括：具有法律效力的业绩合同和到货验收证明材料。（提示：以上2项资料，缺少任1项将视为无效业绩导致废标） A、业绩合同应至少涵盖：合同首页、合同签署页（具有签字或盖章、合同签署时间）、供货名称、数量及关键技术指标等内容；B、到货验收材料需提供由购买方或使用方（签字或盖章）的交货验收单或出具货物验收合格的其他证明文件或结算发票。（提示：按要求提供相关资料，以上各项内容必须完全涵盖，否则将视为无效业绩导致废标）  </w:t>
            </w:r>
          </w:p>
          <w:p>
            <w:pPr>
              <w:jc w:val="both"/>
              <w:rPr>
                <w:rFonts w:hint="eastAsia"/>
                <w:kern w:val="2"/>
                <w:sz w:val="21"/>
                <w:szCs w:val="24"/>
                <w:lang w:eastAsia="zh-CN"/>
              </w:rPr>
            </w:pPr>
            <w:r>
              <w:rPr>
                <w:rFonts w:hint="eastAsia"/>
                <w:kern w:val="2"/>
                <w:sz w:val="21"/>
                <w:szCs w:val="24"/>
                <w:lang w:eastAsia="zh-CN"/>
              </w:rPr>
              <w:t xml:space="preserve">3）若业绩合同为年度协议，除提供年度协议外，还应至少提供1项已完成供货的订单、及由购买方或使用方（签字或盖章）的交货验收单或出具货物验收合格的其他证明文件或结算发票。同一个年协合同提供1项订单算为1个有效业绩。（提示：提供的业绩证明材料必须完全涵盖以上内容，否则视为无效业绩，将导致废标）   </w:t>
            </w:r>
          </w:p>
          <w:p>
            <w:pPr>
              <w:jc w:val="both"/>
              <w:rPr>
                <w:rFonts w:hint="eastAsia"/>
                <w:kern w:val="2"/>
                <w:sz w:val="21"/>
                <w:szCs w:val="24"/>
                <w:lang w:eastAsia="zh-CN"/>
              </w:rPr>
            </w:pPr>
            <w:r>
              <w:rPr>
                <w:rFonts w:hint="eastAsia"/>
                <w:kern w:val="2"/>
                <w:sz w:val="21"/>
                <w:szCs w:val="24"/>
                <w:lang w:eastAsia="zh-CN"/>
              </w:rPr>
              <w:t xml:space="preserve">4）未提供业绩证明文件或提供的业绩证明文件无法认定上述业绩要求的，视为无效业绩。 </w:t>
            </w:r>
          </w:p>
          <w:p>
            <w:pPr>
              <w:jc w:val="both"/>
              <w:rPr>
                <w:rFonts w:ascii="宋体" w:hAnsi="宋体" w:cs="宋体"/>
                <w:kern w:val="0"/>
                <w:szCs w:val="21"/>
              </w:rPr>
            </w:pPr>
            <w:r>
              <w:rPr>
                <w:rFonts w:hint="eastAsia"/>
                <w:kern w:val="2"/>
                <w:sz w:val="21"/>
                <w:szCs w:val="24"/>
                <w:lang w:eastAsia="zh-CN"/>
              </w:rPr>
              <w:t xml:space="preserve">5）原件备查。    </w:t>
            </w:r>
            <w:r>
              <w:rPr>
                <w:rFonts w:hint="eastAsia" w:ascii="宋体" w:hAnsi="宋体" w:eastAsia="宋体" w:cs="微软雅黑"/>
                <w:sz w:val="21"/>
                <w:szCs w:val="21"/>
                <w:lang w:eastAsia="zh-CN"/>
              </w:rPr>
              <w:t xml:space="preserve">    </w:t>
            </w:r>
          </w:p>
        </w:tc>
        <w:tc>
          <w:tcPr>
            <w:tcW w:w="1845" w:type="dxa"/>
            <w:tcBorders>
              <w:top w:val="nil"/>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c>
          <w:tcPr>
            <w:tcW w:w="1324" w:type="dxa"/>
            <w:tcBorders>
              <w:top w:val="nil"/>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r>
      <w:tr>
        <w:tblPrEx>
          <w:tblCellMar>
            <w:top w:w="0" w:type="dxa"/>
            <w:left w:w="108" w:type="dxa"/>
            <w:bottom w:w="0" w:type="dxa"/>
            <w:right w:w="108" w:type="dxa"/>
          </w:tblCellMar>
        </w:tblPrEx>
        <w:trPr>
          <w:trHeight w:val="589" w:hRule="atLeast"/>
        </w:trPr>
        <w:tc>
          <w:tcPr>
            <w:tcW w:w="1166" w:type="dxa"/>
            <w:tcBorders>
              <w:top w:val="single" w:color="auto" w:sz="4" w:space="0"/>
              <w:left w:val="single" w:color="auto" w:sz="8" w:space="0"/>
              <w:bottom w:val="single" w:color="auto" w:sz="4" w:space="0"/>
              <w:right w:val="single" w:color="000000" w:sz="4" w:space="0"/>
            </w:tcBorders>
            <w:noWrap w:val="0"/>
            <w:vAlign w:val="bottom"/>
          </w:tcPr>
          <w:p>
            <w:pPr>
              <w:jc w:val="both"/>
              <w:rPr>
                <w:rFonts w:hint="eastAsia" w:ascii="宋体" w:hAnsi="宋体" w:eastAsia="宋体" w:cs="宋体"/>
                <w:kern w:val="0"/>
                <w:szCs w:val="21"/>
                <w:lang w:val="en-US" w:eastAsia="zh-CN"/>
              </w:rPr>
            </w:pPr>
            <w:r>
              <w:rPr>
                <w:rFonts w:hint="eastAsia" w:ascii="宋体" w:hAnsi="宋体" w:cs="宋体"/>
                <w:kern w:val="0"/>
                <w:szCs w:val="21"/>
                <w:lang w:val="en-US" w:eastAsia="zh-CN"/>
              </w:rPr>
              <w:t>3</w:t>
            </w:r>
          </w:p>
        </w:tc>
        <w:tc>
          <w:tcPr>
            <w:tcW w:w="5604" w:type="dxa"/>
            <w:tcBorders>
              <w:top w:val="single" w:color="auto" w:sz="4" w:space="0"/>
              <w:left w:val="single" w:color="auto" w:sz="8" w:space="0"/>
              <w:bottom w:val="single" w:color="auto" w:sz="4" w:space="0"/>
              <w:right w:val="single" w:color="000000" w:sz="4" w:space="0"/>
            </w:tcBorders>
            <w:noWrap w:val="0"/>
            <w:vAlign w:val="bottom"/>
          </w:tcPr>
          <w:p>
            <w:pPr>
              <w:jc w:val="both"/>
              <w:rPr>
                <w:rFonts w:hint="eastAsia" w:ascii="宋体" w:hAnsi="宋体" w:eastAsia="宋体" w:cs="宋体"/>
                <w:b w:val="0"/>
                <w:color w:val="000000"/>
                <w:sz w:val="21"/>
                <w:szCs w:val="24"/>
                <w:u w:val="none"/>
                <w:lang w:eastAsia="zh-CN"/>
              </w:rPr>
            </w:pPr>
            <w:r>
              <w:rPr>
                <w:kern w:val="2"/>
                <w:sz w:val="21"/>
                <w:szCs w:val="24"/>
                <w:lang w:eastAsia="zh-CN"/>
              </w:rPr>
              <w:t>★资质、业绩信息公开的要求投标人务必确保开标环节“资质、业绩信息”中公开的资质、业绩内容与投标文件中提供的资质、业绩内容一致。资质、业绩信息应在开标环节进行信息公开。未按要求在开标阶段进行公开的资质、业绩信息，评标阶段不予认可。开标结束前，招标项目经理通过开标页面对话框工具，与所有投标人逐一确认公开的资质、业绩信息是否与投标文件中一致。如不一致，投标人可在开标环节提出询问，将开标环节未公示但投标文件中已提供的资质、业绩在对话框中公开，投标人补充公开的信息视同满足信息公开要求，招标项目经理如实记录并提交评标委员会评审。</w:t>
            </w:r>
          </w:p>
        </w:tc>
        <w:tc>
          <w:tcPr>
            <w:tcW w:w="1845" w:type="dxa"/>
            <w:tcBorders>
              <w:top w:val="nil"/>
              <w:left w:val="nil"/>
              <w:bottom w:val="single" w:color="auto" w:sz="4" w:space="0"/>
              <w:right w:val="single" w:color="auto" w:sz="4" w:space="0"/>
            </w:tcBorders>
            <w:noWrap w:val="0"/>
            <w:vAlign w:val="center"/>
          </w:tcPr>
          <w:p>
            <w:pPr>
              <w:ind w:right="11" w:rightChars="0"/>
              <w:rPr>
                <w:rFonts w:hint="eastAsia" w:ascii="宋体" w:hAnsi="宋体" w:eastAsia="宋体" w:cs="宋体"/>
                <w:b w:val="0"/>
                <w:kern w:val="2"/>
                <w:sz w:val="21"/>
                <w:szCs w:val="24"/>
                <w:lang w:val="en-US" w:eastAsia="zh-CN" w:bidi="ar-SA"/>
              </w:rPr>
            </w:pPr>
          </w:p>
        </w:tc>
        <w:tc>
          <w:tcPr>
            <w:tcW w:w="1324" w:type="dxa"/>
            <w:tcBorders>
              <w:top w:val="nil"/>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r>
      <w:tr>
        <w:tblPrEx>
          <w:tblCellMar>
            <w:top w:w="0" w:type="dxa"/>
            <w:left w:w="108" w:type="dxa"/>
            <w:bottom w:w="0" w:type="dxa"/>
            <w:right w:w="108" w:type="dxa"/>
          </w:tblCellMar>
        </w:tblPrEx>
        <w:trPr>
          <w:trHeight w:val="589" w:hRule="atLeast"/>
        </w:trPr>
        <w:tc>
          <w:tcPr>
            <w:tcW w:w="1166" w:type="dxa"/>
            <w:tcBorders>
              <w:top w:val="single" w:color="auto" w:sz="4" w:space="0"/>
              <w:left w:val="single" w:color="auto" w:sz="8" w:space="0"/>
              <w:bottom w:val="single" w:color="auto" w:sz="4" w:space="0"/>
              <w:right w:val="single" w:color="000000" w:sz="4" w:space="0"/>
            </w:tcBorders>
            <w:noWrap w:val="0"/>
            <w:vAlign w:val="bottom"/>
          </w:tcPr>
          <w:p>
            <w:pPr>
              <w:jc w:val="both"/>
              <w:rPr>
                <w:rFonts w:hint="default" w:ascii="宋体" w:hAnsi="宋体" w:eastAsia="宋体" w:cs="宋体"/>
                <w:kern w:val="0"/>
                <w:szCs w:val="21"/>
                <w:lang w:val="en-US" w:eastAsia="zh-CN"/>
              </w:rPr>
            </w:pPr>
            <w:r>
              <w:rPr>
                <w:rFonts w:hint="eastAsia" w:ascii="宋体" w:hAnsi="宋体" w:cs="宋体"/>
                <w:kern w:val="0"/>
                <w:szCs w:val="21"/>
                <w:lang w:val="en-US" w:eastAsia="zh-CN"/>
              </w:rPr>
              <w:t>4</w:t>
            </w:r>
          </w:p>
        </w:tc>
        <w:tc>
          <w:tcPr>
            <w:tcW w:w="5604" w:type="dxa"/>
            <w:tcBorders>
              <w:top w:val="single" w:color="auto" w:sz="4" w:space="0"/>
              <w:left w:val="single" w:color="auto" w:sz="8" w:space="0"/>
              <w:bottom w:val="single" w:color="auto" w:sz="4" w:space="0"/>
              <w:right w:val="single" w:color="000000" w:sz="4" w:space="0"/>
            </w:tcBorders>
            <w:noWrap w:val="0"/>
            <w:vAlign w:val="bottom"/>
          </w:tcPr>
          <w:p>
            <w:pPr>
              <w:jc w:val="both"/>
              <w:rPr>
                <w:rFonts w:ascii="宋体" w:hAnsi="宋体" w:eastAsia="宋体" w:cs="宋体"/>
                <w:color w:val="000000"/>
                <w:kern w:val="2"/>
                <w:sz w:val="21"/>
                <w:szCs w:val="21"/>
                <w:lang w:bidi="ar"/>
              </w:rPr>
            </w:pPr>
            <w:r>
              <w:rPr>
                <w:kern w:val="2"/>
                <w:sz w:val="21"/>
                <w:szCs w:val="24"/>
                <w:lang w:eastAsia="zh-CN"/>
              </w:rPr>
              <w:t>★信誉要求</w:t>
            </w:r>
            <w:r>
              <w:rPr>
                <w:rFonts w:hint="eastAsia"/>
                <w:kern w:val="2"/>
                <w:sz w:val="21"/>
                <w:szCs w:val="24"/>
                <w:lang w:eastAsia="zh-CN"/>
              </w:rPr>
              <w:t>：</w:t>
            </w:r>
            <w:r>
              <w:rPr>
                <w:kern w:val="2"/>
                <w:sz w:val="21"/>
                <w:szCs w:val="24"/>
                <w:lang w:eastAsia="zh-CN"/>
              </w:rPr>
              <w:t>（1）投标人自2021年1月1日起至投标截止时间止，投标人或其法定代表人、拟委任的项目负责人不得有行贿犯罪行为。为便于招标人复核，投标人应自行到中国裁判文书网；（http://wenshu.court.gov.cn）查询本单位及其法定代表人、拟委任的项目负责人的行贿犯罪信息，确认没有行贿犯罪；
（2）投标人承诺：中国海油在职员工（不含正式派出的）未有在投标人单位担任股东、法人代表、董事、监事和其他任职人员的情形。注：（上述带网站网址的信誉要求条款，投标人请自行查询，将查询结果加盖公章后放入投标文件）。以上所述投标人，包括分包商和联合体成员。</w:t>
            </w:r>
          </w:p>
        </w:tc>
        <w:tc>
          <w:tcPr>
            <w:tcW w:w="1845" w:type="dxa"/>
            <w:tcBorders>
              <w:top w:val="nil"/>
              <w:left w:val="nil"/>
              <w:bottom w:val="single" w:color="auto" w:sz="4" w:space="0"/>
              <w:right w:val="single" w:color="auto" w:sz="4" w:space="0"/>
            </w:tcBorders>
            <w:noWrap w:val="0"/>
            <w:vAlign w:val="center"/>
          </w:tcPr>
          <w:p>
            <w:pPr>
              <w:pStyle w:val="30"/>
              <w:rPr>
                <w:rFonts w:hint="default" w:ascii="宋体" w:hAnsi="宋体" w:eastAsia="宋体" w:cs="宋体"/>
                <w:color w:val="000000"/>
                <w:kern w:val="2"/>
                <w:sz w:val="21"/>
                <w:szCs w:val="21"/>
                <w:lang w:val="en-US" w:eastAsia="zh-CN" w:bidi="ar"/>
              </w:rPr>
            </w:pPr>
          </w:p>
        </w:tc>
        <w:tc>
          <w:tcPr>
            <w:tcW w:w="1324" w:type="dxa"/>
            <w:tcBorders>
              <w:top w:val="nil"/>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r>
      <w:tr>
        <w:tblPrEx>
          <w:tblCellMar>
            <w:top w:w="0" w:type="dxa"/>
            <w:left w:w="108" w:type="dxa"/>
            <w:bottom w:w="0" w:type="dxa"/>
            <w:right w:w="108" w:type="dxa"/>
          </w:tblCellMar>
        </w:tblPrEx>
        <w:trPr>
          <w:trHeight w:val="589" w:hRule="atLeast"/>
        </w:trPr>
        <w:tc>
          <w:tcPr>
            <w:tcW w:w="1166" w:type="dxa"/>
            <w:tcBorders>
              <w:top w:val="single" w:color="auto" w:sz="4" w:space="0"/>
              <w:left w:val="single" w:color="auto" w:sz="8" w:space="0"/>
              <w:bottom w:val="single" w:color="auto" w:sz="4" w:space="0"/>
              <w:right w:val="single" w:color="000000" w:sz="4" w:space="0"/>
            </w:tcBorders>
            <w:noWrap w:val="0"/>
            <w:vAlign w:val="bottom"/>
          </w:tcPr>
          <w:p>
            <w:pPr>
              <w:jc w:val="both"/>
              <w:rPr>
                <w:rFonts w:hint="default" w:ascii="宋体" w:hAnsi="宋体" w:eastAsia="宋体" w:cs="宋体"/>
                <w:kern w:val="0"/>
                <w:szCs w:val="21"/>
                <w:lang w:val="en-US" w:eastAsia="zh-CN"/>
              </w:rPr>
            </w:pPr>
            <w:r>
              <w:rPr>
                <w:rFonts w:hint="eastAsia" w:ascii="宋体" w:hAnsi="宋体" w:cs="宋体"/>
                <w:kern w:val="0"/>
                <w:szCs w:val="21"/>
                <w:lang w:val="en-US" w:eastAsia="zh-CN"/>
              </w:rPr>
              <w:t>5</w:t>
            </w:r>
          </w:p>
        </w:tc>
        <w:tc>
          <w:tcPr>
            <w:tcW w:w="5604" w:type="dxa"/>
            <w:tcBorders>
              <w:top w:val="single" w:color="auto" w:sz="4" w:space="0"/>
              <w:left w:val="single" w:color="auto" w:sz="8" w:space="0"/>
              <w:bottom w:val="single" w:color="auto" w:sz="4" w:space="0"/>
              <w:right w:val="single" w:color="000000" w:sz="4" w:space="0"/>
            </w:tcBorders>
            <w:noWrap w:val="0"/>
            <w:vAlign w:val="bottom"/>
          </w:tcPr>
          <w:p>
            <w:pPr>
              <w:jc w:val="both"/>
              <w:rPr>
                <w:rFonts w:ascii="宋体" w:hAnsi="宋体" w:cs="宋体"/>
                <w:kern w:val="0"/>
                <w:szCs w:val="21"/>
              </w:rPr>
            </w:pPr>
            <w:r>
              <w:rPr>
                <w:kern w:val="2"/>
                <w:sz w:val="21"/>
                <w:szCs w:val="24"/>
                <w:lang w:eastAsia="zh-CN"/>
              </w:rPr>
              <w:t>★制造商要求本次招标仅接受投标人为投标货物的制造商，不接受代理商、贸易商参与投标，不接受代加工贴牌制造。投标时提供厂房证明资料：若自有厂房提供厂房产权证</w:t>
            </w:r>
            <w:r>
              <w:rPr>
                <w:rFonts w:hint="eastAsia"/>
                <w:kern w:val="2"/>
                <w:sz w:val="21"/>
                <w:szCs w:val="24"/>
                <w:lang w:val="en-US" w:eastAsia="zh-CN"/>
              </w:rPr>
              <w:t>或土地使用证</w:t>
            </w:r>
            <w:r>
              <w:rPr>
                <w:kern w:val="2"/>
                <w:sz w:val="21"/>
                <w:szCs w:val="24"/>
                <w:lang w:eastAsia="zh-CN"/>
              </w:rPr>
              <w:t xml:space="preserve">，若租赁厂房提供有效的租赁合同。  </w:t>
            </w:r>
          </w:p>
        </w:tc>
        <w:tc>
          <w:tcPr>
            <w:tcW w:w="1845" w:type="dxa"/>
            <w:tcBorders>
              <w:top w:val="nil"/>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c>
          <w:tcPr>
            <w:tcW w:w="1324" w:type="dxa"/>
            <w:tcBorders>
              <w:top w:val="nil"/>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r>
      <w:tr>
        <w:tblPrEx>
          <w:tblCellMar>
            <w:top w:w="0" w:type="dxa"/>
            <w:left w:w="108" w:type="dxa"/>
            <w:bottom w:w="0" w:type="dxa"/>
            <w:right w:w="108" w:type="dxa"/>
          </w:tblCellMar>
        </w:tblPrEx>
        <w:trPr>
          <w:trHeight w:val="589" w:hRule="atLeast"/>
        </w:trPr>
        <w:tc>
          <w:tcPr>
            <w:tcW w:w="1166"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eastAsia" w:ascii="宋体" w:hAnsi="宋体" w:eastAsia="宋体" w:cs="宋体"/>
                <w:kern w:val="0"/>
                <w:szCs w:val="21"/>
                <w:lang w:eastAsia="zh-CN"/>
              </w:rPr>
            </w:pPr>
            <w:r>
              <w:rPr>
                <w:rFonts w:hint="eastAsia" w:ascii="宋体" w:hAnsi="宋体" w:cs="宋体"/>
                <w:kern w:val="0"/>
                <w:szCs w:val="21"/>
                <w:lang w:val="en-US" w:eastAsia="zh-CN"/>
              </w:rPr>
              <w:t>6</w:t>
            </w:r>
          </w:p>
        </w:tc>
        <w:tc>
          <w:tcPr>
            <w:tcW w:w="5604"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left"/>
              <w:rPr>
                <w:rFonts w:ascii="宋体" w:hAnsi="宋体" w:cs="宋体"/>
                <w:kern w:val="0"/>
                <w:szCs w:val="21"/>
              </w:rPr>
            </w:pPr>
            <w:r>
              <w:rPr>
                <w:rFonts w:hint="eastAsia" w:ascii="宋体" w:hAnsi="宋体" w:cs="宋体"/>
                <w:szCs w:val="21"/>
              </w:rPr>
              <w:t>商务合同条款</w:t>
            </w:r>
            <w:r>
              <w:rPr>
                <w:rFonts w:hint="eastAsia" w:ascii="宋体" w:hAnsi="宋体" w:cs="宋体"/>
                <w:kern w:val="0"/>
                <w:szCs w:val="21"/>
              </w:rPr>
              <w:t>：对商务合同其他条款无异议；</w:t>
            </w:r>
          </w:p>
        </w:tc>
        <w:tc>
          <w:tcPr>
            <w:tcW w:w="1845" w:type="dxa"/>
            <w:tcBorders>
              <w:top w:val="nil"/>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c>
          <w:tcPr>
            <w:tcW w:w="1324" w:type="dxa"/>
            <w:tcBorders>
              <w:top w:val="nil"/>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r>
      <w:tr>
        <w:tblPrEx>
          <w:tblCellMar>
            <w:top w:w="0" w:type="dxa"/>
            <w:left w:w="108" w:type="dxa"/>
            <w:bottom w:w="0" w:type="dxa"/>
            <w:right w:w="108" w:type="dxa"/>
          </w:tblCellMar>
        </w:tblPrEx>
        <w:trPr>
          <w:trHeight w:val="589" w:hRule="atLeast"/>
        </w:trPr>
        <w:tc>
          <w:tcPr>
            <w:tcW w:w="1166"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7</w:t>
            </w:r>
          </w:p>
        </w:tc>
        <w:tc>
          <w:tcPr>
            <w:tcW w:w="5604"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财务报表</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投标人提供（</w:t>
            </w:r>
            <w:r>
              <w:rPr>
                <w:rStyle w:val="37"/>
                <w:rFonts w:eastAsia="宋体"/>
                <w:lang w:val="en-US" w:eastAsia="zh-CN" w:bidi="ar"/>
              </w:rPr>
              <w:t>2021</w:t>
            </w:r>
            <w:r>
              <w:rPr>
                <w:rStyle w:val="38"/>
                <w:lang w:val="en-US" w:eastAsia="zh-CN" w:bidi="ar"/>
              </w:rPr>
              <w:t>年</w:t>
            </w:r>
            <w:r>
              <w:rPr>
                <w:rStyle w:val="37"/>
                <w:rFonts w:eastAsia="宋体"/>
                <w:lang w:val="en-US" w:eastAsia="zh-CN" w:bidi="ar"/>
              </w:rPr>
              <w:t>- 2023</w:t>
            </w:r>
            <w:r>
              <w:rPr>
                <w:rStyle w:val="38"/>
                <w:lang w:val="en-US" w:eastAsia="zh-CN" w:bidi="ar"/>
              </w:rPr>
              <w:t>年）经会计事务所或审计机构审计的财务报表，包含资产负债表、现金流量表、利润表。成立时间少于投标人须知前附表规定年份的，应提供自成立以来的财务报表。投标人为分公司的，应提供上级法人单位的经会计师事务所或审计机构审计的上述年度财务会计报表。</w:t>
            </w:r>
          </w:p>
        </w:tc>
        <w:tc>
          <w:tcPr>
            <w:tcW w:w="1845" w:type="dxa"/>
            <w:tcBorders>
              <w:top w:val="nil"/>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c>
          <w:tcPr>
            <w:tcW w:w="1324" w:type="dxa"/>
            <w:tcBorders>
              <w:top w:val="nil"/>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r>
      <w:tr>
        <w:tblPrEx>
          <w:tblCellMar>
            <w:top w:w="0" w:type="dxa"/>
            <w:left w:w="108" w:type="dxa"/>
            <w:bottom w:w="0" w:type="dxa"/>
            <w:right w:w="108" w:type="dxa"/>
          </w:tblCellMar>
        </w:tblPrEx>
        <w:trPr>
          <w:trHeight w:val="589" w:hRule="atLeast"/>
        </w:trPr>
        <w:tc>
          <w:tcPr>
            <w:tcW w:w="1166"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8</w:t>
            </w:r>
          </w:p>
        </w:tc>
        <w:tc>
          <w:tcPr>
            <w:tcW w:w="5604"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付款条件和方法</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按照年度合同下单价金额及采购订单确认实际数量结算付款。卖方在每批次实际交付货物并经买方执行方验收合格后，向买方执行方提供有效增值税专用发票及相关支持文件（具体见买方执行用户下达的采购订单中的要求），买方在收到有效增值税专用发票及相关支持文件并审核无误后</w:t>
            </w:r>
            <w:r>
              <w:rPr>
                <w:rStyle w:val="37"/>
                <w:rFonts w:eastAsia="宋体"/>
                <w:lang w:val="en-US" w:eastAsia="zh-CN" w:bidi="ar"/>
              </w:rPr>
              <w:t>45</w:t>
            </w:r>
            <w:r>
              <w:rPr>
                <w:rStyle w:val="38"/>
                <w:lang w:val="en-US" w:eastAsia="zh-CN" w:bidi="ar"/>
              </w:rPr>
              <w:t>日内支付订单价款。如付款到期日为非银行工作日，则付款到期日顺延至下一个银行工作日。</w:t>
            </w:r>
          </w:p>
        </w:tc>
        <w:tc>
          <w:tcPr>
            <w:tcW w:w="1845" w:type="dxa"/>
            <w:tcBorders>
              <w:top w:val="nil"/>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c>
          <w:tcPr>
            <w:tcW w:w="1324" w:type="dxa"/>
            <w:tcBorders>
              <w:top w:val="nil"/>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r>
      <w:tr>
        <w:tblPrEx>
          <w:tblCellMar>
            <w:top w:w="0" w:type="dxa"/>
            <w:left w:w="108" w:type="dxa"/>
            <w:bottom w:w="0" w:type="dxa"/>
            <w:right w:w="108" w:type="dxa"/>
          </w:tblCellMar>
        </w:tblPrEx>
        <w:trPr>
          <w:trHeight w:val="589" w:hRule="atLeast"/>
        </w:trPr>
        <w:tc>
          <w:tcPr>
            <w:tcW w:w="1166"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9</w:t>
            </w:r>
          </w:p>
        </w:tc>
        <w:tc>
          <w:tcPr>
            <w:tcW w:w="5604"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使用法律和仲裁</w:t>
            </w:r>
            <w:r>
              <w:rPr>
                <w:rFonts w:hint="eastAsia" w:ascii="宋体" w:hAnsi="宋体" w:cs="宋体"/>
                <w:i w:val="0"/>
                <w:iCs w:val="0"/>
                <w:color w:val="000000"/>
                <w:kern w:val="0"/>
                <w:sz w:val="21"/>
                <w:szCs w:val="21"/>
                <w:u w:val="none"/>
                <w:lang w:val="en-US" w:eastAsia="zh-CN" w:bidi="ar"/>
              </w:rPr>
              <w:t>：</w:t>
            </w:r>
            <w:r>
              <w:rPr>
                <w:rFonts w:hint="default" w:ascii="Calibri" w:hAnsi="Calibri" w:eastAsia="宋体" w:cs="Calibri"/>
                <w:i w:val="0"/>
                <w:iCs w:val="0"/>
                <w:color w:val="000000"/>
                <w:kern w:val="0"/>
                <w:sz w:val="21"/>
                <w:szCs w:val="21"/>
                <w:u w:val="none"/>
                <w:lang w:val="en-US" w:eastAsia="zh-CN" w:bidi="ar"/>
              </w:rPr>
              <w:t>(1)</w:t>
            </w:r>
            <w:r>
              <w:rPr>
                <w:rStyle w:val="38"/>
                <w:lang w:val="en-US" w:eastAsia="zh-CN" w:bidi="ar"/>
              </w:rPr>
              <w:t xml:space="preserve">适用中华人民共和国法律 </w:t>
            </w:r>
            <w:r>
              <w:rPr>
                <w:rStyle w:val="37"/>
                <w:rFonts w:eastAsia="宋体"/>
                <w:lang w:val="en-US" w:eastAsia="zh-CN" w:bidi="ar"/>
              </w:rPr>
              <w:t>(2)</w:t>
            </w:r>
            <w:r>
              <w:rPr>
                <w:rStyle w:val="38"/>
                <w:lang w:val="en-US" w:eastAsia="zh-CN" w:bidi="ar"/>
              </w:rPr>
              <w:t>提交天津仲裁委员会进行仲裁。仲裁地点在天津 。</w:t>
            </w:r>
          </w:p>
        </w:tc>
        <w:tc>
          <w:tcPr>
            <w:tcW w:w="1845" w:type="dxa"/>
            <w:tcBorders>
              <w:top w:val="nil"/>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c>
          <w:tcPr>
            <w:tcW w:w="1324" w:type="dxa"/>
            <w:tcBorders>
              <w:top w:val="nil"/>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r>
      <w:tr>
        <w:tblPrEx>
          <w:tblCellMar>
            <w:top w:w="0" w:type="dxa"/>
            <w:left w:w="108" w:type="dxa"/>
            <w:bottom w:w="0" w:type="dxa"/>
            <w:right w:w="108" w:type="dxa"/>
          </w:tblCellMar>
        </w:tblPrEx>
        <w:trPr>
          <w:trHeight w:val="589" w:hRule="atLeast"/>
        </w:trPr>
        <w:tc>
          <w:tcPr>
            <w:tcW w:w="1166"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10</w:t>
            </w:r>
          </w:p>
        </w:tc>
        <w:tc>
          <w:tcPr>
            <w:tcW w:w="5604"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left"/>
              <w:rPr>
                <w:rFonts w:ascii="宋体" w:hAnsi="宋体" w:cs="宋体"/>
                <w:kern w:val="0"/>
                <w:szCs w:val="21"/>
              </w:rPr>
            </w:pPr>
            <w:r>
              <w:rPr>
                <w:rFonts w:hint="eastAsia" w:ascii="宋体" w:hAnsi="宋体" w:cs="宋体"/>
                <w:kern w:val="0"/>
                <w:szCs w:val="21"/>
              </w:rPr>
              <w:t>★</w:t>
            </w:r>
            <w:r>
              <w:rPr>
                <w:rFonts w:hint="eastAsia" w:ascii="宋体" w:hAnsi="宋体" w:cs="宋体"/>
                <w:bCs/>
                <w:szCs w:val="21"/>
              </w:rPr>
              <w:t>商务指标偏离累计</w:t>
            </w:r>
            <w:r>
              <w:rPr>
                <w:rFonts w:hint="eastAsia" w:ascii="宋体" w:hAnsi="宋体" w:cs="宋体"/>
                <w:b/>
                <w:bCs/>
                <w:szCs w:val="21"/>
                <w:u w:val="single"/>
              </w:rPr>
              <w:t xml:space="preserve"> 2 </w:t>
            </w:r>
            <w:r>
              <w:rPr>
                <w:rFonts w:hint="eastAsia" w:ascii="宋体" w:hAnsi="宋体" w:cs="宋体"/>
                <w:b/>
                <w:bCs/>
                <w:szCs w:val="21"/>
              </w:rPr>
              <w:t>项的，</w:t>
            </w:r>
            <w:r>
              <w:rPr>
                <w:rFonts w:hint="eastAsia" w:ascii="宋体" w:hAnsi="宋体" w:cs="宋体"/>
                <w:bCs/>
                <w:szCs w:val="21"/>
              </w:rPr>
              <w:t>即视为商务评审结论为“不合格”。</w:t>
            </w:r>
          </w:p>
        </w:tc>
        <w:tc>
          <w:tcPr>
            <w:tcW w:w="1845" w:type="dxa"/>
            <w:tcBorders>
              <w:top w:val="nil"/>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c>
          <w:tcPr>
            <w:tcW w:w="1324" w:type="dxa"/>
            <w:tcBorders>
              <w:top w:val="nil"/>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r>
      <w:tr>
        <w:tblPrEx>
          <w:tblCellMar>
            <w:top w:w="0" w:type="dxa"/>
            <w:left w:w="108" w:type="dxa"/>
            <w:bottom w:w="0" w:type="dxa"/>
            <w:right w:w="108" w:type="dxa"/>
          </w:tblCellMar>
        </w:tblPrEx>
        <w:trPr>
          <w:trHeight w:val="589" w:hRule="atLeast"/>
        </w:trPr>
        <w:tc>
          <w:tcPr>
            <w:tcW w:w="6770" w:type="dxa"/>
            <w:gridSpan w:val="2"/>
            <w:tcBorders>
              <w:top w:val="single" w:color="auto" w:sz="4" w:space="0"/>
              <w:left w:val="single" w:color="auto" w:sz="4" w:space="0"/>
              <w:bottom w:val="single" w:color="auto" w:sz="4" w:space="0"/>
              <w:right w:val="single" w:color="000000" w:sz="4" w:space="0"/>
            </w:tcBorders>
            <w:noWrap w:val="0"/>
            <w:vAlign w:val="center"/>
          </w:tcPr>
          <w:p>
            <w:pPr>
              <w:pStyle w:val="16"/>
              <w:widowControl/>
              <w:jc w:val="center"/>
              <w:rPr>
                <w:rFonts w:ascii="宋体" w:hAnsi="宋体" w:cs="宋体"/>
                <w:kern w:val="0"/>
                <w:szCs w:val="21"/>
              </w:rPr>
            </w:pPr>
            <w:r>
              <w:rPr>
                <w:rFonts w:hint="eastAsia" w:ascii="宋体" w:hAnsi="宋体" w:cs="宋体"/>
                <w:kern w:val="0"/>
                <w:szCs w:val="21"/>
              </w:rPr>
              <w:t>结论</w:t>
            </w:r>
          </w:p>
        </w:tc>
        <w:tc>
          <w:tcPr>
            <w:tcW w:w="3169" w:type="dxa"/>
            <w:gridSpan w:val="2"/>
            <w:tcBorders>
              <w:top w:val="single" w:color="auto" w:sz="4" w:space="0"/>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r>
    </w:tbl>
    <w:p>
      <w:pPr>
        <w:pStyle w:val="16"/>
        <w:spacing w:line="360" w:lineRule="auto"/>
        <w:jc w:val="left"/>
        <w:rPr>
          <w:rFonts w:ascii="Arial" w:hAnsi="Arial" w:cs="Arial"/>
          <w:kern w:val="0"/>
          <w:szCs w:val="21"/>
        </w:rPr>
      </w:pPr>
    </w:p>
    <w:p>
      <w:pPr>
        <w:pStyle w:val="17"/>
      </w:pPr>
    </w:p>
    <w:p>
      <w:pPr>
        <w:pStyle w:val="16"/>
      </w:pPr>
      <w:r>
        <w:rPr>
          <w:rFonts w:hint="eastAsia"/>
        </w:rPr>
        <w:t>注：</w:t>
      </w:r>
    </w:p>
    <w:p>
      <w:pPr>
        <w:pStyle w:val="16"/>
        <w:rPr>
          <w:rFonts w:ascii="宋体" w:hAnsi="宋体"/>
          <w:bCs/>
          <w:sz w:val="24"/>
        </w:rPr>
      </w:pPr>
      <w:r>
        <w:rPr>
          <w:rFonts w:hint="eastAsia"/>
        </w:rPr>
        <w:t>1.申请文件响应</w:t>
      </w:r>
      <w:r>
        <w:t>可填具体的数据或填“满足”、“不满足”；</w:t>
      </w:r>
      <w:r>
        <w:rPr>
          <w:rFonts w:hint="eastAsia"/>
        </w:rPr>
        <w:t>评议栏中填写“接受”或“不接受”，结论为合格或不合格。</w:t>
      </w:r>
      <w:r>
        <w:rPr>
          <w:rFonts w:hint="eastAsia" w:ascii="宋体" w:hAnsi="宋体"/>
          <w:bCs/>
        </w:rPr>
        <w:t>商务</w:t>
      </w:r>
      <w:r>
        <w:rPr>
          <w:rFonts w:ascii="宋体" w:hAnsi="宋体"/>
          <w:bCs/>
        </w:rPr>
        <w:t>指标</w:t>
      </w:r>
      <w:r>
        <w:rPr>
          <w:rFonts w:hint="eastAsia" w:ascii="宋体" w:hAnsi="宋体"/>
          <w:bCs/>
        </w:rPr>
        <w:t>偏离累计</w:t>
      </w:r>
      <w:r>
        <w:rPr>
          <w:rFonts w:hint="eastAsia" w:ascii="宋体" w:hAnsi="宋体"/>
          <w:b/>
          <w:bCs/>
          <w:u w:val="single"/>
        </w:rPr>
        <w:t xml:space="preserve"> </w:t>
      </w:r>
      <w:r>
        <w:rPr>
          <w:rFonts w:ascii="宋体" w:hAnsi="宋体"/>
          <w:b/>
          <w:bCs/>
          <w:u w:val="single"/>
        </w:rPr>
        <w:t>2</w:t>
      </w:r>
      <w:r>
        <w:rPr>
          <w:rFonts w:hint="eastAsia" w:ascii="宋体" w:hAnsi="宋体"/>
          <w:b/>
          <w:bCs/>
          <w:u w:val="single"/>
        </w:rPr>
        <w:t xml:space="preserve"> </w:t>
      </w:r>
      <w:r>
        <w:rPr>
          <w:rFonts w:ascii="宋体" w:hAnsi="宋体"/>
          <w:b/>
          <w:bCs/>
        </w:rPr>
        <w:t>项</w:t>
      </w:r>
      <w:r>
        <w:rPr>
          <w:rFonts w:hint="eastAsia" w:ascii="宋体" w:hAnsi="宋体"/>
          <w:bCs/>
        </w:rPr>
        <w:t>的，</w:t>
      </w:r>
      <w:r>
        <w:rPr>
          <w:rFonts w:ascii="宋体" w:hAnsi="宋体"/>
          <w:bCs/>
        </w:rPr>
        <w:t>即视为</w:t>
      </w:r>
      <w:r>
        <w:rPr>
          <w:rFonts w:hint="eastAsia" w:ascii="宋体" w:hAnsi="宋体"/>
          <w:bCs/>
        </w:rPr>
        <w:t>商务评审结论为“</w:t>
      </w:r>
      <w:r>
        <w:rPr>
          <w:rFonts w:ascii="宋体" w:hAnsi="宋体"/>
          <w:bCs/>
        </w:rPr>
        <w:t>不合格</w:t>
      </w:r>
      <w:r>
        <w:rPr>
          <w:rFonts w:hint="eastAsia" w:ascii="宋体" w:hAnsi="宋体"/>
          <w:bCs/>
        </w:rPr>
        <w:t>”。</w:t>
      </w:r>
    </w:p>
    <w:p>
      <w:pPr>
        <w:pStyle w:val="16"/>
      </w:pPr>
    </w:p>
    <w:p>
      <w:pPr>
        <w:pStyle w:val="16"/>
      </w:pPr>
      <w:r>
        <w:rPr>
          <w:rFonts w:hint="eastAsia"/>
          <w:kern w:val="0"/>
          <w:szCs w:val="21"/>
        </w:rPr>
        <w:t>评审专家签字：</w:t>
      </w:r>
      <w:r>
        <w:rPr>
          <w:rFonts w:hint="eastAsia"/>
        </w:rPr>
        <w:t xml:space="preserve"> </w:t>
      </w:r>
    </w:p>
    <w:p>
      <w:pPr>
        <w:pStyle w:val="16"/>
      </w:pPr>
    </w:p>
    <w:p>
      <w:pPr>
        <w:pStyle w:val="16"/>
        <w:autoSpaceDE w:val="0"/>
        <w:autoSpaceDN w:val="0"/>
        <w:adjustRightInd w:val="0"/>
        <w:spacing w:line="440" w:lineRule="exact"/>
        <w:ind w:right="-533" w:rightChars="-254"/>
        <w:jc w:val="center"/>
        <w:outlineLvl w:val="1"/>
        <w:rPr>
          <w:b/>
          <w:bCs/>
          <w:kern w:val="0"/>
          <w:sz w:val="28"/>
          <w:szCs w:val="28"/>
        </w:rPr>
      </w:pPr>
      <w:r>
        <w:br w:type="page"/>
      </w:r>
      <w:bookmarkStart w:id="271" w:name="_Hlk131767466"/>
      <w:r>
        <w:rPr>
          <w:b/>
          <w:bCs/>
          <w:color w:val="000000"/>
          <w:kern w:val="0"/>
          <w:sz w:val="28"/>
          <w:szCs w:val="28"/>
        </w:rPr>
        <w:t>技术评议表</w:t>
      </w:r>
    </w:p>
    <w:p>
      <w:pPr>
        <w:pStyle w:val="16"/>
        <w:rPr>
          <w:rFonts w:ascii="Arial" w:hAnsi="宋体" w:cs="宋体"/>
          <w:bCs/>
          <w:kern w:val="0"/>
          <w:sz w:val="24"/>
          <w:lang w:val="zh-CN"/>
        </w:rPr>
      </w:pPr>
      <w:r>
        <w:rPr>
          <w:color w:val="000000"/>
          <w:kern w:val="0"/>
          <w:szCs w:val="21"/>
        </w:rPr>
        <w:t>项目名称：</w:t>
      </w:r>
      <w:r>
        <w:rPr>
          <w:rFonts w:ascii="Arial" w:hAnsi="宋体" w:cs="宋体"/>
          <w:bCs/>
          <w:color w:val="000000"/>
          <w:kern w:val="0"/>
          <w:szCs w:val="21"/>
          <w:lang w:val="zh-CN"/>
        </w:rPr>
        <w:t xml:space="preserve">  </w:t>
      </w:r>
      <w:r>
        <w:rPr>
          <w:rFonts w:hint="eastAsia" w:ascii="Arial" w:hAnsi="宋体" w:cs="宋体"/>
          <w:bCs/>
          <w:color w:val="000000"/>
          <w:kern w:val="0"/>
          <w:sz w:val="24"/>
          <w:lang w:val="zh-CN"/>
        </w:rPr>
        <w:t>中海油能源发展股份有限公司工程技术公司永磁系列潜油电机等物资采购专有协议--标段六 供应商投标资格审查项目</w:t>
      </w:r>
    </w:p>
    <w:p>
      <w:pPr>
        <w:pStyle w:val="16"/>
        <w:rPr>
          <w:rFonts w:ascii="Arial" w:hAnsi="宋体" w:cs="宋体"/>
          <w:bCs/>
          <w:kern w:val="0"/>
          <w:szCs w:val="21"/>
          <w:lang w:val="zh-CN"/>
        </w:rPr>
      </w:pPr>
      <w:r>
        <w:rPr>
          <w:rFonts w:hint="eastAsia" w:ascii="Arial" w:hAnsi="宋体" w:cs="宋体"/>
          <w:bCs/>
          <w:color w:val="000000"/>
          <w:kern w:val="0"/>
          <w:szCs w:val="21"/>
          <w:lang w:val="zh-CN"/>
        </w:rPr>
        <w:t>标段（包）编号：</w:t>
      </w:r>
      <w:r>
        <w:rPr>
          <w:rFonts w:hint="eastAsia" w:ascii="Arial" w:hAnsi="Arial" w:cs="Arial"/>
          <w:kern w:val="0"/>
          <w:szCs w:val="21"/>
          <w:highlight w:val="yellow"/>
          <w:lang w:eastAsia="zh-CN"/>
        </w:rPr>
        <w:t>GK-2025-ZC-1263/01/06</w:t>
      </w:r>
      <w:r>
        <w:rPr>
          <w:rFonts w:ascii="Arial" w:hAnsi="宋体" w:cs="宋体"/>
          <w:bCs/>
          <w:color w:val="000000"/>
          <w:kern w:val="0"/>
          <w:szCs w:val="21"/>
          <w:lang w:val="zh-CN"/>
        </w:rPr>
        <w:t xml:space="preserve"> </w:t>
      </w:r>
    </w:p>
    <w:tbl>
      <w:tblPr>
        <w:tblStyle w:val="11"/>
        <w:tblW w:w="9073" w:type="dxa"/>
        <w:tblInd w:w="-431" w:type="dxa"/>
        <w:tblLayout w:type="fixed"/>
        <w:tblCellMar>
          <w:top w:w="0" w:type="dxa"/>
          <w:left w:w="108" w:type="dxa"/>
          <w:bottom w:w="0" w:type="dxa"/>
          <w:right w:w="108" w:type="dxa"/>
        </w:tblCellMar>
      </w:tblPr>
      <w:tblGrid>
        <w:gridCol w:w="568"/>
        <w:gridCol w:w="1134"/>
        <w:gridCol w:w="5538"/>
        <w:gridCol w:w="841"/>
        <w:gridCol w:w="992"/>
      </w:tblGrid>
      <w:tr>
        <w:tblPrEx>
          <w:tblCellMar>
            <w:top w:w="0" w:type="dxa"/>
            <w:left w:w="108" w:type="dxa"/>
            <w:bottom w:w="0" w:type="dxa"/>
            <w:right w:w="108" w:type="dxa"/>
          </w:tblCellMar>
        </w:tblPrEx>
        <w:trPr>
          <w:trHeight w:val="427" w:hRule="atLeast"/>
        </w:trPr>
        <w:tc>
          <w:tcPr>
            <w:tcW w:w="568" w:type="dxa"/>
            <w:vMerge w:val="restart"/>
            <w:tcBorders>
              <w:top w:val="single" w:color="auto" w:sz="4" w:space="0"/>
              <w:left w:val="single" w:color="auto" w:sz="4" w:space="0"/>
              <w:right w:val="single" w:color="auto" w:sz="4" w:space="0"/>
            </w:tcBorders>
            <w:noWrap w:val="0"/>
            <w:vAlign w:val="center"/>
          </w:tcPr>
          <w:p>
            <w:pPr>
              <w:pStyle w:val="16"/>
              <w:widowControl/>
              <w:jc w:val="center"/>
              <w:rPr>
                <w:rFonts w:ascii="宋体" w:hAnsi="宋体"/>
                <w:kern w:val="0"/>
                <w:szCs w:val="21"/>
              </w:rPr>
            </w:pPr>
            <w:r>
              <w:rPr>
                <w:rFonts w:hint="eastAsia" w:ascii="宋体" w:hAnsi="宋体"/>
                <w:color w:val="000000"/>
                <w:kern w:val="0"/>
                <w:szCs w:val="21"/>
              </w:rPr>
              <w:t>序号</w:t>
            </w:r>
          </w:p>
        </w:tc>
        <w:tc>
          <w:tcPr>
            <w:tcW w:w="6672" w:type="dxa"/>
            <w:gridSpan w:val="2"/>
            <w:vMerge w:val="restart"/>
            <w:tcBorders>
              <w:top w:val="single" w:color="auto" w:sz="4" w:space="0"/>
              <w:left w:val="single" w:color="auto" w:sz="4" w:space="0"/>
              <w:right w:val="single" w:color="auto" w:sz="4" w:space="0"/>
              <w:tl2br w:val="single" w:color="000000" w:sz="4" w:space="0"/>
            </w:tcBorders>
            <w:noWrap w:val="0"/>
            <w:vAlign w:val="top"/>
          </w:tcPr>
          <w:p>
            <w:pPr>
              <w:pStyle w:val="16"/>
              <w:widowControl/>
              <w:ind w:right="420"/>
              <w:jc w:val="center"/>
              <w:rPr>
                <w:rFonts w:ascii="宋体" w:hAnsi="宋体"/>
                <w:kern w:val="0"/>
                <w:szCs w:val="21"/>
              </w:rPr>
            </w:pPr>
          </w:p>
          <w:p>
            <w:pPr>
              <w:pStyle w:val="16"/>
              <w:widowControl/>
              <w:ind w:right="420"/>
              <w:jc w:val="center"/>
              <w:rPr>
                <w:rFonts w:ascii="宋体" w:hAnsi="宋体"/>
                <w:kern w:val="0"/>
                <w:szCs w:val="21"/>
              </w:rPr>
            </w:pPr>
            <w:r>
              <w:rPr>
                <w:rFonts w:hint="eastAsia" w:ascii="宋体" w:hAnsi="宋体"/>
                <w:color w:val="000000"/>
                <w:kern w:val="0"/>
                <w:szCs w:val="21"/>
              </w:rPr>
              <w:t xml:space="preserve">                                        申请人名称</w:t>
            </w:r>
          </w:p>
          <w:p>
            <w:pPr>
              <w:pStyle w:val="16"/>
              <w:widowControl/>
              <w:rPr>
                <w:rFonts w:ascii="宋体" w:hAnsi="宋体"/>
                <w:kern w:val="0"/>
                <w:szCs w:val="21"/>
              </w:rPr>
            </w:pPr>
            <w:r>
              <w:rPr>
                <w:rFonts w:hint="eastAsia" w:ascii="宋体" w:hAnsi="宋体"/>
                <w:color w:val="000000"/>
                <w:kern w:val="0"/>
                <w:szCs w:val="21"/>
              </w:rPr>
              <w:t>评议内容</w:t>
            </w:r>
            <w:r>
              <w:rPr>
                <w:rFonts w:ascii="宋体" w:hAnsi="宋体"/>
                <w:color w:val="000000"/>
                <w:kern w:val="0"/>
                <w:szCs w:val="21"/>
              </w:rPr>
              <w:t>/</w:t>
            </w:r>
            <w:r>
              <w:rPr>
                <w:rFonts w:hint="eastAsia" w:ascii="宋体" w:hAnsi="宋体"/>
                <w:color w:val="000000"/>
                <w:kern w:val="0"/>
                <w:szCs w:val="21"/>
              </w:rPr>
              <w:t>招标文件要求</w:t>
            </w:r>
          </w:p>
        </w:tc>
        <w:tc>
          <w:tcPr>
            <w:tcW w:w="1833" w:type="dxa"/>
            <w:gridSpan w:val="2"/>
            <w:tcBorders>
              <w:top w:val="single" w:color="auto" w:sz="4" w:space="0"/>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r>
      <w:tr>
        <w:tblPrEx>
          <w:tblCellMar>
            <w:top w:w="0" w:type="dxa"/>
            <w:left w:w="108" w:type="dxa"/>
            <w:bottom w:w="0" w:type="dxa"/>
            <w:right w:w="108" w:type="dxa"/>
          </w:tblCellMar>
        </w:tblPrEx>
        <w:trPr>
          <w:trHeight w:val="601" w:hRule="atLeast"/>
        </w:trPr>
        <w:tc>
          <w:tcPr>
            <w:tcW w:w="568" w:type="dxa"/>
            <w:vMerge w:val="continue"/>
            <w:tcBorders>
              <w:left w:val="single" w:color="auto" w:sz="4" w:space="0"/>
              <w:bottom w:val="single" w:color="auto" w:sz="4" w:space="0"/>
              <w:right w:val="single" w:color="auto" w:sz="4" w:space="0"/>
              <w:tl2br w:val="single" w:color="000000" w:sz="4" w:space="0"/>
            </w:tcBorders>
            <w:noWrap w:val="0"/>
            <w:vAlign w:val="center"/>
          </w:tcPr>
          <w:p>
            <w:pPr>
              <w:pStyle w:val="16"/>
              <w:widowControl/>
              <w:jc w:val="center"/>
              <w:rPr>
                <w:rFonts w:ascii="宋体" w:hAnsi="宋体"/>
                <w:kern w:val="0"/>
                <w:szCs w:val="21"/>
              </w:rPr>
            </w:pPr>
          </w:p>
        </w:tc>
        <w:tc>
          <w:tcPr>
            <w:tcW w:w="6672" w:type="dxa"/>
            <w:gridSpan w:val="2"/>
            <w:vMerge w:val="continue"/>
            <w:tcBorders>
              <w:left w:val="single" w:color="auto" w:sz="4" w:space="0"/>
              <w:bottom w:val="single" w:color="auto" w:sz="4" w:space="0"/>
              <w:right w:val="single" w:color="auto" w:sz="4" w:space="0"/>
              <w:tl2br w:val="single" w:color="000000" w:sz="4" w:space="0"/>
            </w:tcBorders>
            <w:noWrap w:val="0"/>
            <w:vAlign w:val="top"/>
          </w:tcPr>
          <w:p>
            <w:pPr>
              <w:pStyle w:val="16"/>
              <w:widowControl/>
              <w:jc w:val="center"/>
              <w:rPr>
                <w:rFonts w:ascii="宋体" w:hAnsi="宋体"/>
                <w:kern w:val="0"/>
                <w:szCs w:val="21"/>
              </w:rPr>
            </w:pPr>
          </w:p>
        </w:tc>
        <w:tc>
          <w:tcPr>
            <w:tcW w:w="841" w:type="dxa"/>
            <w:tcBorders>
              <w:top w:val="nil"/>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r>
              <w:rPr>
                <w:rFonts w:hint="eastAsia" w:ascii="宋体" w:hAnsi="宋体" w:cs="宋体"/>
                <w:color w:val="000000"/>
                <w:kern w:val="0"/>
                <w:szCs w:val="21"/>
              </w:rPr>
              <w:t>申请文件响应</w:t>
            </w:r>
          </w:p>
        </w:tc>
        <w:tc>
          <w:tcPr>
            <w:tcW w:w="992" w:type="dxa"/>
            <w:tcBorders>
              <w:top w:val="nil"/>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r>
              <w:rPr>
                <w:rFonts w:hint="eastAsia" w:ascii="宋体" w:hAnsi="宋体" w:cs="宋体"/>
                <w:color w:val="000000"/>
                <w:kern w:val="0"/>
                <w:szCs w:val="21"/>
              </w:rPr>
              <w:t>评议</w:t>
            </w: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ascii="宋体" w:hAnsi="宋体" w:cs="宋体"/>
                <w:kern w:val="0"/>
                <w:szCs w:val="21"/>
              </w:rPr>
            </w:pPr>
            <w:r>
              <w:rPr>
                <w:rFonts w:hint="eastAsia" w:ascii="宋体" w:hAnsi="宋体" w:cs="宋体"/>
                <w:color w:val="000000"/>
                <w:kern w:val="0"/>
                <w:szCs w:val="21"/>
              </w:rPr>
              <w:t>1</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kern w:val="2"/>
                <w:lang w:eastAsia="zh-CN"/>
              </w:rPr>
            </w:pPr>
            <w:r>
              <w:rPr>
                <w:rFonts w:hint="eastAsia" w:ascii="宋体" w:hAnsi="宋体" w:eastAsia="宋体" w:cs="宋体"/>
                <w:i w:val="0"/>
                <w:iCs w:val="0"/>
                <w:color w:val="0D0D0D"/>
                <w:kern w:val="0"/>
                <w:sz w:val="18"/>
                <w:szCs w:val="18"/>
                <w:u w:val="none"/>
                <w:lang w:val="en-US" w:eastAsia="zh-CN" w:bidi="ar"/>
              </w:rPr>
              <w:t>★350电机系列，功率，功率因数和效率要求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ascii="宋体" w:hAnsi="宋体" w:cs="宋体"/>
                <w:szCs w:val="21"/>
              </w:rPr>
            </w:pPr>
            <w:r>
              <w:rPr>
                <w:rFonts w:hint="eastAsia" w:ascii="宋体" w:hAnsi="宋体" w:eastAsia="宋体" w:cs="宋体"/>
                <w:i w:val="0"/>
                <w:iCs w:val="0"/>
                <w:color w:val="0D0D0D"/>
                <w:kern w:val="0"/>
                <w:sz w:val="18"/>
                <w:szCs w:val="18"/>
                <w:u w:val="none"/>
                <w:lang w:val="en-US" w:eastAsia="zh-CN" w:bidi="ar"/>
              </w:rPr>
              <w:t>投标人投标时提供：</w:t>
            </w:r>
            <w:r>
              <w:rPr>
                <w:rFonts w:hint="default" w:ascii="宋体" w:hAnsi="宋体" w:eastAsia="宋体" w:cs="宋体"/>
                <w:i w:val="0"/>
                <w:iCs w:val="0"/>
                <w:color w:val="0D0D0D"/>
                <w:kern w:val="0"/>
                <w:sz w:val="18"/>
                <w:szCs w:val="18"/>
                <w:u w:val="none"/>
                <w:lang w:val="en-US" w:eastAsia="zh-CN" w:bidi="ar"/>
              </w:rPr>
              <w:t>经CCS、ABS、BV、DNV第三方实验机构中的任意一家认证的测试报告（报告内容包括但不限于电机系列，额定功率，80%负载率以下时功率因数和效率等）</w:t>
            </w:r>
            <w:r>
              <w:rPr>
                <w:rFonts w:hint="eastAsia" w:ascii="宋体" w:hAnsi="宋体" w:eastAsia="宋体" w:cs="宋体"/>
                <w:i w:val="0"/>
                <w:iCs w:val="0"/>
                <w:color w:val="0D0D0D"/>
                <w:kern w:val="0"/>
                <w:sz w:val="18"/>
                <w:szCs w:val="18"/>
                <w:u w:val="none"/>
                <w:lang w:val="en-US" w:eastAsia="zh-CN" w:bidi="ar"/>
              </w:rPr>
              <w:t>。</w:t>
            </w:r>
            <w:r>
              <w:rPr>
                <w:rFonts w:hint="default" w:ascii="宋体" w:hAnsi="宋体" w:eastAsia="宋体" w:cs="宋体"/>
                <w:i w:val="0"/>
                <w:iCs w:val="0"/>
                <w:color w:val="0D0D0D"/>
                <w:kern w:val="0"/>
                <w:sz w:val="18"/>
                <w:szCs w:val="18"/>
                <w:u w:val="none"/>
                <w:lang w:val="en-US" w:eastAsia="zh-CN" w:bidi="ar"/>
              </w:rPr>
              <w:t>高转速潜油永磁同步电机350系列,额定功率为140HP±5%,电机要求80%负载率以下时功率因数0.87以上，效率为85%以上</w:t>
            </w:r>
            <w:r>
              <w:rPr>
                <w:rFonts w:hint="eastAsia" w:ascii="宋体" w:hAnsi="宋体" w:eastAsia="宋体" w:cs="宋体"/>
                <w:i w:val="0"/>
                <w:iCs w:val="0"/>
                <w:color w:val="0D0D0D"/>
                <w:kern w:val="0"/>
                <w:sz w:val="18"/>
                <w:szCs w:val="18"/>
                <w:u w:val="none"/>
                <w:lang w:val="en-US" w:eastAsia="zh-CN" w:bidi="ar"/>
              </w:rPr>
              <w:t>，为合格。</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ascii="宋体" w:hAnsi="宋体" w:cs="宋体"/>
                <w:kern w:val="0"/>
                <w:szCs w:val="21"/>
              </w:rPr>
            </w:pPr>
            <w:r>
              <w:rPr>
                <w:rFonts w:hint="eastAsia" w:ascii="宋体" w:hAnsi="宋体" w:cs="宋体"/>
                <w:color w:val="000000"/>
                <w:kern w:val="0"/>
                <w:szCs w:val="21"/>
              </w:rPr>
              <w:t>2</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cs="宋体"/>
                <w:szCs w:val="21"/>
              </w:rPr>
            </w:pPr>
            <w:r>
              <w:rPr>
                <w:rFonts w:hint="eastAsia" w:ascii="宋体" w:hAnsi="宋体" w:eastAsia="宋体" w:cs="宋体"/>
                <w:i w:val="0"/>
                <w:iCs w:val="0"/>
                <w:color w:val="0D0D0D"/>
                <w:kern w:val="0"/>
                <w:sz w:val="18"/>
                <w:szCs w:val="18"/>
                <w:u w:val="none"/>
                <w:lang w:val="en-US" w:eastAsia="zh-CN" w:bidi="ar"/>
              </w:rPr>
              <w:t>★450电机系列，功率，功率因数和效率要求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ascii="宋体" w:hAnsi="宋体" w:eastAsia="宋体" w:cs="宋体"/>
                <w:lang w:eastAsia="zh-CN"/>
              </w:rPr>
            </w:pPr>
            <w:r>
              <w:rPr>
                <w:rFonts w:hint="eastAsia" w:ascii="宋体" w:hAnsi="宋体" w:eastAsia="宋体" w:cs="宋体"/>
                <w:i w:val="0"/>
                <w:iCs w:val="0"/>
                <w:color w:val="0D0D0D"/>
                <w:kern w:val="0"/>
                <w:sz w:val="18"/>
                <w:szCs w:val="18"/>
                <w:u w:val="none"/>
                <w:lang w:val="en-US" w:eastAsia="zh-CN" w:bidi="ar"/>
              </w:rPr>
              <w:t>投标人投标时提供：</w:t>
            </w:r>
            <w:r>
              <w:rPr>
                <w:rFonts w:hint="default" w:ascii="宋体" w:hAnsi="宋体" w:eastAsia="宋体" w:cs="宋体"/>
                <w:i w:val="0"/>
                <w:iCs w:val="0"/>
                <w:color w:val="0D0D0D"/>
                <w:kern w:val="0"/>
                <w:sz w:val="18"/>
                <w:szCs w:val="18"/>
                <w:u w:val="none"/>
                <w:lang w:val="en-US" w:eastAsia="zh-CN" w:bidi="ar"/>
              </w:rPr>
              <w:t>经CCS、ABS、BV、DNV第三方实验机构中的任意一家认证的测试报告（报告内容包括但不限于电机系列，额定功率，80%负载率以下时功率因数和效率等）</w:t>
            </w:r>
            <w:r>
              <w:rPr>
                <w:rFonts w:hint="eastAsia" w:ascii="宋体" w:hAnsi="宋体" w:eastAsia="宋体" w:cs="宋体"/>
                <w:i w:val="0"/>
                <w:iCs w:val="0"/>
                <w:color w:val="0D0D0D"/>
                <w:kern w:val="0"/>
                <w:sz w:val="18"/>
                <w:szCs w:val="18"/>
                <w:u w:val="none"/>
                <w:lang w:val="en-US" w:eastAsia="zh-CN" w:bidi="ar"/>
              </w:rPr>
              <w:t>。</w:t>
            </w:r>
            <w:r>
              <w:rPr>
                <w:rFonts w:hint="default" w:ascii="宋体" w:hAnsi="宋体" w:eastAsia="宋体" w:cs="宋体"/>
                <w:i w:val="0"/>
                <w:iCs w:val="0"/>
                <w:color w:val="0D0D0D"/>
                <w:kern w:val="0"/>
                <w:sz w:val="18"/>
                <w:szCs w:val="18"/>
                <w:u w:val="none"/>
                <w:lang w:val="en-US" w:eastAsia="zh-CN" w:bidi="ar"/>
              </w:rPr>
              <w:t>高转速潜油永磁同步电机为450系列。额定功率为140HP±5%、200HP±5%、260HP±5%。全系列电机要求80%负载率下功率因数0.90以上，效率为88%以上</w:t>
            </w:r>
            <w:r>
              <w:rPr>
                <w:rFonts w:hint="eastAsia" w:ascii="宋体" w:hAnsi="宋体" w:eastAsia="宋体" w:cs="宋体"/>
                <w:i w:val="0"/>
                <w:iCs w:val="0"/>
                <w:color w:val="0D0D0D"/>
                <w:kern w:val="0"/>
                <w:sz w:val="18"/>
                <w:szCs w:val="18"/>
                <w:u w:val="none"/>
                <w:lang w:val="en-US" w:eastAsia="zh-CN" w:bidi="ar"/>
              </w:rPr>
              <w:t>，为合格。</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3</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★562电机系列，功率，功率因数和效率要求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D0D0D"/>
                <w:kern w:val="0"/>
                <w:sz w:val="18"/>
                <w:szCs w:val="18"/>
                <w:u w:val="none"/>
                <w:lang w:val="en-US" w:eastAsia="zh-CN" w:bidi="ar"/>
              </w:rPr>
              <w:t>投标人投标时提供：</w:t>
            </w:r>
            <w:r>
              <w:rPr>
                <w:rFonts w:hint="default" w:ascii="宋体" w:hAnsi="宋体" w:eastAsia="宋体" w:cs="宋体"/>
                <w:i w:val="0"/>
                <w:iCs w:val="0"/>
                <w:color w:val="0D0D0D"/>
                <w:kern w:val="0"/>
                <w:sz w:val="18"/>
                <w:szCs w:val="18"/>
                <w:u w:val="none"/>
                <w:lang w:val="en-US" w:eastAsia="zh-CN" w:bidi="ar"/>
              </w:rPr>
              <w:t>经CCS、ABS、BV、DNV第三方实验机构中的任意一家认证的测试报告（报告内容包括但不限于电机系列，额定功率，80%负载率以下时功率因数和效率等）</w:t>
            </w:r>
            <w:r>
              <w:rPr>
                <w:rFonts w:hint="eastAsia" w:ascii="宋体" w:hAnsi="宋体" w:eastAsia="宋体" w:cs="宋体"/>
                <w:i w:val="0"/>
                <w:iCs w:val="0"/>
                <w:color w:val="0D0D0D"/>
                <w:kern w:val="0"/>
                <w:sz w:val="18"/>
                <w:szCs w:val="18"/>
                <w:u w:val="none"/>
                <w:lang w:val="en-US" w:eastAsia="zh-CN" w:bidi="ar"/>
              </w:rPr>
              <w:t>。</w:t>
            </w:r>
            <w:r>
              <w:rPr>
                <w:rFonts w:hint="default" w:ascii="宋体" w:hAnsi="宋体" w:eastAsia="宋体" w:cs="宋体"/>
                <w:i w:val="0"/>
                <w:iCs w:val="0"/>
                <w:color w:val="0D0D0D"/>
                <w:kern w:val="0"/>
                <w:sz w:val="18"/>
                <w:szCs w:val="18"/>
                <w:u w:val="none"/>
                <w:lang w:val="en-US" w:eastAsia="zh-CN" w:bidi="ar"/>
              </w:rPr>
              <w:t>高转速潜油永磁同步电机为562系列。额定功率为352HP±5%、440HP±5%、572HP±5%、704HP±5%、836HP±5%。全系列电机要求80%负载率下功率因数0.95以上，效率94%以上</w:t>
            </w:r>
            <w:r>
              <w:rPr>
                <w:rFonts w:hint="eastAsia" w:ascii="宋体" w:hAnsi="宋体" w:eastAsia="宋体" w:cs="宋体"/>
                <w:i w:val="0"/>
                <w:iCs w:val="0"/>
                <w:color w:val="0D0D0D"/>
                <w:kern w:val="0"/>
                <w:sz w:val="18"/>
                <w:szCs w:val="18"/>
                <w:u w:val="none"/>
                <w:lang w:val="en-US" w:eastAsia="zh-CN" w:bidi="ar"/>
              </w:rPr>
              <w:t>，为合格。</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4</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★电机适用井温和本体耐温等级以及永磁体要求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D0D0D"/>
                <w:kern w:val="0"/>
                <w:sz w:val="18"/>
                <w:szCs w:val="18"/>
                <w:u w:val="none"/>
                <w:lang w:val="en-US" w:eastAsia="zh-CN" w:bidi="ar"/>
              </w:rPr>
              <w:t>投标人在投标文件中承诺满足：</w:t>
            </w:r>
            <w:r>
              <w:rPr>
                <w:rFonts w:hint="default" w:ascii="宋体" w:hAnsi="宋体" w:eastAsia="宋体" w:cs="宋体"/>
                <w:i w:val="0"/>
                <w:iCs w:val="0"/>
                <w:color w:val="0D0D0D"/>
                <w:kern w:val="0"/>
                <w:sz w:val="18"/>
                <w:szCs w:val="18"/>
                <w:u w:val="none"/>
                <w:lang w:val="en-US" w:eastAsia="zh-CN" w:bidi="ar"/>
              </w:rPr>
              <w:t>电机适用井温：180℃，本体耐温等级204℃。同时为保证电机效率，要求转子采用永磁体，永磁体耐温不低于204℃，材质选用钕铁硼（NdFeB）或更高级别的钐钴（SmCo）材质及以上等级，满足对磁场强度和温度稳定性的高要求</w:t>
            </w:r>
            <w:r>
              <w:rPr>
                <w:rFonts w:hint="eastAsia" w:ascii="宋体" w:hAnsi="宋体" w:eastAsia="宋体" w:cs="宋体"/>
                <w:i w:val="0"/>
                <w:iCs w:val="0"/>
                <w:color w:val="0D0D0D"/>
                <w:kern w:val="0"/>
                <w:sz w:val="18"/>
                <w:szCs w:val="18"/>
                <w:u w:val="none"/>
                <w:lang w:val="en-US" w:eastAsia="zh-CN" w:bidi="ar"/>
              </w:rPr>
              <w:t>。</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5</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★电机运行能力要求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D0D0D"/>
                <w:kern w:val="0"/>
                <w:sz w:val="18"/>
                <w:szCs w:val="18"/>
                <w:u w:val="none"/>
                <w:lang w:val="en-US" w:eastAsia="zh-CN" w:bidi="ar"/>
              </w:rPr>
              <w:t>投标人在投标文件中承诺满足：</w:t>
            </w:r>
            <w:r>
              <w:rPr>
                <w:rFonts w:hint="default" w:ascii="宋体" w:hAnsi="宋体" w:eastAsia="宋体" w:cs="宋体"/>
                <w:i w:val="0"/>
                <w:iCs w:val="0"/>
                <w:color w:val="0D0D0D"/>
                <w:kern w:val="0"/>
                <w:sz w:val="18"/>
                <w:szCs w:val="18"/>
                <w:u w:val="none"/>
                <w:lang w:val="en-US" w:eastAsia="zh-CN" w:bidi="ar"/>
              </w:rPr>
              <w:t>电机额定同步转速为</w:t>
            </w:r>
            <w:r>
              <w:rPr>
                <w:rFonts w:hint="eastAsia" w:ascii="宋体" w:hAnsi="宋体" w:eastAsia="宋体" w:cs="宋体"/>
                <w:i w:val="0"/>
                <w:iCs w:val="0"/>
                <w:color w:val="0D0D0D"/>
                <w:kern w:val="0"/>
                <w:sz w:val="18"/>
                <w:szCs w:val="18"/>
                <w:u w:val="none"/>
                <w:lang w:val="en-US" w:eastAsia="zh-CN" w:bidi="ar"/>
              </w:rPr>
              <w:t>3600</w:t>
            </w:r>
            <w:r>
              <w:rPr>
                <w:rFonts w:hint="default" w:ascii="宋体" w:hAnsi="宋体" w:eastAsia="宋体" w:cs="宋体"/>
                <w:i w:val="0"/>
                <w:iCs w:val="0"/>
                <w:color w:val="0D0D0D"/>
                <w:kern w:val="0"/>
                <w:sz w:val="18"/>
                <w:szCs w:val="18"/>
                <w:u w:val="none"/>
                <w:lang w:val="en-US" w:eastAsia="zh-CN" w:bidi="ar"/>
              </w:rPr>
              <w:t>-4200rpm，频率为</w:t>
            </w:r>
            <w:r>
              <w:rPr>
                <w:rFonts w:hint="eastAsia" w:ascii="宋体" w:hAnsi="宋体" w:eastAsia="宋体" w:cs="宋体"/>
                <w:i w:val="0"/>
                <w:iCs w:val="0"/>
                <w:color w:val="0D0D0D"/>
                <w:kern w:val="0"/>
                <w:sz w:val="18"/>
                <w:szCs w:val="18"/>
                <w:u w:val="none"/>
                <w:lang w:val="en-US" w:eastAsia="zh-CN" w:bidi="ar"/>
              </w:rPr>
              <w:t>120</w:t>
            </w:r>
            <w:r>
              <w:rPr>
                <w:rFonts w:hint="default" w:ascii="宋体" w:hAnsi="宋体" w:eastAsia="宋体" w:cs="宋体"/>
                <w:i w:val="0"/>
                <w:iCs w:val="0"/>
                <w:color w:val="0D0D0D"/>
                <w:kern w:val="0"/>
                <w:sz w:val="18"/>
                <w:szCs w:val="18"/>
                <w:u w:val="none"/>
                <w:lang w:val="en-US" w:eastAsia="zh-CN" w:bidi="ar"/>
              </w:rPr>
              <w:t>-140Hz，并且具备在此转速区间稳定运行的能力，供货时提供额定负载下转速3600rpm及4200rpm下的出厂测试报告</w:t>
            </w:r>
            <w:r>
              <w:rPr>
                <w:rFonts w:hint="eastAsia" w:ascii="宋体" w:hAnsi="宋体" w:eastAsia="宋体" w:cs="宋体"/>
                <w:i w:val="0"/>
                <w:iCs w:val="0"/>
                <w:color w:val="0D0D0D"/>
                <w:kern w:val="0"/>
                <w:sz w:val="18"/>
                <w:szCs w:val="18"/>
                <w:u w:val="none"/>
                <w:lang w:val="en-US" w:eastAsia="zh-CN" w:bidi="ar"/>
              </w:rPr>
              <w:t>。</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6</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★电机、保护器接口尺寸要求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D0D0D"/>
                <w:kern w:val="0"/>
                <w:sz w:val="18"/>
                <w:szCs w:val="18"/>
                <w:u w:val="none"/>
                <w:lang w:val="en-US" w:eastAsia="zh-CN" w:bidi="ar"/>
              </w:rPr>
              <w:t>投标人在投标文件中承诺满足：电机、保护器上下接口尺寸符合《机械采油公司潜油电泵产品接口参数明细》（见附件一）要求</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7</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★电机规格数据表要求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D0D0D"/>
                <w:kern w:val="0"/>
                <w:sz w:val="18"/>
                <w:szCs w:val="18"/>
                <w:u w:val="none"/>
                <w:lang w:val="en-US" w:eastAsia="zh-CN" w:bidi="ar"/>
              </w:rPr>
              <w:t>投标时提供电机规格数据表（技术要求5.1-（9）项表格），</w:t>
            </w:r>
            <w:r>
              <w:rPr>
                <w:rFonts w:hint="default" w:ascii="宋体" w:hAnsi="宋体" w:eastAsia="宋体" w:cs="宋体"/>
                <w:i w:val="0"/>
                <w:iCs w:val="0"/>
                <w:color w:val="0D0D0D"/>
                <w:kern w:val="0"/>
                <w:sz w:val="18"/>
                <w:szCs w:val="18"/>
                <w:u w:val="none"/>
                <w:lang w:val="en-US" w:eastAsia="zh-CN" w:bidi="ar"/>
              </w:rPr>
              <w:t>至少包含：3600rpm、4200rpm转速下对应的额定功率、额定电压、额定电流、长度等数据，350系列功率范围至少覆盖：83~166HP，450系列功率范围至少覆盖：140~260HP、562系列功率范围至少覆盖183~836HP</w:t>
            </w:r>
            <w:r>
              <w:rPr>
                <w:rFonts w:hint="eastAsia" w:ascii="宋体" w:hAnsi="宋体" w:eastAsia="宋体" w:cs="宋体"/>
                <w:i w:val="0"/>
                <w:iCs w:val="0"/>
                <w:color w:val="0D0D0D"/>
                <w:kern w:val="0"/>
                <w:sz w:val="18"/>
                <w:szCs w:val="18"/>
                <w:u w:val="none"/>
                <w:lang w:val="en-US" w:eastAsia="zh-CN" w:bidi="ar"/>
              </w:rPr>
              <w:t>。</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8</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★保护器运行能力要求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default" w:ascii="宋体" w:hAnsi="宋体" w:eastAsia="宋体" w:cs="宋体"/>
                <w:i w:val="0"/>
                <w:iCs w:val="0"/>
                <w:color w:val="0D0D0D"/>
                <w:kern w:val="0"/>
                <w:sz w:val="18"/>
                <w:szCs w:val="18"/>
                <w:u w:val="none"/>
                <w:lang w:val="en-US" w:eastAsia="zh-CN" w:bidi="ar"/>
              </w:rPr>
              <w:t>保护器在额定同步转速为3600-4200rpm区间内具备稳定运行的能力，提供额定负载下转速3600rpm及4200rpm下的出厂测试报告</w:t>
            </w:r>
            <w:r>
              <w:rPr>
                <w:rFonts w:hint="eastAsia" w:ascii="宋体" w:hAnsi="宋体" w:eastAsia="宋体" w:cs="宋体"/>
                <w:i w:val="0"/>
                <w:iCs w:val="0"/>
                <w:color w:val="0D0D0D"/>
                <w:kern w:val="0"/>
                <w:sz w:val="18"/>
                <w:szCs w:val="18"/>
                <w:u w:val="none"/>
                <w:lang w:val="en-US" w:eastAsia="zh-CN" w:bidi="ar"/>
              </w:rPr>
              <w:t>。</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9</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★450和562系列电机转子磁钢要求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D0D0D"/>
                <w:kern w:val="0"/>
                <w:sz w:val="18"/>
                <w:szCs w:val="18"/>
                <w:u w:val="none"/>
                <w:lang w:val="en-US" w:eastAsia="zh-CN" w:bidi="ar"/>
              </w:rPr>
              <w:t>投标人在投标文件中承诺满足：磁钢要求：采用4极内嵌式设计，磁钢等级为N40EH，要求有防腐镀层，镀层方式为NiCuNi，交货态为预充磁，充磁后剩磁要求在12.5k-12.8k高斯；</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10</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★高转速永磁电机与感应电机效率、功率因数对比表要求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D0D0D"/>
                <w:kern w:val="0"/>
                <w:sz w:val="18"/>
                <w:szCs w:val="18"/>
                <w:u w:val="none"/>
                <w:lang w:val="en-US" w:eastAsia="zh-CN" w:bidi="ar"/>
              </w:rPr>
              <w:t>投标人</w:t>
            </w:r>
            <w:r>
              <w:rPr>
                <w:rFonts w:hint="default" w:ascii="宋体" w:hAnsi="宋体" w:eastAsia="宋体" w:cs="宋体"/>
                <w:i w:val="0"/>
                <w:iCs w:val="0"/>
                <w:color w:val="0D0D0D"/>
                <w:kern w:val="0"/>
                <w:sz w:val="18"/>
                <w:szCs w:val="18"/>
                <w:u w:val="none"/>
                <w:lang w:val="en-US" w:eastAsia="zh-CN" w:bidi="ar"/>
              </w:rPr>
              <w:t>在投标时参照附件七：《永磁电机与感应电机效率、功率因数对比表》提供不少于5种功率下不同规格的永磁电机效率和功率因数对比数据并付相应的试验曲线图与感应电机进行对比。</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11</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★电机试验方法要求与测试参数设置和测试项目要求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shd w:val="clear" w:fill="FFFFFF" w:themeFill="background1"/>
              <w:jc w:val="left"/>
              <w:textAlignment w:val="center"/>
              <w:rPr>
                <w:rFonts w:hint="eastAsia" w:ascii="宋体" w:hAnsi="宋体" w:eastAsia="宋体" w:cs="宋体"/>
                <w:i w:val="0"/>
                <w:iCs w:val="0"/>
                <w:color w:val="auto"/>
                <w:kern w:val="0"/>
                <w:sz w:val="18"/>
                <w:szCs w:val="18"/>
                <w:highlight w:val="yellow"/>
                <w:u w:val="none"/>
                <w:lang w:val="en-US" w:eastAsia="zh-CN" w:bidi="ar"/>
              </w:rPr>
            </w:pPr>
            <w:r>
              <w:rPr>
                <w:rFonts w:hint="eastAsia" w:ascii="宋体" w:hAnsi="宋体" w:eastAsia="宋体" w:cs="宋体"/>
                <w:i w:val="0"/>
                <w:iCs w:val="0"/>
                <w:color w:val="auto"/>
                <w:kern w:val="0"/>
                <w:sz w:val="18"/>
                <w:szCs w:val="18"/>
                <w:highlight w:val="yellow"/>
                <w:u w:val="none"/>
                <w:lang w:val="en-US" w:eastAsia="zh-CN" w:bidi="ar"/>
              </w:rPr>
              <w:t>投标人投标时需承诺满足以下要求：</w:t>
            </w:r>
          </w:p>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auto"/>
                <w:kern w:val="0"/>
                <w:sz w:val="18"/>
                <w:szCs w:val="18"/>
                <w:highlight w:val="yellow"/>
                <w:u w:val="none"/>
                <w:lang w:val="en-US" w:eastAsia="zh-CN" w:bidi="ar"/>
              </w:rPr>
              <w:t>由第三方实验机构（CCS、ABS、BV、DNV）中的任意一家、招标人机采公司以及公开资格预初步评审合格的投标人依次在招标人现场共同见证投标人所提供的电机</w:t>
            </w:r>
            <w:r>
              <w:rPr>
                <w:rFonts w:hint="eastAsia" w:ascii="宋体" w:hAnsi="宋体" w:eastAsia="宋体" w:cs="宋体"/>
                <w:i w:val="0"/>
                <w:iCs w:val="0"/>
                <w:color w:val="000000"/>
                <w:kern w:val="0"/>
                <w:sz w:val="18"/>
                <w:szCs w:val="18"/>
                <w:highlight w:val="yellow"/>
                <w:u w:val="none"/>
                <w:lang w:val="en-US" w:eastAsia="zh-CN" w:bidi="ar"/>
              </w:rPr>
              <w:t>和HAILOONG LIFT品牌的OTS400</w:t>
            </w:r>
            <w:r>
              <w:rPr>
                <w:rFonts w:hint="default" w:ascii="宋体" w:hAnsi="宋体" w:eastAsia="宋体" w:cs="宋体"/>
                <w:i w:val="0"/>
                <w:iCs w:val="0"/>
                <w:color w:val="000000"/>
                <w:kern w:val="0"/>
                <w:sz w:val="18"/>
                <w:szCs w:val="18"/>
                <w:highlight w:val="yellow"/>
                <w:u w:val="none"/>
                <w:lang w:val="en-US" w:eastAsia="zh-CN" w:bidi="ar"/>
              </w:rPr>
              <w:t>变频器</w:t>
            </w:r>
            <w:r>
              <w:rPr>
                <w:rFonts w:hint="eastAsia" w:ascii="宋体" w:hAnsi="宋体" w:eastAsia="宋体" w:cs="宋体"/>
                <w:i w:val="0"/>
                <w:iCs w:val="0"/>
                <w:color w:val="000000"/>
                <w:kern w:val="0"/>
                <w:sz w:val="18"/>
                <w:szCs w:val="18"/>
                <w:highlight w:val="yellow"/>
                <w:u w:val="none"/>
                <w:lang w:val="en-US" w:eastAsia="zh-CN" w:bidi="ar"/>
              </w:rPr>
              <w:t>匹配性试验。</w:t>
            </w:r>
            <w:r>
              <w:rPr>
                <w:rFonts w:hint="eastAsia" w:ascii="宋体" w:hAnsi="宋体" w:eastAsia="宋体" w:cs="宋体"/>
                <w:i w:val="0"/>
                <w:iCs w:val="0"/>
                <w:color w:val="000000"/>
                <w:kern w:val="0"/>
                <w:sz w:val="18"/>
                <w:szCs w:val="18"/>
                <w:u w:val="none"/>
                <w:lang w:val="en-US" w:eastAsia="zh-CN" w:bidi="ar"/>
              </w:rPr>
              <w:t>试验要求：</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r>
              <w:rPr>
                <w:rFonts w:hint="default" w:ascii="宋体" w:hAnsi="宋体" w:eastAsia="宋体" w:cs="宋体"/>
                <w:i w:val="0"/>
                <w:iCs w:val="0"/>
                <w:color w:val="000000"/>
                <w:kern w:val="0"/>
                <w:sz w:val="18"/>
                <w:szCs w:val="18"/>
                <w:u w:val="none"/>
                <w:lang w:val="en-US" w:eastAsia="zh-CN" w:bidi="ar"/>
              </w:rPr>
              <w:t>测试电机的型号要求如下：</w:t>
            </w:r>
            <w:r>
              <w:rPr>
                <w:rFonts w:hint="eastAsia" w:ascii="宋体" w:hAnsi="宋体" w:eastAsia="宋体" w:cs="宋体"/>
                <w:i w:val="0"/>
                <w:iCs w:val="0"/>
                <w:color w:val="000000"/>
                <w:kern w:val="0"/>
                <w:sz w:val="18"/>
                <w:szCs w:val="18"/>
                <w:highlight w:val="none"/>
                <w:u w:val="none"/>
                <w:lang w:val="en-US" w:eastAsia="zh-CN" w:bidi="ar"/>
              </w:rPr>
              <w:t>投标人</w:t>
            </w:r>
            <w:r>
              <w:rPr>
                <w:rFonts w:hint="default" w:ascii="宋体" w:hAnsi="宋体" w:eastAsia="宋体" w:cs="宋体"/>
                <w:i w:val="0"/>
                <w:iCs w:val="0"/>
                <w:color w:val="000000"/>
                <w:kern w:val="0"/>
                <w:sz w:val="18"/>
                <w:szCs w:val="18"/>
                <w:highlight w:val="none"/>
                <w:u w:val="none"/>
                <w:lang w:val="en-US" w:eastAsia="zh-CN" w:bidi="ar"/>
              </w:rPr>
              <w:t>提供450</w:t>
            </w:r>
            <w:r>
              <w:rPr>
                <w:rFonts w:hint="eastAsia" w:ascii="宋体" w:hAnsi="宋体" w:eastAsia="宋体" w:cs="宋体"/>
                <w:i w:val="0"/>
                <w:iCs w:val="0"/>
                <w:color w:val="000000"/>
                <w:kern w:val="0"/>
                <w:sz w:val="18"/>
                <w:szCs w:val="18"/>
                <w:highlight w:val="none"/>
                <w:u w:val="none"/>
                <w:lang w:val="en-US" w:eastAsia="zh-CN" w:bidi="ar"/>
              </w:rPr>
              <w:t>系列</w:t>
            </w:r>
            <w:r>
              <w:rPr>
                <w:rFonts w:hint="default" w:ascii="宋体" w:hAnsi="宋体" w:eastAsia="宋体" w:cs="宋体"/>
                <w:i w:val="0"/>
                <w:iCs w:val="0"/>
                <w:color w:val="000000"/>
                <w:kern w:val="0"/>
                <w:sz w:val="18"/>
                <w:szCs w:val="18"/>
                <w:highlight w:val="none"/>
                <w:u w:val="none"/>
                <w:lang w:val="en-US" w:eastAsia="zh-CN" w:bidi="ar"/>
              </w:rPr>
              <w:t>电机</w:t>
            </w:r>
            <w:r>
              <w:rPr>
                <w:rFonts w:hint="eastAsia" w:ascii="宋体" w:hAnsi="宋体" w:eastAsia="宋体" w:cs="宋体"/>
                <w:i w:val="0"/>
                <w:iCs w:val="0"/>
                <w:color w:val="000000"/>
                <w:kern w:val="0"/>
                <w:sz w:val="18"/>
                <w:szCs w:val="18"/>
                <w:highlight w:val="none"/>
                <w:u w:val="none"/>
                <w:lang w:val="en-US" w:eastAsia="zh-CN" w:bidi="ar"/>
              </w:rPr>
              <w:t>。</w:t>
            </w:r>
            <w:r>
              <w:rPr>
                <w:rFonts w:hint="default" w:ascii="宋体" w:hAnsi="宋体" w:eastAsia="宋体" w:cs="宋体"/>
                <w:i w:val="0"/>
                <w:iCs w:val="0"/>
                <w:color w:val="000000"/>
                <w:kern w:val="0"/>
                <w:sz w:val="18"/>
                <w:szCs w:val="18"/>
                <w:highlight w:val="none"/>
                <w:u w:val="none"/>
                <w:lang w:val="en-US" w:eastAsia="zh-CN" w:bidi="ar"/>
              </w:rPr>
              <w:t>电</w:t>
            </w:r>
            <w:r>
              <w:rPr>
                <w:rFonts w:hint="default" w:ascii="宋体" w:hAnsi="宋体" w:eastAsia="宋体" w:cs="宋体"/>
                <w:i w:val="0"/>
                <w:iCs w:val="0"/>
                <w:color w:val="000000"/>
                <w:kern w:val="0"/>
                <w:sz w:val="18"/>
                <w:szCs w:val="18"/>
                <w:u w:val="none"/>
                <w:lang w:val="en-US" w:eastAsia="zh-CN" w:bidi="ar"/>
              </w:rPr>
              <w:t>机运行额定转速4200</w:t>
            </w:r>
            <w:r>
              <w:rPr>
                <w:rFonts w:hint="eastAsia" w:ascii="宋体" w:hAnsi="宋体" w:eastAsia="宋体" w:cs="宋体"/>
                <w:i w:val="0"/>
                <w:iCs w:val="0"/>
                <w:color w:val="000000"/>
                <w:kern w:val="0"/>
                <w:sz w:val="18"/>
                <w:szCs w:val="18"/>
                <w:u w:val="none"/>
                <w:lang w:val="en-US" w:eastAsia="zh-CN" w:bidi="ar"/>
              </w:rPr>
              <w:t>RPM</w:t>
            </w:r>
            <w:r>
              <w:rPr>
                <w:rFonts w:hint="default"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测试</w:t>
            </w:r>
            <w:r>
              <w:rPr>
                <w:rFonts w:hint="default" w:ascii="宋体" w:hAnsi="宋体" w:eastAsia="宋体" w:cs="宋体"/>
                <w:i w:val="0"/>
                <w:iCs w:val="0"/>
                <w:color w:val="000000"/>
                <w:kern w:val="0"/>
                <w:sz w:val="18"/>
                <w:szCs w:val="18"/>
                <w:u w:val="none"/>
                <w:lang w:val="en-US" w:eastAsia="zh-CN" w:bidi="ar"/>
              </w:rPr>
              <w:t>在4200RPM@140Hz下可以稳定运行</w:t>
            </w:r>
            <w:r>
              <w:rPr>
                <w:rFonts w:hint="eastAsia" w:ascii="宋体" w:hAnsi="宋体" w:eastAsia="宋体" w:cs="宋体"/>
                <w:i w:val="0"/>
                <w:iCs w:val="0"/>
                <w:color w:val="000000"/>
                <w:kern w:val="0"/>
                <w:sz w:val="18"/>
                <w:szCs w:val="18"/>
                <w:u w:val="none"/>
                <w:lang w:val="en-US" w:eastAsia="zh-CN" w:bidi="ar"/>
              </w:rPr>
              <w:t>，并提供</w:t>
            </w:r>
            <w:r>
              <w:rPr>
                <w:rFonts w:hint="default" w:ascii="宋体" w:hAnsi="宋体" w:eastAsia="宋体" w:cs="宋体"/>
                <w:i w:val="0"/>
                <w:iCs w:val="0"/>
                <w:color w:val="000000"/>
                <w:kern w:val="0"/>
                <w:sz w:val="18"/>
                <w:szCs w:val="18"/>
                <w:u w:val="none"/>
                <w:lang w:val="en-US" w:eastAsia="zh-CN" w:bidi="ar"/>
              </w:rPr>
              <w:t>经CCS、ABS、BV、DNV第三方实验机构中的任意一家认证的测试报告</w:t>
            </w:r>
            <w:r>
              <w:rPr>
                <w:rFonts w:hint="eastAsia" w:ascii="宋体" w:hAnsi="宋体" w:eastAsia="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2）投标人</w:t>
            </w:r>
            <w:r>
              <w:rPr>
                <w:rFonts w:hint="default" w:ascii="宋体" w:hAnsi="宋体" w:eastAsia="宋体" w:cs="宋体"/>
                <w:i w:val="0"/>
                <w:iCs w:val="0"/>
                <w:color w:val="000000"/>
                <w:kern w:val="0"/>
                <w:sz w:val="18"/>
                <w:szCs w:val="18"/>
                <w:u w:val="none"/>
                <w:lang w:val="en-US" w:eastAsia="zh-CN" w:bidi="ar"/>
              </w:rPr>
              <w:t>在</w:t>
            </w:r>
            <w:r>
              <w:rPr>
                <w:rFonts w:hint="eastAsia" w:ascii="宋体" w:hAnsi="宋体" w:eastAsia="宋体" w:cs="宋体"/>
                <w:i w:val="0"/>
                <w:iCs w:val="0"/>
                <w:color w:val="000000"/>
                <w:kern w:val="0"/>
                <w:sz w:val="18"/>
                <w:szCs w:val="18"/>
                <w:u w:val="none"/>
                <w:lang w:val="en-US" w:eastAsia="zh-CN" w:bidi="ar"/>
              </w:rPr>
              <w:t>测试期间需</w:t>
            </w:r>
            <w:r>
              <w:rPr>
                <w:rFonts w:hint="default" w:ascii="宋体" w:hAnsi="宋体" w:eastAsia="宋体" w:cs="宋体"/>
                <w:i w:val="0"/>
                <w:iCs w:val="0"/>
                <w:color w:val="000000"/>
                <w:kern w:val="0"/>
                <w:sz w:val="18"/>
                <w:szCs w:val="18"/>
                <w:u w:val="none"/>
                <w:lang w:val="en-US" w:eastAsia="zh-CN" w:bidi="ar"/>
              </w:rPr>
              <w:t>提供变频器压频比控制设置参数表，</w:t>
            </w:r>
            <w:r>
              <w:rPr>
                <w:rFonts w:hint="eastAsia" w:ascii="宋体" w:hAnsi="宋体" w:eastAsia="宋体" w:cs="宋体"/>
                <w:i w:val="0"/>
                <w:iCs w:val="0"/>
                <w:color w:val="000000"/>
                <w:kern w:val="0"/>
                <w:sz w:val="18"/>
                <w:szCs w:val="18"/>
                <w:u w:val="none"/>
                <w:lang w:val="en-US" w:eastAsia="zh-CN" w:bidi="ar"/>
              </w:rPr>
              <w:t>由</w:t>
            </w:r>
            <w:r>
              <w:rPr>
                <w:rFonts w:hint="default" w:ascii="宋体" w:hAnsi="宋体" w:eastAsia="宋体" w:cs="宋体"/>
                <w:i w:val="0"/>
                <w:iCs w:val="0"/>
                <w:color w:val="000000"/>
                <w:kern w:val="0"/>
                <w:sz w:val="18"/>
                <w:szCs w:val="18"/>
                <w:u w:val="none"/>
                <w:lang w:val="en-US" w:eastAsia="zh-CN" w:bidi="ar"/>
              </w:rPr>
              <w:t>CCS、ABS、BV、DNV第三方实验机构中的任意一家</w:t>
            </w:r>
            <w:r>
              <w:rPr>
                <w:rFonts w:hint="eastAsia" w:ascii="宋体" w:hAnsi="宋体" w:eastAsia="宋体" w:cs="宋体"/>
                <w:i w:val="0"/>
                <w:iCs w:val="0"/>
                <w:color w:val="000000"/>
                <w:kern w:val="0"/>
                <w:sz w:val="18"/>
                <w:szCs w:val="18"/>
                <w:u w:val="none"/>
                <w:lang w:val="en-US" w:eastAsia="zh-CN" w:bidi="ar"/>
              </w:rPr>
              <w:t>在测试期间</w:t>
            </w:r>
            <w:r>
              <w:rPr>
                <w:rFonts w:hint="default" w:ascii="宋体" w:hAnsi="宋体" w:eastAsia="宋体" w:cs="宋体"/>
                <w:i w:val="0"/>
                <w:iCs w:val="0"/>
                <w:color w:val="000000"/>
                <w:kern w:val="0"/>
                <w:sz w:val="18"/>
                <w:szCs w:val="18"/>
                <w:u w:val="none"/>
                <w:lang w:val="en-US" w:eastAsia="zh-CN" w:bidi="ar"/>
              </w:rPr>
              <w:t>根据</w:t>
            </w:r>
            <w:r>
              <w:rPr>
                <w:rFonts w:hint="eastAsia" w:ascii="宋体" w:hAnsi="宋体" w:eastAsia="宋体" w:cs="宋体"/>
                <w:i w:val="0"/>
                <w:iCs w:val="0"/>
                <w:color w:val="000000"/>
                <w:kern w:val="0"/>
                <w:sz w:val="18"/>
                <w:szCs w:val="18"/>
                <w:u w:val="none"/>
                <w:lang w:val="en-US" w:eastAsia="zh-CN" w:bidi="ar"/>
              </w:rPr>
              <w:t>投标人</w:t>
            </w:r>
            <w:r>
              <w:rPr>
                <w:rFonts w:hint="default" w:ascii="宋体" w:hAnsi="宋体" w:eastAsia="宋体" w:cs="宋体"/>
                <w:i w:val="0"/>
                <w:iCs w:val="0"/>
                <w:color w:val="000000"/>
                <w:kern w:val="0"/>
                <w:sz w:val="18"/>
                <w:szCs w:val="18"/>
                <w:u w:val="none"/>
                <w:lang w:val="en-US" w:eastAsia="zh-CN" w:bidi="ar"/>
              </w:rPr>
              <w:t>提供的压频比参数设置表进行试验验证复核</w:t>
            </w:r>
            <w:r>
              <w:rPr>
                <w:rFonts w:hint="eastAsia" w:ascii="宋体" w:hAnsi="宋体" w:eastAsia="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①投标人的</w:t>
            </w:r>
            <w:r>
              <w:rPr>
                <w:rFonts w:hint="default" w:ascii="宋体" w:hAnsi="宋体" w:eastAsia="宋体" w:cs="宋体"/>
                <w:i w:val="0"/>
                <w:iCs w:val="0"/>
                <w:color w:val="000000"/>
                <w:kern w:val="0"/>
                <w:sz w:val="18"/>
                <w:szCs w:val="18"/>
                <w:u w:val="none"/>
                <w:lang w:val="en-US" w:eastAsia="zh-CN" w:bidi="ar"/>
              </w:rPr>
              <w:t>电机按照该设置参数表，能够顺畅空载启动和运行，启动及运行过程中振动值在各轴向低于1g（测试匹配HAILOONG DS1系列泵工况进行数据监视），三相电流不平衡度不高于3%；</w:t>
            </w:r>
          </w:p>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w:t>
            </w:r>
            <w:r>
              <w:rPr>
                <w:rFonts w:hint="default" w:ascii="宋体" w:hAnsi="宋体" w:eastAsia="宋体" w:cs="宋体"/>
                <w:i w:val="0"/>
                <w:iCs w:val="0"/>
                <w:color w:val="000000"/>
                <w:kern w:val="0"/>
                <w:sz w:val="18"/>
                <w:szCs w:val="18"/>
                <w:u w:val="none"/>
                <w:lang w:val="en-US" w:eastAsia="zh-CN" w:bidi="ar"/>
              </w:rPr>
              <w:t>在任意负载及负载变化工况下，可用相同的变频器设置正常启动和运行，加减速时间及V/F曲线无需根据负载情况调整修改。</w:t>
            </w:r>
          </w:p>
          <w:p>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u w:val="none"/>
                <w:lang w:val="en-US" w:eastAsia="zh-CN" w:bidi="ar"/>
              </w:rPr>
              <w:t>③</w:t>
            </w:r>
            <w:r>
              <w:rPr>
                <w:rFonts w:hint="default" w:ascii="宋体" w:hAnsi="宋体" w:eastAsia="宋体" w:cs="宋体"/>
                <w:i w:val="0"/>
                <w:iCs w:val="0"/>
                <w:color w:val="000000"/>
                <w:kern w:val="0"/>
                <w:sz w:val="18"/>
                <w:szCs w:val="18"/>
                <w:u w:val="none"/>
                <w:lang w:val="en-US" w:eastAsia="zh-CN" w:bidi="ar"/>
              </w:rPr>
              <w:t>见</w:t>
            </w:r>
            <w:r>
              <w:rPr>
                <w:rFonts w:hint="default" w:ascii="宋体" w:hAnsi="宋体" w:eastAsia="宋体" w:cs="宋体"/>
                <w:i w:val="0"/>
                <w:iCs w:val="0"/>
                <w:color w:val="000000"/>
                <w:kern w:val="0"/>
                <w:sz w:val="18"/>
                <w:szCs w:val="18"/>
                <w:highlight w:val="none"/>
                <w:u w:val="none"/>
                <w:lang w:val="en-US" w:eastAsia="zh-CN" w:bidi="ar"/>
              </w:rPr>
              <w:t>证测试项目及评价表</w:t>
            </w:r>
            <w:r>
              <w:rPr>
                <w:rFonts w:hint="eastAsia" w:ascii="宋体" w:hAnsi="宋体" w:eastAsia="宋体" w:cs="宋体"/>
                <w:i w:val="0"/>
                <w:iCs w:val="0"/>
                <w:color w:val="auto"/>
                <w:kern w:val="0"/>
                <w:sz w:val="18"/>
                <w:szCs w:val="18"/>
                <w:highlight w:val="none"/>
                <w:u w:val="none"/>
                <w:lang w:val="en-US" w:eastAsia="zh-CN" w:bidi="ar"/>
              </w:rPr>
              <w:t>见：技术要求内 六、检测检验 （5）-③项表格</w:t>
            </w:r>
            <w:r>
              <w:rPr>
                <w:rFonts w:hint="default" w:ascii="宋体" w:hAnsi="宋体" w:eastAsia="宋体" w:cs="宋体"/>
                <w:i w:val="0"/>
                <w:iCs w:val="0"/>
                <w:color w:val="auto"/>
                <w:kern w:val="0"/>
                <w:sz w:val="18"/>
                <w:szCs w:val="18"/>
                <w:highlight w:val="none"/>
                <w:u w:val="none"/>
                <w:lang w:val="en-US" w:eastAsia="zh-CN" w:bidi="ar"/>
              </w:rPr>
              <w:t>（按照各标段要求进行测试）</w:t>
            </w:r>
            <w:r>
              <w:rPr>
                <w:rFonts w:hint="eastAsia" w:ascii="宋体" w:hAnsi="宋体" w:eastAsia="宋体" w:cs="宋体"/>
                <w:i w:val="0"/>
                <w:iCs w:val="0"/>
                <w:color w:val="000000"/>
                <w:kern w:val="0"/>
                <w:sz w:val="18"/>
                <w:szCs w:val="18"/>
                <w:highlight w:val="none"/>
                <w:u w:val="none"/>
                <w:lang w:val="en-US" w:eastAsia="zh-CN" w:bidi="ar"/>
              </w:rPr>
              <w:t>注：表中见证测试项目如出现任意一项不合格，则由第三方实验机构（CCS、ABS、BV、DNV）中的任意一家出具报告判定该投标人的试验结果为不合格。若匹配试验全部合格，则由第三方实验机构（CCS、ABS、BV、DNV）中的任意一家出具报告判定该投标人的试验结果为合格。</w:t>
            </w:r>
          </w:p>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r>
              <w:rPr>
                <w:rFonts w:hint="default" w:ascii="宋体" w:hAnsi="宋体" w:eastAsia="宋体" w:cs="宋体"/>
                <w:i w:val="0"/>
                <w:iCs w:val="0"/>
                <w:color w:val="000000"/>
                <w:kern w:val="0"/>
                <w:sz w:val="18"/>
                <w:szCs w:val="18"/>
                <w:u w:val="none"/>
                <w:lang w:val="en-US" w:eastAsia="zh-CN" w:bidi="ar"/>
              </w:rPr>
              <w:t>试验方法应符合GB/T 16750-2015《潜油电泵机组》第6章 试验方法和检验规则要求。</w:t>
            </w:r>
            <w:r>
              <w:rPr>
                <w:rFonts w:hint="eastAsia" w:ascii="宋体" w:hAnsi="宋体" w:eastAsia="宋体" w:cs="宋体"/>
                <w:i w:val="0"/>
                <w:iCs w:val="0"/>
                <w:color w:val="auto"/>
                <w:kern w:val="0"/>
                <w:sz w:val="18"/>
                <w:szCs w:val="18"/>
                <w:highlight w:val="yellow"/>
                <w:u w:val="none"/>
                <w:lang w:val="en-US" w:eastAsia="zh-CN" w:bidi="ar"/>
              </w:rPr>
              <w:t>其中</w:t>
            </w:r>
            <w:r>
              <w:rPr>
                <w:rFonts w:hint="default" w:ascii="宋体" w:hAnsi="宋体" w:eastAsia="宋体" w:cs="宋体"/>
                <w:i w:val="0"/>
                <w:iCs w:val="0"/>
                <w:color w:val="auto"/>
                <w:kern w:val="0"/>
                <w:sz w:val="18"/>
                <w:szCs w:val="18"/>
                <w:highlight w:val="yellow"/>
                <w:u w:val="none"/>
                <w:lang w:val="en-US" w:eastAsia="zh-CN" w:bidi="ar"/>
              </w:rPr>
              <w:t>型式空载试验测量</w:t>
            </w:r>
            <w:r>
              <w:rPr>
                <w:rFonts w:hint="eastAsia" w:ascii="宋体" w:hAnsi="宋体" w:eastAsia="宋体" w:cs="宋体"/>
                <w:i w:val="0"/>
                <w:iCs w:val="0"/>
                <w:color w:val="auto"/>
                <w:kern w:val="0"/>
                <w:sz w:val="18"/>
                <w:szCs w:val="18"/>
                <w:highlight w:val="yellow"/>
                <w:u w:val="none"/>
                <w:lang w:val="en-US" w:eastAsia="zh-CN" w:bidi="ar"/>
              </w:rPr>
              <w:t>方法应满足</w:t>
            </w:r>
            <w:r>
              <w:rPr>
                <w:rFonts w:hint="default" w:ascii="宋体" w:hAnsi="宋体" w:eastAsia="宋体" w:cs="宋体"/>
                <w:i w:val="0"/>
                <w:iCs w:val="0"/>
                <w:color w:val="auto"/>
                <w:kern w:val="0"/>
                <w:sz w:val="18"/>
                <w:szCs w:val="18"/>
                <w:highlight w:val="yellow"/>
                <w:u w:val="none"/>
                <w:lang w:val="en-US" w:eastAsia="zh-CN" w:bidi="ar"/>
              </w:rPr>
              <w:t>GB/T 16750-2015《潜油电泵机组》第6章 试验方法和检验规则要求</w:t>
            </w:r>
            <w:r>
              <w:rPr>
                <w:rFonts w:hint="eastAsia" w:ascii="宋体" w:hAnsi="宋体" w:eastAsia="宋体" w:cs="宋体"/>
                <w:i w:val="0"/>
                <w:iCs w:val="0"/>
                <w:color w:val="auto"/>
                <w:kern w:val="0"/>
                <w:sz w:val="18"/>
                <w:szCs w:val="18"/>
                <w:highlight w:val="yellow"/>
                <w:u w:val="none"/>
                <w:lang w:val="en-US" w:eastAsia="zh-CN" w:bidi="ar"/>
              </w:rPr>
              <w:t xml:space="preserve"> 6.1 试验方法  6.1.2 电机 6.1.2.3 空载试验  6.1.2.3.2  测量方法  6.1.2.3.2.2 </w:t>
            </w:r>
            <w:r>
              <w:rPr>
                <w:rFonts w:hint="default" w:ascii="宋体" w:hAnsi="宋体" w:eastAsia="宋体" w:cs="宋体"/>
                <w:i w:val="0"/>
                <w:iCs w:val="0"/>
                <w:color w:val="auto"/>
                <w:kern w:val="0"/>
                <w:sz w:val="18"/>
                <w:szCs w:val="18"/>
                <w:highlight w:val="yellow"/>
                <w:u w:val="none"/>
                <w:lang w:val="en-US" w:eastAsia="zh-CN" w:bidi="ar"/>
              </w:rPr>
              <w:t>型式空载试验测量</w:t>
            </w:r>
            <w:r>
              <w:rPr>
                <w:rFonts w:hint="eastAsia" w:ascii="宋体" w:hAnsi="宋体" w:eastAsia="宋体" w:cs="宋体"/>
                <w:i w:val="0"/>
                <w:iCs w:val="0"/>
                <w:color w:val="auto"/>
                <w:kern w:val="0"/>
                <w:sz w:val="18"/>
                <w:szCs w:val="18"/>
                <w:highlight w:val="yellow"/>
                <w:u w:val="none"/>
                <w:lang w:val="en-US" w:eastAsia="zh-CN" w:bidi="ar"/>
              </w:rPr>
              <w:t>方法：电机在工频额定电压下空载启动运行，使机耗达到稳定，即输入功率在半小时前后的两个读数之差不大于前一个读数的3%开始测量。首先将电机工作电压提高到1.1~1.3倍额定电压，然后逐渐降低电机工作电压至可能达到的最低值（电流开始回升时为止），在此期间测7~9点，每点要同时测取三相电压、三相电流、输入功率、频率，其中额定电压时为必测点。试验结束应立即在电机出线端测量定子绕组的直流电阻（带试验电缆）</w:t>
            </w:r>
            <w:r>
              <w:rPr>
                <w:rFonts w:hint="default" w:ascii="宋体" w:hAnsi="宋体" w:eastAsia="宋体" w:cs="宋体"/>
                <w:i w:val="0"/>
                <w:iCs w:val="0"/>
                <w:color w:val="auto"/>
                <w:kern w:val="0"/>
                <w:sz w:val="18"/>
                <w:szCs w:val="18"/>
                <w:highlight w:val="yellow"/>
                <w:u w:val="none"/>
                <w:lang w:val="en-US" w:eastAsia="zh-CN" w:bidi="ar"/>
              </w:rPr>
              <w:t>。</w:t>
            </w:r>
          </w:p>
          <w:p>
            <w:pPr>
              <w:pStyle w:val="7"/>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4）招标方提供测试场地，</w:t>
            </w:r>
            <w:r>
              <w:rPr>
                <w:rFonts w:hint="eastAsia" w:ascii="宋体" w:hAnsi="宋体" w:eastAsia="宋体" w:cs="宋体"/>
                <w:i w:val="0"/>
                <w:iCs w:val="0"/>
                <w:color w:val="auto"/>
                <w:kern w:val="0"/>
                <w:sz w:val="18"/>
                <w:szCs w:val="18"/>
                <w:highlight w:val="yellow"/>
                <w:u w:val="none"/>
                <w:lang w:val="en-US" w:eastAsia="zh-CN" w:bidi="ar"/>
              </w:rPr>
              <w:t>公开资格预初步评审合格的投标人、招标人</w:t>
            </w:r>
            <w:r>
              <w:rPr>
                <w:rFonts w:hint="eastAsia" w:ascii="宋体" w:hAnsi="宋体" w:eastAsia="宋体" w:cs="宋体"/>
                <w:i w:val="0"/>
                <w:iCs w:val="0"/>
                <w:color w:val="000000"/>
                <w:kern w:val="0"/>
                <w:sz w:val="18"/>
                <w:szCs w:val="18"/>
                <w:u w:val="none"/>
                <w:lang w:val="en-US" w:eastAsia="zh-CN" w:bidi="ar"/>
              </w:rPr>
              <w:t>机采公司以及第三方实验机构（CCS、ABS、BV、DNV）中的任意一家在机械采油公司东沽试验车间共同见证测试试验，同时招标方提供</w:t>
            </w:r>
            <w:r>
              <w:rPr>
                <w:rFonts w:hint="default" w:ascii="宋体" w:hAnsi="宋体" w:eastAsia="宋体" w:cs="宋体"/>
                <w:i w:val="0"/>
                <w:iCs w:val="0"/>
                <w:color w:val="000000"/>
                <w:kern w:val="0"/>
                <w:sz w:val="18"/>
                <w:szCs w:val="18"/>
                <w:u w:val="none"/>
                <w:lang w:val="en-US" w:eastAsia="zh-CN" w:bidi="ar"/>
              </w:rPr>
              <w:t>HAILOONG LIFT品牌的</w:t>
            </w:r>
            <w:r>
              <w:rPr>
                <w:rFonts w:hint="eastAsia" w:ascii="宋体" w:hAnsi="宋体" w:eastAsia="宋体" w:cs="宋体"/>
                <w:i w:val="0"/>
                <w:iCs w:val="0"/>
                <w:color w:val="000000"/>
                <w:kern w:val="0"/>
                <w:sz w:val="18"/>
                <w:szCs w:val="18"/>
                <w:u w:val="none"/>
                <w:lang w:val="en-US" w:eastAsia="zh-CN" w:bidi="ar"/>
              </w:rPr>
              <w:t>OTS400</w:t>
            </w:r>
            <w:r>
              <w:rPr>
                <w:rFonts w:hint="default" w:ascii="宋体" w:hAnsi="宋体" w:eastAsia="宋体" w:cs="宋体"/>
                <w:i w:val="0"/>
                <w:iCs w:val="0"/>
                <w:color w:val="000000"/>
                <w:kern w:val="0"/>
                <w:sz w:val="18"/>
                <w:szCs w:val="18"/>
                <w:u w:val="none"/>
                <w:lang w:val="en-US" w:eastAsia="zh-CN" w:bidi="ar"/>
              </w:rPr>
              <w:t>变频器</w:t>
            </w:r>
            <w:r>
              <w:rPr>
                <w:rFonts w:hint="eastAsia" w:ascii="宋体" w:hAnsi="宋体" w:eastAsia="宋体" w:cs="宋体"/>
                <w:i w:val="0"/>
                <w:iCs w:val="0"/>
                <w:color w:val="000000"/>
                <w:kern w:val="0"/>
                <w:sz w:val="18"/>
                <w:szCs w:val="18"/>
                <w:u w:val="none"/>
                <w:lang w:val="en-US" w:eastAsia="zh-CN" w:bidi="ar"/>
              </w:rPr>
              <w:t>和</w:t>
            </w:r>
            <w:r>
              <w:rPr>
                <w:rFonts w:hint="default" w:ascii="宋体" w:hAnsi="宋体" w:eastAsia="宋体" w:cs="宋体"/>
                <w:i w:val="0"/>
                <w:iCs w:val="0"/>
                <w:color w:val="000000"/>
                <w:kern w:val="0"/>
                <w:sz w:val="18"/>
                <w:szCs w:val="18"/>
                <w:u w:val="none"/>
                <w:lang w:val="en-US" w:eastAsia="zh-CN" w:bidi="ar"/>
              </w:rPr>
              <w:t>HAILOONG DS1系列泵工况</w:t>
            </w:r>
            <w:r>
              <w:rPr>
                <w:rFonts w:hint="eastAsia" w:ascii="宋体" w:hAnsi="宋体" w:eastAsia="宋体" w:cs="宋体"/>
                <w:i w:val="0"/>
                <w:iCs w:val="0"/>
                <w:color w:val="000000"/>
                <w:kern w:val="0"/>
                <w:sz w:val="18"/>
                <w:szCs w:val="18"/>
                <w:u w:val="none"/>
                <w:lang w:val="en-US" w:eastAsia="zh-CN" w:bidi="ar"/>
              </w:rPr>
              <w:t>，投标人提供电机并送往机械采油东沽试验车间。</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r>
              <w:rPr>
                <w:rFonts w:hint="default" w:ascii="宋体" w:hAnsi="宋体" w:eastAsia="宋体" w:cs="宋体"/>
                <w:i w:val="0"/>
                <w:iCs w:val="0"/>
                <w:color w:val="000000"/>
                <w:kern w:val="0"/>
                <w:sz w:val="18"/>
                <w:szCs w:val="18"/>
                <w:u w:val="none"/>
                <w:lang w:val="en-US" w:eastAsia="zh-CN" w:bidi="ar"/>
              </w:rPr>
              <w:t>第三方机构测试期间发生的所有见证费用由</w:t>
            </w:r>
            <w:r>
              <w:rPr>
                <w:rFonts w:hint="eastAsia" w:ascii="宋体" w:hAnsi="宋体" w:eastAsia="宋体" w:cs="宋体"/>
                <w:i w:val="0"/>
                <w:iCs w:val="0"/>
                <w:color w:val="000000"/>
                <w:kern w:val="0"/>
                <w:sz w:val="18"/>
                <w:szCs w:val="18"/>
                <w:u w:val="none"/>
                <w:lang w:val="en-US" w:eastAsia="zh-CN" w:bidi="ar"/>
              </w:rPr>
              <w:t>投标人</w:t>
            </w:r>
            <w:r>
              <w:rPr>
                <w:rFonts w:hint="default" w:ascii="宋体" w:hAnsi="宋体" w:eastAsia="宋体" w:cs="宋体"/>
                <w:i w:val="0"/>
                <w:iCs w:val="0"/>
                <w:color w:val="000000"/>
                <w:kern w:val="0"/>
                <w:sz w:val="18"/>
                <w:szCs w:val="18"/>
                <w:u w:val="none"/>
                <w:lang w:val="en-US" w:eastAsia="zh-CN" w:bidi="ar"/>
              </w:rPr>
              <w:t>负责</w:t>
            </w:r>
            <w:r>
              <w:rPr>
                <w:rFonts w:hint="eastAsia" w:ascii="宋体" w:hAnsi="宋体" w:eastAsia="宋体" w:cs="宋体"/>
                <w:i w:val="0"/>
                <w:iCs w:val="0"/>
                <w:color w:val="000000"/>
                <w:kern w:val="0"/>
                <w:sz w:val="18"/>
                <w:szCs w:val="18"/>
                <w:u w:val="none"/>
                <w:lang w:val="en-US" w:eastAsia="zh-CN" w:bidi="ar"/>
              </w:rPr>
              <w:t>，测试期间运输电机等测试物资发生的往返运费由投标人</w:t>
            </w:r>
            <w:r>
              <w:rPr>
                <w:rFonts w:hint="default" w:ascii="宋体" w:hAnsi="宋体" w:eastAsia="宋体" w:cs="宋体"/>
                <w:i w:val="0"/>
                <w:iCs w:val="0"/>
                <w:color w:val="000000"/>
                <w:kern w:val="0"/>
                <w:sz w:val="18"/>
                <w:szCs w:val="18"/>
                <w:u w:val="none"/>
                <w:lang w:val="en-US" w:eastAsia="zh-CN" w:bidi="ar"/>
              </w:rPr>
              <w:t>负责</w:t>
            </w:r>
            <w:r>
              <w:rPr>
                <w:rFonts w:hint="eastAsia" w:ascii="宋体" w:hAnsi="宋体" w:eastAsia="宋体" w:cs="宋体"/>
                <w:i w:val="0"/>
                <w:iCs w:val="0"/>
                <w:color w:val="000000"/>
                <w:kern w:val="0"/>
                <w:sz w:val="18"/>
                <w:szCs w:val="18"/>
                <w:u w:val="none"/>
                <w:lang w:val="en-US" w:eastAsia="zh-CN" w:bidi="ar"/>
              </w:rPr>
              <w:t>，测试期间如出现因投标人的电机试验导致现场招标方和投标人的物资和设备损坏的情况，招标方的物资和设备损坏所产生的费用由投标人负责，投标人的物资和设备损坏所产生的费用由投标人自行承担。</w:t>
            </w:r>
          </w:p>
          <w:p>
            <w:pPr>
              <w:pStyle w:val="2"/>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6）投标人的电机和</w:t>
            </w:r>
            <w:r>
              <w:rPr>
                <w:rFonts w:hint="default" w:ascii="宋体" w:hAnsi="宋体" w:eastAsia="宋体" w:cs="宋体"/>
                <w:i w:val="0"/>
                <w:iCs w:val="0"/>
                <w:color w:val="000000"/>
                <w:kern w:val="0"/>
                <w:sz w:val="18"/>
                <w:szCs w:val="18"/>
                <w:u w:val="none"/>
                <w:lang w:val="en-US" w:eastAsia="zh-CN" w:bidi="ar"/>
              </w:rPr>
              <w:t>HAILOONG LIFT品牌的</w:t>
            </w:r>
            <w:r>
              <w:rPr>
                <w:rFonts w:hint="eastAsia" w:ascii="宋体" w:hAnsi="宋体" w:eastAsia="宋体" w:cs="宋体"/>
                <w:i w:val="0"/>
                <w:iCs w:val="0"/>
                <w:color w:val="000000"/>
                <w:kern w:val="0"/>
                <w:sz w:val="18"/>
                <w:szCs w:val="18"/>
                <w:u w:val="none"/>
                <w:lang w:val="en-US" w:eastAsia="zh-CN" w:bidi="ar"/>
              </w:rPr>
              <w:t>OTS400</w:t>
            </w:r>
            <w:r>
              <w:rPr>
                <w:rFonts w:hint="default" w:ascii="宋体" w:hAnsi="宋体" w:eastAsia="宋体" w:cs="宋体"/>
                <w:i w:val="0"/>
                <w:iCs w:val="0"/>
                <w:color w:val="000000"/>
                <w:kern w:val="0"/>
                <w:sz w:val="18"/>
                <w:szCs w:val="18"/>
                <w:u w:val="none"/>
                <w:lang w:val="en-US" w:eastAsia="zh-CN" w:bidi="ar"/>
              </w:rPr>
              <w:t>变频器</w:t>
            </w:r>
            <w:r>
              <w:rPr>
                <w:rFonts w:hint="eastAsia" w:ascii="宋体" w:hAnsi="宋体" w:eastAsia="宋体" w:cs="宋体"/>
                <w:i w:val="0"/>
                <w:iCs w:val="0"/>
                <w:color w:val="000000"/>
                <w:kern w:val="0"/>
                <w:sz w:val="18"/>
                <w:szCs w:val="18"/>
                <w:u w:val="none"/>
                <w:lang w:val="en-US" w:eastAsia="zh-CN" w:bidi="ar"/>
              </w:rPr>
              <w:t>匹配性试验成功，该投标人被判定为资格预审合格。如投标人的电机和</w:t>
            </w:r>
            <w:r>
              <w:rPr>
                <w:rFonts w:hint="default" w:ascii="宋体" w:hAnsi="宋体" w:eastAsia="宋体" w:cs="宋体"/>
                <w:i w:val="0"/>
                <w:iCs w:val="0"/>
                <w:color w:val="000000"/>
                <w:kern w:val="0"/>
                <w:sz w:val="18"/>
                <w:szCs w:val="18"/>
                <w:u w:val="none"/>
                <w:lang w:val="en-US" w:eastAsia="zh-CN" w:bidi="ar"/>
              </w:rPr>
              <w:t>HAILOONG LIFT品牌的</w:t>
            </w:r>
            <w:r>
              <w:rPr>
                <w:rFonts w:hint="eastAsia" w:ascii="宋体" w:hAnsi="宋体" w:eastAsia="宋体" w:cs="宋体"/>
                <w:i w:val="0"/>
                <w:iCs w:val="0"/>
                <w:color w:val="000000"/>
                <w:kern w:val="0"/>
                <w:sz w:val="18"/>
                <w:szCs w:val="18"/>
                <w:u w:val="none"/>
                <w:lang w:val="en-US" w:eastAsia="zh-CN" w:bidi="ar"/>
              </w:rPr>
              <w:t>OTS400</w:t>
            </w:r>
            <w:r>
              <w:rPr>
                <w:rFonts w:hint="default" w:ascii="宋体" w:hAnsi="宋体" w:eastAsia="宋体" w:cs="宋体"/>
                <w:i w:val="0"/>
                <w:iCs w:val="0"/>
                <w:color w:val="000000"/>
                <w:kern w:val="0"/>
                <w:sz w:val="18"/>
                <w:szCs w:val="18"/>
                <w:u w:val="none"/>
                <w:lang w:val="en-US" w:eastAsia="zh-CN" w:bidi="ar"/>
              </w:rPr>
              <w:t>变频器</w:t>
            </w:r>
            <w:r>
              <w:rPr>
                <w:rFonts w:hint="eastAsia" w:ascii="宋体" w:hAnsi="宋体" w:eastAsia="宋体" w:cs="宋体"/>
                <w:i w:val="0"/>
                <w:iCs w:val="0"/>
                <w:color w:val="000000"/>
                <w:kern w:val="0"/>
                <w:sz w:val="18"/>
                <w:szCs w:val="18"/>
                <w:u w:val="none"/>
                <w:lang w:val="en-US" w:eastAsia="zh-CN" w:bidi="ar"/>
              </w:rPr>
              <w:t>匹配性试验失败，则投标人被判定为资格预审不合格。</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12</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00000"/>
                <w:kern w:val="0"/>
                <w:sz w:val="18"/>
                <w:szCs w:val="18"/>
                <w:u w:val="none"/>
                <w:lang w:val="en-US" w:eastAsia="zh-CN" w:bidi="ar"/>
              </w:rPr>
              <w:t>★电机转子动平衡要求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潜油永磁电机转子要求动平衡测试，动平衡质量级别不低于G6.3（6.3mm/s），卖方在投标时出具450和562系列潜油永磁电机转子的动平衡测试报告。</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13</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★投标人生产能力要求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投标人在投标文件中承诺满足：</w:t>
            </w:r>
            <w:r>
              <w:rPr>
                <w:rFonts w:hint="default" w:ascii="宋体" w:hAnsi="宋体" w:eastAsia="宋体" w:cs="宋体"/>
                <w:i w:val="0"/>
                <w:iCs w:val="0"/>
                <w:color w:val="000000"/>
                <w:kern w:val="0"/>
                <w:sz w:val="18"/>
                <w:szCs w:val="18"/>
                <w:u w:val="none"/>
                <w:lang w:val="en-US" w:eastAsia="zh-CN" w:bidi="ar"/>
              </w:rPr>
              <w:t>卖方需具备30天交付20台潜油永磁电机的生产能力，（投标时卖方提供30天交付30台潜油永磁电机生产能力的证明材料，证明材料包含但不限于生产计划、生产工时计算、产能计算书等相关文件）。且卖方接到买方通知后（以邮件或联络函的形式），需在7天内按照买方要求将潜油电机交付到买方指定库房</w:t>
            </w:r>
            <w:r>
              <w:rPr>
                <w:rFonts w:hint="eastAsia" w:ascii="宋体" w:hAnsi="宋体" w:eastAsia="宋体" w:cs="宋体"/>
                <w:i w:val="0"/>
                <w:iCs w:val="0"/>
                <w:color w:val="000000"/>
                <w:kern w:val="0"/>
                <w:sz w:val="18"/>
                <w:szCs w:val="18"/>
                <w:u w:val="none"/>
                <w:lang w:val="en-US" w:eastAsia="zh-CN" w:bidi="ar"/>
              </w:rPr>
              <w:t>。</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14</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★中标方备货要求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投标人在投标文件中承诺满足：</w:t>
            </w:r>
            <w:r>
              <w:rPr>
                <w:rFonts w:hint="default" w:ascii="宋体" w:hAnsi="宋体" w:eastAsia="宋体" w:cs="宋体"/>
                <w:i w:val="0"/>
                <w:iCs w:val="0"/>
                <w:color w:val="000000"/>
                <w:kern w:val="0"/>
                <w:sz w:val="18"/>
                <w:szCs w:val="18"/>
                <w:u w:val="none"/>
                <w:lang w:val="en-US" w:eastAsia="zh-CN" w:bidi="ar"/>
              </w:rPr>
              <w:t>乙方在合同签订后，需备年度合同总金额10%的物资。具体备货物资规格型号在合同签订后，甲方将以邮件或联络函的形式通知乙方。具体交货期以买方订单为准</w:t>
            </w:r>
            <w:r>
              <w:rPr>
                <w:rFonts w:hint="eastAsia" w:ascii="宋体" w:hAnsi="宋体" w:eastAsia="宋体" w:cs="宋体"/>
                <w:i w:val="0"/>
                <w:iCs w:val="0"/>
                <w:color w:val="000000"/>
                <w:kern w:val="0"/>
                <w:sz w:val="18"/>
                <w:szCs w:val="18"/>
                <w:u w:val="none"/>
                <w:lang w:val="en-US" w:eastAsia="zh-CN" w:bidi="ar"/>
              </w:rPr>
              <w:t>。</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15</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★投标人生产设备要求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投标人</w:t>
            </w:r>
            <w:r>
              <w:rPr>
                <w:rFonts w:hint="default" w:ascii="宋体" w:hAnsi="宋体" w:eastAsia="宋体" w:cs="宋体"/>
                <w:i w:val="0"/>
                <w:iCs w:val="0"/>
                <w:color w:val="000000"/>
                <w:kern w:val="0"/>
                <w:sz w:val="18"/>
                <w:szCs w:val="18"/>
                <w:u w:val="none"/>
                <w:lang w:val="en-US" w:eastAsia="zh-CN" w:bidi="ar"/>
              </w:rPr>
              <w:t>需有自己的生产设备，投标时需提供与投标公司名称一致的生产设备采购合同或发票和照片。生产设备至少包括电机定子叠压机、定子调直设备、定子嵌线台架、真空浸漆装置、永磁电机总装台</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highlight w:val="yellow"/>
                <w:u w:val="none"/>
                <w:lang w:val="en-US" w:eastAsia="zh-CN" w:bidi="ar"/>
              </w:rPr>
              <w:t>（如合同/发票上的设备/物资名称能与本项要求的名称不一致，但是能实现相应的主要功能，即视为具备该设备，符合要求）。</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16</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★投标人检验设备要求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投标人</w:t>
            </w:r>
            <w:r>
              <w:rPr>
                <w:rFonts w:hint="default" w:ascii="宋体" w:hAnsi="宋体" w:eastAsia="宋体" w:cs="宋体"/>
                <w:i w:val="0"/>
                <w:iCs w:val="0"/>
                <w:color w:val="000000"/>
                <w:kern w:val="0"/>
                <w:sz w:val="18"/>
                <w:szCs w:val="18"/>
                <w:u w:val="none"/>
                <w:lang w:val="en-US" w:eastAsia="zh-CN" w:bidi="ar"/>
              </w:rPr>
              <w:t>需有自己的检验设备,投标时需提供与投标公司名称一致的检验设备采购合同或发票和照片，合同中检验设备的数量应满足本招标书要求的最低产能。检验设备至少包括高压电火花机、磁矩检测仪（剩磁检测设备）、磁通计、光学影像尺寸测量仪、示波器、功率分析仪、扭矩分析仪、电机试验测试系统及在线监测系统</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highlight w:val="yellow"/>
                <w:u w:val="none"/>
                <w:lang w:val="en-US" w:eastAsia="zh-CN" w:bidi="ar"/>
              </w:rPr>
              <w:t>（如合同/发票上的设备/物资名称能与本项要求的名称不一致，但是能实现相应的主要功能，即视为具备该设备，符合要求）。</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17</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highlight w:val="none"/>
                <w:u w:val="none"/>
                <w:lang w:val="en-US" w:eastAsia="zh-CN" w:bidi="ar"/>
              </w:rPr>
              <w:t>★中标方履约保证金要求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其他特殊要求：合同签订前需签订招标方认可的银行开具的履约保函（保额</w:t>
            </w:r>
            <w:r>
              <w:rPr>
                <w:rFonts w:hint="eastAsia" w:ascii="宋体" w:hAnsi="宋体" w:eastAsia="宋体" w:cs="宋体"/>
                <w:i w:val="0"/>
                <w:iCs w:val="0"/>
                <w:color w:val="000000"/>
                <w:kern w:val="0"/>
                <w:sz w:val="18"/>
                <w:szCs w:val="18"/>
                <w:highlight w:val="yellow"/>
                <w:u w:val="none"/>
                <w:lang w:val="en-US" w:eastAsia="zh-CN" w:bidi="ar"/>
              </w:rPr>
              <w:t>20万元</w:t>
            </w:r>
            <w:r>
              <w:rPr>
                <w:rFonts w:hint="eastAsia" w:ascii="宋体" w:hAnsi="宋体" w:eastAsia="宋体" w:cs="宋体"/>
                <w:i w:val="0"/>
                <w:iCs w:val="0"/>
                <w:color w:val="000000"/>
                <w:kern w:val="0"/>
                <w:sz w:val="18"/>
                <w:szCs w:val="18"/>
                <w:highlight w:val="none"/>
                <w:u w:val="none"/>
                <w:lang w:val="en-US" w:eastAsia="zh-CN" w:bidi="ar"/>
              </w:rPr>
              <w:t>）或向招标方监管账户打入履约保证金（</w:t>
            </w:r>
            <w:r>
              <w:rPr>
                <w:rFonts w:hint="eastAsia" w:ascii="宋体" w:hAnsi="宋体" w:eastAsia="宋体" w:cs="宋体"/>
                <w:i w:val="0"/>
                <w:iCs w:val="0"/>
                <w:color w:val="000000"/>
                <w:kern w:val="0"/>
                <w:sz w:val="18"/>
                <w:szCs w:val="18"/>
                <w:highlight w:val="yellow"/>
                <w:u w:val="none"/>
                <w:lang w:val="en-US" w:eastAsia="zh-CN" w:bidi="ar"/>
              </w:rPr>
              <w:t>20万元</w:t>
            </w:r>
            <w:r>
              <w:rPr>
                <w:rFonts w:hint="eastAsia" w:ascii="宋体" w:hAnsi="宋体" w:eastAsia="宋体" w:cs="宋体"/>
                <w:i w:val="0"/>
                <w:iCs w:val="0"/>
                <w:color w:val="000000"/>
                <w:kern w:val="0"/>
                <w:sz w:val="18"/>
                <w:szCs w:val="18"/>
                <w:highlight w:val="none"/>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招标方认可银行名录：</w:t>
            </w:r>
          </w:p>
          <w:p>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en-US" w:bidi="ar"/>
              </w:rPr>
              <w:t>6家国有大型银行：中国银行、中国农业银行、中国建设银行、中国工商银行、中国邮政储蓄银行、交通银行</w:t>
            </w:r>
            <w:r>
              <w:rPr>
                <w:rFonts w:hint="eastAsia" w:ascii="宋体" w:hAnsi="宋体" w:eastAsia="宋体" w:cs="宋体"/>
                <w:i w:val="0"/>
                <w:iCs w:val="0"/>
                <w:color w:val="000000"/>
                <w:kern w:val="0"/>
                <w:sz w:val="18"/>
                <w:szCs w:val="18"/>
                <w:highlight w:val="none"/>
                <w:u w:val="none"/>
                <w:lang w:val="en-US" w:eastAsia="zh-CN" w:bidi="ar"/>
              </w:rPr>
              <w:t>。</w:t>
            </w:r>
          </w:p>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highlight w:val="none"/>
                <w:u w:val="none"/>
                <w:lang w:val="en-US" w:eastAsia="en-US" w:bidi="ar"/>
              </w:rPr>
              <w:t>9家上市股份制商业银行：招商银行、浦发银行、中信银行、中国光大银行、华夏银行、中国民生银行、平安银行、兴业银行、浙商银行。</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18</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电机的转子要求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D0D0D"/>
                <w:kern w:val="0"/>
                <w:sz w:val="18"/>
                <w:szCs w:val="18"/>
                <w:u w:val="none"/>
                <w:lang w:val="en-US" w:eastAsia="zh-CN" w:bidi="ar"/>
              </w:rPr>
              <w:t>投标人在投标文件中承诺满足：永磁电机为四极，转子永磁体采用内嵌式结构。</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19</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电机的电磁线耐交流电压等级要求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D0D0D"/>
                <w:kern w:val="0"/>
                <w:sz w:val="18"/>
                <w:szCs w:val="18"/>
                <w:u w:val="none"/>
                <w:lang w:val="en-US" w:eastAsia="zh-CN" w:bidi="ar"/>
              </w:rPr>
              <w:t>投标人在投标文件中承诺满足：</w:t>
            </w:r>
            <w:r>
              <w:rPr>
                <w:rFonts w:hint="default" w:ascii="宋体" w:hAnsi="宋体" w:eastAsia="宋体" w:cs="宋体"/>
                <w:i w:val="0"/>
                <w:iCs w:val="0"/>
                <w:color w:val="0D0D0D"/>
                <w:kern w:val="0"/>
                <w:sz w:val="18"/>
                <w:szCs w:val="18"/>
                <w:u w:val="none"/>
                <w:lang w:val="en-US" w:eastAsia="zh-CN" w:bidi="ar"/>
              </w:rPr>
              <w:t>永磁电机额定电压在2000V以下，电磁线采用耐交流电压等级不低于4000V，额定电压高于2000V低于3300V的，电磁线采用耐交流电压等级不低于7250V；额定电压高于3300V的，电磁线采用耐交流电压等级不低于10KV，聚酰亚胺膜每层的叠包率不低于48%，电磁线的选择应具备适用于高压、高频等复杂工况，在高电压下能够有效抵抗电晕放电现象，以降低电磁干扰和能量损失</w:t>
            </w:r>
            <w:r>
              <w:rPr>
                <w:rFonts w:hint="eastAsia" w:ascii="宋体" w:hAnsi="宋体" w:eastAsia="宋体" w:cs="宋体"/>
                <w:i w:val="0"/>
                <w:iCs w:val="0"/>
                <w:color w:val="0D0D0D"/>
                <w:kern w:val="0"/>
                <w:sz w:val="18"/>
                <w:szCs w:val="18"/>
                <w:u w:val="none"/>
                <w:lang w:val="en-US" w:eastAsia="zh-CN" w:bidi="ar"/>
              </w:rPr>
              <w:t>。</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20</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电机密封圈材质要求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D0D0D"/>
                <w:kern w:val="0"/>
                <w:sz w:val="18"/>
                <w:szCs w:val="18"/>
                <w:u w:val="none"/>
                <w:lang w:val="en-US" w:eastAsia="zh-CN" w:bidi="ar"/>
              </w:rPr>
              <w:t>投标人在投标文件中承诺满足：密封圈采用AFLAS材料，耐温等级不低于204℃，并提供AFLAS材质报告。</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21</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电机轴材质要求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D0D0D"/>
                <w:kern w:val="0"/>
                <w:sz w:val="18"/>
                <w:szCs w:val="18"/>
                <w:u w:val="none"/>
                <w:lang w:val="en-US" w:eastAsia="zh-CN" w:bidi="ar"/>
              </w:rPr>
              <w:t>投标人在投标文件中承诺满足：电机轴采用42CrMo高强度合金钢及以上材质。</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22</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电机电机三相绕组不平衡率要求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投标人在投标文件中承诺满足：电机三相绕组直流电阻不平衡率不得大于3%。</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23</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电机预注油要求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投标人在投标文件中承诺满足：成品电机应预注新的合格电机油，电机油耐温不低于200℃，电机到货静置24小时后，无渗漏。</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24</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电机承压和密封要求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投标人在投标文件中承诺满足：整机能承受压力为0.5MPa气压，历时5min的密封性能试验，各密封连接部位不泄漏。</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25</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保护器适用井温和本体耐温等级要求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D0D0D"/>
                <w:kern w:val="0"/>
                <w:sz w:val="18"/>
                <w:szCs w:val="18"/>
                <w:u w:val="none"/>
                <w:lang w:val="en-US" w:eastAsia="zh-CN" w:bidi="ar"/>
              </w:rPr>
              <w:t>投标人在投标文件中承诺满足：适用井温：180℃，本体耐温等级204℃</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26</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保护器轴向承载力要求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D0D0D"/>
                <w:kern w:val="0"/>
                <w:sz w:val="18"/>
                <w:szCs w:val="18"/>
                <w:u w:val="none"/>
                <w:lang w:val="en-US" w:eastAsia="zh-CN" w:bidi="ar"/>
              </w:rPr>
              <w:t>投标人在投标文件中承诺满足：</w:t>
            </w:r>
            <w:r>
              <w:rPr>
                <w:rFonts w:hint="default" w:ascii="宋体" w:hAnsi="宋体" w:eastAsia="宋体" w:cs="宋体"/>
                <w:i w:val="0"/>
                <w:iCs w:val="0"/>
                <w:color w:val="0D0D0D"/>
                <w:kern w:val="0"/>
                <w:sz w:val="18"/>
                <w:szCs w:val="18"/>
                <w:u w:val="none"/>
                <w:lang w:val="en-US" w:eastAsia="zh-CN" w:bidi="ar"/>
              </w:rPr>
              <w:t>保护器采用双节高承载止推轴承。为满足高转速要求，338系列保护器轴向承载力≥1.3吨；400系列保护器轴向承载力≥2.5吨.540系列保护器轴向承载力≥5吨</w:t>
            </w:r>
            <w:r>
              <w:rPr>
                <w:rFonts w:hint="eastAsia" w:ascii="宋体" w:hAnsi="宋体" w:eastAsia="宋体" w:cs="宋体"/>
                <w:i w:val="0"/>
                <w:iCs w:val="0"/>
                <w:color w:val="0D0D0D"/>
                <w:kern w:val="0"/>
                <w:sz w:val="18"/>
                <w:szCs w:val="18"/>
                <w:u w:val="none"/>
                <w:lang w:val="en-US" w:eastAsia="zh-CN" w:bidi="ar"/>
              </w:rPr>
              <w:t>。</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27</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保护器密封圈及胶囊材质要求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D0D0D"/>
                <w:kern w:val="0"/>
                <w:sz w:val="18"/>
                <w:szCs w:val="18"/>
                <w:u w:val="none"/>
                <w:lang w:val="en-US" w:eastAsia="zh-CN" w:bidi="ar"/>
              </w:rPr>
              <w:t>保护器密封圈及胶囊采用AFLAS，耐温不低于204℃，并提供AFLAS材质报告。</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28</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防腐电机材质要求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default" w:ascii="宋体" w:hAnsi="宋体" w:eastAsia="宋体" w:cs="宋体"/>
                <w:i w:val="0"/>
                <w:iCs w:val="0"/>
                <w:color w:val="0D0D0D"/>
                <w:kern w:val="0"/>
                <w:sz w:val="18"/>
                <w:szCs w:val="18"/>
                <w:u w:val="none"/>
                <w:lang w:val="en-US" w:eastAsia="zh-CN" w:bidi="ar"/>
              </w:rPr>
              <w:t>在腐蚀环境下，与井液接触部件要求具有防腐蚀性能。壳体采用9Cr1Mo，接头、底座采用2Cr13，连接螺栓和垫片应采用MonelK-500，其他与井液接触的零部件按照CO2和H2S腐蚀要求进行配置。</w:t>
            </w:r>
            <w:r>
              <w:rPr>
                <w:rFonts w:hint="eastAsia" w:ascii="宋体" w:hAnsi="宋体" w:eastAsia="宋体" w:cs="宋体"/>
                <w:i w:val="0"/>
                <w:iCs w:val="0"/>
                <w:color w:val="0D0D0D"/>
                <w:kern w:val="0"/>
                <w:sz w:val="18"/>
                <w:szCs w:val="18"/>
                <w:u w:val="none"/>
                <w:lang w:val="en-US" w:eastAsia="zh-CN" w:bidi="ar"/>
              </w:rPr>
              <w:t>送货文件</w:t>
            </w:r>
            <w:r>
              <w:rPr>
                <w:rFonts w:hint="default" w:ascii="宋体" w:hAnsi="宋体" w:eastAsia="宋体" w:cs="宋体"/>
                <w:i w:val="0"/>
                <w:iCs w:val="0"/>
                <w:color w:val="0D0D0D"/>
                <w:kern w:val="0"/>
                <w:sz w:val="18"/>
                <w:szCs w:val="18"/>
                <w:u w:val="none"/>
                <w:lang w:val="en-US" w:eastAsia="zh-CN" w:bidi="ar"/>
              </w:rPr>
              <w:t>应提供材质化学成分及机械性能检测报告，并注明炉号等可追溯性标识信息</w:t>
            </w:r>
            <w:r>
              <w:rPr>
                <w:rFonts w:hint="eastAsia" w:ascii="宋体" w:hAnsi="宋体" w:eastAsia="宋体" w:cs="宋体"/>
                <w:i w:val="0"/>
                <w:iCs w:val="0"/>
                <w:color w:val="0D0D0D"/>
                <w:kern w:val="0"/>
                <w:sz w:val="18"/>
                <w:szCs w:val="18"/>
                <w:u w:val="none"/>
                <w:lang w:val="en-US" w:eastAsia="zh-CN" w:bidi="ar"/>
              </w:rPr>
              <w:t>。</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29</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防腐保护器材质要求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default" w:ascii="宋体" w:hAnsi="宋体" w:eastAsia="宋体" w:cs="宋体"/>
                <w:i w:val="0"/>
                <w:iCs w:val="0"/>
                <w:color w:val="0D0D0D"/>
                <w:kern w:val="0"/>
                <w:sz w:val="18"/>
                <w:szCs w:val="18"/>
                <w:u w:val="none"/>
                <w:lang w:val="en-US" w:eastAsia="zh-CN" w:bidi="ar"/>
              </w:rPr>
              <w:t>采用防腐材质，与井液接触部件具有防 CO2腐蚀功能。要求的防腐配置如下：保护器轴材质Inconel 718，头、座采用 416 SS，壳体采用 9Cr1Mo，花键套采用 1Cr18Ni9Ti 或 2Cr13，连接螺栓、丝堵、注油阀采用 Monel K500。</w:t>
            </w:r>
            <w:r>
              <w:rPr>
                <w:rFonts w:hint="eastAsia" w:ascii="宋体" w:hAnsi="宋体" w:eastAsia="宋体" w:cs="宋体"/>
                <w:i w:val="0"/>
                <w:iCs w:val="0"/>
                <w:color w:val="0D0D0D"/>
                <w:kern w:val="0"/>
                <w:sz w:val="18"/>
                <w:szCs w:val="18"/>
                <w:u w:val="none"/>
                <w:lang w:val="en-US" w:eastAsia="zh-CN" w:bidi="ar"/>
              </w:rPr>
              <w:t>送货文件</w:t>
            </w:r>
            <w:r>
              <w:rPr>
                <w:rFonts w:hint="default" w:ascii="宋体" w:hAnsi="宋体" w:eastAsia="宋体" w:cs="宋体"/>
                <w:i w:val="0"/>
                <w:iCs w:val="0"/>
                <w:color w:val="0D0D0D"/>
                <w:kern w:val="0"/>
                <w:sz w:val="18"/>
                <w:szCs w:val="18"/>
                <w:u w:val="none"/>
                <w:lang w:val="en-US" w:eastAsia="zh-CN" w:bidi="ar"/>
              </w:rPr>
              <w:t>应提供材质化学成分及机械性能检测报告，并注明炉号等可追溯性标识信息。</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30</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防砂保护器结构要求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投标人在投标文件中承诺满足：潜油防砂保护器上端采用工程技术甩砂环结构、设计有沉砂腔和泄砂孔。</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31</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450系列转子总成外径要求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投标人在投标文件中承诺满足：转子总成外径：50.63 +0.02 -0.03mm</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32</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450系列转子总成内径要求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投标人在投标文件中承诺满足：转子总成内径：25.00 +0.07 +0.03mm</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33</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450系列转子总长和硅钢片材质要求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投标人在投标文件中承诺满足：转子总长：346 +0.05 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转子铁芯要求采用自叠铆工艺冲压叠铆完成，硅钢片材质为50W470；</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34</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450系列转子铁芯垂直度和同轴度要求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投标人在投标文件中承诺满足：加工成型的转子铁芯要求垂直度0.08mm，内外径同轴度0.05mm；</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35</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质量及可追溯要求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投标人在投标文件中承诺满足：转子总成采用序列号管理，且在转子表面有激光打标的序列号，禁止采用机械打标方式。转子铁芯及磁钢要求有批次号管理，且可在需要时进行追溯至生产日期及员工姓名；</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36</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450系列电机转子动平衡要求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投标人在投标文件中承诺满足：</w:t>
            </w:r>
            <w:r>
              <w:rPr>
                <w:rFonts w:hint="default" w:ascii="宋体" w:hAnsi="宋体" w:eastAsia="宋体" w:cs="宋体"/>
                <w:i w:val="0"/>
                <w:iCs w:val="0"/>
                <w:color w:val="000000"/>
                <w:kern w:val="0"/>
                <w:sz w:val="18"/>
                <w:szCs w:val="18"/>
                <w:u w:val="none"/>
                <w:lang w:val="en-US" w:eastAsia="zh-CN" w:bidi="ar"/>
              </w:rPr>
              <w:t>高转速潜油永磁电机转子要求动平衡测试，动平衡质量级别不低于G6.3（6.3mm/s）</w:t>
            </w:r>
            <w:r>
              <w:rPr>
                <w:rFonts w:hint="eastAsia" w:ascii="宋体" w:hAnsi="宋体" w:eastAsia="宋体" w:cs="宋体"/>
                <w:i w:val="0"/>
                <w:iCs w:val="0"/>
                <w:color w:val="000000"/>
                <w:kern w:val="0"/>
                <w:sz w:val="18"/>
                <w:szCs w:val="18"/>
                <w:u w:val="none"/>
                <w:lang w:val="en-US" w:eastAsia="zh-CN" w:bidi="ar"/>
              </w:rPr>
              <w:t>。</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37</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450系列定子要求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投标人在投标文件中承诺满足：按照加工图纸尺寸及公差要求对产品的外径、内径、角度、长度、倒角尺寸、粗糙度等进行100%全检，确保所有产品加工尺寸都在图纸尺寸范围内，图纸见附件四。</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38</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562系列转子总成外径要求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投标人在投标文件中承诺满足：转子总成外径：68.9+0.05mm</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39</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562系列转子总成内径要求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投标人在投标文件中承诺满足：转子总成内径：35.02 +0.05 0mm</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40</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562系列转子总长和硅钢片材质要求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投标人在投标文件中承诺满足：转子总长：400 +0.15mm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转子铁芯要求采用自叠铆工艺冲压叠铆完成，硅钢片材质为50W470；</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41</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562系列转子铁芯垂直度和同轴度要求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投标人在投标文件中承诺满足：加工成型的转子铁芯要求垂直度0.08mm，内外径同轴度0.05mm；</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42</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质量及可追溯要求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投标人在投标文件中承诺满足：质量及可追溯要求：转子总成采用序列号管理，且在转子表面有激光打标的序列号，禁止采用机械打标方式。转子铁芯及磁钢要求有批次号管理，且可在需要时进行追溯至生产日期及员工姓名；</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43</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562系列电机转子动平衡要求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投标人在投标文件中承诺满足：</w:t>
            </w:r>
            <w:r>
              <w:rPr>
                <w:rFonts w:hint="default" w:ascii="宋体" w:hAnsi="宋体" w:eastAsia="宋体" w:cs="宋体"/>
                <w:i w:val="0"/>
                <w:iCs w:val="0"/>
                <w:color w:val="000000"/>
                <w:kern w:val="0"/>
                <w:sz w:val="18"/>
                <w:szCs w:val="18"/>
                <w:u w:val="none"/>
                <w:lang w:val="en-US" w:eastAsia="zh-CN" w:bidi="ar"/>
              </w:rPr>
              <w:t>高转速潜油永磁电机转子要求动平衡测试，动平衡质量级别不低于G6.3（6.3mm/s）</w:t>
            </w:r>
            <w:r>
              <w:rPr>
                <w:rFonts w:hint="eastAsia" w:ascii="宋体" w:hAnsi="宋体" w:eastAsia="宋体" w:cs="宋体"/>
                <w:i w:val="0"/>
                <w:iCs w:val="0"/>
                <w:color w:val="000000"/>
                <w:kern w:val="0"/>
                <w:sz w:val="18"/>
                <w:szCs w:val="18"/>
                <w:u w:val="none"/>
                <w:lang w:val="en-US" w:eastAsia="zh-CN" w:bidi="ar"/>
              </w:rPr>
              <w:t>。</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44</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562系列定子要求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投标人在投标文件中承诺满足：按照加工图纸尺寸及公差要求对产品的外径、内径、角度、长度、倒角尺寸、粗糙度等进行100%全检，确保所有产品加工尺寸都在图纸尺寸范围内，图纸见附件四。</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45</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质保期要求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投标人在投标文件中承诺满足：质保期要求：下井后1300天，或检验合格入库后1600天，以先到为准。</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46</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赔偿条款要求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18"/>
                <w:szCs w:val="18"/>
                <w:u w:val="none"/>
                <w:lang w:val="en-US" w:eastAsia="zh-CN" w:bidi="ar"/>
              </w:rPr>
              <w:t>投标人在投标文件中承诺满足：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（1）由于产品质量原因，导致产品下井后正常运转小于100天，卖方需赔偿买方2倍相同规格潜油电泵机组等额的人民币；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（2）由于产品质量原因，导致产品下井后正常运转大于100天（含）小于500天，卖方需赔偿买方1.5倍相同规格潜油电泵机组等额的人民币；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（3）由于产品质量原因，导致产品下井后正常运转大于500天（含）小于1300天，卖方需赔偿买方1倍相同规格潜油电泵机组等额的人民币；</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47</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卖方首次订单产品验证要求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D0D0D"/>
                <w:kern w:val="0"/>
                <w:sz w:val="18"/>
                <w:szCs w:val="18"/>
                <w:u w:val="none"/>
                <w:lang w:val="en-US" w:eastAsia="zh-CN" w:bidi="ar"/>
              </w:rPr>
              <w:t>投标人在投标文件中承诺满足：</w:t>
            </w:r>
            <w:r>
              <w:rPr>
                <w:rFonts w:hint="default" w:ascii="宋体" w:hAnsi="宋体" w:eastAsia="宋体" w:cs="宋体"/>
                <w:i w:val="0"/>
                <w:iCs w:val="0"/>
                <w:color w:val="000000"/>
                <w:kern w:val="0"/>
                <w:sz w:val="18"/>
                <w:szCs w:val="18"/>
                <w:u w:val="none"/>
                <w:lang w:val="en-US" w:eastAsia="zh-CN" w:bidi="ar"/>
              </w:rPr>
              <w:t>乙方首次订单提供的产品在买方场地进行试验时，如果出现电机与变频器型号不匹配的情况或者电机在空载到额定负载范围内出现异常振动现象等适配性问题，乙方有两个月产品整改期限，如果整改后产品在买方场地再次进行试验时，仍出现电机与变频器型号不匹配的情况或者电机在空载到额定负载范围内出现异常振动现象等适配性问题，买方有权终止合同，保留处罚卖方履约异常的权利，同时卖方应赔偿买方全额履约保证金</w:t>
            </w:r>
            <w:r>
              <w:rPr>
                <w:rFonts w:hint="eastAsia" w:ascii="宋体" w:hAnsi="宋体" w:eastAsia="宋体" w:cs="宋体"/>
                <w:i w:val="0"/>
                <w:iCs w:val="0"/>
                <w:color w:val="000000"/>
                <w:kern w:val="0"/>
                <w:sz w:val="18"/>
                <w:szCs w:val="18"/>
                <w:u w:val="none"/>
                <w:lang w:val="en-US" w:eastAsia="zh-CN" w:bidi="ar"/>
              </w:rPr>
              <w:t>。</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48</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eastAsia" w:ascii="宋体" w:hAnsi="宋体" w:eastAsia="宋体" w:cs="宋体"/>
                <w:i w:val="0"/>
                <w:iCs w:val="0"/>
                <w:color w:val="0D0D0D"/>
                <w:kern w:val="0"/>
                <w:sz w:val="18"/>
                <w:szCs w:val="18"/>
                <w:u w:val="none"/>
                <w:lang w:val="en-US" w:eastAsia="zh-CN" w:bidi="ar"/>
              </w:rPr>
              <w:t>卖方订单执行要求</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D0D0D"/>
                <w:kern w:val="0"/>
                <w:sz w:val="18"/>
                <w:szCs w:val="18"/>
                <w:u w:val="none"/>
                <w:lang w:val="en-US" w:eastAsia="zh-CN" w:bidi="ar"/>
              </w:rPr>
              <w:t>投标人在投标文件中承诺满足：</w:t>
            </w:r>
            <w:r>
              <w:rPr>
                <w:rFonts w:hint="default" w:ascii="宋体" w:hAnsi="宋体" w:eastAsia="宋体" w:cs="宋体"/>
                <w:i w:val="0"/>
                <w:iCs w:val="0"/>
                <w:color w:val="000000"/>
                <w:kern w:val="0"/>
                <w:sz w:val="18"/>
                <w:szCs w:val="18"/>
                <w:u w:val="none"/>
                <w:lang w:val="en-US" w:eastAsia="zh-CN" w:bidi="ar"/>
              </w:rPr>
              <w:t>乙方自合同生效后连续两次或一年内三次无法承接（不可抗力除外）订单，将视为供应商不能履约，此品类协议终止</w:t>
            </w:r>
            <w:r>
              <w:rPr>
                <w:rFonts w:hint="eastAsia" w:ascii="宋体" w:hAnsi="宋体" w:eastAsia="宋体" w:cs="宋体"/>
                <w:i w:val="0"/>
                <w:iCs w:val="0"/>
                <w:color w:val="000000"/>
                <w:kern w:val="0"/>
                <w:sz w:val="18"/>
                <w:szCs w:val="18"/>
                <w:u w:val="none"/>
                <w:lang w:val="en-US" w:eastAsia="zh-CN" w:bidi="ar"/>
              </w:rPr>
              <w:t>。</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49</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default" w:ascii="宋体" w:hAnsi="宋体" w:eastAsia="宋体" w:cs="宋体"/>
                <w:i w:val="0"/>
                <w:iCs w:val="0"/>
                <w:color w:val="0D0D0D"/>
                <w:kern w:val="0"/>
                <w:sz w:val="18"/>
                <w:szCs w:val="18"/>
                <w:u w:val="none"/>
                <w:lang w:val="en-US" w:eastAsia="zh-CN" w:bidi="ar"/>
              </w:rPr>
              <w:t>★</w:t>
            </w:r>
            <w:r>
              <w:rPr>
                <w:rFonts w:hint="eastAsia" w:ascii="宋体" w:hAnsi="宋体" w:eastAsia="宋体" w:cs="宋体"/>
                <w:i w:val="0"/>
                <w:iCs w:val="0"/>
                <w:color w:val="0D0D0D"/>
                <w:kern w:val="0"/>
                <w:sz w:val="18"/>
                <w:szCs w:val="18"/>
                <w:u w:val="none"/>
                <w:lang w:val="en-US" w:eastAsia="zh-CN" w:bidi="ar"/>
              </w:rPr>
              <w:t>承诺项</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sz w:val="21"/>
                <w:szCs w:val="21"/>
                <w:lang w:eastAsia="zh-CN"/>
              </w:rPr>
            </w:pPr>
            <w:r>
              <w:rPr>
                <w:rFonts w:hint="default" w:ascii="宋体" w:hAnsi="宋体" w:eastAsia="宋体" w:cs="宋体"/>
                <w:i w:val="0"/>
                <w:iCs w:val="0"/>
                <w:color w:val="0D0D0D"/>
                <w:kern w:val="0"/>
                <w:sz w:val="18"/>
                <w:szCs w:val="18"/>
                <w:u w:val="none"/>
                <w:lang w:val="en-US" w:eastAsia="zh-CN" w:bidi="ar"/>
              </w:rPr>
              <w:t>“</w:t>
            </w:r>
            <w:r>
              <w:rPr>
                <w:rFonts w:hint="eastAsia" w:ascii="宋体" w:hAnsi="宋体" w:eastAsia="宋体" w:cs="宋体"/>
                <w:i w:val="0"/>
                <w:iCs w:val="0"/>
                <w:color w:val="0D0D0D"/>
                <w:kern w:val="0"/>
                <w:sz w:val="18"/>
                <w:szCs w:val="18"/>
                <w:u w:val="none"/>
                <w:lang w:val="en-US" w:eastAsia="zh-CN" w:bidi="ar"/>
              </w:rPr>
              <w:t>投标人在投标文件中承诺满足”的条款，要求投标人书面承诺</w:t>
            </w:r>
            <w:r>
              <w:rPr>
                <w:rFonts w:hint="eastAsia" w:ascii="宋体" w:hAnsi="宋体" w:cs="宋体"/>
                <w:i w:val="0"/>
                <w:iCs w:val="0"/>
                <w:color w:val="0D0D0D"/>
                <w:kern w:val="0"/>
                <w:sz w:val="18"/>
                <w:szCs w:val="18"/>
                <w:u w:val="none"/>
                <w:lang w:val="en-US" w:eastAsia="zh-CN" w:bidi="ar"/>
              </w:rPr>
              <w:t>，格式自拟。</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50</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eastAsia="宋体" w:cs="宋体"/>
                <w:color w:val="000000"/>
                <w:kern w:val="2"/>
                <w:sz w:val="21"/>
                <w:szCs w:val="21"/>
                <w:lang w:bidi="ar"/>
              </w:rPr>
            </w:pPr>
            <w:r>
              <w:rPr>
                <w:rFonts w:hint="default" w:ascii="宋体" w:hAnsi="宋体" w:eastAsia="宋体" w:cs="宋体"/>
                <w:i w:val="0"/>
                <w:iCs w:val="0"/>
                <w:color w:val="0D0D0D"/>
                <w:kern w:val="0"/>
                <w:sz w:val="18"/>
                <w:szCs w:val="18"/>
                <w:u w:val="none"/>
                <w:lang w:val="en-US" w:eastAsia="zh-CN" w:bidi="ar"/>
              </w:rPr>
              <w:t>★</w:t>
            </w:r>
            <w:r>
              <w:rPr>
                <w:rFonts w:hint="eastAsia" w:ascii="宋体" w:hAnsi="宋体" w:eastAsia="宋体" w:cs="宋体"/>
                <w:i w:val="0"/>
                <w:iCs w:val="0"/>
                <w:color w:val="0D0D0D"/>
                <w:kern w:val="0"/>
                <w:sz w:val="18"/>
                <w:szCs w:val="18"/>
                <w:u w:val="none"/>
                <w:lang w:val="en-US" w:eastAsia="zh-CN" w:bidi="ar"/>
              </w:rPr>
              <w:t>其它</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sz w:val="21"/>
                <w:szCs w:val="21"/>
                <w:lang w:val="en-US" w:eastAsia="zh-CN"/>
              </w:rPr>
            </w:pPr>
            <w:r>
              <w:rPr>
                <w:rFonts w:hint="eastAsia" w:ascii="宋体" w:hAnsi="宋体" w:eastAsia="宋体" w:cs="宋体"/>
                <w:i w:val="0"/>
                <w:iCs w:val="0"/>
                <w:color w:val="0D0D0D"/>
                <w:kern w:val="0"/>
                <w:sz w:val="18"/>
                <w:szCs w:val="18"/>
                <w:u w:val="none"/>
                <w:lang w:val="en-US" w:eastAsia="zh-CN" w:bidi="ar"/>
              </w:rPr>
              <w:t>不存在国家法规和招标文件明确否决投标的其它条款和要求</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322" w:hRule="atLeast"/>
        </w:trPr>
        <w:tc>
          <w:tcPr>
            <w:tcW w:w="568" w:type="dxa"/>
            <w:tcBorders>
              <w:top w:val="single" w:color="auto" w:sz="4" w:space="0"/>
              <w:left w:val="single" w:color="auto" w:sz="8" w:space="0"/>
              <w:bottom w:val="single" w:color="auto" w:sz="4" w:space="0"/>
              <w:right w:val="single" w:color="000000" w:sz="4" w:space="0"/>
            </w:tcBorders>
            <w:noWrap w:val="0"/>
            <w:vAlign w:val="center"/>
          </w:tcPr>
          <w:p>
            <w:pPr>
              <w:pStyle w:val="16"/>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51</w:t>
            </w:r>
          </w:p>
        </w:tc>
        <w:tc>
          <w:tcPr>
            <w:tcW w:w="1134"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jc w:val="left"/>
              <w:textAlignment w:val="center"/>
              <w:rPr>
                <w:rFonts w:ascii="宋体" w:hAnsi="宋体" w:cs="宋体"/>
                <w:color w:val="000000"/>
              </w:rPr>
            </w:pPr>
            <w:r>
              <w:rPr>
                <w:rFonts w:hint="default" w:ascii="宋体" w:hAnsi="宋体" w:eastAsia="宋体" w:cs="宋体"/>
                <w:i w:val="0"/>
                <w:iCs w:val="0"/>
                <w:color w:val="0D0D0D"/>
                <w:kern w:val="0"/>
                <w:sz w:val="18"/>
                <w:szCs w:val="18"/>
                <w:u w:val="none"/>
                <w:lang w:val="en-US" w:eastAsia="zh-CN" w:bidi="ar"/>
              </w:rPr>
              <w:t>★</w:t>
            </w:r>
            <w:r>
              <w:rPr>
                <w:rFonts w:hint="eastAsia" w:ascii="宋体" w:hAnsi="宋体" w:eastAsia="宋体" w:cs="宋体"/>
                <w:i w:val="0"/>
                <w:iCs w:val="0"/>
                <w:color w:val="0D0D0D"/>
                <w:kern w:val="0"/>
                <w:sz w:val="18"/>
                <w:szCs w:val="18"/>
                <w:u w:val="none"/>
                <w:lang w:val="en-US" w:eastAsia="zh-CN" w:bidi="ar"/>
              </w:rPr>
              <w:t>一般指标偏离</w:t>
            </w:r>
          </w:p>
        </w:tc>
        <w:tc>
          <w:tcPr>
            <w:tcW w:w="5538" w:type="dxa"/>
            <w:tcBorders>
              <w:top w:val="single" w:color="auto" w:sz="4" w:space="0"/>
              <w:left w:val="single" w:color="auto" w:sz="8" w:space="0"/>
              <w:bottom w:val="single" w:color="auto" w:sz="4" w:space="0"/>
              <w:right w:val="single" w:color="000000" w:sz="4" w:space="0"/>
            </w:tcBorders>
            <w:noWrap w:val="0"/>
            <w:vAlign w:val="center"/>
          </w:tcPr>
          <w:p>
            <w:pPr>
              <w:keepNext w:val="0"/>
              <w:keepLines w:val="0"/>
              <w:widowControl/>
              <w:suppressLineNumbers w:val="0"/>
              <w:jc w:val="left"/>
              <w:textAlignment w:val="center"/>
              <w:rPr>
                <w:rFonts w:ascii="宋体" w:hAnsi="宋体" w:cs="宋体"/>
                <w:color w:val="000000"/>
                <w:szCs w:val="24"/>
              </w:rPr>
            </w:pPr>
            <w:r>
              <w:rPr>
                <w:rFonts w:hint="eastAsia" w:ascii="宋体" w:hAnsi="宋体" w:eastAsia="宋体" w:cs="宋体"/>
                <w:i w:val="0"/>
                <w:iCs w:val="0"/>
                <w:color w:val="0D0D0D"/>
                <w:kern w:val="0"/>
                <w:sz w:val="18"/>
                <w:szCs w:val="18"/>
                <w:u w:val="none"/>
                <w:lang w:val="en-US" w:eastAsia="zh-CN" w:bidi="ar"/>
              </w:rPr>
              <w:t>商务一般指标和技术一般指标中累计达到</w:t>
            </w:r>
            <w:r>
              <w:rPr>
                <w:rFonts w:hint="eastAsia" w:ascii="宋体" w:hAnsi="宋体" w:cs="宋体"/>
                <w:i w:val="0"/>
                <w:iCs w:val="0"/>
                <w:color w:val="0D0D0D"/>
                <w:kern w:val="0"/>
                <w:sz w:val="18"/>
                <w:szCs w:val="18"/>
                <w:u w:val="none"/>
                <w:lang w:val="en-US" w:eastAsia="zh-CN" w:bidi="ar"/>
              </w:rPr>
              <w:t>4</w:t>
            </w:r>
            <w:r>
              <w:rPr>
                <w:rFonts w:hint="eastAsia" w:ascii="宋体" w:hAnsi="宋体" w:eastAsia="宋体" w:cs="宋体"/>
                <w:i w:val="0"/>
                <w:iCs w:val="0"/>
                <w:color w:val="0D0D0D"/>
                <w:kern w:val="0"/>
                <w:sz w:val="18"/>
                <w:szCs w:val="18"/>
                <w:u w:val="none"/>
                <w:lang w:val="en-US" w:eastAsia="zh-CN" w:bidi="ar"/>
              </w:rPr>
              <w:t>项不满足招标文件要求的，结论为不合格。</w:t>
            </w:r>
          </w:p>
        </w:tc>
        <w:tc>
          <w:tcPr>
            <w:tcW w:w="841" w:type="dxa"/>
            <w:tcBorders>
              <w:top w:val="nil"/>
              <w:left w:val="nil"/>
              <w:bottom w:val="single" w:color="auto" w:sz="4" w:space="0"/>
              <w:right w:val="single" w:color="auto" w:sz="4" w:space="0"/>
            </w:tcBorders>
            <w:noWrap w:val="0"/>
            <w:vAlign w:val="center"/>
          </w:tcPr>
          <w:p>
            <w:pPr>
              <w:pStyle w:val="16"/>
              <w:widowControl/>
              <w:jc w:val="center"/>
              <w:rPr>
                <w:rFonts w:hAnsi="宋体"/>
                <w:szCs w:val="21"/>
              </w:rPr>
            </w:pPr>
          </w:p>
        </w:tc>
        <w:tc>
          <w:tcPr>
            <w:tcW w:w="992" w:type="dxa"/>
            <w:tcBorders>
              <w:top w:val="single" w:color="auto" w:sz="4" w:space="0"/>
              <w:left w:val="nil"/>
              <w:bottom w:val="single" w:color="auto" w:sz="4" w:space="0"/>
              <w:right w:val="single" w:color="auto" w:sz="4" w:space="0"/>
            </w:tcBorders>
            <w:noWrap w:val="0"/>
            <w:vAlign w:val="center"/>
          </w:tcPr>
          <w:p>
            <w:pPr>
              <w:pStyle w:val="16"/>
              <w:widowControl/>
              <w:jc w:val="center"/>
              <w:rPr>
                <w:rFonts w:hAnsi="宋体"/>
                <w:szCs w:val="21"/>
              </w:rPr>
            </w:pPr>
          </w:p>
        </w:tc>
      </w:tr>
      <w:tr>
        <w:tblPrEx>
          <w:tblCellMar>
            <w:top w:w="0" w:type="dxa"/>
            <w:left w:w="108" w:type="dxa"/>
            <w:bottom w:w="0" w:type="dxa"/>
            <w:right w:w="108" w:type="dxa"/>
          </w:tblCellMar>
        </w:tblPrEx>
        <w:trPr>
          <w:trHeight w:val="502" w:hRule="atLeast"/>
        </w:trPr>
        <w:tc>
          <w:tcPr>
            <w:tcW w:w="7240" w:type="dxa"/>
            <w:gridSpan w:val="3"/>
            <w:tcBorders>
              <w:top w:val="single" w:color="auto" w:sz="4" w:space="0"/>
              <w:left w:val="single" w:color="auto" w:sz="4" w:space="0"/>
              <w:bottom w:val="single" w:color="auto" w:sz="4" w:space="0"/>
              <w:right w:val="single" w:color="000000" w:sz="4" w:space="0"/>
            </w:tcBorders>
            <w:noWrap w:val="0"/>
            <w:vAlign w:val="center"/>
          </w:tcPr>
          <w:p>
            <w:pPr>
              <w:pStyle w:val="16"/>
              <w:widowControl/>
              <w:jc w:val="center"/>
              <w:rPr>
                <w:rFonts w:ascii="宋体" w:hAnsi="宋体" w:cs="宋体"/>
                <w:kern w:val="0"/>
                <w:szCs w:val="21"/>
              </w:rPr>
            </w:pPr>
            <w:r>
              <w:rPr>
                <w:rFonts w:hint="eastAsia" w:ascii="宋体" w:hAnsi="宋体" w:cs="宋体"/>
                <w:color w:val="000000"/>
                <w:kern w:val="0"/>
                <w:szCs w:val="21"/>
              </w:rPr>
              <w:t>结论</w:t>
            </w:r>
          </w:p>
        </w:tc>
        <w:tc>
          <w:tcPr>
            <w:tcW w:w="1833" w:type="dxa"/>
            <w:gridSpan w:val="2"/>
            <w:tcBorders>
              <w:top w:val="single" w:color="auto" w:sz="4" w:space="0"/>
              <w:left w:val="nil"/>
              <w:bottom w:val="single" w:color="auto" w:sz="4" w:space="0"/>
              <w:right w:val="single" w:color="auto" w:sz="4" w:space="0"/>
            </w:tcBorders>
            <w:noWrap w:val="0"/>
            <w:vAlign w:val="center"/>
          </w:tcPr>
          <w:p>
            <w:pPr>
              <w:pStyle w:val="16"/>
              <w:widowControl/>
              <w:jc w:val="center"/>
              <w:rPr>
                <w:rFonts w:ascii="宋体" w:hAnsi="宋体" w:cs="宋体"/>
                <w:kern w:val="0"/>
                <w:szCs w:val="21"/>
              </w:rPr>
            </w:pPr>
          </w:p>
        </w:tc>
      </w:tr>
    </w:tbl>
    <w:p>
      <w:pPr>
        <w:pStyle w:val="16"/>
        <w:jc w:val="left"/>
        <w:rPr>
          <w:rFonts w:ascii="宋体" w:hAnsi="宋体" w:cs="Arial"/>
          <w:b/>
          <w:kern w:val="0"/>
          <w:sz w:val="24"/>
        </w:rPr>
      </w:pPr>
    </w:p>
    <w:p>
      <w:pPr>
        <w:pStyle w:val="16"/>
        <w:jc w:val="left"/>
        <w:rPr>
          <w:b/>
        </w:rPr>
      </w:pPr>
      <w:r>
        <w:rPr>
          <w:rFonts w:hint="eastAsia" w:ascii="宋体" w:hAnsi="宋体" w:cs="Arial"/>
          <w:b/>
          <w:color w:val="000000"/>
          <w:kern w:val="0"/>
          <w:sz w:val="24"/>
        </w:rPr>
        <w:t>注：</w:t>
      </w:r>
    </w:p>
    <w:p>
      <w:pPr>
        <w:pStyle w:val="16"/>
        <w:widowControl/>
        <w:ind w:left="-1134" w:leftChars="-540"/>
        <w:rPr>
          <w:rFonts w:ascii="宋体" w:hAnsi="宋体" w:cs="Arial"/>
          <w:kern w:val="0"/>
          <w:szCs w:val="21"/>
        </w:rPr>
      </w:pPr>
      <w:r>
        <w:rPr>
          <w:rFonts w:hint="eastAsia" w:ascii="宋体" w:hAnsi="宋体" w:cs="Arial"/>
          <w:color w:val="000000"/>
          <w:kern w:val="0"/>
          <w:szCs w:val="21"/>
        </w:rPr>
        <w:t>1. 表格中：技术参数栏可填具体的数据或填“满足”、“不满足”；评议栏可填“符合”或“不符合”。</w:t>
      </w:r>
    </w:p>
    <w:p>
      <w:pPr>
        <w:pStyle w:val="16"/>
        <w:widowControl/>
        <w:ind w:left="-1134" w:leftChars="-540"/>
        <w:rPr>
          <w:rFonts w:ascii="宋体" w:hAnsi="宋体" w:cs="Arial"/>
          <w:kern w:val="0"/>
          <w:szCs w:val="21"/>
        </w:rPr>
      </w:pPr>
      <w:r>
        <w:rPr>
          <w:rFonts w:hint="eastAsia" w:ascii="宋体" w:hAnsi="宋体" w:cs="Arial"/>
          <w:color w:val="000000"/>
          <w:kern w:val="0"/>
          <w:szCs w:val="21"/>
        </w:rPr>
        <w:t>2.</w:t>
      </w:r>
      <w:r>
        <w:rPr>
          <w:rFonts w:hint="eastAsia" w:ascii="宋体" w:hAnsi="宋体"/>
          <w:bCs/>
          <w:color w:val="000000"/>
          <w:szCs w:val="21"/>
        </w:rPr>
        <w:t>带“★”的指标均为关键项指标，其余指标为一般技术指标。</w:t>
      </w:r>
      <w:r>
        <w:rPr>
          <w:rFonts w:hint="eastAsia" w:ascii="宋体" w:hAnsi="宋体" w:cs="Arial"/>
          <w:bCs/>
          <w:color w:val="000000"/>
          <w:kern w:val="0"/>
          <w:szCs w:val="21"/>
        </w:rPr>
        <w:t>关键项指标有一项为“不符合”</w:t>
      </w:r>
      <w:r>
        <w:rPr>
          <w:rFonts w:hint="eastAsia" w:ascii="宋体" w:hAnsi="宋体" w:cs="Arial"/>
          <w:color w:val="000000"/>
          <w:kern w:val="0"/>
          <w:szCs w:val="21"/>
        </w:rPr>
        <w:t>，技术评议结论即为“不合格”；一般技术指标，</w:t>
      </w:r>
    </w:p>
    <w:p>
      <w:pPr>
        <w:pStyle w:val="16"/>
        <w:autoSpaceDE w:val="0"/>
        <w:autoSpaceDN w:val="0"/>
        <w:adjustRightInd w:val="0"/>
        <w:spacing w:line="360" w:lineRule="auto"/>
        <w:ind w:left="-1134" w:leftChars="-540" w:right="-533" w:rightChars="-254"/>
        <w:rPr>
          <w:rFonts w:ascii="宋体" w:hAnsi="宋体"/>
          <w:bCs/>
          <w:szCs w:val="21"/>
        </w:rPr>
      </w:pPr>
      <w:r>
        <w:rPr>
          <w:rFonts w:hint="eastAsia" w:ascii="宋体" w:hAnsi="宋体" w:cs="Arial"/>
          <w:color w:val="000000"/>
          <w:kern w:val="0"/>
          <w:szCs w:val="21"/>
        </w:rPr>
        <w:t>实质性偏离，评议栏应填“不符合”，一般技术指标偏离累计达到 项的，</w:t>
      </w:r>
      <w:r>
        <w:rPr>
          <w:rFonts w:hint="eastAsia" w:ascii="宋体" w:hAnsi="宋体"/>
          <w:bCs/>
          <w:color w:val="000000"/>
          <w:szCs w:val="21"/>
        </w:rPr>
        <w:t>即视为技术评议结论为“不合格”。</w:t>
      </w:r>
    </w:p>
    <w:p>
      <w:pPr>
        <w:pStyle w:val="16"/>
        <w:autoSpaceDE w:val="0"/>
        <w:autoSpaceDN w:val="0"/>
        <w:adjustRightInd w:val="0"/>
        <w:spacing w:line="360" w:lineRule="auto"/>
        <w:ind w:left="-1134" w:leftChars="-540" w:right="-533" w:rightChars="-254"/>
        <w:rPr>
          <w:rFonts w:ascii="宋体" w:hAnsi="宋体"/>
          <w:bCs/>
          <w:szCs w:val="21"/>
        </w:rPr>
        <w:sectPr>
          <w:footerReference r:id="rId14" w:type="first"/>
          <w:pgSz w:w="11906" w:h="16838"/>
          <w:pgMar w:top="1440" w:right="1800" w:bottom="1440" w:left="1800" w:header="851" w:footer="992" w:gutter="0"/>
          <w:cols w:space="720" w:num="1"/>
          <w:titlePg/>
          <w:docGrid w:linePitch="312" w:charSpace="0"/>
        </w:sectPr>
      </w:pPr>
    </w:p>
    <w:p>
      <w:pPr>
        <w:pStyle w:val="17"/>
      </w:pPr>
    </w:p>
    <w:bookmarkEnd w:id="271"/>
    <w:p>
      <w:pPr>
        <w:pStyle w:val="16"/>
      </w:pPr>
      <w:bookmarkStart w:id="272" w:name="_Toc19562"/>
      <w:bookmarkStart w:id="273" w:name="_Toc2171"/>
      <w:r>
        <w:rPr>
          <w:rFonts w:hint="eastAsia" w:ascii="黑体" w:hAnsi="黑体" w:eastAsia="黑体"/>
          <w:b/>
          <w:bCs/>
          <w:sz w:val="44"/>
          <w:szCs w:val="44"/>
        </w:rPr>
        <w:t xml:space="preserve">第六章 </w:t>
      </w:r>
      <w:r>
        <w:rPr>
          <w:rFonts w:hint="eastAsia"/>
        </w:rPr>
        <w:t xml:space="preserve"> </w:t>
      </w:r>
      <w:r>
        <w:rPr>
          <w:rFonts w:hint="eastAsia" w:ascii="黑体" w:hAnsi="黑体" w:eastAsia="黑体"/>
          <w:b/>
          <w:bCs/>
          <w:sz w:val="44"/>
          <w:szCs w:val="44"/>
        </w:rPr>
        <w:t>资格预审申请文件格式</w:t>
      </w:r>
      <w:bookmarkEnd w:id="272"/>
      <w:bookmarkEnd w:id="273"/>
    </w:p>
    <w:p>
      <w:pPr>
        <w:pStyle w:val="16"/>
        <w:spacing w:line="400" w:lineRule="exact"/>
        <w:jc w:val="center"/>
        <w:outlineLvl w:val="1"/>
        <w:rPr>
          <w:b/>
          <w:sz w:val="28"/>
          <w:szCs w:val="28"/>
        </w:rPr>
      </w:pPr>
      <w:r>
        <w:rPr>
          <w:rFonts w:hint="eastAsia"/>
          <w:b/>
          <w:sz w:val="28"/>
          <w:szCs w:val="28"/>
        </w:rPr>
        <w:t>目    录</w:t>
      </w:r>
    </w:p>
    <w:p>
      <w:pPr>
        <w:pStyle w:val="16"/>
        <w:spacing w:line="400" w:lineRule="exact"/>
        <w:jc w:val="center"/>
        <w:rPr>
          <w:sz w:val="28"/>
          <w:szCs w:val="28"/>
        </w:rPr>
      </w:pPr>
    </w:p>
    <w:p>
      <w:pPr>
        <w:pStyle w:val="16"/>
        <w:numPr>
          <w:ilvl w:val="0"/>
          <w:numId w:val="36"/>
        </w:numPr>
        <w:spacing w:line="400" w:lineRule="exact"/>
        <w:ind w:left="0" w:firstLine="0"/>
        <w:outlineLvl w:val="1"/>
        <w:rPr>
          <w:sz w:val="28"/>
          <w:szCs w:val="28"/>
        </w:rPr>
      </w:pPr>
      <w:r>
        <w:rPr>
          <w:rFonts w:hint="eastAsia"/>
          <w:sz w:val="28"/>
          <w:szCs w:val="28"/>
        </w:rPr>
        <w:t>资格预审申请文件封面</w:t>
      </w:r>
    </w:p>
    <w:p>
      <w:pPr>
        <w:pStyle w:val="16"/>
        <w:numPr>
          <w:ilvl w:val="0"/>
          <w:numId w:val="36"/>
        </w:numPr>
        <w:spacing w:line="400" w:lineRule="exact"/>
        <w:ind w:left="0" w:firstLine="0"/>
        <w:outlineLvl w:val="1"/>
        <w:rPr>
          <w:sz w:val="28"/>
          <w:szCs w:val="28"/>
        </w:rPr>
      </w:pPr>
      <w:r>
        <w:rPr>
          <w:rFonts w:hint="eastAsia"/>
          <w:sz w:val="28"/>
          <w:szCs w:val="28"/>
        </w:rPr>
        <w:t>法人代表授权书</w:t>
      </w:r>
    </w:p>
    <w:p>
      <w:pPr>
        <w:pStyle w:val="16"/>
        <w:numPr>
          <w:ilvl w:val="0"/>
          <w:numId w:val="36"/>
        </w:numPr>
        <w:spacing w:line="400" w:lineRule="exact"/>
        <w:ind w:left="0" w:firstLine="0"/>
        <w:outlineLvl w:val="1"/>
        <w:rPr>
          <w:sz w:val="28"/>
          <w:szCs w:val="28"/>
        </w:rPr>
      </w:pPr>
      <w:r>
        <w:rPr>
          <w:rFonts w:hint="eastAsia"/>
          <w:sz w:val="28"/>
          <w:szCs w:val="28"/>
        </w:rPr>
        <w:t>法定代表人身份证明</w:t>
      </w:r>
    </w:p>
    <w:p>
      <w:pPr>
        <w:pStyle w:val="16"/>
        <w:numPr>
          <w:ilvl w:val="0"/>
          <w:numId w:val="36"/>
        </w:numPr>
        <w:spacing w:line="400" w:lineRule="exact"/>
        <w:ind w:left="0" w:firstLine="0"/>
        <w:outlineLvl w:val="1"/>
        <w:rPr>
          <w:sz w:val="28"/>
          <w:szCs w:val="28"/>
        </w:rPr>
      </w:pPr>
      <w:r>
        <w:rPr>
          <w:rFonts w:hint="eastAsia"/>
          <w:sz w:val="28"/>
          <w:szCs w:val="28"/>
        </w:rPr>
        <w:t>营业执照</w:t>
      </w:r>
    </w:p>
    <w:p>
      <w:pPr>
        <w:pStyle w:val="16"/>
        <w:numPr>
          <w:ilvl w:val="0"/>
          <w:numId w:val="36"/>
        </w:numPr>
        <w:spacing w:line="400" w:lineRule="exact"/>
        <w:ind w:left="0" w:firstLine="0"/>
        <w:outlineLvl w:val="1"/>
        <w:rPr>
          <w:sz w:val="28"/>
          <w:szCs w:val="28"/>
        </w:rPr>
      </w:pPr>
      <w:r>
        <w:rPr>
          <w:rFonts w:hint="eastAsia"/>
          <w:sz w:val="28"/>
          <w:szCs w:val="28"/>
        </w:rPr>
        <w:t>承诺书</w:t>
      </w:r>
    </w:p>
    <w:p>
      <w:pPr>
        <w:pStyle w:val="16"/>
        <w:numPr>
          <w:ilvl w:val="0"/>
          <w:numId w:val="36"/>
        </w:numPr>
        <w:spacing w:line="400" w:lineRule="exact"/>
        <w:ind w:left="0" w:firstLine="0"/>
        <w:outlineLvl w:val="1"/>
        <w:rPr>
          <w:sz w:val="28"/>
          <w:szCs w:val="28"/>
        </w:rPr>
      </w:pPr>
      <w:r>
        <w:rPr>
          <w:rFonts w:hint="eastAsia"/>
          <w:sz w:val="28"/>
          <w:szCs w:val="28"/>
        </w:rPr>
        <w:t>公司简介及公司组织架构图</w:t>
      </w:r>
    </w:p>
    <w:p>
      <w:pPr>
        <w:pStyle w:val="16"/>
        <w:numPr>
          <w:ilvl w:val="0"/>
          <w:numId w:val="36"/>
        </w:numPr>
        <w:spacing w:line="400" w:lineRule="exact"/>
        <w:outlineLvl w:val="1"/>
        <w:rPr>
          <w:sz w:val="28"/>
          <w:szCs w:val="28"/>
        </w:rPr>
      </w:pPr>
      <w:r>
        <w:rPr>
          <w:rFonts w:hint="eastAsia"/>
          <w:sz w:val="28"/>
          <w:szCs w:val="28"/>
        </w:rPr>
        <w:t>近三年（</w:t>
      </w:r>
      <w:r>
        <w:rPr>
          <w:rFonts w:hint="eastAsia"/>
          <w:sz w:val="28"/>
          <w:szCs w:val="28"/>
          <w:lang w:eastAsia="zh-CN"/>
        </w:rPr>
        <w:t>202</w:t>
      </w:r>
      <w:r>
        <w:rPr>
          <w:rFonts w:hint="eastAsia"/>
          <w:sz w:val="28"/>
          <w:szCs w:val="28"/>
          <w:lang w:val="en-US" w:eastAsia="zh-CN"/>
        </w:rPr>
        <w:t>1</w:t>
      </w:r>
      <w:r>
        <w:rPr>
          <w:rFonts w:hint="eastAsia"/>
          <w:sz w:val="28"/>
          <w:szCs w:val="28"/>
          <w:lang w:eastAsia="zh-CN"/>
        </w:rPr>
        <w:t>-202</w:t>
      </w:r>
      <w:r>
        <w:rPr>
          <w:rFonts w:hint="eastAsia"/>
          <w:sz w:val="28"/>
          <w:szCs w:val="28"/>
          <w:lang w:val="en-US" w:eastAsia="zh-CN"/>
        </w:rPr>
        <w:t>3</w:t>
      </w:r>
      <w:r>
        <w:rPr>
          <w:rFonts w:hint="eastAsia"/>
          <w:sz w:val="28"/>
          <w:szCs w:val="28"/>
        </w:rPr>
        <w:t>年）经审计的财务报表</w:t>
      </w:r>
      <w:r>
        <w:rPr>
          <w:sz w:val="28"/>
          <w:szCs w:val="28"/>
        </w:rPr>
        <w:t xml:space="preserve"> </w:t>
      </w:r>
    </w:p>
    <w:p>
      <w:pPr>
        <w:pStyle w:val="16"/>
        <w:numPr>
          <w:ilvl w:val="0"/>
          <w:numId w:val="36"/>
        </w:numPr>
        <w:spacing w:line="400" w:lineRule="exact"/>
        <w:ind w:left="0" w:firstLine="0"/>
        <w:outlineLvl w:val="1"/>
        <w:rPr>
          <w:sz w:val="28"/>
          <w:szCs w:val="28"/>
        </w:rPr>
      </w:pPr>
      <w:r>
        <w:rPr>
          <w:rFonts w:hint="eastAsia"/>
          <w:sz w:val="28"/>
          <w:szCs w:val="28"/>
        </w:rPr>
        <w:t>相关证书（如有）</w:t>
      </w:r>
    </w:p>
    <w:p>
      <w:pPr>
        <w:pStyle w:val="16"/>
        <w:numPr>
          <w:ilvl w:val="0"/>
          <w:numId w:val="36"/>
        </w:numPr>
        <w:spacing w:line="400" w:lineRule="exact"/>
        <w:ind w:left="0" w:firstLine="0"/>
        <w:outlineLvl w:val="1"/>
        <w:rPr>
          <w:sz w:val="28"/>
          <w:szCs w:val="28"/>
        </w:rPr>
      </w:pPr>
      <w:r>
        <w:rPr>
          <w:rFonts w:hint="eastAsia"/>
          <w:sz w:val="28"/>
          <w:szCs w:val="28"/>
        </w:rPr>
        <w:t>投标材料质量标准的详细描述</w:t>
      </w:r>
    </w:p>
    <w:p>
      <w:pPr>
        <w:pStyle w:val="16"/>
        <w:numPr>
          <w:ilvl w:val="0"/>
          <w:numId w:val="36"/>
        </w:numPr>
        <w:spacing w:line="400" w:lineRule="exact"/>
        <w:ind w:left="0" w:firstLine="0"/>
        <w:outlineLvl w:val="1"/>
        <w:rPr>
          <w:sz w:val="28"/>
          <w:szCs w:val="28"/>
        </w:rPr>
      </w:pPr>
      <w:r>
        <w:rPr>
          <w:rFonts w:hint="eastAsia"/>
          <w:sz w:val="28"/>
          <w:szCs w:val="28"/>
        </w:rPr>
        <w:t>业绩合同扫描件</w:t>
      </w:r>
    </w:p>
    <w:p>
      <w:pPr>
        <w:pStyle w:val="16"/>
        <w:numPr>
          <w:ilvl w:val="0"/>
          <w:numId w:val="36"/>
        </w:numPr>
        <w:spacing w:line="400" w:lineRule="exact"/>
        <w:ind w:left="0" w:firstLine="0"/>
        <w:outlineLvl w:val="1"/>
        <w:rPr>
          <w:sz w:val="28"/>
          <w:szCs w:val="28"/>
        </w:rPr>
      </w:pPr>
      <w:r>
        <w:rPr>
          <w:rFonts w:hint="eastAsia"/>
          <w:sz w:val="28"/>
          <w:szCs w:val="28"/>
        </w:rPr>
        <w:t>提交的资格预审申请文件的电子版</w:t>
      </w:r>
    </w:p>
    <w:p>
      <w:pPr>
        <w:pStyle w:val="16"/>
        <w:numPr>
          <w:ilvl w:val="0"/>
          <w:numId w:val="36"/>
        </w:numPr>
        <w:spacing w:line="400" w:lineRule="exact"/>
        <w:ind w:left="0" w:firstLine="0"/>
        <w:outlineLvl w:val="1"/>
        <w:rPr>
          <w:sz w:val="28"/>
          <w:szCs w:val="28"/>
        </w:rPr>
      </w:pPr>
      <w:r>
        <w:rPr>
          <w:rFonts w:hint="eastAsia"/>
          <w:sz w:val="28"/>
          <w:szCs w:val="28"/>
        </w:rPr>
        <w:t>信誉证明材料</w:t>
      </w:r>
    </w:p>
    <w:p>
      <w:pPr>
        <w:pStyle w:val="16"/>
        <w:numPr>
          <w:ilvl w:val="0"/>
          <w:numId w:val="36"/>
        </w:numPr>
        <w:spacing w:line="400" w:lineRule="exact"/>
        <w:ind w:left="0" w:firstLine="0"/>
        <w:outlineLvl w:val="1"/>
        <w:rPr>
          <w:sz w:val="28"/>
          <w:szCs w:val="28"/>
        </w:rPr>
      </w:pPr>
      <w:r>
        <w:rPr>
          <w:rFonts w:hint="eastAsia"/>
          <w:sz w:val="28"/>
          <w:szCs w:val="28"/>
        </w:rPr>
        <w:t>供货计划、生产能力和保障措施</w:t>
      </w:r>
    </w:p>
    <w:p>
      <w:pPr>
        <w:pStyle w:val="16"/>
        <w:numPr>
          <w:ilvl w:val="0"/>
          <w:numId w:val="36"/>
        </w:numPr>
        <w:spacing w:line="400" w:lineRule="exact"/>
        <w:ind w:left="0" w:firstLine="0"/>
        <w:outlineLvl w:val="1"/>
        <w:rPr>
          <w:sz w:val="28"/>
          <w:szCs w:val="28"/>
        </w:rPr>
      </w:pPr>
      <w:r>
        <w:rPr>
          <w:rFonts w:hint="eastAsia"/>
          <w:sz w:val="28"/>
          <w:szCs w:val="28"/>
        </w:rPr>
        <w:t>售后服务和现场技术支持方案</w:t>
      </w:r>
    </w:p>
    <w:p>
      <w:pPr>
        <w:pStyle w:val="16"/>
        <w:numPr>
          <w:ilvl w:val="0"/>
          <w:numId w:val="36"/>
        </w:numPr>
        <w:spacing w:line="400" w:lineRule="exact"/>
        <w:ind w:left="0" w:firstLine="0"/>
        <w:outlineLvl w:val="1"/>
        <w:rPr>
          <w:sz w:val="28"/>
          <w:szCs w:val="28"/>
        </w:rPr>
      </w:pPr>
      <w:r>
        <w:rPr>
          <w:rFonts w:hint="eastAsia"/>
          <w:sz w:val="28"/>
          <w:szCs w:val="28"/>
        </w:rPr>
        <w:t>申请人认为有必要提交的其他支持性材料</w:t>
      </w:r>
    </w:p>
    <w:p>
      <w:pPr>
        <w:pStyle w:val="16"/>
        <w:numPr>
          <w:ilvl w:val="0"/>
          <w:numId w:val="36"/>
        </w:numPr>
        <w:spacing w:line="400" w:lineRule="exact"/>
        <w:ind w:left="0" w:firstLine="0"/>
        <w:outlineLvl w:val="1"/>
        <w:rPr>
          <w:sz w:val="28"/>
          <w:szCs w:val="28"/>
        </w:rPr>
      </w:pPr>
      <w:r>
        <w:rPr>
          <w:rFonts w:hint="eastAsia"/>
          <w:sz w:val="28"/>
          <w:szCs w:val="28"/>
        </w:rPr>
        <w:t>商务偏离表</w:t>
      </w:r>
    </w:p>
    <w:p>
      <w:pPr>
        <w:pStyle w:val="16"/>
        <w:numPr>
          <w:ilvl w:val="0"/>
          <w:numId w:val="36"/>
        </w:numPr>
        <w:spacing w:line="400" w:lineRule="exact"/>
        <w:ind w:left="0" w:firstLine="0"/>
        <w:outlineLvl w:val="1"/>
        <w:rPr>
          <w:sz w:val="28"/>
          <w:szCs w:val="28"/>
        </w:rPr>
      </w:pPr>
      <w:r>
        <w:rPr>
          <w:rFonts w:hint="eastAsia"/>
          <w:sz w:val="28"/>
          <w:szCs w:val="28"/>
        </w:rPr>
        <w:t>技术偏离表</w:t>
      </w:r>
    </w:p>
    <w:p>
      <w:pPr>
        <w:pStyle w:val="16"/>
        <w:numPr>
          <w:ilvl w:val="0"/>
          <w:numId w:val="36"/>
        </w:numPr>
        <w:spacing w:line="400" w:lineRule="exact"/>
        <w:ind w:left="0" w:firstLine="0"/>
        <w:outlineLvl w:val="1"/>
        <w:rPr>
          <w:sz w:val="28"/>
          <w:szCs w:val="28"/>
        </w:rPr>
      </w:pPr>
      <w:r>
        <w:rPr>
          <w:rFonts w:hint="eastAsia"/>
          <w:sz w:val="28"/>
          <w:szCs w:val="28"/>
        </w:rPr>
        <w:t>投标函</w:t>
      </w:r>
    </w:p>
    <w:p>
      <w:pPr>
        <w:pStyle w:val="16"/>
        <w:spacing w:line="400" w:lineRule="exact"/>
        <w:outlineLvl w:val="1"/>
        <w:rPr>
          <w:sz w:val="28"/>
          <w:szCs w:val="28"/>
        </w:rPr>
      </w:pPr>
      <w:r>
        <w:rPr>
          <w:rFonts w:hint="eastAsia"/>
          <w:sz w:val="28"/>
          <w:szCs w:val="28"/>
        </w:rPr>
        <w:t>19）对本项目技术要求的其他响应文件</w:t>
      </w:r>
    </w:p>
    <w:p>
      <w:pPr>
        <w:pStyle w:val="16"/>
        <w:spacing w:line="400" w:lineRule="exact"/>
        <w:rPr>
          <w:sz w:val="28"/>
          <w:szCs w:val="28"/>
        </w:rPr>
      </w:pPr>
    </w:p>
    <w:p>
      <w:pPr>
        <w:pStyle w:val="16"/>
        <w:spacing w:line="400" w:lineRule="exact"/>
        <w:rPr>
          <w:sz w:val="28"/>
          <w:szCs w:val="28"/>
        </w:rPr>
        <w:sectPr>
          <w:pgSz w:w="11906" w:h="16838"/>
          <w:pgMar w:top="1440" w:right="1800" w:bottom="1440" w:left="1800" w:header="851" w:footer="992" w:gutter="0"/>
          <w:cols w:space="720" w:num="1"/>
          <w:titlePg/>
          <w:docGrid w:linePitch="312" w:charSpace="0"/>
        </w:sectPr>
      </w:pPr>
    </w:p>
    <w:p>
      <w:pPr>
        <w:pStyle w:val="16"/>
        <w:spacing w:after="100" w:afterAutospacing="1" w:line="400" w:lineRule="exact"/>
        <w:rPr>
          <w:b/>
          <w:sz w:val="28"/>
          <w:szCs w:val="28"/>
        </w:rPr>
      </w:pPr>
      <w:r>
        <w:rPr>
          <w:rFonts w:hint="eastAsia"/>
          <w:b/>
          <w:sz w:val="28"/>
          <w:szCs w:val="28"/>
        </w:rPr>
        <w:t>1）资格预审申请文件封面</w:t>
      </w:r>
    </w:p>
    <w:p>
      <w:pPr>
        <w:pStyle w:val="16"/>
        <w:spacing w:line="400" w:lineRule="exact"/>
      </w:pPr>
    </w:p>
    <w:p>
      <w:pPr>
        <w:pStyle w:val="16"/>
        <w:spacing w:line="400" w:lineRule="exact"/>
      </w:pPr>
    </w:p>
    <w:p>
      <w:pPr>
        <w:pStyle w:val="16"/>
        <w:spacing w:line="400" w:lineRule="exact"/>
      </w:pPr>
    </w:p>
    <w:p>
      <w:pPr>
        <w:pStyle w:val="16"/>
        <w:spacing w:line="400" w:lineRule="exact"/>
      </w:pPr>
    </w:p>
    <w:p>
      <w:pPr>
        <w:pStyle w:val="16"/>
        <w:spacing w:line="400" w:lineRule="exact"/>
      </w:pPr>
    </w:p>
    <w:p>
      <w:pPr>
        <w:pStyle w:val="16"/>
        <w:spacing w:line="400" w:lineRule="exact"/>
        <w:jc w:val="center"/>
        <w:outlineLvl w:val="0"/>
        <w:rPr>
          <w:rFonts w:ascii="黑体" w:eastAsia="黑体"/>
          <w:sz w:val="28"/>
          <w:szCs w:val="28"/>
        </w:rPr>
      </w:pPr>
      <w:bookmarkStart w:id="274" w:name="_Toc16225"/>
      <w:bookmarkStart w:id="275" w:name="_Toc10497"/>
      <w:r>
        <w:rPr>
          <w:rFonts w:hint="eastAsia" w:ascii="黑体" w:eastAsia="黑体"/>
          <w:sz w:val="28"/>
          <w:szCs w:val="28"/>
        </w:rPr>
        <w:t>中海油能源发展股份有限公司</w:t>
      </w:r>
      <w:bookmarkEnd w:id="274"/>
      <w:bookmarkEnd w:id="275"/>
    </w:p>
    <w:p>
      <w:pPr>
        <w:pStyle w:val="16"/>
        <w:spacing w:line="400" w:lineRule="exact"/>
        <w:jc w:val="center"/>
        <w:outlineLvl w:val="0"/>
        <w:rPr>
          <w:rFonts w:ascii="黑体" w:eastAsia="黑体"/>
          <w:sz w:val="28"/>
          <w:szCs w:val="28"/>
        </w:rPr>
      </w:pPr>
      <w:bookmarkStart w:id="276" w:name="_Toc24660"/>
      <w:bookmarkStart w:id="277" w:name="_Toc12638"/>
      <w:r>
        <w:rPr>
          <w:rFonts w:hint="eastAsia" w:ascii="黑体" w:eastAsia="黑体"/>
          <w:sz w:val="28"/>
          <w:szCs w:val="28"/>
          <w:lang w:eastAsia="zh-CN"/>
        </w:rPr>
        <w:t>工程技术公司永磁系列潜油电机等物资采购专有协议--标段六</w:t>
      </w:r>
      <w:r>
        <w:rPr>
          <w:rFonts w:hint="eastAsia" w:ascii="黑体" w:eastAsia="黑体"/>
          <w:sz w:val="28"/>
          <w:szCs w:val="28"/>
        </w:rPr>
        <w:t xml:space="preserve"> </w:t>
      </w:r>
    </w:p>
    <w:p>
      <w:pPr>
        <w:pStyle w:val="16"/>
        <w:spacing w:line="400" w:lineRule="exact"/>
        <w:jc w:val="center"/>
        <w:outlineLvl w:val="0"/>
        <w:rPr>
          <w:rFonts w:ascii="黑体" w:eastAsia="黑体"/>
          <w:sz w:val="28"/>
          <w:szCs w:val="28"/>
        </w:rPr>
      </w:pPr>
      <w:r>
        <w:rPr>
          <w:rFonts w:hint="eastAsia" w:ascii="黑体" w:eastAsia="黑体"/>
          <w:sz w:val="28"/>
          <w:szCs w:val="28"/>
        </w:rPr>
        <w:t>供应商</w:t>
      </w:r>
      <w:bookmarkEnd w:id="276"/>
      <w:bookmarkEnd w:id="277"/>
      <w:bookmarkStart w:id="278" w:name="_Toc1251"/>
      <w:bookmarkStart w:id="279" w:name="_Toc12778"/>
      <w:r>
        <w:rPr>
          <w:rFonts w:hint="eastAsia" w:ascii="黑体" w:eastAsia="黑体"/>
          <w:sz w:val="28"/>
          <w:szCs w:val="28"/>
        </w:rPr>
        <w:t>资格审查项目</w:t>
      </w:r>
      <w:bookmarkEnd w:id="278"/>
      <w:bookmarkEnd w:id="279"/>
    </w:p>
    <w:p>
      <w:pPr>
        <w:pStyle w:val="16"/>
        <w:jc w:val="center"/>
        <w:rPr>
          <w:sz w:val="28"/>
          <w:szCs w:val="28"/>
        </w:rPr>
      </w:pPr>
    </w:p>
    <w:p>
      <w:pPr>
        <w:pStyle w:val="16"/>
        <w:jc w:val="center"/>
        <w:rPr>
          <w:sz w:val="28"/>
          <w:szCs w:val="28"/>
        </w:rPr>
      </w:pPr>
    </w:p>
    <w:p>
      <w:pPr>
        <w:pStyle w:val="16"/>
        <w:jc w:val="center"/>
        <w:outlineLvl w:val="1"/>
        <w:rPr>
          <w:rFonts w:ascii="黑体" w:eastAsia="黑体"/>
          <w:sz w:val="44"/>
          <w:szCs w:val="44"/>
        </w:rPr>
      </w:pPr>
      <w:r>
        <w:rPr>
          <w:rFonts w:hint="eastAsia" w:ascii="黑体" w:eastAsia="黑体"/>
          <w:sz w:val="44"/>
          <w:szCs w:val="44"/>
        </w:rPr>
        <w:t>资格预审申请文件</w:t>
      </w:r>
    </w:p>
    <w:p>
      <w:pPr>
        <w:pStyle w:val="16"/>
        <w:jc w:val="center"/>
        <w:outlineLvl w:val="1"/>
        <w:rPr>
          <w:rFonts w:ascii="黑体" w:eastAsia="黑体"/>
          <w:sz w:val="44"/>
          <w:szCs w:val="44"/>
        </w:rPr>
      </w:pPr>
      <w:r>
        <w:rPr>
          <w:rFonts w:hint="eastAsia" w:ascii="黑体" w:eastAsia="黑体"/>
          <w:sz w:val="44"/>
          <w:szCs w:val="44"/>
        </w:rPr>
        <w:t>采办包（中海油能源发展股份有限公司</w:t>
      </w:r>
      <w:r>
        <w:rPr>
          <w:rFonts w:hint="eastAsia" w:ascii="黑体" w:eastAsia="黑体"/>
          <w:sz w:val="44"/>
          <w:szCs w:val="44"/>
          <w:lang w:eastAsia="zh-CN"/>
        </w:rPr>
        <w:t>工程技术公司永磁系列潜油电机等物资采购专有协议--标段六</w:t>
      </w:r>
      <w:r>
        <w:rPr>
          <w:rFonts w:hint="eastAsia" w:ascii="黑体" w:eastAsia="黑体"/>
          <w:sz w:val="44"/>
          <w:szCs w:val="44"/>
        </w:rPr>
        <w:t xml:space="preserve"> ）：</w:t>
      </w:r>
    </w:p>
    <w:p>
      <w:pPr>
        <w:pStyle w:val="16"/>
        <w:spacing w:line="400" w:lineRule="exact"/>
      </w:pPr>
    </w:p>
    <w:p>
      <w:pPr>
        <w:pStyle w:val="16"/>
        <w:spacing w:line="400" w:lineRule="exact"/>
      </w:pPr>
    </w:p>
    <w:p>
      <w:pPr>
        <w:pStyle w:val="16"/>
        <w:spacing w:line="400" w:lineRule="exact"/>
        <w:jc w:val="center"/>
        <w:outlineLvl w:val="1"/>
      </w:pPr>
      <w:r>
        <w:rPr>
          <w:rFonts w:hint="eastAsia"/>
        </w:rPr>
        <w:t>资格预审编号： XXXXXXXX</w:t>
      </w:r>
    </w:p>
    <w:p>
      <w:pPr>
        <w:pStyle w:val="16"/>
        <w:spacing w:line="400" w:lineRule="exact"/>
      </w:pPr>
    </w:p>
    <w:p>
      <w:pPr>
        <w:pStyle w:val="16"/>
        <w:spacing w:line="400" w:lineRule="exact"/>
      </w:pPr>
    </w:p>
    <w:p>
      <w:pPr>
        <w:pStyle w:val="16"/>
        <w:spacing w:line="400" w:lineRule="exact"/>
      </w:pPr>
    </w:p>
    <w:p>
      <w:pPr>
        <w:pStyle w:val="16"/>
        <w:spacing w:line="400" w:lineRule="exact"/>
      </w:pPr>
    </w:p>
    <w:p>
      <w:pPr>
        <w:pStyle w:val="16"/>
        <w:spacing w:line="400" w:lineRule="exact"/>
      </w:pPr>
    </w:p>
    <w:p>
      <w:pPr>
        <w:pStyle w:val="16"/>
        <w:spacing w:line="400" w:lineRule="exact"/>
      </w:pPr>
    </w:p>
    <w:p>
      <w:pPr>
        <w:pStyle w:val="16"/>
        <w:spacing w:line="480" w:lineRule="auto"/>
        <w:ind w:firstLine="1260" w:firstLineChars="450"/>
        <w:outlineLvl w:val="1"/>
        <w:rPr>
          <w:rFonts w:ascii="黑体" w:eastAsia="黑体"/>
          <w:sz w:val="28"/>
          <w:szCs w:val="28"/>
        </w:rPr>
      </w:pPr>
      <w:r>
        <w:rPr>
          <w:rFonts w:hint="eastAsia" w:ascii="黑体" w:eastAsia="黑体"/>
          <w:sz w:val="28"/>
          <w:szCs w:val="28"/>
        </w:rPr>
        <w:t>申请人：</w:t>
      </w:r>
      <w:r>
        <w:rPr>
          <w:rFonts w:hint="eastAsia"/>
          <w:u w:val="single"/>
        </w:rPr>
        <w:t xml:space="preserve">                               </w:t>
      </w:r>
      <w:r>
        <w:rPr>
          <w:rFonts w:hint="eastAsia" w:ascii="黑体" w:eastAsia="黑体"/>
          <w:sz w:val="28"/>
          <w:szCs w:val="28"/>
        </w:rPr>
        <w:t>（盖单位章）</w:t>
      </w:r>
    </w:p>
    <w:p>
      <w:pPr>
        <w:pStyle w:val="16"/>
        <w:spacing w:line="480" w:lineRule="auto"/>
        <w:jc w:val="center"/>
        <w:outlineLvl w:val="0"/>
        <w:rPr>
          <w:rFonts w:ascii="黑体" w:eastAsia="黑体"/>
          <w:sz w:val="28"/>
          <w:szCs w:val="28"/>
        </w:rPr>
      </w:pPr>
      <w:bookmarkStart w:id="280" w:name="_Toc7437"/>
      <w:bookmarkStart w:id="281" w:name="_Toc25139"/>
      <w:r>
        <w:rPr>
          <w:rFonts w:hint="eastAsia" w:ascii="黑体" w:eastAsia="黑体"/>
          <w:sz w:val="28"/>
          <w:szCs w:val="28"/>
        </w:rPr>
        <w:t>法定代表人或其委托代理人：</w:t>
      </w:r>
      <w:r>
        <w:rPr>
          <w:rFonts w:hint="eastAsia"/>
          <w:u w:val="single"/>
        </w:rPr>
        <w:t xml:space="preserve">            </w:t>
      </w:r>
      <w:r>
        <w:rPr>
          <w:rFonts w:hint="eastAsia" w:ascii="黑体" w:eastAsia="黑体"/>
          <w:sz w:val="28"/>
          <w:szCs w:val="28"/>
        </w:rPr>
        <w:t>（签字）</w:t>
      </w:r>
      <w:bookmarkEnd w:id="280"/>
      <w:bookmarkEnd w:id="281"/>
    </w:p>
    <w:p>
      <w:pPr>
        <w:pStyle w:val="16"/>
        <w:spacing w:after="100" w:afterAutospacing="1" w:line="400" w:lineRule="exact"/>
        <w:ind w:left="420"/>
        <w:jc w:val="center"/>
        <w:outlineLvl w:val="0"/>
        <w:rPr>
          <w:rFonts w:ascii="黑体" w:eastAsia="黑体"/>
          <w:sz w:val="28"/>
          <w:szCs w:val="28"/>
        </w:rPr>
      </w:pPr>
      <w:bookmarkStart w:id="282" w:name="_Toc10300"/>
      <w:bookmarkStart w:id="283" w:name="_Toc1468"/>
      <w:r>
        <w:rPr>
          <w:rFonts w:hint="eastAsia" w:ascii="黑体" w:eastAsia="黑体"/>
          <w:sz w:val="28"/>
          <w:szCs w:val="28"/>
        </w:rPr>
        <w:t>202</w:t>
      </w:r>
      <w:r>
        <w:rPr>
          <w:rFonts w:hint="eastAsia" w:ascii="黑体" w:eastAsia="黑体"/>
          <w:sz w:val="28"/>
          <w:szCs w:val="28"/>
          <w:lang w:val="en-US" w:eastAsia="zh-CN"/>
        </w:rPr>
        <w:t>5</w:t>
      </w:r>
      <w:r>
        <w:rPr>
          <w:rFonts w:hint="eastAsia" w:ascii="黑体" w:eastAsia="黑体"/>
          <w:sz w:val="28"/>
          <w:szCs w:val="28"/>
        </w:rPr>
        <w:t>年XX月XX日</w:t>
      </w:r>
      <w:bookmarkEnd w:id="282"/>
      <w:bookmarkEnd w:id="283"/>
    </w:p>
    <w:p>
      <w:pPr>
        <w:pStyle w:val="6"/>
        <w:ind w:firstLine="0" w:firstLineChars="0"/>
        <w:rPr>
          <w:rFonts w:ascii="黑体" w:eastAsia="黑体"/>
          <w:sz w:val="18"/>
          <w:szCs w:val="18"/>
        </w:rPr>
      </w:pPr>
    </w:p>
    <w:p>
      <w:pPr>
        <w:pStyle w:val="16"/>
        <w:autoSpaceDE w:val="0"/>
        <w:autoSpaceDN w:val="0"/>
        <w:adjustRightInd w:val="0"/>
        <w:ind w:right="84" w:rightChars="40"/>
        <w:sectPr>
          <w:footerReference r:id="rId15" w:type="first"/>
          <w:pgSz w:w="11906" w:h="16838"/>
          <w:pgMar w:top="1440" w:right="1800" w:bottom="1440" w:left="1800" w:header="851" w:footer="992" w:gutter="0"/>
          <w:cols w:space="720" w:num="1"/>
          <w:titlePg/>
          <w:docGrid w:linePitch="312" w:charSpace="0"/>
        </w:sectPr>
      </w:pPr>
    </w:p>
    <w:p>
      <w:pPr>
        <w:pStyle w:val="16"/>
        <w:spacing w:after="100" w:afterAutospacing="1" w:line="400" w:lineRule="exact"/>
        <w:rPr>
          <w:b/>
          <w:sz w:val="28"/>
          <w:szCs w:val="28"/>
        </w:rPr>
      </w:pPr>
      <w:r>
        <w:rPr>
          <w:rFonts w:hint="eastAsia"/>
          <w:b/>
          <w:sz w:val="28"/>
          <w:szCs w:val="28"/>
        </w:rPr>
        <w:t>2）法人代表授权书</w:t>
      </w:r>
    </w:p>
    <w:p>
      <w:pPr>
        <w:pStyle w:val="16"/>
        <w:autoSpaceDE w:val="0"/>
        <w:autoSpaceDN w:val="0"/>
        <w:adjustRightInd w:val="0"/>
        <w:ind w:right="84" w:rightChars="40"/>
        <w:rPr>
          <w:rFonts w:ascii="黑体" w:hAnsi="黑体" w:eastAsia="黑体"/>
          <w:sz w:val="24"/>
        </w:rPr>
      </w:pPr>
    </w:p>
    <w:p>
      <w:pPr>
        <w:pStyle w:val="16"/>
        <w:spacing w:line="400" w:lineRule="exact"/>
        <w:rPr>
          <w:szCs w:val="21"/>
        </w:rPr>
      </w:pPr>
    </w:p>
    <w:p>
      <w:pPr>
        <w:pStyle w:val="16"/>
        <w:spacing w:line="400" w:lineRule="exact"/>
        <w:rPr>
          <w:szCs w:val="21"/>
        </w:rPr>
      </w:pPr>
    </w:p>
    <w:p>
      <w:pPr>
        <w:pStyle w:val="16"/>
        <w:spacing w:line="400" w:lineRule="exact"/>
        <w:jc w:val="center"/>
        <w:outlineLvl w:val="0"/>
        <w:rPr>
          <w:b/>
          <w:sz w:val="30"/>
          <w:szCs w:val="30"/>
        </w:rPr>
      </w:pPr>
      <w:r>
        <w:rPr>
          <w:rFonts w:hint="eastAsia"/>
          <w:b/>
          <w:sz w:val="30"/>
          <w:szCs w:val="30"/>
        </w:rPr>
        <w:t>法人代表授权书</w:t>
      </w:r>
    </w:p>
    <w:p>
      <w:pPr>
        <w:pStyle w:val="16"/>
        <w:spacing w:line="400" w:lineRule="exact"/>
        <w:rPr>
          <w:szCs w:val="21"/>
        </w:rPr>
      </w:pPr>
    </w:p>
    <w:p>
      <w:pPr>
        <w:pStyle w:val="16"/>
        <w:spacing w:line="400" w:lineRule="exact"/>
        <w:rPr>
          <w:szCs w:val="21"/>
        </w:rPr>
      </w:pPr>
    </w:p>
    <w:p>
      <w:pPr>
        <w:pStyle w:val="16"/>
        <w:spacing w:line="360" w:lineRule="auto"/>
        <w:ind w:right="-533" w:rightChars="-254" w:firstLine="600" w:firstLineChars="250"/>
        <w:rPr>
          <w:sz w:val="24"/>
        </w:rPr>
      </w:pPr>
      <w:r>
        <w:rPr>
          <w:rFonts w:hint="eastAsia"/>
          <w:sz w:val="24"/>
        </w:rPr>
        <w:t>本人</w:t>
      </w:r>
      <w:r>
        <w:rPr>
          <w:rFonts w:hint="eastAsia"/>
          <w:sz w:val="24"/>
          <w:u w:val="single"/>
        </w:rPr>
        <w:t xml:space="preserve">      </w:t>
      </w:r>
      <w:r>
        <w:rPr>
          <w:rFonts w:hint="eastAsia"/>
          <w:sz w:val="24"/>
        </w:rPr>
        <w:t>（姓名）系</w:t>
      </w:r>
      <w:r>
        <w:rPr>
          <w:rFonts w:hint="eastAsia"/>
          <w:sz w:val="24"/>
          <w:u w:val="single"/>
        </w:rPr>
        <w:t xml:space="preserve">              </w:t>
      </w:r>
      <w:r>
        <w:rPr>
          <w:rFonts w:hint="eastAsia"/>
          <w:sz w:val="24"/>
        </w:rPr>
        <w:t>（申请人名称）位于</w:t>
      </w:r>
      <w:r>
        <w:rPr>
          <w:rFonts w:hint="eastAsia"/>
          <w:sz w:val="24"/>
          <w:u w:val="single"/>
        </w:rPr>
        <w:t xml:space="preserve">                    </w:t>
      </w:r>
      <w:r>
        <w:rPr>
          <w:rFonts w:hint="eastAsia"/>
          <w:sz w:val="24"/>
        </w:rPr>
        <w:t xml:space="preserve">          </w:t>
      </w:r>
    </w:p>
    <w:p>
      <w:pPr>
        <w:pStyle w:val="16"/>
        <w:spacing w:line="360" w:lineRule="auto"/>
        <w:ind w:right="-533" w:rightChars="-254"/>
        <w:rPr>
          <w:sz w:val="24"/>
        </w:rPr>
      </w:pPr>
      <w:r>
        <w:rPr>
          <w:rFonts w:hint="eastAsia"/>
          <w:sz w:val="24"/>
          <w:u w:val="single"/>
        </w:rPr>
        <w:t xml:space="preserve">                     </w:t>
      </w:r>
      <w:r>
        <w:rPr>
          <w:rFonts w:hint="eastAsia"/>
          <w:sz w:val="24"/>
        </w:rPr>
        <w:t>（法定地址）的法定代表人，现委托</w:t>
      </w:r>
      <w:r>
        <w:rPr>
          <w:rFonts w:hint="eastAsia"/>
          <w:sz w:val="24"/>
          <w:u w:val="single"/>
        </w:rPr>
        <w:t xml:space="preserve">        </w:t>
      </w:r>
      <w:r>
        <w:rPr>
          <w:rFonts w:hint="eastAsia"/>
          <w:sz w:val="24"/>
        </w:rPr>
        <w:t>（姓名）为我方代理人。代理人根据授权，以我方名义签署、澄清、说明、补正、递交、撤回、修改</w:t>
      </w:r>
      <w:r>
        <w:rPr>
          <w:rFonts w:hint="eastAsia"/>
          <w:sz w:val="24"/>
          <w:u w:val="single"/>
        </w:rPr>
        <w:t>中海油能源发展股份有限公司</w:t>
      </w:r>
      <w:r>
        <w:rPr>
          <w:rFonts w:hint="eastAsia"/>
          <w:sz w:val="24"/>
          <w:u w:val="single"/>
          <w:lang w:eastAsia="zh-CN"/>
        </w:rPr>
        <w:t>工程技术公司永磁系列潜油电机等物资采购专有协议--标段六</w:t>
      </w:r>
      <w:r>
        <w:rPr>
          <w:rFonts w:hint="eastAsia"/>
          <w:sz w:val="24"/>
          <w:u w:val="single"/>
        </w:rPr>
        <w:t xml:space="preserve"> 供应商资格审查项目采办包</w:t>
      </w:r>
      <w:r>
        <w:rPr>
          <w:rFonts w:hint="eastAsia"/>
          <w:sz w:val="24"/>
        </w:rPr>
        <w:t>投标文件、签订合同和处理有关事宜，其法律后果由我方承担。</w:t>
      </w:r>
    </w:p>
    <w:p>
      <w:pPr>
        <w:pStyle w:val="16"/>
        <w:spacing w:line="360" w:lineRule="auto"/>
        <w:ind w:right="-533" w:rightChars="-254"/>
        <w:rPr>
          <w:sz w:val="24"/>
        </w:rPr>
      </w:pPr>
      <w:r>
        <w:rPr>
          <w:rFonts w:hint="eastAsia"/>
          <w:sz w:val="24"/>
        </w:rPr>
        <w:t>委托期限：</w:t>
      </w:r>
      <w:r>
        <w:rPr>
          <w:rFonts w:hint="eastAsia"/>
          <w:sz w:val="24"/>
          <w:u w:val="single"/>
        </w:rPr>
        <w:t xml:space="preserve">                                </w:t>
      </w:r>
    </w:p>
    <w:p>
      <w:pPr>
        <w:pStyle w:val="16"/>
        <w:spacing w:line="360" w:lineRule="auto"/>
        <w:ind w:right="-533" w:rightChars="-254"/>
        <w:rPr>
          <w:sz w:val="24"/>
        </w:rPr>
      </w:pPr>
      <w:r>
        <w:rPr>
          <w:rFonts w:hint="eastAsia"/>
          <w:sz w:val="24"/>
        </w:rPr>
        <w:t>代理人无转委托权。</w:t>
      </w:r>
    </w:p>
    <w:p>
      <w:pPr>
        <w:pStyle w:val="16"/>
        <w:spacing w:line="360" w:lineRule="auto"/>
        <w:ind w:right="-533" w:rightChars="-254"/>
        <w:rPr>
          <w:sz w:val="24"/>
        </w:rPr>
      </w:pPr>
      <w:r>
        <w:rPr>
          <w:rFonts w:hint="eastAsia"/>
          <w:sz w:val="24"/>
        </w:rPr>
        <w:t>附：法定代表人身份证明</w:t>
      </w:r>
    </w:p>
    <w:p>
      <w:pPr>
        <w:pStyle w:val="16"/>
        <w:spacing w:line="360" w:lineRule="auto"/>
        <w:ind w:right="-533" w:rightChars="-254"/>
        <w:rPr>
          <w:sz w:val="24"/>
        </w:rPr>
      </w:pPr>
    </w:p>
    <w:p>
      <w:pPr>
        <w:pStyle w:val="16"/>
        <w:spacing w:line="360" w:lineRule="auto"/>
        <w:ind w:right="-533" w:rightChars="-254"/>
        <w:rPr>
          <w:sz w:val="24"/>
        </w:rPr>
      </w:pPr>
    </w:p>
    <w:p>
      <w:pPr>
        <w:pStyle w:val="16"/>
        <w:spacing w:line="360" w:lineRule="auto"/>
        <w:ind w:right="-533" w:rightChars="-254"/>
        <w:rPr>
          <w:sz w:val="24"/>
        </w:rPr>
      </w:pPr>
    </w:p>
    <w:p>
      <w:pPr>
        <w:pStyle w:val="16"/>
        <w:spacing w:line="360" w:lineRule="auto"/>
        <w:ind w:right="-533" w:rightChars="-254" w:firstLine="2520" w:firstLineChars="1050"/>
        <w:rPr>
          <w:sz w:val="24"/>
        </w:rPr>
      </w:pPr>
      <w:r>
        <w:rPr>
          <w:rFonts w:hint="eastAsia"/>
          <w:sz w:val="24"/>
        </w:rPr>
        <w:t xml:space="preserve">申请人： </w:t>
      </w:r>
      <w:r>
        <w:rPr>
          <w:rFonts w:hint="eastAsia"/>
          <w:sz w:val="24"/>
          <w:u w:val="single"/>
        </w:rPr>
        <w:t xml:space="preserve">                         </w:t>
      </w:r>
      <w:r>
        <w:rPr>
          <w:rFonts w:hint="eastAsia"/>
          <w:sz w:val="24"/>
        </w:rPr>
        <w:t>（盖单位章）</w:t>
      </w:r>
    </w:p>
    <w:p>
      <w:pPr>
        <w:pStyle w:val="16"/>
        <w:spacing w:line="360" w:lineRule="auto"/>
        <w:ind w:right="-533" w:rightChars="-254"/>
        <w:rPr>
          <w:sz w:val="24"/>
        </w:rPr>
      </w:pPr>
    </w:p>
    <w:p>
      <w:pPr>
        <w:pStyle w:val="16"/>
        <w:spacing w:line="360" w:lineRule="auto"/>
        <w:ind w:right="-533" w:rightChars="-254" w:firstLine="2520" w:firstLineChars="1050"/>
        <w:rPr>
          <w:sz w:val="24"/>
        </w:rPr>
      </w:pPr>
      <w:r>
        <w:rPr>
          <w:rFonts w:hint="eastAsia"/>
          <w:sz w:val="24"/>
        </w:rPr>
        <w:t>法定代表人：</w:t>
      </w:r>
      <w:r>
        <w:rPr>
          <w:rFonts w:hint="eastAsia"/>
          <w:sz w:val="24"/>
          <w:u w:val="single"/>
        </w:rPr>
        <w:t xml:space="preserve">                          </w:t>
      </w:r>
      <w:r>
        <w:rPr>
          <w:rFonts w:hint="eastAsia"/>
          <w:sz w:val="24"/>
        </w:rPr>
        <w:t>（签字）</w:t>
      </w:r>
    </w:p>
    <w:p>
      <w:pPr>
        <w:pStyle w:val="16"/>
        <w:spacing w:line="360" w:lineRule="auto"/>
        <w:ind w:right="-533" w:rightChars="-254"/>
        <w:rPr>
          <w:sz w:val="24"/>
        </w:rPr>
      </w:pPr>
    </w:p>
    <w:p>
      <w:pPr>
        <w:pStyle w:val="16"/>
        <w:spacing w:line="360" w:lineRule="auto"/>
        <w:ind w:right="-533" w:rightChars="-254" w:firstLine="2520" w:firstLineChars="1050"/>
        <w:rPr>
          <w:sz w:val="24"/>
        </w:rPr>
      </w:pPr>
      <w:r>
        <w:rPr>
          <w:rFonts w:hint="eastAsia"/>
          <w:sz w:val="24"/>
        </w:rPr>
        <w:t>身份证号码：</w:t>
      </w:r>
      <w:r>
        <w:rPr>
          <w:rFonts w:hint="eastAsia"/>
          <w:sz w:val="24"/>
          <w:u w:val="single"/>
        </w:rPr>
        <w:t xml:space="preserve">                             </w:t>
      </w:r>
      <w:r>
        <w:rPr>
          <w:rFonts w:hint="eastAsia"/>
          <w:sz w:val="24"/>
        </w:rPr>
        <w:t xml:space="preserve">   </w:t>
      </w:r>
    </w:p>
    <w:p>
      <w:pPr>
        <w:pStyle w:val="16"/>
        <w:spacing w:line="360" w:lineRule="auto"/>
        <w:ind w:right="-533" w:rightChars="-254"/>
        <w:rPr>
          <w:sz w:val="24"/>
        </w:rPr>
      </w:pPr>
    </w:p>
    <w:p>
      <w:pPr>
        <w:pStyle w:val="16"/>
        <w:spacing w:line="360" w:lineRule="auto"/>
        <w:ind w:right="-533" w:rightChars="-254" w:firstLine="2520" w:firstLineChars="1050"/>
        <w:rPr>
          <w:sz w:val="24"/>
        </w:rPr>
      </w:pPr>
      <w:r>
        <w:rPr>
          <w:rFonts w:hint="eastAsia"/>
          <w:sz w:val="24"/>
        </w:rPr>
        <w:t>委托代理人：</w:t>
      </w:r>
      <w:r>
        <w:rPr>
          <w:rFonts w:hint="eastAsia"/>
          <w:sz w:val="24"/>
          <w:u w:val="single"/>
        </w:rPr>
        <w:t xml:space="preserve">                          </w:t>
      </w:r>
      <w:r>
        <w:rPr>
          <w:rFonts w:hint="eastAsia"/>
          <w:sz w:val="24"/>
        </w:rPr>
        <w:t>（签字）</w:t>
      </w:r>
    </w:p>
    <w:p>
      <w:pPr>
        <w:pStyle w:val="16"/>
        <w:spacing w:line="360" w:lineRule="auto"/>
        <w:ind w:right="-533" w:rightChars="-254"/>
        <w:rPr>
          <w:sz w:val="24"/>
        </w:rPr>
      </w:pPr>
    </w:p>
    <w:p>
      <w:pPr>
        <w:pStyle w:val="16"/>
        <w:spacing w:line="360" w:lineRule="auto"/>
        <w:ind w:right="-533" w:rightChars="-254" w:firstLine="2520" w:firstLineChars="1050"/>
        <w:rPr>
          <w:sz w:val="24"/>
        </w:rPr>
      </w:pPr>
      <w:r>
        <w:rPr>
          <w:rFonts w:hint="eastAsia"/>
          <w:sz w:val="24"/>
        </w:rPr>
        <w:t>身份证号码：</w:t>
      </w:r>
      <w:r>
        <w:rPr>
          <w:rFonts w:hint="eastAsia"/>
          <w:sz w:val="24"/>
          <w:u w:val="single"/>
        </w:rPr>
        <w:t xml:space="preserve">                                </w:t>
      </w:r>
    </w:p>
    <w:p>
      <w:pPr>
        <w:pStyle w:val="16"/>
        <w:spacing w:line="360" w:lineRule="auto"/>
        <w:ind w:right="-533" w:rightChars="-254"/>
        <w:rPr>
          <w:sz w:val="24"/>
        </w:rPr>
      </w:pPr>
    </w:p>
    <w:p>
      <w:pPr>
        <w:pStyle w:val="16"/>
        <w:spacing w:line="360" w:lineRule="auto"/>
        <w:ind w:right="-533" w:rightChars="-254" w:firstLine="2520" w:firstLineChars="1050"/>
        <w:rPr>
          <w:sz w:val="24"/>
        </w:rPr>
      </w:pPr>
      <w:r>
        <w:rPr>
          <w:rFonts w:hint="eastAsia"/>
          <w:sz w:val="24"/>
        </w:rPr>
        <w:t xml:space="preserve">日期： </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p>
      <w:pPr>
        <w:pStyle w:val="16"/>
        <w:autoSpaceDE w:val="0"/>
        <w:autoSpaceDN w:val="0"/>
        <w:adjustRightInd w:val="0"/>
        <w:spacing w:line="360" w:lineRule="auto"/>
        <w:rPr>
          <w:rFonts w:ascii="宋体" w:hAnsi="宋体"/>
          <w:b/>
          <w:bCs/>
          <w:sz w:val="32"/>
          <w:szCs w:val="32"/>
          <w:lang w:val="zh-CN"/>
        </w:rPr>
        <w:sectPr>
          <w:footerReference r:id="rId16" w:type="first"/>
          <w:pgSz w:w="11906" w:h="16838"/>
          <w:pgMar w:top="1440" w:right="1800" w:bottom="1440" w:left="1800" w:header="851" w:footer="992" w:gutter="0"/>
          <w:cols w:space="720" w:num="1"/>
          <w:titlePg/>
          <w:docGrid w:linePitch="312" w:charSpace="0"/>
        </w:sectPr>
      </w:pPr>
    </w:p>
    <w:p>
      <w:pPr>
        <w:pStyle w:val="16"/>
        <w:spacing w:after="100" w:afterAutospacing="1" w:line="400" w:lineRule="exact"/>
        <w:rPr>
          <w:b/>
          <w:sz w:val="28"/>
          <w:szCs w:val="28"/>
        </w:rPr>
      </w:pPr>
      <w:r>
        <w:rPr>
          <w:rFonts w:hint="eastAsia"/>
          <w:b/>
          <w:sz w:val="28"/>
          <w:szCs w:val="28"/>
        </w:rPr>
        <w:t>3）法定代表人身份证明</w:t>
      </w:r>
    </w:p>
    <w:p>
      <w:pPr>
        <w:pStyle w:val="16"/>
        <w:spacing w:line="400" w:lineRule="exact"/>
        <w:jc w:val="center"/>
        <w:rPr>
          <w:b/>
          <w:sz w:val="30"/>
          <w:szCs w:val="30"/>
        </w:rPr>
      </w:pPr>
    </w:p>
    <w:p>
      <w:pPr>
        <w:pStyle w:val="16"/>
        <w:spacing w:line="400" w:lineRule="exact"/>
        <w:jc w:val="center"/>
        <w:outlineLvl w:val="0"/>
        <w:rPr>
          <w:b/>
          <w:sz w:val="30"/>
          <w:szCs w:val="30"/>
        </w:rPr>
      </w:pPr>
      <w:bookmarkStart w:id="284" w:name="_Toc10265"/>
      <w:bookmarkStart w:id="285" w:name="_Toc21346"/>
      <w:r>
        <w:rPr>
          <w:rFonts w:hint="eastAsia"/>
          <w:b/>
          <w:sz w:val="30"/>
          <w:szCs w:val="30"/>
        </w:rPr>
        <w:t>四、法定代表人身份证明</w:t>
      </w:r>
      <w:bookmarkEnd w:id="284"/>
      <w:bookmarkEnd w:id="285"/>
    </w:p>
    <w:p>
      <w:pPr>
        <w:pStyle w:val="16"/>
        <w:spacing w:line="400" w:lineRule="exact"/>
        <w:jc w:val="center"/>
        <w:rPr>
          <w:b/>
          <w:sz w:val="30"/>
          <w:szCs w:val="30"/>
        </w:rPr>
      </w:pPr>
    </w:p>
    <w:p>
      <w:pPr>
        <w:pStyle w:val="16"/>
        <w:topLinePunct/>
        <w:spacing w:line="600" w:lineRule="exact"/>
        <w:rPr>
          <w:bCs/>
          <w:sz w:val="24"/>
          <w:u w:val="single"/>
        </w:rPr>
      </w:pPr>
      <w:r>
        <w:rPr>
          <w:bCs/>
          <w:sz w:val="24"/>
        </w:rPr>
        <w:t>申请人名称：</w:t>
      </w:r>
      <w:r>
        <w:rPr>
          <w:bCs/>
          <w:sz w:val="24"/>
          <w:u w:val="single"/>
        </w:rPr>
        <w:t xml:space="preserve">                         </w:t>
      </w:r>
    </w:p>
    <w:p>
      <w:pPr>
        <w:pStyle w:val="16"/>
        <w:topLinePunct/>
        <w:spacing w:line="600" w:lineRule="exact"/>
        <w:rPr>
          <w:bCs/>
          <w:sz w:val="24"/>
        </w:rPr>
      </w:pPr>
      <w:r>
        <w:rPr>
          <w:bCs/>
          <w:sz w:val="24"/>
        </w:rPr>
        <w:t>单位性质：</w:t>
      </w:r>
      <w:r>
        <w:rPr>
          <w:bCs/>
          <w:sz w:val="24"/>
          <w:u w:val="single"/>
        </w:rPr>
        <w:t xml:space="preserve">                           </w:t>
      </w:r>
    </w:p>
    <w:p>
      <w:pPr>
        <w:pStyle w:val="16"/>
        <w:topLinePunct/>
        <w:spacing w:line="600" w:lineRule="exact"/>
        <w:rPr>
          <w:bCs/>
          <w:sz w:val="24"/>
        </w:rPr>
      </w:pPr>
      <w:r>
        <w:rPr>
          <w:bCs/>
          <w:sz w:val="24"/>
        </w:rPr>
        <w:t>成立时间：</w:t>
      </w:r>
      <w:r>
        <w:rPr>
          <w:bCs/>
          <w:sz w:val="24"/>
          <w:u w:val="single"/>
        </w:rPr>
        <w:t xml:space="preserve">       </w:t>
      </w:r>
      <w:r>
        <w:rPr>
          <w:bCs/>
          <w:sz w:val="24"/>
        </w:rPr>
        <w:t>年</w:t>
      </w:r>
      <w:r>
        <w:rPr>
          <w:bCs/>
          <w:sz w:val="24"/>
          <w:u w:val="single"/>
        </w:rPr>
        <w:t xml:space="preserve">       </w:t>
      </w:r>
      <w:r>
        <w:rPr>
          <w:bCs/>
          <w:sz w:val="24"/>
        </w:rPr>
        <w:t>月</w:t>
      </w:r>
      <w:r>
        <w:rPr>
          <w:bCs/>
          <w:sz w:val="24"/>
          <w:u w:val="single"/>
        </w:rPr>
        <w:t xml:space="preserve">       </w:t>
      </w:r>
      <w:r>
        <w:rPr>
          <w:bCs/>
          <w:sz w:val="24"/>
        </w:rPr>
        <w:t>日</w:t>
      </w:r>
    </w:p>
    <w:p>
      <w:pPr>
        <w:pStyle w:val="16"/>
        <w:topLinePunct/>
        <w:spacing w:line="600" w:lineRule="exact"/>
        <w:rPr>
          <w:bCs/>
          <w:sz w:val="24"/>
        </w:rPr>
      </w:pPr>
      <w:r>
        <w:rPr>
          <w:bCs/>
          <w:sz w:val="24"/>
        </w:rPr>
        <w:t>经营期限：</w:t>
      </w:r>
      <w:r>
        <w:rPr>
          <w:bCs/>
          <w:sz w:val="24"/>
          <w:u w:val="single"/>
        </w:rPr>
        <w:t xml:space="preserve">            </w:t>
      </w:r>
    </w:p>
    <w:p>
      <w:pPr>
        <w:pStyle w:val="16"/>
        <w:topLinePunct/>
        <w:spacing w:line="600" w:lineRule="exact"/>
        <w:rPr>
          <w:bCs/>
          <w:sz w:val="24"/>
          <w:u w:val="single"/>
        </w:rPr>
      </w:pPr>
      <w:r>
        <w:rPr>
          <w:bCs/>
          <w:sz w:val="24"/>
        </w:rPr>
        <w:t>姓名：</w:t>
      </w:r>
      <w:r>
        <w:rPr>
          <w:bCs/>
          <w:sz w:val="24"/>
          <w:u w:val="single"/>
        </w:rPr>
        <w:t xml:space="preserve">         </w:t>
      </w:r>
      <w:r>
        <w:rPr>
          <w:bCs/>
          <w:sz w:val="24"/>
        </w:rPr>
        <w:t>性别：</w:t>
      </w:r>
      <w:r>
        <w:rPr>
          <w:bCs/>
          <w:sz w:val="24"/>
          <w:u w:val="single"/>
        </w:rPr>
        <w:t xml:space="preserve">          </w:t>
      </w:r>
      <w:r>
        <w:rPr>
          <w:bCs/>
          <w:sz w:val="24"/>
        </w:rPr>
        <w:t>年龄：</w:t>
      </w:r>
      <w:r>
        <w:rPr>
          <w:bCs/>
          <w:sz w:val="24"/>
          <w:u w:val="single"/>
        </w:rPr>
        <w:t xml:space="preserve">        </w:t>
      </w:r>
      <w:r>
        <w:rPr>
          <w:rFonts w:hint="eastAsia"/>
          <w:bCs/>
          <w:sz w:val="24"/>
          <w:u w:val="single"/>
        </w:rPr>
        <w:t xml:space="preserve"> </w:t>
      </w:r>
      <w:r>
        <w:rPr>
          <w:bCs/>
          <w:sz w:val="24"/>
        </w:rPr>
        <w:t>职务：</w:t>
      </w:r>
      <w:r>
        <w:rPr>
          <w:bCs/>
          <w:sz w:val="24"/>
          <w:u w:val="single"/>
        </w:rPr>
        <w:t xml:space="preserve">        </w:t>
      </w:r>
      <w:r>
        <w:rPr>
          <w:rFonts w:hint="eastAsia"/>
          <w:bCs/>
          <w:sz w:val="24"/>
          <w:u w:val="single"/>
        </w:rPr>
        <w:t xml:space="preserve"> </w:t>
      </w:r>
    </w:p>
    <w:p>
      <w:pPr>
        <w:pStyle w:val="16"/>
        <w:topLinePunct/>
        <w:spacing w:line="600" w:lineRule="exact"/>
        <w:rPr>
          <w:bCs/>
          <w:sz w:val="24"/>
        </w:rPr>
      </w:pPr>
      <w:r>
        <w:rPr>
          <w:bCs/>
          <w:sz w:val="24"/>
        </w:rPr>
        <w:t>系</w:t>
      </w:r>
      <w:r>
        <w:rPr>
          <w:bCs/>
          <w:sz w:val="24"/>
          <w:u w:val="single"/>
        </w:rPr>
        <w:t xml:space="preserve">                   </w:t>
      </w:r>
      <w:r>
        <w:rPr>
          <w:rFonts w:hint="eastAsia"/>
          <w:bCs/>
          <w:sz w:val="24"/>
        </w:rPr>
        <w:t>（</w:t>
      </w:r>
      <w:r>
        <w:rPr>
          <w:bCs/>
          <w:sz w:val="24"/>
        </w:rPr>
        <w:t>申请人名称</w:t>
      </w:r>
      <w:r>
        <w:rPr>
          <w:rFonts w:hint="eastAsia"/>
          <w:bCs/>
          <w:sz w:val="24"/>
        </w:rPr>
        <w:t>）</w:t>
      </w:r>
      <w:r>
        <w:rPr>
          <w:bCs/>
          <w:sz w:val="24"/>
        </w:rPr>
        <w:t>的法定代表人。</w:t>
      </w:r>
    </w:p>
    <w:p>
      <w:pPr>
        <w:pStyle w:val="16"/>
        <w:topLinePunct/>
        <w:spacing w:line="600" w:lineRule="exact"/>
        <w:ind w:firstLine="480" w:firstLineChars="200"/>
        <w:rPr>
          <w:bCs/>
          <w:sz w:val="24"/>
        </w:rPr>
      </w:pPr>
      <w:r>
        <w:rPr>
          <w:bCs/>
          <w:sz w:val="24"/>
        </w:rPr>
        <w:t>特此证明。</w:t>
      </w:r>
    </w:p>
    <w:p>
      <w:pPr>
        <w:pStyle w:val="16"/>
        <w:topLinePunct/>
        <w:spacing w:line="440" w:lineRule="exact"/>
        <w:rPr>
          <w:bCs/>
          <w:sz w:val="24"/>
        </w:rPr>
      </w:pPr>
    </w:p>
    <w:p>
      <w:pPr>
        <w:pStyle w:val="16"/>
        <w:topLinePunct/>
        <w:spacing w:line="440" w:lineRule="exact"/>
        <w:rPr>
          <w:bCs/>
          <w:sz w:val="24"/>
        </w:rPr>
      </w:pPr>
    </w:p>
    <w:p>
      <w:pPr>
        <w:pStyle w:val="16"/>
        <w:topLinePunct/>
        <w:spacing w:line="440" w:lineRule="exact"/>
        <w:rPr>
          <w:bCs/>
          <w:sz w:val="24"/>
        </w:rPr>
      </w:pPr>
      <w:r>
        <w:rPr>
          <w:bCs/>
          <w:sz w:val="24"/>
        </w:rPr>
        <w:t xml:space="preserve">                             申请人：</w:t>
      </w:r>
      <w:r>
        <w:rPr>
          <w:bCs/>
          <w:sz w:val="24"/>
          <w:u w:val="single"/>
        </w:rPr>
        <w:t xml:space="preserve">           </w:t>
      </w:r>
      <w:r>
        <w:rPr>
          <w:bCs/>
          <w:sz w:val="24"/>
        </w:rPr>
        <w:t>（盖单位章）</w:t>
      </w:r>
    </w:p>
    <w:p>
      <w:pPr>
        <w:pStyle w:val="16"/>
        <w:topLinePunct/>
        <w:spacing w:line="440" w:lineRule="exact"/>
        <w:rPr>
          <w:bCs/>
          <w:sz w:val="24"/>
        </w:rPr>
      </w:pPr>
      <w:r>
        <w:rPr>
          <w:bCs/>
          <w:sz w:val="24"/>
        </w:rPr>
        <w:t xml:space="preserve">                             </w:t>
      </w:r>
    </w:p>
    <w:p>
      <w:pPr>
        <w:pStyle w:val="16"/>
        <w:topLinePunct/>
        <w:spacing w:line="440" w:lineRule="exact"/>
        <w:ind w:firstLine="3480" w:firstLineChars="1450"/>
        <w:rPr>
          <w:bCs/>
          <w:sz w:val="24"/>
        </w:rPr>
      </w:pPr>
      <w:r>
        <w:rPr>
          <w:rFonts w:hint="eastAsia"/>
          <w:bCs/>
          <w:sz w:val="24"/>
        </w:rPr>
        <w:t>日期：</w:t>
      </w:r>
      <w:r>
        <w:rPr>
          <w:bCs/>
          <w:sz w:val="24"/>
          <w:u w:val="single"/>
        </w:rPr>
        <w:t xml:space="preserve">        </w:t>
      </w:r>
      <w:r>
        <w:rPr>
          <w:bCs/>
          <w:sz w:val="24"/>
        </w:rPr>
        <w:t>年</w:t>
      </w:r>
      <w:r>
        <w:rPr>
          <w:bCs/>
          <w:sz w:val="24"/>
          <w:u w:val="single"/>
        </w:rPr>
        <w:t xml:space="preserve">        </w:t>
      </w:r>
      <w:r>
        <w:rPr>
          <w:bCs/>
          <w:sz w:val="24"/>
        </w:rPr>
        <w:t>月</w:t>
      </w:r>
      <w:r>
        <w:rPr>
          <w:bCs/>
          <w:sz w:val="24"/>
          <w:u w:val="single"/>
        </w:rPr>
        <w:t xml:space="preserve">        </w:t>
      </w:r>
      <w:r>
        <w:rPr>
          <w:bCs/>
          <w:sz w:val="24"/>
        </w:rPr>
        <w:t>日</w:t>
      </w:r>
    </w:p>
    <w:p>
      <w:pPr>
        <w:pStyle w:val="16"/>
        <w:spacing w:after="100" w:afterAutospacing="1" w:line="400" w:lineRule="exact"/>
        <w:rPr>
          <w:rFonts w:ascii="宋体" w:hAnsi="宋体"/>
          <w:b/>
          <w:sz w:val="28"/>
          <w:szCs w:val="28"/>
        </w:rPr>
      </w:pPr>
      <w:r>
        <w:rPr>
          <w:b/>
        </w:rPr>
        <w:br w:type="page"/>
      </w:r>
      <w:r>
        <w:rPr>
          <w:rFonts w:hint="eastAsia"/>
          <w:b/>
        </w:rPr>
        <w:t>4</w:t>
      </w:r>
      <w:r>
        <w:rPr>
          <w:rFonts w:hint="eastAsia"/>
          <w:b/>
          <w:sz w:val="28"/>
          <w:szCs w:val="28"/>
        </w:rPr>
        <w:t>）营业执照</w:t>
      </w:r>
    </w:p>
    <w:p>
      <w:pPr>
        <w:pStyle w:val="16"/>
        <w:autoSpaceDE w:val="0"/>
        <w:autoSpaceDN w:val="0"/>
        <w:adjustRightInd w:val="0"/>
        <w:spacing w:line="360" w:lineRule="auto"/>
        <w:ind w:right="84" w:rightChars="40"/>
        <w:rPr>
          <w:rFonts w:ascii="宋体" w:hAnsi="宋体"/>
          <w:b/>
          <w:szCs w:val="20"/>
        </w:rPr>
      </w:pPr>
      <w:r>
        <w:rPr>
          <w:rFonts w:hint="eastAsia" w:ascii="宋体" w:hAnsi="宋体"/>
          <w:b/>
          <w:szCs w:val="20"/>
        </w:rPr>
        <w:t>（此附件提供</w:t>
      </w:r>
      <w:r>
        <w:rPr>
          <w:rFonts w:ascii="宋体" w:hAnsi="宋体"/>
          <w:b/>
          <w:szCs w:val="20"/>
        </w:rPr>
        <w:t>营业执照复印件,加盖公章）</w:t>
      </w:r>
    </w:p>
    <w:p>
      <w:pPr>
        <w:pStyle w:val="31"/>
        <w:tabs>
          <w:tab w:val="left" w:pos="142"/>
        </w:tabs>
        <w:adjustRightInd w:val="0"/>
        <w:snapToGrid w:val="0"/>
        <w:spacing w:line="276" w:lineRule="auto"/>
        <w:ind w:right="10"/>
        <w:outlineLvl w:val="0"/>
        <w:rPr>
          <w:rFonts w:ascii="宋体" w:hAnsi="宋体" w:cs="宋体"/>
          <w:b/>
          <w:sz w:val="24"/>
          <w:szCs w:val="24"/>
          <w:lang w:eastAsia="zh-CN"/>
        </w:rPr>
      </w:pPr>
      <w:r>
        <w:rPr>
          <w:rFonts w:ascii="宋体" w:hAnsi="宋体"/>
          <w:b/>
          <w:szCs w:val="20"/>
          <w:lang w:eastAsia="zh-CN"/>
        </w:rPr>
        <w:br w:type="page"/>
      </w:r>
      <w:bookmarkStart w:id="286" w:name="_Toc16801"/>
      <w:bookmarkStart w:id="287" w:name="_Toc28345"/>
      <w:r>
        <w:rPr>
          <w:rFonts w:hint="eastAsia"/>
          <w:b/>
          <w:sz w:val="28"/>
          <w:szCs w:val="28"/>
          <w:lang w:eastAsia="zh-CN"/>
        </w:rPr>
        <w:t>5）承诺书</w:t>
      </w:r>
      <w:bookmarkEnd w:id="286"/>
      <w:bookmarkEnd w:id="287"/>
    </w:p>
    <w:p>
      <w:pPr>
        <w:pStyle w:val="16"/>
        <w:jc w:val="center"/>
        <w:outlineLvl w:val="0"/>
        <w:rPr>
          <w:rFonts w:ascii="宋体" w:hAnsi="宋体" w:cs="宋体"/>
          <w:b/>
          <w:sz w:val="24"/>
        </w:rPr>
      </w:pPr>
      <w:bookmarkStart w:id="288" w:name="_Toc2272"/>
      <w:bookmarkStart w:id="289" w:name="_Toc12671"/>
      <w:r>
        <w:rPr>
          <w:rFonts w:hint="eastAsia" w:ascii="宋体" w:hAnsi="宋体" w:cs="宋体"/>
          <w:b/>
          <w:sz w:val="24"/>
        </w:rPr>
        <w:t>供应商承诺书</w:t>
      </w:r>
      <w:bookmarkEnd w:id="288"/>
      <w:bookmarkEnd w:id="289"/>
    </w:p>
    <w:p>
      <w:pPr>
        <w:pStyle w:val="16"/>
        <w:jc w:val="center"/>
        <w:rPr>
          <w:rFonts w:ascii="宋体" w:hAnsi="宋体" w:cs="宋体"/>
          <w:b/>
          <w:sz w:val="24"/>
        </w:rPr>
      </w:pPr>
    </w:p>
    <w:p>
      <w:pPr>
        <w:pStyle w:val="16"/>
        <w:rPr>
          <w:rFonts w:ascii="宋体" w:hAnsi="宋体" w:cs="宋体"/>
          <w:sz w:val="24"/>
        </w:rPr>
      </w:pPr>
    </w:p>
    <w:p>
      <w:pPr>
        <w:keepNext w:val="0"/>
        <w:keepLines w:val="0"/>
        <w:widowControl/>
        <w:suppressLineNumbers w:val="0"/>
        <w:spacing w:before="0" w:beforeAutospacing="0" w:after="0" w:afterAutospacing="0"/>
        <w:ind w:left="0" w:right="0"/>
        <w:jc w:val="both"/>
        <w:rPr>
          <w:rFonts w:hint="eastAsia" w:ascii="宋体" w:hAnsi="宋体" w:eastAsia="宋体" w:cs="宋体"/>
          <w:b/>
          <w:kern w:val="2"/>
          <w:sz w:val="21"/>
          <w:szCs w:val="21"/>
          <w:lang w:eastAsia="zh-CN"/>
        </w:rPr>
      </w:pPr>
      <w:r>
        <w:rPr>
          <w:rFonts w:ascii="Calibri" w:hAnsi="Calibri" w:eastAsia="宋体" w:cs="Times New Roman"/>
          <w:kern w:val="2"/>
          <w:sz w:val="21"/>
          <w:szCs w:val="21"/>
          <w:lang w:eastAsia="zh-CN" w:bidi="ar"/>
        </w:rPr>
        <w:t xml:space="preserve"> </w:t>
      </w:r>
      <w:r>
        <w:rPr>
          <w:rFonts w:hint="eastAsia" w:ascii="宋体" w:hAnsi="宋体" w:eastAsia="宋体" w:cs="宋体"/>
          <w:b/>
          <w:color w:val="000000"/>
          <w:kern w:val="2"/>
          <w:sz w:val="21"/>
          <w:szCs w:val="21"/>
          <w:lang w:eastAsia="zh-CN" w:bidi="ar"/>
        </w:rPr>
        <w:t>中海油能源发展股份有限公司：</w:t>
      </w:r>
    </w:p>
    <w:p>
      <w:pPr>
        <w:keepNext w:val="0"/>
        <w:keepLines w:val="0"/>
        <w:widowControl/>
        <w:suppressLineNumbers w:val="0"/>
        <w:spacing w:before="0" w:beforeAutospacing="0" w:after="0" w:afterAutospacing="0" w:line="360" w:lineRule="auto"/>
        <w:ind w:left="0" w:right="0" w:firstLine="420"/>
        <w:jc w:val="both"/>
        <w:rPr>
          <w:rFonts w:hint="eastAsia" w:ascii="宋体" w:hAnsi="宋体" w:eastAsia="宋体" w:cs="宋体"/>
          <w:kern w:val="2"/>
          <w:sz w:val="21"/>
          <w:szCs w:val="21"/>
          <w:lang w:eastAsia="zh-CN"/>
        </w:rPr>
      </w:pPr>
      <w:r>
        <w:rPr>
          <w:rFonts w:hint="eastAsia" w:ascii="宋体" w:hAnsi="宋体" w:eastAsia="宋体" w:cs="宋体"/>
          <w:color w:val="000000"/>
          <w:kern w:val="2"/>
          <w:sz w:val="21"/>
          <w:szCs w:val="21"/>
          <w:lang w:eastAsia="zh-CN" w:bidi="ar"/>
        </w:rPr>
        <w:t xml:space="preserve">我公司 </w:t>
      </w:r>
      <w:r>
        <w:rPr>
          <w:rFonts w:ascii="Wingdings 2" w:hAnsi="Wingdings 2" w:eastAsia="Wingdings 2" w:cs="Wingdings 2"/>
          <w:color w:val="000000"/>
          <w:kern w:val="2"/>
          <w:sz w:val="21"/>
          <w:szCs w:val="21"/>
          <w:lang w:eastAsia="zh-CN" w:bidi="ar"/>
        </w:rPr>
        <w:t>£</w:t>
      </w:r>
      <w:r>
        <w:rPr>
          <w:rFonts w:hint="eastAsia" w:ascii="宋体" w:hAnsi="宋体" w:eastAsia="宋体" w:cs="宋体"/>
          <w:color w:val="000000"/>
          <w:kern w:val="2"/>
          <w:sz w:val="21"/>
          <w:szCs w:val="21"/>
          <w:lang w:eastAsia="zh-CN" w:bidi="ar"/>
        </w:rPr>
        <w:t>存在 / □不存在 以下情况（以下所有框内都需要标记，不存在的打×，存在的情况打√并附详细信息在表格中）：</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1"/>
          <w:szCs w:val="21"/>
          <w:lang w:eastAsia="zh-CN"/>
        </w:rPr>
      </w:pPr>
      <w:r>
        <w:rPr>
          <w:rFonts w:hint="eastAsia" w:ascii="宋体" w:hAnsi="宋体" w:eastAsia="宋体" w:cs="宋体"/>
          <w:color w:val="000000"/>
          <w:kern w:val="2"/>
          <w:sz w:val="21"/>
          <w:szCs w:val="21"/>
          <w:lang w:eastAsia="zh-CN" w:bidi="ar"/>
        </w:rPr>
        <w:t>□经查询“信用中国”网站（https://www.creditchina.gov.cn/）</w:t>
      </w:r>
      <w:r>
        <w:rPr>
          <w:rFonts w:hint="eastAsia" w:ascii="宋体" w:hAnsi="宋体" w:eastAsia="宋体" w:cs="宋体"/>
          <w:color w:val="000000"/>
          <w:kern w:val="2"/>
          <w:sz w:val="21"/>
          <w:szCs w:val="21"/>
          <w:highlight w:val="yellow"/>
          <w:lang w:eastAsia="zh-CN" w:bidi="ar"/>
        </w:rPr>
        <w:t>或</w:t>
      </w:r>
      <w:r>
        <w:rPr>
          <w:rFonts w:hint="eastAsia" w:ascii="宋体" w:hAnsi="宋体" w:eastAsia="宋体" w:cs="宋体"/>
          <w:color w:val="000000"/>
          <w:kern w:val="2"/>
          <w:sz w:val="21"/>
          <w:szCs w:val="21"/>
          <w:lang w:eastAsia="zh-CN" w:bidi="ar"/>
        </w:rPr>
        <w:t>“中国执行信息公开</w:t>
      </w:r>
    </w:p>
    <w:p>
      <w:pPr>
        <w:keepNext w:val="0"/>
        <w:keepLines w:val="0"/>
        <w:widowControl/>
        <w:suppressLineNumbers w:val="0"/>
        <w:spacing w:before="0" w:beforeAutospacing="0" w:after="0" w:afterAutospacing="0" w:line="360" w:lineRule="auto"/>
        <w:ind w:left="0" w:right="0" w:firstLine="210" w:firstLineChars="100"/>
        <w:jc w:val="left"/>
        <w:rPr>
          <w:rFonts w:hint="eastAsia" w:ascii="宋体" w:hAnsi="宋体" w:eastAsia="宋体" w:cs="宋体"/>
          <w:kern w:val="2"/>
          <w:sz w:val="21"/>
          <w:szCs w:val="21"/>
          <w:lang w:eastAsia="zh-CN"/>
        </w:rPr>
      </w:pPr>
      <w:r>
        <w:rPr>
          <w:rFonts w:hint="eastAsia" w:ascii="宋体" w:hAnsi="宋体" w:eastAsia="宋体" w:cs="宋体"/>
          <w:color w:val="000000"/>
          <w:kern w:val="2"/>
          <w:sz w:val="21"/>
          <w:szCs w:val="21"/>
          <w:lang w:eastAsia="zh-CN" w:bidi="ar"/>
        </w:rPr>
        <w:t>网”网站（http://zxgk.court.gov.cn/），被列入失信被执行人名单；</w:t>
      </w:r>
    </w:p>
    <w:p>
      <w:pPr>
        <w:keepNext w:val="0"/>
        <w:keepLines w:val="0"/>
        <w:widowControl/>
        <w:suppressLineNumbers w:val="0"/>
        <w:spacing w:before="0" w:beforeAutospacing="0" w:after="0" w:afterAutospacing="0" w:line="360" w:lineRule="auto"/>
        <w:ind w:left="210" w:right="0" w:hanging="210" w:hangingChars="100"/>
        <w:jc w:val="left"/>
        <w:rPr>
          <w:rFonts w:hint="eastAsia" w:ascii="宋体" w:hAnsi="宋体" w:eastAsia="宋体" w:cs="宋体"/>
          <w:kern w:val="2"/>
          <w:sz w:val="21"/>
          <w:szCs w:val="21"/>
          <w:lang w:eastAsia="zh-CN"/>
        </w:rPr>
      </w:pPr>
      <w:r>
        <w:rPr>
          <w:rFonts w:hint="eastAsia" w:ascii="宋体" w:hAnsi="宋体" w:eastAsia="宋体" w:cs="宋体"/>
          <w:color w:val="000000"/>
          <w:kern w:val="2"/>
          <w:sz w:val="21"/>
          <w:szCs w:val="21"/>
          <w:lang w:eastAsia="zh-CN" w:bidi="ar"/>
        </w:rPr>
        <w:t>□经查询“国家企业信用信息公示系统”（http://www.gsxt.gov.cn），被列入严重违法失信企业名单；</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1"/>
          <w:szCs w:val="21"/>
          <w:lang w:eastAsia="zh-CN"/>
        </w:rPr>
      </w:pPr>
      <w:r>
        <w:rPr>
          <w:rFonts w:ascii="Wingdings 2" w:hAnsi="Wingdings 2" w:eastAsia="Wingdings 2" w:cs="Wingdings 2"/>
          <w:color w:val="000000"/>
          <w:kern w:val="2"/>
          <w:sz w:val="21"/>
          <w:szCs w:val="21"/>
          <w:lang w:eastAsia="zh-CN" w:bidi="ar"/>
        </w:rPr>
        <w:t>£</w:t>
      </w:r>
      <w:r>
        <w:rPr>
          <w:rFonts w:hint="eastAsia" w:ascii="宋体" w:hAnsi="宋体" w:eastAsia="宋体" w:cs="宋体"/>
          <w:color w:val="000000"/>
          <w:kern w:val="2"/>
          <w:sz w:val="21"/>
          <w:szCs w:val="21"/>
          <w:lang w:eastAsia="zh-CN" w:bidi="ar"/>
        </w:rPr>
        <w:t>经查询“中国裁判文书网”（http://wenshu.court.gov.cn），近三年存在行贿犯罪记录；</w:t>
      </w:r>
    </w:p>
    <w:p>
      <w:pPr>
        <w:keepNext w:val="0"/>
        <w:keepLines w:val="0"/>
        <w:widowControl/>
        <w:suppressLineNumbers w:val="0"/>
        <w:spacing w:before="0" w:beforeAutospacing="0" w:after="0" w:afterAutospacing="0" w:line="360" w:lineRule="auto"/>
        <w:ind w:left="210" w:right="0" w:hanging="210" w:hangingChars="100"/>
        <w:jc w:val="both"/>
        <w:rPr>
          <w:rFonts w:hint="eastAsia" w:ascii="宋体" w:hAnsi="宋体" w:eastAsia="宋体" w:cs="宋体"/>
          <w:color w:val="000000"/>
          <w:kern w:val="2"/>
          <w:sz w:val="21"/>
          <w:szCs w:val="21"/>
          <w:highlight w:val="yellow"/>
          <w:lang w:eastAsia="zh-CN"/>
        </w:rPr>
      </w:pPr>
      <w:r>
        <w:rPr>
          <w:rFonts w:ascii="Wingdings 2" w:hAnsi="Wingdings 2" w:eastAsia="Wingdings 2" w:cs="Wingdings 2"/>
          <w:color w:val="000000"/>
          <w:kern w:val="2"/>
          <w:sz w:val="21"/>
          <w:szCs w:val="21"/>
          <w:lang w:eastAsia="zh-CN" w:bidi="ar"/>
        </w:rPr>
        <w:t>£</w:t>
      </w:r>
      <w:r>
        <w:rPr>
          <w:rFonts w:hint="eastAsia" w:ascii="宋体" w:hAnsi="宋体" w:eastAsia="宋体" w:cs="宋体"/>
          <w:color w:val="000000"/>
          <w:kern w:val="2"/>
          <w:sz w:val="21"/>
          <w:szCs w:val="21"/>
          <w:lang w:eastAsia="zh-CN" w:bidi="ar"/>
        </w:rPr>
        <w:t>经确认，我公司存在中国海油员工（不含中国海油正式派出的）、</w:t>
      </w:r>
      <w:r>
        <w:rPr>
          <w:rFonts w:hint="eastAsia" w:ascii="宋体" w:hAnsi="宋体" w:eastAsia="宋体" w:cs="宋体"/>
          <w:color w:val="000000"/>
          <w:kern w:val="2"/>
          <w:sz w:val="21"/>
          <w:szCs w:val="21"/>
          <w:highlight w:val="yellow"/>
          <w:lang w:eastAsia="zh-CN" w:bidi="ar"/>
        </w:rPr>
        <w:t>海油发展离职未满三年的员工在我公司担任股东、法人代表、董事、监事和其他任职人员；</w:t>
      </w:r>
    </w:p>
    <w:p>
      <w:pPr>
        <w:keepNext w:val="0"/>
        <w:keepLines w:val="0"/>
        <w:suppressLineNumbers w:val="0"/>
        <w:spacing w:before="0" w:beforeAutospacing="0" w:after="0" w:afterAutospacing="0" w:line="360" w:lineRule="auto"/>
        <w:ind w:left="0" w:right="0"/>
        <w:jc w:val="both"/>
        <w:rPr>
          <w:rFonts w:hint="eastAsia" w:ascii="宋体" w:hAnsi="宋体" w:eastAsia="宋体" w:cs="宋体"/>
          <w:color w:val="000000"/>
          <w:kern w:val="2"/>
          <w:sz w:val="21"/>
          <w:szCs w:val="21"/>
          <w:highlight w:val="yellow"/>
          <w:lang w:eastAsia="zh-CN"/>
        </w:rPr>
      </w:pPr>
      <w:r>
        <w:rPr>
          <w:rFonts w:ascii="Wingdings 2" w:hAnsi="Wingdings 2" w:eastAsia="Wingdings 2" w:cs="Wingdings 2"/>
          <w:color w:val="000000"/>
          <w:kern w:val="2"/>
          <w:sz w:val="21"/>
          <w:szCs w:val="21"/>
          <w:highlight w:val="yellow"/>
          <w:lang w:eastAsia="zh-CN" w:bidi="ar"/>
        </w:rPr>
        <w:t>£</w:t>
      </w:r>
      <w:r>
        <w:rPr>
          <w:rFonts w:hint="eastAsia" w:ascii="宋体" w:hAnsi="宋体" w:eastAsia="宋体" w:cs="宋体"/>
          <w:color w:val="000000"/>
          <w:kern w:val="2"/>
          <w:sz w:val="21"/>
          <w:szCs w:val="21"/>
          <w:highlight w:val="yellow"/>
          <w:lang w:eastAsia="zh-CN" w:bidi="ar"/>
        </w:rPr>
        <w:t>我公司承诺与农民工签订劳动合同，及时、足额发放工资、缴纳社会保险费用；</w:t>
      </w:r>
    </w:p>
    <w:p>
      <w:pPr>
        <w:keepNext w:val="0"/>
        <w:keepLines w:val="0"/>
        <w:widowControl/>
        <w:suppressLineNumbers w:val="0"/>
        <w:spacing w:before="0" w:beforeAutospacing="0" w:after="0" w:afterAutospacing="0" w:line="360" w:lineRule="auto"/>
        <w:ind w:left="210" w:right="0" w:hanging="210" w:hangingChars="100"/>
        <w:jc w:val="both"/>
        <w:rPr>
          <w:rFonts w:hint="eastAsia" w:ascii="宋体" w:hAnsi="宋体" w:eastAsia="宋体" w:cs="宋体"/>
          <w:color w:val="000000"/>
          <w:kern w:val="2"/>
          <w:sz w:val="21"/>
          <w:szCs w:val="21"/>
          <w:highlight w:val="yellow"/>
          <w:lang w:eastAsia="zh-CN"/>
        </w:rPr>
      </w:pPr>
      <w:r>
        <w:rPr>
          <w:rFonts w:ascii="Wingdings 2" w:hAnsi="Wingdings 2" w:eastAsia="Wingdings 2" w:cs="Wingdings 2"/>
          <w:color w:val="000000"/>
          <w:kern w:val="2"/>
          <w:sz w:val="21"/>
          <w:szCs w:val="21"/>
          <w:highlight w:val="yellow"/>
          <w:lang w:eastAsia="zh-CN" w:bidi="ar"/>
        </w:rPr>
        <w:t>£</w:t>
      </w:r>
      <w:r>
        <w:rPr>
          <w:rFonts w:hint="eastAsia" w:ascii="宋体" w:hAnsi="宋体" w:eastAsia="宋体" w:cs="宋体"/>
          <w:color w:val="000000"/>
          <w:kern w:val="2"/>
          <w:sz w:val="21"/>
          <w:szCs w:val="21"/>
          <w:highlight w:val="yellow"/>
          <w:lang w:eastAsia="zh-CN" w:bidi="ar"/>
        </w:rPr>
        <w:t>我公司承诺</w:t>
      </w:r>
      <w:r>
        <w:rPr>
          <w:rFonts w:hint="eastAsia" w:ascii="宋体" w:hAnsi="宋体" w:eastAsia="宋体" w:cs="宋体"/>
          <w:kern w:val="2"/>
          <w:sz w:val="21"/>
          <w:szCs w:val="21"/>
          <w:highlight w:val="yellow"/>
          <w:lang w:eastAsia="zh-CN" w:bidi="ar"/>
        </w:rPr>
        <w:t>积极响应国家节能减排和绿色环保政策，切实推进绿色供应链建设；</w:t>
      </w:r>
    </w:p>
    <w:p>
      <w:pPr>
        <w:keepNext w:val="0"/>
        <w:keepLines w:val="0"/>
        <w:widowControl/>
        <w:suppressLineNumbers w:val="0"/>
        <w:spacing w:before="0" w:beforeAutospacing="0" w:after="0" w:afterAutospacing="0" w:line="360" w:lineRule="auto"/>
        <w:ind w:left="210" w:right="0" w:hanging="210" w:hangingChars="100"/>
        <w:jc w:val="both"/>
        <w:rPr>
          <w:rFonts w:hint="eastAsia" w:ascii="宋体" w:hAnsi="宋体" w:eastAsia="宋体" w:cs="宋体"/>
          <w:color w:val="0000FF"/>
          <w:kern w:val="2"/>
          <w:sz w:val="21"/>
          <w:szCs w:val="21"/>
          <w:lang w:eastAsia="zh-CN"/>
        </w:rPr>
      </w:pPr>
      <w:r>
        <w:rPr>
          <w:rFonts w:ascii="Wingdings 2" w:hAnsi="Wingdings 2" w:eastAsia="Wingdings 2" w:cs="Wingdings 2"/>
          <w:color w:val="0000FF"/>
          <w:kern w:val="2"/>
          <w:sz w:val="21"/>
          <w:szCs w:val="21"/>
          <w:lang w:eastAsia="zh-CN" w:bidi="ar"/>
        </w:rPr>
        <w:t>£</w:t>
      </w:r>
      <w:r>
        <w:rPr>
          <w:rFonts w:hint="eastAsia" w:ascii="宋体" w:hAnsi="宋体" w:eastAsia="宋体" w:cs="宋体"/>
          <w:color w:val="0000FF"/>
          <w:kern w:val="2"/>
          <w:sz w:val="21"/>
          <w:szCs w:val="21"/>
          <w:lang w:eastAsia="zh-CN" w:bidi="ar"/>
        </w:rPr>
        <w:t>单位负责人为同一人或者存在控股、管理关系的不同单位，不得参加同一标段投标或者未划分标段的同一招标项目投标。（公开买方式适用）</w:t>
      </w:r>
    </w:p>
    <w:p>
      <w:pPr>
        <w:keepNext w:val="0"/>
        <w:keepLines w:val="0"/>
        <w:widowControl/>
        <w:suppressLineNumbers w:val="0"/>
        <w:spacing w:before="0" w:beforeAutospacing="0" w:after="0" w:afterAutospacing="0" w:line="360" w:lineRule="auto"/>
        <w:ind w:left="210" w:right="0" w:hanging="210" w:hangingChars="100"/>
        <w:jc w:val="both"/>
        <w:rPr>
          <w:rFonts w:hint="eastAsia" w:ascii="宋体" w:hAnsi="宋体" w:eastAsia="宋体" w:cs="宋体"/>
          <w:b/>
          <w:color w:val="000000"/>
          <w:kern w:val="2"/>
          <w:sz w:val="21"/>
          <w:szCs w:val="21"/>
          <w:lang w:eastAsia="zh-CN"/>
        </w:rPr>
      </w:pPr>
      <w:r>
        <w:rPr>
          <w:rFonts w:ascii="Wingdings 2" w:hAnsi="Wingdings 2" w:eastAsia="Wingdings 2" w:cs="Wingdings 2"/>
          <w:color w:val="0000FF"/>
          <w:kern w:val="2"/>
          <w:sz w:val="21"/>
          <w:szCs w:val="21"/>
          <w:lang w:eastAsia="zh-CN" w:bidi="ar"/>
        </w:rPr>
        <w:t>£</w:t>
      </w:r>
      <w:r>
        <w:rPr>
          <w:rFonts w:hint="eastAsia" w:ascii="宋体" w:hAnsi="宋体" w:eastAsia="宋体" w:cs="宋体"/>
          <w:color w:val="0000FF"/>
          <w:kern w:val="2"/>
          <w:sz w:val="21"/>
          <w:szCs w:val="21"/>
          <w:lang w:eastAsia="zh-CN" w:bidi="ar"/>
        </w:rPr>
        <w:t>我公司与本采购项目其他响应人存在控股关系或管理关系、单位负责人为同一人，同一自然人同时持有两家公司非公开上市股份的情形。（邀请买方式适用）</w:t>
      </w:r>
    </w:p>
    <w:p>
      <w:pPr>
        <w:keepNext w:val="0"/>
        <w:keepLines w:val="0"/>
        <w:widowControl/>
        <w:suppressLineNumbers w:val="0"/>
        <w:spacing w:before="0" w:beforeAutospacing="0" w:after="0" w:afterAutospacing="0" w:line="348" w:lineRule="auto"/>
        <w:ind w:left="0" w:right="0" w:firstLine="422" w:firstLineChars="200"/>
        <w:jc w:val="both"/>
        <w:rPr>
          <w:rFonts w:hint="eastAsia" w:ascii="宋体" w:hAnsi="宋体" w:eastAsia="宋体" w:cs="宋体"/>
          <w:kern w:val="2"/>
          <w:sz w:val="21"/>
          <w:szCs w:val="21"/>
          <w:lang w:eastAsia="zh-CN"/>
        </w:rPr>
      </w:pPr>
      <w:r>
        <w:rPr>
          <w:rFonts w:hint="eastAsia" w:ascii="宋体" w:hAnsi="宋体" w:eastAsia="宋体" w:cs="宋体"/>
          <w:b/>
          <w:bCs/>
          <w:color w:val="000000"/>
          <w:kern w:val="2"/>
          <w:sz w:val="21"/>
          <w:szCs w:val="21"/>
          <w:lang w:eastAsia="zh-CN" w:bidi="ar"/>
        </w:rPr>
        <w:t>郑重承诺：</w:t>
      </w:r>
      <w:r>
        <w:rPr>
          <w:rFonts w:hint="eastAsia" w:ascii="宋体" w:hAnsi="宋体" w:eastAsia="宋体" w:cs="宋体"/>
          <w:color w:val="000000"/>
          <w:kern w:val="2"/>
          <w:sz w:val="21"/>
          <w:szCs w:val="21"/>
          <w:lang w:eastAsia="zh-CN" w:bidi="ar"/>
        </w:rPr>
        <w:t>我公司在采办项目中将严格遵守法律法规和中国海油各项管理要求，不发生围标串标情况。我公司所提供信息真实、准确、合法、有效，不存在为规避中海油能源发展股份有限公司（以下简称“海油发展”）有关要求采取的变通行为；上述信息如有虚假我公司将承担相关责任，并按照中海油能源发展股份有限公司相关管理规定接受处理。我公司将严格遵守国家相关法律法规及中海油能源发展股份有限公司对供应商管理的要求，无条件接受和配合海油发展或海油发展委托的有关机构进行的与上述内容相关的核查与审计。当相关信息发生变更时将及时主动办理更新手续。</w:t>
      </w:r>
    </w:p>
    <w:p>
      <w:pPr>
        <w:keepNext w:val="0"/>
        <w:keepLines w:val="0"/>
        <w:widowControl/>
        <w:suppressLineNumbers w:val="0"/>
        <w:spacing w:before="0" w:beforeAutospacing="0" w:after="0" w:afterAutospacing="0" w:line="348" w:lineRule="auto"/>
        <w:ind w:left="0" w:right="0" w:firstLine="420" w:firstLineChars="200"/>
        <w:jc w:val="both"/>
        <w:rPr>
          <w:rFonts w:hint="eastAsia" w:ascii="宋体" w:hAnsi="宋体" w:eastAsia="宋体" w:cs="宋体"/>
          <w:kern w:val="2"/>
          <w:sz w:val="21"/>
          <w:szCs w:val="21"/>
          <w:highlight w:val="yellow"/>
          <w:lang w:eastAsia="zh-CN"/>
        </w:rPr>
      </w:pPr>
      <w:r>
        <w:rPr>
          <w:rFonts w:hint="eastAsia" w:ascii="宋体" w:hAnsi="宋体" w:eastAsia="宋体" w:cs="宋体"/>
          <w:kern w:val="2"/>
          <w:sz w:val="21"/>
          <w:szCs w:val="21"/>
          <w:highlight w:val="yellow"/>
          <w:lang w:eastAsia="zh-CN" w:bidi="ar"/>
        </w:rPr>
        <w:t xml:space="preserve"> </w:t>
      </w:r>
    </w:p>
    <w:p>
      <w:pPr>
        <w:keepNext w:val="0"/>
        <w:keepLines w:val="0"/>
        <w:widowControl/>
        <w:suppressLineNumbers w:val="0"/>
        <w:spacing w:before="0" w:beforeAutospacing="0" w:after="0" w:afterAutospacing="0" w:line="348" w:lineRule="auto"/>
        <w:ind w:left="0" w:right="0" w:firstLine="540"/>
        <w:jc w:val="both"/>
        <w:rPr>
          <w:rFonts w:ascii="Calibri" w:hAnsi="Calibri" w:eastAsia="宋体" w:cs="Times New Roman"/>
          <w:kern w:val="2"/>
          <w:sz w:val="24"/>
          <w:szCs w:val="24"/>
          <w:lang w:eastAsia="zh-CN"/>
        </w:rPr>
      </w:pPr>
      <w:r>
        <w:rPr>
          <w:rFonts w:hint="eastAsia" w:ascii="Calibri" w:hAnsi="Calibri" w:eastAsia="宋体" w:cs="Times New Roman"/>
          <w:color w:val="000000"/>
          <w:kern w:val="2"/>
          <w:sz w:val="24"/>
          <w:szCs w:val="24"/>
          <w:lang w:eastAsia="zh-CN" w:bidi="ar"/>
        </w:rPr>
        <w:t xml:space="preserve">                            </w:t>
      </w:r>
    </w:p>
    <w:p>
      <w:pPr>
        <w:keepNext w:val="0"/>
        <w:keepLines w:val="0"/>
        <w:widowControl/>
        <w:suppressLineNumbers w:val="0"/>
        <w:adjustRightInd w:val="0"/>
        <w:snapToGrid w:val="0"/>
        <w:spacing w:before="0" w:beforeAutospacing="0" w:after="0" w:afterAutospacing="0" w:line="360" w:lineRule="auto"/>
        <w:ind w:left="0" w:right="0" w:firstLine="3517" w:firstLineChars="1675"/>
        <w:jc w:val="both"/>
        <w:rPr>
          <w:rFonts w:ascii="Calibri" w:hAnsi="宋体" w:eastAsia="宋体" w:cs="Times New Roman"/>
          <w:kern w:val="2"/>
          <w:sz w:val="24"/>
          <w:szCs w:val="24"/>
          <w:lang w:eastAsia="zh-CN"/>
        </w:rPr>
      </w:pPr>
      <w:r>
        <w:rPr>
          <w:rFonts w:hint="eastAsia" w:ascii="宋体" w:hAnsi="宋体" w:eastAsia="宋体" w:cs="宋体"/>
          <w:color w:val="000000"/>
          <w:kern w:val="2"/>
          <w:sz w:val="21"/>
          <w:szCs w:val="21"/>
          <w:lang w:eastAsia="zh-CN" w:bidi="ar"/>
        </w:rPr>
        <w:t xml:space="preserve">  </w:t>
      </w:r>
      <w:r>
        <w:rPr>
          <w:rFonts w:hint="eastAsia" w:ascii="宋体" w:hAnsi="宋体" w:eastAsia="宋体" w:cs="宋体"/>
          <w:color w:val="000000"/>
          <w:kern w:val="2"/>
          <w:sz w:val="24"/>
          <w:szCs w:val="24"/>
          <w:lang w:eastAsia="zh-CN" w:bidi="ar"/>
        </w:rPr>
        <w:t>【</w:t>
      </w:r>
      <w:r>
        <w:rPr>
          <w:rFonts w:hint="eastAsia" w:ascii="宋体" w:hAnsi="宋体" w:eastAsia="宋体" w:cs="宋体"/>
          <w:i/>
          <w:color w:val="000000"/>
          <w:kern w:val="2"/>
          <w:sz w:val="24"/>
          <w:szCs w:val="24"/>
          <w:lang w:eastAsia="zh-CN" w:bidi="ar"/>
        </w:rPr>
        <w:t>填入</w:t>
      </w:r>
      <w:r>
        <w:rPr>
          <w:rFonts w:hint="eastAsia" w:ascii="宋体" w:hAnsi="宋体" w:eastAsia="宋体" w:cs="宋体"/>
          <w:b/>
          <w:i/>
          <w:color w:val="000000"/>
          <w:kern w:val="2"/>
          <w:sz w:val="24"/>
          <w:szCs w:val="24"/>
          <w:lang w:eastAsia="zh-CN" w:bidi="ar"/>
        </w:rPr>
        <w:t>投标人名称</w:t>
      </w:r>
      <w:r>
        <w:rPr>
          <w:rFonts w:hint="eastAsia" w:ascii="宋体" w:hAnsi="宋体" w:eastAsia="宋体" w:cs="宋体"/>
          <w:color w:val="000000"/>
          <w:kern w:val="2"/>
          <w:sz w:val="24"/>
          <w:szCs w:val="24"/>
          <w:lang w:eastAsia="zh-CN" w:bidi="ar"/>
        </w:rPr>
        <w:t>】（盖章）</w:t>
      </w:r>
    </w:p>
    <w:p>
      <w:pPr>
        <w:keepNext w:val="0"/>
        <w:keepLines w:val="0"/>
        <w:widowControl/>
        <w:suppressLineNumbers w:val="0"/>
        <w:snapToGrid w:val="0"/>
        <w:spacing w:before="0" w:beforeAutospacing="0" w:after="0" w:afterAutospacing="0" w:line="360" w:lineRule="auto"/>
        <w:ind w:left="210" w:leftChars="100" w:right="0" w:firstLine="3600" w:firstLineChars="1500"/>
        <w:jc w:val="both"/>
        <w:rPr>
          <w:rFonts w:ascii="Calibri" w:hAnsi="宋体" w:eastAsia="宋体" w:cs="Times New Roman"/>
          <w:kern w:val="2"/>
          <w:sz w:val="24"/>
          <w:szCs w:val="24"/>
          <w:lang w:eastAsia="zh-CN"/>
        </w:rPr>
      </w:pPr>
      <w:r>
        <w:rPr>
          <w:rFonts w:hint="eastAsia" w:ascii="宋体" w:hAnsi="宋体" w:eastAsia="宋体" w:cs="宋体"/>
          <w:color w:val="000000"/>
          <w:kern w:val="2"/>
          <w:sz w:val="24"/>
          <w:szCs w:val="24"/>
          <w:lang w:eastAsia="zh-CN" w:bidi="ar"/>
        </w:rPr>
        <w:t>法定代表人或授权代表签字：</w:t>
      </w:r>
    </w:p>
    <w:p>
      <w:pPr>
        <w:pStyle w:val="16"/>
        <w:spacing w:line="348" w:lineRule="auto"/>
        <w:ind w:firstLine="5520" w:firstLineChars="2300"/>
        <w:outlineLvl w:val="0"/>
        <w:rPr>
          <w:rFonts w:ascii="宋体" w:hAnsi="宋体" w:cs="宋体"/>
          <w:sz w:val="24"/>
        </w:rPr>
      </w:pPr>
      <w:r>
        <w:rPr>
          <w:rFonts w:hint="eastAsia" w:ascii="宋体" w:hAnsi="宋体" w:eastAsia="宋体" w:cs="宋体"/>
          <w:color w:val="000000"/>
          <w:kern w:val="2"/>
          <w:sz w:val="24"/>
          <w:szCs w:val="24"/>
          <w:lang w:eastAsia="zh-CN" w:bidi="ar"/>
        </w:rPr>
        <w:t>签订日期：</w:t>
      </w:r>
    </w:p>
    <w:p>
      <w:pPr>
        <w:pStyle w:val="6"/>
        <w:ind w:firstLine="480"/>
        <w:rPr>
          <w:rFonts w:ascii="宋体" w:hAnsi="宋体" w:cs="宋体"/>
          <w:sz w:val="24"/>
        </w:rPr>
      </w:pPr>
    </w:p>
    <w:p>
      <w:pPr>
        <w:pStyle w:val="16"/>
        <w:spacing w:line="440" w:lineRule="exact"/>
        <w:ind w:firstLine="6000" w:firstLineChars="2500"/>
        <w:rPr>
          <w:sz w:val="24"/>
        </w:rPr>
      </w:pPr>
    </w:p>
    <w:p>
      <w:pPr>
        <w:pStyle w:val="17"/>
      </w:pPr>
    </w:p>
    <w:p>
      <w:pPr>
        <w:pStyle w:val="16"/>
        <w:spacing w:line="440" w:lineRule="exact"/>
        <w:ind w:left="142"/>
        <w:rPr>
          <w:b/>
          <w:sz w:val="28"/>
          <w:szCs w:val="28"/>
        </w:rPr>
      </w:pPr>
      <w:r>
        <w:rPr>
          <w:rFonts w:hint="eastAsia"/>
          <w:b/>
          <w:sz w:val="28"/>
          <w:szCs w:val="28"/>
        </w:rPr>
        <w:t>6）公司简介及公司组织架构图</w:t>
      </w:r>
    </w:p>
    <w:p>
      <w:pPr>
        <w:pStyle w:val="32"/>
        <w:adjustRightInd w:val="0"/>
        <w:snapToGrid w:val="0"/>
        <w:spacing w:line="360" w:lineRule="auto"/>
        <w:jc w:val="left"/>
        <w:rPr>
          <w:rFonts w:hAnsi="宋体"/>
          <w:b/>
        </w:rPr>
      </w:pPr>
      <w:r>
        <w:rPr>
          <w:rFonts w:hint="eastAsia" w:hAnsi="宋体"/>
          <w:b/>
        </w:rPr>
        <w:t>（公司简介：1、主要描述企业规模、经营状况、优势特长等情况。）</w:t>
      </w:r>
    </w:p>
    <w:p>
      <w:pPr>
        <w:pStyle w:val="16"/>
        <w:widowControl/>
        <w:jc w:val="left"/>
        <w:rPr>
          <w:rFonts w:ascii="宋体" w:hAnsi="Courier New"/>
          <w:b/>
          <w:szCs w:val="28"/>
        </w:rPr>
      </w:pPr>
      <w:r>
        <w:rPr>
          <w:rFonts w:hAnsi="宋体"/>
          <w:b/>
          <w:sz w:val="28"/>
          <w:szCs w:val="28"/>
        </w:rPr>
        <w:br w:type="page"/>
      </w:r>
      <w:r>
        <w:rPr>
          <w:rFonts w:hint="eastAsia"/>
          <w:b/>
          <w:sz w:val="28"/>
          <w:szCs w:val="28"/>
        </w:rPr>
        <w:t>7）</w:t>
      </w:r>
      <w:r>
        <w:rPr>
          <w:rFonts w:hint="eastAsia" w:ascii="宋体" w:hAnsi="宋体" w:eastAsia="宋体" w:cs="宋体"/>
          <w:i w:val="0"/>
          <w:iCs w:val="0"/>
          <w:color w:val="000000"/>
          <w:kern w:val="0"/>
          <w:sz w:val="21"/>
          <w:szCs w:val="21"/>
          <w:u w:val="none"/>
          <w:lang w:val="en-US" w:eastAsia="zh-CN" w:bidi="ar"/>
        </w:rPr>
        <w:t>投标人提供（</w:t>
      </w:r>
      <w:r>
        <w:rPr>
          <w:rStyle w:val="37"/>
          <w:rFonts w:eastAsia="宋体"/>
          <w:lang w:val="en-US" w:eastAsia="zh-CN" w:bidi="ar"/>
        </w:rPr>
        <w:t>2021</w:t>
      </w:r>
      <w:r>
        <w:rPr>
          <w:rStyle w:val="38"/>
          <w:lang w:val="en-US" w:eastAsia="zh-CN" w:bidi="ar"/>
        </w:rPr>
        <w:t>年</w:t>
      </w:r>
      <w:r>
        <w:rPr>
          <w:rStyle w:val="37"/>
          <w:rFonts w:eastAsia="宋体"/>
          <w:lang w:val="en-US" w:eastAsia="zh-CN" w:bidi="ar"/>
        </w:rPr>
        <w:t>- 2023</w:t>
      </w:r>
      <w:r>
        <w:rPr>
          <w:rStyle w:val="38"/>
          <w:lang w:val="en-US" w:eastAsia="zh-CN" w:bidi="ar"/>
        </w:rPr>
        <w:t>年）经会计事务所或审计机构审计的财务报表，包含资产负债表、现金流量表、利润表。成立时间少于投标人须知前附表规定年份的，应提供自成立以来的财务报表。投标人为分公司的，应提供上级法人单位的经会计师事务所或审计机构审计的上述年度财务会计报表。</w:t>
      </w:r>
    </w:p>
    <w:p>
      <w:pPr>
        <w:pStyle w:val="32"/>
        <w:adjustRightInd w:val="0"/>
        <w:snapToGrid w:val="0"/>
        <w:spacing w:line="360" w:lineRule="auto"/>
        <w:rPr>
          <w:b/>
          <w:sz w:val="28"/>
          <w:szCs w:val="28"/>
        </w:rPr>
      </w:pPr>
      <w:r>
        <w:rPr>
          <w:rFonts w:hAnsi="宋体"/>
          <w:b/>
          <w:sz w:val="28"/>
          <w:szCs w:val="28"/>
        </w:rPr>
        <w:br w:type="page"/>
      </w:r>
      <w:r>
        <w:rPr>
          <w:rFonts w:hint="eastAsia"/>
          <w:b/>
          <w:sz w:val="28"/>
          <w:szCs w:val="28"/>
        </w:rPr>
        <w:t>8）相关证书（如有）</w:t>
      </w:r>
    </w:p>
    <w:p>
      <w:pPr>
        <w:pStyle w:val="32"/>
        <w:adjustRightInd w:val="0"/>
        <w:snapToGrid w:val="0"/>
        <w:spacing w:line="360" w:lineRule="auto"/>
        <w:jc w:val="left"/>
        <w:rPr>
          <w:rFonts w:hAnsi="宋体"/>
          <w:b/>
        </w:rPr>
      </w:pPr>
      <w:r>
        <w:rPr>
          <w:rFonts w:hint="eastAsia" w:hAnsi="宋体"/>
          <w:b/>
        </w:rPr>
        <w:t>（此附件提交有效期内的证书及附表附件包括人员资质证书等必要证书，复印件，加盖公章）</w:t>
      </w:r>
    </w:p>
    <w:p>
      <w:pPr>
        <w:pStyle w:val="32"/>
        <w:adjustRightInd w:val="0"/>
        <w:snapToGrid w:val="0"/>
        <w:spacing w:line="360" w:lineRule="auto"/>
        <w:jc w:val="left"/>
        <w:rPr>
          <w:rFonts w:hAnsi="宋体"/>
          <w:b/>
        </w:rPr>
      </w:pPr>
    </w:p>
    <w:p>
      <w:pPr>
        <w:pStyle w:val="16"/>
        <w:topLinePunct/>
        <w:adjustRightInd w:val="0"/>
        <w:snapToGrid w:val="0"/>
        <w:spacing w:line="360" w:lineRule="auto"/>
        <w:rPr>
          <w:rFonts w:ascii="黑体" w:hAnsi="黑体" w:eastAsia="黑体"/>
          <w:bCs/>
          <w:sz w:val="24"/>
        </w:rPr>
        <w:sectPr>
          <w:headerReference r:id="rId17" w:type="default"/>
          <w:footerReference r:id="rId18" w:type="default"/>
          <w:pgSz w:w="11906" w:h="16838"/>
          <w:pgMar w:top="1440" w:right="1800" w:bottom="1440" w:left="1800" w:header="851" w:footer="1020" w:gutter="0"/>
          <w:cols w:space="720" w:num="1"/>
          <w:titlePg/>
          <w:docGrid w:linePitch="312" w:charSpace="0"/>
        </w:sectPr>
      </w:pPr>
    </w:p>
    <w:p>
      <w:pPr>
        <w:pStyle w:val="16"/>
        <w:spacing w:after="100" w:afterAutospacing="1" w:line="400" w:lineRule="exact"/>
        <w:outlineLvl w:val="0"/>
        <w:rPr>
          <w:b/>
          <w:sz w:val="28"/>
          <w:szCs w:val="28"/>
        </w:rPr>
      </w:pPr>
      <w:bookmarkStart w:id="290" w:name="_Toc13806"/>
      <w:bookmarkStart w:id="291" w:name="_Toc6849"/>
      <w:r>
        <w:rPr>
          <w:rFonts w:hint="eastAsia"/>
          <w:b/>
          <w:sz w:val="28"/>
          <w:szCs w:val="28"/>
        </w:rPr>
        <w:t>9）投标材料质量标准的详细描述(</w:t>
      </w:r>
      <w:r>
        <w:rPr>
          <w:b/>
          <w:sz w:val="28"/>
          <w:szCs w:val="28"/>
        </w:rPr>
        <w:t>如有</w:t>
      </w:r>
      <w:r>
        <w:rPr>
          <w:rFonts w:hint="eastAsia"/>
          <w:b/>
          <w:sz w:val="28"/>
          <w:szCs w:val="28"/>
        </w:rPr>
        <w:t>)</w:t>
      </w:r>
      <w:bookmarkEnd w:id="290"/>
      <w:bookmarkEnd w:id="291"/>
    </w:p>
    <w:p>
      <w:pPr>
        <w:pStyle w:val="16"/>
        <w:spacing w:after="100" w:afterAutospacing="1" w:line="400" w:lineRule="exact"/>
        <w:jc w:val="center"/>
        <w:rPr>
          <w:b/>
          <w:sz w:val="28"/>
          <w:szCs w:val="28"/>
        </w:rPr>
      </w:pPr>
      <w:r>
        <w:rPr>
          <w:rFonts w:hint="eastAsia"/>
          <w:b/>
          <w:sz w:val="22"/>
          <w:szCs w:val="28"/>
        </w:rPr>
        <w:t>投标材料一览表</w:t>
      </w:r>
    </w:p>
    <w:tbl>
      <w:tblPr>
        <w:tblStyle w:val="11"/>
        <w:tblW w:w="94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56"/>
        <w:gridCol w:w="1725"/>
        <w:gridCol w:w="1588"/>
        <w:gridCol w:w="1762"/>
        <w:gridCol w:w="1475"/>
        <w:gridCol w:w="13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2" w:hRule="atLeast"/>
          <w:jc w:val="center"/>
        </w:trPr>
        <w:tc>
          <w:tcPr>
            <w:tcW w:w="1556" w:type="dxa"/>
            <w:noWrap w:val="0"/>
            <w:vAlign w:val="center"/>
          </w:tcPr>
          <w:p>
            <w:pPr>
              <w:pStyle w:val="16"/>
              <w:jc w:val="center"/>
              <w:rPr>
                <w:rFonts w:ascii="宋体" w:hAnsi="宋体"/>
                <w:b/>
                <w:szCs w:val="20"/>
              </w:rPr>
            </w:pPr>
          </w:p>
        </w:tc>
        <w:tc>
          <w:tcPr>
            <w:tcW w:w="1725" w:type="dxa"/>
            <w:noWrap w:val="0"/>
            <w:vAlign w:val="center"/>
          </w:tcPr>
          <w:p>
            <w:pPr>
              <w:pStyle w:val="16"/>
              <w:jc w:val="center"/>
              <w:rPr>
                <w:rFonts w:ascii="宋体" w:hAnsi="宋体"/>
                <w:b/>
                <w:szCs w:val="20"/>
              </w:rPr>
            </w:pPr>
          </w:p>
        </w:tc>
        <w:tc>
          <w:tcPr>
            <w:tcW w:w="1588" w:type="dxa"/>
            <w:tcBorders>
              <w:right w:val="single" w:color="auto" w:sz="4" w:space="0"/>
            </w:tcBorders>
            <w:noWrap w:val="0"/>
            <w:vAlign w:val="center"/>
          </w:tcPr>
          <w:p>
            <w:pPr>
              <w:pStyle w:val="16"/>
              <w:jc w:val="center"/>
              <w:rPr>
                <w:rFonts w:ascii="宋体" w:hAnsi="宋体"/>
                <w:b/>
                <w:szCs w:val="20"/>
              </w:rPr>
            </w:pPr>
          </w:p>
        </w:tc>
        <w:tc>
          <w:tcPr>
            <w:tcW w:w="1762" w:type="dxa"/>
            <w:tcBorders>
              <w:left w:val="single" w:color="auto" w:sz="4" w:space="0"/>
            </w:tcBorders>
            <w:noWrap w:val="0"/>
            <w:vAlign w:val="center"/>
          </w:tcPr>
          <w:p>
            <w:pPr>
              <w:pStyle w:val="16"/>
              <w:jc w:val="center"/>
              <w:rPr>
                <w:rFonts w:ascii="宋体" w:hAnsi="宋体"/>
                <w:b/>
                <w:szCs w:val="20"/>
              </w:rPr>
            </w:pPr>
          </w:p>
        </w:tc>
        <w:tc>
          <w:tcPr>
            <w:tcW w:w="1475" w:type="dxa"/>
            <w:noWrap w:val="0"/>
            <w:vAlign w:val="center"/>
          </w:tcPr>
          <w:p>
            <w:pPr>
              <w:pStyle w:val="16"/>
              <w:jc w:val="center"/>
              <w:rPr>
                <w:rFonts w:ascii="宋体" w:hAnsi="宋体"/>
                <w:b/>
                <w:szCs w:val="20"/>
              </w:rPr>
            </w:pPr>
          </w:p>
        </w:tc>
        <w:tc>
          <w:tcPr>
            <w:tcW w:w="1364" w:type="dxa"/>
            <w:noWrap w:val="0"/>
            <w:vAlign w:val="center"/>
          </w:tcPr>
          <w:p>
            <w:pPr>
              <w:pStyle w:val="16"/>
              <w:jc w:val="center"/>
              <w:rPr>
                <w:rFonts w:ascii="宋体" w:hAnsi="宋体"/>
                <w:b/>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5" w:hRule="atLeast"/>
          <w:jc w:val="center"/>
        </w:trPr>
        <w:tc>
          <w:tcPr>
            <w:tcW w:w="1556" w:type="dxa"/>
            <w:noWrap w:val="0"/>
            <w:vAlign w:val="center"/>
          </w:tcPr>
          <w:p>
            <w:pPr>
              <w:pStyle w:val="16"/>
              <w:jc w:val="center"/>
            </w:pPr>
          </w:p>
        </w:tc>
        <w:tc>
          <w:tcPr>
            <w:tcW w:w="1725" w:type="dxa"/>
            <w:noWrap w:val="0"/>
            <w:vAlign w:val="center"/>
          </w:tcPr>
          <w:p>
            <w:pPr>
              <w:pStyle w:val="16"/>
              <w:jc w:val="center"/>
            </w:pPr>
          </w:p>
        </w:tc>
        <w:tc>
          <w:tcPr>
            <w:tcW w:w="1588" w:type="dxa"/>
            <w:tcBorders>
              <w:right w:val="single" w:color="auto" w:sz="4" w:space="0"/>
            </w:tcBorders>
            <w:noWrap w:val="0"/>
            <w:vAlign w:val="center"/>
          </w:tcPr>
          <w:p>
            <w:pPr>
              <w:pStyle w:val="16"/>
              <w:jc w:val="center"/>
              <w:rPr>
                <w:rFonts w:ascii="宋体" w:hAnsi="宋体"/>
                <w:szCs w:val="20"/>
              </w:rPr>
            </w:pPr>
          </w:p>
        </w:tc>
        <w:tc>
          <w:tcPr>
            <w:tcW w:w="1762" w:type="dxa"/>
            <w:tcBorders>
              <w:left w:val="single" w:color="auto" w:sz="4" w:space="0"/>
            </w:tcBorders>
            <w:noWrap w:val="0"/>
            <w:vAlign w:val="center"/>
          </w:tcPr>
          <w:p>
            <w:pPr>
              <w:pStyle w:val="16"/>
              <w:jc w:val="center"/>
              <w:rPr>
                <w:rFonts w:ascii="宋体" w:hAnsi="宋体"/>
                <w:szCs w:val="20"/>
              </w:rPr>
            </w:pPr>
          </w:p>
        </w:tc>
        <w:tc>
          <w:tcPr>
            <w:tcW w:w="1475" w:type="dxa"/>
            <w:noWrap w:val="0"/>
            <w:vAlign w:val="center"/>
          </w:tcPr>
          <w:p>
            <w:pPr>
              <w:pStyle w:val="16"/>
              <w:jc w:val="center"/>
              <w:rPr>
                <w:rFonts w:ascii="宋体" w:hAnsi="宋体"/>
                <w:szCs w:val="20"/>
              </w:rPr>
            </w:pPr>
          </w:p>
        </w:tc>
        <w:tc>
          <w:tcPr>
            <w:tcW w:w="1364" w:type="dxa"/>
            <w:noWrap w:val="0"/>
            <w:vAlign w:val="center"/>
          </w:tcPr>
          <w:p>
            <w:pPr>
              <w:pStyle w:val="16"/>
              <w:jc w:val="center"/>
              <w:rPr>
                <w:rFonts w:ascii="宋体" w:hAnsi="宋体"/>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8" w:hRule="atLeast"/>
          <w:jc w:val="center"/>
        </w:trPr>
        <w:tc>
          <w:tcPr>
            <w:tcW w:w="1556" w:type="dxa"/>
            <w:noWrap w:val="0"/>
            <w:vAlign w:val="center"/>
          </w:tcPr>
          <w:p>
            <w:pPr>
              <w:pStyle w:val="16"/>
              <w:jc w:val="center"/>
            </w:pPr>
          </w:p>
        </w:tc>
        <w:tc>
          <w:tcPr>
            <w:tcW w:w="1725" w:type="dxa"/>
            <w:noWrap w:val="0"/>
            <w:vAlign w:val="center"/>
          </w:tcPr>
          <w:p>
            <w:pPr>
              <w:pStyle w:val="16"/>
              <w:jc w:val="center"/>
            </w:pPr>
          </w:p>
        </w:tc>
        <w:tc>
          <w:tcPr>
            <w:tcW w:w="1588" w:type="dxa"/>
            <w:tcBorders>
              <w:right w:val="single" w:color="auto" w:sz="4" w:space="0"/>
            </w:tcBorders>
            <w:noWrap w:val="0"/>
            <w:vAlign w:val="center"/>
          </w:tcPr>
          <w:p>
            <w:pPr>
              <w:pStyle w:val="16"/>
              <w:jc w:val="center"/>
              <w:rPr>
                <w:rFonts w:ascii="宋体" w:hAnsi="宋体"/>
                <w:szCs w:val="20"/>
              </w:rPr>
            </w:pPr>
          </w:p>
        </w:tc>
        <w:tc>
          <w:tcPr>
            <w:tcW w:w="1762" w:type="dxa"/>
            <w:tcBorders>
              <w:left w:val="single" w:color="auto" w:sz="4" w:space="0"/>
            </w:tcBorders>
            <w:noWrap w:val="0"/>
            <w:vAlign w:val="center"/>
          </w:tcPr>
          <w:p>
            <w:pPr>
              <w:pStyle w:val="16"/>
              <w:jc w:val="center"/>
              <w:rPr>
                <w:rFonts w:ascii="宋体" w:hAnsi="宋体"/>
                <w:szCs w:val="20"/>
              </w:rPr>
            </w:pPr>
          </w:p>
        </w:tc>
        <w:tc>
          <w:tcPr>
            <w:tcW w:w="1475" w:type="dxa"/>
            <w:noWrap w:val="0"/>
            <w:vAlign w:val="center"/>
          </w:tcPr>
          <w:p>
            <w:pPr>
              <w:pStyle w:val="16"/>
              <w:jc w:val="center"/>
              <w:rPr>
                <w:rFonts w:ascii="宋体" w:hAnsi="宋体"/>
                <w:szCs w:val="20"/>
              </w:rPr>
            </w:pPr>
          </w:p>
        </w:tc>
        <w:tc>
          <w:tcPr>
            <w:tcW w:w="1364" w:type="dxa"/>
            <w:noWrap w:val="0"/>
            <w:vAlign w:val="center"/>
          </w:tcPr>
          <w:p>
            <w:pPr>
              <w:pStyle w:val="16"/>
              <w:jc w:val="center"/>
              <w:rPr>
                <w:rFonts w:ascii="宋体" w:hAnsi="宋体"/>
                <w:szCs w:val="20"/>
              </w:rPr>
            </w:pPr>
          </w:p>
        </w:tc>
      </w:tr>
    </w:tbl>
    <w:p>
      <w:pPr>
        <w:pStyle w:val="16"/>
        <w:spacing w:before="156" w:beforeLines="50" w:after="156" w:afterLines="50"/>
        <w:rPr>
          <w:rFonts w:ascii="宋体" w:hAnsi="宋体"/>
          <w:b/>
          <w:szCs w:val="20"/>
        </w:rPr>
      </w:pPr>
      <w:r>
        <w:rPr>
          <w:rFonts w:hint="eastAsia" w:ascii="宋体" w:hAnsi="宋体"/>
          <w:b/>
          <w:szCs w:val="20"/>
        </w:rPr>
        <w:t>注：</w:t>
      </w:r>
    </w:p>
    <w:p>
      <w:pPr>
        <w:pStyle w:val="16"/>
        <w:spacing w:after="156" w:afterLines="50"/>
        <w:rPr>
          <w:rFonts w:ascii="宋体" w:hAnsi="宋体"/>
          <w:szCs w:val="20"/>
        </w:rPr>
      </w:pPr>
      <w:r>
        <w:rPr>
          <w:rFonts w:hint="eastAsia" w:ascii="宋体" w:hAnsi="宋体"/>
          <w:szCs w:val="20"/>
        </w:rPr>
        <w:t>1、此表格必须填写。</w:t>
      </w:r>
    </w:p>
    <w:p>
      <w:pPr>
        <w:pStyle w:val="16"/>
        <w:spacing w:line="360" w:lineRule="auto"/>
        <w:outlineLvl w:val="0"/>
        <w:rPr>
          <w:rFonts w:ascii="宋体" w:hAnsi="宋体"/>
          <w:b/>
          <w:sz w:val="28"/>
          <w:szCs w:val="28"/>
        </w:rPr>
      </w:pPr>
      <w:r>
        <w:rPr>
          <w:rFonts w:ascii="宋体" w:hAnsi="宋体"/>
          <w:b/>
          <w:szCs w:val="20"/>
        </w:rPr>
        <w:br w:type="page"/>
      </w:r>
      <w:bookmarkStart w:id="292" w:name="_Toc15796"/>
      <w:bookmarkStart w:id="293" w:name="_Toc19463"/>
      <w:r>
        <w:rPr>
          <w:rFonts w:hint="eastAsia"/>
          <w:b/>
          <w:sz w:val="28"/>
          <w:szCs w:val="28"/>
        </w:rPr>
        <w:t>10）</w:t>
      </w:r>
      <w:r>
        <w:rPr>
          <w:rFonts w:hint="eastAsia" w:ascii="宋体" w:hAnsi="宋体"/>
          <w:b/>
          <w:sz w:val="28"/>
          <w:szCs w:val="28"/>
        </w:rPr>
        <w:t>业绩</w:t>
      </w:r>
      <w:r>
        <w:rPr>
          <w:rFonts w:hint="eastAsia"/>
          <w:b/>
          <w:sz w:val="28"/>
          <w:szCs w:val="28"/>
        </w:rPr>
        <w:t>合同</w:t>
      </w:r>
      <w:r>
        <w:rPr>
          <w:rFonts w:hint="eastAsia" w:ascii="宋体" w:hAnsi="宋体"/>
          <w:b/>
          <w:sz w:val="28"/>
          <w:szCs w:val="28"/>
        </w:rPr>
        <w:t>扫描件</w:t>
      </w:r>
      <w:bookmarkEnd w:id="292"/>
      <w:bookmarkEnd w:id="293"/>
    </w:p>
    <w:p>
      <w:pPr>
        <w:pStyle w:val="16"/>
        <w:spacing w:line="440" w:lineRule="exact"/>
        <w:rPr>
          <w:rFonts w:ascii="宋体" w:hAnsi="宋体"/>
          <w:sz w:val="24"/>
        </w:rPr>
      </w:pPr>
      <w:r>
        <w:rPr>
          <w:rFonts w:hint="eastAsia" w:ascii="宋体" w:hAnsi="宋体"/>
          <w:sz w:val="24"/>
        </w:rPr>
        <w:t>（附上有关合同的用户证明或合同或经买方签发的货物订单等复印件，可不含涉及商业秘密的内容）</w:t>
      </w:r>
    </w:p>
    <w:p>
      <w:pPr>
        <w:pStyle w:val="16"/>
        <w:autoSpaceDE w:val="0"/>
        <w:autoSpaceDN w:val="0"/>
        <w:adjustRightInd w:val="0"/>
        <w:spacing w:line="259" w:lineRule="auto"/>
        <w:jc w:val="center"/>
        <w:rPr>
          <w:rFonts w:ascii="宋体" w:hAnsi="宋体"/>
          <w:sz w:val="24"/>
        </w:rPr>
      </w:pPr>
    </w:p>
    <w:tbl>
      <w:tblPr>
        <w:tblStyle w:val="11"/>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1137"/>
        <w:gridCol w:w="1118"/>
        <w:gridCol w:w="922"/>
        <w:gridCol w:w="922"/>
        <w:gridCol w:w="922"/>
        <w:gridCol w:w="979"/>
        <w:gridCol w:w="787"/>
        <w:gridCol w:w="1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869"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r>
              <w:rPr>
                <w:rFonts w:hint="eastAsia" w:ascii="宋体" w:hAnsi="宋体"/>
                <w:szCs w:val="21"/>
              </w:rPr>
              <w:t>序号</w:t>
            </w:r>
          </w:p>
        </w:tc>
        <w:tc>
          <w:tcPr>
            <w:tcW w:w="1137"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r>
              <w:rPr>
                <w:rFonts w:hint="eastAsia" w:ascii="宋体" w:hAnsi="宋体"/>
                <w:szCs w:val="21"/>
              </w:rPr>
              <w:t>型号/规格</w:t>
            </w:r>
          </w:p>
        </w:tc>
        <w:tc>
          <w:tcPr>
            <w:tcW w:w="1118"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r>
              <w:rPr>
                <w:rFonts w:hint="eastAsia" w:ascii="宋体" w:hAnsi="宋体"/>
                <w:szCs w:val="21"/>
              </w:rPr>
              <w:t>供货时间</w:t>
            </w: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r>
              <w:rPr>
                <w:rFonts w:hint="eastAsia" w:ascii="宋体" w:hAnsi="宋体"/>
                <w:szCs w:val="21"/>
              </w:rPr>
              <w:t>供货数量</w:t>
            </w: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r>
              <w:rPr>
                <w:rFonts w:hint="eastAsia" w:ascii="宋体" w:hAnsi="宋体"/>
                <w:szCs w:val="21"/>
              </w:rPr>
              <w:t>业主名称</w:t>
            </w: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r>
              <w:rPr>
                <w:rFonts w:hint="eastAsia" w:ascii="宋体" w:hAnsi="宋体"/>
                <w:szCs w:val="21"/>
              </w:rPr>
              <w:t>项目名称</w:t>
            </w:r>
          </w:p>
        </w:tc>
        <w:tc>
          <w:tcPr>
            <w:tcW w:w="979"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r>
              <w:rPr>
                <w:rFonts w:hint="eastAsia" w:ascii="宋体" w:hAnsi="宋体"/>
                <w:szCs w:val="21"/>
              </w:rPr>
              <w:t>买方联系人</w:t>
            </w:r>
          </w:p>
        </w:tc>
        <w:tc>
          <w:tcPr>
            <w:tcW w:w="787"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r>
              <w:rPr>
                <w:rFonts w:hint="eastAsia" w:ascii="宋体" w:hAnsi="宋体"/>
                <w:szCs w:val="21"/>
              </w:rPr>
              <w:t>电话</w:t>
            </w:r>
          </w:p>
        </w:tc>
        <w:tc>
          <w:tcPr>
            <w:tcW w:w="1563"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r>
              <w:rPr>
                <w:rFonts w:hint="eastAsia" w:ascii="宋体" w:hAnsi="宋体"/>
                <w:szCs w:val="21"/>
              </w:rPr>
              <w:t>所附合同等在投标文件中的页码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69"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1137"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1118"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79"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787"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1563"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69"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1137"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1118"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79"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787"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1563"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69"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1137"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1118"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79"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787"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1563"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69"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1137"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1118"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79"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787"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1563"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69"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1137"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1118"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79"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787"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1563"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69"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1137"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1118"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79"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787"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1563"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69"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1137"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1118"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79"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787"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1563"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69"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1137"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1118"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22"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979"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787"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c>
          <w:tcPr>
            <w:tcW w:w="1563" w:type="dxa"/>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3124" w:type="dxa"/>
            <w:gridSpan w:val="3"/>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r>
              <w:rPr>
                <w:rFonts w:hint="eastAsia" w:ascii="宋体" w:hAnsi="宋体"/>
                <w:szCs w:val="21"/>
              </w:rPr>
              <w:t>数量总计</w:t>
            </w:r>
          </w:p>
        </w:tc>
        <w:tc>
          <w:tcPr>
            <w:tcW w:w="6095" w:type="dxa"/>
            <w:gridSpan w:val="6"/>
            <w:noWrap w:val="0"/>
            <w:tcMar>
              <w:left w:w="0" w:type="dxa"/>
              <w:right w:w="0" w:type="dxa"/>
            </w:tcMar>
            <w:vAlign w:val="center"/>
          </w:tcPr>
          <w:p>
            <w:pPr>
              <w:pStyle w:val="16"/>
              <w:autoSpaceDE w:val="0"/>
              <w:autoSpaceDN w:val="0"/>
              <w:adjustRightInd w:val="0"/>
              <w:spacing w:line="259" w:lineRule="auto"/>
              <w:jc w:val="center"/>
              <w:rPr>
                <w:rFonts w:ascii="宋体" w:hAnsi="宋体"/>
                <w:szCs w:val="21"/>
              </w:rPr>
            </w:pPr>
          </w:p>
        </w:tc>
      </w:tr>
    </w:tbl>
    <w:p>
      <w:pPr>
        <w:pStyle w:val="16"/>
        <w:spacing w:line="440" w:lineRule="exact"/>
        <w:rPr>
          <w:rFonts w:ascii="宋体" w:hAnsi="宋体"/>
          <w:sz w:val="24"/>
        </w:rPr>
      </w:pPr>
    </w:p>
    <w:p>
      <w:pPr>
        <w:pStyle w:val="32"/>
        <w:adjustRightInd w:val="0"/>
        <w:snapToGrid w:val="0"/>
        <w:spacing w:line="360" w:lineRule="auto"/>
        <w:jc w:val="left"/>
        <w:rPr>
          <w:rFonts w:hAnsi="宋体"/>
          <w:b/>
        </w:rPr>
      </w:pPr>
    </w:p>
    <w:p>
      <w:pPr>
        <w:pStyle w:val="32"/>
        <w:adjustRightInd w:val="0"/>
        <w:snapToGrid w:val="0"/>
        <w:spacing w:line="360" w:lineRule="auto"/>
        <w:jc w:val="left"/>
        <w:rPr>
          <w:rFonts w:hAnsi="宋体"/>
          <w:b/>
        </w:rPr>
      </w:pPr>
    </w:p>
    <w:p>
      <w:pPr>
        <w:pStyle w:val="32"/>
        <w:adjustRightInd w:val="0"/>
        <w:snapToGrid w:val="0"/>
        <w:spacing w:line="360" w:lineRule="auto"/>
        <w:jc w:val="left"/>
        <w:rPr>
          <w:rFonts w:hAnsi="宋体"/>
          <w:b/>
        </w:rPr>
      </w:pPr>
      <w:r>
        <w:rPr>
          <w:rFonts w:hint="eastAsia" w:hAnsi="宋体"/>
          <w:b/>
        </w:rPr>
        <w:t>业绩合同要求：</w:t>
      </w:r>
    </w:p>
    <w:p>
      <w:pPr>
        <w:pStyle w:val="32"/>
        <w:numPr>
          <w:ilvl w:val="0"/>
          <w:numId w:val="37"/>
        </w:numPr>
        <w:adjustRightInd w:val="0"/>
        <w:snapToGrid w:val="0"/>
        <w:spacing w:line="360" w:lineRule="auto"/>
        <w:jc w:val="left"/>
        <w:rPr>
          <w:rFonts w:hAnsi="宋体"/>
          <w:b/>
        </w:rPr>
      </w:pPr>
      <w:r>
        <w:rPr>
          <w:rFonts w:hint="eastAsia" w:hAnsi="宋体"/>
          <w:b/>
        </w:rPr>
        <w:t>此附件所提交预审文件要求的业绩合同扫描件，扫描件必须清晰，至少包含合同封面、合同货物明细、数量、总价及签章页（须含日期）。</w:t>
      </w:r>
    </w:p>
    <w:p>
      <w:pPr>
        <w:pStyle w:val="16"/>
        <w:spacing w:after="100" w:afterAutospacing="1" w:line="400" w:lineRule="exact"/>
        <w:rPr>
          <w:rFonts w:ascii="宋体" w:hAnsi="宋体"/>
          <w:b/>
          <w:szCs w:val="20"/>
        </w:rPr>
      </w:pPr>
    </w:p>
    <w:p>
      <w:pPr>
        <w:pStyle w:val="16"/>
        <w:spacing w:line="360" w:lineRule="auto"/>
        <w:rPr>
          <w:rFonts w:ascii="宋体" w:hAnsi="宋体"/>
          <w:b/>
          <w:szCs w:val="20"/>
        </w:rPr>
      </w:pPr>
    </w:p>
    <w:p>
      <w:pPr>
        <w:pStyle w:val="16"/>
        <w:spacing w:after="100" w:afterAutospacing="1" w:line="400" w:lineRule="exact"/>
        <w:outlineLvl w:val="0"/>
        <w:rPr>
          <w:b/>
          <w:sz w:val="28"/>
          <w:szCs w:val="28"/>
        </w:rPr>
      </w:pPr>
      <w:r>
        <w:rPr>
          <w:rFonts w:ascii="宋体" w:hAnsi="宋体"/>
          <w:b/>
          <w:sz w:val="28"/>
          <w:szCs w:val="28"/>
        </w:rPr>
        <w:br w:type="page"/>
      </w:r>
      <w:bookmarkStart w:id="294" w:name="_Toc2179"/>
      <w:bookmarkStart w:id="295" w:name="_Toc30850"/>
      <w:r>
        <w:rPr>
          <w:rFonts w:hint="eastAsia"/>
          <w:b/>
          <w:sz w:val="28"/>
          <w:szCs w:val="28"/>
        </w:rPr>
        <w:t>11）提交的资格预审申请文件的电子版</w:t>
      </w:r>
      <w:bookmarkEnd w:id="294"/>
      <w:bookmarkEnd w:id="295"/>
    </w:p>
    <w:p>
      <w:pPr>
        <w:pStyle w:val="16"/>
        <w:spacing w:line="360" w:lineRule="auto"/>
        <w:ind w:left="562"/>
        <w:rPr>
          <w:b/>
          <w:sz w:val="24"/>
        </w:rPr>
      </w:pPr>
      <w:r>
        <w:rPr>
          <w:rFonts w:hint="eastAsia"/>
          <w:b/>
          <w:sz w:val="24"/>
        </w:rPr>
        <w:t>资格预审申请文件电子版提交检查表</w:t>
      </w:r>
    </w:p>
    <w:tbl>
      <w:tblPr>
        <w:tblStyle w:val="1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6"/>
        <w:gridCol w:w="4488"/>
        <w:gridCol w:w="1860"/>
        <w:gridCol w:w="13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3" w:hRule="atLeast"/>
        </w:trPr>
        <w:tc>
          <w:tcPr>
            <w:tcW w:w="479" w:type="pct"/>
            <w:noWrap w:val="0"/>
            <w:vAlign w:val="center"/>
          </w:tcPr>
          <w:p>
            <w:pPr>
              <w:pStyle w:val="16"/>
              <w:spacing w:line="400" w:lineRule="exact"/>
              <w:jc w:val="center"/>
              <w:rPr>
                <w:b/>
                <w:szCs w:val="21"/>
              </w:rPr>
            </w:pPr>
            <w:r>
              <w:rPr>
                <w:rFonts w:hint="eastAsia"/>
                <w:b/>
                <w:szCs w:val="21"/>
              </w:rPr>
              <w:t>序号</w:t>
            </w:r>
          </w:p>
        </w:tc>
        <w:tc>
          <w:tcPr>
            <w:tcW w:w="2633" w:type="pct"/>
            <w:noWrap w:val="0"/>
            <w:vAlign w:val="center"/>
          </w:tcPr>
          <w:p>
            <w:pPr>
              <w:pStyle w:val="16"/>
              <w:spacing w:line="400" w:lineRule="exact"/>
              <w:rPr>
                <w:b/>
                <w:szCs w:val="21"/>
              </w:rPr>
            </w:pPr>
            <w:r>
              <w:rPr>
                <w:rFonts w:hint="eastAsia"/>
                <w:b/>
                <w:szCs w:val="21"/>
              </w:rPr>
              <w:t>内容</w:t>
            </w:r>
          </w:p>
        </w:tc>
        <w:tc>
          <w:tcPr>
            <w:tcW w:w="1091" w:type="pct"/>
            <w:noWrap w:val="0"/>
            <w:vAlign w:val="center"/>
          </w:tcPr>
          <w:p>
            <w:pPr>
              <w:pStyle w:val="16"/>
              <w:spacing w:line="400" w:lineRule="exact"/>
              <w:rPr>
                <w:b/>
                <w:szCs w:val="21"/>
              </w:rPr>
            </w:pPr>
            <w:r>
              <w:rPr>
                <w:rFonts w:hint="eastAsia"/>
                <w:b/>
                <w:szCs w:val="21"/>
              </w:rPr>
              <w:t>是否提交</w:t>
            </w:r>
          </w:p>
        </w:tc>
        <w:tc>
          <w:tcPr>
            <w:tcW w:w="797" w:type="pct"/>
            <w:noWrap w:val="0"/>
            <w:vAlign w:val="center"/>
          </w:tcPr>
          <w:p>
            <w:pPr>
              <w:pStyle w:val="16"/>
              <w:spacing w:line="400" w:lineRule="exact"/>
              <w:rPr>
                <w:b/>
                <w:szCs w:val="21"/>
              </w:rPr>
            </w:pPr>
            <w:r>
              <w:rPr>
                <w:rFonts w:hint="eastAsia"/>
                <w:b/>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5" w:hRule="atLeast"/>
        </w:trPr>
        <w:tc>
          <w:tcPr>
            <w:tcW w:w="479" w:type="pct"/>
            <w:noWrap w:val="0"/>
            <w:vAlign w:val="center"/>
          </w:tcPr>
          <w:p>
            <w:pPr>
              <w:pStyle w:val="16"/>
              <w:spacing w:line="400" w:lineRule="exact"/>
              <w:jc w:val="center"/>
              <w:rPr>
                <w:szCs w:val="21"/>
              </w:rPr>
            </w:pPr>
            <w:r>
              <w:rPr>
                <w:rFonts w:hint="eastAsia"/>
                <w:szCs w:val="21"/>
              </w:rPr>
              <w:t>1</w:t>
            </w:r>
          </w:p>
        </w:tc>
        <w:tc>
          <w:tcPr>
            <w:tcW w:w="2633" w:type="pct"/>
            <w:noWrap w:val="0"/>
            <w:vAlign w:val="center"/>
          </w:tcPr>
          <w:p>
            <w:pPr>
              <w:pStyle w:val="16"/>
              <w:spacing w:line="400" w:lineRule="exact"/>
              <w:rPr>
                <w:szCs w:val="21"/>
              </w:rPr>
            </w:pPr>
            <w:r>
              <w:rPr>
                <w:rFonts w:hint="eastAsia"/>
                <w:szCs w:val="21"/>
              </w:rPr>
              <w:t>是否“提交了的资格预审申请文件的电子版”</w:t>
            </w:r>
          </w:p>
        </w:tc>
        <w:tc>
          <w:tcPr>
            <w:tcW w:w="1091" w:type="pct"/>
            <w:noWrap w:val="0"/>
            <w:vAlign w:val="center"/>
          </w:tcPr>
          <w:p>
            <w:pPr>
              <w:pStyle w:val="16"/>
              <w:spacing w:line="400" w:lineRule="exact"/>
              <w:rPr>
                <w:szCs w:val="21"/>
              </w:rPr>
            </w:pPr>
          </w:p>
        </w:tc>
        <w:tc>
          <w:tcPr>
            <w:tcW w:w="797" w:type="pct"/>
            <w:noWrap w:val="0"/>
            <w:vAlign w:val="center"/>
          </w:tcPr>
          <w:p>
            <w:pPr>
              <w:pStyle w:val="16"/>
              <w:spacing w:line="400" w:lineRule="exact"/>
              <w:rPr>
                <w:szCs w:val="21"/>
              </w:rPr>
            </w:pPr>
          </w:p>
        </w:tc>
      </w:tr>
    </w:tbl>
    <w:p>
      <w:pPr>
        <w:pStyle w:val="16"/>
        <w:spacing w:line="360" w:lineRule="auto"/>
        <w:rPr>
          <w:rFonts w:hAnsi="宋体"/>
          <w:b/>
        </w:rPr>
      </w:pPr>
    </w:p>
    <w:p>
      <w:pPr>
        <w:pStyle w:val="16"/>
        <w:spacing w:after="100" w:afterAutospacing="1" w:line="400" w:lineRule="exact"/>
        <w:outlineLvl w:val="0"/>
        <w:rPr>
          <w:b/>
          <w:sz w:val="28"/>
          <w:szCs w:val="28"/>
        </w:rPr>
      </w:pPr>
      <w:r>
        <w:rPr>
          <w:b/>
          <w:sz w:val="28"/>
          <w:szCs w:val="28"/>
        </w:rPr>
        <w:br w:type="page"/>
      </w:r>
      <w:bookmarkStart w:id="296" w:name="_Toc662"/>
      <w:bookmarkStart w:id="297" w:name="_Toc14246"/>
      <w:r>
        <w:rPr>
          <w:rFonts w:hint="eastAsia"/>
          <w:b/>
          <w:sz w:val="28"/>
          <w:szCs w:val="28"/>
        </w:rPr>
        <w:t>12）信誉要求：</w:t>
      </w:r>
      <w:bookmarkEnd w:id="296"/>
      <w:bookmarkEnd w:id="297"/>
    </w:p>
    <w:p>
      <w:pPr>
        <w:keepNext w:val="0"/>
        <w:keepLines w:val="0"/>
        <w:widowControl/>
        <w:suppressLineNumbers w:val="0"/>
        <w:spacing w:before="0" w:beforeAutospacing="0" w:after="0" w:afterAutospacing="0"/>
        <w:ind w:left="0" w:right="0"/>
        <w:jc w:val="left"/>
        <w:rPr>
          <w:rFonts w:ascii="微软雅黑" w:hAnsi="微软雅黑" w:eastAsia="微软雅黑" w:cs="宋体"/>
          <w:spacing w:val="-3"/>
          <w:kern w:val="0"/>
          <w:sz w:val="21"/>
          <w:szCs w:val="21"/>
          <w:lang w:eastAsia="zh-CN"/>
        </w:rPr>
      </w:pPr>
      <w:r>
        <w:rPr>
          <w:rFonts w:ascii="微软雅黑" w:hAnsi="微软雅黑" w:eastAsia="微软雅黑" w:cs="微软雅黑"/>
          <w:color w:val="000000"/>
          <w:kern w:val="0"/>
          <w:sz w:val="21"/>
          <w:szCs w:val="21"/>
          <w:lang w:eastAsia="zh-CN" w:bidi="ar"/>
        </w:rPr>
        <w:t>（1）</w:t>
      </w:r>
      <w:r>
        <w:rPr>
          <w:rFonts w:ascii="微软雅黑" w:hAnsi="微软雅黑" w:eastAsia="微软雅黑" w:cs="微软雅黑"/>
          <w:color w:val="000000"/>
          <w:spacing w:val="-3"/>
          <w:kern w:val="0"/>
          <w:sz w:val="21"/>
          <w:szCs w:val="21"/>
          <w:lang w:eastAsia="zh-CN" w:bidi="ar"/>
        </w:rPr>
        <w:t>在信用中国”网站（https://www.creditchina.gov.cn/）和“中国执行信息公开</w:t>
      </w:r>
    </w:p>
    <w:p>
      <w:pPr>
        <w:keepNext w:val="0"/>
        <w:keepLines w:val="0"/>
        <w:widowControl/>
        <w:suppressLineNumbers w:val="0"/>
        <w:spacing w:before="0" w:beforeAutospacing="0" w:after="0" w:afterAutospacing="0"/>
        <w:ind w:left="0" w:right="0"/>
        <w:jc w:val="left"/>
        <w:rPr>
          <w:rFonts w:ascii="微软雅黑" w:hAnsi="微软雅黑" w:eastAsia="微软雅黑" w:cs="宋体"/>
          <w:spacing w:val="-3"/>
          <w:kern w:val="0"/>
          <w:sz w:val="21"/>
          <w:szCs w:val="21"/>
          <w:lang w:eastAsia="zh-CN"/>
        </w:rPr>
      </w:pPr>
      <w:r>
        <w:rPr>
          <w:rFonts w:ascii="微软雅黑" w:hAnsi="微软雅黑" w:eastAsia="微软雅黑" w:cs="微软雅黑"/>
          <w:color w:val="000000"/>
          <w:spacing w:val="-3"/>
          <w:kern w:val="0"/>
          <w:sz w:val="21"/>
          <w:szCs w:val="21"/>
          <w:lang w:eastAsia="zh-CN" w:bidi="ar"/>
        </w:rPr>
        <w:t>网”网站（http://zxgk.court.gov.cn/）。</w:t>
      </w:r>
    </w:p>
    <w:p>
      <w:pPr>
        <w:keepNext w:val="0"/>
        <w:keepLines w:val="0"/>
        <w:widowControl/>
        <w:suppressLineNumbers w:val="0"/>
        <w:spacing w:before="0" w:beforeAutospacing="0" w:after="0" w:afterAutospacing="0"/>
        <w:ind w:left="0" w:right="0"/>
        <w:jc w:val="left"/>
        <w:rPr>
          <w:rFonts w:ascii="微软雅黑" w:hAnsi="微软雅黑" w:eastAsia="微软雅黑" w:cs="宋体"/>
          <w:spacing w:val="-3"/>
          <w:kern w:val="0"/>
          <w:sz w:val="22"/>
          <w:lang w:eastAsia="zh-CN"/>
        </w:rPr>
      </w:pPr>
      <w:r>
        <w:rPr>
          <w:rFonts w:ascii="微软雅黑" w:hAnsi="微软雅黑" w:eastAsia="微软雅黑" w:cs="宋体"/>
          <w:spacing w:val="-3"/>
          <w:kern w:val="0"/>
          <w:sz w:val="22"/>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kern w:val="0"/>
          <w:sz w:val="21"/>
          <w:szCs w:val="21"/>
          <w:lang w:eastAsia="zh-CN"/>
        </w:rPr>
      </w:pPr>
      <w:r>
        <w:rPr>
          <w:rFonts w:ascii="微软雅黑" w:hAnsi="微软雅黑" w:eastAsia="微软雅黑" w:cs="微软雅黑"/>
          <w:color w:val="000000"/>
          <w:kern w:val="0"/>
          <w:sz w:val="21"/>
          <w:szCs w:val="21"/>
          <w:lang w:eastAsia="zh-CN" w:bidi="ar"/>
        </w:rPr>
        <w:t>确认查询页面截图如下：</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spacing w:val="-3"/>
          <w:kern w:val="0"/>
          <w:sz w:val="21"/>
          <w:szCs w:val="21"/>
          <w:lang w:eastAsia="zh-CN"/>
        </w:rPr>
      </w:pPr>
      <w:r>
        <w:rPr>
          <w:rFonts w:ascii="微软雅黑" w:hAnsi="微软雅黑" w:eastAsia="微软雅黑" w:cs="微软雅黑"/>
          <w:color w:val="000000"/>
          <w:kern w:val="0"/>
          <w:sz w:val="21"/>
          <w:szCs w:val="21"/>
          <w:lang w:eastAsia="zh-CN" w:bidi="ar"/>
        </w:rPr>
        <w:t>（2）</w:t>
      </w:r>
      <w:r>
        <w:rPr>
          <w:rFonts w:ascii="微软雅黑" w:hAnsi="微软雅黑" w:eastAsia="微软雅黑" w:cs="微软雅黑"/>
          <w:color w:val="000000"/>
          <w:spacing w:val="-3"/>
          <w:kern w:val="0"/>
          <w:sz w:val="21"/>
          <w:szCs w:val="21"/>
          <w:lang w:eastAsia="zh-CN" w:bidi="ar"/>
        </w:rPr>
        <w:t>在全国企业信用信息公示系统（http://www.gsxt.gov.cn）中查询本单位是否被列入严重违法失信企业名单。</w:t>
      </w:r>
    </w:p>
    <w:p>
      <w:pPr>
        <w:keepNext w:val="0"/>
        <w:keepLines w:val="0"/>
        <w:widowControl/>
        <w:suppressLineNumbers w:val="0"/>
        <w:spacing w:before="0" w:beforeAutospacing="0" w:after="0" w:afterAutospacing="0"/>
        <w:ind w:left="0" w:right="0"/>
        <w:jc w:val="left"/>
        <w:rPr>
          <w:rFonts w:ascii="微软雅黑" w:hAnsi="微软雅黑" w:eastAsia="微软雅黑" w:cs="宋体"/>
          <w:spacing w:val="-3"/>
          <w:kern w:val="0"/>
          <w:sz w:val="22"/>
          <w:lang w:eastAsia="zh-CN"/>
        </w:rPr>
      </w:pPr>
      <w:r>
        <w:rPr>
          <w:rFonts w:ascii="微软雅黑" w:hAnsi="微软雅黑" w:eastAsia="微软雅黑" w:cs="宋体"/>
          <w:spacing w:val="-3"/>
          <w:kern w:val="0"/>
          <w:sz w:val="22"/>
          <w:lang w:eastAsia="zh-CN" w:bidi="ar"/>
        </w:rPr>
        <w:t xml:space="preserve"> </w:t>
      </w:r>
    </w:p>
    <w:p>
      <w:pPr>
        <w:keepNext w:val="0"/>
        <w:keepLines w:val="0"/>
        <w:widowControl/>
        <w:suppressLineNumbers w:val="0"/>
        <w:spacing w:before="0" w:beforeAutospacing="0" w:after="0" w:afterAutospacing="0"/>
        <w:ind w:left="0" w:right="0"/>
        <w:jc w:val="both"/>
        <w:rPr>
          <w:rFonts w:ascii="微软雅黑" w:hAnsi="微软雅黑" w:eastAsia="微软雅黑" w:cs="Times New Roman"/>
          <w:kern w:val="2"/>
          <w:sz w:val="21"/>
          <w:szCs w:val="21"/>
          <w:lang w:eastAsia="zh-CN"/>
        </w:rPr>
      </w:pPr>
      <w:r>
        <w:rPr>
          <w:rFonts w:ascii="微软雅黑" w:hAnsi="微软雅黑" w:eastAsia="微软雅黑" w:cs="微软雅黑"/>
          <w:color w:val="000000"/>
          <w:kern w:val="0"/>
          <w:sz w:val="21"/>
          <w:szCs w:val="21"/>
          <w:lang w:eastAsia="zh-CN" w:bidi="ar"/>
        </w:rPr>
        <w:t>确认查询页面截图如下：</w:t>
      </w:r>
    </w:p>
    <w:p>
      <w:pPr>
        <w:keepNext w:val="0"/>
        <w:keepLines w:val="0"/>
        <w:widowControl/>
        <w:suppressLineNumbers w:val="0"/>
        <w:spacing w:before="0" w:beforeAutospacing="0" w:after="0" w:afterAutospacing="0"/>
        <w:ind w:left="0" w:right="0"/>
        <w:jc w:val="left"/>
        <w:rPr>
          <w:rFonts w:ascii="微软雅黑" w:hAnsi="微软雅黑" w:eastAsia="微软雅黑" w:cs="宋体"/>
          <w:color w:val="000000"/>
          <w:spacing w:val="-3"/>
          <w:kern w:val="0"/>
          <w:sz w:val="21"/>
          <w:szCs w:val="21"/>
          <w:lang w:eastAsia="zh-CN"/>
        </w:rPr>
      </w:pPr>
      <w:r>
        <w:rPr>
          <w:rFonts w:ascii="微软雅黑" w:hAnsi="微软雅黑" w:eastAsia="微软雅黑" w:cs="宋体"/>
          <w:color w:val="000000"/>
          <w:spacing w:val="-3"/>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color w:val="000000"/>
          <w:spacing w:val="-3"/>
          <w:kern w:val="0"/>
          <w:sz w:val="21"/>
          <w:szCs w:val="21"/>
          <w:lang w:eastAsia="zh-CN"/>
        </w:rPr>
      </w:pPr>
      <w:r>
        <w:rPr>
          <w:rFonts w:ascii="微软雅黑" w:hAnsi="微软雅黑" w:eastAsia="微软雅黑" w:cs="宋体"/>
          <w:color w:val="000000"/>
          <w:spacing w:val="-3"/>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color w:val="000000"/>
          <w:spacing w:val="-3"/>
          <w:kern w:val="0"/>
          <w:sz w:val="21"/>
          <w:szCs w:val="21"/>
          <w:lang w:eastAsia="zh-CN"/>
        </w:rPr>
      </w:pPr>
      <w:r>
        <w:rPr>
          <w:rFonts w:ascii="微软雅黑" w:hAnsi="微软雅黑" w:eastAsia="微软雅黑" w:cs="宋体"/>
          <w:color w:val="000000"/>
          <w:spacing w:val="-3"/>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color w:val="000000"/>
          <w:spacing w:val="-3"/>
          <w:kern w:val="0"/>
          <w:sz w:val="21"/>
          <w:szCs w:val="21"/>
          <w:lang w:eastAsia="zh-CN"/>
        </w:rPr>
      </w:pPr>
      <w:r>
        <w:rPr>
          <w:rFonts w:ascii="微软雅黑" w:hAnsi="微软雅黑" w:eastAsia="微软雅黑" w:cs="宋体"/>
          <w:color w:val="000000"/>
          <w:spacing w:val="-3"/>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color w:val="000000"/>
          <w:spacing w:val="-3"/>
          <w:kern w:val="0"/>
          <w:sz w:val="21"/>
          <w:szCs w:val="21"/>
          <w:lang w:eastAsia="zh-CN"/>
        </w:rPr>
      </w:pPr>
      <w:r>
        <w:rPr>
          <w:rFonts w:ascii="微软雅黑" w:hAnsi="微软雅黑" w:eastAsia="微软雅黑" w:cs="宋体"/>
          <w:color w:val="000000"/>
          <w:spacing w:val="-3"/>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color w:val="000000"/>
          <w:spacing w:val="-3"/>
          <w:kern w:val="0"/>
          <w:sz w:val="21"/>
          <w:szCs w:val="21"/>
          <w:lang w:eastAsia="zh-CN"/>
        </w:rPr>
      </w:pPr>
      <w:r>
        <w:rPr>
          <w:rFonts w:ascii="微软雅黑" w:hAnsi="微软雅黑" w:eastAsia="微软雅黑" w:cs="宋体"/>
          <w:color w:val="000000"/>
          <w:spacing w:val="-3"/>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color w:val="000000"/>
          <w:spacing w:val="-3"/>
          <w:kern w:val="0"/>
          <w:sz w:val="21"/>
          <w:szCs w:val="21"/>
          <w:lang w:eastAsia="zh-CN"/>
        </w:rPr>
      </w:pPr>
      <w:r>
        <w:rPr>
          <w:rFonts w:ascii="微软雅黑" w:hAnsi="微软雅黑" w:eastAsia="微软雅黑" w:cs="宋体"/>
          <w:color w:val="000000"/>
          <w:spacing w:val="-3"/>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color w:val="000000"/>
          <w:spacing w:val="-3"/>
          <w:kern w:val="0"/>
          <w:sz w:val="21"/>
          <w:szCs w:val="21"/>
          <w:lang w:eastAsia="zh-CN"/>
        </w:rPr>
      </w:pPr>
      <w:r>
        <w:rPr>
          <w:rFonts w:ascii="微软雅黑" w:hAnsi="微软雅黑" w:eastAsia="微软雅黑" w:cs="宋体"/>
          <w:color w:val="000000"/>
          <w:spacing w:val="-3"/>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color w:val="000000"/>
          <w:spacing w:val="-3"/>
          <w:kern w:val="0"/>
          <w:sz w:val="21"/>
          <w:szCs w:val="21"/>
          <w:lang w:eastAsia="zh-CN"/>
        </w:rPr>
      </w:pPr>
      <w:r>
        <w:rPr>
          <w:rFonts w:ascii="微软雅黑" w:hAnsi="微软雅黑" w:eastAsia="微软雅黑" w:cs="宋体"/>
          <w:color w:val="000000"/>
          <w:spacing w:val="-3"/>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color w:val="000000"/>
          <w:spacing w:val="-3"/>
          <w:kern w:val="0"/>
          <w:sz w:val="21"/>
          <w:szCs w:val="21"/>
          <w:lang w:eastAsia="zh-CN"/>
        </w:rPr>
      </w:pPr>
      <w:r>
        <w:rPr>
          <w:rFonts w:ascii="微软雅黑" w:hAnsi="微软雅黑" w:eastAsia="微软雅黑" w:cs="宋体"/>
          <w:color w:val="000000"/>
          <w:spacing w:val="-3"/>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color w:val="000000"/>
          <w:spacing w:val="-3"/>
          <w:kern w:val="0"/>
          <w:sz w:val="21"/>
          <w:szCs w:val="21"/>
          <w:lang w:eastAsia="zh-CN"/>
        </w:rPr>
      </w:pPr>
      <w:r>
        <w:rPr>
          <w:rFonts w:ascii="微软雅黑" w:hAnsi="微软雅黑" w:eastAsia="微软雅黑" w:cs="宋体"/>
          <w:color w:val="000000"/>
          <w:spacing w:val="-3"/>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color w:val="000000"/>
          <w:spacing w:val="-3"/>
          <w:kern w:val="0"/>
          <w:sz w:val="21"/>
          <w:szCs w:val="21"/>
          <w:lang w:eastAsia="zh-CN"/>
        </w:rPr>
      </w:pPr>
      <w:r>
        <w:rPr>
          <w:rFonts w:ascii="微软雅黑" w:hAnsi="微软雅黑" w:eastAsia="微软雅黑" w:cs="宋体"/>
          <w:color w:val="000000"/>
          <w:spacing w:val="-3"/>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color w:val="000000"/>
          <w:spacing w:val="-3"/>
          <w:kern w:val="0"/>
          <w:sz w:val="21"/>
          <w:szCs w:val="21"/>
          <w:lang w:eastAsia="zh-CN"/>
        </w:rPr>
      </w:pPr>
      <w:r>
        <w:rPr>
          <w:rFonts w:ascii="微软雅黑" w:hAnsi="微软雅黑" w:eastAsia="微软雅黑" w:cs="宋体"/>
          <w:color w:val="000000"/>
          <w:spacing w:val="-3"/>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color w:val="000000"/>
          <w:spacing w:val="-3"/>
          <w:kern w:val="0"/>
          <w:sz w:val="21"/>
          <w:szCs w:val="21"/>
          <w:lang w:eastAsia="zh-CN"/>
        </w:rPr>
      </w:pPr>
      <w:r>
        <w:rPr>
          <w:rFonts w:ascii="微软雅黑" w:hAnsi="微软雅黑" w:eastAsia="微软雅黑" w:cs="宋体"/>
          <w:color w:val="000000"/>
          <w:spacing w:val="-3"/>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color w:val="000000"/>
          <w:spacing w:val="-3"/>
          <w:kern w:val="0"/>
          <w:sz w:val="21"/>
          <w:szCs w:val="21"/>
          <w:lang w:eastAsia="zh-CN"/>
        </w:rPr>
      </w:pPr>
      <w:r>
        <w:rPr>
          <w:rFonts w:ascii="微软雅黑" w:hAnsi="微软雅黑" w:eastAsia="微软雅黑" w:cs="宋体"/>
          <w:color w:val="000000"/>
          <w:spacing w:val="-3"/>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color w:val="000000"/>
          <w:spacing w:val="-3"/>
          <w:kern w:val="0"/>
          <w:sz w:val="21"/>
          <w:szCs w:val="21"/>
          <w:lang w:eastAsia="zh-CN"/>
        </w:rPr>
      </w:pPr>
      <w:r>
        <w:rPr>
          <w:rFonts w:ascii="微软雅黑" w:hAnsi="微软雅黑" w:eastAsia="微软雅黑" w:cs="宋体"/>
          <w:color w:val="000000"/>
          <w:spacing w:val="-3"/>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color w:val="000000"/>
          <w:spacing w:val="-3"/>
          <w:kern w:val="0"/>
          <w:sz w:val="21"/>
          <w:szCs w:val="21"/>
          <w:lang w:eastAsia="zh-CN"/>
        </w:rPr>
      </w:pPr>
      <w:r>
        <w:rPr>
          <w:rFonts w:ascii="微软雅黑" w:hAnsi="微软雅黑" w:eastAsia="微软雅黑" w:cs="宋体"/>
          <w:color w:val="000000"/>
          <w:spacing w:val="-3"/>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color w:val="000000"/>
          <w:spacing w:val="-3"/>
          <w:kern w:val="0"/>
          <w:sz w:val="21"/>
          <w:szCs w:val="21"/>
          <w:lang w:eastAsia="zh-CN"/>
        </w:rPr>
      </w:pPr>
      <w:r>
        <w:rPr>
          <w:rFonts w:ascii="微软雅黑" w:hAnsi="微软雅黑" w:eastAsia="微软雅黑" w:cs="宋体"/>
          <w:color w:val="000000"/>
          <w:spacing w:val="-3"/>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spacing w:val="-3"/>
          <w:kern w:val="0"/>
          <w:sz w:val="21"/>
          <w:szCs w:val="21"/>
          <w:lang w:eastAsia="zh-CN"/>
        </w:rPr>
      </w:pPr>
      <w:r>
        <w:rPr>
          <w:rFonts w:ascii="微软雅黑" w:hAnsi="微软雅黑" w:eastAsia="微软雅黑" w:cs="宋体"/>
          <w:color w:val="000000"/>
          <w:spacing w:val="-3"/>
          <w:kern w:val="0"/>
          <w:sz w:val="21"/>
          <w:szCs w:val="21"/>
          <w:lang w:eastAsia="zh-CN" w:bidi="ar"/>
        </w:rPr>
        <w:t xml:space="preserve"> </w:t>
      </w:r>
      <w:r>
        <w:rPr>
          <w:rFonts w:ascii="微软雅黑" w:hAnsi="微软雅黑" w:eastAsia="微软雅黑" w:cs="微软雅黑"/>
          <w:color w:val="000000"/>
          <w:spacing w:val="-3"/>
          <w:kern w:val="0"/>
          <w:sz w:val="21"/>
          <w:szCs w:val="21"/>
          <w:lang w:eastAsia="zh-CN" w:bidi="ar"/>
        </w:rPr>
        <w:t>（3）在“中国裁判文书网”（http</w:t>
      </w:r>
      <w:r>
        <w:rPr>
          <w:rFonts w:ascii="微软雅黑" w:hAnsi="微软雅黑" w:eastAsia="微软雅黑" w:cs="宋体"/>
          <w:color w:val="000000"/>
          <w:spacing w:val="-3"/>
          <w:kern w:val="0"/>
          <w:sz w:val="21"/>
          <w:szCs w:val="21"/>
          <w:lang w:eastAsia="zh-CN" w:bidi="ar"/>
        </w:rPr>
        <w:t>://wenshu.court.gov.cn</w:t>
      </w:r>
      <w:r>
        <w:rPr>
          <w:rFonts w:ascii="微软雅黑" w:hAnsi="微软雅黑" w:eastAsia="微软雅黑" w:cs="微软雅黑"/>
          <w:color w:val="000000"/>
          <w:spacing w:val="-3"/>
          <w:kern w:val="0"/>
          <w:sz w:val="21"/>
          <w:szCs w:val="21"/>
          <w:lang w:eastAsia="zh-CN" w:bidi="ar"/>
        </w:rPr>
        <w:t>）中查询本单位及其法人代表、拟委任的项目责任人是否存在行贿犯罪信息。</w:t>
      </w:r>
    </w:p>
    <w:p>
      <w:pPr>
        <w:keepNext w:val="0"/>
        <w:keepLines w:val="0"/>
        <w:widowControl/>
        <w:suppressLineNumbers w:val="0"/>
        <w:spacing w:before="0" w:beforeAutospacing="0" w:after="0" w:afterAutospacing="0"/>
        <w:ind w:left="0" w:right="0"/>
        <w:jc w:val="left"/>
        <w:rPr>
          <w:rFonts w:ascii="微软雅黑" w:hAnsi="微软雅黑" w:eastAsia="微软雅黑" w:cs="宋体"/>
          <w:kern w:val="0"/>
          <w:sz w:val="21"/>
          <w:szCs w:val="21"/>
          <w:lang w:eastAsia="zh-CN"/>
        </w:rPr>
      </w:pPr>
      <w:r>
        <w:rPr>
          <w:rFonts w:ascii="微软雅黑" w:hAnsi="微软雅黑" w:eastAsia="微软雅黑" w:cs="宋体"/>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kern w:val="0"/>
          <w:sz w:val="21"/>
          <w:szCs w:val="21"/>
          <w:lang w:eastAsia="zh-CN"/>
        </w:rPr>
      </w:pPr>
      <w:r>
        <w:rPr>
          <w:rFonts w:ascii="微软雅黑" w:hAnsi="微软雅黑" w:eastAsia="微软雅黑" w:cs="宋体"/>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kern w:val="0"/>
          <w:sz w:val="21"/>
          <w:szCs w:val="21"/>
          <w:lang w:eastAsia="zh-CN"/>
        </w:rPr>
      </w:pPr>
      <w:r>
        <w:rPr>
          <w:rFonts w:ascii="微软雅黑" w:hAnsi="微软雅黑" w:eastAsia="微软雅黑" w:cs="微软雅黑"/>
          <w:color w:val="000000"/>
          <w:kern w:val="0"/>
          <w:sz w:val="21"/>
          <w:szCs w:val="21"/>
          <w:lang w:eastAsia="zh-CN" w:bidi="ar"/>
        </w:rPr>
        <w:t>确认查询页面截图如下</w:t>
      </w:r>
    </w:p>
    <w:p>
      <w:pPr>
        <w:keepNext w:val="0"/>
        <w:keepLines w:val="0"/>
        <w:widowControl/>
        <w:suppressLineNumbers w:val="0"/>
        <w:spacing w:before="0" w:beforeAutospacing="0" w:after="0" w:afterAutospacing="0"/>
        <w:ind w:left="0" w:right="0"/>
        <w:jc w:val="left"/>
        <w:rPr>
          <w:rFonts w:ascii="微软雅黑" w:hAnsi="微软雅黑" w:eastAsia="微软雅黑" w:cs="宋体"/>
          <w:kern w:val="0"/>
          <w:sz w:val="21"/>
          <w:szCs w:val="21"/>
          <w:lang w:eastAsia="zh-CN"/>
        </w:rPr>
      </w:pPr>
      <w:r>
        <w:rPr>
          <w:rFonts w:ascii="微软雅黑" w:hAnsi="微软雅黑" w:eastAsia="微软雅黑" w:cs="宋体"/>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kern w:val="0"/>
          <w:sz w:val="21"/>
          <w:szCs w:val="21"/>
          <w:lang w:eastAsia="zh-CN"/>
        </w:rPr>
      </w:pPr>
      <w:r>
        <w:rPr>
          <w:rFonts w:ascii="微软雅黑" w:hAnsi="微软雅黑" w:eastAsia="微软雅黑" w:cs="宋体"/>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kern w:val="0"/>
          <w:sz w:val="21"/>
          <w:szCs w:val="21"/>
          <w:lang w:eastAsia="zh-CN"/>
        </w:rPr>
      </w:pPr>
      <w:r>
        <w:rPr>
          <w:rFonts w:ascii="微软雅黑" w:hAnsi="微软雅黑" w:eastAsia="微软雅黑" w:cs="宋体"/>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kern w:val="0"/>
          <w:sz w:val="21"/>
          <w:szCs w:val="21"/>
          <w:lang w:eastAsia="zh-CN"/>
        </w:rPr>
      </w:pPr>
      <w:r>
        <w:rPr>
          <w:rFonts w:ascii="微软雅黑" w:hAnsi="微软雅黑" w:eastAsia="微软雅黑" w:cs="宋体"/>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kern w:val="0"/>
          <w:sz w:val="21"/>
          <w:szCs w:val="21"/>
          <w:lang w:eastAsia="zh-CN"/>
        </w:rPr>
      </w:pPr>
      <w:r>
        <w:rPr>
          <w:rFonts w:ascii="微软雅黑" w:hAnsi="微软雅黑" w:eastAsia="微软雅黑" w:cs="宋体"/>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kern w:val="0"/>
          <w:sz w:val="21"/>
          <w:szCs w:val="21"/>
          <w:lang w:eastAsia="zh-CN"/>
        </w:rPr>
      </w:pPr>
      <w:r>
        <w:rPr>
          <w:rFonts w:ascii="微软雅黑" w:hAnsi="微软雅黑" w:eastAsia="微软雅黑" w:cs="宋体"/>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kern w:val="0"/>
          <w:sz w:val="21"/>
          <w:szCs w:val="21"/>
          <w:lang w:eastAsia="zh-CN"/>
        </w:rPr>
      </w:pPr>
      <w:r>
        <w:rPr>
          <w:rFonts w:ascii="微软雅黑" w:hAnsi="微软雅黑" w:eastAsia="微软雅黑" w:cs="宋体"/>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kern w:val="0"/>
          <w:sz w:val="21"/>
          <w:szCs w:val="21"/>
          <w:lang w:eastAsia="zh-CN"/>
        </w:rPr>
      </w:pPr>
      <w:r>
        <w:rPr>
          <w:rFonts w:ascii="微软雅黑" w:hAnsi="微软雅黑" w:eastAsia="微软雅黑" w:cs="宋体"/>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kern w:val="0"/>
          <w:sz w:val="21"/>
          <w:szCs w:val="21"/>
          <w:lang w:eastAsia="zh-CN"/>
        </w:rPr>
      </w:pPr>
      <w:r>
        <w:rPr>
          <w:rFonts w:ascii="微软雅黑" w:hAnsi="微软雅黑" w:eastAsia="微软雅黑" w:cs="宋体"/>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kern w:val="0"/>
          <w:sz w:val="21"/>
          <w:szCs w:val="21"/>
          <w:lang w:eastAsia="zh-CN"/>
        </w:rPr>
      </w:pPr>
      <w:r>
        <w:rPr>
          <w:rFonts w:ascii="微软雅黑" w:hAnsi="微软雅黑" w:eastAsia="微软雅黑" w:cs="宋体"/>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kern w:val="0"/>
          <w:sz w:val="21"/>
          <w:szCs w:val="21"/>
          <w:lang w:eastAsia="zh-CN"/>
        </w:rPr>
      </w:pPr>
      <w:r>
        <w:rPr>
          <w:rFonts w:ascii="微软雅黑" w:hAnsi="微软雅黑" w:eastAsia="微软雅黑" w:cs="宋体"/>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kern w:val="0"/>
          <w:sz w:val="21"/>
          <w:szCs w:val="21"/>
          <w:lang w:eastAsia="zh-CN"/>
        </w:rPr>
      </w:pPr>
      <w:r>
        <w:rPr>
          <w:rFonts w:ascii="微软雅黑" w:hAnsi="微软雅黑" w:eastAsia="微软雅黑" w:cs="宋体"/>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kern w:val="0"/>
          <w:sz w:val="21"/>
          <w:szCs w:val="21"/>
          <w:lang w:eastAsia="zh-CN"/>
        </w:rPr>
      </w:pPr>
      <w:r>
        <w:rPr>
          <w:rFonts w:ascii="微软雅黑" w:hAnsi="微软雅黑" w:eastAsia="微软雅黑" w:cs="宋体"/>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kern w:val="0"/>
          <w:sz w:val="21"/>
          <w:szCs w:val="21"/>
          <w:lang w:eastAsia="zh-CN"/>
        </w:rPr>
      </w:pPr>
      <w:r>
        <w:rPr>
          <w:rFonts w:ascii="微软雅黑" w:hAnsi="微软雅黑" w:eastAsia="微软雅黑" w:cs="宋体"/>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kern w:val="0"/>
          <w:sz w:val="21"/>
          <w:szCs w:val="21"/>
          <w:lang w:eastAsia="zh-CN"/>
        </w:rPr>
      </w:pPr>
      <w:r>
        <w:rPr>
          <w:rFonts w:ascii="微软雅黑" w:hAnsi="微软雅黑" w:eastAsia="微软雅黑" w:cs="宋体"/>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kern w:val="0"/>
          <w:sz w:val="21"/>
          <w:szCs w:val="21"/>
          <w:lang w:eastAsia="zh-CN"/>
        </w:rPr>
      </w:pPr>
      <w:r>
        <w:rPr>
          <w:rFonts w:ascii="微软雅黑" w:hAnsi="微软雅黑" w:eastAsia="微软雅黑" w:cs="宋体"/>
          <w:kern w:val="0"/>
          <w:sz w:val="21"/>
          <w:szCs w:val="21"/>
          <w:lang w:eastAsia="zh-CN" w:bidi="ar"/>
        </w:rPr>
        <w:t xml:space="preserve"> </w:t>
      </w:r>
    </w:p>
    <w:p>
      <w:pPr>
        <w:keepNext w:val="0"/>
        <w:keepLines w:val="0"/>
        <w:widowControl/>
        <w:suppressLineNumbers w:val="0"/>
        <w:spacing w:before="0" w:beforeAutospacing="0" w:after="0" w:afterAutospacing="0"/>
        <w:ind w:left="0" w:right="0"/>
        <w:jc w:val="left"/>
        <w:rPr>
          <w:rFonts w:ascii="微软雅黑" w:hAnsi="微软雅黑" w:eastAsia="微软雅黑" w:cs="宋体"/>
          <w:kern w:val="0"/>
          <w:sz w:val="21"/>
          <w:szCs w:val="21"/>
          <w:lang w:eastAsia="zh-CN"/>
        </w:rPr>
      </w:pPr>
      <w:r>
        <w:rPr>
          <w:rFonts w:ascii="微软雅黑" w:hAnsi="微软雅黑" w:eastAsia="微软雅黑" w:cs="宋体"/>
          <w:kern w:val="0"/>
          <w:sz w:val="21"/>
          <w:szCs w:val="21"/>
          <w:lang w:eastAsia="zh-CN" w:bidi="ar"/>
        </w:rPr>
        <w:t xml:space="preserve"> </w:t>
      </w:r>
    </w:p>
    <w:p>
      <w:pPr>
        <w:pStyle w:val="16"/>
        <w:spacing w:after="100" w:afterAutospacing="1" w:line="400" w:lineRule="exact"/>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rPr>
          <w:sz w:val="24"/>
        </w:rPr>
      </w:pPr>
    </w:p>
    <w:p>
      <w:pPr>
        <w:pStyle w:val="16"/>
      </w:pPr>
    </w:p>
    <w:p>
      <w:pPr>
        <w:pStyle w:val="33"/>
        <w:spacing w:line="443" w:lineRule="exact"/>
        <w:ind w:left="3" w:right="1"/>
        <w:jc w:val="center"/>
        <w:outlineLvl w:val="1"/>
        <w:rPr>
          <w:rFonts w:eastAsia="宋体"/>
          <w:lang w:eastAsia="zh-CN"/>
        </w:rPr>
      </w:pPr>
    </w:p>
    <w:p>
      <w:pPr>
        <w:pStyle w:val="33"/>
        <w:spacing w:line="443" w:lineRule="exact"/>
        <w:ind w:left="3" w:right="1"/>
        <w:jc w:val="center"/>
        <w:outlineLvl w:val="1"/>
        <w:rPr>
          <w:rFonts w:eastAsia="宋体"/>
          <w:lang w:eastAsia="zh-CN"/>
        </w:rPr>
      </w:pPr>
    </w:p>
    <w:p>
      <w:pPr>
        <w:pStyle w:val="33"/>
        <w:spacing w:line="443" w:lineRule="exact"/>
        <w:ind w:left="3" w:right="1"/>
        <w:jc w:val="center"/>
        <w:outlineLvl w:val="1"/>
        <w:rPr>
          <w:rFonts w:eastAsia="宋体"/>
          <w:lang w:eastAsia="zh-CN"/>
        </w:rPr>
      </w:pPr>
    </w:p>
    <w:p>
      <w:pPr>
        <w:pStyle w:val="33"/>
        <w:spacing w:line="443" w:lineRule="exact"/>
        <w:ind w:left="3" w:right="1"/>
        <w:jc w:val="center"/>
        <w:outlineLvl w:val="1"/>
        <w:rPr>
          <w:rFonts w:eastAsia="宋体"/>
          <w:lang w:eastAsia="zh-CN"/>
        </w:rPr>
      </w:pPr>
    </w:p>
    <w:p>
      <w:pPr>
        <w:pStyle w:val="33"/>
        <w:spacing w:line="443" w:lineRule="exact"/>
        <w:ind w:left="3" w:right="1"/>
        <w:jc w:val="center"/>
        <w:outlineLvl w:val="1"/>
        <w:rPr>
          <w:rFonts w:eastAsia="宋体"/>
          <w:lang w:eastAsia="zh-CN"/>
        </w:rPr>
      </w:pPr>
    </w:p>
    <w:p>
      <w:pPr>
        <w:pStyle w:val="33"/>
        <w:spacing w:line="443" w:lineRule="exact"/>
        <w:ind w:left="3" w:right="1"/>
        <w:jc w:val="center"/>
        <w:outlineLvl w:val="1"/>
        <w:rPr>
          <w:rFonts w:eastAsia="宋体"/>
          <w:lang w:eastAsia="zh-CN"/>
        </w:rPr>
      </w:pPr>
    </w:p>
    <w:p>
      <w:pPr>
        <w:pStyle w:val="33"/>
        <w:spacing w:line="443" w:lineRule="exact"/>
        <w:ind w:left="3" w:right="1"/>
        <w:jc w:val="center"/>
        <w:outlineLvl w:val="1"/>
        <w:rPr>
          <w:rFonts w:eastAsia="宋体"/>
          <w:lang w:eastAsia="zh-CN"/>
        </w:rPr>
      </w:pPr>
    </w:p>
    <w:p>
      <w:pPr>
        <w:pStyle w:val="33"/>
        <w:spacing w:line="443" w:lineRule="exact"/>
        <w:ind w:left="3" w:right="1"/>
        <w:jc w:val="center"/>
        <w:outlineLvl w:val="1"/>
        <w:rPr>
          <w:rFonts w:eastAsia="宋体"/>
          <w:lang w:eastAsia="zh-CN"/>
        </w:rPr>
      </w:pPr>
    </w:p>
    <w:p>
      <w:pPr>
        <w:pStyle w:val="33"/>
        <w:spacing w:line="443" w:lineRule="exact"/>
        <w:ind w:left="3" w:right="1"/>
        <w:jc w:val="center"/>
        <w:outlineLvl w:val="1"/>
        <w:rPr>
          <w:rFonts w:eastAsia="宋体"/>
          <w:lang w:eastAsia="zh-CN"/>
        </w:rPr>
      </w:pPr>
    </w:p>
    <w:p>
      <w:pPr>
        <w:pStyle w:val="33"/>
        <w:spacing w:line="443" w:lineRule="exact"/>
        <w:ind w:left="3" w:right="1"/>
        <w:jc w:val="center"/>
        <w:outlineLvl w:val="1"/>
        <w:rPr>
          <w:rFonts w:eastAsia="宋体"/>
          <w:lang w:eastAsia="zh-CN"/>
        </w:rPr>
      </w:pPr>
    </w:p>
    <w:p>
      <w:pPr>
        <w:pStyle w:val="33"/>
        <w:spacing w:line="443" w:lineRule="exact"/>
        <w:ind w:left="3" w:right="1"/>
        <w:jc w:val="center"/>
        <w:outlineLvl w:val="1"/>
        <w:rPr>
          <w:rFonts w:eastAsia="宋体"/>
          <w:lang w:eastAsia="zh-CN"/>
        </w:rPr>
      </w:pPr>
    </w:p>
    <w:p>
      <w:pPr>
        <w:pStyle w:val="33"/>
        <w:spacing w:line="443" w:lineRule="exact"/>
        <w:ind w:left="3" w:right="1"/>
        <w:jc w:val="center"/>
        <w:outlineLvl w:val="1"/>
        <w:rPr>
          <w:rFonts w:eastAsia="宋体"/>
          <w:lang w:eastAsia="zh-CN"/>
        </w:rPr>
      </w:pPr>
    </w:p>
    <w:p>
      <w:pPr>
        <w:pStyle w:val="33"/>
        <w:spacing w:line="443" w:lineRule="exact"/>
        <w:ind w:left="3" w:right="1"/>
        <w:jc w:val="center"/>
        <w:outlineLvl w:val="1"/>
        <w:rPr>
          <w:rFonts w:eastAsia="宋体"/>
          <w:lang w:eastAsia="zh-CN"/>
        </w:rPr>
      </w:pPr>
    </w:p>
    <w:p>
      <w:pPr>
        <w:pStyle w:val="33"/>
        <w:spacing w:line="443" w:lineRule="exact"/>
        <w:ind w:left="3" w:right="1"/>
        <w:jc w:val="center"/>
        <w:outlineLvl w:val="1"/>
        <w:rPr>
          <w:rFonts w:eastAsia="宋体"/>
          <w:lang w:eastAsia="zh-CN"/>
        </w:rPr>
      </w:pPr>
    </w:p>
    <w:p>
      <w:pPr>
        <w:pStyle w:val="33"/>
        <w:spacing w:line="443" w:lineRule="exact"/>
        <w:ind w:left="3" w:right="1"/>
        <w:jc w:val="center"/>
        <w:outlineLvl w:val="1"/>
        <w:rPr>
          <w:rFonts w:eastAsia="宋体"/>
          <w:lang w:eastAsia="zh-CN"/>
        </w:rPr>
      </w:pPr>
    </w:p>
    <w:p>
      <w:pPr>
        <w:pStyle w:val="33"/>
        <w:spacing w:line="443" w:lineRule="exact"/>
        <w:ind w:left="3" w:right="1"/>
        <w:jc w:val="center"/>
        <w:outlineLvl w:val="1"/>
        <w:rPr>
          <w:rFonts w:eastAsia="宋体"/>
          <w:lang w:eastAsia="zh-CN"/>
        </w:rPr>
      </w:pPr>
    </w:p>
    <w:p>
      <w:pPr>
        <w:pStyle w:val="33"/>
        <w:spacing w:line="443" w:lineRule="exact"/>
        <w:ind w:left="3" w:right="1"/>
        <w:jc w:val="center"/>
        <w:outlineLvl w:val="1"/>
        <w:rPr>
          <w:rFonts w:eastAsia="宋体"/>
          <w:lang w:eastAsia="zh-CN"/>
        </w:rPr>
      </w:pPr>
    </w:p>
    <w:p>
      <w:pPr>
        <w:pStyle w:val="33"/>
        <w:spacing w:line="443" w:lineRule="exact"/>
        <w:ind w:left="3" w:right="1"/>
        <w:jc w:val="center"/>
        <w:outlineLvl w:val="1"/>
        <w:rPr>
          <w:rFonts w:eastAsia="宋体"/>
          <w:lang w:eastAsia="zh-CN"/>
        </w:rPr>
      </w:pPr>
    </w:p>
    <w:p>
      <w:pPr>
        <w:pStyle w:val="33"/>
        <w:spacing w:line="443" w:lineRule="exact"/>
        <w:ind w:left="3" w:right="1"/>
        <w:jc w:val="center"/>
        <w:outlineLvl w:val="1"/>
        <w:rPr>
          <w:rFonts w:eastAsia="宋体"/>
          <w:lang w:eastAsia="zh-CN"/>
        </w:rPr>
      </w:pPr>
    </w:p>
    <w:p>
      <w:pPr>
        <w:pStyle w:val="33"/>
        <w:spacing w:line="443" w:lineRule="exact"/>
        <w:ind w:left="3" w:right="1"/>
        <w:jc w:val="center"/>
        <w:outlineLvl w:val="1"/>
        <w:rPr>
          <w:rFonts w:eastAsia="宋体"/>
          <w:lang w:eastAsia="zh-CN"/>
        </w:rPr>
      </w:pPr>
    </w:p>
    <w:p>
      <w:pPr>
        <w:pStyle w:val="33"/>
        <w:spacing w:line="443" w:lineRule="exact"/>
        <w:ind w:left="3" w:right="1"/>
        <w:jc w:val="center"/>
        <w:outlineLvl w:val="1"/>
        <w:rPr>
          <w:rFonts w:eastAsia="宋体"/>
          <w:lang w:eastAsia="zh-CN"/>
        </w:rPr>
      </w:pPr>
    </w:p>
    <w:p>
      <w:pPr>
        <w:pStyle w:val="33"/>
        <w:spacing w:line="443" w:lineRule="exact"/>
        <w:ind w:left="3" w:right="1"/>
        <w:jc w:val="center"/>
        <w:outlineLvl w:val="1"/>
        <w:rPr>
          <w:rFonts w:eastAsia="宋体"/>
          <w:lang w:eastAsia="zh-CN"/>
        </w:rPr>
      </w:pPr>
    </w:p>
    <w:p>
      <w:pPr>
        <w:pStyle w:val="26"/>
        <w:spacing w:line="443" w:lineRule="exact"/>
        <w:ind w:right="1"/>
        <w:rPr>
          <w:rFonts w:hint="eastAsia" w:ascii="宋体" w:hAnsi="宋体" w:eastAsia="宋体"/>
          <w:b w:val="0"/>
          <w:sz w:val="24"/>
        </w:rPr>
      </w:pPr>
    </w:p>
    <w:p>
      <w:pPr>
        <w:pStyle w:val="26"/>
        <w:spacing w:line="443" w:lineRule="exact"/>
        <w:ind w:right="1"/>
        <w:rPr>
          <w:rFonts w:hint="eastAsia" w:ascii="宋体" w:hAnsi="宋体" w:eastAsia="宋体"/>
          <w:b w:val="0"/>
          <w:sz w:val="24"/>
        </w:rPr>
      </w:pPr>
    </w:p>
    <w:p>
      <w:pPr>
        <w:rPr>
          <w:rFonts w:hint="eastAsia" w:ascii="宋体" w:hAnsi="宋体" w:eastAsia="宋体"/>
          <w:b w:val="0"/>
          <w:sz w:val="24"/>
        </w:rPr>
      </w:pPr>
      <w:r>
        <w:rPr>
          <w:rFonts w:hint="eastAsia" w:ascii="宋体" w:hAnsi="宋体" w:eastAsia="宋体"/>
          <w:b w:val="0"/>
          <w:sz w:val="24"/>
        </w:rPr>
        <w:br w:type="page"/>
      </w:r>
    </w:p>
    <w:p>
      <w:pPr>
        <w:pStyle w:val="26"/>
        <w:spacing w:line="443" w:lineRule="exact"/>
        <w:ind w:right="1"/>
      </w:pPr>
      <w:r>
        <w:rPr>
          <w:rFonts w:hint="eastAsia" w:ascii="宋体" w:hAnsi="宋体" w:eastAsia="宋体"/>
          <w:b w:val="0"/>
          <w:sz w:val="24"/>
        </w:rPr>
        <w:t>c、不得被工商行政管理机关在全国企业信用信息公示系统（http://www.gsxt.gov.cn）中列入严重违法失信企业名单，申请人请自行查询，将查询结果加盖公章后放入资格预审文件</w:t>
      </w: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32"/>
        <w:adjustRightInd w:val="0"/>
        <w:snapToGrid w:val="0"/>
        <w:spacing w:line="360" w:lineRule="auto"/>
        <w:jc w:val="left"/>
        <w:outlineLvl w:val="0"/>
        <w:rPr>
          <w:b/>
          <w:sz w:val="28"/>
          <w:szCs w:val="28"/>
        </w:rPr>
      </w:pPr>
      <w:bookmarkStart w:id="298" w:name="_Toc25719"/>
      <w:bookmarkStart w:id="299" w:name="_Toc14786"/>
      <w:r>
        <w:rPr>
          <w:rFonts w:hint="eastAsia"/>
          <w:b/>
          <w:sz w:val="28"/>
          <w:szCs w:val="28"/>
        </w:rPr>
        <w:t>13）供货计划、生产能力及保障措施</w:t>
      </w:r>
      <w:bookmarkEnd w:id="298"/>
      <w:bookmarkEnd w:id="299"/>
    </w:p>
    <w:p>
      <w:pPr>
        <w:pStyle w:val="32"/>
        <w:adjustRightInd w:val="0"/>
        <w:snapToGrid w:val="0"/>
        <w:spacing w:line="360" w:lineRule="auto"/>
        <w:ind w:left="360"/>
        <w:jc w:val="left"/>
        <w:rPr>
          <w:b/>
          <w:sz w:val="28"/>
          <w:szCs w:val="28"/>
        </w:rPr>
      </w:pPr>
    </w:p>
    <w:p>
      <w:pPr>
        <w:pStyle w:val="32"/>
        <w:adjustRightInd w:val="0"/>
        <w:snapToGrid w:val="0"/>
        <w:spacing w:line="360" w:lineRule="auto"/>
        <w:ind w:left="360"/>
        <w:jc w:val="left"/>
        <w:rPr>
          <w:b/>
          <w:sz w:val="28"/>
          <w:szCs w:val="28"/>
        </w:rPr>
      </w:pPr>
    </w:p>
    <w:p>
      <w:pPr>
        <w:pStyle w:val="16"/>
        <w:spacing w:after="100" w:afterAutospacing="1" w:line="400" w:lineRule="exact"/>
        <w:outlineLvl w:val="0"/>
        <w:rPr>
          <w:b/>
          <w:sz w:val="28"/>
          <w:szCs w:val="28"/>
        </w:rPr>
      </w:pPr>
      <w:r>
        <w:rPr>
          <w:b/>
          <w:sz w:val="28"/>
          <w:szCs w:val="28"/>
        </w:rPr>
        <w:br w:type="page"/>
      </w:r>
      <w:bookmarkStart w:id="300" w:name="_Toc29306"/>
      <w:bookmarkStart w:id="301" w:name="_Toc2634"/>
      <w:r>
        <w:rPr>
          <w:rFonts w:hint="eastAsia"/>
          <w:b/>
          <w:sz w:val="28"/>
          <w:szCs w:val="28"/>
        </w:rPr>
        <w:t>14）售后服务和现场技术支持方案</w:t>
      </w:r>
      <w:bookmarkEnd w:id="300"/>
      <w:bookmarkEnd w:id="301"/>
    </w:p>
    <w:p>
      <w:pPr>
        <w:pStyle w:val="32"/>
        <w:adjustRightInd w:val="0"/>
        <w:snapToGrid w:val="0"/>
        <w:spacing w:line="360" w:lineRule="auto"/>
        <w:ind w:left="360"/>
        <w:jc w:val="left"/>
        <w:rPr>
          <w:b/>
          <w:sz w:val="28"/>
          <w:szCs w:val="28"/>
        </w:rPr>
      </w:pPr>
    </w:p>
    <w:p>
      <w:pPr>
        <w:pStyle w:val="32"/>
        <w:adjustRightInd w:val="0"/>
        <w:snapToGrid w:val="0"/>
        <w:spacing w:line="360" w:lineRule="auto"/>
        <w:ind w:left="360"/>
        <w:jc w:val="left"/>
        <w:rPr>
          <w:b/>
          <w:sz w:val="28"/>
          <w:szCs w:val="28"/>
        </w:rPr>
      </w:pPr>
    </w:p>
    <w:p>
      <w:pPr>
        <w:pStyle w:val="32"/>
        <w:adjustRightInd w:val="0"/>
        <w:snapToGrid w:val="0"/>
        <w:spacing w:line="360" w:lineRule="auto"/>
        <w:ind w:left="360"/>
        <w:jc w:val="left"/>
        <w:rPr>
          <w:b/>
          <w:sz w:val="28"/>
          <w:szCs w:val="28"/>
        </w:rPr>
      </w:pPr>
    </w:p>
    <w:p>
      <w:pPr>
        <w:pStyle w:val="32"/>
        <w:adjustRightInd w:val="0"/>
        <w:snapToGrid w:val="0"/>
        <w:spacing w:line="360" w:lineRule="auto"/>
        <w:ind w:left="360"/>
        <w:jc w:val="left"/>
        <w:rPr>
          <w:b/>
          <w:sz w:val="28"/>
          <w:szCs w:val="28"/>
        </w:rPr>
      </w:pPr>
    </w:p>
    <w:p>
      <w:pPr>
        <w:pStyle w:val="32"/>
        <w:adjustRightInd w:val="0"/>
        <w:snapToGrid w:val="0"/>
        <w:spacing w:line="360" w:lineRule="auto"/>
        <w:ind w:left="360"/>
        <w:jc w:val="left"/>
        <w:rPr>
          <w:b/>
          <w:sz w:val="28"/>
          <w:szCs w:val="28"/>
        </w:rPr>
      </w:pPr>
    </w:p>
    <w:p>
      <w:pPr>
        <w:pStyle w:val="32"/>
        <w:adjustRightInd w:val="0"/>
        <w:snapToGrid w:val="0"/>
        <w:spacing w:line="360" w:lineRule="auto"/>
        <w:ind w:left="360"/>
        <w:jc w:val="left"/>
        <w:rPr>
          <w:b/>
          <w:sz w:val="28"/>
          <w:szCs w:val="28"/>
        </w:rPr>
      </w:pPr>
    </w:p>
    <w:p>
      <w:pPr>
        <w:pStyle w:val="32"/>
        <w:adjustRightInd w:val="0"/>
        <w:snapToGrid w:val="0"/>
        <w:spacing w:line="360" w:lineRule="auto"/>
        <w:ind w:left="360"/>
        <w:jc w:val="left"/>
        <w:rPr>
          <w:b/>
          <w:sz w:val="28"/>
          <w:szCs w:val="28"/>
        </w:rPr>
      </w:pPr>
    </w:p>
    <w:p>
      <w:pPr>
        <w:pStyle w:val="32"/>
        <w:adjustRightInd w:val="0"/>
        <w:snapToGrid w:val="0"/>
        <w:spacing w:line="360" w:lineRule="auto"/>
        <w:ind w:left="360"/>
        <w:jc w:val="left"/>
        <w:rPr>
          <w:b/>
          <w:sz w:val="28"/>
          <w:szCs w:val="28"/>
        </w:rPr>
      </w:pPr>
    </w:p>
    <w:p>
      <w:pPr>
        <w:pStyle w:val="32"/>
        <w:adjustRightInd w:val="0"/>
        <w:snapToGrid w:val="0"/>
        <w:spacing w:line="360" w:lineRule="auto"/>
        <w:ind w:left="360"/>
        <w:jc w:val="left"/>
        <w:rPr>
          <w:b/>
          <w:sz w:val="28"/>
          <w:szCs w:val="28"/>
        </w:rPr>
      </w:pPr>
    </w:p>
    <w:p>
      <w:pPr>
        <w:pStyle w:val="32"/>
        <w:adjustRightInd w:val="0"/>
        <w:snapToGrid w:val="0"/>
        <w:spacing w:line="360" w:lineRule="auto"/>
        <w:ind w:left="360"/>
        <w:jc w:val="left"/>
        <w:rPr>
          <w:b/>
          <w:sz w:val="28"/>
          <w:szCs w:val="28"/>
        </w:rPr>
      </w:pPr>
    </w:p>
    <w:p>
      <w:pPr>
        <w:pStyle w:val="32"/>
        <w:adjustRightInd w:val="0"/>
        <w:snapToGrid w:val="0"/>
        <w:spacing w:line="360" w:lineRule="auto"/>
        <w:ind w:left="360"/>
        <w:jc w:val="left"/>
        <w:rPr>
          <w:b/>
          <w:sz w:val="28"/>
          <w:szCs w:val="28"/>
        </w:rPr>
      </w:pPr>
    </w:p>
    <w:p>
      <w:pPr>
        <w:pStyle w:val="32"/>
        <w:adjustRightInd w:val="0"/>
        <w:snapToGrid w:val="0"/>
        <w:spacing w:line="360" w:lineRule="auto"/>
        <w:ind w:left="360"/>
        <w:jc w:val="left"/>
        <w:rPr>
          <w:b/>
          <w:sz w:val="28"/>
          <w:szCs w:val="28"/>
        </w:rPr>
      </w:pPr>
    </w:p>
    <w:p>
      <w:pPr>
        <w:pStyle w:val="32"/>
        <w:adjustRightInd w:val="0"/>
        <w:snapToGrid w:val="0"/>
        <w:spacing w:line="360" w:lineRule="auto"/>
        <w:ind w:left="360"/>
        <w:jc w:val="left"/>
        <w:rPr>
          <w:b/>
          <w:sz w:val="28"/>
          <w:szCs w:val="28"/>
        </w:rPr>
      </w:pPr>
    </w:p>
    <w:p>
      <w:pPr>
        <w:pStyle w:val="32"/>
        <w:adjustRightInd w:val="0"/>
        <w:snapToGrid w:val="0"/>
        <w:spacing w:line="360" w:lineRule="auto"/>
        <w:ind w:left="360"/>
        <w:jc w:val="left"/>
        <w:rPr>
          <w:b/>
          <w:sz w:val="28"/>
          <w:szCs w:val="28"/>
        </w:rPr>
      </w:pPr>
    </w:p>
    <w:p>
      <w:pPr>
        <w:pStyle w:val="32"/>
        <w:adjustRightInd w:val="0"/>
        <w:snapToGrid w:val="0"/>
        <w:spacing w:line="360" w:lineRule="auto"/>
        <w:ind w:left="360"/>
        <w:jc w:val="left"/>
        <w:rPr>
          <w:b/>
          <w:sz w:val="28"/>
          <w:szCs w:val="28"/>
        </w:rPr>
      </w:pPr>
    </w:p>
    <w:p>
      <w:pPr>
        <w:pStyle w:val="32"/>
        <w:adjustRightInd w:val="0"/>
        <w:snapToGrid w:val="0"/>
        <w:spacing w:line="360" w:lineRule="auto"/>
        <w:ind w:left="360"/>
        <w:jc w:val="left"/>
        <w:rPr>
          <w:b/>
          <w:sz w:val="28"/>
          <w:szCs w:val="28"/>
        </w:rPr>
      </w:pPr>
    </w:p>
    <w:p>
      <w:pPr>
        <w:pStyle w:val="32"/>
        <w:adjustRightInd w:val="0"/>
        <w:snapToGrid w:val="0"/>
        <w:spacing w:line="360" w:lineRule="auto"/>
        <w:ind w:left="360"/>
        <w:jc w:val="left"/>
        <w:rPr>
          <w:b/>
          <w:sz w:val="28"/>
          <w:szCs w:val="28"/>
        </w:rPr>
      </w:pPr>
    </w:p>
    <w:p>
      <w:pPr>
        <w:pStyle w:val="32"/>
        <w:adjustRightInd w:val="0"/>
        <w:snapToGrid w:val="0"/>
        <w:spacing w:line="360" w:lineRule="auto"/>
        <w:ind w:left="360"/>
        <w:jc w:val="left"/>
        <w:rPr>
          <w:b/>
          <w:sz w:val="28"/>
          <w:szCs w:val="28"/>
        </w:rPr>
      </w:pPr>
    </w:p>
    <w:p>
      <w:pPr>
        <w:pStyle w:val="32"/>
        <w:adjustRightInd w:val="0"/>
        <w:snapToGrid w:val="0"/>
        <w:spacing w:line="360" w:lineRule="auto"/>
        <w:ind w:left="360"/>
        <w:jc w:val="left"/>
        <w:rPr>
          <w:b/>
          <w:sz w:val="28"/>
          <w:szCs w:val="28"/>
        </w:rPr>
      </w:pPr>
    </w:p>
    <w:p>
      <w:pPr>
        <w:pStyle w:val="32"/>
        <w:adjustRightInd w:val="0"/>
        <w:snapToGrid w:val="0"/>
        <w:spacing w:line="360" w:lineRule="auto"/>
        <w:ind w:left="360"/>
        <w:jc w:val="left"/>
        <w:rPr>
          <w:b/>
          <w:sz w:val="28"/>
          <w:szCs w:val="28"/>
        </w:rPr>
      </w:pPr>
    </w:p>
    <w:p>
      <w:pPr>
        <w:pStyle w:val="32"/>
        <w:adjustRightInd w:val="0"/>
        <w:snapToGrid w:val="0"/>
        <w:spacing w:line="360" w:lineRule="auto"/>
        <w:ind w:left="360"/>
        <w:jc w:val="left"/>
        <w:rPr>
          <w:b/>
          <w:sz w:val="28"/>
          <w:szCs w:val="28"/>
        </w:rPr>
      </w:pPr>
    </w:p>
    <w:p>
      <w:pPr>
        <w:pStyle w:val="32"/>
        <w:adjustRightInd w:val="0"/>
        <w:snapToGrid w:val="0"/>
        <w:spacing w:line="360" w:lineRule="auto"/>
        <w:ind w:left="360"/>
        <w:jc w:val="left"/>
        <w:rPr>
          <w:b/>
          <w:sz w:val="28"/>
          <w:szCs w:val="28"/>
        </w:rPr>
      </w:pPr>
    </w:p>
    <w:p>
      <w:pPr>
        <w:pStyle w:val="32"/>
        <w:adjustRightInd w:val="0"/>
        <w:snapToGrid w:val="0"/>
        <w:spacing w:line="360" w:lineRule="auto"/>
        <w:ind w:left="360"/>
        <w:jc w:val="left"/>
        <w:rPr>
          <w:b/>
          <w:sz w:val="28"/>
          <w:szCs w:val="28"/>
        </w:rPr>
      </w:pPr>
    </w:p>
    <w:p>
      <w:pPr>
        <w:pStyle w:val="32"/>
        <w:adjustRightInd w:val="0"/>
        <w:snapToGrid w:val="0"/>
        <w:spacing w:line="360" w:lineRule="auto"/>
        <w:ind w:left="360"/>
        <w:jc w:val="left"/>
        <w:rPr>
          <w:b/>
          <w:sz w:val="28"/>
          <w:szCs w:val="28"/>
        </w:rPr>
      </w:pPr>
    </w:p>
    <w:p>
      <w:pPr>
        <w:pStyle w:val="16"/>
        <w:spacing w:after="100" w:afterAutospacing="1" w:line="400" w:lineRule="exact"/>
        <w:outlineLvl w:val="0"/>
        <w:rPr>
          <w:rFonts w:ascii="宋体" w:hAnsi="宋体"/>
          <w:b/>
          <w:szCs w:val="20"/>
        </w:rPr>
      </w:pPr>
      <w:bookmarkStart w:id="302" w:name="_Toc426"/>
      <w:bookmarkStart w:id="303" w:name="_Toc5068"/>
      <w:r>
        <w:rPr>
          <w:rFonts w:hint="eastAsia"/>
          <w:b/>
          <w:sz w:val="28"/>
          <w:szCs w:val="28"/>
        </w:rPr>
        <w:t>15）申请人认为有必要提交的其他支持性材料</w:t>
      </w:r>
      <w:bookmarkEnd w:id="302"/>
      <w:bookmarkEnd w:id="303"/>
    </w:p>
    <w:p>
      <w:pPr>
        <w:pStyle w:val="16"/>
        <w:spacing w:after="100" w:afterAutospacing="1" w:line="400" w:lineRule="exact"/>
        <w:rPr>
          <w:strike/>
          <w:szCs w:val="21"/>
        </w:rPr>
      </w:pPr>
    </w:p>
    <w:p>
      <w:pPr>
        <w:pStyle w:val="16"/>
        <w:spacing w:after="100" w:afterAutospacing="1" w:line="400" w:lineRule="exact"/>
        <w:outlineLvl w:val="0"/>
        <w:rPr>
          <w:b/>
          <w:sz w:val="28"/>
          <w:szCs w:val="28"/>
        </w:rPr>
      </w:pPr>
      <w:r>
        <w:rPr>
          <w:b/>
          <w:sz w:val="28"/>
          <w:szCs w:val="28"/>
        </w:rPr>
        <w:br w:type="page"/>
      </w:r>
      <w:bookmarkStart w:id="304" w:name="_Toc18149"/>
      <w:bookmarkStart w:id="305" w:name="_Toc27612"/>
      <w:r>
        <w:rPr>
          <w:rFonts w:hint="eastAsia"/>
          <w:b/>
          <w:sz w:val="28"/>
          <w:szCs w:val="28"/>
        </w:rPr>
        <w:t>16）商务偏离表</w:t>
      </w:r>
      <w:bookmarkEnd w:id="304"/>
      <w:bookmarkEnd w:id="305"/>
    </w:p>
    <w:p>
      <w:pPr>
        <w:pStyle w:val="16"/>
        <w:spacing w:after="100" w:afterAutospacing="1" w:line="400" w:lineRule="exact"/>
        <w:rPr>
          <w:b/>
          <w:szCs w:val="21"/>
        </w:rPr>
      </w:pPr>
      <w:r>
        <w:rPr>
          <w:rFonts w:hint="eastAsia"/>
          <w:b/>
          <w:szCs w:val="21"/>
        </w:rPr>
        <w:t>（该表内容必须填写，如确认无偏差，请填写“无偏离”，且该表须盖公章。若未填写，表示无偏离。）</w:t>
      </w:r>
    </w:p>
    <w:tbl>
      <w:tblPr>
        <w:tblStyle w:val="11"/>
        <w:tblW w:w="888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0"/>
        <w:gridCol w:w="2325"/>
        <w:gridCol w:w="2525"/>
        <w:gridCol w:w="1775"/>
        <w:gridCol w:w="13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3" w:hRule="atLeast"/>
        </w:trPr>
        <w:tc>
          <w:tcPr>
            <w:tcW w:w="920" w:type="dxa"/>
            <w:noWrap w:val="0"/>
            <w:vAlign w:val="center"/>
          </w:tcPr>
          <w:p>
            <w:pPr>
              <w:pStyle w:val="16"/>
              <w:spacing w:after="100" w:afterAutospacing="1" w:line="400" w:lineRule="exact"/>
              <w:jc w:val="center"/>
              <w:rPr>
                <w:rFonts w:ascii="宋体" w:hAnsi="宋体"/>
                <w:b/>
                <w:sz w:val="24"/>
              </w:rPr>
            </w:pPr>
            <w:r>
              <w:rPr>
                <w:rFonts w:hint="eastAsia" w:ascii="宋体" w:hAnsi="宋体"/>
                <w:b/>
                <w:sz w:val="24"/>
              </w:rPr>
              <w:t>序号</w:t>
            </w:r>
          </w:p>
        </w:tc>
        <w:tc>
          <w:tcPr>
            <w:tcW w:w="2325" w:type="dxa"/>
            <w:noWrap w:val="0"/>
            <w:vAlign w:val="center"/>
          </w:tcPr>
          <w:p>
            <w:pPr>
              <w:pStyle w:val="16"/>
              <w:spacing w:after="100" w:afterAutospacing="1" w:line="400" w:lineRule="exact"/>
              <w:jc w:val="center"/>
              <w:rPr>
                <w:rFonts w:ascii="宋体" w:hAnsi="宋体"/>
                <w:b/>
                <w:sz w:val="24"/>
              </w:rPr>
            </w:pPr>
            <w:r>
              <w:rPr>
                <w:rFonts w:hint="eastAsia" w:ascii="宋体" w:hAnsi="宋体"/>
                <w:b/>
                <w:sz w:val="24"/>
              </w:rPr>
              <w:t>招标文件商务内容</w:t>
            </w:r>
          </w:p>
        </w:tc>
        <w:tc>
          <w:tcPr>
            <w:tcW w:w="2525" w:type="dxa"/>
            <w:noWrap w:val="0"/>
            <w:vAlign w:val="center"/>
          </w:tcPr>
          <w:p>
            <w:pPr>
              <w:pStyle w:val="16"/>
              <w:spacing w:after="100" w:afterAutospacing="1" w:line="400" w:lineRule="exact"/>
              <w:jc w:val="center"/>
              <w:rPr>
                <w:rFonts w:ascii="宋体" w:hAnsi="宋体"/>
                <w:b/>
                <w:sz w:val="24"/>
              </w:rPr>
            </w:pPr>
            <w:r>
              <w:rPr>
                <w:rFonts w:hint="eastAsia" w:ascii="宋体" w:hAnsi="宋体"/>
                <w:b/>
                <w:sz w:val="24"/>
              </w:rPr>
              <w:t>投标文件商务内容</w:t>
            </w:r>
          </w:p>
        </w:tc>
        <w:tc>
          <w:tcPr>
            <w:tcW w:w="1775" w:type="dxa"/>
            <w:noWrap w:val="0"/>
            <w:vAlign w:val="center"/>
          </w:tcPr>
          <w:p>
            <w:pPr>
              <w:pStyle w:val="16"/>
              <w:spacing w:after="100" w:afterAutospacing="1" w:line="400" w:lineRule="exact"/>
              <w:jc w:val="center"/>
              <w:rPr>
                <w:rFonts w:ascii="宋体" w:hAnsi="宋体"/>
                <w:b/>
                <w:sz w:val="24"/>
              </w:rPr>
            </w:pPr>
            <w:r>
              <w:rPr>
                <w:rFonts w:hint="eastAsia" w:ascii="宋体" w:hAnsi="宋体"/>
                <w:b/>
                <w:sz w:val="24"/>
              </w:rPr>
              <w:t>是否偏离</w:t>
            </w:r>
          </w:p>
        </w:tc>
        <w:tc>
          <w:tcPr>
            <w:tcW w:w="1337" w:type="dxa"/>
            <w:noWrap w:val="0"/>
            <w:vAlign w:val="center"/>
          </w:tcPr>
          <w:p>
            <w:pPr>
              <w:pStyle w:val="16"/>
              <w:spacing w:after="100" w:afterAutospacing="1" w:line="400" w:lineRule="exact"/>
              <w:jc w:val="center"/>
              <w:rPr>
                <w:rFonts w:ascii="宋体" w:hAnsi="宋体"/>
                <w:b/>
                <w:sz w:val="24"/>
              </w:rPr>
            </w:pPr>
            <w:r>
              <w:rPr>
                <w:rFonts w:hint="eastAsia" w:ascii="宋体" w:hAnsi="宋体"/>
                <w:b/>
                <w:sz w:val="24"/>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7" w:hRule="atLeast"/>
        </w:trPr>
        <w:tc>
          <w:tcPr>
            <w:tcW w:w="920" w:type="dxa"/>
            <w:noWrap w:val="0"/>
            <w:vAlign w:val="center"/>
          </w:tcPr>
          <w:p>
            <w:pPr>
              <w:pStyle w:val="16"/>
              <w:spacing w:after="100" w:afterAutospacing="1" w:line="400" w:lineRule="exact"/>
              <w:jc w:val="center"/>
              <w:rPr>
                <w:rFonts w:ascii="宋体" w:hAnsi="宋体"/>
                <w:b/>
                <w:sz w:val="24"/>
              </w:rPr>
            </w:pPr>
          </w:p>
        </w:tc>
        <w:tc>
          <w:tcPr>
            <w:tcW w:w="2325" w:type="dxa"/>
            <w:noWrap w:val="0"/>
            <w:vAlign w:val="center"/>
          </w:tcPr>
          <w:p>
            <w:pPr>
              <w:pStyle w:val="16"/>
              <w:spacing w:after="100" w:afterAutospacing="1" w:line="400" w:lineRule="exact"/>
              <w:jc w:val="center"/>
              <w:rPr>
                <w:rFonts w:ascii="宋体" w:hAnsi="宋体"/>
                <w:b/>
                <w:sz w:val="24"/>
              </w:rPr>
            </w:pPr>
          </w:p>
        </w:tc>
        <w:tc>
          <w:tcPr>
            <w:tcW w:w="2525" w:type="dxa"/>
            <w:noWrap w:val="0"/>
            <w:vAlign w:val="center"/>
          </w:tcPr>
          <w:p>
            <w:pPr>
              <w:pStyle w:val="16"/>
              <w:spacing w:after="100" w:afterAutospacing="1" w:line="400" w:lineRule="exact"/>
              <w:jc w:val="center"/>
              <w:rPr>
                <w:rFonts w:ascii="宋体" w:hAnsi="宋体"/>
                <w:b/>
                <w:sz w:val="24"/>
              </w:rPr>
            </w:pPr>
          </w:p>
        </w:tc>
        <w:tc>
          <w:tcPr>
            <w:tcW w:w="1775" w:type="dxa"/>
            <w:noWrap w:val="0"/>
            <w:vAlign w:val="center"/>
          </w:tcPr>
          <w:p>
            <w:pPr>
              <w:pStyle w:val="16"/>
              <w:spacing w:after="100" w:afterAutospacing="1" w:line="400" w:lineRule="exact"/>
              <w:jc w:val="center"/>
              <w:rPr>
                <w:rFonts w:ascii="宋体" w:hAnsi="宋体"/>
                <w:b/>
                <w:sz w:val="24"/>
              </w:rPr>
            </w:pPr>
          </w:p>
        </w:tc>
        <w:tc>
          <w:tcPr>
            <w:tcW w:w="1337" w:type="dxa"/>
            <w:noWrap w:val="0"/>
            <w:vAlign w:val="center"/>
          </w:tcPr>
          <w:p>
            <w:pPr>
              <w:pStyle w:val="16"/>
              <w:spacing w:after="100" w:afterAutospacing="1" w:line="400" w:lineRule="exact"/>
              <w:jc w:val="center"/>
              <w:rPr>
                <w:rFonts w:ascii="宋体" w:hAnsi="宋体"/>
                <w:b/>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5" w:hRule="atLeast"/>
        </w:trPr>
        <w:tc>
          <w:tcPr>
            <w:tcW w:w="920" w:type="dxa"/>
            <w:noWrap w:val="0"/>
            <w:vAlign w:val="center"/>
          </w:tcPr>
          <w:p>
            <w:pPr>
              <w:pStyle w:val="16"/>
              <w:spacing w:after="100" w:afterAutospacing="1" w:line="400" w:lineRule="exact"/>
              <w:jc w:val="center"/>
              <w:rPr>
                <w:rFonts w:ascii="宋体" w:hAnsi="宋体"/>
                <w:b/>
                <w:sz w:val="24"/>
              </w:rPr>
            </w:pPr>
          </w:p>
        </w:tc>
        <w:tc>
          <w:tcPr>
            <w:tcW w:w="2325" w:type="dxa"/>
            <w:noWrap w:val="0"/>
            <w:vAlign w:val="center"/>
          </w:tcPr>
          <w:p>
            <w:pPr>
              <w:pStyle w:val="16"/>
              <w:spacing w:after="100" w:afterAutospacing="1" w:line="400" w:lineRule="exact"/>
              <w:jc w:val="center"/>
              <w:rPr>
                <w:rFonts w:ascii="宋体" w:hAnsi="宋体"/>
                <w:b/>
                <w:sz w:val="24"/>
              </w:rPr>
            </w:pPr>
          </w:p>
        </w:tc>
        <w:tc>
          <w:tcPr>
            <w:tcW w:w="2525" w:type="dxa"/>
            <w:noWrap w:val="0"/>
            <w:vAlign w:val="center"/>
          </w:tcPr>
          <w:p>
            <w:pPr>
              <w:pStyle w:val="16"/>
              <w:spacing w:after="100" w:afterAutospacing="1" w:line="400" w:lineRule="exact"/>
              <w:jc w:val="center"/>
              <w:rPr>
                <w:rFonts w:ascii="宋体" w:hAnsi="宋体"/>
                <w:b/>
                <w:sz w:val="24"/>
              </w:rPr>
            </w:pPr>
          </w:p>
        </w:tc>
        <w:tc>
          <w:tcPr>
            <w:tcW w:w="1775" w:type="dxa"/>
            <w:noWrap w:val="0"/>
            <w:vAlign w:val="center"/>
          </w:tcPr>
          <w:p>
            <w:pPr>
              <w:pStyle w:val="16"/>
              <w:spacing w:after="100" w:afterAutospacing="1" w:line="400" w:lineRule="exact"/>
              <w:jc w:val="center"/>
              <w:rPr>
                <w:rFonts w:ascii="宋体" w:hAnsi="宋体"/>
                <w:b/>
                <w:sz w:val="24"/>
              </w:rPr>
            </w:pPr>
          </w:p>
        </w:tc>
        <w:tc>
          <w:tcPr>
            <w:tcW w:w="1337" w:type="dxa"/>
            <w:noWrap w:val="0"/>
            <w:vAlign w:val="center"/>
          </w:tcPr>
          <w:p>
            <w:pPr>
              <w:pStyle w:val="16"/>
              <w:spacing w:after="100" w:afterAutospacing="1" w:line="400" w:lineRule="exact"/>
              <w:jc w:val="center"/>
              <w:rPr>
                <w:rFonts w:ascii="宋体" w:hAnsi="宋体"/>
                <w:b/>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8" w:hRule="atLeast"/>
        </w:trPr>
        <w:tc>
          <w:tcPr>
            <w:tcW w:w="920" w:type="dxa"/>
            <w:noWrap w:val="0"/>
            <w:vAlign w:val="center"/>
          </w:tcPr>
          <w:p>
            <w:pPr>
              <w:pStyle w:val="16"/>
              <w:spacing w:after="100" w:afterAutospacing="1" w:line="400" w:lineRule="exact"/>
              <w:jc w:val="center"/>
              <w:rPr>
                <w:rFonts w:ascii="宋体" w:hAnsi="宋体"/>
                <w:b/>
                <w:sz w:val="24"/>
              </w:rPr>
            </w:pPr>
          </w:p>
        </w:tc>
        <w:tc>
          <w:tcPr>
            <w:tcW w:w="2325" w:type="dxa"/>
            <w:noWrap w:val="0"/>
            <w:vAlign w:val="center"/>
          </w:tcPr>
          <w:p>
            <w:pPr>
              <w:pStyle w:val="16"/>
              <w:spacing w:after="100" w:afterAutospacing="1" w:line="400" w:lineRule="exact"/>
              <w:jc w:val="center"/>
              <w:rPr>
                <w:rFonts w:ascii="宋体" w:hAnsi="宋体"/>
                <w:b/>
                <w:sz w:val="24"/>
              </w:rPr>
            </w:pPr>
          </w:p>
        </w:tc>
        <w:tc>
          <w:tcPr>
            <w:tcW w:w="2525" w:type="dxa"/>
            <w:noWrap w:val="0"/>
            <w:vAlign w:val="center"/>
          </w:tcPr>
          <w:p>
            <w:pPr>
              <w:pStyle w:val="16"/>
              <w:spacing w:after="100" w:afterAutospacing="1" w:line="400" w:lineRule="exact"/>
              <w:jc w:val="center"/>
              <w:rPr>
                <w:rFonts w:ascii="宋体" w:hAnsi="宋体"/>
                <w:b/>
                <w:sz w:val="24"/>
              </w:rPr>
            </w:pPr>
          </w:p>
        </w:tc>
        <w:tc>
          <w:tcPr>
            <w:tcW w:w="1775" w:type="dxa"/>
            <w:noWrap w:val="0"/>
            <w:vAlign w:val="center"/>
          </w:tcPr>
          <w:p>
            <w:pPr>
              <w:pStyle w:val="16"/>
              <w:spacing w:after="100" w:afterAutospacing="1" w:line="400" w:lineRule="exact"/>
              <w:jc w:val="center"/>
              <w:rPr>
                <w:rFonts w:ascii="宋体" w:hAnsi="宋体"/>
                <w:b/>
                <w:sz w:val="24"/>
              </w:rPr>
            </w:pPr>
          </w:p>
        </w:tc>
        <w:tc>
          <w:tcPr>
            <w:tcW w:w="1337" w:type="dxa"/>
            <w:noWrap w:val="0"/>
            <w:vAlign w:val="center"/>
          </w:tcPr>
          <w:p>
            <w:pPr>
              <w:pStyle w:val="16"/>
              <w:spacing w:after="100" w:afterAutospacing="1" w:line="400" w:lineRule="exact"/>
              <w:jc w:val="center"/>
              <w:rPr>
                <w:rFonts w:ascii="宋体" w:hAnsi="宋体"/>
                <w:b/>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1" w:hRule="atLeast"/>
        </w:trPr>
        <w:tc>
          <w:tcPr>
            <w:tcW w:w="920" w:type="dxa"/>
            <w:noWrap w:val="0"/>
            <w:vAlign w:val="center"/>
          </w:tcPr>
          <w:p>
            <w:pPr>
              <w:pStyle w:val="16"/>
              <w:spacing w:after="100" w:afterAutospacing="1" w:line="400" w:lineRule="exact"/>
              <w:jc w:val="center"/>
              <w:rPr>
                <w:rFonts w:ascii="宋体" w:hAnsi="宋体"/>
                <w:b/>
                <w:sz w:val="24"/>
              </w:rPr>
            </w:pPr>
          </w:p>
        </w:tc>
        <w:tc>
          <w:tcPr>
            <w:tcW w:w="2325" w:type="dxa"/>
            <w:noWrap w:val="0"/>
            <w:vAlign w:val="center"/>
          </w:tcPr>
          <w:p>
            <w:pPr>
              <w:pStyle w:val="16"/>
              <w:spacing w:after="100" w:afterAutospacing="1" w:line="400" w:lineRule="exact"/>
              <w:jc w:val="center"/>
              <w:rPr>
                <w:rFonts w:ascii="宋体" w:hAnsi="宋体"/>
                <w:b/>
                <w:sz w:val="24"/>
              </w:rPr>
            </w:pPr>
          </w:p>
        </w:tc>
        <w:tc>
          <w:tcPr>
            <w:tcW w:w="2525" w:type="dxa"/>
            <w:noWrap w:val="0"/>
            <w:vAlign w:val="center"/>
          </w:tcPr>
          <w:p>
            <w:pPr>
              <w:pStyle w:val="16"/>
              <w:spacing w:after="100" w:afterAutospacing="1" w:line="400" w:lineRule="exact"/>
              <w:jc w:val="center"/>
              <w:rPr>
                <w:rFonts w:ascii="宋体" w:hAnsi="宋体"/>
                <w:b/>
                <w:sz w:val="24"/>
              </w:rPr>
            </w:pPr>
          </w:p>
        </w:tc>
        <w:tc>
          <w:tcPr>
            <w:tcW w:w="1775" w:type="dxa"/>
            <w:noWrap w:val="0"/>
            <w:vAlign w:val="center"/>
          </w:tcPr>
          <w:p>
            <w:pPr>
              <w:pStyle w:val="16"/>
              <w:spacing w:after="100" w:afterAutospacing="1" w:line="400" w:lineRule="exact"/>
              <w:jc w:val="center"/>
              <w:rPr>
                <w:rFonts w:ascii="宋体" w:hAnsi="宋体"/>
                <w:b/>
                <w:sz w:val="24"/>
              </w:rPr>
            </w:pPr>
          </w:p>
        </w:tc>
        <w:tc>
          <w:tcPr>
            <w:tcW w:w="1337" w:type="dxa"/>
            <w:noWrap w:val="0"/>
            <w:vAlign w:val="center"/>
          </w:tcPr>
          <w:p>
            <w:pPr>
              <w:pStyle w:val="16"/>
              <w:spacing w:after="100" w:afterAutospacing="1" w:line="400" w:lineRule="exact"/>
              <w:jc w:val="center"/>
              <w:rPr>
                <w:rFonts w:ascii="宋体" w:hAnsi="宋体"/>
                <w:b/>
                <w:sz w:val="24"/>
              </w:rPr>
            </w:pPr>
          </w:p>
        </w:tc>
      </w:tr>
    </w:tbl>
    <w:p>
      <w:pPr>
        <w:pStyle w:val="16"/>
        <w:spacing w:after="100" w:afterAutospacing="1" w:line="400" w:lineRule="exact"/>
        <w:rPr>
          <w:b/>
          <w:sz w:val="28"/>
          <w:szCs w:val="28"/>
        </w:rPr>
      </w:pPr>
      <w:r>
        <w:rPr>
          <w:b/>
          <w:sz w:val="28"/>
          <w:szCs w:val="28"/>
        </w:rPr>
        <w:t>…</w:t>
      </w:r>
    </w:p>
    <w:p>
      <w:pPr>
        <w:pStyle w:val="32"/>
        <w:adjustRightInd w:val="0"/>
        <w:snapToGrid w:val="0"/>
        <w:spacing w:line="360" w:lineRule="auto"/>
        <w:jc w:val="left"/>
        <w:outlineLvl w:val="0"/>
        <w:rPr>
          <w:b/>
          <w:sz w:val="28"/>
          <w:szCs w:val="28"/>
        </w:rPr>
      </w:pPr>
      <w:r>
        <w:rPr>
          <w:rFonts w:hAnsi="宋体"/>
          <w:b/>
        </w:rPr>
        <w:br w:type="page"/>
      </w:r>
      <w:bookmarkStart w:id="306" w:name="_Toc15344"/>
      <w:bookmarkStart w:id="307" w:name="_Toc23473"/>
      <w:r>
        <w:rPr>
          <w:rFonts w:hint="eastAsia"/>
          <w:b/>
          <w:sz w:val="28"/>
          <w:szCs w:val="28"/>
        </w:rPr>
        <w:t>17）技术偏离表</w:t>
      </w:r>
      <w:bookmarkEnd w:id="306"/>
      <w:bookmarkEnd w:id="307"/>
    </w:p>
    <w:p>
      <w:pPr>
        <w:pStyle w:val="16"/>
        <w:spacing w:after="100" w:afterAutospacing="1" w:line="400" w:lineRule="exact"/>
        <w:rPr>
          <w:b/>
          <w:szCs w:val="21"/>
        </w:rPr>
      </w:pPr>
      <w:r>
        <w:rPr>
          <w:rFonts w:hint="eastAsia"/>
          <w:b/>
          <w:szCs w:val="21"/>
        </w:rPr>
        <w:t>（该表内容必须填写，如确认无偏差，请填写“无偏离”，且该表须盖公章。若未填写，表示无偏离。）</w:t>
      </w:r>
    </w:p>
    <w:tbl>
      <w:tblPr>
        <w:tblStyle w:val="11"/>
        <w:tblW w:w="880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1"/>
        <w:gridCol w:w="2381"/>
        <w:gridCol w:w="2500"/>
        <w:gridCol w:w="1663"/>
        <w:gridCol w:w="11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3" w:hRule="atLeast"/>
        </w:trPr>
        <w:tc>
          <w:tcPr>
            <w:tcW w:w="1101" w:type="dxa"/>
            <w:noWrap w:val="0"/>
            <w:vAlign w:val="center"/>
          </w:tcPr>
          <w:p>
            <w:pPr>
              <w:pStyle w:val="16"/>
              <w:spacing w:after="100" w:afterAutospacing="1" w:line="400" w:lineRule="exact"/>
              <w:jc w:val="center"/>
              <w:rPr>
                <w:rFonts w:ascii="宋体" w:hAnsi="宋体"/>
                <w:b/>
                <w:sz w:val="24"/>
              </w:rPr>
            </w:pPr>
            <w:r>
              <w:rPr>
                <w:rFonts w:hint="eastAsia" w:ascii="宋体" w:hAnsi="宋体"/>
                <w:b/>
                <w:sz w:val="24"/>
              </w:rPr>
              <w:t>序号</w:t>
            </w:r>
          </w:p>
        </w:tc>
        <w:tc>
          <w:tcPr>
            <w:tcW w:w="2381" w:type="dxa"/>
            <w:noWrap w:val="0"/>
            <w:vAlign w:val="center"/>
          </w:tcPr>
          <w:p>
            <w:pPr>
              <w:pStyle w:val="16"/>
              <w:spacing w:after="100" w:afterAutospacing="1" w:line="400" w:lineRule="exact"/>
              <w:jc w:val="center"/>
              <w:rPr>
                <w:rFonts w:ascii="宋体" w:hAnsi="宋体"/>
                <w:b/>
                <w:sz w:val="24"/>
              </w:rPr>
            </w:pPr>
            <w:r>
              <w:rPr>
                <w:rFonts w:hint="eastAsia" w:ascii="宋体" w:hAnsi="宋体"/>
                <w:b/>
                <w:sz w:val="24"/>
              </w:rPr>
              <w:t>招标文件技术内容</w:t>
            </w:r>
          </w:p>
        </w:tc>
        <w:tc>
          <w:tcPr>
            <w:tcW w:w="2500" w:type="dxa"/>
            <w:noWrap w:val="0"/>
            <w:vAlign w:val="center"/>
          </w:tcPr>
          <w:p>
            <w:pPr>
              <w:pStyle w:val="16"/>
              <w:spacing w:after="100" w:afterAutospacing="1" w:line="400" w:lineRule="exact"/>
              <w:jc w:val="center"/>
              <w:rPr>
                <w:rFonts w:ascii="宋体" w:hAnsi="宋体"/>
                <w:b/>
                <w:sz w:val="24"/>
              </w:rPr>
            </w:pPr>
            <w:r>
              <w:rPr>
                <w:rFonts w:hint="eastAsia" w:ascii="宋体" w:hAnsi="宋体"/>
                <w:b/>
                <w:sz w:val="24"/>
              </w:rPr>
              <w:t>投标文件技术内容</w:t>
            </w:r>
          </w:p>
        </w:tc>
        <w:tc>
          <w:tcPr>
            <w:tcW w:w="1663" w:type="dxa"/>
            <w:noWrap w:val="0"/>
            <w:vAlign w:val="center"/>
          </w:tcPr>
          <w:p>
            <w:pPr>
              <w:pStyle w:val="16"/>
              <w:spacing w:after="100" w:afterAutospacing="1" w:line="400" w:lineRule="exact"/>
              <w:jc w:val="center"/>
              <w:rPr>
                <w:rFonts w:ascii="宋体" w:hAnsi="宋体"/>
                <w:b/>
                <w:sz w:val="24"/>
              </w:rPr>
            </w:pPr>
            <w:r>
              <w:rPr>
                <w:rFonts w:hint="eastAsia" w:ascii="宋体" w:hAnsi="宋体"/>
                <w:b/>
                <w:sz w:val="24"/>
              </w:rPr>
              <w:t>是否偏离</w:t>
            </w:r>
          </w:p>
        </w:tc>
        <w:tc>
          <w:tcPr>
            <w:tcW w:w="1162" w:type="dxa"/>
            <w:noWrap w:val="0"/>
            <w:vAlign w:val="center"/>
          </w:tcPr>
          <w:p>
            <w:pPr>
              <w:pStyle w:val="16"/>
              <w:spacing w:after="100" w:afterAutospacing="1" w:line="400" w:lineRule="exact"/>
              <w:jc w:val="center"/>
              <w:rPr>
                <w:rFonts w:ascii="宋体" w:hAnsi="宋体"/>
                <w:b/>
                <w:sz w:val="24"/>
              </w:rPr>
            </w:pPr>
            <w:r>
              <w:rPr>
                <w:rFonts w:hint="eastAsia" w:ascii="宋体" w:hAnsi="宋体"/>
                <w:b/>
                <w:sz w:val="24"/>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7" w:hRule="atLeast"/>
        </w:trPr>
        <w:tc>
          <w:tcPr>
            <w:tcW w:w="1101" w:type="dxa"/>
            <w:noWrap w:val="0"/>
            <w:vAlign w:val="center"/>
          </w:tcPr>
          <w:p>
            <w:pPr>
              <w:pStyle w:val="16"/>
              <w:spacing w:after="100" w:afterAutospacing="1" w:line="400" w:lineRule="exact"/>
              <w:jc w:val="center"/>
              <w:rPr>
                <w:rFonts w:ascii="宋体" w:hAnsi="宋体"/>
                <w:b/>
                <w:sz w:val="24"/>
              </w:rPr>
            </w:pPr>
          </w:p>
        </w:tc>
        <w:tc>
          <w:tcPr>
            <w:tcW w:w="2381" w:type="dxa"/>
            <w:noWrap w:val="0"/>
            <w:vAlign w:val="center"/>
          </w:tcPr>
          <w:p>
            <w:pPr>
              <w:pStyle w:val="16"/>
              <w:spacing w:after="100" w:afterAutospacing="1" w:line="400" w:lineRule="exact"/>
              <w:jc w:val="center"/>
              <w:rPr>
                <w:rFonts w:ascii="宋体" w:hAnsi="宋体"/>
                <w:b/>
                <w:sz w:val="24"/>
              </w:rPr>
            </w:pPr>
          </w:p>
        </w:tc>
        <w:tc>
          <w:tcPr>
            <w:tcW w:w="2500" w:type="dxa"/>
            <w:noWrap w:val="0"/>
            <w:vAlign w:val="center"/>
          </w:tcPr>
          <w:p>
            <w:pPr>
              <w:pStyle w:val="16"/>
              <w:spacing w:after="100" w:afterAutospacing="1" w:line="400" w:lineRule="exact"/>
              <w:jc w:val="center"/>
              <w:rPr>
                <w:rFonts w:ascii="宋体" w:hAnsi="宋体"/>
                <w:b/>
                <w:sz w:val="24"/>
              </w:rPr>
            </w:pPr>
          </w:p>
        </w:tc>
        <w:tc>
          <w:tcPr>
            <w:tcW w:w="1663" w:type="dxa"/>
            <w:noWrap w:val="0"/>
            <w:vAlign w:val="center"/>
          </w:tcPr>
          <w:p>
            <w:pPr>
              <w:pStyle w:val="16"/>
              <w:spacing w:after="100" w:afterAutospacing="1" w:line="400" w:lineRule="exact"/>
              <w:jc w:val="center"/>
              <w:rPr>
                <w:rFonts w:ascii="宋体" w:hAnsi="宋体"/>
                <w:b/>
                <w:sz w:val="24"/>
              </w:rPr>
            </w:pPr>
          </w:p>
        </w:tc>
        <w:tc>
          <w:tcPr>
            <w:tcW w:w="1162" w:type="dxa"/>
            <w:noWrap w:val="0"/>
            <w:vAlign w:val="center"/>
          </w:tcPr>
          <w:p>
            <w:pPr>
              <w:pStyle w:val="16"/>
              <w:spacing w:after="100" w:afterAutospacing="1" w:line="400" w:lineRule="exact"/>
              <w:jc w:val="center"/>
              <w:rPr>
                <w:rFonts w:ascii="宋体" w:hAnsi="宋体"/>
                <w:b/>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5" w:hRule="atLeast"/>
        </w:trPr>
        <w:tc>
          <w:tcPr>
            <w:tcW w:w="1101" w:type="dxa"/>
            <w:noWrap w:val="0"/>
            <w:vAlign w:val="center"/>
          </w:tcPr>
          <w:p>
            <w:pPr>
              <w:pStyle w:val="16"/>
              <w:spacing w:after="100" w:afterAutospacing="1" w:line="400" w:lineRule="exact"/>
              <w:jc w:val="center"/>
              <w:rPr>
                <w:rFonts w:ascii="宋体" w:hAnsi="宋体"/>
                <w:b/>
                <w:sz w:val="24"/>
              </w:rPr>
            </w:pPr>
          </w:p>
        </w:tc>
        <w:tc>
          <w:tcPr>
            <w:tcW w:w="2381" w:type="dxa"/>
            <w:noWrap w:val="0"/>
            <w:vAlign w:val="center"/>
          </w:tcPr>
          <w:p>
            <w:pPr>
              <w:pStyle w:val="16"/>
              <w:spacing w:after="100" w:afterAutospacing="1" w:line="400" w:lineRule="exact"/>
              <w:jc w:val="center"/>
              <w:rPr>
                <w:rFonts w:ascii="宋体" w:hAnsi="宋体"/>
                <w:b/>
                <w:sz w:val="24"/>
              </w:rPr>
            </w:pPr>
          </w:p>
        </w:tc>
        <w:tc>
          <w:tcPr>
            <w:tcW w:w="2500" w:type="dxa"/>
            <w:noWrap w:val="0"/>
            <w:vAlign w:val="center"/>
          </w:tcPr>
          <w:p>
            <w:pPr>
              <w:pStyle w:val="16"/>
              <w:spacing w:after="100" w:afterAutospacing="1" w:line="400" w:lineRule="exact"/>
              <w:jc w:val="center"/>
              <w:rPr>
                <w:rFonts w:ascii="宋体" w:hAnsi="宋体"/>
                <w:b/>
                <w:sz w:val="24"/>
              </w:rPr>
            </w:pPr>
          </w:p>
        </w:tc>
        <w:tc>
          <w:tcPr>
            <w:tcW w:w="1663" w:type="dxa"/>
            <w:noWrap w:val="0"/>
            <w:vAlign w:val="center"/>
          </w:tcPr>
          <w:p>
            <w:pPr>
              <w:pStyle w:val="16"/>
              <w:spacing w:after="100" w:afterAutospacing="1" w:line="400" w:lineRule="exact"/>
              <w:jc w:val="center"/>
              <w:rPr>
                <w:rFonts w:ascii="宋体" w:hAnsi="宋体"/>
                <w:b/>
                <w:sz w:val="24"/>
              </w:rPr>
            </w:pPr>
          </w:p>
        </w:tc>
        <w:tc>
          <w:tcPr>
            <w:tcW w:w="1162" w:type="dxa"/>
            <w:noWrap w:val="0"/>
            <w:vAlign w:val="center"/>
          </w:tcPr>
          <w:p>
            <w:pPr>
              <w:pStyle w:val="16"/>
              <w:spacing w:after="100" w:afterAutospacing="1" w:line="400" w:lineRule="exact"/>
              <w:jc w:val="center"/>
              <w:rPr>
                <w:rFonts w:ascii="宋体" w:hAnsi="宋体"/>
                <w:b/>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8" w:hRule="atLeast"/>
        </w:trPr>
        <w:tc>
          <w:tcPr>
            <w:tcW w:w="1101" w:type="dxa"/>
            <w:noWrap w:val="0"/>
            <w:vAlign w:val="center"/>
          </w:tcPr>
          <w:p>
            <w:pPr>
              <w:pStyle w:val="16"/>
              <w:spacing w:after="100" w:afterAutospacing="1" w:line="400" w:lineRule="exact"/>
              <w:jc w:val="center"/>
              <w:rPr>
                <w:rFonts w:ascii="宋体" w:hAnsi="宋体"/>
                <w:b/>
                <w:sz w:val="24"/>
              </w:rPr>
            </w:pPr>
          </w:p>
        </w:tc>
        <w:tc>
          <w:tcPr>
            <w:tcW w:w="2381" w:type="dxa"/>
            <w:noWrap w:val="0"/>
            <w:vAlign w:val="center"/>
          </w:tcPr>
          <w:p>
            <w:pPr>
              <w:pStyle w:val="16"/>
              <w:spacing w:after="100" w:afterAutospacing="1" w:line="400" w:lineRule="exact"/>
              <w:jc w:val="center"/>
              <w:rPr>
                <w:rFonts w:ascii="宋体" w:hAnsi="宋体"/>
                <w:b/>
                <w:sz w:val="24"/>
              </w:rPr>
            </w:pPr>
          </w:p>
        </w:tc>
        <w:tc>
          <w:tcPr>
            <w:tcW w:w="2500" w:type="dxa"/>
            <w:noWrap w:val="0"/>
            <w:vAlign w:val="center"/>
          </w:tcPr>
          <w:p>
            <w:pPr>
              <w:pStyle w:val="16"/>
              <w:spacing w:after="100" w:afterAutospacing="1" w:line="400" w:lineRule="exact"/>
              <w:jc w:val="center"/>
              <w:rPr>
                <w:rFonts w:ascii="宋体" w:hAnsi="宋体"/>
                <w:b/>
                <w:sz w:val="24"/>
              </w:rPr>
            </w:pPr>
          </w:p>
        </w:tc>
        <w:tc>
          <w:tcPr>
            <w:tcW w:w="1663" w:type="dxa"/>
            <w:noWrap w:val="0"/>
            <w:vAlign w:val="center"/>
          </w:tcPr>
          <w:p>
            <w:pPr>
              <w:pStyle w:val="16"/>
              <w:spacing w:after="100" w:afterAutospacing="1" w:line="400" w:lineRule="exact"/>
              <w:jc w:val="center"/>
              <w:rPr>
                <w:rFonts w:ascii="宋体" w:hAnsi="宋体"/>
                <w:b/>
                <w:sz w:val="24"/>
              </w:rPr>
            </w:pPr>
          </w:p>
        </w:tc>
        <w:tc>
          <w:tcPr>
            <w:tcW w:w="1162" w:type="dxa"/>
            <w:noWrap w:val="0"/>
            <w:vAlign w:val="center"/>
          </w:tcPr>
          <w:p>
            <w:pPr>
              <w:pStyle w:val="16"/>
              <w:spacing w:after="100" w:afterAutospacing="1" w:line="400" w:lineRule="exact"/>
              <w:jc w:val="center"/>
              <w:rPr>
                <w:rFonts w:ascii="宋体" w:hAnsi="宋体"/>
                <w:b/>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1" w:hRule="atLeast"/>
        </w:trPr>
        <w:tc>
          <w:tcPr>
            <w:tcW w:w="1101" w:type="dxa"/>
            <w:noWrap w:val="0"/>
            <w:vAlign w:val="center"/>
          </w:tcPr>
          <w:p>
            <w:pPr>
              <w:pStyle w:val="16"/>
              <w:spacing w:after="100" w:afterAutospacing="1" w:line="400" w:lineRule="exact"/>
              <w:jc w:val="center"/>
              <w:rPr>
                <w:rFonts w:ascii="宋体" w:hAnsi="宋体"/>
                <w:b/>
                <w:sz w:val="24"/>
              </w:rPr>
            </w:pPr>
          </w:p>
        </w:tc>
        <w:tc>
          <w:tcPr>
            <w:tcW w:w="2381" w:type="dxa"/>
            <w:noWrap w:val="0"/>
            <w:vAlign w:val="center"/>
          </w:tcPr>
          <w:p>
            <w:pPr>
              <w:pStyle w:val="16"/>
              <w:spacing w:after="100" w:afterAutospacing="1" w:line="400" w:lineRule="exact"/>
              <w:jc w:val="center"/>
              <w:rPr>
                <w:rFonts w:ascii="宋体" w:hAnsi="宋体"/>
                <w:b/>
                <w:sz w:val="24"/>
              </w:rPr>
            </w:pPr>
          </w:p>
        </w:tc>
        <w:tc>
          <w:tcPr>
            <w:tcW w:w="2500" w:type="dxa"/>
            <w:noWrap w:val="0"/>
            <w:vAlign w:val="center"/>
          </w:tcPr>
          <w:p>
            <w:pPr>
              <w:pStyle w:val="16"/>
              <w:spacing w:after="100" w:afterAutospacing="1" w:line="400" w:lineRule="exact"/>
              <w:jc w:val="center"/>
              <w:rPr>
                <w:rFonts w:ascii="宋体" w:hAnsi="宋体"/>
                <w:b/>
                <w:sz w:val="24"/>
              </w:rPr>
            </w:pPr>
          </w:p>
        </w:tc>
        <w:tc>
          <w:tcPr>
            <w:tcW w:w="1663" w:type="dxa"/>
            <w:noWrap w:val="0"/>
            <w:vAlign w:val="center"/>
          </w:tcPr>
          <w:p>
            <w:pPr>
              <w:pStyle w:val="16"/>
              <w:spacing w:after="100" w:afterAutospacing="1" w:line="400" w:lineRule="exact"/>
              <w:jc w:val="center"/>
              <w:rPr>
                <w:rFonts w:ascii="宋体" w:hAnsi="宋体"/>
                <w:b/>
                <w:sz w:val="24"/>
              </w:rPr>
            </w:pPr>
          </w:p>
        </w:tc>
        <w:tc>
          <w:tcPr>
            <w:tcW w:w="1162" w:type="dxa"/>
            <w:noWrap w:val="0"/>
            <w:vAlign w:val="center"/>
          </w:tcPr>
          <w:p>
            <w:pPr>
              <w:pStyle w:val="16"/>
              <w:spacing w:after="100" w:afterAutospacing="1" w:line="400" w:lineRule="exact"/>
              <w:jc w:val="center"/>
              <w:rPr>
                <w:rFonts w:ascii="宋体" w:hAnsi="宋体"/>
                <w:b/>
                <w:sz w:val="24"/>
              </w:rPr>
            </w:pPr>
          </w:p>
        </w:tc>
      </w:tr>
    </w:tbl>
    <w:p>
      <w:pPr>
        <w:pStyle w:val="16"/>
        <w:spacing w:after="100" w:afterAutospacing="1" w:line="400" w:lineRule="exact"/>
        <w:rPr>
          <w:b/>
          <w:sz w:val="28"/>
          <w:szCs w:val="28"/>
        </w:rPr>
      </w:pPr>
      <w:r>
        <w:rPr>
          <w:b/>
          <w:sz w:val="28"/>
          <w:szCs w:val="28"/>
        </w:rPr>
        <w:t>…</w:t>
      </w:r>
    </w:p>
    <w:p>
      <w:pPr>
        <w:pStyle w:val="16"/>
        <w:spacing w:after="100" w:afterAutospacing="1" w:line="400" w:lineRule="exact"/>
        <w:rPr>
          <w:b/>
          <w:sz w:val="28"/>
          <w:szCs w:val="28"/>
        </w:rPr>
      </w:pPr>
    </w:p>
    <w:p>
      <w:pPr>
        <w:pStyle w:val="16"/>
        <w:spacing w:after="100" w:afterAutospacing="1" w:line="400" w:lineRule="exact"/>
        <w:rPr>
          <w:b/>
          <w:sz w:val="28"/>
          <w:szCs w:val="28"/>
        </w:rPr>
      </w:pPr>
    </w:p>
    <w:p>
      <w:pPr>
        <w:pStyle w:val="16"/>
        <w:spacing w:after="100" w:afterAutospacing="1" w:line="400" w:lineRule="exact"/>
        <w:rPr>
          <w:b/>
          <w:sz w:val="28"/>
          <w:szCs w:val="28"/>
        </w:rPr>
      </w:pPr>
    </w:p>
    <w:p>
      <w:pPr>
        <w:pStyle w:val="16"/>
        <w:spacing w:after="100" w:afterAutospacing="1" w:line="400" w:lineRule="exact"/>
        <w:rPr>
          <w:b/>
          <w:sz w:val="28"/>
          <w:szCs w:val="28"/>
        </w:rPr>
      </w:pPr>
    </w:p>
    <w:p>
      <w:pPr>
        <w:pStyle w:val="16"/>
        <w:spacing w:after="100" w:afterAutospacing="1" w:line="400" w:lineRule="exact"/>
        <w:rPr>
          <w:b/>
          <w:sz w:val="28"/>
          <w:szCs w:val="28"/>
        </w:rPr>
      </w:pPr>
    </w:p>
    <w:p>
      <w:pPr>
        <w:pStyle w:val="16"/>
        <w:spacing w:after="100" w:afterAutospacing="1" w:line="400" w:lineRule="exact"/>
        <w:rPr>
          <w:b/>
          <w:sz w:val="28"/>
          <w:szCs w:val="28"/>
        </w:rPr>
      </w:pPr>
    </w:p>
    <w:p>
      <w:pPr>
        <w:pStyle w:val="16"/>
        <w:spacing w:after="100" w:afterAutospacing="1" w:line="400" w:lineRule="exact"/>
        <w:rPr>
          <w:b/>
          <w:sz w:val="28"/>
          <w:szCs w:val="28"/>
        </w:rPr>
      </w:pPr>
    </w:p>
    <w:p>
      <w:pPr>
        <w:pStyle w:val="16"/>
        <w:spacing w:after="100" w:afterAutospacing="1" w:line="400" w:lineRule="exact"/>
        <w:rPr>
          <w:b/>
          <w:sz w:val="28"/>
          <w:szCs w:val="28"/>
        </w:rPr>
      </w:pPr>
    </w:p>
    <w:p>
      <w:pPr>
        <w:pStyle w:val="16"/>
        <w:spacing w:after="100" w:afterAutospacing="1" w:line="400" w:lineRule="exact"/>
        <w:rPr>
          <w:b/>
          <w:sz w:val="28"/>
          <w:szCs w:val="28"/>
        </w:rPr>
      </w:pPr>
    </w:p>
    <w:p>
      <w:pPr>
        <w:pStyle w:val="16"/>
        <w:autoSpaceDE w:val="0"/>
        <w:autoSpaceDN w:val="0"/>
        <w:spacing w:line="318" w:lineRule="atLeast"/>
        <w:textAlignment w:val="bottom"/>
        <w:outlineLvl w:val="0"/>
        <w:rPr>
          <w:b/>
          <w:sz w:val="28"/>
          <w:szCs w:val="28"/>
        </w:rPr>
      </w:pPr>
      <w:bookmarkStart w:id="308" w:name="_Toc24547"/>
      <w:bookmarkStart w:id="309" w:name="_Toc31290"/>
      <w:r>
        <w:rPr>
          <w:rFonts w:hint="eastAsia"/>
          <w:b/>
          <w:sz w:val="28"/>
          <w:szCs w:val="28"/>
        </w:rPr>
        <w:t>18）                       投标函</w:t>
      </w:r>
      <w:bookmarkEnd w:id="308"/>
      <w:bookmarkEnd w:id="309"/>
    </w:p>
    <w:p>
      <w:pPr>
        <w:pStyle w:val="16"/>
        <w:autoSpaceDE w:val="0"/>
        <w:autoSpaceDN w:val="0"/>
        <w:spacing w:line="318" w:lineRule="atLeast"/>
        <w:jc w:val="center"/>
        <w:textAlignment w:val="bottom"/>
      </w:pPr>
    </w:p>
    <w:p>
      <w:pPr>
        <w:pStyle w:val="16"/>
        <w:autoSpaceDE w:val="0"/>
        <w:autoSpaceDN w:val="0"/>
        <w:spacing w:line="318" w:lineRule="atLeast"/>
        <w:jc w:val="center"/>
        <w:textAlignment w:val="bottom"/>
      </w:pPr>
    </w:p>
    <w:p>
      <w:pPr>
        <w:pStyle w:val="16"/>
        <w:autoSpaceDE w:val="0"/>
        <w:autoSpaceDN w:val="0"/>
        <w:spacing w:line="318" w:lineRule="atLeast"/>
        <w:jc w:val="center"/>
        <w:textAlignment w:val="bottom"/>
        <w:rPr>
          <w:b/>
          <w:sz w:val="32"/>
        </w:rPr>
      </w:pPr>
      <w:r>
        <w:rPr>
          <w:rFonts w:hint="eastAsia"/>
        </w:rPr>
        <w:t>（</w:t>
      </w:r>
      <w:r>
        <w:rPr>
          <w:rFonts w:hint="eastAsia"/>
          <w:b/>
          <w:sz w:val="22"/>
          <w:szCs w:val="22"/>
        </w:rPr>
        <w:t>中海油能源发展股份有限公司</w:t>
      </w:r>
      <w:r>
        <w:rPr>
          <w:rFonts w:hint="eastAsia"/>
          <w:b/>
          <w:sz w:val="22"/>
          <w:szCs w:val="22"/>
          <w:lang w:eastAsia="zh-CN"/>
        </w:rPr>
        <w:t>工程技术公司永磁系列潜油电机等物资采购专有协议--标段六</w:t>
      </w:r>
      <w:r>
        <w:rPr>
          <w:rFonts w:hint="eastAsia"/>
          <w:b/>
          <w:sz w:val="22"/>
          <w:szCs w:val="22"/>
        </w:rPr>
        <w:t xml:space="preserve"> 供应商资格审查</w:t>
      </w:r>
      <w:r>
        <w:rPr>
          <w:rFonts w:ascii="宋体" w:hAnsi="宋体" w:cs="宋体"/>
          <w:b/>
          <w:bCs/>
          <w:kern w:val="0"/>
          <w:szCs w:val="21"/>
        </w:rPr>
        <w:t>项目</w:t>
      </w:r>
      <w:r>
        <w:rPr>
          <w:rFonts w:hint="eastAsia"/>
        </w:rPr>
        <w:t>）</w:t>
      </w:r>
    </w:p>
    <w:p>
      <w:pPr>
        <w:pStyle w:val="16"/>
        <w:autoSpaceDE w:val="0"/>
        <w:autoSpaceDN w:val="0"/>
        <w:spacing w:line="480" w:lineRule="auto"/>
        <w:textAlignment w:val="bottom"/>
        <w:rPr>
          <w:rFonts w:ascii="宋体" w:hAnsi="宋体"/>
          <w:b/>
          <w:szCs w:val="21"/>
        </w:rPr>
      </w:pPr>
      <w:r>
        <w:rPr>
          <w:rFonts w:hint="eastAsia"/>
        </w:rPr>
        <w:t>致：中海油能源发展股份有限公司</w:t>
      </w:r>
    </w:p>
    <w:p>
      <w:pPr>
        <w:pStyle w:val="16"/>
        <w:ind w:left="1" w:firstLine="420" w:firstLineChars="200"/>
        <w:rPr>
          <w:rFonts w:ascii="宋体" w:hAnsi="宋体"/>
          <w:szCs w:val="21"/>
        </w:rPr>
      </w:pPr>
      <w:r>
        <w:rPr>
          <w:rFonts w:hint="eastAsia" w:ascii="宋体" w:hAnsi="宋体"/>
          <w:szCs w:val="21"/>
        </w:rPr>
        <w:t>我谨代表</w:t>
      </w:r>
      <w:r>
        <w:rPr>
          <w:rFonts w:hint="eastAsia" w:ascii="宋体" w:hAnsi="宋体"/>
          <w:szCs w:val="21"/>
          <w:u w:val="single"/>
        </w:rPr>
        <w:t xml:space="preserve">               </w:t>
      </w:r>
      <w:r>
        <w:rPr>
          <w:rFonts w:hint="eastAsia" w:ascii="宋体" w:hAnsi="宋体"/>
          <w:szCs w:val="21"/>
        </w:rPr>
        <w:t>（投标单位全称），愿意参加贵方组织的</w:t>
      </w:r>
      <w:r>
        <w:rPr>
          <w:rFonts w:hint="eastAsia" w:ascii="宋体" w:hAnsi="宋体"/>
          <w:szCs w:val="21"/>
          <w:u w:val="single"/>
        </w:rPr>
        <w:t xml:space="preserve">                </w:t>
      </w:r>
      <w:r>
        <w:rPr>
          <w:rFonts w:hint="eastAsia" w:ascii="宋体" w:hAnsi="宋体"/>
          <w:szCs w:val="21"/>
        </w:rPr>
        <w:t>及相关活动，为此：</w:t>
      </w:r>
    </w:p>
    <w:p>
      <w:pPr>
        <w:pStyle w:val="16"/>
        <w:numPr>
          <w:ilvl w:val="0"/>
          <w:numId w:val="38"/>
        </w:numPr>
        <w:tabs>
          <w:tab w:val="left" w:pos="1080"/>
          <w:tab w:val="clear" w:pos="1395"/>
        </w:tabs>
        <w:spacing w:before="120" w:after="120" w:line="360" w:lineRule="auto"/>
        <w:ind w:left="0" w:firstLine="540"/>
        <w:rPr>
          <w:rFonts w:ascii="宋体" w:hAnsi="宋体"/>
          <w:szCs w:val="21"/>
        </w:rPr>
      </w:pPr>
      <w:r>
        <w:rPr>
          <w:rFonts w:hint="eastAsia" w:ascii="宋体" w:hAnsi="宋体"/>
          <w:szCs w:val="21"/>
        </w:rPr>
        <w:t>保证已详细审查招标书的全部内容，包括修改文件（如有的话）和有关附件，并已充分认识到我方为此必须放弃对招标书存有含糊不清，模棱两可或误解的权利。我方对招标文件存在的所有异议均已在投标偏离一览表里表明。</w:t>
      </w:r>
    </w:p>
    <w:p>
      <w:pPr>
        <w:pStyle w:val="16"/>
        <w:numPr>
          <w:ilvl w:val="0"/>
          <w:numId w:val="38"/>
        </w:numPr>
        <w:tabs>
          <w:tab w:val="left" w:pos="1080"/>
          <w:tab w:val="clear" w:pos="1395"/>
        </w:tabs>
        <w:spacing w:before="120" w:after="120" w:line="360" w:lineRule="auto"/>
        <w:ind w:left="0" w:firstLine="540"/>
        <w:rPr>
          <w:rFonts w:ascii="宋体" w:hAnsi="宋体"/>
          <w:szCs w:val="21"/>
        </w:rPr>
      </w:pPr>
      <w:r>
        <w:rPr>
          <w:rFonts w:hint="eastAsia" w:ascii="宋体" w:hAnsi="宋体"/>
          <w:szCs w:val="21"/>
        </w:rPr>
        <w:t>提供资格预审</w:t>
      </w:r>
      <w:r>
        <w:rPr>
          <w:rFonts w:ascii="宋体" w:hAnsi="宋体"/>
          <w:szCs w:val="21"/>
        </w:rPr>
        <w:t>文件中</w:t>
      </w:r>
      <w:r>
        <w:rPr>
          <w:rFonts w:hint="eastAsia" w:ascii="宋体" w:hAnsi="宋体"/>
          <w:szCs w:val="21"/>
        </w:rPr>
        <w:t>规定的全部文件；</w:t>
      </w:r>
    </w:p>
    <w:p>
      <w:pPr>
        <w:pStyle w:val="16"/>
        <w:numPr>
          <w:ilvl w:val="0"/>
          <w:numId w:val="38"/>
        </w:numPr>
        <w:tabs>
          <w:tab w:val="left" w:pos="1080"/>
          <w:tab w:val="clear" w:pos="1395"/>
        </w:tabs>
        <w:spacing w:before="120" w:after="120" w:line="360" w:lineRule="auto"/>
        <w:ind w:left="0" w:firstLine="540"/>
        <w:rPr>
          <w:rFonts w:ascii="宋体" w:hAnsi="宋体"/>
          <w:szCs w:val="21"/>
        </w:rPr>
      </w:pPr>
      <w:r>
        <w:rPr>
          <w:rFonts w:hint="eastAsia" w:ascii="宋体" w:hAnsi="宋体"/>
          <w:szCs w:val="21"/>
        </w:rPr>
        <w:t>愿意向贵方提供任何与该项资格预审有关的数据、情况和技术资料。</w:t>
      </w:r>
    </w:p>
    <w:p>
      <w:pPr>
        <w:pStyle w:val="16"/>
        <w:numPr>
          <w:ilvl w:val="0"/>
          <w:numId w:val="38"/>
        </w:numPr>
        <w:tabs>
          <w:tab w:val="left" w:pos="1080"/>
          <w:tab w:val="clear" w:pos="1395"/>
        </w:tabs>
        <w:spacing w:before="120" w:after="120" w:line="360" w:lineRule="auto"/>
        <w:ind w:left="0" w:firstLine="540"/>
        <w:rPr>
          <w:rFonts w:ascii="宋体" w:hAnsi="宋体"/>
          <w:szCs w:val="21"/>
        </w:rPr>
      </w:pPr>
      <w:r>
        <w:rPr>
          <w:rFonts w:hint="eastAsia" w:ascii="宋体" w:hAnsi="宋体"/>
          <w:szCs w:val="21"/>
        </w:rPr>
        <w:t>我司</w:t>
      </w:r>
      <w:r>
        <w:rPr>
          <w:rFonts w:ascii="宋体" w:hAnsi="宋体"/>
          <w:szCs w:val="21"/>
        </w:rPr>
        <w:t>提交的</w:t>
      </w:r>
      <w:r>
        <w:rPr>
          <w:rFonts w:hint="eastAsia" w:ascii="宋体" w:hAnsi="宋体"/>
          <w:szCs w:val="21"/>
        </w:rPr>
        <w:t>资格预审</w:t>
      </w:r>
      <w:r>
        <w:rPr>
          <w:rFonts w:ascii="宋体" w:hAnsi="宋体"/>
          <w:szCs w:val="21"/>
        </w:rPr>
        <w:t>文件</w:t>
      </w:r>
      <w:r>
        <w:rPr>
          <w:rFonts w:hint="eastAsia" w:ascii="宋体" w:hAnsi="宋体"/>
          <w:szCs w:val="21"/>
        </w:rPr>
        <w:t>真实</w:t>
      </w:r>
      <w:r>
        <w:rPr>
          <w:rFonts w:ascii="宋体" w:hAnsi="宋体"/>
          <w:szCs w:val="21"/>
        </w:rPr>
        <w:t>、有效</w:t>
      </w:r>
      <w:r>
        <w:rPr>
          <w:rFonts w:hint="eastAsia" w:ascii="宋体" w:hAnsi="宋体"/>
          <w:szCs w:val="21"/>
        </w:rPr>
        <w:t>。</w:t>
      </w:r>
    </w:p>
    <w:p>
      <w:pPr>
        <w:pStyle w:val="16"/>
        <w:numPr>
          <w:ilvl w:val="0"/>
          <w:numId w:val="38"/>
        </w:numPr>
        <w:tabs>
          <w:tab w:val="left" w:pos="1080"/>
          <w:tab w:val="clear" w:pos="1395"/>
        </w:tabs>
        <w:spacing w:before="120" w:after="120" w:line="360" w:lineRule="auto"/>
        <w:ind w:left="0" w:firstLine="540"/>
        <w:rPr>
          <w:rFonts w:ascii="宋体" w:hAnsi="宋体"/>
          <w:szCs w:val="21"/>
        </w:rPr>
      </w:pPr>
      <w:r>
        <w:rPr>
          <w:rFonts w:hint="eastAsia" w:ascii="宋体" w:hAnsi="宋体"/>
          <w:szCs w:val="21"/>
        </w:rPr>
        <w:t>与本投标有关的一切往来通讯请寄：</w:t>
      </w:r>
    </w:p>
    <w:p>
      <w:pPr>
        <w:pStyle w:val="16"/>
        <w:spacing w:line="480" w:lineRule="auto"/>
        <w:ind w:left="900"/>
        <w:rPr>
          <w:rFonts w:ascii="宋体" w:hAnsi="宋体"/>
          <w:szCs w:val="21"/>
          <w:u w:val="single"/>
        </w:rPr>
      </w:pPr>
      <w:r>
        <w:rPr>
          <w:rFonts w:hint="eastAsia" w:ascii="宋体" w:hAnsi="宋体"/>
          <w:szCs w:val="21"/>
        </w:rPr>
        <w:t>邮编：</w:t>
      </w:r>
      <w:r>
        <w:rPr>
          <w:rFonts w:hint="eastAsia" w:ascii="宋体" w:hAnsi="宋体"/>
          <w:szCs w:val="21"/>
          <w:u w:val="single"/>
        </w:rPr>
        <w:t xml:space="preserve">       </w:t>
      </w:r>
      <w:r>
        <w:rPr>
          <w:rFonts w:hint="eastAsia" w:ascii="宋体" w:hAnsi="宋体"/>
          <w:szCs w:val="21"/>
        </w:rPr>
        <w:t>，地址：</w:t>
      </w:r>
      <w:r>
        <w:rPr>
          <w:rFonts w:hint="eastAsia" w:ascii="宋体" w:hAnsi="宋体"/>
          <w:szCs w:val="21"/>
          <w:u w:val="single"/>
        </w:rPr>
        <w:t xml:space="preserve">               </w:t>
      </w:r>
    </w:p>
    <w:p>
      <w:pPr>
        <w:pStyle w:val="16"/>
        <w:spacing w:line="480" w:lineRule="auto"/>
        <w:ind w:left="900"/>
        <w:rPr>
          <w:rFonts w:ascii="宋体" w:hAnsi="宋体"/>
          <w:szCs w:val="21"/>
          <w:u w:val="single"/>
        </w:rPr>
      </w:pPr>
      <w:r>
        <w:rPr>
          <w:rFonts w:hint="eastAsia" w:ascii="宋体" w:hAnsi="宋体"/>
          <w:szCs w:val="21"/>
        </w:rPr>
        <w:t>联系人：</w:t>
      </w:r>
      <w:r>
        <w:rPr>
          <w:rFonts w:hint="eastAsia" w:ascii="宋体" w:hAnsi="宋体"/>
          <w:szCs w:val="21"/>
          <w:u w:val="single"/>
        </w:rPr>
        <w:t xml:space="preserve">         </w:t>
      </w:r>
      <w:r>
        <w:rPr>
          <w:rFonts w:hint="eastAsia" w:ascii="宋体" w:hAnsi="宋体"/>
          <w:szCs w:val="21"/>
        </w:rPr>
        <w:t>，手机：</w:t>
      </w:r>
      <w:r>
        <w:rPr>
          <w:rFonts w:hint="eastAsia" w:ascii="宋体" w:hAnsi="宋体"/>
          <w:szCs w:val="21"/>
          <w:u w:val="single"/>
        </w:rPr>
        <w:t xml:space="preserve">                     </w:t>
      </w:r>
    </w:p>
    <w:p>
      <w:pPr>
        <w:pStyle w:val="16"/>
        <w:spacing w:line="480" w:lineRule="auto"/>
        <w:ind w:left="900"/>
        <w:rPr>
          <w:rFonts w:ascii="宋体" w:hAnsi="宋体"/>
          <w:szCs w:val="21"/>
        </w:rPr>
      </w:pPr>
      <w:r>
        <w:rPr>
          <w:rFonts w:hint="eastAsia" w:ascii="宋体" w:hAnsi="宋体"/>
          <w:szCs w:val="21"/>
        </w:rPr>
        <w:t>电话：</w:t>
      </w:r>
      <w:r>
        <w:rPr>
          <w:rFonts w:hint="eastAsia" w:ascii="宋体" w:hAnsi="宋体"/>
          <w:szCs w:val="21"/>
          <w:u w:val="single"/>
        </w:rPr>
        <w:t xml:space="preserve">             </w:t>
      </w:r>
      <w:r>
        <w:rPr>
          <w:rFonts w:hint="eastAsia" w:ascii="宋体" w:hAnsi="宋体"/>
          <w:szCs w:val="21"/>
        </w:rPr>
        <w:t>，传真：</w:t>
      </w:r>
      <w:r>
        <w:rPr>
          <w:rFonts w:hint="eastAsia" w:ascii="宋体" w:hAnsi="宋体"/>
          <w:szCs w:val="21"/>
          <w:u w:val="single"/>
        </w:rPr>
        <w:t xml:space="preserve">                       </w:t>
      </w:r>
    </w:p>
    <w:p>
      <w:pPr>
        <w:pStyle w:val="16"/>
        <w:spacing w:line="480" w:lineRule="auto"/>
        <w:ind w:left="900"/>
        <w:rPr>
          <w:rFonts w:ascii="宋体" w:hAnsi="宋体"/>
          <w:szCs w:val="21"/>
        </w:rPr>
      </w:pPr>
    </w:p>
    <w:p>
      <w:pPr>
        <w:pStyle w:val="16"/>
        <w:spacing w:line="480" w:lineRule="auto"/>
        <w:ind w:firstLine="5355" w:firstLineChars="2550"/>
        <w:rPr>
          <w:rFonts w:ascii="宋体" w:hAnsi="宋体"/>
          <w:szCs w:val="21"/>
          <w:u w:val="single"/>
        </w:rPr>
      </w:pPr>
      <w:r>
        <w:rPr>
          <w:rFonts w:hint="eastAsia" w:ascii="宋体" w:hAnsi="宋体"/>
          <w:szCs w:val="21"/>
        </w:rPr>
        <w:t>单位</w:t>
      </w:r>
      <w:r>
        <w:rPr>
          <w:rFonts w:ascii="宋体" w:hAnsi="宋体"/>
          <w:szCs w:val="21"/>
        </w:rPr>
        <w:t>名称</w:t>
      </w:r>
      <w:r>
        <w:rPr>
          <w:rFonts w:hint="eastAsia" w:ascii="宋体" w:hAnsi="宋体"/>
          <w:szCs w:val="21"/>
        </w:rPr>
        <w:t>（公章）</w:t>
      </w:r>
      <w:r>
        <w:rPr>
          <w:rFonts w:ascii="宋体" w:hAnsi="宋体"/>
          <w:szCs w:val="21"/>
        </w:rPr>
        <w:t>：</w:t>
      </w:r>
      <w:r>
        <w:rPr>
          <w:rFonts w:hint="eastAsia" w:ascii="宋体" w:hAnsi="宋体"/>
          <w:szCs w:val="21"/>
          <w:u w:val="single"/>
        </w:rPr>
        <w:t xml:space="preserve">                        </w:t>
      </w:r>
    </w:p>
    <w:p>
      <w:pPr>
        <w:pStyle w:val="16"/>
        <w:snapToGrid w:val="0"/>
        <w:spacing w:line="480" w:lineRule="auto"/>
        <w:ind w:left="5040" w:firstLine="315" w:firstLineChars="150"/>
        <w:rPr>
          <w:rFonts w:ascii="宋体" w:hAnsi="宋体"/>
          <w:szCs w:val="21"/>
        </w:rPr>
      </w:pPr>
      <w:r>
        <w:rPr>
          <w:rFonts w:hint="eastAsia" w:ascii="宋体" w:hAnsi="宋体"/>
          <w:szCs w:val="21"/>
        </w:rPr>
        <w:t>法人或授权代表</w:t>
      </w:r>
      <w:r>
        <w:rPr>
          <w:rFonts w:ascii="宋体" w:hAnsi="宋体"/>
          <w:szCs w:val="21"/>
        </w:rPr>
        <w:t>签字：</w:t>
      </w:r>
    </w:p>
    <w:p>
      <w:pPr>
        <w:pStyle w:val="16"/>
        <w:wordWrap w:val="0"/>
        <w:spacing w:line="480" w:lineRule="auto"/>
        <w:jc w:val="right"/>
        <w:rPr>
          <w:rFonts w:cs="Arial"/>
          <w:bCs/>
        </w:rPr>
      </w:pPr>
      <w:r>
        <w:rPr>
          <w:rFonts w:hint="eastAsia" w:ascii="宋体" w:hAnsi="宋体"/>
          <w:szCs w:val="21"/>
        </w:rPr>
        <w:t>2023年   月  日</w:t>
      </w:r>
    </w:p>
    <w:p>
      <w:pPr>
        <w:pStyle w:val="16"/>
        <w:spacing w:after="100" w:afterAutospacing="1" w:line="400" w:lineRule="exact"/>
        <w:rPr>
          <w:b/>
          <w:sz w:val="28"/>
          <w:szCs w:val="28"/>
        </w:rPr>
      </w:pPr>
    </w:p>
    <w:p>
      <w:pPr>
        <w:pStyle w:val="16"/>
        <w:spacing w:after="100" w:afterAutospacing="1" w:line="400" w:lineRule="exact"/>
        <w:rPr>
          <w:b/>
          <w:sz w:val="28"/>
          <w:szCs w:val="28"/>
        </w:rPr>
      </w:pPr>
    </w:p>
    <w:p>
      <w:pPr>
        <w:pStyle w:val="16"/>
        <w:spacing w:after="100" w:afterAutospacing="1" w:line="400" w:lineRule="exact"/>
        <w:rPr>
          <w:b/>
          <w:sz w:val="28"/>
          <w:szCs w:val="28"/>
        </w:rPr>
      </w:pPr>
    </w:p>
    <w:p>
      <w:pPr>
        <w:pStyle w:val="16"/>
        <w:spacing w:after="100" w:afterAutospacing="1" w:line="400" w:lineRule="exact"/>
        <w:outlineLvl w:val="0"/>
        <w:rPr>
          <w:rFonts w:hint="eastAsia"/>
          <w:b/>
          <w:sz w:val="28"/>
          <w:szCs w:val="28"/>
        </w:rPr>
      </w:pPr>
      <w:bookmarkStart w:id="310" w:name="_Toc19918"/>
      <w:bookmarkStart w:id="311" w:name="_Toc31598"/>
    </w:p>
    <w:p>
      <w:pPr>
        <w:pStyle w:val="16"/>
        <w:spacing w:after="100" w:afterAutospacing="1" w:line="400" w:lineRule="exact"/>
        <w:outlineLvl w:val="0"/>
        <w:rPr>
          <w:b/>
          <w:sz w:val="28"/>
          <w:szCs w:val="28"/>
        </w:rPr>
      </w:pPr>
      <w:r>
        <w:rPr>
          <w:rFonts w:hint="eastAsia"/>
          <w:b/>
          <w:sz w:val="28"/>
          <w:szCs w:val="28"/>
        </w:rPr>
        <w:t>19）对本项目技术要求的其他响应文件</w:t>
      </w:r>
      <w:bookmarkEnd w:id="310"/>
      <w:bookmarkEnd w:id="311"/>
    </w:p>
    <w:p>
      <w:pPr>
        <w:pStyle w:val="34"/>
        <w:adjustRightInd w:val="0"/>
        <w:snapToGrid w:val="0"/>
        <w:spacing w:line="360" w:lineRule="auto"/>
        <w:ind w:left="210" w:leftChars="100" w:firstLine="4200" w:firstLineChars="1500"/>
        <w:rPr>
          <w:i w:val="0"/>
          <w:iCs w:val="0"/>
          <w:lang w:eastAsia="zh-CN"/>
        </w:rPr>
      </w:pPr>
      <w:r>
        <w:rPr>
          <w:rFonts w:hint="eastAsia"/>
          <w:sz w:val="28"/>
          <w:szCs w:val="28"/>
          <w:lang w:val="en-US" w:eastAsia="zh-CN"/>
        </w:rPr>
        <w:br w:type="page"/>
      </w:r>
    </w:p>
    <w:p>
      <w:pPr>
        <w:pStyle w:val="23"/>
        <w:rPr>
          <w:rFonts w:hint="default" w:eastAsia="宋体"/>
          <w:sz w:val="28"/>
          <w:szCs w:val="28"/>
          <w:lang w:val="en-US" w:eastAsia="zh-CN"/>
        </w:rPr>
      </w:pPr>
    </w:p>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b/>
        <w:bCs/>
        <w:sz w:val="24"/>
        <w:szCs w:val="24"/>
      </w:rPr>
      <w:fldChar w:fldCharType="begin"/>
    </w:r>
    <w:r>
      <w:rPr>
        <w:b/>
        <w:bCs/>
      </w:rPr>
      <w:instrText xml:space="preserve">PAGE</w:instrText>
    </w:r>
    <w:r>
      <w:rPr>
        <w:b/>
        <w:bCs/>
        <w:sz w:val="24"/>
        <w:szCs w:val="24"/>
      </w:rPr>
      <w:fldChar w:fldCharType="separate"/>
    </w:r>
    <w:r>
      <w:rPr>
        <w:b/>
        <w:bCs/>
      </w:rPr>
      <w:t>54</w:t>
    </w:r>
    <w:r>
      <w:rPr>
        <w:b/>
        <w:bCs/>
        <w:sz w:val="24"/>
        <w:szCs w:val="24"/>
      </w:rPr>
      <w:fldChar w:fldCharType="end"/>
    </w:r>
    <w:r>
      <w:rPr>
        <w:lang w:val="zh-CN"/>
      </w:rPr>
      <w:t xml:space="preserve"> /</w:t>
    </w:r>
    <w:r>
      <w:rPr>
        <w:b/>
        <w:bCs/>
      </w:rPr>
      <w:t xml:space="preserve"> </w:t>
    </w:r>
    <w:r>
      <w:rPr>
        <w:rFonts w:hint="eastAsia"/>
        <w:b/>
        <w:bCs/>
      </w:rPr>
      <w:t>80</w:t>
    </w:r>
    <w:r>
      <w:rPr>
        <w:b/>
        <w:bCs/>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rPr>
        <w:b/>
        <w:bCs/>
      </w:rPr>
    </w:pPr>
    <w:r>
      <w:rPr>
        <w:b/>
        <w:bCs/>
        <w:sz w:val="24"/>
        <w:szCs w:val="24"/>
      </w:rPr>
      <w:fldChar w:fldCharType="begin"/>
    </w:r>
    <w:r>
      <w:rPr>
        <w:b/>
        <w:bCs/>
      </w:rPr>
      <w:instrText xml:space="preserve">PAGE</w:instrText>
    </w:r>
    <w:r>
      <w:rPr>
        <w:b/>
        <w:bCs/>
        <w:sz w:val="24"/>
        <w:szCs w:val="24"/>
      </w:rPr>
      <w:fldChar w:fldCharType="separate"/>
    </w:r>
    <w:r>
      <w:rPr>
        <w:b/>
        <w:bCs/>
      </w:rPr>
      <w:t>50</w:t>
    </w:r>
    <w:r>
      <w:rPr>
        <w:b/>
        <w:bCs/>
        <w:sz w:val="24"/>
        <w:szCs w:val="24"/>
      </w:rPr>
      <w:fldChar w:fldCharType="end"/>
    </w:r>
    <w:r>
      <w:rPr>
        <w:lang w:val="zh-CN"/>
      </w:rPr>
      <w:t xml:space="preserve"> /</w:t>
    </w:r>
    <w:r>
      <w:rPr>
        <w:b/>
        <w:bCs/>
      </w:rPr>
      <w:t xml:space="preserve"> </w:t>
    </w:r>
    <w:r>
      <w:rPr>
        <w:b/>
        <w:bCs/>
      </w:rPr>
      <w:fldChar w:fldCharType="begin"/>
    </w:r>
    <w:r>
      <w:rPr>
        <w:rFonts w:hint="eastAsia"/>
        <w:b/>
        <w:bCs/>
      </w:rPr>
      <w:instrText xml:space="preserve">=</w:instrText>
    </w:r>
    <w:r>
      <w:rPr>
        <w:b/>
        <w:bCs/>
      </w:rPr>
      <w:fldChar w:fldCharType="begin"/>
    </w:r>
    <w:r>
      <w:rPr>
        <w:b/>
        <w:bCs/>
      </w:rPr>
      <w:instrText xml:space="preserve"> NUMPAGES </w:instrText>
    </w:r>
    <w:r>
      <w:rPr>
        <w:b/>
        <w:bCs/>
      </w:rPr>
      <w:fldChar w:fldCharType="separate"/>
    </w:r>
    <w:r>
      <w:rPr>
        <w:b/>
        <w:bCs/>
      </w:rPr>
      <w:instrText xml:space="preserve">80</w:instrText>
    </w:r>
    <w:r>
      <w:rPr>
        <w:b/>
        <w:bCs/>
      </w:rPr>
      <w:fldChar w:fldCharType="end"/>
    </w:r>
    <w:r>
      <w:rPr>
        <w:rFonts w:hint="eastAsia"/>
        <w:b/>
        <w:bCs/>
      </w:rPr>
      <w:instrText xml:space="preserve">-1</w:instrText>
    </w:r>
    <w:r>
      <w:rPr>
        <w:b/>
        <w:bCs/>
      </w:rPr>
      <w:instrText xml:space="preserve">  \* Arabic  \* MERGEFORMAT</w:instrText>
    </w:r>
    <w:r>
      <w:rPr>
        <w:b/>
        <w:bCs/>
      </w:rPr>
      <w:fldChar w:fldCharType="separate"/>
    </w:r>
    <w:r>
      <w:rPr>
        <w:b/>
        <w:bCs/>
      </w:rPr>
      <w:t>79</w:t>
    </w:r>
    <w:r>
      <w:rPr>
        <w:b/>
        <w:bCs/>
      </w:rPr>
      <w:fldChar w:fldCharType="end"/>
    </w:r>
    <w:r>
      <w:rPr>
        <w:lang w:val="zh-CN"/>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rPr>
        <w:b/>
        <w:bCs/>
      </w:rPr>
    </w:pPr>
    <w:r>
      <w:rPr>
        <w:b/>
        <w:bCs/>
        <w:sz w:val="24"/>
        <w:szCs w:val="24"/>
      </w:rPr>
      <w:fldChar w:fldCharType="begin"/>
    </w:r>
    <w:r>
      <w:rPr>
        <w:b/>
        <w:bCs/>
      </w:rPr>
      <w:instrText xml:space="preserve">PAGE</w:instrText>
    </w:r>
    <w:r>
      <w:rPr>
        <w:b/>
        <w:bCs/>
        <w:sz w:val="24"/>
        <w:szCs w:val="24"/>
      </w:rPr>
      <w:fldChar w:fldCharType="separate"/>
    </w:r>
    <w:r>
      <w:rPr>
        <w:b/>
        <w:bCs/>
      </w:rPr>
      <w:t>54</w:t>
    </w:r>
    <w:r>
      <w:rPr>
        <w:b/>
        <w:bCs/>
        <w:sz w:val="24"/>
        <w:szCs w:val="24"/>
      </w:rPr>
      <w:fldChar w:fldCharType="end"/>
    </w:r>
    <w:r>
      <w:rPr>
        <w:lang w:val="zh-CN"/>
      </w:rPr>
      <w:t xml:space="preserve"> /</w:t>
    </w:r>
    <w:r>
      <w:rPr>
        <w:b/>
        <w:bCs/>
      </w:rPr>
      <w:t xml:space="preserve"> </w:t>
    </w:r>
    <w:r>
      <w:rPr>
        <w:b/>
        <w:bCs/>
      </w:rPr>
      <w:fldChar w:fldCharType="begin"/>
    </w:r>
    <w:r>
      <w:rPr>
        <w:rFonts w:hint="eastAsia"/>
        <w:b/>
        <w:bCs/>
      </w:rPr>
      <w:instrText xml:space="preserve">=</w:instrText>
    </w:r>
    <w:r>
      <w:rPr>
        <w:b/>
        <w:bCs/>
      </w:rPr>
      <w:fldChar w:fldCharType="begin"/>
    </w:r>
    <w:r>
      <w:rPr>
        <w:b/>
        <w:bCs/>
      </w:rPr>
      <w:instrText xml:space="preserve"> NUMPAGES </w:instrText>
    </w:r>
    <w:r>
      <w:rPr>
        <w:b/>
        <w:bCs/>
      </w:rPr>
      <w:fldChar w:fldCharType="separate"/>
    </w:r>
    <w:r>
      <w:rPr>
        <w:b/>
        <w:bCs/>
      </w:rPr>
      <w:instrText xml:space="preserve">80</w:instrText>
    </w:r>
    <w:r>
      <w:rPr>
        <w:b/>
        <w:bCs/>
      </w:rPr>
      <w:fldChar w:fldCharType="end"/>
    </w:r>
    <w:r>
      <w:rPr>
        <w:rFonts w:hint="eastAsia"/>
        <w:b/>
        <w:bCs/>
      </w:rPr>
      <w:instrText xml:space="preserve">-1</w:instrText>
    </w:r>
    <w:r>
      <w:rPr>
        <w:b/>
        <w:bCs/>
      </w:rPr>
      <w:instrText xml:space="preserve">  \* Arabic  \* MERGEFORMAT</w:instrText>
    </w:r>
    <w:r>
      <w:rPr>
        <w:b/>
        <w:bCs/>
      </w:rPr>
      <w:fldChar w:fldCharType="separate"/>
    </w:r>
    <w:r>
      <w:rPr>
        <w:b/>
        <w:bCs/>
      </w:rPr>
      <w:t>79</w:t>
    </w:r>
    <w:r>
      <w:rPr>
        <w:b/>
        <w:bCs/>
      </w:rPr>
      <w:fldChar w:fldCharType="end"/>
    </w:r>
    <w:r>
      <w:rPr>
        <w:b/>
        <w:bCs/>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rPr>
        <w:b/>
        <w:bCs/>
      </w:rPr>
    </w:pPr>
    <w:r>
      <w:rPr>
        <w:b/>
        <w:bCs/>
        <w:sz w:val="24"/>
        <w:szCs w:val="24"/>
      </w:rPr>
      <w:fldChar w:fldCharType="begin"/>
    </w:r>
    <w:r>
      <w:rPr>
        <w:b/>
        <w:bCs/>
      </w:rPr>
      <w:instrText xml:space="preserve">PAGE</w:instrText>
    </w:r>
    <w:r>
      <w:rPr>
        <w:b/>
        <w:bCs/>
        <w:sz w:val="24"/>
        <w:szCs w:val="24"/>
      </w:rPr>
      <w:fldChar w:fldCharType="separate"/>
    </w:r>
    <w:r>
      <w:rPr>
        <w:b/>
        <w:bCs/>
      </w:rPr>
      <w:t>56</w:t>
    </w:r>
    <w:r>
      <w:rPr>
        <w:b/>
        <w:bCs/>
        <w:sz w:val="24"/>
        <w:szCs w:val="24"/>
      </w:rPr>
      <w:fldChar w:fldCharType="end"/>
    </w:r>
    <w:r>
      <w:rPr>
        <w:lang w:val="zh-CN"/>
      </w:rPr>
      <w:t xml:space="preserve"> /</w:t>
    </w:r>
    <w:r>
      <w:rPr>
        <w:b/>
        <w:bCs/>
      </w:rPr>
      <w:t xml:space="preserve"> </w:t>
    </w:r>
    <w:r>
      <w:rPr>
        <w:rFonts w:hint="eastAsia"/>
        <w:b/>
        <w:bCs/>
      </w:rPr>
      <w:t>80</w:t>
    </w:r>
    <w:r>
      <w:rPr>
        <w:b/>
        <w:bC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15"/>
      </w:rPr>
    </w:pPr>
    <w:r>
      <w:fldChar w:fldCharType="begin"/>
    </w:r>
    <w:r>
      <w:rPr>
        <w:rStyle w:val="15"/>
        <w:highlight w:val="white"/>
      </w:rPr>
      <w:instrText xml:space="preserve">PAGE  </w:instrText>
    </w:r>
    <w:r>
      <w:fldChar w:fldCharType="separate"/>
    </w:r>
    <w:r>
      <w:rPr>
        <w:rStyle w:val="15"/>
        <w:highlight w:val="white"/>
      </w:rPr>
      <w:t>10</w:t>
    </w:r>
    <w:r>
      <w:fldChar w:fldCharType="end"/>
    </w: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rPr>
        <w:b/>
        <w:bCs/>
      </w:rPr>
    </w:pPr>
    <w:r>
      <w:rPr>
        <w:b/>
        <w:bCs/>
        <w:sz w:val="24"/>
        <w:szCs w:val="24"/>
      </w:rPr>
      <w:fldChar w:fldCharType="begin"/>
    </w:r>
    <w:r>
      <w:rPr>
        <w:b/>
        <w:bCs/>
      </w:rPr>
      <w:instrText xml:space="preserve">PAGE</w:instrText>
    </w:r>
    <w:r>
      <w:rPr>
        <w:b/>
        <w:bCs/>
        <w:sz w:val="24"/>
        <w:szCs w:val="24"/>
      </w:rPr>
      <w:fldChar w:fldCharType="separate"/>
    </w:r>
    <w:r>
      <w:rPr>
        <w:b/>
        <w:bCs/>
      </w:rPr>
      <w:t>56</w:t>
    </w:r>
    <w:r>
      <w:rPr>
        <w:b/>
        <w:bCs/>
        <w:sz w:val="24"/>
        <w:szCs w:val="24"/>
      </w:rPr>
      <w:fldChar w:fldCharType="end"/>
    </w:r>
    <w:r>
      <w:rPr>
        <w:lang w:val="zh-CN"/>
      </w:rPr>
      <w:t xml:space="preserve"> /</w:t>
    </w:r>
    <w:r>
      <w:rPr>
        <w:b/>
        <w:bCs/>
      </w:rPr>
      <w:t xml:space="preserve"> </w:t>
    </w:r>
    <w:r>
      <w:rPr>
        <w:b/>
        <w:bCs/>
      </w:rPr>
      <w:fldChar w:fldCharType="begin"/>
    </w:r>
    <w:r>
      <w:rPr>
        <w:rFonts w:hint="eastAsia"/>
        <w:b/>
        <w:bCs/>
      </w:rPr>
      <w:instrText xml:space="preserve">=</w:instrText>
    </w:r>
    <w:r>
      <w:rPr>
        <w:b/>
        <w:bCs/>
      </w:rPr>
      <w:fldChar w:fldCharType="begin"/>
    </w:r>
    <w:r>
      <w:rPr>
        <w:b/>
        <w:bCs/>
      </w:rPr>
      <w:instrText xml:space="preserve"> NUMPAGES </w:instrText>
    </w:r>
    <w:r>
      <w:rPr>
        <w:b/>
        <w:bCs/>
      </w:rPr>
      <w:fldChar w:fldCharType="separate"/>
    </w:r>
    <w:r>
      <w:rPr>
        <w:b/>
        <w:bCs/>
      </w:rPr>
      <w:instrText xml:space="preserve">80</w:instrText>
    </w:r>
    <w:r>
      <w:rPr>
        <w:b/>
        <w:bCs/>
      </w:rPr>
      <w:fldChar w:fldCharType="end"/>
    </w:r>
    <w:r>
      <w:rPr>
        <w:rFonts w:hint="eastAsia"/>
        <w:b/>
        <w:bCs/>
      </w:rPr>
      <w:instrText xml:space="preserve">-1</w:instrText>
    </w:r>
    <w:r>
      <w:rPr>
        <w:b/>
        <w:bCs/>
      </w:rPr>
      <w:instrText xml:space="preserve">  \* Arabic  \* MERGEFORMAT</w:instrText>
    </w:r>
    <w:r>
      <w:rPr>
        <w:b/>
        <w:bCs/>
      </w:rPr>
      <w:fldChar w:fldCharType="separate"/>
    </w:r>
    <w:r>
      <w:rPr>
        <w:b/>
        <w:bCs/>
      </w:rPr>
      <w:t>79</w:t>
    </w:r>
    <w:r>
      <w:rPr>
        <w:b/>
        <w:bCs/>
      </w:rPr>
      <w:fldChar w:fldCharType="end"/>
    </w:r>
    <w:r>
      <w:rPr>
        <w:b/>
        <w:bCs/>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rPr>
        <w:b/>
        <w:bCs/>
      </w:rPr>
    </w:pPr>
    <w:r>
      <w:rPr>
        <w:b/>
        <w:bCs/>
        <w:sz w:val="24"/>
        <w:szCs w:val="24"/>
      </w:rPr>
      <w:fldChar w:fldCharType="begin"/>
    </w:r>
    <w:r>
      <w:rPr>
        <w:b/>
        <w:bCs/>
      </w:rPr>
      <w:instrText xml:space="preserve">PAGE</w:instrText>
    </w:r>
    <w:r>
      <w:rPr>
        <w:b/>
        <w:bCs/>
        <w:sz w:val="24"/>
        <w:szCs w:val="24"/>
      </w:rPr>
      <w:fldChar w:fldCharType="separate"/>
    </w:r>
    <w:r>
      <w:rPr>
        <w:b/>
        <w:bCs/>
      </w:rPr>
      <w:t>54</w:t>
    </w:r>
    <w:r>
      <w:rPr>
        <w:b/>
        <w:bCs/>
        <w:sz w:val="24"/>
        <w:szCs w:val="24"/>
      </w:rPr>
      <w:fldChar w:fldCharType="end"/>
    </w:r>
    <w:r>
      <w:rPr>
        <w:lang w:val="zh-CN"/>
      </w:rPr>
      <w:t xml:space="preserve"> /</w:t>
    </w:r>
    <w:r>
      <w:rPr>
        <w:b/>
        <w:bCs/>
      </w:rPr>
      <w:t xml:space="preserve"> </w:t>
    </w:r>
    <w:r>
      <w:rPr>
        <w:rFonts w:hint="eastAsia"/>
        <w:b/>
        <w:bCs/>
      </w:rPr>
      <w:t>80</w:t>
    </w:r>
    <w:r>
      <w:rPr>
        <w:b/>
        <w:bCs/>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rPr>
        <w:b/>
        <w:bCs/>
      </w:rPr>
    </w:pPr>
    <w:r>
      <w:rPr>
        <w:b/>
        <w:bCs/>
        <w:sz w:val="24"/>
        <w:szCs w:val="24"/>
      </w:rPr>
      <w:fldChar w:fldCharType="begin"/>
    </w:r>
    <w:r>
      <w:rPr>
        <w:b/>
        <w:bCs/>
      </w:rPr>
      <w:instrText xml:space="preserve">PAGE</w:instrText>
    </w:r>
    <w:r>
      <w:rPr>
        <w:b/>
        <w:bCs/>
        <w:sz w:val="24"/>
        <w:szCs w:val="24"/>
      </w:rPr>
      <w:fldChar w:fldCharType="separate"/>
    </w:r>
    <w:r>
      <w:rPr>
        <w:b/>
        <w:bCs/>
      </w:rPr>
      <w:t>22</w:t>
    </w:r>
    <w:r>
      <w:rPr>
        <w:b/>
        <w:bCs/>
        <w:sz w:val="24"/>
        <w:szCs w:val="24"/>
      </w:rPr>
      <w:fldChar w:fldCharType="end"/>
    </w:r>
    <w:r>
      <w:rPr>
        <w:lang w:val="zh-CN"/>
      </w:rPr>
      <w:t xml:space="preserve"> /</w:t>
    </w:r>
    <w:r>
      <w:rPr>
        <w:b/>
        <w:bCs/>
      </w:rPr>
      <w:t xml:space="preserve"> </w:t>
    </w:r>
    <w:r>
      <w:rPr>
        <w:b/>
        <w:bCs/>
        <w:sz w:val="24"/>
        <w:szCs w:val="24"/>
      </w:rPr>
      <w:fldChar w:fldCharType="begin"/>
    </w:r>
    <w:r>
      <w:rPr>
        <w:rFonts w:hint="eastAsia"/>
        <w:b/>
        <w:bCs/>
        <w:sz w:val="24"/>
        <w:szCs w:val="24"/>
      </w:rPr>
      <w:instrText xml:space="preserve">=</w:instrText>
    </w:r>
    <w:r>
      <w:rPr>
        <w:b/>
        <w:bCs/>
        <w:sz w:val="24"/>
        <w:szCs w:val="24"/>
      </w:rPr>
      <w:fldChar w:fldCharType="begin"/>
    </w:r>
    <w:r>
      <w:rPr>
        <w:b/>
        <w:bCs/>
        <w:sz w:val="24"/>
        <w:szCs w:val="24"/>
      </w:rPr>
      <w:instrText xml:space="preserve"> NUMPAGES </w:instrText>
    </w:r>
    <w:r>
      <w:rPr>
        <w:b/>
        <w:bCs/>
        <w:sz w:val="24"/>
        <w:szCs w:val="24"/>
      </w:rPr>
      <w:fldChar w:fldCharType="separate"/>
    </w:r>
    <w:r>
      <w:rPr>
        <w:b/>
        <w:bCs/>
        <w:sz w:val="24"/>
        <w:szCs w:val="24"/>
      </w:rPr>
      <w:instrText xml:space="preserve">80</w:instrText>
    </w:r>
    <w:r>
      <w:rPr>
        <w:b/>
        <w:bCs/>
        <w:sz w:val="24"/>
        <w:szCs w:val="24"/>
      </w:rPr>
      <w:fldChar w:fldCharType="end"/>
    </w:r>
    <w:r>
      <w:rPr>
        <w:rFonts w:hint="eastAsia"/>
        <w:b/>
        <w:bCs/>
        <w:sz w:val="24"/>
        <w:szCs w:val="24"/>
      </w:rPr>
      <w:instrText xml:space="preserve">-1</w:instrText>
    </w:r>
    <w:r>
      <w:rPr>
        <w:b/>
        <w:bCs/>
        <w:sz w:val="24"/>
        <w:szCs w:val="24"/>
      </w:rPr>
      <w:instrText xml:space="preserve">  \* Arabic  \* MERGEFORMAT</w:instrText>
    </w:r>
    <w:r>
      <w:rPr>
        <w:b/>
        <w:bCs/>
        <w:sz w:val="24"/>
        <w:szCs w:val="24"/>
      </w:rPr>
      <w:fldChar w:fldCharType="separate"/>
    </w:r>
    <w:r>
      <w:rPr>
        <w:b/>
        <w:bCs/>
      </w:rPr>
      <w:t>79</w:t>
    </w:r>
    <w:r>
      <w:rPr>
        <w:b/>
        <w:bCs/>
        <w:sz w:val="24"/>
        <w:szCs w:val="24"/>
        <w:lang w:val="zh-CN"/>
      </w:rPr>
      <w:fldChar w:fldCharType="end"/>
    </w:r>
    <w:r>
      <w:rPr>
        <w:lang w:val="zh-CN"/>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rPr>
        <w:rFonts w:asciiTheme="minorHAnsi" w:hAnsiTheme="minorHAnsi" w:eastAsiaTheme="minorEastAsia" w:cstheme="minorBidi"/>
        <w:sz w:val="18"/>
        <w:szCs w:val="18"/>
        <w:lang w:val="en-US" w:eastAsia="en-US" w:bidi="ar-SA"/>
      </w:rPr>
    </w:pPr>
    <w:r>
      <w:rPr>
        <w:rFonts w:asciiTheme="minorHAnsi" w:hAnsiTheme="minorHAnsi" w:eastAsiaTheme="minorEastAsia" w:cstheme="minorBidi"/>
        <w:sz w:val="18"/>
        <w:szCs w:val="18"/>
        <w:lang w:val="en-US" w:eastAsia="en-US"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snapToGrid w:val="0"/>
                            <w:rPr>
                              <w:rFonts w:asciiTheme="minorHAnsi" w:hAnsiTheme="minorHAnsi" w:eastAsiaTheme="minorEastAsia" w:cstheme="minorBidi"/>
                              <w:sz w:val="18"/>
                              <w:szCs w:val="18"/>
                              <w:lang w:val="en-US" w:eastAsia="en-US" w:bidi="ar-SA"/>
                            </w:rPr>
                          </w:pPr>
                          <w:r>
                            <w:rPr>
                              <w:rFonts w:asciiTheme="minorHAnsi" w:hAnsiTheme="minorHAnsi" w:eastAsiaTheme="minorEastAsia" w:cstheme="minorBidi"/>
                              <w:sz w:val="18"/>
                              <w:szCs w:val="18"/>
                              <w:lang w:val="en-US" w:eastAsia="en-US" w:bidi="ar-SA"/>
                            </w:rPr>
                            <w:fldChar w:fldCharType="begin"/>
                          </w:r>
                          <w:r>
                            <w:rPr>
                              <w:rFonts w:asciiTheme="minorHAnsi" w:hAnsiTheme="minorHAnsi" w:eastAsiaTheme="minorEastAsia" w:cstheme="minorBidi"/>
                              <w:sz w:val="18"/>
                              <w:szCs w:val="18"/>
                              <w:lang w:val="en-US" w:eastAsia="en-US" w:bidi="ar-SA"/>
                            </w:rPr>
                            <w:instrText xml:space="preserve"> PAGE  \* MERGEFORMAT </w:instrText>
                          </w:r>
                          <w:r>
                            <w:rPr>
                              <w:rFonts w:asciiTheme="minorHAnsi" w:hAnsiTheme="minorHAnsi" w:eastAsiaTheme="minorEastAsia" w:cstheme="minorBidi"/>
                              <w:sz w:val="18"/>
                              <w:szCs w:val="18"/>
                              <w:lang w:val="en-US" w:eastAsia="en-US" w:bidi="ar-SA"/>
                            </w:rPr>
                            <w:fldChar w:fldCharType="separate"/>
                          </w:r>
                          <w:r>
                            <w:rPr>
                              <w:rFonts w:asciiTheme="minorHAnsi" w:hAnsiTheme="minorHAnsi" w:eastAsiaTheme="minorEastAsia" w:cstheme="minorBidi"/>
                              <w:sz w:val="18"/>
                              <w:szCs w:val="18"/>
                              <w:lang w:val="en-US" w:eastAsia="en-US" w:bidi="ar-SA"/>
                            </w:rPr>
                            <w:t>1</w:t>
                          </w:r>
                          <w:r>
                            <w:rPr>
                              <w:rFonts w:asciiTheme="minorHAnsi" w:hAnsiTheme="minorHAnsi" w:eastAsiaTheme="minorEastAsia" w:cstheme="minorBidi"/>
                              <w:sz w:val="18"/>
                              <w:szCs w:val="18"/>
                              <w:lang w:val="en-US" w:eastAsia="en-US"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pPr>
                      <w:widowControl w:val="0"/>
                      <w:snapToGrid w:val="0"/>
                      <w:rPr>
                        <w:rFonts w:asciiTheme="minorHAnsi" w:hAnsiTheme="minorHAnsi" w:eastAsiaTheme="minorEastAsia" w:cstheme="minorBidi"/>
                        <w:sz w:val="18"/>
                        <w:szCs w:val="18"/>
                        <w:lang w:val="en-US" w:eastAsia="en-US" w:bidi="ar-SA"/>
                      </w:rPr>
                    </w:pPr>
                    <w:r>
                      <w:rPr>
                        <w:rFonts w:asciiTheme="minorHAnsi" w:hAnsiTheme="minorHAnsi" w:eastAsiaTheme="minorEastAsia" w:cstheme="minorBidi"/>
                        <w:sz w:val="18"/>
                        <w:szCs w:val="18"/>
                        <w:lang w:val="en-US" w:eastAsia="en-US" w:bidi="ar-SA"/>
                      </w:rPr>
                      <w:fldChar w:fldCharType="begin"/>
                    </w:r>
                    <w:r>
                      <w:rPr>
                        <w:rFonts w:asciiTheme="minorHAnsi" w:hAnsiTheme="minorHAnsi" w:eastAsiaTheme="minorEastAsia" w:cstheme="minorBidi"/>
                        <w:sz w:val="18"/>
                        <w:szCs w:val="18"/>
                        <w:lang w:val="en-US" w:eastAsia="en-US" w:bidi="ar-SA"/>
                      </w:rPr>
                      <w:instrText xml:space="preserve"> PAGE  \* MERGEFORMAT </w:instrText>
                    </w:r>
                    <w:r>
                      <w:rPr>
                        <w:rFonts w:asciiTheme="minorHAnsi" w:hAnsiTheme="minorHAnsi" w:eastAsiaTheme="minorEastAsia" w:cstheme="minorBidi"/>
                        <w:sz w:val="18"/>
                        <w:szCs w:val="18"/>
                        <w:lang w:val="en-US" w:eastAsia="en-US" w:bidi="ar-SA"/>
                      </w:rPr>
                      <w:fldChar w:fldCharType="separate"/>
                    </w:r>
                    <w:r>
                      <w:rPr>
                        <w:rFonts w:asciiTheme="minorHAnsi" w:hAnsiTheme="minorHAnsi" w:eastAsiaTheme="minorEastAsia" w:cstheme="minorBidi"/>
                        <w:sz w:val="18"/>
                        <w:szCs w:val="18"/>
                        <w:lang w:val="en-US" w:eastAsia="en-US" w:bidi="ar-SA"/>
                      </w:rPr>
                      <w:t>1</w:t>
                    </w:r>
                    <w:r>
                      <w:rPr>
                        <w:rFonts w:asciiTheme="minorHAnsi" w:hAnsiTheme="minorHAnsi" w:eastAsiaTheme="minorEastAsia" w:cstheme="minorBidi"/>
                        <w:sz w:val="18"/>
                        <w:szCs w:val="18"/>
                        <w:lang w:val="en-US" w:eastAsia="en-US" w:bidi="ar-S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rPr>
        <w:rFonts w:asciiTheme="minorHAnsi" w:hAnsiTheme="minorHAnsi" w:eastAsiaTheme="minorEastAsia" w:cstheme="minorBidi"/>
        <w:sz w:val="18"/>
        <w:szCs w:val="18"/>
        <w:lang w:val="en-US" w:eastAsia="en-US" w:bidi="ar-SA"/>
      </w:rPr>
    </w:pPr>
    <w:r>
      <w:rPr>
        <w:rFonts w:asciiTheme="minorHAnsi" w:hAnsiTheme="minorHAnsi" w:eastAsiaTheme="minorEastAsia" w:cstheme="minorBidi"/>
        <w:sz w:val="18"/>
        <w:szCs w:val="18"/>
        <w:lang w:val="en-US" w:eastAsia="en-US"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snapToGrid w:val="0"/>
                            <w:rPr>
                              <w:rFonts w:asciiTheme="minorHAnsi" w:hAnsiTheme="minorHAnsi" w:eastAsiaTheme="minorEastAsia" w:cstheme="minorBidi"/>
                              <w:sz w:val="18"/>
                              <w:szCs w:val="18"/>
                              <w:lang w:val="en-US" w:eastAsia="en-US" w:bidi="ar-SA"/>
                            </w:rPr>
                          </w:pPr>
                          <w:r>
                            <w:rPr>
                              <w:rFonts w:asciiTheme="minorHAnsi" w:hAnsiTheme="minorHAnsi" w:eastAsiaTheme="minorEastAsia" w:cstheme="minorBidi"/>
                              <w:sz w:val="18"/>
                              <w:szCs w:val="18"/>
                              <w:lang w:val="en-US" w:eastAsia="en-US" w:bidi="ar-SA"/>
                            </w:rPr>
                            <w:fldChar w:fldCharType="begin"/>
                          </w:r>
                          <w:r>
                            <w:rPr>
                              <w:rFonts w:asciiTheme="minorHAnsi" w:hAnsiTheme="minorHAnsi" w:eastAsiaTheme="minorEastAsia" w:cstheme="minorBidi"/>
                              <w:sz w:val="18"/>
                              <w:szCs w:val="18"/>
                              <w:lang w:val="en-US" w:eastAsia="en-US" w:bidi="ar-SA"/>
                            </w:rPr>
                            <w:instrText xml:space="preserve"> PAGE  \* MERGEFORMAT </w:instrText>
                          </w:r>
                          <w:r>
                            <w:rPr>
                              <w:rFonts w:asciiTheme="minorHAnsi" w:hAnsiTheme="minorHAnsi" w:eastAsiaTheme="minorEastAsia" w:cstheme="minorBidi"/>
                              <w:sz w:val="18"/>
                              <w:szCs w:val="18"/>
                              <w:lang w:val="en-US" w:eastAsia="en-US" w:bidi="ar-SA"/>
                            </w:rPr>
                            <w:fldChar w:fldCharType="separate"/>
                          </w:r>
                          <w:r>
                            <w:rPr>
                              <w:rFonts w:asciiTheme="minorHAnsi" w:hAnsiTheme="minorHAnsi" w:eastAsiaTheme="minorEastAsia" w:cstheme="minorBidi"/>
                              <w:sz w:val="18"/>
                              <w:szCs w:val="18"/>
                              <w:lang w:val="en-US" w:eastAsia="en-US" w:bidi="ar-SA"/>
                            </w:rPr>
                            <w:t>1</w:t>
                          </w:r>
                          <w:r>
                            <w:rPr>
                              <w:rFonts w:asciiTheme="minorHAnsi" w:hAnsiTheme="minorHAnsi" w:eastAsiaTheme="minorEastAsia" w:cstheme="minorBidi"/>
                              <w:sz w:val="18"/>
                              <w:szCs w:val="18"/>
                              <w:lang w:val="en-US" w:eastAsia="en-US"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pPr>
                      <w:widowControl w:val="0"/>
                      <w:snapToGrid w:val="0"/>
                      <w:rPr>
                        <w:rFonts w:asciiTheme="minorHAnsi" w:hAnsiTheme="minorHAnsi" w:eastAsiaTheme="minorEastAsia" w:cstheme="minorBidi"/>
                        <w:sz w:val="18"/>
                        <w:szCs w:val="18"/>
                        <w:lang w:val="en-US" w:eastAsia="en-US" w:bidi="ar-SA"/>
                      </w:rPr>
                    </w:pPr>
                    <w:r>
                      <w:rPr>
                        <w:rFonts w:asciiTheme="minorHAnsi" w:hAnsiTheme="minorHAnsi" w:eastAsiaTheme="minorEastAsia" w:cstheme="minorBidi"/>
                        <w:sz w:val="18"/>
                        <w:szCs w:val="18"/>
                        <w:lang w:val="en-US" w:eastAsia="en-US" w:bidi="ar-SA"/>
                      </w:rPr>
                      <w:fldChar w:fldCharType="begin"/>
                    </w:r>
                    <w:r>
                      <w:rPr>
                        <w:rFonts w:asciiTheme="minorHAnsi" w:hAnsiTheme="minorHAnsi" w:eastAsiaTheme="minorEastAsia" w:cstheme="minorBidi"/>
                        <w:sz w:val="18"/>
                        <w:szCs w:val="18"/>
                        <w:lang w:val="en-US" w:eastAsia="en-US" w:bidi="ar-SA"/>
                      </w:rPr>
                      <w:instrText xml:space="preserve"> PAGE  \* MERGEFORMAT </w:instrText>
                    </w:r>
                    <w:r>
                      <w:rPr>
                        <w:rFonts w:asciiTheme="minorHAnsi" w:hAnsiTheme="minorHAnsi" w:eastAsiaTheme="minorEastAsia" w:cstheme="minorBidi"/>
                        <w:sz w:val="18"/>
                        <w:szCs w:val="18"/>
                        <w:lang w:val="en-US" w:eastAsia="en-US" w:bidi="ar-SA"/>
                      </w:rPr>
                      <w:fldChar w:fldCharType="separate"/>
                    </w:r>
                    <w:r>
                      <w:rPr>
                        <w:rFonts w:asciiTheme="minorHAnsi" w:hAnsiTheme="minorHAnsi" w:eastAsiaTheme="minorEastAsia" w:cstheme="minorBidi"/>
                        <w:sz w:val="18"/>
                        <w:szCs w:val="18"/>
                        <w:lang w:val="en-US" w:eastAsia="en-US" w:bidi="ar-SA"/>
                      </w:rPr>
                      <w:t>1</w:t>
                    </w:r>
                    <w:r>
                      <w:rPr>
                        <w:rFonts w:asciiTheme="minorHAnsi" w:hAnsiTheme="minorHAnsi" w:eastAsiaTheme="minorEastAsia" w:cstheme="minorBidi"/>
                        <w:sz w:val="18"/>
                        <w:szCs w:val="18"/>
                        <w:lang w:val="en-US" w:eastAsia="en-US" w:bidi="ar-S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rPr>
        <w:highlight w:val="white"/>
      </w:rPr>
      <w:instrText xml:space="preserve"> PAGE   \* MERGEFORMAT </w:instrText>
    </w:r>
    <w:r>
      <w:fldChar w:fldCharType="separate"/>
    </w:r>
    <w:r>
      <w:rPr>
        <w:highlight w:val="white"/>
        <w:lang w:val="zh-CN"/>
      </w:rPr>
      <w:t>109</w:t>
    </w:r>
    <w:r>
      <w:rPr>
        <w:lang w:val="zh-CN"/>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rPr>
        <w:b/>
        <w:bCs/>
      </w:rPr>
    </w:pPr>
    <w:r>
      <w:rPr>
        <w:b/>
        <w:bCs/>
        <w:sz w:val="24"/>
        <w:szCs w:val="24"/>
      </w:rPr>
      <w:fldChar w:fldCharType="begin"/>
    </w:r>
    <w:r>
      <w:rPr>
        <w:b/>
        <w:bCs/>
      </w:rPr>
      <w:instrText xml:space="preserve">PAGE</w:instrText>
    </w:r>
    <w:r>
      <w:rPr>
        <w:b/>
        <w:bCs/>
        <w:sz w:val="24"/>
        <w:szCs w:val="24"/>
      </w:rPr>
      <w:fldChar w:fldCharType="separate"/>
    </w:r>
    <w:r>
      <w:rPr>
        <w:b/>
        <w:bCs/>
      </w:rPr>
      <w:t>25</w:t>
    </w:r>
    <w:r>
      <w:rPr>
        <w:b/>
        <w:bCs/>
        <w:sz w:val="24"/>
        <w:szCs w:val="24"/>
      </w:rPr>
      <w:fldChar w:fldCharType="end"/>
    </w:r>
    <w:r>
      <w:rPr>
        <w:lang w:val="zh-CN"/>
      </w:rPr>
      <w:t xml:space="preserve"> /</w:t>
    </w:r>
    <w:r>
      <w:rPr>
        <w:b/>
        <w:bCs/>
      </w:rPr>
      <w:t xml:space="preserve"> </w:t>
    </w:r>
    <w:r>
      <w:rPr>
        <w:b/>
        <w:bCs/>
      </w:rPr>
      <w:fldChar w:fldCharType="begin"/>
    </w:r>
    <w:r>
      <w:rPr>
        <w:rFonts w:hint="eastAsia"/>
        <w:b/>
        <w:bCs/>
      </w:rPr>
      <w:instrText xml:space="preserve">=</w:instrText>
    </w:r>
    <w:r>
      <w:rPr>
        <w:b/>
        <w:bCs/>
      </w:rPr>
      <w:fldChar w:fldCharType="begin"/>
    </w:r>
    <w:r>
      <w:rPr>
        <w:b/>
        <w:bCs/>
      </w:rPr>
      <w:instrText xml:space="preserve"> NUMPAGES </w:instrText>
    </w:r>
    <w:r>
      <w:rPr>
        <w:b/>
        <w:bCs/>
      </w:rPr>
      <w:fldChar w:fldCharType="separate"/>
    </w:r>
    <w:r>
      <w:rPr>
        <w:b/>
        <w:bCs/>
      </w:rPr>
      <w:instrText xml:space="preserve">80</w:instrText>
    </w:r>
    <w:r>
      <w:rPr>
        <w:b/>
        <w:bCs/>
      </w:rPr>
      <w:fldChar w:fldCharType="end"/>
    </w:r>
    <w:r>
      <w:rPr>
        <w:rFonts w:hint="eastAsia"/>
        <w:b/>
        <w:bCs/>
      </w:rPr>
      <w:instrText xml:space="preserve">-1</w:instrText>
    </w:r>
    <w:r>
      <w:rPr>
        <w:b/>
        <w:bCs/>
      </w:rPr>
      <w:instrText xml:space="preserve">  \* Arabic  \* MERGEFORMAT</w:instrText>
    </w:r>
    <w:r>
      <w:rPr>
        <w:b/>
        <w:bCs/>
      </w:rPr>
      <w:fldChar w:fldCharType="separate"/>
    </w:r>
    <w:r>
      <w:rPr>
        <w:b/>
        <w:bCs/>
      </w:rPr>
      <w:t>79</w:t>
    </w:r>
    <w:r>
      <w:rPr>
        <w:b/>
        <w:bCs/>
      </w:rPr>
      <w:fldChar w:fldCharType="end"/>
    </w:r>
    <w:r>
      <w:rPr>
        <w:lang w:val="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5"/>
      </w:rPr>
    </w:pPr>
    <w:r>
      <w:fldChar w:fldCharType="begin"/>
    </w:r>
    <w:r>
      <w:rPr>
        <w:rStyle w:val="15"/>
        <w:highlight w:val="white"/>
      </w:rPr>
      <w:instrText xml:space="preserve">PAGE  </w:instrText>
    </w:r>
    <w:r>
      <w:fldChar w:fldCharType="end"/>
    </w:r>
  </w:p>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604B14"/>
    <w:multiLevelType w:val="singleLevel"/>
    <w:tmpl w:val="85604B14"/>
    <w:lvl w:ilvl="0" w:tentative="0">
      <w:start w:val="1"/>
      <w:numFmt w:val="decimal"/>
      <w:lvlText w:val="%1)"/>
      <w:lvlJc w:val="left"/>
      <w:pPr>
        <w:ind w:left="425" w:hanging="425"/>
      </w:pPr>
      <w:rPr>
        <w:rFonts w:hint="default"/>
      </w:rPr>
    </w:lvl>
  </w:abstractNum>
  <w:abstractNum w:abstractNumId="1">
    <w:nsid w:val="8E18FFD9"/>
    <w:multiLevelType w:val="singleLevel"/>
    <w:tmpl w:val="8E18FFD9"/>
    <w:lvl w:ilvl="0" w:tentative="0">
      <w:start w:val="4"/>
      <w:numFmt w:val="chineseCounting"/>
      <w:suff w:val="space"/>
      <w:lvlText w:val="第%1章"/>
      <w:lvlJc w:val="left"/>
      <w:rPr>
        <w:rFonts w:hint="eastAsia"/>
      </w:rPr>
    </w:lvl>
  </w:abstractNum>
  <w:abstractNum w:abstractNumId="2">
    <w:nsid w:val="9768AB12"/>
    <w:multiLevelType w:val="multilevel"/>
    <w:tmpl w:val="9768AB1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9BB4BD87"/>
    <w:multiLevelType w:val="multilevel"/>
    <w:tmpl w:val="9BB4BD87"/>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3)"/>
      <w:lvlJc w:val="left"/>
      <w:pPr>
        <w:ind w:left="567" w:hanging="567"/>
      </w:pPr>
      <w:rPr>
        <w:rFonts w:hint="eastAsia" w:cs="Times New Roman"/>
        <w:b w:val="0"/>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AA336BEA"/>
    <w:multiLevelType w:val="multilevel"/>
    <w:tmpl w:val="AA336BEA"/>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3)"/>
      <w:lvlJc w:val="left"/>
      <w:pPr>
        <w:ind w:left="567" w:hanging="567"/>
      </w:pPr>
      <w:rPr>
        <w:rFonts w:hint="eastAsia" w:cs="Times New Roman"/>
        <w:b w:val="0"/>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AE3F4A96"/>
    <w:multiLevelType w:val="singleLevel"/>
    <w:tmpl w:val="AE3F4A96"/>
    <w:lvl w:ilvl="0" w:tentative="0">
      <w:start w:val="1"/>
      <w:numFmt w:val="decimal"/>
      <w:suff w:val="nothing"/>
      <w:lvlText w:val="%1）"/>
      <w:lvlJc w:val="left"/>
    </w:lvl>
  </w:abstractNum>
  <w:abstractNum w:abstractNumId="6">
    <w:nsid w:val="BBA75099"/>
    <w:multiLevelType w:val="singleLevel"/>
    <w:tmpl w:val="BBA75099"/>
    <w:lvl w:ilvl="0" w:tentative="0">
      <w:start w:val="1"/>
      <w:numFmt w:val="decimal"/>
      <w:lvlText w:val="(%1)"/>
      <w:lvlJc w:val="left"/>
      <w:pPr>
        <w:ind w:left="865" w:hanging="425"/>
      </w:pPr>
      <w:rPr>
        <w:rFonts w:hint="default"/>
      </w:rPr>
    </w:lvl>
  </w:abstractNum>
  <w:abstractNum w:abstractNumId="7">
    <w:nsid w:val="BDFF2576"/>
    <w:multiLevelType w:val="singleLevel"/>
    <w:tmpl w:val="BDFF2576"/>
    <w:lvl w:ilvl="0" w:tentative="0">
      <w:start w:val="1"/>
      <w:numFmt w:val="decimal"/>
      <w:suff w:val="nothing"/>
      <w:lvlText w:val="%1）"/>
      <w:lvlJc w:val="left"/>
    </w:lvl>
  </w:abstractNum>
  <w:abstractNum w:abstractNumId="8">
    <w:nsid w:val="BFB5D612"/>
    <w:multiLevelType w:val="singleLevel"/>
    <w:tmpl w:val="BFB5D612"/>
    <w:lvl w:ilvl="0" w:tentative="0">
      <w:start w:val="1"/>
      <w:numFmt w:val="decimal"/>
      <w:lvlText w:val="%1)"/>
      <w:lvlJc w:val="left"/>
      <w:pPr>
        <w:ind w:left="425" w:hanging="425"/>
      </w:pPr>
      <w:rPr>
        <w:rFonts w:hint="default"/>
      </w:rPr>
    </w:lvl>
  </w:abstractNum>
  <w:abstractNum w:abstractNumId="9">
    <w:nsid w:val="C1A702A9"/>
    <w:multiLevelType w:val="singleLevel"/>
    <w:tmpl w:val="C1A702A9"/>
    <w:lvl w:ilvl="0" w:tentative="0">
      <w:start w:val="1"/>
      <w:numFmt w:val="decimalEnclosedCircleChinese"/>
      <w:suff w:val="nothing"/>
      <w:lvlText w:val="%1　"/>
      <w:lvlJc w:val="left"/>
      <w:pPr>
        <w:ind w:left="0" w:firstLine="400"/>
      </w:pPr>
      <w:rPr>
        <w:rFonts w:hint="eastAsia"/>
      </w:rPr>
    </w:lvl>
  </w:abstractNum>
  <w:abstractNum w:abstractNumId="10">
    <w:nsid w:val="CE8AC6F5"/>
    <w:multiLevelType w:val="multilevel"/>
    <w:tmpl w:val="CE8AC6F5"/>
    <w:lvl w:ilvl="0" w:tentative="0">
      <w:start w:val="1"/>
      <w:numFmt w:val="decimal"/>
      <w:lvlText w:val="%1)"/>
      <w:lvlJc w:val="left"/>
      <w:pPr>
        <w:ind w:left="785" w:hanging="360"/>
      </w:pPr>
    </w:lvl>
    <w:lvl w:ilvl="1" w:tentative="0">
      <w:start w:val="1"/>
      <w:numFmt w:val="lowerLetter"/>
      <w:lvlText w:val="%2."/>
      <w:lvlJc w:val="left"/>
      <w:pPr>
        <w:ind w:left="1505" w:hanging="360"/>
      </w:pPr>
    </w:lvl>
    <w:lvl w:ilvl="2" w:tentative="0">
      <w:start w:val="1"/>
      <w:numFmt w:val="lowerRoman"/>
      <w:lvlText w:val="%3."/>
      <w:lvlJc w:val="right"/>
      <w:pPr>
        <w:ind w:left="2225" w:hanging="180"/>
      </w:pPr>
    </w:lvl>
    <w:lvl w:ilvl="3" w:tentative="0">
      <w:start w:val="1"/>
      <w:numFmt w:val="decimal"/>
      <w:lvlText w:val="%4."/>
      <w:lvlJc w:val="left"/>
      <w:pPr>
        <w:ind w:left="2945" w:hanging="360"/>
      </w:pPr>
    </w:lvl>
    <w:lvl w:ilvl="4" w:tentative="0">
      <w:start w:val="1"/>
      <w:numFmt w:val="lowerLetter"/>
      <w:lvlText w:val="%5."/>
      <w:lvlJc w:val="left"/>
      <w:pPr>
        <w:ind w:left="3665" w:hanging="360"/>
      </w:pPr>
    </w:lvl>
    <w:lvl w:ilvl="5" w:tentative="0">
      <w:start w:val="1"/>
      <w:numFmt w:val="lowerRoman"/>
      <w:lvlText w:val="%6."/>
      <w:lvlJc w:val="right"/>
      <w:pPr>
        <w:ind w:left="4385" w:hanging="180"/>
      </w:pPr>
    </w:lvl>
    <w:lvl w:ilvl="6" w:tentative="0">
      <w:start w:val="1"/>
      <w:numFmt w:val="decimal"/>
      <w:lvlText w:val="%7."/>
      <w:lvlJc w:val="left"/>
      <w:pPr>
        <w:ind w:left="5105" w:hanging="360"/>
      </w:pPr>
    </w:lvl>
    <w:lvl w:ilvl="7" w:tentative="0">
      <w:start w:val="1"/>
      <w:numFmt w:val="lowerLetter"/>
      <w:lvlText w:val="%8."/>
      <w:lvlJc w:val="left"/>
      <w:pPr>
        <w:ind w:left="5825" w:hanging="360"/>
      </w:pPr>
    </w:lvl>
    <w:lvl w:ilvl="8" w:tentative="0">
      <w:start w:val="1"/>
      <w:numFmt w:val="lowerRoman"/>
      <w:lvlText w:val="%9."/>
      <w:lvlJc w:val="right"/>
      <w:pPr>
        <w:ind w:left="6545" w:hanging="180"/>
      </w:pPr>
    </w:lvl>
  </w:abstractNum>
  <w:abstractNum w:abstractNumId="11">
    <w:nsid w:val="D4513027"/>
    <w:multiLevelType w:val="singleLevel"/>
    <w:tmpl w:val="D4513027"/>
    <w:lvl w:ilvl="0" w:tentative="0">
      <w:start w:val="1"/>
      <w:numFmt w:val="decimal"/>
      <w:suff w:val="nothing"/>
      <w:lvlText w:val="（%1）"/>
      <w:lvlJc w:val="left"/>
      <w:pPr>
        <w:ind w:left="-200"/>
      </w:pPr>
    </w:lvl>
  </w:abstractNum>
  <w:abstractNum w:abstractNumId="12">
    <w:nsid w:val="DF84FEF5"/>
    <w:multiLevelType w:val="singleLevel"/>
    <w:tmpl w:val="DF84FEF5"/>
    <w:lvl w:ilvl="0" w:tentative="0">
      <w:start w:val="2"/>
      <w:numFmt w:val="chineseCounting"/>
      <w:suff w:val="nothing"/>
      <w:lvlText w:val="%1、"/>
      <w:lvlJc w:val="left"/>
      <w:rPr>
        <w:rFonts w:hint="eastAsia"/>
      </w:rPr>
    </w:lvl>
  </w:abstractNum>
  <w:abstractNum w:abstractNumId="13">
    <w:nsid w:val="DFBCD6E4"/>
    <w:multiLevelType w:val="singleLevel"/>
    <w:tmpl w:val="DFBCD6E4"/>
    <w:lvl w:ilvl="0" w:tentative="0">
      <w:start w:val="1"/>
      <w:numFmt w:val="lowerLetter"/>
      <w:lvlText w:val="%1."/>
      <w:lvlJc w:val="left"/>
      <w:pPr>
        <w:ind w:left="845" w:hanging="425"/>
      </w:pPr>
      <w:rPr>
        <w:rFonts w:hint="default"/>
      </w:rPr>
    </w:lvl>
  </w:abstractNum>
  <w:abstractNum w:abstractNumId="14">
    <w:nsid w:val="04FE4271"/>
    <w:multiLevelType w:val="multilevel"/>
    <w:tmpl w:val="04FE4271"/>
    <w:lvl w:ilvl="0" w:tentative="0">
      <w:start w:val="1"/>
      <w:numFmt w:val="decimal"/>
      <w:lvlText w:val="%1"/>
      <w:lvlJc w:val="left"/>
      <w:pPr>
        <w:ind w:left="425" w:hanging="425"/>
      </w:pPr>
      <w:rPr>
        <w:rFonts w:hint="eastAsia"/>
      </w:rPr>
    </w:lvl>
    <w:lvl w:ilvl="1" w:tentative="0">
      <w:start w:val="1"/>
      <w:numFmt w:val="decimal"/>
      <w:lvlText w:val="%10.%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5">
    <w:nsid w:val="09D89A8D"/>
    <w:multiLevelType w:val="singleLevel"/>
    <w:tmpl w:val="09D89A8D"/>
    <w:lvl w:ilvl="0" w:tentative="0">
      <w:start w:val="12"/>
      <w:numFmt w:val="chineseCounting"/>
      <w:suff w:val="nothing"/>
      <w:lvlText w:val="%1、"/>
      <w:lvlJc w:val="left"/>
      <w:rPr>
        <w:rFonts w:hint="eastAsia"/>
      </w:rPr>
    </w:lvl>
  </w:abstractNum>
  <w:abstractNum w:abstractNumId="16">
    <w:nsid w:val="0D45530D"/>
    <w:multiLevelType w:val="multilevel"/>
    <w:tmpl w:val="0D45530D"/>
    <w:lvl w:ilvl="0" w:tentative="0">
      <w:start w:val="1"/>
      <w:numFmt w:val="decimal"/>
      <w:lvlText w:val="%1"/>
      <w:lvlJc w:val="left"/>
      <w:pPr>
        <w:ind w:left="425" w:hanging="425"/>
      </w:pPr>
      <w:rPr>
        <w:rFonts w:hint="eastAsia"/>
      </w:rPr>
    </w:lvl>
    <w:lvl w:ilvl="1" w:tentative="0">
      <w:start w:val="1"/>
      <w:numFmt w:val="decimal"/>
      <w:lvlText w:val="%1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7">
    <w:nsid w:val="13DB89A8"/>
    <w:multiLevelType w:val="multilevel"/>
    <w:tmpl w:val="13DB89A8"/>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3)"/>
      <w:lvlJc w:val="left"/>
      <w:pPr>
        <w:ind w:left="567" w:hanging="567"/>
      </w:pPr>
      <w:rPr>
        <w:rFonts w:hint="eastAsia" w:cs="Times New Roman"/>
        <w:b w:val="0"/>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8">
    <w:nsid w:val="14B402F9"/>
    <w:multiLevelType w:val="multilevel"/>
    <w:tmpl w:val="14B402F9"/>
    <w:lvl w:ilvl="0" w:tentative="0">
      <w:start w:val="1"/>
      <w:numFmt w:val="decimal"/>
      <w:lvlText w:val="%1"/>
      <w:lvlJc w:val="left"/>
      <w:pPr>
        <w:ind w:left="425" w:hanging="425"/>
      </w:pPr>
      <w:rPr>
        <w:rFonts w:hint="eastAsia"/>
      </w:rPr>
    </w:lvl>
    <w:lvl w:ilvl="1" w:tentative="0">
      <w:start w:val="1"/>
      <w:numFmt w:val="decimal"/>
      <w:lvlText w:val="%12.%2"/>
      <w:lvlJc w:val="left"/>
      <w:pPr>
        <w:ind w:left="839"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18E07EB1"/>
    <w:multiLevelType w:val="multilevel"/>
    <w:tmpl w:val="18E07EB1"/>
    <w:lvl w:ilvl="0" w:tentative="0">
      <w:start w:val="1"/>
      <w:numFmt w:val="decimal"/>
      <w:lvlText w:val="(%1)"/>
      <w:lvlJc w:val="left"/>
      <w:pPr>
        <w:ind w:left="780" w:hanging="360"/>
      </w:pPr>
      <w:rPr>
        <w:rFonts w:hint="default"/>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abstractNum w:abstractNumId="20">
    <w:nsid w:val="197B4A74"/>
    <w:multiLevelType w:val="multilevel"/>
    <w:tmpl w:val="197B4A74"/>
    <w:lvl w:ilvl="0" w:tentative="0">
      <w:start w:val="1"/>
      <w:numFmt w:val="decimal"/>
      <w:lvlText w:val="%1"/>
      <w:lvlJc w:val="left"/>
      <w:pPr>
        <w:ind w:left="425" w:hanging="425"/>
      </w:pPr>
      <w:rPr>
        <w:rFonts w:hint="eastAsia"/>
      </w:rPr>
    </w:lvl>
    <w:lvl w:ilvl="1" w:tentative="0">
      <w:start w:val="1"/>
      <w:numFmt w:val="decimal"/>
      <w:lvlText w:val="9.%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19B44EB6"/>
    <w:multiLevelType w:val="multilevel"/>
    <w:tmpl w:val="19B44EB6"/>
    <w:lvl w:ilvl="0" w:tentative="0">
      <w:start w:val="1"/>
      <w:numFmt w:val="decimal"/>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rPr>
        <w:rFonts w:hint="default"/>
      </w:r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2">
    <w:nsid w:val="1F4C5196"/>
    <w:multiLevelType w:val="multilevel"/>
    <w:tmpl w:val="1F4C5196"/>
    <w:lvl w:ilvl="0" w:tentative="0">
      <w:start w:val="1"/>
      <w:numFmt w:val="decimalEnclosedCircleChinese"/>
      <w:lvlText w:val="%1　"/>
      <w:lvlJc w:val="left"/>
      <w:pPr>
        <w:ind w:left="1140" w:hanging="360"/>
      </w:pPr>
      <w:rPr>
        <w:rFonts w:hint="eastAsia"/>
      </w:rPr>
    </w:lvl>
    <w:lvl w:ilvl="1" w:tentative="0">
      <w:start w:val="1"/>
      <w:numFmt w:val="lowerLetter"/>
      <w:lvlText w:val="%2."/>
      <w:lvlJc w:val="left"/>
      <w:pPr>
        <w:ind w:left="1860" w:hanging="360"/>
      </w:pPr>
    </w:lvl>
    <w:lvl w:ilvl="2" w:tentative="0">
      <w:start w:val="1"/>
      <w:numFmt w:val="lowerRoman"/>
      <w:lvlText w:val="%3."/>
      <w:lvlJc w:val="right"/>
      <w:pPr>
        <w:ind w:left="2580" w:hanging="180"/>
      </w:pPr>
    </w:lvl>
    <w:lvl w:ilvl="3" w:tentative="0">
      <w:start w:val="1"/>
      <w:numFmt w:val="decimal"/>
      <w:lvlText w:val="%4."/>
      <w:lvlJc w:val="left"/>
      <w:pPr>
        <w:ind w:left="3300" w:hanging="360"/>
      </w:pPr>
    </w:lvl>
    <w:lvl w:ilvl="4" w:tentative="0">
      <w:start w:val="1"/>
      <w:numFmt w:val="lowerLetter"/>
      <w:lvlText w:val="%5."/>
      <w:lvlJc w:val="left"/>
      <w:pPr>
        <w:ind w:left="4020" w:hanging="360"/>
      </w:pPr>
    </w:lvl>
    <w:lvl w:ilvl="5" w:tentative="0">
      <w:start w:val="1"/>
      <w:numFmt w:val="lowerRoman"/>
      <w:lvlText w:val="%6."/>
      <w:lvlJc w:val="right"/>
      <w:pPr>
        <w:ind w:left="4740" w:hanging="180"/>
      </w:pPr>
    </w:lvl>
    <w:lvl w:ilvl="6" w:tentative="0">
      <w:start w:val="1"/>
      <w:numFmt w:val="decimal"/>
      <w:lvlText w:val="%7."/>
      <w:lvlJc w:val="left"/>
      <w:pPr>
        <w:ind w:left="5460" w:hanging="360"/>
      </w:pPr>
    </w:lvl>
    <w:lvl w:ilvl="7" w:tentative="0">
      <w:start w:val="1"/>
      <w:numFmt w:val="lowerLetter"/>
      <w:lvlText w:val="%8."/>
      <w:lvlJc w:val="left"/>
      <w:pPr>
        <w:ind w:left="6180" w:hanging="360"/>
      </w:pPr>
    </w:lvl>
    <w:lvl w:ilvl="8" w:tentative="0">
      <w:start w:val="1"/>
      <w:numFmt w:val="lowerRoman"/>
      <w:lvlText w:val="%9."/>
      <w:lvlJc w:val="right"/>
      <w:pPr>
        <w:ind w:left="6900" w:hanging="180"/>
      </w:pPr>
    </w:lvl>
  </w:abstractNum>
  <w:abstractNum w:abstractNumId="23">
    <w:nsid w:val="1FDE51BF"/>
    <w:multiLevelType w:val="multilevel"/>
    <w:tmpl w:val="1FDE51BF"/>
    <w:lvl w:ilvl="0" w:tentative="0">
      <w:start w:val="1"/>
      <w:numFmt w:val="decimalEnclosedCircleChinese"/>
      <w:lvlText w:val="%1　"/>
      <w:lvlJc w:val="left"/>
      <w:pPr>
        <w:ind w:left="1140" w:hanging="360"/>
      </w:pPr>
      <w:rPr>
        <w:rFonts w:hint="eastAsia"/>
      </w:rPr>
    </w:lvl>
    <w:lvl w:ilvl="1" w:tentative="0">
      <w:start w:val="1"/>
      <w:numFmt w:val="lowerLetter"/>
      <w:lvlText w:val="%2."/>
      <w:lvlJc w:val="left"/>
      <w:pPr>
        <w:ind w:left="1860" w:hanging="360"/>
      </w:pPr>
    </w:lvl>
    <w:lvl w:ilvl="2" w:tentative="0">
      <w:start w:val="1"/>
      <w:numFmt w:val="lowerRoman"/>
      <w:lvlText w:val="%3."/>
      <w:lvlJc w:val="right"/>
      <w:pPr>
        <w:ind w:left="2580" w:hanging="180"/>
      </w:pPr>
    </w:lvl>
    <w:lvl w:ilvl="3" w:tentative="0">
      <w:start w:val="1"/>
      <w:numFmt w:val="decimal"/>
      <w:lvlText w:val="%4."/>
      <w:lvlJc w:val="left"/>
      <w:pPr>
        <w:ind w:left="3300" w:hanging="360"/>
      </w:pPr>
    </w:lvl>
    <w:lvl w:ilvl="4" w:tentative="0">
      <w:start w:val="1"/>
      <w:numFmt w:val="lowerLetter"/>
      <w:lvlText w:val="%5."/>
      <w:lvlJc w:val="left"/>
      <w:pPr>
        <w:ind w:left="4020" w:hanging="360"/>
      </w:pPr>
    </w:lvl>
    <w:lvl w:ilvl="5" w:tentative="0">
      <w:start w:val="1"/>
      <w:numFmt w:val="lowerRoman"/>
      <w:lvlText w:val="%6."/>
      <w:lvlJc w:val="right"/>
      <w:pPr>
        <w:ind w:left="4740" w:hanging="180"/>
      </w:pPr>
    </w:lvl>
    <w:lvl w:ilvl="6" w:tentative="0">
      <w:start w:val="1"/>
      <w:numFmt w:val="decimal"/>
      <w:lvlText w:val="%7."/>
      <w:lvlJc w:val="left"/>
      <w:pPr>
        <w:ind w:left="5460" w:hanging="360"/>
      </w:pPr>
    </w:lvl>
    <w:lvl w:ilvl="7" w:tentative="0">
      <w:start w:val="1"/>
      <w:numFmt w:val="lowerLetter"/>
      <w:lvlText w:val="%8."/>
      <w:lvlJc w:val="left"/>
      <w:pPr>
        <w:ind w:left="6180" w:hanging="360"/>
      </w:pPr>
    </w:lvl>
    <w:lvl w:ilvl="8" w:tentative="0">
      <w:start w:val="1"/>
      <w:numFmt w:val="lowerRoman"/>
      <w:lvlText w:val="%9."/>
      <w:lvlJc w:val="right"/>
      <w:pPr>
        <w:ind w:left="6900" w:hanging="180"/>
      </w:pPr>
    </w:lvl>
  </w:abstractNum>
  <w:abstractNum w:abstractNumId="24">
    <w:nsid w:val="26BC35AF"/>
    <w:multiLevelType w:val="multilevel"/>
    <w:tmpl w:val="26BC35AF"/>
    <w:lvl w:ilvl="0" w:tentative="0">
      <w:start w:val="1"/>
      <w:numFmt w:val="decimal"/>
      <w:lvlText w:val="%1)"/>
      <w:lvlJc w:val="left"/>
      <w:pPr>
        <w:ind w:left="1140" w:hanging="360"/>
      </w:pPr>
    </w:lvl>
    <w:lvl w:ilvl="1" w:tentative="0">
      <w:start w:val="1"/>
      <w:numFmt w:val="lowerLetter"/>
      <w:lvlText w:val="%2."/>
      <w:lvlJc w:val="left"/>
      <w:pPr>
        <w:ind w:left="1860" w:hanging="360"/>
      </w:pPr>
    </w:lvl>
    <w:lvl w:ilvl="2" w:tentative="0">
      <w:start w:val="1"/>
      <w:numFmt w:val="lowerRoman"/>
      <w:lvlText w:val="%3."/>
      <w:lvlJc w:val="right"/>
      <w:pPr>
        <w:ind w:left="2580" w:hanging="180"/>
      </w:pPr>
    </w:lvl>
    <w:lvl w:ilvl="3" w:tentative="0">
      <w:start w:val="1"/>
      <w:numFmt w:val="decimal"/>
      <w:lvlText w:val="%4."/>
      <w:lvlJc w:val="left"/>
      <w:pPr>
        <w:ind w:left="3300" w:hanging="360"/>
      </w:pPr>
    </w:lvl>
    <w:lvl w:ilvl="4" w:tentative="0">
      <w:start w:val="1"/>
      <w:numFmt w:val="lowerLetter"/>
      <w:lvlText w:val="%5."/>
      <w:lvlJc w:val="left"/>
      <w:pPr>
        <w:ind w:left="4020" w:hanging="360"/>
      </w:pPr>
    </w:lvl>
    <w:lvl w:ilvl="5" w:tentative="0">
      <w:start w:val="1"/>
      <w:numFmt w:val="lowerRoman"/>
      <w:lvlText w:val="%6."/>
      <w:lvlJc w:val="right"/>
      <w:pPr>
        <w:ind w:left="4740" w:hanging="180"/>
      </w:pPr>
    </w:lvl>
    <w:lvl w:ilvl="6" w:tentative="0">
      <w:start w:val="1"/>
      <w:numFmt w:val="decimal"/>
      <w:lvlText w:val="%7."/>
      <w:lvlJc w:val="left"/>
      <w:pPr>
        <w:ind w:left="5460" w:hanging="360"/>
      </w:pPr>
    </w:lvl>
    <w:lvl w:ilvl="7" w:tentative="0">
      <w:start w:val="1"/>
      <w:numFmt w:val="lowerLetter"/>
      <w:lvlText w:val="%8."/>
      <w:lvlJc w:val="left"/>
      <w:pPr>
        <w:ind w:left="6180" w:hanging="360"/>
      </w:pPr>
    </w:lvl>
    <w:lvl w:ilvl="8" w:tentative="0">
      <w:start w:val="1"/>
      <w:numFmt w:val="lowerRoman"/>
      <w:lvlText w:val="%9."/>
      <w:lvlJc w:val="right"/>
      <w:pPr>
        <w:ind w:left="6900" w:hanging="180"/>
      </w:pPr>
    </w:lvl>
  </w:abstractNum>
  <w:abstractNum w:abstractNumId="25">
    <w:nsid w:val="2A2554DE"/>
    <w:multiLevelType w:val="singleLevel"/>
    <w:tmpl w:val="2A2554DE"/>
    <w:lvl w:ilvl="0" w:tentative="0">
      <w:start w:val="3"/>
      <w:numFmt w:val="chineseCounting"/>
      <w:suff w:val="nothing"/>
      <w:lvlText w:val="%1、"/>
      <w:lvlJc w:val="left"/>
      <w:rPr>
        <w:rFonts w:hint="eastAsia"/>
      </w:rPr>
    </w:lvl>
  </w:abstractNum>
  <w:abstractNum w:abstractNumId="26">
    <w:nsid w:val="2E956E63"/>
    <w:multiLevelType w:val="singleLevel"/>
    <w:tmpl w:val="2E956E63"/>
    <w:lvl w:ilvl="0" w:tentative="0">
      <w:start w:val="1"/>
      <w:numFmt w:val="decimal"/>
      <w:lvlText w:val="(%1)"/>
      <w:lvlJc w:val="left"/>
      <w:pPr>
        <w:ind w:left="865" w:hanging="425"/>
      </w:pPr>
      <w:rPr>
        <w:rFonts w:hint="default"/>
      </w:rPr>
    </w:lvl>
  </w:abstractNum>
  <w:abstractNum w:abstractNumId="27">
    <w:nsid w:val="2E9C20EA"/>
    <w:multiLevelType w:val="multilevel"/>
    <w:tmpl w:val="2E9C20EA"/>
    <w:lvl w:ilvl="0" w:tentative="0">
      <w:start w:val="1"/>
      <w:numFmt w:val="decimal"/>
      <w:lvlText w:val="%1)"/>
      <w:lvlJc w:val="left"/>
      <w:pPr>
        <w:ind w:left="785" w:hanging="360"/>
      </w:pPr>
    </w:lvl>
    <w:lvl w:ilvl="1" w:tentative="0">
      <w:start w:val="1"/>
      <w:numFmt w:val="lowerLetter"/>
      <w:lvlText w:val="%2."/>
      <w:lvlJc w:val="left"/>
      <w:pPr>
        <w:ind w:left="1505" w:hanging="360"/>
      </w:pPr>
    </w:lvl>
    <w:lvl w:ilvl="2" w:tentative="0">
      <w:start w:val="1"/>
      <w:numFmt w:val="lowerRoman"/>
      <w:lvlText w:val="%3."/>
      <w:lvlJc w:val="right"/>
      <w:pPr>
        <w:ind w:left="2225" w:hanging="180"/>
      </w:pPr>
    </w:lvl>
    <w:lvl w:ilvl="3" w:tentative="0">
      <w:start w:val="1"/>
      <w:numFmt w:val="decimal"/>
      <w:lvlText w:val="%4."/>
      <w:lvlJc w:val="left"/>
      <w:pPr>
        <w:ind w:left="2945" w:hanging="360"/>
      </w:pPr>
    </w:lvl>
    <w:lvl w:ilvl="4" w:tentative="0">
      <w:start w:val="1"/>
      <w:numFmt w:val="lowerLetter"/>
      <w:lvlText w:val="%5."/>
      <w:lvlJc w:val="left"/>
      <w:pPr>
        <w:ind w:left="3665" w:hanging="360"/>
      </w:pPr>
    </w:lvl>
    <w:lvl w:ilvl="5" w:tentative="0">
      <w:start w:val="1"/>
      <w:numFmt w:val="lowerRoman"/>
      <w:lvlText w:val="%6."/>
      <w:lvlJc w:val="right"/>
      <w:pPr>
        <w:ind w:left="4385" w:hanging="180"/>
      </w:pPr>
    </w:lvl>
    <w:lvl w:ilvl="6" w:tentative="0">
      <w:start w:val="1"/>
      <w:numFmt w:val="decimal"/>
      <w:lvlText w:val="%7."/>
      <w:lvlJc w:val="left"/>
      <w:pPr>
        <w:ind w:left="5105" w:hanging="360"/>
      </w:pPr>
    </w:lvl>
    <w:lvl w:ilvl="7" w:tentative="0">
      <w:start w:val="1"/>
      <w:numFmt w:val="lowerLetter"/>
      <w:lvlText w:val="%8."/>
      <w:lvlJc w:val="left"/>
      <w:pPr>
        <w:ind w:left="5825" w:hanging="360"/>
      </w:pPr>
    </w:lvl>
    <w:lvl w:ilvl="8" w:tentative="0">
      <w:start w:val="1"/>
      <w:numFmt w:val="lowerRoman"/>
      <w:lvlText w:val="%9."/>
      <w:lvlJc w:val="right"/>
      <w:pPr>
        <w:ind w:left="6545" w:hanging="180"/>
      </w:pPr>
    </w:lvl>
  </w:abstractNum>
  <w:abstractNum w:abstractNumId="28">
    <w:nsid w:val="40A4D484"/>
    <w:multiLevelType w:val="singleLevel"/>
    <w:tmpl w:val="40A4D484"/>
    <w:lvl w:ilvl="0" w:tentative="0">
      <w:start w:val="1"/>
      <w:numFmt w:val="decimal"/>
      <w:suff w:val="nothing"/>
      <w:lvlText w:val="%1）"/>
      <w:lvlJc w:val="left"/>
    </w:lvl>
  </w:abstractNum>
  <w:abstractNum w:abstractNumId="29">
    <w:nsid w:val="501866D2"/>
    <w:multiLevelType w:val="multilevel"/>
    <w:tmpl w:val="501866D2"/>
    <w:lvl w:ilvl="0" w:tentative="0">
      <w:start w:val="1"/>
      <w:numFmt w:val="decimalEnclosedCircleChinese"/>
      <w:lvlText w:val="%1　"/>
      <w:lvlJc w:val="left"/>
      <w:pPr>
        <w:ind w:left="1140" w:hanging="360"/>
      </w:pPr>
      <w:rPr>
        <w:rFonts w:hint="eastAsia"/>
      </w:rPr>
    </w:lvl>
    <w:lvl w:ilvl="1" w:tentative="0">
      <w:start w:val="1"/>
      <w:numFmt w:val="lowerLetter"/>
      <w:lvlText w:val="%2."/>
      <w:lvlJc w:val="left"/>
      <w:pPr>
        <w:ind w:left="1860" w:hanging="360"/>
      </w:pPr>
    </w:lvl>
    <w:lvl w:ilvl="2" w:tentative="0">
      <w:start w:val="1"/>
      <w:numFmt w:val="lowerRoman"/>
      <w:lvlText w:val="%3."/>
      <w:lvlJc w:val="right"/>
      <w:pPr>
        <w:ind w:left="2580" w:hanging="180"/>
      </w:pPr>
    </w:lvl>
    <w:lvl w:ilvl="3" w:tentative="0">
      <w:start w:val="1"/>
      <w:numFmt w:val="decimal"/>
      <w:lvlText w:val="%4."/>
      <w:lvlJc w:val="left"/>
      <w:pPr>
        <w:ind w:left="3300" w:hanging="360"/>
      </w:pPr>
    </w:lvl>
    <w:lvl w:ilvl="4" w:tentative="0">
      <w:start w:val="1"/>
      <w:numFmt w:val="lowerLetter"/>
      <w:lvlText w:val="%5."/>
      <w:lvlJc w:val="left"/>
      <w:pPr>
        <w:ind w:left="4020" w:hanging="360"/>
      </w:pPr>
    </w:lvl>
    <w:lvl w:ilvl="5" w:tentative="0">
      <w:start w:val="1"/>
      <w:numFmt w:val="lowerRoman"/>
      <w:lvlText w:val="%6."/>
      <w:lvlJc w:val="right"/>
      <w:pPr>
        <w:ind w:left="4740" w:hanging="180"/>
      </w:pPr>
    </w:lvl>
    <w:lvl w:ilvl="6" w:tentative="0">
      <w:start w:val="1"/>
      <w:numFmt w:val="decimal"/>
      <w:lvlText w:val="%7."/>
      <w:lvlJc w:val="left"/>
      <w:pPr>
        <w:ind w:left="5460" w:hanging="360"/>
      </w:pPr>
    </w:lvl>
    <w:lvl w:ilvl="7" w:tentative="0">
      <w:start w:val="1"/>
      <w:numFmt w:val="lowerLetter"/>
      <w:lvlText w:val="%8."/>
      <w:lvlJc w:val="left"/>
      <w:pPr>
        <w:ind w:left="6180" w:hanging="360"/>
      </w:pPr>
    </w:lvl>
    <w:lvl w:ilvl="8" w:tentative="0">
      <w:start w:val="1"/>
      <w:numFmt w:val="lowerRoman"/>
      <w:lvlText w:val="%9."/>
      <w:lvlJc w:val="right"/>
      <w:pPr>
        <w:ind w:left="6900" w:hanging="180"/>
      </w:pPr>
    </w:lvl>
  </w:abstractNum>
  <w:abstractNum w:abstractNumId="30">
    <w:nsid w:val="52967B78"/>
    <w:multiLevelType w:val="multilevel"/>
    <w:tmpl w:val="52967B78"/>
    <w:lvl w:ilvl="0" w:tentative="0">
      <w:start w:val="1"/>
      <w:numFmt w:val="decimal"/>
      <w:lvlText w:val="%1"/>
      <w:lvlJc w:val="left"/>
      <w:pPr>
        <w:ind w:left="425" w:hanging="425"/>
      </w:pPr>
      <w:rPr>
        <w:rFonts w:hint="eastAsia"/>
      </w:rPr>
    </w:lvl>
    <w:lvl w:ilvl="1" w:tentative="0">
      <w:start w:val="1"/>
      <w:numFmt w:val="decimal"/>
      <w:lvlText w:val="7.%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1">
    <w:nsid w:val="63B60B61"/>
    <w:multiLevelType w:val="multilevel"/>
    <w:tmpl w:val="63B60B61"/>
    <w:lvl w:ilvl="0" w:tentative="0">
      <w:start w:val="1"/>
      <w:numFmt w:val="decimal"/>
      <w:lvlText w:val="%1)"/>
      <w:lvlJc w:val="left"/>
      <w:pPr>
        <w:ind w:left="845" w:hanging="420"/>
      </w:pPr>
      <w:rPr>
        <w:rFonts w:hint="eastAsia" w:cs="Times New Roman"/>
      </w:rPr>
    </w:lvl>
    <w:lvl w:ilvl="1" w:tentative="0">
      <w:start w:val="2"/>
      <w:numFmt w:val="decimal"/>
      <w:lvlText w:val="%2）"/>
      <w:lvlJc w:val="left"/>
      <w:pPr>
        <w:ind w:left="1205" w:hanging="360"/>
      </w:pPr>
      <w:rPr>
        <w:rFonts w:hint="default" w:hAnsi="宋体"/>
      </w:rPr>
    </w:lvl>
    <w:lvl w:ilvl="2" w:tentative="0">
      <w:start w:val="1"/>
      <w:numFmt w:val="decimal"/>
      <w:lvlText w:val="(%3)"/>
      <w:lvlJc w:val="left"/>
      <w:pPr>
        <w:ind w:left="1685" w:hanging="420"/>
      </w:pPr>
      <w:rPr>
        <w:rFonts w:hint="eastAsia" w:cs="Times New Roman"/>
      </w:rPr>
    </w:lvl>
    <w:lvl w:ilvl="3" w:tentative="0">
      <w:start w:val="1"/>
      <w:numFmt w:val="decimal"/>
      <w:lvlText w:val="%4."/>
      <w:lvlJc w:val="left"/>
      <w:pPr>
        <w:ind w:left="2105" w:hanging="420"/>
      </w:pPr>
      <w:rPr>
        <w:rFonts w:cs="Times New Roman"/>
      </w:rPr>
    </w:lvl>
    <w:lvl w:ilvl="4" w:tentative="0">
      <w:start w:val="1"/>
      <w:numFmt w:val="lowerLetter"/>
      <w:lvlText w:val="%5)"/>
      <w:lvlJc w:val="left"/>
      <w:pPr>
        <w:ind w:left="2525" w:hanging="420"/>
      </w:pPr>
      <w:rPr>
        <w:rFonts w:cs="Times New Roman"/>
      </w:rPr>
    </w:lvl>
    <w:lvl w:ilvl="5" w:tentative="0">
      <w:start w:val="1"/>
      <w:numFmt w:val="lowerRoman"/>
      <w:lvlText w:val="%6."/>
      <w:lvlJc w:val="right"/>
      <w:pPr>
        <w:ind w:left="2945" w:hanging="420"/>
      </w:pPr>
      <w:rPr>
        <w:rFonts w:cs="Times New Roman"/>
      </w:rPr>
    </w:lvl>
    <w:lvl w:ilvl="6" w:tentative="0">
      <w:start w:val="1"/>
      <w:numFmt w:val="decimal"/>
      <w:lvlText w:val="%7."/>
      <w:lvlJc w:val="left"/>
      <w:pPr>
        <w:ind w:left="3365" w:hanging="420"/>
      </w:pPr>
      <w:rPr>
        <w:rFonts w:cs="Times New Roman"/>
      </w:rPr>
    </w:lvl>
    <w:lvl w:ilvl="7" w:tentative="0">
      <w:start w:val="1"/>
      <w:numFmt w:val="lowerLetter"/>
      <w:lvlText w:val="%8)"/>
      <w:lvlJc w:val="left"/>
      <w:pPr>
        <w:ind w:left="3785" w:hanging="420"/>
      </w:pPr>
      <w:rPr>
        <w:rFonts w:cs="Times New Roman"/>
      </w:rPr>
    </w:lvl>
    <w:lvl w:ilvl="8" w:tentative="0">
      <w:start w:val="1"/>
      <w:numFmt w:val="lowerRoman"/>
      <w:lvlText w:val="%9."/>
      <w:lvlJc w:val="right"/>
      <w:pPr>
        <w:ind w:left="4205" w:hanging="420"/>
      </w:pPr>
      <w:rPr>
        <w:rFonts w:cs="Times New Roman"/>
      </w:rPr>
    </w:lvl>
  </w:abstractNum>
  <w:abstractNum w:abstractNumId="32">
    <w:nsid w:val="6B873253"/>
    <w:multiLevelType w:val="singleLevel"/>
    <w:tmpl w:val="6B873253"/>
    <w:lvl w:ilvl="0" w:tentative="0">
      <w:start w:val="1"/>
      <w:numFmt w:val="decimal"/>
      <w:lvlText w:val="(%1)"/>
      <w:lvlJc w:val="left"/>
      <w:pPr>
        <w:ind w:left="425" w:hanging="425"/>
      </w:pPr>
      <w:rPr>
        <w:rFonts w:hint="default"/>
      </w:rPr>
    </w:lvl>
  </w:abstractNum>
  <w:abstractNum w:abstractNumId="33">
    <w:nsid w:val="6BC4C153"/>
    <w:multiLevelType w:val="singleLevel"/>
    <w:tmpl w:val="6BC4C153"/>
    <w:lvl w:ilvl="0" w:tentative="0">
      <w:start w:val="1"/>
      <w:numFmt w:val="decimalEnclosedCircleChinese"/>
      <w:suff w:val="nothing"/>
      <w:lvlText w:val="%1　"/>
      <w:lvlJc w:val="left"/>
      <w:pPr>
        <w:ind w:left="0" w:firstLine="400"/>
      </w:pPr>
      <w:rPr>
        <w:rFonts w:hint="eastAsia"/>
      </w:rPr>
    </w:lvl>
  </w:abstractNum>
  <w:abstractNum w:abstractNumId="34">
    <w:nsid w:val="79504487"/>
    <w:multiLevelType w:val="multilevel"/>
    <w:tmpl w:val="79504487"/>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79504488"/>
    <w:multiLevelType w:val="multilevel"/>
    <w:tmpl w:val="7950448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79504489"/>
    <w:multiLevelType w:val="singleLevel"/>
    <w:tmpl w:val="79504489"/>
    <w:lvl w:ilvl="0" w:tentative="0">
      <w:start w:val="1"/>
      <w:numFmt w:val="decimal"/>
      <w:lvlText w:val="%1、"/>
      <w:lvlJc w:val="left"/>
      <w:pPr>
        <w:tabs>
          <w:tab w:val="left" w:pos="1395"/>
        </w:tabs>
        <w:ind w:left="1395" w:hanging="405"/>
      </w:pPr>
      <w:rPr>
        <w:rFonts w:hint="eastAsia"/>
      </w:rPr>
    </w:lvl>
  </w:abstractNum>
  <w:abstractNum w:abstractNumId="37">
    <w:nsid w:val="7FD267C8"/>
    <w:multiLevelType w:val="multilevel"/>
    <w:tmpl w:val="7FD267C8"/>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3)"/>
      <w:lvlJc w:val="left"/>
      <w:pPr>
        <w:ind w:left="567" w:hanging="567"/>
      </w:pPr>
      <w:rPr>
        <w:rFonts w:hint="eastAsia" w:cs="Times New Roman"/>
        <w:b w:val="0"/>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28"/>
  </w:num>
  <w:num w:numId="2">
    <w:abstractNumId w:val="1"/>
  </w:num>
  <w:num w:numId="3">
    <w:abstractNumId w:val="12"/>
  </w:num>
  <w:num w:numId="4">
    <w:abstractNumId w:val="2"/>
  </w:num>
  <w:num w:numId="5">
    <w:abstractNumId w:val="25"/>
  </w:num>
  <w:num w:numId="6">
    <w:abstractNumId w:val="37"/>
  </w:num>
  <w:num w:numId="7">
    <w:abstractNumId w:val="17"/>
  </w:num>
  <w:num w:numId="8">
    <w:abstractNumId w:val="9"/>
  </w:num>
  <w:num w:numId="9">
    <w:abstractNumId w:val="8"/>
  </w:num>
  <w:num w:numId="10">
    <w:abstractNumId w:val="11"/>
  </w:num>
  <w:num w:numId="11">
    <w:abstractNumId w:val="4"/>
  </w:num>
  <w:num w:numId="12">
    <w:abstractNumId w:val="33"/>
  </w:num>
  <w:num w:numId="13">
    <w:abstractNumId w:val="0"/>
  </w:num>
  <w:num w:numId="14">
    <w:abstractNumId w:val="6"/>
  </w:num>
  <w:num w:numId="15">
    <w:abstractNumId w:val="26"/>
  </w:num>
  <w:num w:numId="16">
    <w:abstractNumId w:val="32"/>
  </w:num>
  <w:num w:numId="17">
    <w:abstractNumId w:val="27"/>
  </w:num>
  <w:num w:numId="18">
    <w:abstractNumId w:val="10"/>
  </w:num>
  <w:num w:numId="19">
    <w:abstractNumId w:val="3"/>
  </w:num>
  <w:num w:numId="20">
    <w:abstractNumId w:val="7"/>
  </w:num>
  <w:num w:numId="21">
    <w:abstractNumId w:val="5"/>
  </w:num>
  <w:num w:numId="22">
    <w:abstractNumId w:val="30"/>
  </w:num>
  <w:num w:numId="23">
    <w:abstractNumId w:val="19"/>
  </w:num>
  <w:num w:numId="24">
    <w:abstractNumId w:val="24"/>
  </w:num>
  <w:num w:numId="25">
    <w:abstractNumId w:val="22"/>
  </w:num>
  <w:num w:numId="26">
    <w:abstractNumId w:val="29"/>
  </w:num>
  <w:num w:numId="27">
    <w:abstractNumId w:val="23"/>
  </w:num>
  <w:num w:numId="28">
    <w:abstractNumId w:val="31"/>
  </w:num>
  <w:num w:numId="29">
    <w:abstractNumId w:val="21"/>
  </w:num>
  <w:num w:numId="30">
    <w:abstractNumId w:val="20"/>
  </w:num>
  <w:num w:numId="31">
    <w:abstractNumId w:val="13"/>
  </w:num>
  <w:num w:numId="32">
    <w:abstractNumId w:val="14"/>
  </w:num>
  <w:num w:numId="33">
    <w:abstractNumId w:val="16"/>
  </w:num>
  <w:num w:numId="34">
    <w:abstractNumId w:val="15"/>
  </w:num>
  <w:num w:numId="35">
    <w:abstractNumId w:val="18"/>
  </w:num>
  <w:num w:numId="36">
    <w:abstractNumId w:val="34"/>
  </w:num>
  <w:num w:numId="37">
    <w:abstractNumId w:val="35"/>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numRestart w:val="eachPage"/>
  </w:footnotePr>
  <w:endnotePr>
    <w:numRestart w:val="eachSect"/>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2321E"/>
    <w:rsid w:val="01D97F6B"/>
    <w:rsid w:val="025A3A6A"/>
    <w:rsid w:val="0279651D"/>
    <w:rsid w:val="034B6875"/>
    <w:rsid w:val="041617C1"/>
    <w:rsid w:val="04C44DDD"/>
    <w:rsid w:val="04D408FB"/>
    <w:rsid w:val="05161364"/>
    <w:rsid w:val="05F42F51"/>
    <w:rsid w:val="070E2AFA"/>
    <w:rsid w:val="07115CA7"/>
    <w:rsid w:val="08377C87"/>
    <w:rsid w:val="09685DFB"/>
    <w:rsid w:val="09CF2FA4"/>
    <w:rsid w:val="0A126294"/>
    <w:rsid w:val="0B1A6AC6"/>
    <w:rsid w:val="0B796AE0"/>
    <w:rsid w:val="0B914186"/>
    <w:rsid w:val="0BF409A8"/>
    <w:rsid w:val="0C2A1481"/>
    <w:rsid w:val="0C8907C3"/>
    <w:rsid w:val="0CC95508"/>
    <w:rsid w:val="0D344BB7"/>
    <w:rsid w:val="0E1A7433"/>
    <w:rsid w:val="0E642D2B"/>
    <w:rsid w:val="0EDD16F0"/>
    <w:rsid w:val="0EFD4309"/>
    <w:rsid w:val="0FE0395F"/>
    <w:rsid w:val="106B567E"/>
    <w:rsid w:val="109553E4"/>
    <w:rsid w:val="12280E57"/>
    <w:rsid w:val="12576123"/>
    <w:rsid w:val="12B75243"/>
    <w:rsid w:val="150F10B2"/>
    <w:rsid w:val="15930E74"/>
    <w:rsid w:val="16157A01"/>
    <w:rsid w:val="16296A75"/>
    <w:rsid w:val="1670755D"/>
    <w:rsid w:val="16884EFF"/>
    <w:rsid w:val="17E3163D"/>
    <w:rsid w:val="17FF34EC"/>
    <w:rsid w:val="18B1550E"/>
    <w:rsid w:val="196440B8"/>
    <w:rsid w:val="1A066AA9"/>
    <w:rsid w:val="1A0E6ACF"/>
    <w:rsid w:val="1AA027BB"/>
    <w:rsid w:val="1AC54F79"/>
    <w:rsid w:val="1AE31FAA"/>
    <w:rsid w:val="1B1F0B0A"/>
    <w:rsid w:val="1BC00694"/>
    <w:rsid w:val="1C394ADA"/>
    <w:rsid w:val="1C60279C"/>
    <w:rsid w:val="1C9C4B7F"/>
    <w:rsid w:val="1D7E18EE"/>
    <w:rsid w:val="1E9822AC"/>
    <w:rsid w:val="1F741DA9"/>
    <w:rsid w:val="1F9138D8"/>
    <w:rsid w:val="1FCF33BD"/>
    <w:rsid w:val="20340B62"/>
    <w:rsid w:val="20BC55C4"/>
    <w:rsid w:val="2406762A"/>
    <w:rsid w:val="24B0471A"/>
    <w:rsid w:val="25001A40"/>
    <w:rsid w:val="25506347"/>
    <w:rsid w:val="25612860"/>
    <w:rsid w:val="269478D8"/>
    <w:rsid w:val="26A655F4"/>
    <w:rsid w:val="26BE6A3A"/>
    <w:rsid w:val="27062195"/>
    <w:rsid w:val="27C634CD"/>
    <w:rsid w:val="27DA216D"/>
    <w:rsid w:val="2A673E21"/>
    <w:rsid w:val="2BCB7E65"/>
    <w:rsid w:val="2BD30AF4"/>
    <w:rsid w:val="2C55584A"/>
    <w:rsid w:val="2CA50E4D"/>
    <w:rsid w:val="2D782A6B"/>
    <w:rsid w:val="2E2C1BCD"/>
    <w:rsid w:val="2E3F536B"/>
    <w:rsid w:val="2E9D013C"/>
    <w:rsid w:val="2EA3508F"/>
    <w:rsid w:val="2ECB2EFB"/>
    <w:rsid w:val="2FD31004"/>
    <w:rsid w:val="30143960"/>
    <w:rsid w:val="30542857"/>
    <w:rsid w:val="32250554"/>
    <w:rsid w:val="323A13F3"/>
    <w:rsid w:val="32886F74"/>
    <w:rsid w:val="32D373F3"/>
    <w:rsid w:val="32E4188C"/>
    <w:rsid w:val="34370DDE"/>
    <w:rsid w:val="343B1E3D"/>
    <w:rsid w:val="349D0BDD"/>
    <w:rsid w:val="36A857BA"/>
    <w:rsid w:val="36AE76C3"/>
    <w:rsid w:val="36B4704E"/>
    <w:rsid w:val="382C33B7"/>
    <w:rsid w:val="3869321C"/>
    <w:rsid w:val="38E42B66"/>
    <w:rsid w:val="38E4715B"/>
    <w:rsid w:val="3A36340C"/>
    <w:rsid w:val="3A96472B"/>
    <w:rsid w:val="3AEE26A4"/>
    <w:rsid w:val="3AFE2E55"/>
    <w:rsid w:val="3B044E19"/>
    <w:rsid w:val="3B955BCA"/>
    <w:rsid w:val="3BAB0ED8"/>
    <w:rsid w:val="3C007580"/>
    <w:rsid w:val="3C651C5E"/>
    <w:rsid w:val="3C9035EC"/>
    <w:rsid w:val="3D313141"/>
    <w:rsid w:val="3DA75332"/>
    <w:rsid w:val="3E166C6B"/>
    <w:rsid w:val="3FA13017"/>
    <w:rsid w:val="3FC60BB0"/>
    <w:rsid w:val="3FC840B3"/>
    <w:rsid w:val="40360E64"/>
    <w:rsid w:val="409D1B0D"/>
    <w:rsid w:val="40DF167D"/>
    <w:rsid w:val="41133E1C"/>
    <w:rsid w:val="414B09AC"/>
    <w:rsid w:val="418B5019"/>
    <w:rsid w:val="422E2282"/>
    <w:rsid w:val="42390634"/>
    <w:rsid w:val="43133F65"/>
    <w:rsid w:val="432E43C4"/>
    <w:rsid w:val="43C226BA"/>
    <w:rsid w:val="43CB5CD2"/>
    <w:rsid w:val="44050A4B"/>
    <w:rsid w:val="443F5506"/>
    <w:rsid w:val="447C536B"/>
    <w:rsid w:val="453D6E18"/>
    <w:rsid w:val="46D42F41"/>
    <w:rsid w:val="489B28AD"/>
    <w:rsid w:val="48CB28FD"/>
    <w:rsid w:val="48EF6BDE"/>
    <w:rsid w:val="490779DE"/>
    <w:rsid w:val="49B642FE"/>
    <w:rsid w:val="4A3E54DC"/>
    <w:rsid w:val="4A4D176E"/>
    <w:rsid w:val="4A542F03"/>
    <w:rsid w:val="4B0C495C"/>
    <w:rsid w:val="4C870899"/>
    <w:rsid w:val="4CA6114E"/>
    <w:rsid w:val="4CA81A09"/>
    <w:rsid w:val="4CAA55D5"/>
    <w:rsid w:val="4CF878D3"/>
    <w:rsid w:val="4E8925E8"/>
    <w:rsid w:val="4F522031"/>
    <w:rsid w:val="4F9714A0"/>
    <w:rsid w:val="4FEA281C"/>
    <w:rsid w:val="50722108"/>
    <w:rsid w:val="50BA02FE"/>
    <w:rsid w:val="50BD1283"/>
    <w:rsid w:val="515B4604"/>
    <w:rsid w:val="519669E8"/>
    <w:rsid w:val="51A61200"/>
    <w:rsid w:val="522804D5"/>
    <w:rsid w:val="52AA6C2F"/>
    <w:rsid w:val="536846E4"/>
    <w:rsid w:val="53DE6642"/>
    <w:rsid w:val="53E52DB4"/>
    <w:rsid w:val="54537B65"/>
    <w:rsid w:val="55E8347F"/>
    <w:rsid w:val="567237D6"/>
    <w:rsid w:val="568026F8"/>
    <w:rsid w:val="56DE0514"/>
    <w:rsid w:val="57132F6C"/>
    <w:rsid w:val="574F1ACC"/>
    <w:rsid w:val="595D2B7C"/>
    <w:rsid w:val="5B887BB7"/>
    <w:rsid w:val="5C3C317D"/>
    <w:rsid w:val="5CA81314"/>
    <w:rsid w:val="5D3430F6"/>
    <w:rsid w:val="5DAB71A1"/>
    <w:rsid w:val="5E812D98"/>
    <w:rsid w:val="5F7B6833"/>
    <w:rsid w:val="60A85FA1"/>
    <w:rsid w:val="611426B6"/>
    <w:rsid w:val="615B7448"/>
    <w:rsid w:val="621A25FF"/>
    <w:rsid w:val="62325AA7"/>
    <w:rsid w:val="635B4290"/>
    <w:rsid w:val="635E5215"/>
    <w:rsid w:val="63A07E2D"/>
    <w:rsid w:val="64212D54"/>
    <w:rsid w:val="64393C7E"/>
    <w:rsid w:val="64677C45"/>
    <w:rsid w:val="653F1EA7"/>
    <w:rsid w:val="659F6A49"/>
    <w:rsid w:val="65AC7B77"/>
    <w:rsid w:val="66302AB4"/>
    <w:rsid w:val="66F0766F"/>
    <w:rsid w:val="67731E47"/>
    <w:rsid w:val="67C92C20"/>
    <w:rsid w:val="680851F3"/>
    <w:rsid w:val="685E52C7"/>
    <w:rsid w:val="68B852C3"/>
    <w:rsid w:val="68D92A13"/>
    <w:rsid w:val="69A555DF"/>
    <w:rsid w:val="6A70182F"/>
    <w:rsid w:val="6AD3024F"/>
    <w:rsid w:val="6B81166C"/>
    <w:rsid w:val="6C74577D"/>
    <w:rsid w:val="6D4312CD"/>
    <w:rsid w:val="6E7603C5"/>
    <w:rsid w:val="6EF23592"/>
    <w:rsid w:val="6FA06BAE"/>
    <w:rsid w:val="7038080C"/>
    <w:rsid w:val="705A1860"/>
    <w:rsid w:val="71617E94"/>
    <w:rsid w:val="716D3CA6"/>
    <w:rsid w:val="72326EE7"/>
    <w:rsid w:val="73216C39"/>
    <w:rsid w:val="734734E4"/>
    <w:rsid w:val="736C596A"/>
    <w:rsid w:val="739E3BBB"/>
    <w:rsid w:val="74320774"/>
    <w:rsid w:val="74890514"/>
    <w:rsid w:val="74B87FBF"/>
    <w:rsid w:val="75344F56"/>
    <w:rsid w:val="76071174"/>
    <w:rsid w:val="770D455F"/>
    <w:rsid w:val="77F7390B"/>
    <w:rsid w:val="7A011336"/>
    <w:rsid w:val="7A16385A"/>
    <w:rsid w:val="7A35088C"/>
    <w:rsid w:val="7AC77DFB"/>
    <w:rsid w:val="7ADE32A3"/>
    <w:rsid w:val="7C306D0C"/>
    <w:rsid w:val="7C9534B9"/>
    <w:rsid w:val="7D72364A"/>
    <w:rsid w:val="7E6478FC"/>
    <w:rsid w:val="7E6924EF"/>
    <w:rsid w:val="7E813419"/>
    <w:rsid w:val="7EE14738"/>
    <w:rsid w:val="7F2F6A35"/>
    <w:rsid w:val="7F961D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jc w:val="both"/>
      <w:outlineLvl w:val="0"/>
    </w:pPr>
    <w:rPr>
      <w:rFonts w:ascii="Times New Roman" w:hAnsi="Times New Roman" w:eastAsia="宋体" w:cs="Times New Roman"/>
      <w:b/>
      <w:bCs/>
      <w:kern w:val="44"/>
      <w:sz w:val="44"/>
      <w:szCs w:val="44"/>
    </w:rPr>
  </w:style>
  <w:style w:type="paragraph" w:styleId="4">
    <w:name w:val="heading 2"/>
    <w:basedOn w:val="1"/>
    <w:next w:val="1"/>
    <w:qFormat/>
    <w:uiPriority w:val="1"/>
    <w:pPr>
      <w:spacing w:line="479" w:lineRule="exact"/>
      <w:outlineLvl w:val="1"/>
    </w:pPr>
    <w:rPr>
      <w:rFonts w:ascii="Microsoft YaHei UI" w:hAnsi="Microsoft YaHei UI" w:eastAsia="Microsoft YaHei UI"/>
      <w:spacing w:val="2"/>
      <w:sz w:val="32"/>
      <w:szCs w:val="32"/>
      <w:lang w:eastAsia="zh-CN"/>
    </w:rPr>
  </w:style>
  <w:style w:type="paragraph" w:styleId="5">
    <w:name w:val="heading 3"/>
    <w:basedOn w:val="1"/>
    <w:next w:val="1"/>
    <w:qFormat/>
    <w:uiPriority w:val="1"/>
    <w:pPr>
      <w:outlineLvl w:val="2"/>
    </w:pPr>
    <w:rPr>
      <w:rFonts w:ascii="Microsoft YaHei UI" w:hAnsi="Microsoft YaHei UI" w:eastAsia="Microsoft YaHei UI"/>
      <w:sz w:val="28"/>
      <w:szCs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rFonts w:ascii="Calibri" w:hAnsi="Calibri"/>
      <w:sz w:val="18"/>
      <w:szCs w:val="18"/>
    </w:rPr>
  </w:style>
  <w:style w:type="paragraph" w:styleId="6">
    <w:name w:val="Normal Indent"/>
    <w:basedOn w:val="1"/>
    <w:next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next w:val="1"/>
    <w:qFormat/>
    <w:uiPriority w:val="1"/>
    <w:pPr>
      <w:ind w:firstLine="200" w:firstLineChars="200"/>
    </w:pPr>
    <w:rPr>
      <w:rFonts w:ascii="Microsoft YaHei UI" w:hAnsi="Microsoft YaHei UI" w:eastAsia="Microsoft YaHei UI"/>
      <w:kern w:val="0"/>
      <w:szCs w:val="21"/>
      <w:lang w:eastAsia="en-US"/>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10">
    <w:name w:val="toc 1"/>
    <w:basedOn w:val="1"/>
    <w:next w:val="1"/>
    <w:qFormat/>
    <w:uiPriority w:val="39"/>
    <w:pPr>
      <w:widowControl/>
      <w:overflowPunct w:val="0"/>
      <w:autoSpaceDE w:val="0"/>
      <w:autoSpaceDN w:val="0"/>
      <w:adjustRightInd w:val="0"/>
      <w:spacing w:before="120" w:after="120"/>
      <w:jc w:val="left"/>
      <w:textAlignment w:val="baseline"/>
    </w:pPr>
    <w:rPr>
      <w:caps/>
      <w:kern w:val="0"/>
      <w:sz w:val="28"/>
      <w:szCs w:val="20"/>
      <w:lang w:eastAsia="en-U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22"/>
    <w:rPr>
      <w:b/>
      <w:bCs/>
    </w:rPr>
  </w:style>
  <w:style w:type="character" w:styleId="15">
    <w:name w:val="page number"/>
    <w:qFormat/>
    <w:uiPriority w:val="0"/>
  </w:style>
  <w:style w:type="paragraph" w:customStyle="1" w:styleId="16">
    <w:name w:val="正文_0"/>
    <w:next w:val="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页脚_0"/>
    <w:basedOn w:val="16"/>
    <w:qFormat/>
    <w:uiPriority w:val="99"/>
    <w:pPr>
      <w:tabs>
        <w:tab w:val="center" w:pos="4153"/>
        <w:tab w:val="right" w:pos="8306"/>
      </w:tabs>
      <w:snapToGrid w:val="0"/>
      <w:jc w:val="left"/>
    </w:pPr>
    <w:rPr>
      <w:sz w:val="18"/>
      <w:szCs w:val="18"/>
    </w:rPr>
  </w:style>
  <w:style w:type="paragraph" w:customStyle="1" w:styleId="18">
    <w:name w:val="副标题1"/>
    <w:basedOn w:val="19"/>
    <w:next w:val="19"/>
    <w:qFormat/>
    <w:uiPriority w:val="0"/>
    <w:pPr>
      <w:spacing w:before="240" w:after="60" w:line="312" w:lineRule="auto"/>
      <w:jc w:val="center"/>
      <w:outlineLvl w:val="1"/>
    </w:pPr>
    <w:rPr>
      <w:rFonts w:ascii="Cambria" w:hAnsi="Cambria"/>
      <w:b/>
      <w:bCs/>
      <w:kern w:val="28"/>
      <w:sz w:val="32"/>
      <w:szCs w:val="32"/>
    </w:rPr>
  </w:style>
  <w:style w:type="paragraph" w:customStyle="1" w:styleId="19">
    <w:name w:val="正文_2_0"/>
    <w:next w:val="2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0">
    <w:name w:val="页脚_1_0"/>
    <w:basedOn w:val="19"/>
    <w:unhideWhenUsed/>
    <w:qFormat/>
    <w:uiPriority w:val="99"/>
    <w:pPr>
      <w:tabs>
        <w:tab w:val="center" w:pos="4153"/>
        <w:tab w:val="right" w:pos="8306"/>
      </w:tabs>
      <w:snapToGrid w:val="0"/>
      <w:jc w:val="left"/>
    </w:pPr>
    <w:rPr>
      <w:sz w:val="18"/>
      <w:szCs w:val="18"/>
    </w:rPr>
  </w:style>
  <w:style w:type="paragraph" w:customStyle="1" w:styleId="21">
    <w:name w:val="正文_0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Normal_0"/>
    <w:next w:val="24"/>
    <w:qFormat/>
    <w:uiPriority w:val="0"/>
    <w:pPr>
      <w:widowControl w:val="0"/>
      <w:jc w:val="both"/>
    </w:pPr>
    <w:rPr>
      <w:rFonts w:ascii="Calibri" w:hAnsi="Calibri" w:eastAsia="宋体" w:cs="Times New Roman"/>
      <w:kern w:val="2"/>
      <w:sz w:val="21"/>
      <w:szCs w:val="24"/>
      <w:lang w:val="en-US" w:eastAsia="zh-CN" w:bidi="ar-SA"/>
    </w:rPr>
  </w:style>
  <w:style w:type="paragraph" w:customStyle="1" w:styleId="24">
    <w:name w:val="页脚1"/>
    <w:basedOn w:val="23"/>
    <w:unhideWhenUsed/>
    <w:qFormat/>
    <w:uiPriority w:val="99"/>
    <w:pPr>
      <w:tabs>
        <w:tab w:val="center" w:pos="4153"/>
        <w:tab w:val="right" w:pos="8306"/>
      </w:tabs>
      <w:snapToGrid w:val="0"/>
    </w:pPr>
    <w:rPr>
      <w:sz w:val="18"/>
      <w:szCs w:val="18"/>
    </w:rPr>
  </w:style>
  <w:style w:type="paragraph" w:customStyle="1" w:styleId="25">
    <w:name w:val="样式 标题 2 + Times New Roman 四号 非加粗 段前: 5 磅 段后: 0 磅 行距: 固定值 20..."/>
    <w:basedOn w:val="26"/>
    <w:qFormat/>
    <w:uiPriority w:val="0"/>
    <w:pPr>
      <w:spacing w:before="100" w:after="0" w:line="400" w:lineRule="exact"/>
    </w:pPr>
    <w:rPr>
      <w:rFonts w:ascii="Times New Roman" w:hAnsi="Times New Roman" w:cs="宋体"/>
      <w:b w:val="0"/>
      <w:bCs w:val="0"/>
      <w:sz w:val="28"/>
      <w:szCs w:val="20"/>
    </w:rPr>
  </w:style>
  <w:style w:type="paragraph" w:customStyle="1" w:styleId="26">
    <w:name w:val="标题 2_0"/>
    <w:basedOn w:val="16"/>
    <w:next w:val="16"/>
    <w:qFormat/>
    <w:uiPriority w:val="0"/>
    <w:pPr>
      <w:keepNext/>
      <w:keepLines/>
      <w:spacing w:before="260" w:after="260" w:line="413" w:lineRule="auto"/>
      <w:outlineLvl w:val="1"/>
    </w:pPr>
    <w:rPr>
      <w:rFonts w:ascii="Arial" w:hAnsi="Arial" w:eastAsia="黑体"/>
      <w:b/>
      <w:bCs/>
      <w:sz w:val="32"/>
      <w:szCs w:val="32"/>
    </w:rPr>
  </w:style>
  <w:style w:type="paragraph" w:customStyle="1" w:styleId="27">
    <w:name w:val="正文文本 3_0"/>
    <w:basedOn w:val="16"/>
    <w:qFormat/>
    <w:uiPriority w:val="0"/>
    <w:rPr>
      <w:rFonts w:ascii="宋体"/>
      <w:sz w:val="24"/>
      <w:szCs w:val="20"/>
    </w:rPr>
  </w:style>
  <w:style w:type="paragraph" w:customStyle="1" w:styleId="28">
    <w:name w:val="样式 标题 3 + (中文) 黑体 小四 非加粗 段前: 7.8 磅 段后: 0 磅 行距: 固定值 20 磅"/>
    <w:basedOn w:val="29"/>
    <w:qFormat/>
    <w:uiPriority w:val="0"/>
    <w:pPr>
      <w:spacing w:before="0" w:after="0" w:line="400" w:lineRule="exact"/>
    </w:pPr>
    <w:rPr>
      <w:rFonts w:eastAsia="黑体" w:cs="宋体"/>
      <w:b w:val="0"/>
      <w:bCs w:val="0"/>
      <w:sz w:val="24"/>
      <w:szCs w:val="20"/>
    </w:rPr>
  </w:style>
  <w:style w:type="paragraph" w:customStyle="1" w:styleId="29">
    <w:name w:val="标题 3_0"/>
    <w:basedOn w:val="16"/>
    <w:next w:val="16"/>
    <w:qFormat/>
    <w:uiPriority w:val="0"/>
    <w:pPr>
      <w:keepNext/>
      <w:keepLines/>
      <w:spacing w:before="260" w:after="260" w:line="413" w:lineRule="auto"/>
      <w:outlineLvl w:val="2"/>
    </w:pPr>
    <w:rPr>
      <w:b/>
      <w:bCs/>
      <w:sz w:val="32"/>
      <w:szCs w:val="32"/>
    </w:rPr>
  </w:style>
  <w:style w:type="paragraph" w:customStyle="1" w:styleId="30">
    <w:name w:val="Normal_1"/>
    <w:qFormat/>
    <w:uiPriority w:val="0"/>
    <w:rPr>
      <w:rFonts w:ascii="Times New Roman" w:hAnsi="Times New Roman" w:eastAsia="Times New Roman" w:cs="Times New Roman"/>
      <w:sz w:val="24"/>
      <w:szCs w:val="24"/>
    </w:rPr>
  </w:style>
  <w:style w:type="paragraph" w:customStyle="1" w:styleId="31">
    <w:name w:val="正文_1"/>
    <w:qFormat/>
    <w:uiPriority w:val="1"/>
    <w:pPr>
      <w:widowControl w:val="0"/>
      <w:ind w:right="5" w:rightChars="5"/>
    </w:pPr>
    <w:rPr>
      <w:rFonts w:ascii="Times New Roman" w:hAnsi="Times New Roman" w:eastAsia="宋体" w:cs="Times New Roman"/>
      <w:sz w:val="22"/>
      <w:szCs w:val="22"/>
      <w:lang w:val="en-US" w:eastAsia="en-US" w:bidi="ar-SA"/>
    </w:rPr>
  </w:style>
  <w:style w:type="paragraph" w:customStyle="1" w:styleId="32">
    <w:name w:val="纯文本_0"/>
    <w:basedOn w:val="16"/>
    <w:qFormat/>
    <w:uiPriority w:val="0"/>
    <w:rPr>
      <w:rFonts w:ascii="宋体" w:hAnsi="Courier New"/>
      <w:szCs w:val="20"/>
    </w:rPr>
  </w:style>
  <w:style w:type="paragraph" w:customStyle="1" w:styleId="33">
    <w:name w:val="标题 21"/>
    <w:basedOn w:val="16"/>
    <w:qFormat/>
    <w:uiPriority w:val="99"/>
    <w:pPr>
      <w:ind w:left="100" w:right="108"/>
      <w:jc w:val="left"/>
      <w:outlineLvl w:val="2"/>
    </w:pPr>
    <w:rPr>
      <w:rFonts w:ascii="Microsoft JhengHei" w:hAnsi="Microsoft JhengHei" w:eastAsia="Microsoft JhengHei" w:cs="Microsoft JhengHei"/>
      <w:b/>
      <w:bCs/>
      <w:kern w:val="0"/>
      <w:sz w:val="32"/>
      <w:szCs w:val="32"/>
      <w:lang w:eastAsia="en-US"/>
    </w:rPr>
  </w:style>
  <w:style w:type="paragraph" w:styleId="34">
    <w:name w:val="List Paragraph"/>
    <w:basedOn w:val="1"/>
    <w:qFormat/>
    <w:uiPriority w:val="34"/>
    <w:pPr>
      <w:widowControl/>
      <w:overflowPunct w:val="0"/>
      <w:autoSpaceDE w:val="0"/>
      <w:autoSpaceDN w:val="0"/>
      <w:adjustRightInd w:val="0"/>
      <w:ind w:firstLine="420" w:firstLineChars="200"/>
      <w:jc w:val="left"/>
      <w:textAlignment w:val="baseline"/>
    </w:pPr>
    <w:rPr>
      <w:kern w:val="0"/>
      <w:sz w:val="20"/>
      <w:szCs w:val="20"/>
      <w:lang w:eastAsia="en-US"/>
    </w:rPr>
  </w:style>
  <w:style w:type="paragraph" w:customStyle="1" w:styleId="35">
    <w:name w:val="页眉_0"/>
    <w:basedOn w:val="16"/>
    <w:qFormat/>
    <w:uiPriority w:val="99"/>
    <w:pPr>
      <w:pBdr>
        <w:bottom w:val="single" w:color="auto" w:sz="6" w:space="1"/>
      </w:pBdr>
      <w:tabs>
        <w:tab w:val="center" w:pos="4153"/>
        <w:tab w:val="right" w:pos="8306"/>
      </w:tabs>
      <w:snapToGrid w:val="0"/>
      <w:jc w:val="center"/>
    </w:pPr>
    <w:rPr>
      <w:sz w:val="18"/>
      <w:szCs w:val="18"/>
    </w:rPr>
  </w:style>
  <w:style w:type="table" w:customStyle="1" w:styleId="36">
    <w:name w:val="Table Grid_1"/>
    <w:basedOn w:val="11"/>
    <w:qFormat/>
    <w:uiPriority w:val="0"/>
    <w:rPr>
      <w:rFonts w:ascii="Times New Roman" w:hAnsi="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customStyle="1" w:styleId="37">
    <w:name w:val="font21"/>
    <w:basedOn w:val="13"/>
    <w:qFormat/>
    <w:uiPriority w:val="0"/>
    <w:rPr>
      <w:rFonts w:hint="default" w:ascii="Calibri" w:hAnsi="Calibri" w:cs="Calibri"/>
      <w:color w:val="000000"/>
      <w:sz w:val="21"/>
      <w:szCs w:val="21"/>
      <w:u w:val="none"/>
    </w:rPr>
  </w:style>
  <w:style w:type="character" w:customStyle="1" w:styleId="38">
    <w:name w:val="font31"/>
    <w:basedOn w:val="13"/>
    <w:qFormat/>
    <w:uiPriority w:val="0"/>
    <w:rPr>
      <w:rFonts w:hint="eastAsia" w:ascii="宋体" w:hAnsi="宋体" w:eastAsia="宋体" w:cs="宋体"/>
      <w:color w:val="000000"/>
      <w:sz w:val="21"/>
      <w:szCs w:val="21"/>
      <w:u w:val="none"/>
    </w:rPr>
  </w:style>
  <w:style w:type="paragraph" w:customStyle="1" w:styleId="39">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0" Type="http://schemas.openxmlformats.org/officeDocument/2006/relationships/glossaryDocument" Target="glossary/document.xml"/><Relationship Id="rId6" Type="http://schemas.openxmlformats.org/officeDocument/2006/relationships/header" Target="header2.xml"/><Relationship Id="rId59" Type="http://schemas.openxmlformats.org/officeDocument/2006/relationships/fontTable" Target="fontTable.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36.png"/><Relationship Id="rId55" Type="http://schemas.openxmlformats.org/officeDocument/2006/relationships/image" Target="media/image35.png"/><Relationship Id="rId54" Type="http://schemas.openxmlformats.org/officeDocument/2006/relationships/image" Target="media/image34.png"/><Relationship Id="rId53" Type="http://schemas.openxmlformats.org/officeDocument/2006/relationships/image" Target="media/image33.png"/><Relationship Id="rId52" Type="http://schemas.openxmlformats.org/officeDocument/2006/relationships/image" Target="media/image32.png"/><Relationship Id="rId51" Type="http://schemas.openxmlformats.org/officeDocument/2006/relationships/image" Target="media/image31.png"/><Relationship Id="rId50" Type="http://schemas.openxmlformats.org/officeDocument/2006/relationships/image" Target="media/image30.png"/><Relationship Id="rId5" Type="http://schemas.openxmlformats.org/officeDocument/2006/relationships/footer" Target="footer2.xml"/><Relationship Id="rId49" Type="http://schemas.openxmlformats.org/officeDocument/2006/relationships/image" Target="media/image29.png"/><Relationship Id="rId48" Type="http://schemas.openxmlformats.org/officeDocument/2006/relationships/image" Target="media/image28.png"/><Relationship Id="rId47" Type="http://schemas.openxmlformats.org/officeDocument/2006/relationships/image" Target="media/image27.png"/><Relationship Id="rId46" Type="http://schemas.openxmlformats.org/officeDocument/2006/relationships/image" Target="media/image26.png"/><Relationship Id="rId45" Type="http://schemas.openxmlformats.org/officeDocument/2006/relationships/image" Target="media/image25.png"/><Relationship Id="rId44" Type="http://schemas.openxmlformats.org/officeDocument/2006/relationships/image" Target="media/image24.png"/><Relationship Id="rId43" Type="http://schemas.openxmlformats.org/officeDocument/2006/relationships/image" Target="media/image23.png"/><Relationship Id="rId42" Type="http://schemas.openxmlformats.org/officeDocument/2006/relationships/image" Target="media/image22.png"/><Relationship Id="rId41" Type="http://schemas.openxmlformats.org/officeDocument/2006/relationships/image" Target="media/image21.png"/><Relationship Id="rId40" Type="http://schemas.openxmlformats.org/officeDocument/2006/relationships/image" Target="media/image20.png"/><Relationship Id="rId4" Type="http://schemas.openxmlformats.org/officeDocument/2006/relationships/footer" Target="footer1.xml"/><Relationship Id="rId39" Type="http://schemas.openxmlformats.org/officeDocument/2006/relationships/image" Target="media/image19.png"/><Relationship Id="rId38" Type="http://schemas.openxmlformats.org/officeDocument/2006/relationships/image" Target="media/image18.png"/><Relationship Id="rId37" Type="http://schemas.openxmlformats.org/officeDocument/2006/relationships/image" Target="media/image17.png"/><Relationship Id="rId36" Type="http://schemas.openxmlformats.org/officeDocument/2006/relationships/image" Target="media/image16.png"/><Relationship Id="rId35" Type="http://schemas.openxmlformats.org/officeDocument/2006/relationships/image" Target="media/image15.png"/><Relationship Id="rId34" Type="http://schemas.openxmlformats.org/officeDocument/2006/relationships/image" Target="media/image14.png"/><Relationship Id="rId33" Type="http://schemas.openxmlformats.org/officeDocument/2006/relationships/image" Target="media/image13.png"/><Relationship Id="rId32" Type="http://schemas.openxmlformats.org/officeDocument/2006/relationships/image" Target="media/image12.png"/><Relationship Id="rId31" Type="http://schemas.openxmlformats.org/officeDocument/2006/relationships/image" Target="media/image11.png"/><Relationship Id="rId30" Type="http://schemas.openxmlformats.org/officeDocument/2006/relationships/image" Target="media/image10.png"/><Relationship Id="rId3" Type="http://schemas.openxmlformats.org/officeDocument/2006/relationships/header" Target="header1.xml"/><Relationship Id="rId29" Type="http://schemas.openxmlformats.org/officeDocument/2006/relationships/image" Target="media/image9.png"/><Relationship Id="rId28" Type="http://schemas.openxmlformats.org/officeDocument/2006/relationships/image" Target="media/image8.png"/><Relationship Id="rId27" Type="http://schemas.openxmlformats.org/officeDocument/2006/relationships/image" Target="media/image7.png"/><Relationship Id="rId26" Type="http://schemas.openxmlformats.org/officeDocument/2006/relationships/image" Target="media/image6.png"/><Relationship Id="rId25" Type="http://schemas.openxmlformats.org/officeDocument/2006/relationships/image" Target="media/image5.png"/><Relationship Id="rId24" Type="http://schemas.openxmlformats.org/officeDocument/2006/relationships/image" Target="media/image4.png"/><Relationship Id="rId23" Type="http://schemas.openxmlformats.org/officeDocument/2006/relationships/image" Target="media/image3.png"/><Relationship Id="rId22" Type="http://schemas.openxmlformats.org/officeDocument/2006/relationships/image" Target="media/image2.png"/><Relationship Id="rId21" Type="http://schemas.openxmlformats.org/officeDocument/2006/relationships/image" Target="media/image1.wmf"/><Relationship Id="rId20" Type="http://schemas.openxmlformats.org/officeDocument/2006/relationships/oleObject" Target="embeddings/oleObject1.bin"/><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2.xml"/><Relationship Id="rId17" Type="http://schemas.openxmlformats.org/officeDocument/2006/relationships/header" Target="header4.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7e1cc60-ec53-401d-aa2d-a11434711fe7}"/>
        <w:style w:val=""/>
        <w:category>
          <w:name w:val="常规"/>
          <w:gallery w:val="placeholder"/>
        </w:category>
        <w:types>
          <w:type w:val="bbPlcHdr"/>
        </w:types>
        <w:behaviors>
          <w:behavior w:val="content"/>
        </w:behaviors>
        <w:description w:val=""/>
        <w:guid w:val="{07e1cc60-ec53-401d-aa2d-a11434711fe7}"/>
      </w:docPartPr>
      <w:docPartBody>
        <w:p>
          <w:r>
            <w:rPr>
              <w:color w:val="80808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atentStyles>
  <w:style w:type="paragraph" w:default="1" w:styleId="1">
    <w:name w:val="Normal"/>
    <w:qFormat/>
    <w:uiPriority w:val="0"/>
    <w:rPr>
      <w:rFonts w:asciiTheme="minorHAnsi" w:hAnsiTheme="minorHAnsi" w:eastAsiaTheme="minorEastAsia" w:cstheme="minorBidi"/>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114</Pages>
  <Words>0</Words>
  <Characters>0</Characters>
  <Lines>0</Lines>
  <Paragraphs>0</Paragraphs>
  <TotalTime>0</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2023-11-28T01:26:00Z</dcterms:created>
  <dc:creator>chenzhl2.GLOBAL</dc:creator>
  <cp:lastModifiedBy>陈正龙</cp:lastModifiedBy>
  <dcterms:modified xsi:type="dcterms:W3CDTF">2025-05-22T10:14:34Z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A61B2127D0EA43CE8480EE3F23F20F78</vt:lpwstr>
  </property>
</Properties>
</file>