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03133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03133"/>
          <w:spacing w:val="0"/>
          <w:sz w:val="32"/>
          <w:szCs w:val="32"/>
          <w:bdr w:val="none" w:color="auto" w:sz="0" w:space="0"/>
          <w:shd w:val="clear" w:fill="FFFFFF"/>
        </w:rPr>
        <w:t>海油工程-青岛公司-装备技术服务年度协议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031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变更公告附件</w:t>
      </w:r>
    </w:p>
    <w:p>
      <w:pPr>
        <w:ind w:firstLine="420" w:firstLineChars="0"/>
        <w:rPr>
          <w:rFonts w:hint="eastAsia"/>
          <w:sz w:val="28"/>
          <w:szCs w:val="36"/>
          <w:lang w:val="en-US" w:eastAsia="zh-CN"/>
        </w:rPr>
      </w:pPr>
    </w:p>
    <w:p>
      <w:pPr>
        <w:ind w:firstLine="420" w:firstLineChars="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由于标室冲突，开标时间由202年11月5日9时延长至2024年11月6日9时。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2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2024-11-04T08:16:18Z</dcterms:created>
  <dc:creator>liuchx23</dc:creator>
  <cp:lastModifiedBy>刘昌鑫</cp:lastModifiedBy>
  <dcterms:modified xsi:type="dcterms:W3CDTF">2024-11-04T08:17:53Z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026D113FDE40409891993F3A3E3867F3</vt:lpwstr>
  </property>
</Properties>
</file>