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beforeLines="30" w:after="72" w:afterLines="30"/>
        <w:rPr>
          <w:sz w:val="24"/>
        </w:rPr>
      </w:pPr>
    </w:p>
    <w:p>
      <w:pPr>
        <w:spacing w:before="72" w:beforeLines="30" w:after="72" w:afterLines="30"/>
        <w:jc w:val="center"/>
        <w:rPr>
          <w:rFonts w:hint="eastAsia" w:hAnsi="宋体" w:eastAsia="宋体"/>
          <w:b/>
          <w:bCs/>
          <w:sz w:val="36"/>
          <w:szCs w:val="36"/>
          <w:lang w:val="en-US" w:eastAsia="zh-CN"/>
        </w:rPr>
      </w:pPr>
      <w:r>
        <w:rPr>
          <w:rFonts w:hint="eastAsia" w:hAnsi="宋体"/>
          <w:b/>
          <w:bCs/>
          <w:sz w:val="36"/>
          <w:szCs w:val="36"/>
          <w:lang w:val="en-US" w:eastAsia="zh-CN"/>
        </w:rPr>
        <w:t>大峪口公司2025年10月液氨</w:t>
      </w:r>
      <w:r>
        <w:rPr>
          <w:rFonts w:hint="eastAsia" w:hAnsi="宋体"/>
          <w:b/>
          <w:bCs/>
          <w:sz w:val="36"/>
          <w:szCs w:val="36"/>
        </w:rPr>
        <w:t>买卖合同</w:t>
      </w:r>
      <w:r>
        <w:rPr>
          <w:rFonts w:hint="eastAsia" w:hAnsi="宋体"/>
          <w:b/>
          <w:bCs/>
          <w:sz w:val="36"/>
          <w:szCs w:val="36"/>
          <w:lang w:val="en-US" w:eastAsia="zh-CN"/>
        </w:rPr>
        <w:t>5</w:t>
      </w:r>
    </w:p>
    <w:p>
      <w:pPr>
        <w:spacing w:after="100" w:afterAutospacing="1"/>
        <w:jc w:val="center"/>
        <w:rPr>
          <w:rFonts w:hint="default" w:hAnsi="宋体" w:eastAsia="宋体"/>
          <w:bCs/>
          <w:szCs w:val="21"/>
          <w:u w:val="single"/>
          <w:lang w:val="en-US" w:eastAsia="zh-CN"/>
        </w:rPr>
      </w:pPr>
      <w:r>
        <w:rPr>
          <w:rFonts w:hint="eastAsia" w:hAnsi="宋体"/>
          <w:bCs/>
          <w:sz w:val="24"/>
        </w:rPr>
        <w:t xml:space="preserve">                                      </w:t>
      </w:r>
      <w:r>
        <w:rPr>
          <w:rFonts w:hint="eastAsia" w:hAnsi="宋体"/>
          <w:bCs/>
          <w:sz w:val="24"/>
          <w:lang w:val="en-US" w:eastAsia="zh-CN"/>
        </w:rPr>
        <w:t xml:space="preserve">    </w:t>
      </w:r>
      <w:r>
        <w:rPr>
          <w:rFonts w:hint="eastAsia" w:hAnsi="宋体"/>
          <w:bCs/>
          <w:szCs w:val="21"/>
        </w:rPr>
        <w:t>合同编号：</w:t>
      </w:r>
    </w:p>
    <w:p>
      <w:pPr>
        <w:pStyle w:val="17"/>
        <w:spacing w:before="72" w:beforeLines="30" w:after="72" w:afterLines="30"/>
        <w:rPr>
          <w:sz w:val="24"/>
        </w:rPr>
      </w:pPr>
      <w:r>
        <w:rPr>
          <w:rFonts w:hint="eastAsia"/>
          <w:sz w:val="24"/>
        </w:rPr>
        <w:t>本货物买卖合同（以下称“合同”或“本合同”）由以下双方于</w:t>
      </w:r>
      <w:r>
        <w:rPr>
          <w:rFonts w:hint="eastAsia"/>
          <w:sz w:val="24"/>
          <w:highlight w:val="none"/>
        </w:rPr>
        <w:t>【</w:t>
      </w:r>
      <w:r>
        <w:rPr>
          <w:rFonts w:hint="eastAsia"/>
          <w:i/>
          <w:color w:val="FF0000"/>
          <w:sz w:val="24"/>
          <w:highlight w:val="none"/>
          <w:lang w:val="en-US" w:eastAsia="zh-CN"/>
        </w:rPr>
        <w:t>2025-10-X</w:t>
      </w:r>
      <w:r>
        <w:rPr>
          <w:rFonts w:hint="eastAsia"/>
          <w:sz w:val="24"/>
          <w:highlight w:val="none"/>
        </w:rPr>
        <w:t>】</w:t>
      </w:r>
      <w:bookmarkStart w:id="84" w:name="_GoBack"/>
      <w:bookmarkEnd w:id="84"/>
      <w:r>
        <w:rPr>
          <w:rFonts w:hint="eastAsia"/>
          <w:sz w:val="24"/>
        </w:rPr>
        <w:t>在</w:t>
      </w:r>
      <w:r>
        <w:rPr>
          <w:rFonts w:hint="eastAsia"/>
          <w:sz w:val="24"/>
          <w:highlight w:val="none"/>
        </w:rPr>
        <w:t>【</w:t>
      </w:r>
      <w:r>
        <w:rPr>
          <w:rFonts w:hint="eastAsia"/>
          <w:i/>
          <w:sz w:val="24"/>
          <w:highlight w:val="none"/>
        </w:rPr>
        <w:t>钟祥市胡集镇</w:t>
      </w:r>
      <w:r>
        <w:rPr>
          <w:rFonts w:hint="eastAsia"/>
          <w:sz w:val="24"/>
          <w:highlight w:val="none"/>
        </w:rPr>
        <w:t>】</w:t>
      </w:r>
      <w:r>
        <w:rPr>
          <w:rFonts w:hint="eastAsia"/>
          <w:sz w:val="24"/>
        </w:rPr>
        <w:t>签署。</w:t>
      </w:r>
    </w:p>
    <w:p>
      <w:pPr>
        <w:tabs>
          <w:tab w:val="left" w:pos="3060"/>
        </w:tabs>
        <w:spacing w:line="360" w:lineRule="auto"/>
        <w:rPr>
          <w:sz w:val="24"/>
          <w:u w:val="single"/>
        </w:rPr>
      </w:pPr>
      <w:r>
        <w:rPr>
          <w:rFonts w:hint="eastAsia"/>
          <w:b/>
          <w:sz w:val="24"/>
        </w:rPr>
        <w:t>买</w:t>
      </w:r>
      <w:r>
        <w:rPr>
          <w:b/>
          <w:sz w:val="24"/>
        </w:rPr>
        <w:t xml:space="preserve">  </w:t>
      </w:r>
      <w:r>
        <w:rPr>
          <w:rFonts w:hint="eastAsia"/>
          <w:b/>
          <w:sz w:val="24"/>
        </w:rPr>
        <w:t>方：</w:t>
      </w:r>
      <w:r>
        <w:rPr>
          <w:rFonts w:hint="eastAsia"/>
          <w:sz w:val="24"/>
          <w:u w:val="single"/>
        </w:rPr>
        <w:t>湖北大峪口化工有限责任公司</w:t>
      </w:r>
      <w:r>
        <w:rPr>
          <w:rFonts w:hint="eastAsia"/>
          <w:b/>
          <w:sz w:val="24"/>
        </w:rPr>
        <w:t>卖</w:t>
      </w:r>
      <w:r>
        <w:rPr>
          <w:b/>
          <w:sz w:val="24"/>
        </w:rPr>
        <w:t xml:space="preserve">  </w:t>
      </w:r>
      <w:r>
        <w:rPr>
          <w:rFonts w:hint="eastAsia"/>
          <w:b/>
          <w:sz w:val="24"/>
        </w:rPr>
        <w:t>方：</w:t>
      </w:r>
    </w:p>
    <w:p>
      <w:pPr>
        <w:tabs>
          <w:tab w:val="left" w:pos="3060"/>
        </w:tabs>
        <w:spacing w:before="72" w:beforeLines="30" w:after="72" w:afterLines="30" w:line="360" w:lineRule="auto"/>
        <w:rPr>
          <w:rFonts w:ascii="Calibri" w:hAnsi="Calibri" w:cs="Calibri"/>
          <w:color w:val="FF0000"/>
          <w:kern w:val="0"/>
          <w:sz w:val="24"/>
          <w:u w:val="single"/>
        </w:rPr>
      </w:pPr>
      <w:r>
        <w:rPr>
          <w:rFonts w:hint="eastAsia"/>
          <w:sz w:val="24"/>
        </w:rPr>
        <w:t>注册地址：</w:t>
      </w:r>
      <w:r>
        <w:rPr>
          <w:rFonts w:hint="eastAsia"/>
          <w:sz w:val="24"/>
          <w:u w:val="single"/>
        </w:rPr>
        <w:t>湖北省钟祥市胡集镇</w:t>
      </w:r>
      <w:r>
        <w:rPr>
          <w:rFonts w:hint="eastAsia"/>
          <w:sz w:val="24"/>
        </w:rPr>
        <w:t xml:space="preserve">      注册地址：</w:t>
      </w:r>
    </w:p>
    <w:p>
      <w:pPr>
        <w:tabs>
          <w:tab w:val="left" w:pos="3060"/>
        </w:tabs>
        <w:spacing w:before="72" w:beforeLines="30" w:after="72" w:afterLines="30" w:line="360" w:lineRule="auto"/>
        <w:rPr>
          <w:rFonts w:hint="eastAsia" w:ascii="Calibri" w:hAnsi="Calibri" w:cs="Calibri"/>
          <w:color w:val="FF0000"/>
          <w:kern w:val="0"/>
          <w:sz w:val="24"/>
          <w:u w:val="single"/>
        </w:rPr>
      </w:pPr>
      <w:r>
        <w:rPr>
          <w:rFonts w:hint="eastAsia"/>
          <w:sz w:val="24"/>
        </w:rPr>
        <w:t>企业法人：</w:t>
      </w:r>
      <w:r>
        <w:rPr>
          <w:rFonts w:hint="eastAsia"/>
          <w:sz w:val="24"/>
          <w:u w:val="single"/>
          <w:lang w:val="en-US" w:eastAsia="zh-CN"/>
        </w:rPr>
        <w:t>张革利</w:t>
      </w:r>
      <w:r>
        <w:rPr>
          <w:rFonts w:hint="eastAsia"/>
          <w:sz w:val="24"/>
        </w:rPr>
        <w:t xml:space="preserve">                  企业法人：</w:t>
      </w:r>
    </w:p>
    <w:p>
      <w:pPr>
        <w:pStyle w:val="17"/>
        <w:spacing w:before="72" w:beforeLines="30" w:after="72" w:afterLines="30"/>
        <w:rPr>
          <w:sz w:val="24"/>
        </w:rPr>
      </w:pPr>
      <w:r>
        <w:rPr>
          <w:rFonts w:hint="eastAsia" w:hAnsi="宋体"/>
          <w:sz w:val="24"/>
        </w:rPr>
        <w:t>根据《中华人民共和国民法典》及相关法律法规的规定，</w:t>
      </w:r>
      <w:r>
        <w:rPr>
          <w:rFonts w:hAnsi="宋体"/>
          <w:sz w:val="24"/>
        </w:rPr>
        <w:t>就</w:t>
      </w:r>
      <w:r>
        <w:rPr>
          <w:rFonts w:hint="eastAsia"/>
          <w:color w:val="FF0000"/>
          <w:sz w:val="24"/>
          <w:highlight w:val="none"/>
        </w:rPr>
        <w:t>【</w:t>
      </w:r>
      <w:r>
        <w:rPr>
          <w:rFonts w:hint="eastAsia"/>
          <w:i/>
          <w:color w:val="FF0000"/>
          <w:sz w:val="24"/>
          <w:highlight w:val="none"/>
          <w:lang w:val="en-US" w:eastAsia="zh-CN"/>
        </w:rPr>
        <w:t>液氨</w:t>
      </w:r>
      <w:r>
        <w:rPr>
          <w:rFonts w:hint="eastAsia"/>
          <w:color w:val="FF0000"/>
          <w:sz w:val="24"/>
          <w:highlight w:val="none"/>
        </w:rPr>
        <w:t>】</w:t>
      </w:r>
      <w:r>
        <w:rPr>
          <w:rFonts w:hint="eastAsia" w:hAnsi="宋体"/>
          <w:sz w:val="24"/>
        </w:rPr>
        <w:t>的采购和销售及</w:t>
      </w:r>
      <w:r>
        <w:rPr>
          <w:rFonts w:hAnsi="宋体"/>
          <w:sz w:val="24"/>
        </w:rPr>
        <w:t>相关事宜，</w:t>
      </w:r>
      <w:r>
        <w:rPr>
          <w:rFonts w:hint="eastAsia" w:hAnsi="宋体"/>
          <w:sz w:val="24"/>
        </w:rPr>
        <w:t>经协商一致，双方</w:t>
      </w:r>
      <w:r>
        <w:rPr>
          <w:rFonts w:hAnsi="宋体"/>
          <w:sz w:val="24"/>
        </w:rPr>
        <w:t>达成如下</w:t>
      </w:r>
      <w:r>
        <w:rPr>
          <w:rFonts w:hint="eastAsia" w:hAnsi="宋体"/>
          <w:sz w:val="24"/>
        </w:rPr>
        <w:t>合同条款，以兹共同遵守。</w:t>
      </w:r>
    </w:p>
    <w:p>
      <w:pPr>
        <w:pStyle w:val="19"/>
        <w:numPr>
          <w:ilvl w:val="0"/>
          <w:numId w:val="4"/>
        </w:numPr>
        <w:spacing w:before="72" w:beforeLines="30" w:after="72" w:afterLines="30" w:line="360" w:lineRule="auto"/>
        <w:ind w:left="851" w:hanging="851"/>
        <w:jc w:val="left"/>
        <w:rPr>
          <w:sz w:val="24"/>
        </w:rPr>
      </w:pPr>
      <w:bookmarkStart w:id="0" w:name="_Toc306354308"/>
      <w:r>
        <w:rPr>
          <w:sz w:val="24"/>
          <w:szCs w:val="24"/>
        </w:rPr>
        <w:t>合同标的</w:t>
      </w:r>
      <w:bookmarkEnd w:id="0"/>
    </w:p>
    <w:p>
      <w:pPr>
        <w:numPr>
          <w:ilvl w:val="0"/>
          <w:numId w:val="5"/>
        </w:numPr>
        <w:tabs>
          <w:tab w:val="left" w:pos="567"/>
          <w:tab w:val="clear" w:pos="2278"/>
        </w:tabs>
        <w:spacing w:before="72" w:beforeLines="30" w:after="72" w:afterLines="30" w:line="360" w:lineRule="auto"/>
        <w:ind w:left="567" w:hanging="567"/>
        <w:rPr>
          <w:rFonts w:hAnsi="宋体"/>
          <w:sz w:val="24"/>
        </w:rPr>
      </w:pPr>
      <w:bookmarkStart w:id="1" w:name="OLE_LINK23"/>
      <w:bookmarkStart w:id="2" w:name="OLE_LINK14"/>
      <w:bookmarkStart w:id="3" w:name="OLE_LINK13"/>
      <w:bookmarkStart w:id="4" w:name="OLE_LINK19"/>
      <w:bookmarkStart w:id="5" w:name="OLE_LINK21"/>
      <w:bookmarkStart w:id="6" w:name="OLE_LINK24"/>
      <w:bookmarkStart w:id="7" w:name="OLE_LINK9"/>
      <w:bookmarkStart w:id="8" w:name="OLE_LINK16"/>
      <w:bookmarkStart w:id="9" w:name="OLE_LINK18"/>
      <w:bookmarkStart w:id="10" w:name="OLE_LINK25"/>
      <w:bookmarkStart w:id="11" w:name="OLE_LINK26"/>
      <w:bookmarkStart w:id="12" w:name="OLE_LINK15"/>
      <w:bookmarkStart w:id="13" w:name="OLE_LINK17"/>
      <w:bookmarkStart w:id="14" w:name="OLE_LINK22"/>
      <w:bookmarkStart w:id="15" w:name="OLE_LINK20"/>
      <w:bookmarkStart w:id="16" w:name="OLE_LINK10"/>
      <w:r>
        <w:rPr>
          <w:rFonts w:hint="eastAsia"/>
          <w:sz w:val="24"/>
        </w:rPr>
        <w:t>卖方向买方供应的货物的名称、数量、型号、规格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sz w:val="24"/>
        </w:rPr>
        <w:t>、单价、原产地等如下：</w:t>
      </w:r>
    </w:p>
    <w:tbl>
      <w:tblPr>
        <w:tblStyle w:val="21"/>
        <w:tblW w:w="10490" w:type="dxa"/>
        <w:tblInd w:w="-714" w:type="dxa"/>
        <w:tblLayout w:type="fixed"/>
        <w:tblCellMar>
          <w:top w:w="0" w:type="dxa"/>
          <w:left w:w="108" w:type="dxa"/>
          <w:bottom w:w="0" w:type="dxa"/>
          <w:right w:w="108" w:type="dxa"/>
        </w:tblCellMar>
      </w:tblPr>
      <w:tblGrid>
        <w:gridCol w:w="709"/>
        <w:gridCol w:w="1399"/>
        <w:gridCol w:w="2741"/>
        <w:gridCol w:w="804"/>
        <w:gridCol w:w="730"/>
        <w:gridCol w:w="850"/>
        <w:gridCol w:w="1510"/>
        <w:gridCol w:w="1747"/>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39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物资名称</w:t>
            </w:r>
          </w:p>
        </w:tc>
        <w:tc>
          <w:tcPr>
            <w:tcW w:w="274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品牌规格型号</w:t>
            </w:r>
          </w:p>
        </w:tc>
        <w:tc>
          <w:tcPr>
            <w:tcW w:w="80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w:t>
            </w:r>
          </w:p>
        </w:tc>
        <w:tc>
          <w:tcPr>
            <w:tcW w:w="73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单价</w:t>
            </w:r>
          </w:p>
        </w:tc>
        <w:tc>
          <w:tcPr>
            <w:tcW w:w="15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金额</w:t>
            </w:r>
          </w:p>
        </w:tc>
        <w:tc>
          <w:tcPr>
            <w:tcW w:w="174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1"/>
                <w:szCs w:val="21"/>
              </w:rPr>
            </w:pPr>
            <w:r>
              <w:rPr>
                <w:rFonts w:hint="eastAsia" w:ascii="宋体" w:hAnsi="宋体" w:cs="宋体"/>
                <w:kern w:val="0"/>
                <w:sz w:val="21"/>
                <w:szCs w:val="21"/>
              </w:rPr>
              <w:t>1</w:t>
            </w:r>
          </w:p>
        </w:tc>
        <w:tc>
          <w:tcPr>
            <w:tcW w:w="1399" w:type="dxa"/>
            <w:tcBorders>
              <w:top w:val="nil"/>
              <w:left w:val="nil"/>
              <w:bottom w:val="single" w:color="auto" w:sz="4" w:space="0"/>
              <w:right w:val="single" w:color="auto" w:sz="4" w:space="0"/>
            </w:tcBorders>
            <w:vAlign w:val="center"/>
          </w:tcPr>
          <w:p>
            <w:pPr>
              <w:widowControl/>
              <w:tabs>
                <w:tab w:val="center" w:pos="1124"/>
                <w:tab w:val="right" w:pos="2129"/>
              </w:tabs>
              <w:spacing w:line="360" w:lineRule="auto"/>
              <w:jc w:val="center"/>
              <w:textAlignment w:val="bottom"/>
              <w:rPr>
                <w:rFonts w:ascii="宋体" w:hAnsi="宋体" w:cs="宋体"/>
                <w:kern w:val="0"/>
                <w:sz w:val="21"/>
                <w:szCs w:val="21"/>
              </w:rPr>
            </w:pPr>
            <w:r>
              <w:rPr>
                <w:rFonts w:hint="eastAsia" w:ascii="宋体" w:hAnsi="宋体" w:cs="宋体"/>
                <w:kern w:val="0"/>
                <w:sz w:val="21"/>
                <w:szCs w:val="21"/>
              </w:rPr>
              <w:t>液氨</w:t>
            </w:r>
          </w:p>
        </w:tc>
        <w:tc>
          <w:tcPr>
            <w:tcW w:w="2741"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1"/>
                <w:szCs w:val="21"/>
                <w:lang w:val="en-US" w:eastAsia="zh-CN"/>
              </w:rPr>
            </w:pPr>
            <w:r>
              <w:rPr>
                <w:rFonts w:hint="eastAsia" w:ascii="Calibri" w:hAnsi="Calibri"/>
                <w:kern w:val="0"/>
                <w:sz w:val="21"/>
                <w:szCs w:val="21"/>
              </w:rPr>
              <w:t>NH</w:t>
            </w:r>
            <w:r>
              <w:rPr>
                <w:rFonts w:hint="eastAsia" w:ascii="Calibri" w:hAnsi="Calibri"/>
                <w:kern w:val="0"/>
                <w:sz w:val="21"/>
                <w:szCs w:val="21"/>
                <w:vertAlign w:val="subscript"/>
              </w:rPr>
              <w:t>3</w:t>
            </w:r>
            <w:r>
              <w:rPr>
                <w:rFonts w:hint="eastAsia" w:ascii="Calibri" w:hAnsi="Calibri"/>
                <w:kern w:val="0"/>
                <w:sz w:val="21"/>
                <w:szCs w:val="21"/>
              </w:rPr>
              <w:t>≥99.6</w:t>
            </w:r>
            <w:r>
              <w:rPr>
                <w:rFonts w:hint="eastAsia" w:ascii="Calibri" w:hAnsi="Calibri"/>
                <w:kern w:val="0"/>
                <w:sz w:val="21"/>
                <w:szCs w:val="21"/>
                <w:lang w:val="en-US" w:eastAsia="zh-CN"/>
              </w:rPr>
              <w:t>%</w:t>
            </w:r>
            <w:r>
              <w:rPr>
                <w:rFonts w:hint="eastAsia" w:ascii="Calibri" w:hAnsi="Calibri"/>
                <w:kern w:val="0"/>
                <w:sz w:val="21"/>
                <w:szCs w:val="21"/>
              </w:rPr>
              <w:t>、残留物≤0.4</w:t>
            </w:r>
            <w:r>
              <w:rPr>
                <w:rFonts w:hint="eastAsia" w:ascii="Calibri" w:hAnsi="Calibri"/>
                <w:kern w:val="0"/>
                <w:sz w:val="21"/>
                <w:szCs w:val="21"/>
                <w:lang w:val="en-US" w:eastAsia="zh-CN"/>
              </w:rPr>
              <w:t>%，有毒有害物质限量要求符合环保生态肥要求。</w:t>
            </w:r>
          </w:p>
        </w:tc>
        <w:tc>
          <w:tcPr>
            <w:tcW w:w="804"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吨</w:t>
            </w:r>
          </w:p>
        </w:tc>
        <w:tc>
          <w:tcPr>
            <w:tcW w:w="730"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rPr>
              <w:t>300</w:t>
            </w:r>
          </w:p>
        </w:tc>
        <w:tc>
          <w:tcPr>
            <w:tcW w:w="85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仿宋"/>
                <w:kern w:val="0"/>
                <w:sz w:val="21"/>
                <w:szCs w:val="21"/>
                <w:lang w:val="en-US" w:eastAsia="zh-CN"/>
              </w:rPr>
            </w:pPr>
          </w:p>
        </w:tc>
        <w:tc>
          <w:tcPr>
            <w:tcW w:w="151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仿宋"/>
                <w:kern w:val="0"/>
                <w:sz w:val="21"/>
                <w:szCs w:val="21"/>
                <w:lang w:val="en-US" w:eastAsia="zh-CN"/>
              </w:rPr>
            </w:pPr>
          </w:p>
        </w:tc>
        <w:tc>
          <w:tcPr>
            <w:tcW w:w="1747" w:type="dxa"/>
            <w:tcBorders>
              <w:top w:val="nil"/>
              <w:left w:val="nil"/>
              <w:bottom w:val="single" w:color="auto" w:sz="4" w:space="0"/>
              <w:right w:val="single" w:color="auto" w:sz="4" w:space="0"/>
            </w:tcBorders>
            <w:vAlign w:val="center"/>
          </w:tcPr>
          <w:p>
            <w:pPr>
              <w:widowControl/>
              <w:spacing w:line="360" w:lineRule="auto"/>
              <w:ind w:right="120"/>
              <w:jc w:val="center"/>
              <w:rPr>
                <w:rFonts w:hint="default" w:ascii="宋体" w:hAnsi="宋体" w:eastAsia="宋体" w:cs="宋体"/>
                <w:kern w:val="0"/>
                <w:sz w:val="24"/>
                <w:lang w:val="en-US" w:eastAsia="zh-CN"/>
              </w:rPr>
            </w:pPr>
            <w:r>
              <w:rPr>
                <w:rFonts w:hint="eastAsia" w:ascii="宋体" w:hAnsi="宋体" w:cs="宋体"/>
                <w:kern w:val="0"/>
                <w:sz w:val="21"/>
                <w:szCs w:val="21"/>
                <w:lang w:val="en-US" w:eastAsia="zh-CN"/>
              </w:rPr>
              <w:t>300</w:t>
            </w:r>
            <w:r>
              <w:rPr>
                <w:rFonts w:hint="default" w:ascii="Arial" w:hAnsi="Arial" w:cs="Arial"/>
                <w:kern w:val="0"/>
                <w:sz w:val="21"/>
                <w:szCs w:val="21"/>
                <w:lang w:val="en-US" w:eastAsia="zh-CN"/>
              </w:rPr>
              <w:t>×</w:t>
            </w:r>
            <w:r>
              <w:rPr>
                <w:rFonts w:hint="eastAsia" w:ascii="宋体" w:hAnsi="宋体" w:cs="宋体"/>
                <w:kern w:val="0"/>
                <w:sz w:val="21"/>
                <w:szCs w:val="21"/>
              </w:rPr>
              <w:t>（</w:t>
            </w:r>
            <w:r>
              <w:rPr>
                <w:rFonts w:hint="eastAsia" w:ascii="宋体" w:hAnsi="宋体" w:cs="宋体"/>
                <w:kern w:val="0"/>
                <w:sz w:val="21"/>
                <w:szCs w:val="21"/>
                <w:lang w:val="en-US" w:eastAsia="zh-CN"/>
              </w:rPr>
              <w:t>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吨，据实结算</w:t>
            </w:r>
          </w:p>
        </w:tc>
      </w:tr>
      <w:tr>
        <w:tblPrEx>
          <w:tblCellMar>
            <w:top w:w="0" w:type="dxa"/>
            <w:left w:w="108" w:type="dxa"/>
            <w:bottom w:w="0" w:type="dxa"/>
            <w:right w:w="108" w:type="dxa"/>
          </w:tblCellMar>
        </w:tblPrEx>
        <w:trPr>
          <w:trHeight w:val="285" w:hRule="atLeast"/>
        </w:trPr>
        <w:tc>
          <w:tcPr>
            <w:tcW w:w="2108"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合计（元）</w:t>
            </w:r>
          </w:p>
        </w:tc>
        <w:tc>
          <w:tcPr>
            <w:tcW w:w="8382" w:type="dxa"/>
            <w:gridSpan w:val="6"/>
            <w:tcBorders>
              <w:top w:val="nil"/>
              <w:left w:val="nil"/>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lang w:val="en-US" w:eastAsia="zh-CN"/>
              </w:rPr>
            </w:pPr>
          </w:p>
        </w:tc>
      </w:tr>
      <w:tr>
        <w:tblPrEx>
          <w:tblCellMar>
            <w:top w:w="0" w:type="dxa"/>
            <w:left w:w="108" w:type="dxa"/>
            <w:bottom w:w="0" w:type="dxa"/>
            <w:right w:w="108" w:type="dxa"/>
          </w:tblCellMar>
        </w:tblPrEx>
        <w:trPr>
          <w:trHeight w:val="285" w:hRule="atLeast"/>
        </w:trPr>
        <w:tc>
          <w:tcPr>
            <w:tcW w:w="10490" w:type="dxa"/>
            <w:gridSpan w:val="8"/>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合计人民币（大写）：</w:t>
            </w:r>
          </w:p>
        </w:tc>
      </w:tr>
    </w:tbl>
    <w:p>
      <w:pPr>
        <w:tabs>
          <w:tab w:val="left" w:pos="567"/>
        </w:tabs>
        <w:spacing w:before="72" w:beforeLines="30" w:after="72" w:afterLines="30" w:line="360" w:lineRule="auto"/>
        <w:ind w:left="567"/>
        <w:rPr>
          <w:rFonts w:hAnsi="宋体"/>
          <w:sz w:val="24"/>
        </w:rPr>
      </w:pPr>
    </w:p>
    <w:p>
      <w:pPr>
        <w:numPr>
          <w:ilvl w:val="0"/>
          <w:numId w:val="5"/>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买方应根据本合同的规定向卖方购买货物，并支付合同总价，卖方应根据本合同的规定向买方出售、交付货物并提供与货物使用和安装相关的技术资料和技术服务。</w:t>
      </w:r>
    </w:p>
    <w:p>
      <w:pPr>
        <w:numPr>
          <w:ilvl w:val="0"/>
          <w:numId w:val="5"/>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货物</w:t>
      </w:r>
      <w:r>
        <w:rPr>
          <w:rFonts w:hAnsi="宋体"/>
          <w:sz w:val="24"/>
        </w:rPr>
        <w:t>将用于</w:t>
      </w:r>
      <w:r>
        <w:rPr>
          <w:rFonts w:hint="eastAsia" w:hAnsi="宋体"/>
          <w:sz w:val="24"/>
          <w:highlight w:val="none"/>
        </w:rPr>
        <w:t>【</w:t>
      </w:r>
      <w:r>
        <w:rPr>
          <w:rFonts w:hint="eastAsia" w:hAnsi="宋体"/>
          <w:i/>
          <w:color w:val="FF0000"/>
          <w:sz w:val="24"/>
          <w:highlight w:val="none"/>
        </w:rPr>
        <w:t>磷复肥生产</w:t>
      </w:r>
      <w:r>
        <w:rPr>
          <w:rFonts w:hint="eastAsia" w:hAnsi="宋体"/>
          <w:sz w:val="24"/>
          <w:highlight w:val="none"/>
        </w:rPr>
        <w:t>】</w:t>
      </w:r>
      <w:r>
        <w:rPr>
          <w:rFonts w:hAnsi="宋体"/>
          <w:sz w:val="24"/>
          <w:highlight w:val="none"/>
        </w:rPr>
        <w:t>。</w:t>
      </w:r>
    </w:p>
    <w:p>
      <w:pPr>
        <w:pStyle w:val="19"/>
        <w:numPr>
          <w:ilvl w:val="0"/>
          <w:numId w:val="4"/>
        </w:numPr>
        <w:spacing w:before="72" w:beforeLines="30" w:after="72" w:afterLines="30" w:line="360" w:lineRule="auto"/>
        <w:ind w:left="851" w:hanging="851"/>
        <w:jc w:val="left"/>
        <w:rPr>
          <w:sz w:val="24"/>
          <w:szCs w:val="24"/>
        </w:rPr>
      </w:pPr>
      <w:bookmarkStart w:id="17" w:name="_Toc306354309"/>
      <w:r>
        <w:rPr>
          <w:sz w:val="24"/>
          <w:szCs w:val="24"/>
        </w:rPr>
        <w:t>合同</w:t>
      </w:r>
      <w:r>
        <w:rPr>
          <w:rFonts w:hint="eastAsia"/>
          <w:sz w:val="24"/>
          <w:szCs w:val="24"/>
        </w:rPr>
        <w:t>总价</w:t>
      </w:r>
      <w:bookmarkEnd w:id="17"/>
    </w:p>
    <w:p>
      <w:pPr>
        <w:numPr>
          <w:ilvl w:val="0"/>
          <w:numId w:val="6"/>
        </w:numPr>
        <w:tabs>
          <w:tab w:val="left" w:pos="567"/>
          <w:tab w:val="clear" w:pos="840"/>
        </w:tabs>
        <w:spacing w:before="72" w:beforeLines="30" w:after="72" w:afterLines="30" w:line="360" w:lineRule="auto"/>
        <w:ind w:left="567" w:hanging="567"/>
        <w:rPr>
          <w:sz w:val="24"/>
        </w:rPr>
      </w:pPr>
      <w:r>
        <w:rPr>
          <w:rFonts w:hint="eastAsia"/>
          <w:sz w:val="24"/>
        </w:rPr>
        <w:t>双方经协商一致，</w:t>
      </w:r>
      <w:r>
        <w:rPr>
          <w:rFonts w:hint="eastAsia"/>
          <w:sz w:val="24"/>
          <w:lang w:val="en-US" w:eastAsia="zh-CN"/>
        </w:rPr>
        <w:t>暂定</w:t>
      </w:r>
      <w:r>
        <w:rPr>
          <w:rFonts w:hint="eastAsia"/>
          <w:sz w:val="24"/>
        </w:rPr>
        <w:t>合同总价为</w:t>
      </w:r>
      <w:r>
        <w:rPr>
          <w:sz w:val="24"/>
          <w:highlight w:val="none"/>
        </w:rPr>
        <w:t>【</w:t>
      </w:r>
      <w:r>
        <w:rPr>
          <w:rFonts w:hint="eastAsia"/>
          <w:i/>
          <w:sz w:val="24"/>
          <w:highlight w:val="none"/>
        </w:rPr>
        <w:t>RMB</w:t>
      </w:r>
      <w:r>
        <w:rPr>
          <w:sz w:val="24"/>
          <w:highlight w:val="none"/>
        </w:rPr>
        <w:t>】</w:t>
      </w:r>
      <w:r>
        <w:rPr>
          <w:rFonts w:hint="eastAsia"/>
          <w:sz w:val="24"/>
          <w:highlight w:val="none"/>
        </w:rPr>
        <w:t>【】</w:t>
      </w:r>
      <w:r>
        <w:rPr>
          <w:sz w:val="24"/>
          <w:highlight w:val="none"/>
        </w:rPr>
        <w:t>（大</w:t>
      </w:r>
      <w:r>
        <w:rPr>
          <w:sz w:val="24"/>
        </w:rPr>
        <w:t>写：【</w:t>
      </w:r>
      <w:r>
        <w:rPr>
          <w:rFonts w:hint="eastAsia"/>
          <w:i/>
          <w:sz w:val="24"/>
        </w:rPr>
        <w:t>人民币</w:t>
      </w:r>
      <w:r>
        <w:rPr>
          <w:sz w:val="24"/>
        </w:rPr>
        <w:t>】</w:t>
      </w:r>
      <w:r>
        <w:rPr>
          <w:rFonts w:hint="eastAsia"/>
          <w:sz w:val="24"/>
        </w:rPr>
        <w:t>【】）。</w:t>
      </w:r>
      <w:bookmarkStart w:id="18" w:name="_Hlk41394068"/>
      <w:bookmarkStart w:id="19" w:name="OLE_LINK39"/>
      <w:bookmarkStart w:id="20" w:name="OLE_LINK40"/>
      <w:bookmarkStart w:id="21" w:name="OLE_LINK66"/>
      <w:bookmarkStart w:id="22" w:name="OLE_LINK36"/>
      <w:bookmarkStart w:id="23" w:name="OLE_LINK37"/>
      <w:bookmarkStart w:id="24" w:name="OLE_LINK67"/>
      <w:r>
        <w:rPr>
          <w:rFonts w:hint="eastAsia"/>
          <w:sz w:val="24"/>
        </w:rPr>
        <w:t>合同总价为含税（包括增值税）总金额，增值税税率为【</w:t>
      </w:r>
      <w:r>
        <w:rPr>
          <w:rFonts w:hint="eastAsia"/>
          <w:i/>
          <w:sz w:val="24"/>
        </w:rPr>
        <w:t>13</w:t>
      </w:r>
      <w:r>
        <w:rPr>
          <w:rFonts w:hint="eastAsia"/>
          <w:sz w:val="24"/>
        </w:rPr>
        <w:t>】</w:t>
      </w:r>
      <w:r>
        <w:rPr>
          <w:sz w:val="24"/>
        </w:rPr>
        <w:t>%</w:t>
      </w:r>
      <w:r>
        <w:rPr>
          <w:rFonts w:hint="eastAsia" w:hAnsi="宋体"/>
          <w:sz w:val="24"/>
        </w:rPr>
        <w:t>。</w:t>
      </w:r>
      <w:bookmarkEnd w:id="18"/>
    </w:p>
    <w:bookmarkEnd w:id="19"/>
    <w:bookmarkEnd w:id="20"/>
    <w:bookmarkEnd w:id="21"/>
    <w:bookmarkEnd w:id="22"/>
    <w:bookmarkEnd w:id="23"/>
    <w:bookmarkEnd w:id="24"/>
    <w:p>
      <w:pPr>
        <w:numPr>
          <w:ilvl w:val="0"/>
          <w:numId w:val="6"/>
        </w:numPr>
        <w:tabs>
          <w:tab w:val="left" w:pos="567"/>
          <w:tab w:val="clear" w:pos="840"/>
        </w:tabs>
        <w:spacing w:before="72" w:beforeLines="30" w:after="72"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w:t>
      </w:r>
      <w:r>
        <w:rPr>
          <w:rFonts w:hint="eastAsia"/>
          <w:sz w:val="24"/>
          <w:lang w:val="en-US" w:eastAsia="zh-CN"/>
        </w:rPr>
        <w:t>单价</w:t>
      </w:r>
      <w:r>
        <w:rPr>
          <w:rFonts w:hint="eastAsia"/>
          <w:sz w:val="24"/>
        </w:rPr>
        <w:t>保持不变。</w:t>
      </w:r>
    </w:p>
    <w:p>
      <w:pPr>
        <w:numPr>
          <w:ilvl w:val="0"/>
          <w:numId w:val="6"/>
        </w:numPr>
        <w:tabs>
          <w:tab w:val="left" w:pos="567"/>
          <w:tab w:val="clear" w:pos="840"/>
        </w:tabs>
        <w:spacing w:before="72" w:beforeLines="30" w:after="72" w:afterLines="30" w:line="360" w:lineRule="auto"/>
        <w:ind w:left="567" w:hanging="567"/>
        <w:rPr>
          <w:sz w:val="24"/>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19"/>
        <w:numPr>
          <w:ilvl w:val="0"/>
          <w:numId w:val="4"/>
        </w:numPr>
        <w:spacing w:before="72" w:beforeLines="30" w:after="72" w:afterLines="30" w:line="360" w:lineRule="auto"/>
        <w:ind w:left="709" w:hanging="709"/>
        <w:jc w:val="left"/>
        <w:rPr>
          <w:sz w:val="24"/>
          <w:szCs w:val="24"/>
        </w:rPr>
      </w:pPr>
      <w:r>
        <w:rPr>
          <w:rFonts w:hint="eastAsia"/>
          <w:sz w:val="24"/>
          <w:szCs w:val="24"/>
        </w:rPr>
        <w:t>付款</w:t>
      </w:r>
    </w:p>
    <w:p>
      <w:pPr>
        <w:numPr>
          <w:ilvl w:val="0"/>
          <w:numId w:val="7"/>
        </w:numPr>
        <w:tabs>
          <w:tab w:val="left" w:pos="709"/>
        </w:tabs>
        <w:spacing w:before="72" w:beforeLines="30" w:after="72" w:afterLines="30" w:line="360" w:lineRule="auto"/>
        <w:rPr>
          <w:rFonts w:hint="eastAsia"/>
          <w:color w:val="000000"/>
          <w:sz w:val="24"/>
        </w:rPr>
      </w:pPr>
      <w:r>
        <w:rPr>
          <w:rFonts w:hint="eastAsia"/>
          <w:color w:val="000000"/>
          <w:sz w:val="24"/>
        </w:rPr>
        <w:t>支付货币：</w:t>
      </w:r>
    </w:p>
    <w:p>
      <w:pPr>
        <w:pStyle w:val="34"/>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rPr>
      </w:pPr>
      <w:r>
        <w:rPr>
          <w:rFonts w:hint="eastAsia"/>
          <w:sz w:val="24"/>
        </w:rPr>
        <w:t>本合同项下的所有应付款项均应以</w:t>
      </w:r>
      <w:r>
        <w:rPr>
          <w:rFonts w:hint="eastAsia" w:ascii="宋体" w:hAnsi="宋体" w:cs="Arial"/>
          <w:color w:val="44546A"/>
          <w:kern w:val="0"/>
          <w:sz w:val="24"/>
        </w:rPr>
        <w:t>【</w:t>
      </w:r>
      <w:r>
        <w:rPr>
          <w:rFonts w:hint="eastAsia" w:ascii="宋体" w:hAnsi="宋体" w:cs="Arial"/>
          <w:i/>
          <w:iCs/>
          <w:color w:val="44546A"/>
          <w:kern w:val="0"/>
          <w:sz w:val="24"/>
          <w:highlight w:val="none"/>
        </w:rPr>
        <w:t>人民币</w:t>
      </w:r>
      <w:r>
        <w:rPr>
          <w:rFonts w:hint="eastAsia" w:ascii="宋体" w:hAnsi="宋体" w:cs="Arial"/>
          <w:color w:val="44546A"/>
          <w:kern w:val="0"/>
          <w:sz w:val="24"/>
        </w:rPr>
        <w:t>】</w:t>
      </w:r>
      <w:r>
        <w:rPr>
          <w:rFonts w:hint="eastAsia"/>
          <w:sz w:val="24"/>
        </w:rPr>
        <w:t>支付。</w:t>
      </w:r>
    </w:p>
    <w:p>
      <w:pPr>
        <w:numPr>
          <w:ilvl w:val="0"/>
          <w:numId w:val="7"/>
        </w:numPr>
        <w:tabs>
          <w:tab w:val="left" w:pos="709"/>
        </w:tabs>
        <w:spacing w:before="72" w:beforeLines="30" w:after="72" w:afterLines="30" w:line="360" w:lineRule="auto"/>
        <w:rPr>
          <w:sz w:val="24"/>
        </w:rPr>
      </w:pPr>
      <w:r>
        <w:rPr>
          <w:rFonts w:hint="eastAsia"/>
          <w:sz w:val="24"/>
        </w:rPr>
        <w:t>本合同项下的</w:t>
      </w:r>
      <w:r>
        <w:rPr>
          <w:color w:val="000000"/>
          <w:sz w:val="24"/>
        </w:rPr>
        <w:t>付款方式</w:t>
      </w:r>
      <w:r>
        <w:rPr>
          <w:rFonts w:hint="eastAsia"/>
          <w:color w:val="000000"/>
          <w:sz w:val="24"/>
        </w:rPr>
        <w:t>为</w:t>
      </w:r>
      <w:r>
        <w:rPr>
          <w:color w:val="000000"/>
          <w:sz w:val="24"/>
        </w:rPr>
        <w:t>：</w:t>
      </w:r>
      <w:r>
        <w:rPr>
          <w:rFonts w:hint="eastAsia"/>
          <w:color w:val="FF0000"/>
          <w:sz w:val="24"/>
          <w:highlight w:val="none"/>
        </w:rPr>
        <w:t>【</w:t>
      </w:r>
      <w:r>
        <w:rPr>
          <w:rFonts w:hint="eastAsia"/>
          <w:color w:val="FF0000"/>
          <w:sz w:val="24"/>
          <w:highlight w:val="none"/>
          <w:lang w:val="en-US" w:eastAsia="zh-CN"/>
        </w:rPr>
        <w:t>银行电汇</w:t>
      </w:r>
      <w:r>
        <w:rPr>
          <w:rFonts w:hint="eastAsia"/>
          <w:color w:val="FF0000"/>
          <w:sz w:val="24"/>
          <w:highlight w:val="none"/>
        </w:rPr>
        <w:t>】。</w:t>
      </w:r>
    </w:p>
    <w:p>
      <w:pPr>
        <w:numPr>
          <w:ilvl w:val="0"/>
          <w:numId w:val="7"/>
        </w:numPr>
        <w:tabs>
          <w:tab w:val="left" w:pos="709"/>
        </w:tabs>
        <w:spacing w:before="72" w:beforeLines="30" w:after="72" w:afterLines="30" w:line="360" w:lineRule="auto"/>
        <w:rPr>
          <w:color w:val="000000"/>
          <w:sz w:val="24"/>
        </w:rPr>
      </w:pPr>
      <w:r>
        <w:rPr>
          <w:rFonts w:hint="eastAsia"/>
          <w:color w:val="000000"/>
          <w:sz w:val="24"/>
        </w:rPr>
        <w:t>付款进度</w:t>
      </w:r>
    </w:p>
    <w:p>
      <w:pPr>
        <w:tabs>
          <w:tab w:val="left" w:pos="567"/>
        </w:tabs>
        <w:spacing w:before="72" w:beforeLines="30" w:after="72" w:afterLines="30" w:line="360" w:lineRule="auto"/>
        <w:ind w:left="567"/>
        <w:rPr>
          <w:rFonts w:asciiTheme="minorEastAsia" w:hAnsiTheme="minorEastAsia" w:eastAsiaTheme="minorEastAsia"/>
          <w:color w:val="000000"/>
          <w:sz w:val="24"/>
        </w:rPr>
      </w:pPr>
      <w:r>
        <w:rPr>
          <w:rFonts w:hint="eastAsia" w:asciiTheme="minorEastAsia" w:hAnsiTheme="minorEastAsia" w:eastAsiaTheme="minorEastAsia"/>
          <w:sz w:val="24"/>
        </w:rPr>
        <w:t>卖方在合同规定的期限内将货物运至交货地点，买方验收合格并收到卖方开具的相应的货物增值税专用发票之日起</w:t>
      </w:r>
      <w:r>
        <w:rPr>
          <w:rFonts w:hint="eastAsia"/>
          <w:sz w:val="24"/>
        </w:rPr>
        <w:t>【</w:t>
      </w:r>
      <w:r>
        <w:rPr>
          <w:rFonts w:hint="eastAsia"/>
          <w:i/>
          <w:sz w:val="24"/>
        </w:rPr>
        <w:t>15</w:t>
      </w:r>
      <w:r>
        <w:rPr>
          <w:rFonts w:hint="eastAsia"/>
          <w:sz w:val="24"/>
        </w:rPr>
        <w:t>】</w:t>
      </w:r>
      <w:r>
        <w:rPr>
          <w:rFonts w:hAnsi="宋体"/>
          <w:sz w:val="24"/>
        </w:rPr>
        <w:t>日内</w:t>
      </w:r>
      <w:r>
        <w:rPr>
          <w:rFonts w:hint="eastAsia" w:asciiTheme="minorEastAsia" w:hAnsiTheme="minorEastAsia" w:eastAsiaTheme="minorEastAsia"/>
          <w:color w:val="000000"/>
          <w:sz w:val="24"/>
        </w:rPr>
        <w:t>，买方一次性付清全部合同价款。</w:t>
      </w:r>
    </w:p>
    <w:p>
      <w:pPr>
        <w:numPr>
          <w:ilvl w:val="0"/>
          <w:numId w:val="7"/>
        </w:numPr>
        <w:tabs>
          <w:tab w:val="left" w:pos="567"/>
        </w:tabs>
        <w:spacing w:before="72" w:beforeLines="30" w:after="72" w:afterLines="30" w:line="360" w:lineRule="auto"/>
        <w:rPr>
          <w:color w:val="000000"/>
          <w:sz w:val="24"/>
        </w:rPr>
      </w:pPr>
      <w:r>
        <w:rPr>
          <w:rFonts w:hint="eastAsia"/>
          <w:color w:val="000000"/>
          <w:sz w:val="24"/>
        </w:rPr>
        <w:t>卖方应根据合同规定的付款条件和进度，提前向买方开具符合中国法律法规要求的发票并提供相关支持文件。</w:t>
      </w:r>
      <w:r>
        <w:rPr>
          <w:rFonts w:hint="eastAsia"/>
          <w:sz w:val="24"/>
        </w:rPr>
        <w:t>如乙方提供的服务属于增值税应税范围，乙方应为甲方开具增值税专用发票。</w:t>
      </w:r>
      <w:r>
        <w:rPr>
          <w:rFonts w:hint="eastAsia" w:cs="新宋体-18030"/>
          <w:sz w:val="24"/>
        </w:rPr>
        <w:t>发票</w:t>
      </w:r>
      <w:r>
        <w:rPr>
          <w:rFonts w:hint="eastAsia"/>
          <w:sz w:val="24"/>
        </w:rPr>
        <w:t>应注明合同编号且抬头应为：【</w:t>
      </w:r>
      <w:r>
        <w:rPr>
          <w:rFonts w:hint="eastAsia" w:cs="新宋体-18030"/>
          <w:sz w:val="24"/>
        </w:rPr>
        <w:t>湖北大峪口化工有限责任公司】</w:t>
      </w:r>
      <w:r>
        <w:rPr>
          <w:rFonts w:hint="eastAsia"/>
          <w:sz w:val="24"/>
        </w:rPr>
        <w:t>。</w:t>
      </w:r>
      <w:r>
        <w:rPr>
          <w:rFonts w:hint="eastAsia"/>
          <w:color w:val="000000"/>
          <w:sz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lang w:val="en-US" w:eastAsia="zh-CN"/>
        </w:rPr>
        <w:t>15</w:t>
      </w:r>
      <w:r>
        <w:rPr>
          <w:rFonts w:hint="eastAsia"/>
          <w:color w:val="000000"/>
          <w:sz w:val="24"/>
        </w:rPr>
        <w:t>】日内向卖方付款。</w:t>
      </w:r>
      <w:r>
        <w:rPr>
          <w:rFonts w:hint="eastAsia"/>
          <w:sz w:val="24"/>
        </w:rPr>
        <w:t>如甲方对乙方开具的该等发票和相关支持文件有异议，应于收到发票及相关支持文件后【</w:t>
      </w:r>
      <w:r>
        <w:rPr>
          <w:rFonts w:hint="eastAsia"/>
          <w:i/>
          <w:sz w:val="24"/>
        </w:rPr>
        <w:t>3</w:t>
      </w:r>
      <w:r>
        <w:rPr>
          <w:rFonts w:hint="eastAsia"/>
          <w:sz w:val="24"/>
        </w:rPr>
        <w:t>】日内通知乙方，乙方应重新开具发票和相关支持文件，买方应于收到卖方重新开具的发票和相关支持文件之日起</w:t>
      </w:r>
      <w:r>
        <w:rPr>
          <w:rFonts w:hint="eastAsia"/>
          <w:color w:val="000000"/>
          <w:sz w:val="24"/>
        </w:rPr>
        <w:t>【</w:t>
      </w:r>
      <w:r>
        <w:rPr>
          <w:rFonts w:hint="eastAsia"/>
          <w:i/>
          <w:color w:val="000000"/>
          <w:sz w:val="24"/>
        </w:rPr>
        <w:t>10</w:t>
      </w:r>
      <w:r>
        <w:rPr>
          <w:rFonts w:hint="eastAsia"/>
          <w:color w:val="000000"/>
          <w:sz w:val="24"/>
        </w:rPr>
        <w:t>】日内向卖方付款。</w:t>
      </w:r>
    </w:p>
    <w:p>
      <w:pPr>
        <w:numPr>
          <w:ilvl w:val="0"/>
          <w:numId w:val="7"/>
        </w:numPr>
        <w:tabs>
          <w:tab w:val="left" w:pos="567"/>
        </w:tabs>
        <w:spacing w:before="72" w:beforeLines="30" w:after="72" w:afterLines="30" w:line="360" w:lineRule="auto"/>
        <w:rPr>
          <w:sz w:val="24"/>
        </w:rPr>
      </w:pPr>
      <w:r>
        <w:rPr>
          <w:rFonts w:hint="eastAsia" w:hAnsi="宋体"/>
          <w:sz w:val="24"/>
        </w:rPr>
        <w:t>卖方</w:t>
      </w:r>
      <w:r>
        <w:rPr>
          <w:rFonts w:hAnsi="宋体"/>
          <w:sz w:val="24"/>
        </w:rPr>
        <w:t>账户</w:t>
      </w:r>
    </w:p>
    <w:p>
      <w:pPr>
        <w:tabs>
          <w:tab w:val="left" w:pos="567"/>
          <w:tab w:val="left" w:pos="1418"/>
        </w:tabs>
        <w:spacing w:before="72" w:beforeLines="30" w:after="72" w:afterLines="30" w:line="360" w:lineRule="auto"/>
        <w:ind w:left="565" w:leftChars="269"/>
        <w:rPr>
          <w:sz w:val="24"/>
        </w:rPr>
      </w:pPr>
      <w:r>
        <w:rPr>
          <w:sz w:val="24"/>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Pr>
          <w:color w:val="FF0000"/>
          <w:sz w:val="24"/>
        </w:rPr>
      </w:pPr>
      <w:bookmarkStart w:id="25" w:name="_Toc306354310"/>
      <w:r>
        <w:rPr>
          <w:color w:val="FF0000"/>
          <w:sz w:val="24"/>
        </w:rPr>
        <w:t>卖方名称：</w:t>
      </w:r>
    </w:p>
    <w:p>
      <w:pPr>
        <w:tabs>
          <w:tab w:val="left" w:pos="567"/>
          <w:tab w:val="left" w:pos="1418"/>
        </w:tabs>
        <w:spacing w:before="72" w:beforeLines="30" w:after="72" w:afterLines="30" w:line="360" w:lineRule="auto"/>
        <w:ind w:left="565" w:leftChars="269"/>
        <w:rPr>
          <w:color w:val="FF0000"/>
          <w:sz w:val="24"/>
        </w:rPr>
      </w:pPr>
      <w:r>
        <w:rPr>
          <w:color w:val="FF0000"/>
          <w:sz w:val="24"/>
        </w:rPr>
        <w:t>账</w:t>
      </w:r>
      <w:r>
        <w:rPr>
          <w:rFonts w:hint="eastAsia"/>
          <w:color w:val="FF0000"/>
          <w:sz w:val="24"/>
        </w:rPr>
        <w:t xml:space="preserve">    </w:t>
      </w:r>
      <w:r>
        <w:rPr>
          <w:color w:val="FF0000"/>
          <w:sz w:val="24"/>
        </w:rPr>
        <w:t>号：</w:t>
      </w:r>
    </w:p>
    <w:p>
      <w:pPr>
        <w:tabs>
          <w:tab w:val="left" w:pos="567"/>
          <w:tab w:val="left" w:pos="1418"/>
        </w:tabs>
        <w:spacing w:before="72" w:beforeLines="30" w:after="72" w:afterLines="30" w:line="360" w:lineRule="auto"/>
        <w:ind w:left="565" w:leftChars="269"/>
        <w:rPr>
          <w:color w:val="FF0000"/>
          <w:sz w:val="24"/>
        </w:rPr>
      </w:pPr>
      <w:r>
        <w:rPr>
          <w:color w:val="FF0000"/>
          <w:sz w:val="24"/>
        </w:rPr>
        <w:t>开户行名称：</w:t>
      </w:r>
    </w:p>
    <w:p>
      <w:pPr>
        <w:pStyle w:val="19"/>
        <w:numPr>
          <w:ilvl w:val="0"/>
          <w:numId w:val="4"/>
        </w:numPr>
        <w:spacing w:before="72" w:beforeLines="30" w:after="72" w:afterLines="30" w:line="360" w:lineRule="auto"/>
        <w:ind w:left="851" w:hanging="851"/>
        <w:jc w:val="left"/>
        <w:rPr>
          <w:sz w:val="24"/>
          <w:szCs w:val="24"/>
        </w:rPr>
      </w:pPr>
      <w:r>
        <w:rPr>
          <w:rFonts w:hint="eastAsia"/>
          <w:sz w:val="24"/>
          <w:szCs w:val="24"/>
        </w:rPr>
        <w:t>货物交付</w:t>
      </w:r>
      <w:bookmarkEnd w:id="25"/>
    </w:p>
    <w:p>
      <w:pPr>
        <w:numPr>
          <w:ilvl w:val="0"/>
          <w:numId w:val="8"/>
        </w:numPr>
        <w:tabs>
          <w:tab w:val="left" w:pos="567"/>
          <w:tab w:val="clear" w:pos="562"/>
        </w:tabs>
        <w:spacing w:before="72" w:beforeLines="30" w:after="72" w:afterLines="30" w:line="360" w:lineRule="auto"/>
        <w:ind w:left="567" w:hanging="567"/>
        <w:outlineLvl w:val="0"/>
        <w:rPr>
          <w:b/>
          <w:sz w:val="24"/>
        </w:rPr>
      </w:pPr>
      <w:r>
        <w:rPr>
          <w:rFonts w:hAnsi="宋体"/>
          <w:b/>
          <w:sz w:val="24"/>
        </w:rPr>
        <w:t>交货日期</w:t>
      </w:r>
    </w:p>
    <w:p>
      <w:pPr>
        <w:numPr>
          <w:ilvl w:val="0"/>
          <w:numId w:val="9"/>
        </w:numPr>
        <w:tabs>
          <w:tab w:val="left" w:pos="993"/>
        </w:tabs>
        <w:spacing w:before="72" w:beforeLines="30" w:after="72" w:afterLines="30" w:line="360" w:lineRule="auto"/>
        <w:ind w:left="1047" w:leftChars="268" w:hanging="484" w:hangingChars="202"/>
        <w:outlineLvl w:val="0"/>
        <w:rPr>
          <w:sz w:val="24"/>
        </w:rPr>
      </w:pPr>
      <w:r>
        <w:rPr>
          <w:rFonts w:hAnsi="宋体"/>
          <w:sz w:val="24"/>
        </w:rPr>
        <w:t>卖方应在</w:t>
      </w:r>
      <w:r>
        <w:rPr>
          <w:rFonts w:hint="eastAsia"/>
          <w:sz w:val="24"/>
          <w:highlight w:val="none"/>
        </w:rPr>
        <w:t>【</w:t>
      </w:r>
      <w:r>
        <w:rPr>
          <w:rFonts w:hint="eastAsia"/>
          <w:i w:val="0"/>
          <w:iCs/>
          <w:color w:val="FF0000"/>
          <w:sz w:val="24"/>
          <w:highlight w:val="none"/>
        </w:rPr>
        <w:t>202</w:t>
      </w:r>
      <w:r>
        <w:rPr>
          <w:rFonts w:hint="eastAsia"/>
          <w:i w:val="0"/>
          <w:iCs/>
          <w:color w:val="FF0000"/>
          <w:sz w:val="24"/>
          <w:highlight w:val="none"/>
          <w:lang w:val="en-US" w:eastAsia="zh-CN"/>
        </w:rPr>
        <w:t>5</w:t>
      </w:r>
      <w:r>
        <w:rPr>
          <w:rFonts w:hint="eastAsia"/>
          <w:i w:val="0"/>
          <w:iCs/>
          <w:color w:val="FF0000"/>
          <w:sz w:val="24"/>
          <w:highlight w:val="none"/>
        </w:rPr>
        <w:t>年</w:t>
      </w:r>
      <w:r>
        <w:rPr>
          <w:rFonts w:hint="eastAsia"/>
          <w:i w:val="0"/>
          <w:iCs/>
          <w:color w:val="FF0000"/>
          <w:sz w:val="24"/>
          <w:highlight w:val="none"/>
          <w:lang w:val="en-US" w:eastAsia="zh-CN"/>
        </w:rPr>
        <w:t>10</w:t>
      </w:r>
      <w:r>
        <w:rPr>
          <w:rFonts w:hint="eastAsia"/>
          <w:i w:val="0"/>
          <w:iCs/>
          <w:color w:val="FF0000"/>
          <w:sz w:val="24"/>
          <w:highlight w:val="none"/>
        </w:rPr>
        <w:t>月</w:t>
      </w:r>
      <w:r>
        <w:rPr>
          <w:rFonts w:hint="eastAsia"/>
          <w:i w:val="0"/>
          <w:iCs/>
          <w:color w:val="FF0000"/>
          <w:sz w:val="24"/>
          <w:highlight w:val="none"/>
          <w:lang w:val="en-US" w:eastAsia="zh-CN"/>
        </w:rPr>
        <w:t>X</w:t>
      </w:r>
      <w:r>
        <w:rPr>
          <w:rFonts w:hint="eastAsia"/>
          <w:i w:val="0"/>
          <w:iCs/>
          <w:color w:val="FF0000"/>
          <w:sz w:val="24"/>
          <w:highlight w:val="none"/>
        </w:rPr>
        <w:t>日</w:t>
      </w:r>
      <w:r>
        <w:rPr>
          <w:rFonts w:hint="eastAsia"/>
          <w:sz w:val="24"/>
          <w:highlight w:val="none"/>
        </w:rPr>
        <w:t>】</w:t>
      </w:r>
      <w:r>
        <w:rPr>
          <w:rFonts w:ascii="宋体" w:hAnsi="宋体"/>
          <w:sz w:val="24"/>
        </w:rPr>
        <w:t>（“交货日期”）</w:t>
      </w:r>
      <w:r>
        <w:rPr>
          <w:rFonts w:hAnsi="宋体"/>
          <w:sz w:val="24"/>
        </w:rPr>
        <w:t>前完成货物的交付。</w:t>
      </w:r>
    </w:p>
    <w:p>
      <w:pPr>
        <w:numPr>
          <w:ilvl w:val="0"/>
          <w:numId w:val="9"/>
        </w:numPr>
        <w:tabs>
          <w:tab w:val="left" w:pos="993"/>
        </w:tabs>
        <w:spacing w:before="72" w:beforeLines="30" w:after="72" w:afterLines="30" w:line="360" w:lineRule="auto"/>
        <w:ind w:left="1047" w:leftChars="268" w:hanging="484" w:hangingChars="202"/>
        <w:outlineLvl w:val="0"/>
        <w:rPr>
          <w:sz w:val="24"/>
        </w:rPr>
      </w:pPr>
      <w:r>
        <w:rPr>
          <w:rFonts w:hAnsi="宋体"/>
          <w:sz w:val="24"/>
        </w:rPr>
        <w:t>买方</w:t>
      </w:r>
      <w:r>
        <w:rPr>
          <w:rFonts w:hint="eastAsia" w:hAnsi="宋体"/>
          <w:sz w:val="24"/>
        </w:rPr>
        <w:t>有权根据自身</w:t>
      </w:r>
      <w:r>
        <w:rPr>
          <w:rFonts w:hAnsi="宋体"/>
          <w:sz w:val="24"/>
        </w:rPr>
        <w:t>情况</w:t>
      </w:r>
      <w:r>
        <w:rPr>
          <w:rFonts w:hint="eastAsia" w:hAnsi="宋体"/>
          <w:sz w:val="24"/>
        </w:rPr>
        <w:t>要求卖方延期交付货物，但买方应在交付日期前</w:t>
      </w:r>
      <w:bookmarkStart w:id="26" w:name="OLE_LINK57"/>
      <w:bookmarkStart w:id="27" w:name="OLE_LINK56"/>
      <w:r>
        <w:rPr>
          <w:rFonts w:hint="eastAsia" w:hAnsi="宋体"/>
          <w:color w:val="FF0000"/>
          <w:sz w:val="24"/>
          <w:highlight w:val="none"/>
        </w:rPr>
        <w:t>【</w:t>
      </w:r>
      <w:r>
        <w:rPr>
          <w:rFonts w:hint="eastAsia" w:hAnsi="宋体"/>
          <w:i/>
          <w:color w:val="FF0000"/>
          <w:sz w:val="24"/>
          <w:highlight w:val="none"/>
          <w:lang w:val="en-US" w:eastAsia="zh-CN"/>
        </w:rPr>
        <w:t>3</w:t>
      </w:r>
      <w:r>
        <w:rPr>
          <w:rFonts w:hint="eastAsia" w:hAnsi="宋体"/>
          <w:color w:val="FF0000"/>
          <w:sz w:val="24"/>
          <w:highlight w:val="none"/>
        </w:rPr>
        <w:t>】</w:t>
      </w:r>
      <w:bookmarkEnd w:id="26"/>
      <w:bookmarkEnd w:id="27"/>
      <w:r>
        <w:rPr>
          <w:rFonts w:hint="eastAsia" w:hAnsi="宋体"/>
          <w:sz w:val="24"/>
        </w:rPr>
        <w:t>日以书面方式</w:t>
      </w:r>
      <w:r>
        <w:rPr>
          <w:rFonts w:hAnsi="宋体"/>
          <w:sz w:val="24"/>
        </w:rPr>
        <w:t>通知卖方。</w:t>
      </w:r>
      <w:r>
        <w:rPr>
          <w:sz w:val="24"/>
        </w:rPr>
        <w:t>除非买方调整交货日期</w:t>
      </w:r>
      <w:r>
        <w:rPr>
          <w:rFonts w:hint="eastAsia"/>
          <w:sz w:val="24"/>
        </w:rPr>
        <w:t>实质性</w:t>
      </w:r>
      <w:r>
        <w:rPr>
          <w:sz w:val="24"/>
        </w:rPr>
        <w:t>加重卖方义务，否则卖方不得另行向买方主张增加费用。</w:t>
      </w:r>
    </w:p>
    <w:p>
      <w:pPr>
        <w:numPr>
          <w:ilvl w:val="0"/>
          <w:numId w:val="8"/>
        </w:numPr>
        <w:tabs>
          <w:tab w:val="left" w:pos="567"/>
          <w:tab w:val="left" w:pos="709"/>
          <w:tab w:val="clear" w:pos="562"/>
        </w:tabs>
        <w:spacing w:before="72" w:beforeLines="30" w:after="72" w:afterLines="30" w:line="360" w:lineRule="auto"/>
        <w:ind w:left="567" w:hanging="567"/>
        <w:outlineLvl w:val="0"/>
        <w:rPr>
          <w:sz w:val="24"/>
        </w:rPr>
      </w:pPr>
      <w:r>
        <w:rPr>
          <w:rFonts w:hAnsi="宋体"/>
          <w:b/>
          <w:sz w:val="24"/>
        </w:rPr>
        <w:t>交货地点</w:t>
      </w:r>
      <w:r>
        <w:rPr>
          <w:rFonts w:hint="eastAsia" w:hAnsi="宋体"/>
          <w:sz w:val="24"/>
        </w:rPr>
        <w:t>：</w:t>
      </w:r>
      <w:bookmarkStart w:id="28" w:name="OLE_LINK58"/>
      <w:bookmarkStart w:id="29" w:name="OLE_LINK60"/>
      <w:bookmarkStart w:id="30" w:name="OLE_LINK61"/>
      <w:bookmarkStart w:id="31" w:name="OLE_LINK59"/>
      <w:r>
        <w:rPr>
          <w:rFonts w:hint="eastAsia" w:hAnsi="宋体"/>
          <w:color w:val="FF0000"/>
          <w:sz w:val="24"/>
          <w:highlight w:val="none"/>
        </w:rPr>
        <w:t>【</w:t>
      </w:r>
      <w:r>
        <w:rPr>
          <w:rFonts w:hint="eastAsia" w:hAnsi="宋体"/>
          <w:i w:val="0"/>
          <w:iCs/>
          <w:color w:val="FF0000"/>
          <w:sz w:val="24"/>
          <w:highlight w:val="none"/>
        </w:rPr>
        <w:t>大峪口公司液氨罐</w:t>
      </w:r>
      <w:r>
        <w:rPr>
          <w:rFonts w:hint="eastAsia" w:hAnsi="宋体"/>
          <w:i w:val="0"/>
          <w:iCs/>
          <w:color w:val="FF0000"/>
          <w:sz w:val="24"/>
          <w:highlight w:val="none"/>
          <w:lang w:val="en-US" w:eastAsia="zh-CN"/>
        </w:rPr>
        <w:t>法兰连接处</w:t>
      </w:r>
      <w:r>
        <w:rPr>
          <w:rFonts w:hint="eastAsia" w:hAnsi="宋体"/>
          <w:color w:val="FF0000"/>
          <w:sz w:val="24"/>
          <w:highlight w:val="none"/>
        </w:rPr>
        <w:t>】</w:t>
      </w:r>
      <w:bookmarkEnd w:id="28"/>
      <w:bookmarkEnd w:id="29"/>
      <w:bookmarkEnd w:id="30"/>
      <w:bookmarkEnd w:id="31"/>
      <w:r>
        <w:rPr>
          <w:rFonts w:hint="eastAsia"/>
          <w:sz w:val="24"/>
        </w:rPr>
        <w:t>。</w:t>
      </w:r>
    </w:p>
    <w:p>
      <w:pPr>
        <w:numPr>
          <w:ilvl w:val="0"/>
          <w:numId w:val="8"/>
        </w:numPr>
        <w:tabs>
          <w:tab w:val="left" w:pos="709"/>
        </w:tabs>
        <w:spacing w:before="72" w:beforeLines="30" w:after="72" w:afterLines="30" w:line="360" w:lineRule="auto"/>
        <w:ind w:left="567" w:hanging="567"/>
        <w:outlineLvl w:val="0"/>
      </w:pPr>
      <w:r>
        <w:rPr>
          <w:rFonts w:hAnsi="宋体"/>
          <w:sz w:val="24"/>
        </w:rPr>
        <w:t>每批</w:t>
      </w:r>
      <w:r>
        <w:rPr>
          <w:rFonts w:hint="eastAsia" w:hAnsi="宋体"/>
          <w:sz w:val="24"/>
        </w:rPr>
        <w:t>货</w:t>
      </w:r>
      <w:r>
        <w:rPr>
          <w:rFonts w:hint="eastAsia"/>
          <w:sz w:val="24"/>
        </w:rPr>
        <w:t>物</w:t>
      </w:r>
      <w:r>
        <w:rPr>
          <w:sz w:val="24"/>
        </w:rPr>
        <w:t>交付运输后</w:t>
      </w:r>
      <w:r>
        <w:rPr>
          <w:rFonts w:hint="eastAsia"/>
          <w:sz w:val="24"/>
          <w:highlight w:val="none"/>
        </w:rPr>
        <w:t>【</w:t>
      </w:r>
      <w:r>
        <w:rPr>
          <w:rFonts w:hint="eastAsia"/>
          <w:i/>
          <w:sz w:val="24"/>
          <w:highlight w:val="none"/>
          <w:lang w:val="en-US" w:eastAsia="zh-CN"/>
        </w:rPr>
        <w:t>24</w:t>
      </w:r>
      <w:r>
        <w:rPr>
          <w:rFonts w:hint="eastAsia"/>
          <w:sz w:val="24"/>
          <w:highlight w:val="none"/>
        </w:rPr>
        <w:t>】</w:t>
      </w:r>
      <w:r>
        <w:rPr>
          <w:sz w:val="24"/>
          <w:highlight w:val="none"/>
        </w:rPr>
        <w:t>小</w:t>
      </w:r>
      <w:r>
        <w:rPr>
          <w:sz w:val="24"/>
        </w:rPr>
        <w:t>时内，卖方应通过将下列</w:t>
      </w:r>
      <w:r>
        <w:rPr>
          <w:rFonts w:hint="eastAsia"/>
          <w:sz w:val="24"/>
        </w:rPr>
        <w:t>材料、</w:t>
      </w:r>
      <w:r>
        <w:rPr>
          <w:sz w:val="24"/>
        </w:rPr>
        <w:t>信息通知买方</w:t>
      </w:r>
      <w:r>
        <w:rPr>
          <w:rFonts w:hint="eastAsia"/>
          <w:sz w:val="24"/>
        </w:rPr>
        <w:t>：</w:t>
      </w:r>
      <w:r>
        <w:rPr>
          <w:sz w:val="24"/>
        </w:rPr>
        <w:t>合同号</w:t>
      </w:r>
      <w:r>
        <w:rPr>
          <w:rFonts w:hint="eastAsia"/>
          <w:sz w:val="24"/>
        </w:rPr>
        <w:t>、</w:t>
      </w:r>
      <w:r>
        <w:rPr>
          <w:sz w:val="24"/>
        </w:rPr>
        <w:t>货物名称及编号</w:t>
      </w:r>
      <w:r>
        <w:rPr>
          <w:rFonts w:hint="eastAsia"/>
          <w:sz w:val="24"/>
        </w:rPr>
        <w:t>、货物数量、</w:t>
      </w:r>
      <w:r>
        <w:rPr>
          <w:sz w:val="24"/>
        </w:rPr>
        <w:t>货物总重量</w:t>
      </w:r>
      <w:r>
        <w:rPr>
          <w:rFonts w:hint="eastAsia"/>
          <w:sz w:val="24"/>
        </w:rPr>
        <w:t>和</w:t>
      </w:r>
      <w:r>
        <w:rPr>
          <w:rFonts w:hint="eastAsia"/>
          <w:i w:val="0"/>
          <w:iCs w:val="0"/>
          <w:color w:val="FF0000"/>
          <w:sz w:val="24"/>
          <w:highlight w:val="none"/>
        </w:rPr>
        <w:t>【</w:t>
      </w:r>
      <w:r>
        <w:rPr>
          <w:rFonts w:hint="eastAsia"/>
          <w:i w:val="0"/>
          <w:iCs w:val="0"/>
          <w:color w:val="FF0000"/>
          <w:sz w:val="24"/>
          <w:highlight w:val="none"/>
          <w:lang w:val="en-US" w:eastAsia="zh-CN"/>
        </w:rPr>
        <w:t>货源地磅单</w:t>
      </w:r>
      <w:r>
        <w:rPr>
          <w:rFonts w:hint="eastAsia"/>
          <w:i w:val="0"/>
          <w:iCs w:val="0"/>
          <w:color w:val="FF0000"/>
          <w:sz w:val="24"/>
          <w:highlight w:val="none"/>
        </w:rPr>
        <w:t>】</w:t>
      </w:r>
      <w:r>
        <w:rPr>
          <w:rFonts w:hint="eastAsia"/>
          <w:sz w:val="24"/>
        </w:rPr>
        <w:t>。</w:t>
      </w:r>
    </w:p>
    <w:p>
      <w:pPr>
        <w:numPr>
          <w:ilvl w:val="0"/>
          <w:numId w:val="8"/>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包装</w:t>
      </w:r>
    </w:p>
    <w:p>
      <w:pPr>
        <w:pStyle w:val="34"/>
        <w:spacing w:line="360" w:lineRule="auto"/>
        <w:ind w:left="567" w:leftChars="270" w:firstLine="0" w:firstLineChars="0"/>
        <w:rPr>
          <w:rFonts w:hAnsi="宋体"/>
          <w:sz w:val="24"/>
        </w:rPr>
      </w:pPr>
      <w:r>
        <w:rPr>
          <w:rFonts w:hAnsi="宋体"/>
          <w:sz w:val="24"/>
        </w:rPr>
        <w:t>卖方应提供将货物</w:t>
      </w:r>
      <w:r>
        <w:rPr>
          <w:rFonts w:hint="eastAsia" w:hAnsi="宋体"/>
          <w:sz w:val="24"/>
        </w:rPr>
        <w:t>、货物资料</w:t>
      </w:r>
      <w:r>
        <w:rPr>
          <w:rFonts w:hAnsi="宋体"/>
          <w:sz w:val="24"/>
        </w:rPr>
        <w:t>运至</w:t>
      </w:r>
      <w:r>
        <w:rPr>
          <w:rFonts w:hint="eastAsia" w:hAnsi="宋体"/>
          <w:sz w:val="24"/>
        </w:rPr>
        <w:t>交货</w:t>
      </w:r>
      <w:r>
        <w:rPr>
          <w:rFonts w:hAnsi="宋体"/>
          <w:sz w:val="24"/>
        </w:rPr>
        <w:t>地点所需要的包装，以防止货物</w:t>
      </w:r>
      <w:r>
        <w:rPr>
          <w:rFonts w:hint="eastAsia" w:hAnsi="宋体"/>
          <w:sz w:val="24"/>
        </w:rPr>
        <w:t>、货物资料</w:t>
      </w:r>
      <w:r>
        <w:rPr>
          <w:rFonts w:hAnsi="宋体"/>
          <w:sz w:val="24"/>
        </w:rPr>
        <w:t>在运输中损坏或变质。货物</w:t>
      </w:r>
      <w:r>
        <w:rPr>
          <w:rFonts w:hint="eastAsia" w:hAnsi="宋体"/>
          <w:sz w:val="24"/>
        </w:rPr>
        <w:t>、货物资料</w:t>
      </w:r>
      <w:r>
        <w:rPr>
          <w:rFonts w:hAnsi="宋体"/>
          <w:sz w:val="24"/>
        </w:rPr>
        <w:t>的包装应采用防潮、防晒、防锈、防腐蚀、防震动、防野蛮装卸及防止其它损坏的必要保护措施，保护货物</w:t>
      </w:r>
      <w:r>
        <w:rPr>
          <w:rFonts w:hint="eastAsia" w:hAnsi="宋体"/>
          <w:sz w:val="24"/>
        </w:rPr>
        <w:t>、货物资料</w:t>
      </w:r>
      <w:r>
        <w:rPr>
          <w:rFonts w:hAnsi="宋体"/>
          <w:sz w:val="24"/>
        </w:rPr>
        <w:t>能够经受多次搬运、装卸及远洋和内陆长途运输。</w:t>
      </w:r>
    </w:p>
    <w:p>
      <w:pPr>
        <w:numPr>
          <w:ilvl w:val="0"/>
          <w:numId w:val="8"/>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货物资料的交付</w:t>
      </w:r>
    </w:p>
    <w:p>
      <w:pPr>
        <w:pStyle w:val="34"/>
        <w:numPr>
          <w:ilvl w:val="0"/>
          <w:numId w:val="10"/>
        </w:numPr>
        <w:tabs>
          <w:tab w:val="left" w:pos="709"/>
        </w:tabs>
        <w:spacing w:before="72" w:beforeLines="30" w:after="72" w:afterLines="30" w:line="360" w:lineRule="auto"/>
        <w:ind w:firstLineChars="0"/>
        <w:outlineLvl w:val="0"/>
        <w:rPr>
          <w:sz w:val="24"/>
        </w:rPr>
      </w:pPr>
      <w:r>
        <w:rPr>
          <w:rFonts w:hint="eastAsia"/>
          <w:sz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rPr>
        <w:t>如买方发现货物资料存在任何</w:t>
      </w:r>
      <w:r>
        <w:rPr>
          <w:rFonts w:hint="eastAsia"/>
          <w:sz w:val="24"/>
        </w:rPr>
        <w:t>错漏、</w:t>
      </w:r>
      <w:r>
        <w:rPr>
          <w:sz w:val="24"/>
        </w:rPr>
        <w:t>短缺、损坏、遗失，买方应于收到之日起</w:t>
      </w:r>
      <w:r>
        <w:rPr>
          <w:rFonts w:hint="eastAsia" w:hAnsi="宋体"/>
          <w:sz w:val="24"/>
        </w:rPr>
        <w:t>合理期限</w:t>
      </w:r>
      <w:r>
        <w:rPr>
          <w:sz w:val="24"/>
        </w:rPr>
        <w:t>内通知卖方；卖方收到通知后</w:t>
      </w:r>
      <w:r>
        <w:rPr>
          <w:rFonts w:hint="eastAsia" w:hAnsi="宋体"/>
          <w:color w:val="FF0000"/>
          <w:sz w:val="24"/>
          <w:highlight w:val="none"/>
        </w:rPr>
        <w:t>【</w:t>
      </w:r>
      <w:r>
        <w:rPr>
          <w:rFonts w:hint="eastAsia" w:hAnsi="宋体"/>
          <w:i/>
          <w:color w:val="FF0000"/>
          <w:sz w:val="24"/>
          <w:highlight w:val="none"/>
          <w:lang w:val="en-US" w:eastAsia="zh-CN"/>
        </w:rPr>
        <w:t>3</w:t>
      </w:r>
      <w:r>
        <w:rPr>
          <w:rFonts w:hint="eastAsia" w:hAnsi="宋体"/>
          <w:color w:val="FF0000"/>
          <w:sz w:val="24"/>
          <w:highlight w:val="none"/>
        </w:rPr>
        <w:t>】</w:t>
      </w:r>
      <w:r>
        <w:rPr>
          <w:sz w:val="24"/>
        </w:rPr>
        <w:t>日内应</w:t>
      </w:r>
      <w:r>
        <w:rPr>
          <w:rFonts w:hint="eastAsia"/>
          <w:sz w:val="24"/>
        </w:rPr>
        <w:t>自行承担费用</w:t>
      </w:r>
      <w:r>
        <w:rPr>
          <w:sz w:val="24"/>
        </w:rPr>
        <w:t>将补充或替换的货物资料送达买方，</w:t>
      </w:r>
      <w:r>
        <w:rPr>
          <w:rFonts w:hint="eastAsia"/>
          <w:sz w:val="24"/>
        </w:rPr>
        <w:t>并</w:t>
      </w:r>
      <w:r>
        <w:rPr>
          <w:sz w:val="24"/>
        </w:rPr>
        <w:t>不得因此影响交货进度</w:t>
      </w:r>
      <w:r>
        <w:rPr>
          <w:rFonts w:hint="eastAsia"/>
          <w:sz w:val="24"/>
        </w:rPr>
        <w:t>。</w:t>
      </w:r>
    </w:p>
    <w:p>
      <w:pPr>
        <w:pStyle w:val="34"/>
        <w:numPr>
          <w:ilvl w:val="0"/>
          <w:numId w:val="10"/>
        </w:numPr>
        <w:tabs>
          <w:tab w:val="left" w:pos="709"/>
        </w:tabs>
        <w:spacing w:before="72" w:beforeLines="30" w:after="72" w:afterLines="30" w:line="360" w:lineRule="auto"/>
        <w:ind w:firstLineChars="0"/>
        <w:outlineLvl w:val="0"/>
      </w:pPr>
      <w:r>
        <w:rPr>
          <w:rFonts w:hint="eastAsia"/>
          <w:sz w:val="24"/>
        </w:rPr>
        <w:t>货物资料的名称、数量及交付时间为：</w:t>
      </w:r>
      <w:r>
        <w:rPr>
          <w:rFonts w:hint="eastAsia" w:hAnsi="宋体"/>
          <w:i w:val="0"/>
          <w:iCs w:val="0"/>
          <w:color w:val="FF0000"/>
          <w:sz w:val="24"/>
          <w:highlight w:val="none"/>
        </w:rPr>
        <w:t>【货物发出之日起24小时内】</w:t>
      </w:r>
      <w:r>
        <w:rPr>
          <w:rFonts w:hint="eastAsia"/>
          <w:sz w:val="24"/>
        </w:rPr>
        <w:t>。</w:t>
      </w:r>
    </w:p>
    <w:p>
      <w:pPr>
        <w:pStyle w:val="19"/>
        <w:numPr>
          <w:ilvl w:val="0"/>
          <w:numId w:val="4"/>
        </w:numPr>
        <w:tabs>
          <w:tab w:val="left" w:pos="567"/>
        </w:tabs>
        <w:spacing w:before="72" w:beforeLines="30" w:after="72" w:afterLines="30" w:line="360" w:lineRule="auto"/>
        <w:ind w:left="567" w:hanging="567"/>
        <w:jc w:val="left"/>
        <w:rPr>
          <w:sz w:val="24"/>
          <w:szCs w:val="24"/>
        </w:rPr>
      </w:pPr>
      <w:bookmarkStart w:id="32" w:name="_Toc306354315"/>
      <w:r>
        <w:rPr>
          <w:rFonts w:hint="eastAsia"/>
          <w:sz w:val="24"/>
          <w:szCs w:val="24"/>
        </w:rPr>
        <w:t>货物要求</w:t>
      </w:r>
    </w:p>
    <w:p>
      <w:pPr>
        <w:pStyle w:val="34"/>
        <w:numPr>
          <w:ilvl w:val="0"/>
          <w:numId w:val="11"/>
        </w:numPr>
        <w:spacing w:before="72" w:beforeLines="30" w:after="72" w:afterLines="30" w:line="360" w:lineRule="auto"/>
        <w:ind w:left="567" w:hanging="567" w:firstLineChars="0"/>
        <w:outlineLvl w:val="0"/>
        <w:rPr>
          <w:rFonts w:hAnsi="宋体"/>
          <w:sz w:val="24"/>
        </w:rPr>
      </w:pPr>
      <w:r>
        <w:rPr>
          <w:rFonts w:hAnsi="宋体"/>
          <w:sz w:val="24"/>
        </w:rPr>
        <w:t>卖方应根据合同规定</w:t>
      </w:r>
      <w:r>
        <w:rPr>
          <w:rFonts w:hint="eastAsia" w:hAnsi="宋体"/>
          <w:sz w:val="24"/>
        </w:rPr>
        <w:t>提供</w:t>
      </w:r>
      <w:r>
        <w:rPr>
          <w:rFonts w:hAnsi="宋体"/>
          <w:sz w:val="24"/>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rPr>
        <w:t>适用</w:t>
      </w:r>
      <w:r>
        <w:rPr>
          <w:rFonts w:hAnsi="宋体"/>
          <w:sz w:val="24"/>
        </w:rPr>
        <w:t>符合本合同目的的标准。</w:t>
      </w:r>
    </w:p>
    <w:p>
      <w:pPr>
        <w:pStyle w:val="34"/>
        <w:numPr>
          <w:ilvl w:val="0"/>
          <w:numId w:val="11"/>
        </w:numPr>
        <w:spacing w:before="72" w:beforeLines="30" w:after="72" w:afterLines="30" w:line="360" w:lineRule="auto"/>
        <w:ind w:left="567" w:hanging="567" w:firstLineChars="0"/>
        <w:outlineLvl w:val="0"/>
        <w:rPr>
          <w:rFonts w:hAnsi="宋体"/>
          <w:sz w:val="24"/>
        </w:rPr>
      </w:pPr>
      <w:r>
        <w:rPr>
          <w:rFonts w:hAnsi="宋体"/>
          <w:sz w:val="24"/>
        </w:rPr>
        <w:t>在履行合同过程中，买方接受卖方的有关货物的建议和要求或买方的任何批准、认可不得免除卖方</w:t>
      </w:r>
      <w:r>
        <w:rPr>
          <w:rFonts w:hint="eastAsia" w:hAnsi="宋体"/>
          <w:sz w:val="24"/>
        </w:rPr>
        <w:t>在本合同项下的任何</w:t>
      </w:r>
      <w:r>
        <w:rPr>
          <w:rFonts w:hAnsi="宋体"/>
          <w:sz w:val="24"/>
        </w:rPr>
        <w:t>义务（包括卖方对货物应符合本合同</w:t>
      </w:r>
      <w:r>
        <w:rPr>
          <w:rFonts w:hint="eastAsia" w:hAnsi="宋体"/>
          <w:sz w:val="24"/>
        </w:rPr>
        <w:t>规定的</w:t>
      </w:r>
      <w:r>
        <w:rPr>
          <w:rFonts w:hAnsi="宋体"/>
          <w:sz w:val="24"/>
        </w:rPr>
        <w:t>质量和规格</w:t>
      </w:r>
      <w:r>
        <w:rPr>
          <w:rFonts w:hint="eastAsia" w:hAnsi="宋体"/>
          <w:sz w:val="24"/>
        </w:rPr>
        <w:t>等</w:t>
      </w:r>
      <w:r>
        <w:rPr>
          <w:rFonts w:hAnsi="宋体"/>
          <w:sz w:val="24"/>
        </w:rPr>
        <w:t>要求应承担的责任）。</w:t>
      </w:r>
    </w:p>
    <w:p>
      <w:pPr>
        <w:pStyle w:val="19"/>
        <w:numPr>
          <w:ilvl w:val="0"/>
          <w:numId w:val="4"/>
        </w:numPr>
        <w:tabs>
          <w:tab w:val="left" w:pos="567"/>
        </w:tabs>
        <w:spacing w:before="72" w:beforeLines="30" w:after="72" w:afterLines="30" w:line="360" w:lineRule="auto"/>
        <w:ind w:left="567" w:hanging="567"/>
        <w:jc w:val="left"/>
        <w:rPr>
          <w:sz w:val="24"/>
          <w:szCs w:val="24"/>
        </w:rPr>
      </w:pPr>
      <w:r>
        <w:rPr>
          <w:rFonts w:hint="eastAsia"/>
          <w:sz w:val="24"/>
          <w:szCs w:val="24"/>
        </w:rPr>
        <w:t>运输和保险</w:t>
      </w:r>
    </w:p>
    <w:p>
      <w:pPr>
        <w:pStyle w:val="34"/>
        <w:numPr>
          <w:ilvl w:val="0"/>
          <w:numId w:val="12"/>
        </w:numPr>
        <w:spacing w:before="72" w:beforeLines="30" w:after="72" w:afterLines="30" w:line="360" w:lineRule="auto"/>
        <w:ind w:left="567" w:hanging="567" w:firstLineChars="0"/>
        <w:outlineLvl w:val="0"/>
        <w:rPr>
          <w:sz w:val="24"/>
        </w:rPr>
      </w:pPr>
      <w:r>
        <w:rPr>
          <w:sz w:val="24"/>
        </w:rPr>
        <w:t>运输</w:t>
      </w:r>
      <w:r>
        <w:rPr>
          <w:rFonts w:hint="eastAsia"/>
          <w:sz w:val="24"/>
        </w:rPr>
        <w:t>方式：</w:t>
      </w:r>
      <w:r>
        <w:rPr>
          <w:rFonts w:hint="eastAsia" w:hAnsi="宋体"/>
          <w:color w:val="FF0000"/>
          <w:sz w:val="24"/>
          <w:highlight w:val="none"/>
        </w:rPr>
        <w:t>【</w:t>
      </w:r>
      <w:r>
        <w:rPr>
          <w:rFonts w:hint="eastAsia" w:hAnsi="宋体"/>
          <w:i/>
          <w:color w:val="FF0000"/>
          <w:sz w:val="24"/>
          <w:highlight w:val="none"/>
        </w:rPr>
        <w:t>槽车运输</w:t>
      </w:r>
      <w:r>
        <w:rPr>
          <w:rFonts w:hint="eastAsia" w:hAnsi="宋体"/>
          <w:color w:val="FF0000"/>
          <w:sz w:val="24"/>
          <w:highlight w:val="none"/>
        </w:rPr>
        <w:t>】</w:t>
      </w:r>
      <w:r>
        <w:rPr>
          <w:rFonts w:hint="eastAsia"/>
          <w:color w:val="FF0000"/>
          <w:sz w:val="24"/>
          <w:highlight w:val="none"/>
          <w:lang w:eastAsia="zh-CN"/>
        </w:rPr>
        <w:t>，</w:t>
      </w:r>
      <w:r>
        <w:rPr>
          <w:rFonts w:hint="eastAsia"/>
          <w:color w:val="FF0000"/>
          <w:sz w:val="24"/>
          <w:highlight w:val="none"/>
          <w:lang w:val="en-US" w:eastAsia="zh-CN"/>
        </w:rPr>
        <w:t>车辆达到国五及以上排放标准（含燃气）或使用新能源汽车。</w:t>
      </w:r>
    </w:p>
    <w:p>
      <w:pPr>
        <w:pStyle w:val="34"/>
        <w:numPr>
          <w:ilvl w:val="0"/>
          <w:numId w:val="12"/>
        </w:numPr>
        <w:spacing w:before="72" w:beforeLines="30" w:after="72" w:afterLines="30" w:line="360" w:lineRule="auto"/>
        <w:ind w:left="567" w:hanging="567" w:firstLineChars="0"/>
        <w:outlineLvl w:val="0"/>
        <w:rPr>
          <w:rFonts w:hAnsi="宋体"/>
          <w:sz w:val="24"/>
        </w:rPr>
      </w:pPr>
      <w:r>
        <w:rPr>
          <w:rFonts w:hint="eastAsia"/>
          <w:sz w:val="24"/>
        </w:rPr>
        <w:t>除非本合同另有明确规定，</w:t>
      </w:r>
      <w:r>
        <w:rPr>
          <w:rFonts w:hAnsi="宋体"/>
          <w:sz w:val="24"/>
        </w:rPr>
        <w:t>卖方负责将货物</w:t>
      </w:r>
      <w:r>
        <w:rPr>
          <w:rFonts w:hint="eastAsia" w:hAnsi="宋体"/>
          <w:sz w:val="24"/>
        </w:rPr>
        <w:t>及配套软件、货物资料</w:t>
      </w:r>
      <w:r>
        <w:rPr>
          <w:rFonts w:hAnsi="宋体"/>
          <w:sz w:val="24"/>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lang w:val="en-US" w:eastAsia="zh-CN"/>
        </w:rPr>
        <w:t>3</w:t>
      </w:r>
      <w:r>
        <w:rPr>
          <w:rFonts w:hint="eastAsia" w:hAnsi="宋体"/>
          <w:sz w:val="24"/>
          <w:highlight w:val="none"/>
        </w:rPr>
        <w:t>】</w:t>
      </w:r>
      <w:r>
        <w:rPr>
          <w:rFonts w:hAnsi="宋体"/>
          <w:sz w:val="24"/>
        </w:rPr>
        <w:t>通知买方，并获得买方的书面认可</w:t>
      </w:r>
      <w:r>
        <w:rPr>
          <w:rFonts w:hint="eastAsia" w:hAnsi="宋体"/>
          <w:sz w:val="24"/>
        </w:rPr>
        <w:t>。</w:t>
      </w:r>
    </w:p>
    <w:p>
      <w:pPr>
        <w:pStyle w:val="34"/>
        <w:numPr>
          <w:ilvl w:val="0"/>
          <w:numId w:val="12"/>
        </w:numPr>
        <w:spacing w:before="72" w:beforeLines="30" w:after="72" w:afterLines="30" w:line="360" w:lineRule="auto"/>
        <w:ind w:left="567" w:hanging="567" w:firstLineChars="0"/>
        <w:outlineLvl w:val="0"/>
        <w:rPr>
          <w:rFonts w:hAnsi="宋体"/>
          <w:sz w:val="24"/>
        </w:rPr>
      </w:pPr>
      <w:r>
        <w:rPr>
          <w:rFonts w:hAnsi="宋体"/>
          <w:sz w:val="24"/>
        </w:rPr>
        <w:t>货物在交货地点的卸货由卖方负责，卸货费用由卖方承担，卖方应在买方指定的地点卸货，且遵守买方有关卸货的指示</w:t>
      </w:r>
      <w:r>
        <w:rPr>
          <w:rFonts w:hint="eastAsia" w:hAnsi="宋体"/>
          <w:sz w:val="24"/>
        </w:rPr>
        <w:t>。</w:t>
      </w:r>
    </w:p>
    <w:p>
      <w:pPr>
        <w:pStyle w:val="34"/>
        <w:numPr>
          <w:ilvl w:val="0"/>
          <w:numId w:val="12"/>
        </w:numPr>
        <w:spacing w:before="72" w:beforeLines="30" w:after="72" w:afterLines="30" w:line="360" w:lineRule="auto"/>
        <w:ind w:left="567" w:hanging="567" w:firstLineChars="0"/>
        <w:outlineLvl w:val="0"/>
        <w:rPr>
          <w:rFonts w:hAnsi="宋体"/>
          <w:sz w:val="24"/>
        </w:rPr>
      </w:pPr>
      <w:r>
        <w:rPr>
          <w:rFonts w:hAnsi="宋体"/>
          <w:sz w:val="24"/>
        </w:rPr>
        <w:t>卖方承担与货物</w:t>
      </w:r>
      <w:r>
        <w:rPr>
          <w:rFonts w:hint="eastAsia" w:hAnsi="宋体"/>
          <w:sz w:val="24"/>
        </w:rPr>
        <w:t>和货物资料</w:t>
      </w:r>
      <w:r>
        <w:rPr>
          <w:rFonts w:hAnsi="宋体"/>
          <w:sz w:val="24"/>
        </w:rPr>
        <w:t>运输相关的全部费用，该等费用已包含于合同总价中。</w:t>
      </w:r>
    </w:p>
    <w:p>
      <w:pPr>
        <w:pStyle w:val="34"/>
        <w:numPr>
          <w:ilvl w:val="0"/>
          <w:numId w:val="12"/>
        </w:numPr>
        <w:spacing w:line="360" w:lineRule="auto"/>
        <w:ind w:left="567" w:hanging="567" w:firstLineChars="0"/>
        <w:rPr>
          <w:sz w:val="24"/>
        </w:rPr>
      </w:pPr>
      <w:r>
        <w:rPr>
          <w:rFonts w:hint="eastAsia"/>
          <w:sz w:val="24"/>
        </w:rPr>
        <w:t>运输保险</w:t>
      </w:r>
    </w:p>
    <w:p>
      <w:pPr>
        <w:pStyle w:val="34"/>
        <w:spacing w:line="360" w:lineRule="auto"/>
        <w:ind w:left="567" w:firstLine="0" w:firstLineChars="0"/>
        <w:rPr>
          <w:rFonts w:hAnsi="宋体"/>
          <w:bCs/>
          <w:sz w:val="24"/>
        </w:rPr>
      </w:pPr>
      <w:r>
        <w:rPr>
          <w:rFonts w:hAnsi="宋体"/>
          <w:sz w:val="24"/>
        </w:rPr>
        <w:t>卖方应</w:t>
      </w:r>
      <w:r>
        <w:rPr>
          <w:rFonts w:hAnsi="宋体"/>
          <w:bCs/>
          <w:sz w:val="24"/>
        </w:rPr>
        <w:t>根据运输方式，向</w:t>
      </w:r>
      <w:r>
        <w:rPr>
          <w:rFonts w:hint="eastAsia" w:hAnsi="宋体"/>
          <w:bCs/>
          <w:sz w:val="24"/>
        </w:rPr>
        <w:t>买方认可的、拥有合法资质的著名保险公司投保货物运输一切险或综合险，保险</w:t>
      </w:r>
      <w:r>
        <w:rPr>
          <w:rFonts w:hAnsi="宋体"/>
          <w:bCs/>
          <w:sz w:val="24"/>
        </w:rPr>
        <w:t>金额不低于合同总价，</w:t>
      </w:r>
      <w:r>
        <w:rPr>
          <w:rFonts w:hint="eastAsia" w:hAnsi="宋体"/>
          <w:bCs/>
          <w:sz w:val="24"/>
        </w:rPr>
        <w:t>并将买方列为共同被保险人或受益人。保障</w:t>
      </w:r>
      <w:r>
        <w:rPr>
          <w:rFonts w:hAnsi="宋体"/>
          <w:bCs/>
          <w:sz w:val="24"/>
        </w:rPr>
        <w:t>区段为卖方制造厂存储货物的仓库到项目现场用于存储货物的仓库，</w:t>
      </w:r>
      <w:r>
        <w:rPr>
          <w:rFonts w:hint="eastAsia" w:hAnsi="宋体"/>
          <w:bCs/>
          <w:sz w:val="24"/>
        </w:rPr>
        <w:t>保险期限</w:t>
      </w:r>
      <w:r>
        <w:rPr>
          <w:rFonts w:hAnsi="宋体"/>
          <w:bCs/>
          <w:sz w:val="24"/>
        </w:rPr>
        <w:t>始于装货（含装货）止于</w:t>
      </w:r>
      <w:r>
        <w:rPr>
          <w:rFonts w:hint="eastAsia" w:hAnsi="宋体"/>
          <w:bCs/>
          <w:i w:val="0"/>
          <w:iCs w:val="0"/>
          <w:sz w:val="24"/>
          <w:highlight w:val="none"/>
        </w:rPr>
        <w:t>【</w:t>
      </w:r>
      <w:r>
        <w:rPr>
          <w:rFonts w:hAnsi="宋体"/>
          <w:bCs/>
          <w:i w:val="0"/>
          <w:iCs w:val="0"/>
          <w:sz w:val="24"/>
          <w:highlight w:val="none"/>
        </w:rPr>
        <w:t>卸货后</w:t>
      </w:r>
      <w:r>
        <w:rPr>
          <w:rFonts w:hint="eastAsia" w:hAnsi="宋体"/>
          <w:bCs/>
          <w:i w:val="0"/>
          <w:iCs w:val="0"/>
          <w:sz w:val="24"/>
          <w:highlight w:val="none"/>
        </w:rPr>
        <w:t>十五（15）】</w:t>
      </w:r>
      <w:r>
        <w:rPr>
          <w:rFonts w:hAnsi="宋体"/>
          <w:bCs/>
          <w:sz w:val="24"/>
        </w:rPr>
        <w:t>日。</w:t>
      </w:r>
    </w:p>
    <w:p>
      <w:pPr>
        <w:pStyle w:val="34"/>
        <w:numPr>
          <w:ilvl w:val="0"/>
          <w:numId w:val="12"/>
        </w:numPr>
        <w:spacing w:line="360" w:lineRule="auto"/>
        <w:ind w:firstLineChars="0"/>
        <w:rPr>
          <w:sz w:val="24"/>
          <w:highlight w:val="none"/>
        </w:rPr>
      </w:pPr>
      <w:r>
        <w:rPr>
          <w:rFonts w:hint="eastAsia"/>
        </w:rPr>
        <w:t xml:space="preserve"> </w:t>
      </w:r>
      <w:r>
        <w:rPr>
          <w:rFonts w:hint="eastAsia"/>
          <w:sz w:val="24"/>
        </w:rPr>
        <w:t>关于运输、卸货等内容的特别约定：</w:t>
      </w:r>
      <w:r>
        <w:rPr>
          <w:rFonts w:hint="eastAsia"/>
          <w:sz w:val="24"/>
          <w:highlight w:val="none"/>
        </w:rPr>
        <w:t>【</w:t>
      </w:r>
      <w:r>
        <w:rPr>
          <w:rFonts w:hint="eastAsia"/>
          <w:i/>
          <w:sz w:val="24"/>
          <w:highlight w:val="none"/>
          <w:lang w:val="en-US" w:eastAsia="zh-CN"/>
        </w:rPr>
        <w:t>卖方负责交货地点前所有运输</w:t>
      </w:r>
      <w:r>
        <w:rPr>
          <w:rFonts w:hint="eastAsia"/>
          <w:sz w:val="24"/>
          <w:highlight w:val="none"/>
        </w:rPr>
        <w:t>】</w:t>
      </w:r>
      <w:r>
        <w:rPr>
          <w:rFonts w:hint="eastAsia"/>
          <w:sz w:val="24"/>
          <w:highlight w:val="none"/>
          <w:lang w:eastAsia="zh-CN"/>
        </w:rPr>
        <w:t>。</w:t>
      </w:r>
    </w:p>
    <w:p>
      <w:pPr>
        <w:pStyle w:val="19"/>
        <w:numPr>
          <w:ilvl w:val="0"/>
          <w:numId w:val="4"/>
        </w:numPr>
        <w:tabs>
          <w:tab w:val="left" w:pos="567"/>
        </w:tabs>
        <w:spacing w:before="72" w:beforeLines="30" w:after="72" w:afterLines="30" w:line="360" w:lineRule="auto"/>
        <w:ind w:left="567" w:hanging="567"/>
        <w:jc w:val="left"/>
        <w:rPr>
          <w:sz w:val="24"/>
          <w:szCs w:val="24"/>
        </w:rPr>
      </w:pPr>
      <w:r>
        <w:rPr>
          <w:rFonts w:hint="eastAsia"/>
          <w:sz w:val="24"/>
          <w:szCs w:val="24"/>
        </w:rPr>
        <w:t>验收</w:t>
      </w:r>
      <w:bookmarkEnd w:id="32"/>
    </w:p>
    <w:p>
      <w:pPr>
        <w:numPr>
          <w:ilvl w:val="0"/>
          <w:numId w:val="13"/>
        </w:numPr>
        <w:tabs>
          <w:tab w:val="left" w:pos="567"/>
          <w:tab w:val="left" w:pos="709"/>
          <w:tab w:val="clear" w:pos="1860"/>
        </w:tabs>
        <w:snapToGrid w:val="0"/>
        <w:spacing w:before="72" w:beforeLines="30" w:after="72" w:afterLines="30" w:line="360" w:lineRule="auto"/>
        <w:ind w:left="567" w:hanging="567"/>
        <w:rPr>
          <w:b/>
          <w:sz w:val="24"/>
        </w:rPr>
      </w:pPr>
      <w:r>
        <w:rPr>
          <w:rFonts w:hint="eastAsia"/>
          <w:sz w:val="24"/>
        </w:rPr>
        <w:t>合同货物交付前，卖方应对其进行全面检验，并在交付货物时向买方提交货物的质量合格证书。</w:t>
      </w:r>
    </w:p>
    <w:p>
      <w:pPr>
        <w:numPr>
          <w:ilvl w:val="0"/>
          <w:numId w:val="13"/>
        </w:numPr>
        <w:tabs>
          <w:tab w:val="left" w:pos="567"/>
          <w:tab w:val="left" w:pos="709"/>
          <w:tab w:val="clear" w:pos="1860"/>
        </w:tabs>
        <w:snapToGrid w:val="0"/>
        <w:spacing w:before="72" w:beforeLines="30" w:after="72" w:afterLines="30" w:line="360" w:lineRule="auto"/>
        <w:ind w:left="567" w:hanging="567"/>
        <w:rPr>
          <w:rFonts w:hint="eastAsia"/>
          <w:sz w:val="24"/>
        </w:rPr>
      </w:pPr>
      <w:r>
        <w:rPr>
          <w:rFonts w:hint="eastAsia"/>
          <w:sz w:val="24"/>
          <w:lang w:val="en-US" w:eastAsia="zh-CN"/>
        </w:rPr>
        <w:t xml:space="preserve"> </w:t>
      </w:r>
      <w:r>
        <w:rPr>
          <w:rFonts w:hint="eastAsia"/>
          <w:sz w:val="24"/>
        </w:rPr>
        <w:t>货物运抵交货地点时，双方应共同对货物进行验收。如果货物通过验收，买方向卖方签发验收证明。若卖方所提供的液氨虽未达到本合同约定的质量标准但不影响正常使用的，此部分液氨可以由买卖双方协商折价接收。具体扣款方式如下：</w:t>
      </w:r>
    </w:p>
    <w:p>
      <w:pPr>
        <w:widowControl/>
        <w:numPr>
          <w:ilvl w:val="0"/>
          <w:numId w:val="0"/>
        </w:numPr>
        <w:tabs>
          <w:tab w:val="left" w:pos="720"/>
          <w:tab w:val="left" w:pos="1080"/>
        </w:tabs>
        <w:spacing w:line="360" w:lineRule="auto"/>
        <w:ind w:left="630" w:leftChars="300" w:firstLine="480" w:firstLineChars="200"/>
        <w:jc w:val="left"/>
        <w:rPr>
          <w:rFonts w:hint="default" w:ascii="Calibri" w:hAnsi="Calibri" w:eastAsia="宋体" w:cs="宋体"/>
          <w:kern w:val="0"/>
          <w:sz w:val="24"/>
          <w:highlight w:val="none"/>
          <w:lang w:val="en-US" w:eastAsia="zh-CN"/>
        </w:rPr>
      </w:pPr>
      <w:r>
        <w:rPr>
          <w:rFonts w:hint="default" w:ascii="Calibri" w:hAnsi="Calibri" w:eastAsia="宋体" w:cs="宋体"/>
          <w:kern w:val="0"/>
          <w:sz w:val="24"/>
          <w:highlight w:val="none"/>
          <w:lang w:val="en-US" w:eastAsia="zh-CN"/>
        </w:rPr>
        <w:t>扣款金额=当期单价/99.6*（99.6- X1）*相应吨位* X2（式中X1为</w:t>
      </w:r>
      <w:r>
        <w:rPr>
          <w:rFonts w:hint="eastAsia" w:ascii="Calibri" w:hAnsi="Calibri" w:eastAsia="宋体" w:cs="宋体"/>
          <w:kern w:val="0"/>
          <w:sz w:val="24"/>
          <w:highlight w:val="none"/>
          <w:lang w:val="en-US" w:eastAsia="zh-CN"/>
        </w:rPr>
        <w:t>大峪口</w:t>
      </w:r>
      <w:r>
        <w:rPr>
          <w:rFonts w:hint="default" w:ascii="Calibri" w:hAnsi="Calibri" w:eastAsia="宋体" w:cs="宋体"/>
          <w:kern w:val="0"/>
          <w:sz w:val="24"/>
          <w:highlight w:val="none"/>
          <w:lang w:val="en-US" w:eastAsia="zh-CN"/>
        </w:rPr>
        <w:t>公司检验结果；X2为扣款系数）</w:t>
      </w:r>
    </w:p>
    <w:p>
      <w:pPr>
        <w:widowControl/>
        <w:numPr>
          <w:ilvl w:val="0"/>
          <w:numId w:val="0"/>
        </w:numPr>
        <w:tabs>
          <w:tab w:val="left" w:pos="720"/>
          <w:tab w:val="left" w:pos="1080"/>
        </w:tabs>
        <w:spacing w:line="360" w:lineRule="auto"/>
        <w:ind w:leftChars="0" w:firstLine="1200" w:firstLineChars="500"/>
        <w:jc w:val="left"/>
        <w:rPr>
          <w:rFonts w:hint="default" w:ascii="Calibri" w:hAnsi="Calibri" w:eastAsia="宋体" w:cs="宋体"/>
          <w:kern w:val="0"/>
          <w:sz w:val="24"/>
          <w:highlight w:val="none"/>
          <w:lang w:val="en-US" w:eastAsia="zh-CN"/>
        </w:rPr>
      </w:pPr>
      <w:r>
        <w:rPr>
          <w:rFonts w:hint="default" w:ascii="Calibri" w:hAnsi="Calibri" w:eastAsia="宋体" w:cs="宋体"/>
          <w:kern w:val="0"/>
          <w:sz w:val="24"/>
          <w:highlight w:val="none"/>
          <w:lang w:val="en-US" w:eastAsia="zh-CN"/>
        </w:rPr>
        <w:t>99.0≤X1＜99.6时， X2=2；</w:t>
      </w:r>
    </w:p>
    <w:p>
      <w:pPr>
        <w:widowControl/>
        <w:numPr>
          <w:ilvl w:val="0"/>
          <w:numId w:val="0"/>
        </w:numPr>
        <w:tabs>
          <w:tab w:val="left" w:pos="720"/>
          <w:tab w:val="left" w:pos="1080"/>
        </w:tabs>
        <w:spacing w:line="360" w:lineRule="auto"/>
        <w:ind w:leftChars="0" w:firstLine="1200" w:firstLineChars="500"/>
        <w:jc w:val="left"/>
        <w:rPr>
          <w:rFonts w:hint="default" w:ascii="Calibri" w:hAnsi="Calibri" w:eastAsia="宋体" w:cs="宋体"/>
          <w:kern w:val="0"/>
          <w:sz w:val="24"/>
          <w:highlight w:val="none"/>
          <w:lang w:val="en-US" w:eastAsia="zh-CN"/>
        </w:rPr>
      </w:pPr>
      <w:r>
        <w:rPr>
          <w:rFonts w:hint="default" w:ascii="Calibri" w:hAnsi="Calibri" w:eastAsia="宋体" w:cs="宋体"/>
          <w:kern w:val="0"/>
          <w:sz w:val="24"/>
          <w:highlight w:val="none"/>
          <w:lang w:val="en-US" w:eastAsia="zh-CN"/>
        </w:rPr>
        <w:t>98.0≤X1＜99.0 时，X2=5；</w:t>
      </w:r>
    </w:p>
    <w:p>
      <w:pPr>
        <w:widowControl/>
        <w:numPr>
          <w:ilvl w:val="0"/>
          <w:numId w:val="0"/>
        </w:numPr>
        <w:tabs>
          <w:tab w:val="left" w:pos="720"/>
          <w:tab w:val="left" w:pos="1080"/>
        </w:tabs>
        <w:spacing w:line="360" w:lineRule="auto"/>
        <w:ind w:leftChars="0" w:firstLine="1200" w:firstLineChars="500"/>
        <w:jc w:val="left"/>
        <w:rPr>
          <w:rFonts w:hint="default" w:ascii="Calibri" w:hAnsi="Calibri" w:eastAsia="宋体" w:cs="宋体"/>
          <w:kern w:val="0"/>
          <w:sz w:val="24"/>
          <w:highlight w:val="none"/>
          <w:lang w:val="en-US" w:eastAsia="zh-CN"/>
        </w:rPr>
      </w:pPr>
      <w:r>
        <w:rPr>
          <w:rFonts w:hint="default" w:ascii="Calibri" w:hAnsi="Calibri" w:eastAsia="宋体" w:cs="宋体"/>
          <w:kern w:val="0"/>
          <w:sz w:val="24"/>
          <w:highlight w:val="none"/>
          <w:lang w:val="en-US" w:eastAsia="zh-CN"/>
        </w:rPr>
        <w:t xml:space="preserve">X1＜98.0 时，X2=10 </w:t>
      </w:r>
    </w:p>
    <w:p>
      <w:pPr>
        <w:widowControl/>
        <w:numPr>
          <w:ilvl w:val="0"/>
          <w:numId w:val="0"/>
        </w:numPr>
        <w:tabs>
          <w:tab w:val="left" w:pos="720"/>
          <w:tab w:val="left" w:pos="1080"/>
        </w:tabs>
        <w:spacing w:line="360" w:lineRule="auto"/>
        <w:ind w:leftChars="0" w:firstLine="720" w:firstLineChars="300"/>
        <w:jc w:val="left"/>
        <w:rPr>
          <w:rFonts w:hint="eastAsia" w:ascii="Calibri" w:hAnsi="Calibri" w:cs="宋体"/>
          <w:kern w:val="0"/>
          <w:sz w:val="24"/>
          <w:highlight w:val="none"/>
        </w:rPr>
      </w:pPr>
      <w:r>
        <w:rPr>
          <w:rFonts w:hint="default" w:ascii="Calibri" w:hAnsi="Calibri" w:eastAsia="宋体" w:cs="宋体"/>
          <w:kern w:val="0"/>
          <w:sz w:val="24"/>
          <w:highlight w:val="none"/>
          <w:lang w:val="en-US" w:eastAsia="zh-CN"/>
        </w:rPr>
        <w:t>备注：扣款金额最多不超出该车货值金额。</w:t>
      </w:r>
    </w:p>
    <w:p>
      <w:pPr>
        <w:numPr>
          <w:ilvl w:val="0"/>
          <w:numId w:val="13"/>
        </w:numPr>
        <w:tabs>
          <w:tab w:val="left" w:pos="567"/>
          <w:tab w:val="left" w:pos="709"/>
          <w:tab w:val="clear" w:pos="1860"/>
        </w:tabs>
        <w:snapToGrid w:val="0"/>
        <w:spacing w:before="72" w:beforeLines="30" w:after="72" w:afterLines="30" w:line="360" w:lineRule="auto"/>
        <w:ind w:left="567" w:hanging="567"/>
        <w:rPr>
          <w:sz w:val="24"/>
        </w:rPr>
      </w:pPr>
      <w:r>
        <w:rPr>
          <w:rFonts w:hint="eastAsia" w:hAnsi="宋体"/>
          <w:sz w:val="24"/>
        </w:rPr>
        <w:t>买方验收货物不减少、免除卖方在本合同项下的任何义务（包括卖方对货物应符合本合同质量、规格要求应承担的责任）。</w:t>
      </w:r>
    </w:p>
    <w:p>
      <w:pPr>
        <w:pStyle w:val="19"/>
        <w:numPr>
          <w:ilvl w:val="0"/>
          <w:numId w:val="4"/>
        </w:numPr>
        <w:tabs>
          <w:tab w:val="left" w:pos="567"/>
        </w:tabs>
        <w:spacing w:before="72" w:beforeLines="30" w:after="72" w:afterLines="30" w:line="360" w:lineRule="auto"/>
        <w:ind w:left="567" w:hanging="567"/>
        <w:jc w:val="left"/>
        <w:rPr>
          <w:rFonts w:ascii="Times New Roman" w:hAnsi="Times New Roman"/>
          <w:sz w:val="24"/>
          <w:szCs w:val="24"/>
        </w:rPr>
      </w:pPr>
      <w:bookmarkStart w:id="33" w:name="_Toc273388514"/>
      <w:bookmarkStart w:id="34" w:name="_Toc274403515"/>
      <w:bookmarkStart w:id="35" w:name="_Toc274344115"/>
      <w:bookmarkStart w:id="36" w:name="_Toc274669181"/>
      <w:bookmarkStart w:id="37" w:name="_Toc274075980"/>
      <w:bookmarkStart w:id="38" w:name="_Toc273388613"/>
      <w:bookmarkStart w:id="39" w:name="_Toc306354316"/>
      <w:bookmarkStart w:id="40" w:name="_Toc273451799"/>
      <w:bookmarkStart w:id="41" w:name="_Toc278875415"/>
      <w:bookmarkStart w:id="42" w:name="_Toc273458613"/>
      <w:bookmarkStart w:id="43" w:name="_Toc298158366"/>
      <w:bookmarkStart w:id="44" w:name="_Toc274754050"/>
      <w:bookmarkStart w:id="45" w:name="_Toc274343583"/>
      <w:bookmarkStart w:id="46" w:name="_Toc274668240"/>
      <w:r>
        <w:rPr>
          <w:rFonts w:ascii="Times New Roman" w:hAnsi="Times New Roman"/>
          <w:sz w:val="24"/>
          <w:szCs w:val="24"/>
        </w:rPr>
        <w:t>风险和</w:t>
      </w:r>
      <w:r>
        <w:rPr>
          <w:rFonts w:hint="eastAsia" w:ascii="Times New Roman" w:hAnsi="Times New Roman"/>
          <w:sz w:val="24"/>
          <w:szCs w:val="24"/>
        </w:rPr>
        <w:t>所有</w:t>
      </w:r>
      <w:r>
        <w:rPr>
          <w:rFonts w:ascii="Times New Roman" w:hAnsi="Times New Roman"/>
          <w:sz w:val="24"/>
          <w:szCs w:val="24"/>
        </w:rPr>
        <w:t>权的转移</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numPr>
          <w:ilvl w:val="0"/>
          <w:numId w:val="14"/>
        </w:numPr>
        <w:tabs>
          <w:tab w:val="left" w:pos="567"/>
          <w:tab w:val="left" w:pos="709"/>
          <w:tab w:val="left" w:pos="3060"/>
        </w:tabs>
        <w:spacing w:before="72" w:beforeLines="30" w:after="72" w:afterLines="30" w:line="360" w:lineRule="auto"/>
        <w:ind w:left="567" w:hanging="567"/>
        <w:rPr>
          <w:sz w:val="24"/>
        </w:rPr>
      </w:pPr>
      <w:r>
        <w:rPr>
          <w:sz w:val="24"/>
        </w:rPr>
        <w:t>除非本合同另有明确规定，</w:t>
      </w:r>
      <w:r>
        <w:rPr>
          <w:rFonts w:hint="eastAsia"/>
          <w:sz w:val="24"/>
        </w:rPr>
        <w:t>卖方</w:t>
      </w:r>
      <w:r>
        <w:rPr>
          <w:sz w:val="24"/>
        </w:rPr>
        <w:t>在指定交货地点</w:t>
      </w:r>
      <w:r>
        <w:rPr>
          <w:rFonts w:hint="eastAsia"/>
          <w:sz w:val="24"/>
        </w:rPr>
        <w:t>将货物交付给买方且买方签收货物之</w:t>
      </w:r>
      <w:r>
        <w:rPr>
          <w:sz w:val="24"/>
        </w:rPr>
        <w:t>前</w:t>
      </w:r>
      <w:r>
        <w:rPr>
          <w:rFonts w:hint="eastAsia"/>
          <w:sz w:val="24"/>
        </w:rPr>
        <w:t>，货物的一切</w:t>
      </w:r>
      <w:r>
        <w:rPr>
          <w:sz w:val="24"/>
        </w:rPr>
        <w:t>风险</w:t>
      </w:r>
      <w:r>
        <w:rPr>
          <w:rFonts w:hint="eastAsia"/>
          <w:sz w:val="24"/>
        </w:rPr>
        <w:t>（</w:t>
      </w:r>
      <w:r>
        <w:rPr>
          <w:sz w:val="24"/>
        </w:rPr>
        <w:t>包括</w:t>
      </w:r>
      <w:r>
        <w:rPr>
          <w:rFonts w:hint="eastAsia"/>
          <w:sz w:val="24"/>
        </w:rPr>
        <w:t>货物</w:t>
      </w:r>
      <w:r>
        <w:rPr>
          <w:sz w:val="24"/>
        </w:rPr>
        <w:t>在制造、储存和</w:t>
      </w:r>
      <w:r>
        <w:rPr>
          <w:rFonts w:hint="eastAsia"/>
          <w:sz w:val="24"/>
        </w:rPr>
        <w:t>自</w:t>
      </w:r>
      <w:r>
        <w:rPr>
          <w:sz w:val="24"/>
        </w:rPr>
        <w:t>发货地点至指定</w:t>
      </w:r>
      <w:r>
        <w:rPr>
          <w:rFonts w:hint="eastAsia"/>
          <w:sz w:val="24"/>
        </w:rPr>
        <w:t>交</w:t>
      </w:r>
      <w:r>
        <w:rPr>
          <w:sz w:val="24"/>
        </w:rPr>
        <w:t>货地点运输</w:t>
      </w:r>
      <w:r>
        <w:rPr>
          <w:rFonts w:hint="eastAsia"/>
          <w:sz w:val="24"/>
        </w:rPr>
        <w:t>及装卸货</w:t>
      </w:r>
      <w:r>
        <w:rPr>
          <w:sz w:val="24"/>
        </w:rPr>
        <w:t>过程中</w:t>
      </w:r>
      <w:r>
        <w:rPr>
          <w:rFonts w:hint="eastAsia"/>
          <w:sz w:val="24"/>
        </w:rPr>
        <w:t>毁损、灭失的</w:t>
      </w:r>
      <w:r>
        <w:rPr>
          <w:sz w:val="24"/>
        </w:rPr>
        <w:t>风险</w:t>
      </w:r>
      <w:r>
        <w:rPr>
          <w:rFonts w:hint="eastAsia"/>
          <w:sz w:val="24"/>
        </w:rPr>
        <w:t>）由卖方承担。卖方在指定交货地点将货物交付给买方且买方签收货物之后，货物</w:t>
      </w:r>
      <w:r>
        <w:rPr>
          <w:sz w:val="24"/>
        </w:rPr>
        <w:t>的</w:t>
      </w:r>
      <w:r>
        <w:rPr>
          <w:rFonts w:hint="eastAsia"/>
          <w:sz w:val="24"/>
        </w:rPr>
        <w:t>一切</w:t>
      </w:r>
      <w:r>
        <w:rPr>
          <w:sz w:val="24"/>
        </w:rPr>
        <w:t>风险</w:t>
      </w:r>
      <w:r>
        <w:rPr>
          <w:rFonts w:hint="eastAsia"/>
          <w:sz w:val="24"/>
        </w:rPr>
        <w:t>由买</w:t>
      </w:r>
      <w:r>
        <w:rPr>
          <w:sz w:val="24"/>
        </w:rPr>
        <w:t>方</w:t>
      </w:r>
      <w:r>
        <w:rPr>
          <w:rFonts w:hint="eastAsia"/>
          <w:sz w:val="24"/>
        </w:rPr>
        <w:t>承担</w:t>
      </w:r>
      <w:r>
        <w:rPr>
          <w:sz w:val="24"/>
        </w:rPr>
        <w:t>。</w:t>
      </w:r>
    </w:p>
    <w:p>
      <w:pPr>
        <w:numPr>
          <w:ilvl w:val="0"/>
          <w:numId w:val="14"/>
        </w:numPr>
        <w:tabs>
          <w:tab w:val="left" w:pos="567"/>
          <w:tab w:val="left" w:pos="709"/>
          <w:tab w:val="left" w:pos="3060"/>
        </w:tabs>
        <w:spacing w:before="72" w:beforeLines="30" w:after="72" w:afterLines="30" w:line="360" w:lineRule="auto"/>
        <w:ind w:left="567" w:hanging="567"/>
        <w:rPr>
          <w:sz w:val="24"/>
        </w:rPr>
      </w:pPr>
      <w:r>
        <w:rPr>
          <w:rFonts w:hint="eastAsia"/>
          <w:sz w:val="24"/>
        </w:rPr>
        <w:t>未经买方同意，卖方将货物留置或自行处置，不得视为货物合法、有效地交付买方。未经合法、有效交付，货物的风险仍由卖方承担。</w:t>
      </w:r>
    </w:p>
    <w:p>
      <w:pPr>
        <w:numPr>
          <w:ilvl w:val="0"/>
          <w:numId w:val="14"/>
        </w:numPr>
        <w:tabs>
          <w:tab w:val="left" w:pos="567"/>
          <w:tab w:val="left" w:pos="709"/>
          <w:tab w:val="left" w:pos="3060"/>
        </w:tabs>
        <w:spacing w:before="72" w:beforeLines="30" w:after="72" w:afterLines="30" w:line="360" w:lineRule="auto"/>
        <w:ind w:left="567" w:hanging="567"/>
        <w:rPr>
          <w:sz w:val="24"/>
        </w:rPr>
      </w:pPr>
      <w:r>
        <w:rPr>
          <w:rFonts w:hint="eastAsia"/>
          <w:sz w:val="24"/>
        </w:rPr>
        <w:t>虽然有前述规定，但是，如果货物的风险系因卖方违反合同规定、卖方的过错或者其它可归咎于卖方的原因造成的，货物的风险由卖方承担。</w:t>
      </w:r>
    </w:p>
    <w:p>
      <w:pPr>
        <w:numPr>
          <w:ilvl w:val="0"/>
          <w:numId w:val="14"/>
        </w:numPr>
        <w:tabs>
          <w:tab w:val="left" w:pos="567"/>
          <w:tab w:val="left" w:pos="709"/>
          <w:tab w:val="left" w:pos="3060"/>
        </w:tabs>
        <w:spacing w:before="72" w:beforeLines="30" w:after="72" w:afterLines="30" w:line="360" w:lineRule="auto"/>
        <w:ind w:left="567" w:hanging="567"/>
        <w:rPr>
          <w:sz w:val="24"/>
        </w:rPr>
      </w:pPr>
      <w:r>
        <w:rPr>
          <w:sz w:val="24"/>
        </w:rPr>
        <w:t>卖方在</w:t>
      </w:r>
      <w:r>
        <w:rPr>
          <w:rFonts w:hint="eastAsia"/>
          <w:sz w:val="24"/>
        </w:rPr>
        <w:t>约定</w:t>
      </w:r>
      <w:r>
        <w:rPr>
          <w:sz w:val="24"/>
        </w:rPr>
        <w:t>交货地点交货后，</w:t>
      </w:r>
      <w:r>
        <w:rPr>
          <w:rFonts w:hint="eastAsia"/>
          <w:sz w:val="24"/>
        </w:rPr>
        <w:t>货物</w:t>
      </w:r>
      <w:r>
        <w:rPr>
          <w:sz w:val="24"/>
        </w:rPr>
        <w:t>的</w:t>
      </w:r>
      <w:r>
        <w:rPr>
          <w:rFonts w:hint="eastAsia"/>
          <w:sz w:val="24"/>
        </w:rPr>
        <w:t>所有</w:t>
      </w:r>
      <w:r>
        <w:rPr>
          <w:sz w:val="24"/>
        </w:rPr>
        <w:t>权转移</w:t>
      </w:r>
      <w:r>
        <w:rPr>
          <w:rFonts w:hint="eastAsia"/>
          <w:sz w:val="24"/>
        </w:rPr>
        <w:t>至</w:t>
      </w:r>
      <w:r>
        <w:rPr>
          <w:sz w:val="24"/>
        </w:rPr>
        <w:t>买方。</w:t>
      </w:r>
    </w:p>
    <w:p>
      <w:pPr>
        <w:pStyle w:val="19"/>
        <w:numPr>
          <w:ilvl w:val="0"/>
          <w:numId w:val="4"/>
        </w:numPr>
        <w:tabs>
          <w:tab w:val="left" w:pos="993"/>
        </w:tabs>
        <w:spacing w:before="72" w:beforeLines="30" w:after="72" w:afterLines="30" w:line="360" w:lineRule="auto"/>
        <w:ind w:left="567" w:hanging="567"/>
        <w:jc w:val="left"/>
        <w:rPr>
          <w:sz w:val="24"/>
          <w:szCs w:val="24"/>
        </w:rPr>
      </w:pPr>
      <w:bookmarkStart w:id="47" w:name="_Toc306354317"/>
      <w:r>
        <w:rPr>
          <w:rFonts w:hint="eastAsia"/>
          <w:sz w:val="24"/>
          <w:szCs w:val="24"/>
        </w:rPr>
        <w:t>权利保证</w:t>
      </w:r>
      <w:bookmarkEnd w:id="47"/>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9.1  </w:t>
      </w:r>
      <w:r>
        <w:rPr>
          <w:sz w:val="24"/>
        </w:rPr>
        <w:t>卖方保证，</w:t>
      </w:r>
      <w:r>
        <w:rPr>
          <w:rFonts w:hint="eastAsia"/>
          <w:sz w:val="24"/>
        </w:rPr>
        <w:t>货物未</w:t>
      </w:r>
      <w:r>
        <w:rPr>
          <w:sz w:val="24"/>
        </w:rPr>
        <w:t>侵犯任何第三方的专利权、商标权</w:t>
      </w:r>
      <w:r>
        <w:rPr>
          <w:rFonts w:hint="eastAsia"/>
          <w:sz w:val="24"/>
        </w:rPr>
        <w:t>或其它知识产</w:t>
      </w:r>
      <w:r>
        <w:rPr>
          <w:sz w:val="24"/>
        </w:rPr>
        <w:t>权</w:t>
      </w:r>
      <w:r>
        <w:rPr>
          <w:rFonts w:hint="eastAsia"/>
          <w:sz w:val="24"/>
        </w:rPr>
        <w:t>，货物</w:t>
      </w:r>
      <w:r>
        <w:rPr>
          <w:sz w:val="24"/>
        </w:rPr>
        <w:t>包含的全部专利、商标</w:t>
      </w:r>
      <w:r>
        <w:rPr>
          <w:rFonts w:hint="eastAsia"/>
          <w:sz w:val="24"/>
        </w:rPr>
        <w:t>及其它知识产权</w:t>
      </w:r>
      <w:r>
        <w:rPr>
          <w:sz w:val="24"/>
        </w:rPr>
        <w:t>均为卖方</w:t>
      </w:r>
      <w:r>
        <w:rPr>
          <w:rFonts w:hint="eastAsia"/>
          <w:sz w:val="24"/>
        </w:rPr>
        <w:t>合法</w:t>
      </w:r>
      <w:r>
        <w:rPr>
          <w:sz w:val="24"/>
        </w:rPr>
        <w:t>拥有或已获得</w:t>
      </w:r>
      <w:r>
        <w:rPr>
          <w:rFonts w:hint="eastAsia"/>
          <w:sz w:val="24"/>
        </w:rPr>
        <w:t>第三方</w:t>
      </w:r>
      <w:r>
        <w:rPr>
          <w:sz w:val="24"/>
        </w:rPr>
        <w:t>的</w:t>
      </w:r>
      <w:r>
        <w:rPr>
          <w:rFonts w:hint="eastAsia"/>
          <w:sz w:val="24"/>
        </w:rPr>
        <w:t>有效</w:t>
      </w:r>
      <w:r>
        <w:rPr>
          <w:sz w:val="24"/>
        </w:rPr>
        <w:t>授权。</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9.2  </w:t>
      </w:r>
      <w:r>
        <w:rPr>
          <w:sz w:val="24"/>
        </w:rPr>
        <w:t>卖方保证，</w:t>
      </w:r>
      <w:r>
        <w:rPr>
          <w:rFonts w:hint="eastAsia"/>
          <w:sz w:val="24"/>
        </w:rPr>
        <w:t>货物交付前，</w:t>
      </w:r>
      <w:r>
        <w:rPr>
          <w:sz w:val="24"/>
        </w:rPr>
        <w:t>卖方</w:t>
      </w:r>
      <w:r>
        <w:rPr>
          <w:rFonts w:hint="eastAsia"/>
          <w:sz w:val="24"/>
        </w:rPr>
        <w:t>对其货物享有完整的所有权，且货物上不存在任何形式的担保物权及其它任何权利负担，亦未</w:t>
      </w:r>
      <w:r>
        <w:rPr>
          <w:sz w:val="24"/>
        </w:rPr>
        <w:t>侵犯任何第三方的</w:t>
      </w:r>
      <w:r>
        <w:rPr>
          <w:rFonts w:hint="eastAsia"/>
          <w:sz w:val="24"/>
        </w:rPr>
        <w:t>权利。</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9.3  </w:t>
      </w:r>
      <w:r>
        <w:rPr>
          <w:rFonts w:hint="eastAsia"/>
          <w:sz w:val="24"/>
        </w:rPr>
        <w:t>如货物侵犯任何第三方的权利（包括</w:t>
      </w:r>
      <w:r>
        <w:rPr>
          <w:sz w:val="24"/>
        </w:rPr>
        <w:t>知识产权</w:t>
      </w:r>
      <w:r>
        <w:rPr>
          <w:rFonts w:hint="eastAsia"/>
          <w:sz w:val="24"/>
        </w:rPr>
        <w:t>）</w:t>
      </w:r>
      <w:r>
        <w:rPr>
          <w:sz w:val="24"/>
        </w:rPr>
        <w:t>，卖方应根据买方</w:t>
      </w:r>
      <w:r>
        <w:rPr>
          <w:rFonts w:hint="eastAsia"/>
          <w:sz w:val="24"/>
        </w:rPr>
        <w:t>的</w:t>
      </w:r>
      <w:r>
        <w:rPr>
          <w:sz w:val="24"/>
        </w:rPr>
        <w:t>要求</w:t>
      </w:r>
      <w:r>
        <w:rPr>
          <w:rFonts w:hint="eastAsia"/>
          <w:sz w:val="24"/>
        </w:rPr>
        <w:t>自行承担费用</w:t>
      </w:r>
      <w:r>
        <w:rPr>
          <w:sz w:val="24"/>
        </w:rPr>
        <w:t>采取一切措施确保买方继续获得</w:t>
      </w:r>
      <w:r>
        <w:rPr>
          <w:rFonts w:hint="eastAsia"/>
          <w:sz w:val="24"/>
        </w:rPr>
        <w:t>货物</w:t>
      </w:r>
      <w:r>
        <w:rPr>
          <w:sz w:val="24"/>
        </w:rPr>
        <w:t>的权利，包括为买方</w:t>
      </w:r>
      <w:r>
        <w:rPr>
          <w:rFonts w:hint="eastAsia"/>
          <w:sz w:val="24"/>
        </w:rPr>
        <w:t>的利益</w:t>
      </w:r>
      <w:r>
        <w:rPr>
          <w:sz w:val="24"/>
        </w:rPr>
        <w:t>购买</w:t>
      </w:r>
      <w:r>
        <w:rPr>
          <w:rFonts w:hint="eastAsia"/>
          <w:sz w:val="24"/>
        </w:rPr>
        <w:t>货物的全部权益（包括但不限于知识产权），或采用</w:t>
      </w:r>
      <w:r>
        <w:rPr>
          <w:sz w:val="24"/>
        </w:rPr>
        <w:t>不侵权的材料、零部件、设计、技术、工艺、方法对</w:t>
      </w:r>
      <w:r>
        <w:rPr>
          <w:rFonts w:hint="eastAsia"/>
          <w:sz w:val="24"/>
        </w:rPr>
        <w:t>货物</w:t>
      </w:r>
      <w:r>
        <w:rPr>
          <w:sz w:val="24"/>
        </w:rPr>
        <w:t>进行变更，变更后</w:t>
      </w:r>
      <w:r>
        <w:rPr>
          <w:rFonts w:hint="eastAsia"/>
          <w:sz w:val="24"/>
        </w:rPr>
        <w:t>货物</w:t>
      </w:r>
      <w:r>
        <w:rPr>
          <w:sz w:val="24"/>
        </w:rPr>
        <w:t>的功能、品质和水平应符合本合同的</w:t>
      </w:r>
      <w:r>
        <w:rPr>
          <w:rFonts w:hint="eastAsia"/>
          <w:sz w:val="24"/>
        </w:rPr>
        <w:t>规定，且</w:t>
      </w:r>
      <w:r>
        <w:rPr>
          <w:sz w:val="24"/>
        </w:rPr>
        <w:t>不低于变更前的</w:t>
      </w:r>
      <w:r>
        <w:rPr>
          <w:rFonts w:hint="eastAsia"/>
          <w:sz w:val="24"/>
        </w:rPr>
        <w:t>货物</w:t>
      </w:r>
      <w:r>
        <w:rPr>
          <w:sz w:val="24"/>
        </w:rPr>
        <w:t>。</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9.4  </w:t>
      </w:r>
      <w:r>
        <w:rPr>
          <w:rFonts w:hint="eastAsia"/>
          <w:sz w:val="24"/>
        </w:rPr>
        <w:t>双方同意，除非本合同另有约定，货物交付且买方按照本合同约定支付合同价款之后，买方</w:t>
      </w:r>
      <w:r>
        <w:rPr>
          <w:rFonts w:hint="eastAsia"/>
          <w:color w:val="000000"/>
          <w:sz w:val="24"/>
        </w:rPr>
        <w:t>不自动获得并拥有货物自身附有的相关知识产权，但</w:t>
      </w:r>
      <w:r>
        <w:rPr>
          <w:rFonts w:hint="eastAsia"/>
          <w:sz w:val="24"/>
        </w:rPr>
        <w:t>卖方同意无偿许可买方使用与货物有关的所有知识产权。</w:t>
      </w:r>
    </w:p>
    <w:p>
      <w:pPr>
        <w:pStyle w:val="19"/>
        <w:numPr>
          <w:ilvl w:val="0"/>
          <w:numId w:val="4"/>
        </w:numPr>
        <w:tabs>
          <w:tab w:val="left" w:pos="993"/>
        </w:tabs>
        <w:spacing w:before="72" w:beforeLines="30" w:after="72" w:afterLines="30" w:line="360" w:lineRule="auto"/>
        <w:ind w:left="567" w:hanging="567"/>
        <w:jc w:val="left"/>
        <w:rPr>
          <w:sz w:val="24"/>
          <w:szCs w:val="24"/>
        </w:rPr>
      </w:pPr>
      <w:bookmarkStart w:id="48" w:name="_Toc306354318"/>
      <w:r>
        <w:rPr>
          <w:rFonts w:hint="eastAsia"/>
          <w:sz w:val="24"/>
          <w:szCs w:val="24"/>
        </w:rPr>
        <w:t xml:space="preserve"> </w:t>
      </w:r>
      <w:r>
        <w:rPr>
          <w:sz w:val="24"/>
          <w:szCs w:val="24"/>
        </w:rPr>
        <w:t>质量保证</w:t>
      </w:r>
      <w:bookmarkEnd w:id="48"/>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10.1  卖方特此保证提供的货物是崭新、从未使用过的，采用先进技术制造，具备优良的制造工艺和水平，符合本合同规定的要求，不存在任何缺陷。</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10.2  货物的质保期为货物到货验收合格后【1】个月。</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10.3  质保期内，如发现货物违反本合同项下的任何保证，买方有权选择且卖方应采取下列补救措施：</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（1）卖方对货物进行修复使货物符合本合同项下的保证和本合同的约定。卖方承担由此产生的费用。</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（2）卖方对货物进行更换使货物符合本合同项下的保证和本合同的约定。卖方承担由此产生的费用。</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（3）退货。卖方承担由此产生的费用。</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10.4  对于任何修复或更换，卖方应在收到买方发出的货物缺陷通知后【3】日内完成。若卖方到通知后未在规定的时间内及时维修、重作、更换以弥补缺陷，卖方可采取必要的补救措施，但其风险和费用将由买方承担，买方根据合同规定对买方行使的其他权利不受影响。如经修复、更换仍无法消除该等缺陷，买方有权要求退货。卖方应赔偿买方因货物存在前述缺陷遭受的全部损失。</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10.5  如在质保期内发生维修、重作、更换以弥补缺陷事件，则相应的质保期应重新计算。</w:t>
      </w:r>
    </w:p>
    <w:p>
      <w:pPr>
        <w:widowControl/>
        <w:numPr>
          <w:ilvl w:val="0"/>
          <w:numId w:val="0"/>
        </w:numPr>
        <w:tabs>
          <w:tab w:val="left" w:pos="567"/>
          <w:tab w:val="left" w:pos="709"/>
        </w:tabs>
        <w:spacing w:before="72" w:beforeLines="30" w:after="72" w:afterLines="30" w:line="360" w:lineRule="auto"/>
        <w:ind w:leftChars="0"/>
        <w:rPr>
          <w:rFonts w:hint="eastAsia"/>
          <w:sz w:val="24"/>
          <w:lang w:val="en-US" w:eastAsia="zh-CN"/>
        </w:rPr>
      </w:pPr>
      <w:r>
        <w:rPr>
          <w:rFonts w:hint="eastAsia"/>
          <w:sz w:val="24"/>
          <w:lang w:val="en-US" w:eastAsia="zh-CN"/>
        </w:rPr>
        <w:t>10.6  质保期结束，买方向卖方签发货物最终接收证书。买方签发最终接收证书不减少、免除卖方在本合同项下的任何义务（包括卖方对货物应符合本合同质量、规格要求应承担的责任）。</w:t>
      </w:r>
    </w:p>
    <w:p>
      <w:pPr>
        <w:pStyle w:val="19"/>
        <w:numPr>
          <w:ilvl w:val="0"/>
          <w:numId w:val="4"/>
        </w:numPr>
        <w:tabs>
          <w:tab w:val="left" w:pos="993"/>
        </w:tabs>
        <w:spacing w:before="72" w:beforeLines="30" w:after="72" w:afterLines="30" w:line="360" w:lineRule="auto"/>
        <w:ind w:left="567" w:hanging="567"/>
        <w:jc w:val="left"/>
        <w:rPr>
          <w:rFonts w:ascii="Times New Roman" w:hAnsi="Times New Roman"/>
          <w:sz w:val="24"/>
          <w:szCs w:val="24"/>
        </w:rPr>
      </w:pPr>
      <w:bookmarkStart w:id="49" w:name="_Toc274076152"/>
      <w:bookmarkStart w:id="50" w:name="_Toc278875417"/>
      <w:bookmarkStart w:id="51" w:name="_Toc274754051"/>
      <w:bookmarkStart w:id="52" w:name="_Toc274343584"/>
      <w:bookmarkStart w:id="53" w:name="_Toc273451906"/>
      <w:bookmarkStart w:id="54" w:name="_Toc274344116"/>
      <w:bookmarkStart w:id="55" w:name="_Toc298158368"/>
      <w:bookmarkStart w:id="56" w:name="_Toc274669182"/>
      <w:bookmarkStart w:id="57" w:name="_Toc274668241"/>
      <w:bookmarkStart w:id="58" w:name="_Toc274403516"/>
      <w:bookmarkStart w:id="59" w:name="_Toc274075964"/>
      <w:bookmarkStart w:id="60" w:name="_Toc306354320"/>
      <w:bookmarkStart w:id="61" w:name="_Toc273451839"/>
      <w:bookmarkStart w:id="62" w:name="_Toc273388519"/>
      <w:bookmarkStart w:id="63" w:name="_Toc273458618"/>
      <w:bookmarkStart w:id="64" w:name="_Toc273451804"/>
      <w:bookmarkStart w:id="65" w:name="_Toc274075986"/>
      <w:bookmarkStart w:id="66" w:name="_Toc273388618"/>
      <w:r>
        <w:rPr>
          <w:rFonts w:hint="eastAsia" w:ascii="Times New Roman" w:hAnsi="Times New Roman"/>
          <w:sz w:val="24"/>
          <w:szCs w:val="24"/>
        </w:rPr>
        <w:t xml:space="preserve"> </w:t>
      </w:r>
      <w:r>
        <w:rPr>
          <w:rFonts w:ascii="Times New Roman" w:hAnsi="Times New Roman"/>
          <w:sz w:val="24"/>
          <w:szCs w:val="24"/>
        </w:rPr>
        <w:t>违约责任</w:t>
      </w:r>
      <w:bookmarkEnd w:id="49"/>
      <w:bookmarkEnd w:id="50"/>
      <w:bookmarkEnd w:id="51"/>
      <w:bookmarkEnd w:id="52"/>
      <w:bookmarkEnd w:id="53"/>
      <w:bookmarkEnd w:id="54"/>
      <w:bookmarkEnd w:id="55"/>
      <w:bookmarkEnd w:id="56"/>
      <w:bookmarkEnd w:id="57"/>
      <w:bookmarkEnd w:id="58"/>
      <w:bookmarkEnd w:id="59"/>
      <w:bookmarkEnd w:id="60"/>
      <w:bookmarkEnd w:id="61"/>
    </w:p>
    <w:p>
      <w:pPr>
        <w:numPr>
          <w:ilvl w:val="0"/>
          <w:numId w:val="0"/>
        </w:numPr>
        <w:tabs>
          <w:tab w:val="left" w:pos="567"/>
          <w:tab w:val="left" w:pos="709"/>
          <w:tab w:val="left" w:pos="3060"/>
        </w:tabs>
        <w:spacing w:before="72" w:beforeLines="30" w:after="72" w:afterLines="30" w:line="360" w:lineRule="auto"/>
        <w:ind w:leftChars="0"/>
        <w:rPr>
          <w:sz w:val="24"/>
        </w:rPr>
      </w:pPr>
      <w:r>
        <w:rPr>
          <w:rFonts w:hint="eastAsia"/>
          <w:sz w:val="24"/>
          <w:lang w:val="en-US" w:eastAsia="zh-CN"/>
        </w:rPr>
        <w:t xml:space="preserve">11.1  </w:t>
      </w:r>
      <w:r>
        <w:rPr>
          <w:rFonts w:hint="eastAsia"/>
          <w:sz w:val="24"/>
        </w:rPr>
        <w:t>卖方发生下列任一违约行为时，应向买方支付合同总价</w:t>
      </w:r>
      <w:bookmarkStart w:id="67" w:name="OLE_LINK65"/>
      <w:bookmarkStart w:id="68" w:name="OLE_LINK64"/>
      <w:r>
        <w:rPr>
          <w:rFonts w:hint="eastAsia"/>
          <w:color w:val="auto"/>
          <w:sz w:val="24"/>
          <w:highlight w:val="none"/>
        </w:rPr>
        <w:t>【</w:t>
      </w:r>
      <w:r>
        <w:rPr>
          <w:rFonts w:hint="eastAsia"/>
          <w:i/>
          <w:color w:val="auto"/>
          <w:sz w:val="24"/>
          <w:highlight w:val="none"/>
          <w:lang w:val="en-US" w:eastAsia="zh-CN"/>
        </w:rPr>
        <w:t>10%</w:t>
      </w:r>
      <w:r>
        <w:rPr>
          <w:rFonts w:hint="eastAsia"/>
          <w:color w:val="auto"/>
          <w:sz w:val="24"/>
          <w:highlight w:val="none"/>
        </w:rPr>
        <w:t>】</w:t>
      </w:r>
      <w:bookmarkEnd w:id="67"/>
      <w:bookmarkEnd w:id="68"/>
      <w:r>
        <w:rPr>
          <w:rFonts w:hint="eastAsia"/>
          <w:sz w:val="24"/>
        </w:rPr>
        <w:t>的违约金，并赔偿买方因此遭受的</w:t>
      </w:r>
      <w:r>
        <w:rPr>
          <w:rFonts w:hint="eastAsia"/>
          <w:bCs/>
          <w:sz w:val="24"/>
        </w:rPr>
        <w:t>超出违约金数额的</w:t>
      </w:r>
      <w:r>
        <w:rPr>
          <w:rFonts w:hint="eastAsia"/>
          <w:sz w:val="24"/>
        </w:rPr>
        <w:t>全部损失：</w:t>
      </w:r>
    </w:p>
    <w:p>
      <w:pPr>
        <w:numPr>
          <w:ilvl w:val="1"/>
          <w:numId w:val="15"/>
        </w:numPr>
        <w:tabs>
          <w:tab w:val="left" w:pos="567"/>
          <w:tab w:val="left" w:pos="993"/>
        </w:tabs>
        <w:snapToGrid w:val="0"/>
        <w:spacing w:before="72" w:beforeLines="30" w:after="72" w:afterLines="30" w:line="360" w:lineRule="auto"/>
        <w:ind w:left="567" w:firstLine="0"/>
        <w:rPr>
          <w:sz w:val="24"/>
        </w:rPr>
      </w:pPr>
      <w:r>
        <w:rPr>
          <w:rFonts w:hint="eastAsia"/>
          <w:sz w:val="24"/>
        </w:rPr>
        <w:t>卖方未按照合同的规定提供货物和相关服务；</w:t>
      </w:r>
    </w:p>
    <w:p>
      <w:pPr>
        <w:numPr>
          <w:ilvl w:val="1"/>
          <w:numId w:val="15"/>
        </w:numPr>
        <w:tabs>
          <w:tab w:val="left" w:pos="567"/>
          <w:tab w:val="left" w:pos="993"/>
        </w:tabs>
        <w:snapToGrid w:val="0"/>
        <w:spacing w:before="72" w:beforeLines="30" w:after="72" w:afterLines="30" w:line="360" w:lineRule="auto"/>
        <w:ind w:left="567" w:firstLine="0"/>
        <w:rPr>
          <w:sz w:val="24"/>
        </w:rPr>
      </w:pPr>
      <w:r>
        <w:rPr>
          <w:rFonts w:hint="eastAsia"/>
          <w:sz w:val="24"/>
        </w:rPr>
        <w:t>卖方提供的货物不合格，且卖方未根据合同规定及时更换为合格产品；</w:t>
      </w:r>
    </w:p>
    <w:p>
      <w:pPr>
        <w:numPr>
          <w:ilvl w:val="1"/>
          <w:numId w:val="15"/>
        </w:numPr>
        <w:tabs>
          <w:tab w:val="left" w:pos="567"/>
          <w:tab w:val="left" w:pos="993"/>
        </w:tabs>
        <w:snapToGrid w:val="0"/>
        <w:spacing w:before="72" w:beforeLines="30" w:after="72" w:afterLines="30" w:line="360" w:lineRule="auto"/>
        <w:ind w:left="567" w:firstLine="0"/>
        <w:rPr>
          <w:sz w:val="24"/>
        </w:rPr>
      </w:pPr>
      <w:r>
        <w:rPr>
          <w:rFonts w:hint="eastAsia"/>
          <w:sz w:val="24"/>
        </w:rPr>
        <w:t>卖方违反本合同规定的承诺、保证或其它义务。</w:t>
      </w:r>
    </w:p>
    <w:p>
      <w:pPr>
        <w:numPr>
          <w:ilvl w:val="0"/>
          <w:numId w:val="0"/>
        </w:numPr>
        <w:tabs>
          <w:tab w:val="left" w:pos="567"/>
          <w:tab w:val="left" w:pos="709"/>
          <w:tab w:val="left" w:pos="3060"/>
        </w:tabs>
        <w:spacing w:before="72" w:beforeLines="30" w:after="72" w:afterLines="30" w:line="360" w:lineRule="auto"/>
        <w:ind w:leftChars="0"/>
        <w:rPr>
          <w:sz w:val="24"/>
        </w:rPr>
      </w:pPr>
      <w:r>
        <w:rPr>
          <w:rFonts w:hint="eastAsia"/>
          <w:sz w:val="24"/>
          <w:lang w:val="en-US" w:eastAsia="zh-CN"/>
        </w:rPr>
        <w:t xml:space="preserve">11.2  </w:t>
      </w:r>
      <w:r>
        <w:rPr>
          <w:sz w:val="24"/>
        </w:rPr>
        <w:t>就卖方的上述违约行为</w:t>
      </w:r>
      <w:r>
        <w:rPr>
          <w:rFonts w:hint="eastAsia"/>
          <w:sz w:val="24"/>
        </w:rPr>
        <w:t>，买方除有权依据本合同第12.1款要求卖方承担违约责任外，有权</w:t>
      </w:r>
      <w:r>
        <w:rPr>
          <w:sz w:val="24"/>
        </w:rPr>
        <w:t>向卖方出具书面通知，要求卖方进行更正或整改</w:t>
      </w:r>
      <w:r>
        <w:rPr>
          <w:rFonts w:hint="eastAsia"/>
          <w:sz w:val="24"/>
        </w:rPr>
        <w:t>。如</w:t>
      </w:r>
      <w:r>
        <w:rPr>
          <w:sz w:val="24"/>
        </w:rPr>
        <w:t>卖方</w:t>
      </w:r>
      <w:r>
        <w:rPr>
          <w:rFonts w:hint="eastAsia"/>
          <w:sz w:val="24"/>
        </w:rPr>
        <w:t>收到该等通知后</w:t>
      </w:r>
      <w:r>
        <w:rPr>
          <w:rFonts w:hint="eastAsia"/>
          <w:i w:val="0"/>
          <w:iCs w:val="0"/>
          <w:sz w:val="24"/>
          <w:highlight w:val="none"/>
        </w:rPr>
        <w:t>【十（</w:t>
      </w:r>
      <w:r>
        <w:rPr>
          <w:i w:val="0"/>
          <w:iCs w:val="0"/>
          <w:sz w:val="24"/>
          <w:highlight w:val="none"/>
        </w:rPr>
        <w:t>10</w:t>
      </w:r>
      <w:r>
        <w:rPr>
          <w:rFonts w:hint="eastAsia"/>
          <w:i w:val="0"/>
          <w:iCs w:val="0"/>
          <w:sz w:val="24"/>
          <w:highlight w:val="none"/>
        </w:rPr>
        <w:t>）】</w:t>
      </w:r>
      <w:r>
        <w:rPr>
          <w:sz w:val="24"/>
        </w:rPr>
        <w:t>个工作日内未按照买方要求</w:t>
      </w:r>
      <w:r>
        <w:rPr>
          <w:rFonts w:hint="eastAsia"/>
          <w:sz w:val="24"/>
        </w:rPr>
        <w:t>作出</w:t>
      </w:r>
      <w:r>
        <w:rPr>
          <w:sz w:val="24"/>
        </w:rPr>
        <w:t>更正或进行整改的，买方有权立即</w:t>
      </w:r>
      <w:r>
        <w:rPr>
          <w:rFonts w:hint="eastAsia"/>
          <w:sz w:val="24"/>
        </w:rPr>
        <w:t>解除</w:t>
      </w:r>
      <w:r>
        <w:rPr>
          <w:sz w:val="24"/>
        </w:rPr>
        <w:t>本合同，卖方应赔偿买方</w:t>
      </w:r>
      <w:r>
        <w:rPr>
          <w:rFonts w:hint="eastAsia"/>
          <w:sz w:val="24"/>
        </w:rPr>
        <w:t>因此</w:t>
      </w:r>
      <w:r>
        <w:rPr>
          <w:sz w:val="24"/>
        </w:rPr>
        <w:t>而遭受的</w:t>
      </w:r>
      <w:r>
        <w:rPr>
          <w:rFonts w:hint="eastAsia"/>
          <w:bCs/>
          <w:sz w:val="24"/>
        </w:rPr>
        <w:t>超出违约金数额的</w:t>
      </w:r>
      <w:r>
        <w:rPr>
          <w:sz w:val="24"/>
        </w:rPr>
        <w:t>全部损失。</w:t>
      </w:r>
    </w:p>
    <w:p>
      <w:pPr>
        <w:numPr>
          <w:ilvl w:val="0"/>
          <w:numId w:val="0"/>
        </w:numPr>
        <w:tabs>
          <w:tab w:val="left" w:pos="567"/>
          <w:tab w:val="left" w:pos="709"/>
          <w:tab w:val="left" w:pos="3060"/>
        </w:tabs>
        <w:spacing w:before="72" w:beforeLines="30" w:after="72" w:afterLines="30" w:line="360" w:lineRule="auto"/>
        <w:ind w:leftChars="0"/>
        <w:rPr>
          <w:rFonts w:hAnsi="宋体"/>
          <w:bCs/>
          <w:sz w:val="24"/>
        </w:rPr>
      </w:pPr>
      <w:r>
        <w:rPr>
          <w:rFonts w:hint="eastAsia"/>
          <w:sz w:val="24"/>
          <w:lang w:val="en-US" w:eastAsia="zh-CN"/>
        </w:rPr>
        <w:t xml:space="preserve">11.3   </w:t>
      </w:r>
      <w:r>
        <w:rPr>
          <w:rFonts w:hint="eastAsia"/>
          <w:sz w:val="24"/>
        </w:rPr>
        <w:t>如卖方未能在交付日期交付货物，每延期交付一日，卖方应向买方支付</w:t>
      </w:r>
      <w:r>
        <w:rPr>
          <w:rFonts w:hint="eastAsia"/>
          <w:sz w:val="24"/>
          <w:lang w:val="en-US" w:eastAsia="zh-CN"/>
        </w:rPr>
        <w:t>延期交货货物</w:t>
      </w:r>
      <w:r>
        <w:rPr>
          <w:rFonts w:hint="eastAsia"/>
          <w:i w:val="0"/>
          <w:iCs w:val="0"/>
          <w:sz w:val="24"/>
        </w:rPr>
        <w:t>总价的</w:t>
      </w:r>
      <w:r>
        <w:rPr>
          <w:rFonts w:hint="eastAsia"/>
          <w:i w:val="0"/>
          <w:iCs w:val="0"/>
          <w:color w:val="auto"/>
          <w:sz w:val="24"/>
          <w:highlight w:val="none"/>
        </w:rPr>
        <w:t>【0.5%】</w:t>
      </w:r>
      <w:r>
        <w:rPr>
          <w:rFonts w:hint="eastAsia"/>
          <w:i w:val="0"/>
          <w:iCs w:val="0"/>
          <w:sz w:val="24"/>
        </w:rPr>
        <w:t>作为延期违约金，但是，该等延期违约金最高不得超过合同总价的</w:t>
      </w:r>
      <w:r>
        <w:rPr>
          <w:rFonts w:hint="eastAsia"/>
          <w:i w:val="0"/>
          <w:iCs w:val="0"/>
          <w:sz w:val="24"/>
          <w:highlight w:val="none"/>
        </w:rPr>
        <w:t>【</w:t>
      </w:r>
      <w:r>
        <w:rPr>
          <w:rFonts w:hint="eastAsia"/>
          <w:i w:val="0"/>
          <w:iCs w:val="0"/>
          <w:sz w:val="24"/>
          <w:highlight w:val="none"/>
          <w:lang w:val="en-US" w:eastAsia="zh-CN"/>
        </w:rPr>
        <w:t>10%</w:t>
      </w:r>
      <w:r>
        <w:rPr>
          <w:rFonts w:hint="eastAsia"/>
          <w:i w:val="0"/>
          <w:iCs w:val="0"/>
          <w:sz w:val="24"/>
          <w:highlight w:val="none"/>
        </w:rPr>
        <w:t>】</w:t>
      </w:r>
      <w:r>
        <w:rPr>
          <w:rFonts w:hint="eastAsia"/>
          <w:i w:val="0"/>
          <w:iCs w:val="0"/>
          <w:sz w:val="24"/>
        </w:rPr>
        <w:t>。</w:t>
      </w:r>
      <w:r>
        <w:rPr>
          <w:rFonts w:hint="eastAsia" w:hAnsi="宋体"/>
          <w:bCs/>
          <w:sz w:val="24"/>
        </w:rPr>
        <w:t>如延期超过</w:t>
      </w:r>
      <w:r>
        <w:rPr>
          <w:rFonts w:hAnsi="宋体"/>
          <w:bCs/>
          <w:sz w:val="24"/>
          <w:highlight w:val="none"/>
        </w:rPr>
        <w:t>【</w:t>
      </w:r>
      <w:r>
        <w:rPr>
          <w:rFonts w:hint="eastAsia" w:hAnsi="宋体"/>
          <w:bCs/>
          <w:i/>
          <w:sz w:val="24"/>
          <w:highlight w:val="none"/>
          <w:lang w:val="en-US" w:eastAsia="zh-CN"/>
        </w:rPr>
        <w:t>30</w:t>
      </w:r>
      <w:r>
        <w:rPr>
          <w:rFonts w:hAnsi="宋体"/>
          <w:bCs/>
          <w:sz w:val="24"/>
          <w:highlight w:val="none"/>
        </w:rPr>
        <w:t>】</w:t>
      </w:r>
      <w:r>
        <w:rPr>
          <w:rFonts w:hint="eastAsia" w:hAnsi="宋体"/>
          <w:bCs/>
          <w:sz w:val="24"/>
        </w:rPr>
        <w:t>日，除要求卖方支付违约金外，买方有权解除本合同，并有权要求卖方赔偿买方因此遭受的</w:t>
      </w:r>
      <w:r>
        <w:rPr>
          <w:rFonts w:hint="eastAsia"/>
          <w:bCs/>
          <w:sz w:val="24"/>
        </w:rPr>
        <w:t>超出违约金数额的</w:t>
      </w:r>
      <w:r>
        <w:rPr>
          <w:rFonts w:hint="eastAsia" w:hAnsi="宋体"/>
          <w:bCs/>
          <w:sz w:val="24"/>
        </w:rPr>
        <w:t>全部损失。</w:t>
      </w:r>
    </w:p>
    <w:p>
      <w:pPr>
        <w:numPr>
          <w:ilvl w:val="0"/>
          <w:numId w:val="0"/>
        </w:numPr>
        <w:tabs>
          <w:tab w:val="left" w:pos="567"/>
          <w:tab w:val="left" w:pos="709"/>
          <w:tab w:val="left" w:pos="3060"/>
        </w:tabs>
        <w:spacing w:before="72" w:beforeLines="30" w:after="72" w:afterLines="30" w:line="360" w:lineRule="auto"/>
        <w:ind w:leftChars="0"/>
        <w:rPr>
          <w:sz w:val="24"/>
        </w:rPr>
      </w:pPr>
      <w:r>
        <w:rPr>
          <w:rFonts w:hint="eastAsia"/>
          <w:sz w:val="24"/>
          <w:lang w:val="en-US" w:eastAsia="zh-CN"/>
        </w:rPr>
        <w:t xml:space="preserve">11.4  </w:t>
      </w:r>
      <w:r>
        <w:rPr>
          <w:rFonts w:hint="eastAsia"/>
          <w:sz w:val="24"/>
        </w:rPr>
        <w:t>如仅因买方原因，买方逾期向卖方付款，卖方应向买方发出书面催款通知，买方应在收到该等通知后</w:t>
      </w:r>
      <w:r>
        <w:rPr>
          <w:rFonts w:hint="eastAsia"/>
          <w:sz w:val="24"/>
          <w:highlight w:val="none"/>
        </w:rPr>
        <w:t>【</w:t>
      </w:r>
      <w:r>
        <w:rPr>
          <w:rFonts w:hint="eastAsia"/>
          <w:sz w:val="24"/>
          <w:highlight w:val="none"/>
          <w:lang w:val="en-US" w:eastAsia="zh-CN"/>
        </w:rPr>
        <w:t>10</w:t>
      </w:r>
      <w:r>
        <w:rPr>
          <w:rFonts w:hint="eastAsia"/>
          <w:sz w:val="24"/>
          <w:highlight w:val="none"/>
        </w:rPr>
        <w:t>】</w:t>
      </w:r>
      <w:r>
        <w:rPr>
          <w:rFonts w:hint="eastAsia"/>
          <w:sz w:val="24"/>
        </w:rPr>
        <w:t>日内付款，否则，即应自该等</w:t>
      </w:r>
      <w:r>
        <w:rPr>
          <w:rFonts w:hint="eastAsia"/>
          <w:sz w:val="24"/>
          <w:highlight w:val="none"/>
        </w:rPr>
        <w:t>【</w:t>
      </w:r>
      <w:r>
        <w:rPr>
          <w:rFonts w:hint="eastAsia"/>
          <w:sz w:val="24"/>
          <w:highlight w:val="none"/>
          <w:lang w:val="en-US" w:eastAsia="zh-CN"/>
        </w:rPr>
        <w:t>10</w:t>
      </w:r>
      <w:r>
        <w:rPr>
          <w:rFonts w:hint="eastAsia"/>
          <w:sz w:val="24"/>
          <w:highlight w:val="none"/>
        </w:rPr>
        <w:t>】</w:t>
      </w:r>
      <w:r>
        <w:rPr>
          <w:rFonts w:hint="eastAsia"/>
          <w:sz w:val="24"/>
        </w:rPr>
        <w:t>日期间结束之日起，按合同订立时1年期贷款市场报价利率计算并支付应付未付合同价款的利息，最高不超过相关应付未付合同价款的</w:t>
      </w:r>
      <w:r>
        <w:rPr>
          <w:rFonts w:hint="eastAsia"/>
          <w:sz w:val="24"/>
          <w:highlight w:val="none"/>
        </w:rPr>
        <w:t>【</w:t>
      </w:r>
      <w:r>
        <w:rPr>
          <w:rFonts w:hint="eastAsia"/>
          <w:sz w:val="24"/>
          <w:highlight w:val="none"/>
          <w:lang w:val="en-US" w:eastAsia="zh-CN"/>
        </w:rPr>
        <w:t>10%</w:t>
      </w:r>
      <w:r>
        <w:rPr>
          <w:rFonts w:hint="eastAsia"/>
          <w:sz w:val="24"/>
          <w:highlight w:val="none"/>
        </w:rPr>
        <w:t>】</w:t>
      </w:r>
      <w:r>
        <w:rPr>
          <w:rFonts w:hint="eastAsia"/>
          <w:sz w:val="24"/>
        </w:rPr>
        <w:t>。双方同意，该等利息的支付是买方就未能如期支付相关合同价款所需承担的全部责任。</w:t>
      </w:r>
    </w:p>
    <w:p>
      <w:pPr>
        <w:numPr>
          <w:ilvl w:val="0"/>
          <w:numId w:val="0"/>
        </w:numPr>
        <w:tabs>
          <w:tab w:val="left" w:pos="567"/>
          <w:tab w:val="left" w:pos="709"/>
          <w:tab w:val="left" w:pos="3060"/>
        </w:tabs>
        <w:spacing w:before="72" w:beforeLines="30" w:after="72" w:afterLines="30" w:line="360" w:lineRule="auto"/>
        <w:ind w:leftChars="0"/>
        <w:rPr>
          <w:sz w:val="24"/>
        </w:rPr>
      </w:pPr>
      <w:r>
        <w:rPr>
          <w:rFonts w:hint="eastAsia"/>
          <w:sz w:val="24"/>
          <w:lang w:val="en-US" w:eastAsia="zh-CN"/>
        </w:rPr>
        <w:t xml:space="preserve">11.5  </w:t>
      </w:r>
      <w:r>
        <w:rPr>
          <w:sz w:val="24"/>
        </w:rPr>
        <w:t>卖方根据本合同的规定应承担违约金或赔偿责任的，买方有权从合同总价余额</w:t>
      </w:r>
      <w:r>
        <w:rPr>
          <w:rFonts w:hint="eastAsia"/>
          <w:sz w:val="24"/>
        </w:rPr>
        <w:t>中直接扣除</w:t>
      </w:r>
      <w:r>
        <w:rPr>
          <w:sz w:val="24"/>
        </w:rPr>
        <w:t>。</w:t>
      </w:r>
    </w:p>
    <w:p>
      <w:pPr>
        <w:pStyle w:val="19"/>
        <w:numPr>
          <w:ilvl w:val="0"/>
          <w:numId w:val="4"/>
        </w:numPr>
        <w:tabs>
          <w:tab w:val="left" w:pos="993"/>
        </w:tabs>
        <w:spacing w:before="72" w:beforeLines="30" w:after="72" w:afterLines="30" w:line="360" w:lineRule="auto"/>
        <w:ind w:left="567" w:hanging="567"/>
        <w:jc w:val="left"/>
        <w:rPr>
          <w:sz w:val="24"/>
          <w:szCs w:val="24"/>
        </w:rPr>
      </w:pPr>
      <w:r>
        <w:rPr>
          <w:rFonts w:hint="eastAsia"/>
          <w:sz w:val="24"/>
        </w:rPr>
        <w:t xml:space="preserve"> </w:t>
      </w:r>
      <w:bookmarkStart w:id="69" w:name="_Toc306354321"/>
      <w:r>
        <w:rPr>
          <w:rFonts w:hint="eastAsia" w:ascii="Times New Roman" w:hAnsi="Times New Roman"/>
          <w:sz w:val="24"/>
          <w:szCs w:val="24"/>
        </w:rPr>
        <w:t>合同的解除和</w:t>
      </w:r>
      <w:r>
        <w:rPr>
          <w:sz w:val="24"/>
          <w:szCs w:val="24"/>
        </w:rPr>
        <w:t>终止</w:t>
      </w:r>
      <w:bookmarkEnd w:id="69"/>
    </w:p>
    <w:p>
      <w:pPr>
        <w:numPr>
          <w:ilvl w:val="0"/>
          <w:numId w:val="0"/>
        </w:numPr>
        <w:tabs>
          <w:tab w:val="left" w:pos="567"/>
          <w:tab w:val="left" w:pos="709"/>
        </w:tabs>
        <w:spacing w:before="72" w:beforeLines="30" w:after="72" w:afterLines="30" w:line="360" w:lineRule="auto"/>
        <w:ind w:leftChars="0"/>
        <w:rPr>
          <w:rFonts w:hAnsi="宋体"/>
          <w:color w:val="000000"/>
          <w:sz w:val="24"/>
        </w:rPr>
      </w:pPr>
      <w:r>
        <w:rPr>
          <w:rFonts w:hint="eastAsia" w:hAnsi="宋体"/>
          <w:color w:val="000000"/>
          <w:sz w:val="24"/>
          <w:lang w:val="en-US" w:eastAsia="zh-CN"/>
        </w:rPr>
        <w:t xml:space="preserve">12.1  </w:t>
      </w:r>
      <w:r>
        <w:rPr>
          <w:rFonts w:hint="eastAsia" w:hAnsi="宋体"/>
          <w:color w:val="000000"/>
          <w:sz w:val="24"/>
        </w:rPr>
        <w:t>如</w:t>
      </w:r>
      <w:r>
        <w:rPr>
          <w:rFonts w:hAnsi="宋体"/>
          <w:color w:val="000000"/>
          <w:sz w:val="24"/>
        </w:rPr>
        <w:t>发生以下任</w:t>
      </w:r>
      <w:r>
        <w:rPr>
          <w:rFonts w:hint="eastAsia" w:hAnsi="宋体"/>
          <w:color w:val="000000"/>
          <w:sz w:val="24"/>
        </w:rPr>
        <w:t>一情形，经书面通知卖方，</w:t>
      </w:r>
      <w:r>
        <w:rPr>
          <w:rFonts w:hAnsi="宋体"/>
          <w:color w:val="000000"/>
          <w:sz w:val="24"/>
        </w:rPr>
        <w:t>买方</w:t>
      </w:r>
      <w:r>
        <w:rPr>
          <w:rFonts w:hint="eastAsia" w:hAnsi="宋体"/>
          <w:color w:val="000000"/>
          <w:sz w:val="24"/>
        </w:rPr>
        <w:t>有权解除本</w:t>
      </w:r>
      <w:r>
        <w:rPr>
          <w:rFonts w:hAnsi="宋体"/>
          <w:color w:val="000000"/>
          <w:sz w:val="24"/>
        </w:rPr>
        <w:t>合同：</w:t>
      </w:r>
      <w:r>
        <w:rPr>
          <w:rFonts w:hint="eastAsia" w:hAnsi="宋体"/>
          <w:color w:val="000000"/>
          <w:sz w:val="24"/>
        </w:rPr>
        <w:t xml:space="preserve"> </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本合同明确规定买方有权解除合同的情形；</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sz w:val="24"/>
        </w:rPr>
        <w:t>卖方破产、资不抵债、停业清理、解散、被兼并、被查封</w:t>
      </w:r>
      <w:r>
        <w:rPr>
          <w:rFonts w:hint="eastAsia"/>
          <w:sz w:val="24"/>
        </w:rPr>
        <w:t>；</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sz w:val="24"/>
        </w:rPr>
        <w:t>卖方</w:t>
      </w:r>
      <w:r>
        <w:rPr>
          <w:rFonts w:hint="eastAsia"/>
          <w:sz w:val="24"/>
        </w:rPr>
        <w:t>发生其它严重违约</w:t>
      </w:r>
      <w:r>
        <w:rPr>
          <w:sz w:val="24"/>
        </w:rPr>
        <w:t>，</w:t>
      </w:r>
      <w:r>
        <w:rPr>
          <w:rFonts w:hint="eastAsia"/>
          <w:sz w:val="24"/>
        </w:rPr>
        <w:t>且未在买方要求的合理期限内纠正；</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不可抗力</w:t>
      </w:r>
      <w:r>
        <w:rPr>
          <w:sz w:val="24"/>
        </w:rPr>
        <w:t>持续超过</w:t>
      </w:r>
      <w:r>
        <w:rPr>
          <w:sz w:val="24"/>
          <w:highlight w:val="none"/>
        </w:rPr>
        <w:t>【</w:t>
      </w:r>
      <w:r>
        <w:rPr>
          <w:rFonts w:hint="eastAsia"/>
          <w:i w:val="0"/>
          <w:iCs/>
          <w:sz w:val="24"/>
          <w:highlight w:val="none"/>
        </w:rPr>
        <w:t>六十（60）</w:t>
      </w:r>
      <w:r>
        <w:rPr>
          <w:sz w:val="24"/>
          <w:highlight w:val="none"/>
        </w:rPr>
        <w:t>】</w:t>
      </w:r>
      <w:r>
        <w:rPr>
          <w:rFonts w:hint="eastAsia"/>
          <w:sz w:val="24"/>
        </w:rPr>
        <w:t>日。</w:t>
      </w:r>
    </w:p>
    <w:p>
      <w:pPr>
        <w:numPr>
          <w:ilvl w:val="0"/>
          <w:numId w:val="0"/>
        </w:numPr>
        <w:tabs>
          <w:tab w:val="left" w:pos="567"/>
          <w:tab w:val="left" w:pos="709"/>
        </w:tabs>
        <w:spacing w:before="72" w:beforeLines="30" w:after="72" w:afterLines="30" w:line="360" w:lineRule="auto"/>
        <w:ind w:leftChars="0"/>
        <w:rPr>
          <w:rFonts w:hAnsi="宋体"/>
          <w:color w:val="000000"/>
          <w:sz w:val="24"/>
        </w:rPr>
      </w:pPr>
      <w:r>
        <w:rPr>
          <w:rFonts w:hint="eastAsia" w:hAnsi="宋体"/>
          <w:color w:val="000000"/>
          <w:sz w:val="24"/>
          <w:lang w:val="en-US" w:eastAsia="zh-CN"/>
        </w:rPr>
        <w:t xml:space="preserve">12.2  </w:t>
      </w:r>
      <w:r>
        <w:rPr>
          <w:rFonts w:hint="eastAsia" w:hAnsi="宋体"/>
          <w:color w:val="000000"/>
          <w:sz w:val="24"/>
        </w:rPr>
        <w:t>如因卖方违约买方解除本合同，</w:t>
      </w:r>
      <w:r>
        <w:rPr>
          <w:rFonts w:hAnsi="宋体"/>
          <w:color w:val="000000"/>
          <w:sz w:val="24"/>
        </w:rPr>
        <w:t>卖方应退回买方已经支付的</w:t>
      </w:r>
      <w:r>
        <w:rPr>
          <w:rFonts w:hint="eastAsia" w:hAnsi="宋体"/>
          <w:color w:val="000000"/>
          <w:sz w:val="24"/>
        </w:rPr>
        <w:t>全部款项，并根据本合同规定支付违约金，并且买方有权要求卖方赔偿其因此遭受的</w:t>
      </w:r>
      <w:r>
        <w:rPr>
          <w:rFonts w:hint="eastAsia"/>
          <w:bCs/>
          <w:sz w:val="24"/>
        </w:rPr>
        <w:t>超出违约金数额的</w:t>
      </w:r>
      <w:r>
        <w:rPr>
          <w:rFonts w:hint="eastAsia" w:hAnsi="宋体"/>
          <w:color w:val="000000"/>
          <w:sz w:val="24"/>
        </w:rPr>
        <w:t>全部损失。</w:t>
      </w:r>
      <w:r>
        <w:rPr>
          <w:rFonts w:hAnsi="宋体"/>
          <w:color w:val="000000"/>
          <w:sz w:val="24"/>
        </w:rPr>
        <w:t>买方</w:t>
      </w:r>
      <w:r>
        <w:rPr>
          <w:rFonts w:hint="eastAsia" w:hAnsi="宋体"/>
          <w:color w:val="000000"/>
          <w:sz w:val="24"/>
        </w:rPr>
        <w:t>有权以</w:t>
      </w:r>
      <w:r>
        <w:rPr>
          <w:rFonts w:hAnsi="宋体"/>
          <w:color w:val="000000"/>
          <w:sz w:val="24"/>
        </w:rPr>
        <w:t>适当的条件和方式</w:t>
      </w:r>
      <w:r>
        <w:rPr>
          <w:rFonts w:hint="eastAsia" w:hAnsi="宋体"/>
          <w:color w:val="000000"/>
          <w:sz w:val="24"/>
        </w:rPr>
        <w:t>购买同等货物</w:t>
      </w:r>
      <w:r>
        <w:rPr>
          <w:rFonts w:hAnsi="宋体"/>
          <w:color w:val="000000"/>
          <w:sz w:val="24"/>
        </w:rPr>
        <w:t>，卖方应</w:t>
      </w:r>
      <w:r>
        <w:rPr>
          <w:rFonts w:hint="eastAsia" w:hAnsi="宋体"/>
          <w:color w:val="000000"/>
          <w:sz w:val="24"/>
        </w:rPr>
        <w:t>承</w:t>
      </w:r>
      <w:r>
        <w:rPr>
          <w:rFonts w:hAnsi="宋体"/>
          <w:color w:val="000000"/>
          <w:sz w:val="24"/>
        </w:rPr>
        <w:t>担</w:t>
      </w:r>
      <w:r>
        <w:rPr>
          <w:rFonts w:hint="eastAsia" w:hAnsi="宋体"/>
          <w:color w:val="000000"/>
          <w:sz w:val="24"/>
        </w:rPr>
        <w:t>买方</w:t>
      </w:r>
      <w:r>
        <w:rPr>
          <w:rFonts w:hAnsi="宋体"/>
          <w:color w:val="000000"/>
          <w:sz w:val="24"/>
        </w:rPr>
        <w:t>购买</w:t>
      </w:r>
      <w:r>
        <w:rPr>
          <w:rFonts w:hint="eastAsia" w:hAnsi="宋体"/>
          <w:color w:val="000000"/>
          <w:sz w:val="24"/>
        </w:rPr>
        <w:t>同等货物的差额费用</w:t>
      </w:r>
      <w:r>
        <w:rPr>
          <w:rFonts w:hAnsi="宋体"/>
          <w:color w:val="000000"/>
          <w:sz w:val="24"/>
        </w:rPr>
        <w:t>。</w:t>
      </w:r>
    </w:p>
    <w:p>
      <w:pPr>
        <w:numPr>
          <w:ilvl w:val="0"/>
          <w:numId w:val="0"/>
        </w:numPr>
        <w:tabs>
          <w:tab w:val="left" w:pos="567"/>
          <w:tab w:val="left" w:pos="709"/>
        </w:tabs>
        <w:spacing w:before="72" w:beforeLines="30" w:after="72" w:afterLines="30" w:line="360" w:lineRule="auto"/>
        <w:ind w:leftChars="0"/>
        <w:rPr>
          <w:rFonts w:hAnsi="宋体"/>
          <w:color w:val="000000"/>
          <w:sz w:val="24"/>
        </w:rPr>
      </w:pPr>
      <w:r>
        <w:rPr>
          <w:rFonts w:hint="eastAsia" w:hAnsi="宋体"/>
          <w:color w:val="000000"/>
          <w:sz w:val="24"/>
          <w:lang w:val="en-US" w:eastAsia="zh-CN"/>
        </w:rPr>
        <w:t xml:space="preserve">12.3  </w:t>
      </w:r>
      <w:r>
        <w:rPr>
          <w:rFonts w:hint="eastAsia" w:hAnsi="宋体"/>
          <w:color w:val="000000"/>
          <w:sz w:val="24"/>
        </w:rPr>
        <w:t>无论基于何种原因，经</w:t>
      </w:r>
      <w:r>
        <w:rPr>
          <w:rFonts w:hAnsi="宋体"/>
          <w:color w:val="000000"/>
          <w:sz w:val="24"/>
        </w:rPr>
        <w:t>提前</w:t>
      </w:r>
      <w:r>
        <w:rPr>
          <w:rFonts w:hAnsi="宋体"/>
          <w:color w:val="000000"/>
          <w:sz w:val="24"/>
          <w:highlight w:val="none"/>
        </w:rPr>
        <w:t>【</w:t>
      </w:r>
      <w:r>
        <w:rPr>
          <w:rFonts w:hint="eastAsia" w:hAnsi="宋体"/>
          <w:i w:val="0"/>
          <w:iCs/>
          <w:color w:val="000000"/>
          <w:sz w:val="24"/>
          <w:highlight w:val="none"/>
          <w:lang w:val="en-US" w:eastAsia="zh-CN"/>
        </w:rPr>
        <w:t>三</w:t>
      </w:r>
      <w:r>
        <w:rPr>
          <w:rFonts w:hint="eastAsia" w:hAnsi="宋体"/>
          <w:i w:val="0"/>
          <w:iCs/>
          <w:color w:val="000000"/>
          <w:sz w:val="24"/>
          <w:highlight w:val="none"/>
        </w:rPr>
        <w:t>（</w:t>
      </w:r>
      <w:r>
        <w:rPr>
          <w:rFonts w:hint="eastAsia" w:hAnsi="宋体"/>
          <w:i w:val="0"/>
          <w:iCs/>
          <w:color w:val="000000"/>
          <w:sz w:val="24"/>
          <w:highlight w:val="none"/>
          <w:lang w:val="en-US" w:eastAsia="zh-CN"/>
        </w:rPr>
        <w:t>3</w:t>
      </w:r>
      <w:r>
        <w:rPr>
          <w:rFonts w:hint="eastAsia" w:hAnsi="宋体"/>
          <w:i w:val="0"/>
          <w:iCs/>
          <w:color w:val="000000"/>
          <w:sz w:val="24"/>
          <w:highlight w:val="none"/>
        </w:rPr>
        <w:t>）</w:t>
      </w:r>
      <w:r>
        <w:rPr>
          <w:rFonts w:hAnsi="宋体"/>
          <w:color w:val="000000"/>
          <w:sz w:val="24"/>
          <w:highlight w:val="none"/>
        </w:rPr>
        <w:t>】</w:t>
      </w:r>
      <w:r>
        <w:rPr>
          <w:rFonts w:hint="eastAsia" w:hAnsi="宋体"/>
          <w:color w:val="000000"/>
          <w:sz w:val="24"/>
        </w:rPr>
        <w:t>日</w:t>
      </w:r>
      <w:r>
        <w:rPr>
          <w:rFonts w:hAnsi="宋体"/>
          <w:color w:val="000000"/>
          <w:sz w:val="24"/>
        </w:rPr>
        <w:t>书面通知</w:t>
      </w:r>
      <w:r>
        <w:rPr>
          <w:rFonts w:hint="eastAsia" w:hAnsi="宋体"/>
          <w:color w:val="000000"/>
          <w:sz w:val="24"/>
        </w:rPr>
        <w:t>卖方</w:t>
      </w:r>
      <w:r>
        <w:rPr>
          <w:rFonts w:hAnsi="宋体"/>
          <w:color w:val="000000"/>
          <w:sz w:val="24"/>
        </w:rPr>
        <w:t>，买方有权随时</w:t>
      </w:r>
      <w:r>
        <w:rPr>
          <w:rFonts w:hint="eastAsia" w:hAnsi="宋体"/>
          <w:color w:val="000000"/>
          <w:sz w:val="24"/>
        </w:rPr>
        <w:t>终止</w:t>
      </w:r>
      <w:r>
        <w:rPr>
          <w:rFonts w:hAnsi="宋体"/>
          <w:color w:val="000000"/>
          <w:sz w:val="24"/>
        </w:rPr>
        <w:t>合同。卖方</w:t>
      </w:r>
      <w:r>
        <w:rPr>
          <w:rFonts w:hint="eastAsia" w:hAnsi="宋体"/>
          <w:color w:val="000000"/>
          <w:sz w:val="24"/>
        </w:rPr>
        <w:t>收到</w:t>
      </w:r>
      <w:r>
        <w:rPr>
          <w:rFonts w:hAnsi="宋体"/>
          <w:color w:val="000000"/>
          <w:sz w:val="24"/>
        </w:rPr>
        <w:t>买方</w:t>
      </w:r>
      <w:r>
        <w:rPr>
          <w:rFonts w:hint="eastAsia" w:hAnsi="宋体"/>
          <w:color w:val="000000"/>
          <w:sz w:val="24"/>
        </w:rPr>
        <w:t>终止</w:t>
      </w:r>
      <w:r>
        <w:rPr>
          <w:rFonts w:hAnsi="宋体"/>
          <w:color w:val="000000"/>
          <w:sz w:val="24"/>
        </w:rPr>
        <w:t>合同的</w:t>
      </w:r>
      <w:r>
        <w:rPr>
          <w:rFonts w:hint="eastAsia" w:hAnsi="宋体"/>
          <w:color w:val="000000"/>
          <w:sz w:val="24"/>
        </w:rPr>
        <w:t>书面</w:t>
      </w:r>
      <w:r>
        <w:rPr>
          <w:rFonts w:hAnsi="宋体"/>
          <w:color w:val="000000"/>
          <w:sz w:val="24"/>
        </w:rPr>
        <w:t>通知</w:t>
      </w:r>
      <w:r>
        <w:rPr>
          <w:rFonts w:hint="eastAsia" w:hAnsi="宋体"/>
          <w:color w:val="000000"/>
          <w:sz w:val="24"/>
        </w:rPr>
        <w:t>后，</w:t>
      </w:r>
      <w:r>
        <w:rPr>
          <w:rFonts w:hAnsi="宋体"/>
          <w:color w:val="000000"/>
          <w:sz w:val="24"/>
        </w:rPr>
        <w:t>应立即停止</w:t>
      </w:r>
      <w:r>
        <w:rPr>
          <w:rFonts w:hint="eastAsia" w:hAnsi="宋体"/>
          <w:color w:val="000000"/>
          <w:sz w:val="24"/>
        </w:rPr>
        <w:t>实施与</w:t>
      </w:r>
      <w:r>
        <w:rPr>
          <w:rFonts w:hAnsi="宋体"/>
          <w:color w:val="000000"/>
          <w:sz w:val="24"/>
        </w:rPr>
        <w:t>本合同</w:t>
      </w:r>
      <w:r>
        <w:rPr>
          <w:rFonts w:hint="eastAsia" w:hAnsi="宋体"/>
          <w:color w:val="000000"/>
          <w:sz w:val="24"/>
        </w:rPr>
        <w:t>有</w:t>
      </w:r>
      <w:r>
        <w:rPr>
          <w:rFonts w:hAnsi="宋体"/>
          <w:color w:val="000000"/>
          <w:sz w:val="24"/>
        </w:rPr>
        <w:t>关的工作并对</w:t>
      </w:r>
      <w:r>
        <w:rPr>
          <w:rFonts w:hint="eastAsia" w:hAnsi="宋体"/>
          <w:color w:val="000000"/>
          <w:sz w:val="24"/>
        </w:rPr>
        <w:t>已履行</w:t>
      </w:r>
      <w:r>
        <w:rPr>
          <w:rFonts w:hAnsi="宋体"/>
          <w:color w:val="000000"/>
          <w:sz w:val="24"/>
        </w:rPr>
        <w:t>的</w:t>
      </w:r>
      <w:r>
        <w:rPr>
          <w:rFonts w:hint="eastAsia" w:hAnsi="宋体"/>
          <w:color w:val="000000"/>
          <w:sz w:val="24"/>
        </w:rPr>
        <w:t>部分</w:t>
      </w:r>
      <w:r>
        <w:rPr>
          <w:rFonts w:hAnsi="宋体"/>
          <w:color w:val="000000"/>
          <w:sz w:val="24"/>
        </w:rPr>
        <w:t>进行结算。买方收到卖方的结算</w:t>
      </w:r>
      <w:r>
        <w:rPr>
          <w:rFonts w:hint="eastAsia" w:hAnsi="宋体"/>
          <w:color w:val="000000"/>
          <w:sz w:val="24"/>
        </w:rPr>
        <w:t>要求</w:t>
      </w:r>
      <w:r>
        <w:rPr>
          <w:rFonts w:hAnsi="宋体"/>
          <w:color w:val="000000"/>
          <w:sz w:val="24"/>
        </w:rPr>
        <w:t>后，</w:t>
      </w:r>
      <w:r>
        <w:rPr>
          <w:rFonts w:hint="eastAsia" w:hAnsi="宋体"/>
          <w:color w:val="000000"/>
          <w:sz w:val="24"/>
        </w:rPr>
        <w:t>应</w:t>
      </w:r>
      <w:r>
        <w:rPr>
          <w:rFonts w:hAnsi="宋体"/>
          <w:color w:val="000000"/>
          <w:sz w:val="24"/>
        </w:rPr>
        <w:t>与卖方协商结算</w:t>
      </w:r>
      <w:r>
        <w:rPr>
          <w:rFonts w:hint="eastAsia" w:hAnsi="宋体"/>
          <w:color w:val="000000"/>
          <w:sz w:val="24"/>
        </w:rPr>
        <w:t>数额、</w:t>
      </w:r>
      <w:r>
        <w:rPr>
          <w:rFonts w:hAnsi="宋体"/>
          <w:color w:val="000000"/>
          <w:sz w:val="24"/>
        </w:rPr>
        <w:t>因买方终止合同</w:t>
      </w:r>
      <w:r>
        <w:rPr>
          <w:rFonts w:hint="eastAsia" w:hAnsi="宋体"/>
          <w:color w:val="000000"/>
          <w:sz w:val="24"/>
        </w:rPr>
        <w:t>需向</w:t>
      </w:r>
      <w:r>
        <w:rPr>
          <w:rFonts w:hAnsi="宋体"/>
          <w:color w:val="000000"/>
          <w:sz w:val="24"/>
        </w:rPr>
        <w:t>卖方</w:t>
      </w:r>
      <w:r>
        <w:rPr>
          <w:rFonts w:hint="eastAsia" w:hAnsi="宋体"/>
          <w:color w:val="000000"/>
          <w:sz w:val="24"/>
        </w:rPr>
        <w:t>支付</w:t>
      </w:r>
      <w:r>
        <w:rPr>
          <w:rFonts w:hAnsi="宋体"/>
          <w:color w:val="000000"/>
          <w:sz w:val="24"/>
        </w:rPr>
        <w:t>的补偿</w:t>
      </w:r>
      <w:r>
        <w:rPr>
          <w:rFonts w:hint="eastAsia" w:hAnsi="宋体"/>
          <w:color w:val="000000"/>
          <w:sz w:val="24"/>
        </w:rPr>
        <w:t>款等事项</w:t>
      </w:r>
      <w:r>
        <w:rPr>
          <w:rFonts w:hAnsi="宋体"/>
          <w:color w:val="000000"/>
          <w:sz w:val="24"/>
        </w:rPr>
        <w:t>。</w:t>
      </w:r>
      <w:r>
        <w:rPr>
          <w:rFonts w:hint="eastAsia" w:hAnsi="宋体"/>
          <w:color w:val="000000"/>
          <w:sz w:val="24"/>
        </w:rPr>
        <w:t>买方因终止合同向</w:t>
      </w:r>
      <w:r>
        <w:rPr>
          <w:rFonts w:hAnsi="宋体"/>
          <w:color w:val="000000"/>
          <w:sz w:val="24"/>
        </w:rPr>
        <w:t>卖方</w:t>
      </w:r>
      <w:r>
        <w:rPr>
          <w:rFonts w:hint="eastAsia" w:hAnsi="宋体"/>
          <w:color w:val="000000"/>
          <w:sz w:val="24"/>
        </w:rPr>
        <w:t>支付的补偿款以卖方为</w:t>
      </w:r>
      <w:r>
        <w:rPr>
          <w:rFonts w:hAnsi="宋体"/>
          <w:color w:val="000000"/>
          <w:sz w:val="24"/>
        </w:rPr>
        <w:t>履行合同已</w:t>
      </w:r>
      <w:r>
        <w:rPr>
          <w:rFonts w:hint="eastAsia" w:hAnsi="宋体"/>
          <w:color w:val="000000"/>
          <w:sz w:val="24"/>
        </w:rPr>
        <w:t>实际</w:t>
      </w:r>
      <w:r>
        <w:rPr>
          <w:rFonts w:hAnsi="宋体"/>
          <w:color w:val="000000"/>
          <w:sz w:val="24"/>
        </w:rPr>
        <w:t>发生</w:t>
      </w:r>
      <w:r>
        <w:rPr>
          <w:rFonts w:hint="eastAsia" w:hAnsi="宋体"/>
          <w:color w:val="000000"/>
          <w:sz w:val="24"/>
        </w:rPr>
        <w:t>的</w:t>
      </w:r>
      <w:r>
        <w:rPr>
          <w:rFonts w:hAnsi="宋体"/>
          <w:color w:val="000000"/>
          <w:sz w:val="24"/>
        </w:rPr>
        <w:t>直接、合理费用</w:t>
      </w:r>
      <w:r>
        <w:rPr>
          <w:rFonts w:hint="eastAsia" w:hAnsi="宋体"/>
          <w:color w:val="000000"/>
          <w:sz w:val="24"/>
        </w:rPr>
        <w:t>为限。</w:t>
      </w:r>
      <w:r>
        <w:rPr>
          <w:rFonts w:hAnsi="宋体"/>
          <w:color w:val="000000"/>
          <w:sz w:val="24"/>
        </w:rPr>
        <w:t>买方向卖方支付的</w:t>
      </w:r>
      <w:r>
        <w:rPr>
          <w:rFonts w:hint="eastAsia" w:hAnsi="宋体"/>
          <w:color w:val="000000"/>
          <w:sz w:val="24"/>
        </w:rPr>
        <w:t>该等补偿款</w:t>
      </w:r>
      <w:r>
        <w:rPr>
          <w:rFonts w:hAnsi="宋体"/>
          <w:color w:val="000000"/>
          <w:sz w:val="24"/>
        </w:rPr>
        <w:t>系买方</w:t>
      </w:r>
      <w:r>
        <w:rPr>
          <w:rFonts w:hint="eastAsia" w:hAnsi="宋体"/>
          <w:color w:val="000000"/>
          <w:sz w:val="24"/>
        </w:rPr>
        <w:t>根据本款规定</w:t>
      </w:r>
      <w:r>
        <w:rPr>
          <w:rFonts w:hAnsi="宋体"/>
          <w:color w:val="000000"/>
          <w:sz w:val="24"/>
        </w:rPr>
        <w:t>终止合同时</w:t>
      </w:r>
      <w:r>
        <w:rPr>
          <w:rFonts w:hint="eastAsia" w:hAnsi="宋体"/>
          <w:color w:val="000000"/>
          <w:sz w:val="24"/>
        </w:rPr>
        <w:t>，</w:t>
      </w:r>
      <w:r>
        <w:rPr>
          <w:rFonts w:hAnsi="宋体"/>
          <w:color w:val="000000"/>
          <w:sz w:val="24"/>
        </w:rPr>
        <w:t>卖方可获得的</w:t>
      </w:r>
      <w:r>
        <w:rPr>
          <w:rFonts w:hint="eastAsia" w:hAnsi="宋体"/>
          <w:color w:val="000000"/>
          <w:sz w:val="24"/>
        </w:rPr>
        <w:t>全部赔偿。任何时候卖方均无权要求买方赔偿因合同终止引起的预期利润的损失或损害。</w:t>
      </w:r>
    </w:p>
    <w:p>
      <w:pPr>
        <w:numPr>
          <w:ilvl w:val="0"/>
          <w:numId w:val="0"/>
        </w:numPr>
        <w:tabs>
          <w:tab w:val="left" w:pos="567"/>
          <w:tab w:val="left" w:pos="709"/>
        </w:tabs>
        <w:spacing w:before="72" w:beforeLines="30" w:after="72" w:afterLines="30" w:line="360" w:lineRule="auto"/>
        <w:ind w:leftChars="0"/>
        <w:rPr>
          <w:rFonts w:hAnsi="宋体"/>
          <w:color w:val="000000"/>
          <w:sz w:val="24"/>
        </w:rPr>
      </w:pPr>
      <w:bookmarkStart w:id="70" w:name="_DV_C932"/>
      <w:r>
        <w:rPr>
          <w:rFonts w:hint="eastAsia" w:hAnsi="宋体"/>
          <w:color w:val="000000"/>
          <w:sz w:val="24"/>
          <w:lang w:val="en-US" w:eastAsia="zh-CN"/>
        </w:rPr>
        <w:t xml:space="preserve">12.4  </w:t>
      </w:r>
      <w:r>
        <w:rPr>
          <w:rFonts w:hint="eastAsia" w:hAnsi="宋体"/>
          <w:color w:val="000000"/>
          <w:sz w:val="24"/>
        </w:rPr>
        <w:t>如果本合同根据本条第13</w:t>
      </w:r>
      <w:r>
        <w:rPr>
          <w:rFonts w:hAnsi="宋体"/>
          <w:color w:val="000000"/>
          <w:sz w:val="24"/>
        </w:rPr>
        <w:t>.3款</w:t>
      </w:r>
      <w:r>
        <w:rPr>
          <w:rFonts w:hint="eastAsia" w:hAnsi="宋体"/>
          <w:color w:val="000000"/>
          <w:sz w:val="24"/>
        </w:rPr>
        <w:t>终止，对于合同终止前买方已经支付合同价款或提供补偿费用的货物，卖方应立即移交给买方，买方拥有相关货物的全部权益。</w:t>
      </w:r>
      <w:bookmarkEnd w:id="70"/>
    </w:p>
    <w:p>
      <w:pPr>
        <w:pStyle w:val="19"/>
        <w:numPr>
          <w:ilvl w:val="0"/>
          <w:numId w:val="4"/>
        </w:numPr>
        <w:tabs>
          <w:tab w:val="left" w:pos="993"/>
        </w:tabs>
        <w:spacing w:before="72" w:beforeLines="30" w:after="72" w:afterLines="30" w:line="360" w:lineRule="auto"/>
        <w:ind w:left="567" w:hanging="567"/>
        <w:jc w:val="left"/>
        <w:rPr>
          <w:sz w:val="24"/>
          <w:szCs w:val="24"/>
        </w:rPr>
      </w:pPr>
      <w:bookmarkStart w:id="71" w:name="_Toc306354322"/>
      <w:r>
        <w:rPr>
          <w:rFonts w:hint="eastAsia"/>
          <w:sz w:val="24"/>
          <w:szCs w:val="24"/>
        </w:rPr>
        <w:t xml:space="preserve"> 健康、安全和环保</w:t>
      </w:r>
      <w:bookmarkEnd w:id="71"/>
    </w:p>
    <w:p>
      <w:pPr>
        <w:numPr>
          <w:ilvl w:val="0"/>
          <w:numId w:val="0"/>
        </w:numPr>
        <w:tabs>
          <w:tab w:val="left" w:pos="567"/>
          <w:tab w:val="left" w:pos="709"/>
          <w:tab w:val="left" w:pos="3060"/>
        </w:tabs>
        <w:spacing w:before="72" w:beforeLines="30" w:after="72" w:afterLines="30" w:line="360" w:lineRule="auto"/>
        <w:ind w:leftChars="0"/>
        <w:rPr>
          <w:sz w:val="24"/>
        </w:rPr>
      </w:pPr>
      <w:r>
        <w:rPr>
          <w:rFonts w:hint="eastAsia"/>
          <w:sz w:val="24"/>
          <w:lang w:val="en-US" w:eastAsia="zh-CN"/>
        </w:rPr>
        <w:t xml:space="preserve">13.1  </w:t>
      </w:r>
      <w:r>
        <w:rPr>
          <w:sz w:val="24"/>
        </w:rPr>
        <w:t>卖方应确保在货物制造过程中使用的材料和制作工艺符合国家标准</w:t>
      </w:r>
      <w:r>
        <w:rPr>
          <w:rFonts w:hint="eastAsia"/>
          <w:sz w:val="24"/>
        </w:rPr>
        <w:t>，保证货物制造现场符合法律法规的要求</w:t>
      </w:r>
      <w:r>
        <w:rPr>
          <w:sz w:val="24"/>
        </w:rPr>
        <w:t>。</w:t>
      </w:r>
    </w:p>
    <w:p>
      <w:pPr>
        <w:numPr>
          <w:ilvl w:val="0"/>
          <w:numId w:val="0"/>
        </w:numPr>
        <w:tabs>
          <w:tab w:val="left" w:pos="567"/>
          <w:tab w:val="left" w:pos="709"/>
          <w:tab w:val="left" w:pos="3060"/>
        </w:tabs>
        <w:spacing w:before="72" w:beforeLines="30" w:after="72" w:afterLines="30" w:line="360" w:lineRule="auto"/>
        <w:ind w:leftChars="0"/>
        <w:rPr>
          <w:sz w:val="24"/>
        </w:rPr>
      </w:pPr>
      <w:r>
        <w:rPr>
          <w:rFonts w:hint="eastAsia"/>
          <w:sz w:val="24"/>
          <w:lang w:val="en-US" w:eastAsia="zh-CN"/>
        </w:rPr>
        <w:t xml:space="preserve">13.2  </w:t>
      </w:r>
      <w:r>
        <w:rPr>
          <w:sz w:val="24"/>
        </w:rPr>
        <w:t>卖方向买方提供的货物必须符合</w:t>
      </w:r>
      <w:r>
        <w:rPr>
          <w:rFonts w:hint="eastAsia"/>
          <w:sz w:val="24"/>
        </w:rPr>
        <w:t>中国</w:t>
      </w:r>
      <w:r>
        <w:rPr>
          <w:sz w:val="24"/>
        </w:rPr>
        <w:t>有关健康、安全、环保法律法规的规定。对</w:t>
      </w:r>
      <w:r>
        <w:rPr>
          <w:rFonts w:hint="eastAsia"/>
          <w:sz w:val="24"/>
        </w:rPr>
        <w:t>于</w:t>
      </w:r>
      <w:r>
        <w:rPr>
          <w:sz w:val="24"/>
        </w:rPr>
        <w:t>根据有关法律法规必须持证生产或经营的</w:t>
      </w:r>
      <w:r>
        <w:rPr>
          <w:rFonts w:hint="eastAsia"/>
          <w:sz w:val="24"/>
        </w:rPr>
        <w:t>货物</w:t>
      </w:r>
      <w:r>
        <w:rPr>
          <w:sz w:val="24"/>
        </w:rPr>
        <w:t>，卖方在生产或经营时应持有全套有效的生产许可证或经营许可证。</w:t>
      </w:r>
    </w:p>
    <w:p>
      <w:pPr>
        <w:pStyle w:val="19"/>
        <w:numPr>
          <w:ilvl w:val="0"/>
          <w:numId w:val="4"/>
        </w:numPr>
        <w:tabs>
          <w:tab w:val="left" w:pos="993"/>
        </w:tabs>
        <w:spacing w:before="72" w:beforeLines="30" w:after="72" w:afterLines="30" w:line="360" w:lineRule="auto"/>
        <w:ind w:left="567" w:hanging="567"/>
        <w:jc w:val="left"/>
        <w:rPr>
          <w:sz w:val="24"/>
          <w:szCs w:val="24"/>
        </w:rPr>
      </w:pPr>
      <w:bookmarkStart w:id="72" w:name="_Toc306354323"/>
      <w:r>
        <w:rPr>
          <w:rFonts w:hint="eastAsia" w:ascii="Times New Roman" w:hAnsi="Times New Roman"/>
          <w:sz w:val="24"/>
          <w:szCs w:val="24"/>
        </w:rPr>
        <w:t xml:space="preserve"> 转让</w:t>
      </w:r>
      <w:r>
        <w:rPr>
          <w:rFonts w:hint="eastAsia"/>
          <w:sz w:val="24"/>
          <w:szCs w:val="24"/>
        </w:rPr>
        <w:t>和分包</w:t>
      </w:r>
      <w:bookmarkEnd w:id="72"/>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14.1  </w:t>
      </w:r>
      <w:r>
        <w:rPr>
          <w:sz w:val="24"/>
        </w:rPr>
        <w:t>未经买方</w:t>
      </w:r>
      <w:r>
        <w:rPr>
          <w:rFonts w:hint="eastAsia"/>
          <w:sz w:val="24"/>
        </w:rPr>
        <w:t>事先</w:t>
      </w:r>
      <w:r>
        <w:rPr>
          <w:sz w:val="24"/>
        </w:rPr>
        <w:t>书面同意，卖方不得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全部或部分转让给任何第三方，包括卖方的关联企业</w:t>
      </w:r>
      <w:r>
        <w:rPr>
          <w:sz w:val="24"/>
        </w:rPr>
        <w:t>。</w:t>
      </w:r>
      <w:r>
        <w:rPr>
          <w:rFonts w:hint="eastAsia"/>
          <w:sz w:val="24"/>
        </w:rPr>
        <w:t>买方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卖方</w:t>
      </w:r>
      <w:r>
        <w:rPr>
          <w:sz w:val="24"/>
        </w:rPr>
        <w:t>的同意，但应书面通知</w:t>
      </w:r>
      <w:r>
        <w:rPr>
          <w:rFonts w:hint="eastAsia"/>
          <w:sz w:val="24"/>
        </w:rPr>
        <w:t>卖方</w:t>
      </w:r>
      <w:r>
        <w:rPr>
          <w:sz w:val="24"/>
        </w:rPr>
        <w:t>。</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14.2  </w:t>
      </w:r>
      <w:r>
        <w:rPr>
          <w:rFonts w:hint="eastAsia"/>
          <w:sz w:val="24"/>
        </w:rPr>
        <w:t>未经买方事先书面同意，卖方不得将其在本合同项下的任何义务分包给任何第三方，包括卖方的关联企业。</w:t>
      </w:r>
      <w:bookmarkStart w:id="73" w:name="_DV_C867"/>
      <w:r>
        <w:rPr>
          <w:rFonts w:hint="eastAsia"/>
          <w:sz w:val="24"/>
        </w:rPr>
        <w:t>卖方不得将本合同转包给任何第三方，包括其关联企业。</w:t>
      </w:r>
      <w:bookmarkEnd w:id="73"/>
    </w:p>
    <w:bookmarkEnd w:id="62"/>
    <w:bookmarkEnd w:id="63"/>
    <w:bookmarkEnd w:id="64"/>
    <w:bookmarkEnd w:id="65"/>
    <w:bookmarkEnd w:id="66"/>
    <w:p>
      <w:pPr>
        <w:pStyle w:val="19"/>
        <w:numPr>
          <w:ilvl w:val="0"/>
          <w:numId w:val="4"/>
        </w:numPr>
        <w:tabs>
          <w:tab w:val="left" w:pos="993"/>
        </w:tabs>
        <w:spacing w:before="72" w:beforeLines="30" w:after="72" w:afterLines="30" w:line="360" w:lineRule="auto"/>
        <w:ind w:left="567" w:hanging="567"/>
        <w:jc w:val="left"/>
        <w:rPr>
          <w:rFonts w:hAnsi="宋体"/>
          <w:color w:val="000000"/>
          <w:sz w:val="24"/>
          <w:szCs w:val="24"/>
        </w:rPr>
      </w:pPr>
      <w:bookmarkStart w:id="74" w:name="_Toc306354324"/>
      <w:r>
        <w:rPr>
          <w:rFonts w:hint="eastAsia" w:hAnsi="宋体"/>
          <w:color w:val="000000"/>
          <w:sz w:val="24"/>
          <w:szCs w:val="24"/>
        </w:rPr>
        <w:t xml:space="preserve"> 不可抗力</w:t>
      </w:r>
      <w:bookmarkEnd w:id="74"/>
    </w:p>
    <w:p>
      <w:pPr>
        <w:pStyle w:val="9"/>
        <w:widowControl/>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15.1  </w:t>
      </w:r>
      <w:r>
        <w:rPr>
          <w:rFonts w:hint="eastAsia"/>
          <w:sz w:val="24"/>
        </w:rPr>
        <w:t>不可抗力系指本合同的履行过程中，任何一方经合理努力仍不可预见、不可避免并不能克服的客观情况。</w:t>
      </w:r>
      <w:r>
        <w:rPr>
          <w:sz w:val="24"/>
        </w:rPr>
        <w:t>任何一方因不可抗力不能或延迟履行本合同，不承担违约责任。</w:t>
      </w:r>
    </w:p>
    <w:p>
      <w:pPr>
        <w:pStyle w:val="9"/>
        <w:widowControl/>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15.2  </w:t>
      </w:r>
      <w:r>
        <w:rPr>
          <w:sz w:val="24"/>
        </w:rPr>
        <w:t>如果一方遭受不可抗力，应立即（不迟于24小时内）通知另一方，并采取一切合理、必要的措施减少损失及不可抗力的影响，恢复合同的履行。</w:t>
      </w:r>
      <w:r>
        <w:rPr>
          <w:rFonts w:hint="eastAsia"/>
          <w:sz w:val="24"/>
        </w:rPr>
        <w:t>不可抗力结束后</w:t>
      </w:r>
      <w:r>
        <w:rPr>
          <w:sz w:val="24"/>
        </w:rPr>
        <w:t>48</w:t>
      </w:r>
      <w:r>
        <w:rPr>
          <w:rFonts w:hint="eastAsia"/>
          <w:sz w:val="24"/>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15.3  </w:t>
      </w:r>
      <w:r>
        <w:rPr>
          <w:rFonts w:hint="eastAsia"/>
          <w:sz w:val="24"/>
        </w:rPr>
        <w:t>如发生不可抗力，双方各自承担其人员和财产损失。一旦不可抗力停止或者影响消除，双方应立即履行其义务，合同的期限应该相应顺延。如果不可抗力的影响持续超过</w:t>
      </w:r>
      <w:r>
        <w:rPr>
          <w:rFonts w:hint="eastAsia"/>
          <w:color w:val="auto"/>
          <w:sz w:val="24"/>
          <w:highlight w:val="none"/>
        </w:rPr>
        <w:t>【</w:t>
      </w:r>
      <w:r>
        <w:rPr>
          <w:rFonts w:hint="eastAsia"/>
          <w:i/>
          <w:color w:val="auto"/>
          <w:sz w:val="24"/>
          <w:highlight w:val="none"/>
          <w:lang w:val="en-US" w:eastAsia="zh-CN"/>
        </w:rPr>
        <w:t>10</w:t>
      </w:r>
      <w:r>
        <w:rPr>
          <w:rFonts w:hint="eastAsia"/>
          <w:color w:val="auto"/>
          <w:sz w:val="24"/>
          <w:highlight w:val="none"/>
        </w:rPr>
        <w:t>】</w:t>
      </w:r>
      <w:r>
        <w:rPr>
          <w:rFonts w:hint="eastAsia"/>
          <w:sz w:val="24"/>
        </w:rPr>
        <w:t>日，双方应该共同商议应对措施。</w:t>
      </w:r>
    </w:p>
    <w:p>
      <w:pPr>
        <w:pStyle w:val="9"/>
        <w:widowControl/>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15.4  </w:t>
      </w:r>
      <w:r>
        <w:rPr>
          <w:rFonts w:hint="eastAsia"/>
          <w:sz w:val="24"/>
        </w:rPr>
        <w:t>任何一方迟延履行合同后遭受不可抗力的，不得减少、免除该方在本合同项下的任何义务和责任。</w:t>
      </w:r>
    </w:p>
    <w:p>
      <w:pPr>
        <w:pStyle w:val="19"/>
        <w:numPr>
          <w:ilvl w:val="0"/>
          <w:numId w:val="4"/>
        </w:numPr>
        <w:tabs>
          <w:tab w:val="left" w:pos="993"/>
        </w:tabs>
        <w:spacing w:before="72" w:beforeLines="30" w:after="72" w:afterLines="30" w:line="360" w:lineRule="auto"/>
        <w:ind w:left="567" w:hanging="567"/>
        <w:jc w:val="left"/>
        <w:rPr>
          <w:sz w:val="24"/>
          <w:szCs w:val="24"/>
        </w:rPr>
      </w:pPr>
      <w:bookmarkStart w:id="75" w:name="_Toc306354326"/>
      <w:bookmarkStart w:id="76" w:name="_Toc298158360"/>
      <w:r>
        <w:rPr>
          <w:rFonts w:hint="eastAsia"/>
          <w:sz w:val="24"/>
          <w:szCs w:val="24"/>
        </w:rPr>
        <w:t xml:space="preserve"> 保密</w:t>
      </w:r>
      <w:bookmarkEnd w:id="75"/>
      <w:bookmarkEnd w:id="76"/>
    </w:p>
    <w:p>
      <w:pPr>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16.1  </w:t>
      </w:r>
      <w:r>
        <w:rPr>
          <w:sz w:val="24"/>
        </w:rPr>
        <w:t>除非法律法规、政府机关另行强制要求，未经</w:t>
      </w:r>
      <w:r>
        <w:rPr>
          <w:rFonts w:hint="eastAsia"/>
          <w:sz w:val="24"/>
        </w:rPr>
        <w:t>买方</w:t>
      </w:r>
      <w:r>
        <w:rPr>
          <w:sz w:val="24"/>
        </w:rPr>
        <w:t>同意，</w:t>
      </w:r>
      <w:r>
        <w:rPr>
          <w:rFonts w:hint="eastAsia"/>
          <w:sz w:val="24"/>
        </w:rPr>
        <w:t>卖方</w:t>
      </w:r>
      <w:r>
        <w:rPr>
          <w:sz w:val="24"/>
        </w:rPr>
        <w:t>不得将</w:t>
      </w:r>
      <w:r>
        <w:rPr>
          <w:rFonts w:hint="eastAsia"/>
          <w:sz w:val="24"/>
        </w:rPr>
        <w:t>买</w:t>
      </w:r>
      <w:r>
        <w:rPr>
          <w:sz w:val="24"/>
        </w:rPr>
        <w:t>方保密信息披露给任何第三方（包括与合同无关的</w:t>
      </w:r>
      <w:r>
        <w:rPr>
          <w:rFonts w:hint="eastAsia"/>
          <w:sz w:val="24"/>
        </w:rPr>
        <w:t>卖</w:t>
      </w:r>
      <w:r>
        <w:rPr>
          <w:sz w:val="24"/>
        </w:rPr>
        <w:t>方员工和政府部门），亦不得将该等信息用于与本合同无关的用途。保密信息包括但不限于：合同内容；</w:t>
      </w:r>
      <w:r>
        <w:rPr>
          <w:rFonts w:hint="eastAsia"/>
          <w:sz w:val="24"/>
        </w:rPr>
        <w:t>买方提供的</w:t>
      </w:r>
      <w:r>
        <w:rPr>
          <w:sz w:val="24"/>
        </w:rPr>
        <w:t>与本合同有关的任何技术信息、图纸、样本、资料等；</w:t>
      </w:r>
      <w:r>
        <w:rPr>
          <w:rFonts w:hint="eastAsia"/>
          <w:sz w:val="24"/>
        </w:rPr>
        <w:t>买方</w:t>
      </w:r>
      <w:r>
        <w:rPr>
          <w:sz w:val="24"/>
        </w:rPr>
        <w:t>提供的或</w:t>
      </w:r>
      <w:r>
        <w:rPr>
          <w:rFonts w:hint="eastAsia"/>
          <w:sz w:val="24"/>
        </w:rPr>
        <w:t>卖方</w:t>
      </w:r>
      <w:r>
        <w:rPr>
          <w:sz w:val="24"/>
        </w:rPr>
        <w:t>获得的与项目或买方有关的任何技术和商务信息。</w:t>
      </w:r>
    </w:p>
    <w:p>
      <w:pPr>
        <w:pStyle w:val="19"/>
        <w:numPr>
          <w:ilvl w:val="0"/>
          <w:numId w:val="4"/>
        </w:numPr>
        <w:tabs>
          <w:tab w:val="left" w:pos="993"/>
        </w:tabs>
        <w:spacing w:before="72" w:beforeLines="30" w:after="72" w:afterLines="30" w:line="360" w:lineRule="auto"/>
        <w:ind w:left="567" w:hanging="567"/>
        <w:jc w:val="left"/>
        <w:rPr>
          <w:sz w:val="24"/>
          <w:szCs w:val="24"/>
        </w:rPr>
      </w:pPr>
      <w:bookmarkStart w:id="77" w:name="_Toc306354328"/>
      <w:r>
        <w:rPr>
          <w:rFonts w:hint="eastAsia"/>
          <w:sz w:val="24"/>
          <w:szCs w:val="24"/>
        </w:rPr>
        <w:t xml:space="preserve"> 审计、禁止商业贿赂和反腐败</w:t>
      </w:r>
    </w:p>
    <w:p>
      <w:pPr>
        <w:pStyle w:val="34"/>
        <w:numPr>
          <w:ilvl w:val="0"/>
          <w:numId w:val="0"/>
        </w:numPr>
        <w:adjustRightInd w:val="0"/>
        <w:snapToGrid w:val="0"/>
        <w:spacing w:before="72" w:beforeLines="30" w:after="72" w:afterLines="30" w:line="360" w:lineRule="auto"/>
        <w:ind w:leftChars="0"/>
        <w:rPr>
          <w:rFonts w:asciiTheme="minorEastAsia" w:hAnsiTheme="minorEastAsia" w:eastAsiaTheme="minorEastAsia"/>
          <w:sz w:val="24"/>
        </w:rPr>
      </w:pPr>
      <w:r>
        <w:rPr>
          <w:rFonts w:hint="eastAsia" w:asciiTheme="minorEastAsia" w:hAnsiTheme="minorEastAsia" w:eastAsiaTheme="minorEastAsia"/>
          <w:kern w:val="0"/>
          <w:sz w:val="24"/>
          <w:lang w:val="en-US" w:eastAsia="zh-CN"/>
        </w:rPr>
        <w:t xml:space="preserve">17.1  </w:t>
      </w:r>
      <w:r>
        <w:rPr>
          <w:rFonts w:hint="eastAsia" w:asciiTheme="minorEastAsia" w:hAnsiTheme="minorEastAsia" w:eastAsiaTheme="minorEastAsia"/>
          <w:kern w:val="0"/>
          <w:sz w:val="24"/>
        </w:rPr>
        <w:t>卖方应根据买方要求，接受和配合买方或买方委</w:t>
      </w:r>
      <w:r>
        <w:rPr>
          <w:rFonts w:hint="eastAsia" w:asciiTheme="minorEastAsia" w:hAnsiTheme="minorEastAsia" w:eastAsiaTheme="minorEastAsia"/>
          <w:sz w:val="24"/>
        </w:rPr>
        <w:t>托的会计师事务所进行的与本合同相关的审计。</w:t>
      </w:r>
    </w:p>
    <w:p>
      <w:pPr>
        <w:pStyle w:val="34"/>
        <w:numPr>
          <w:ilvl w:val="0"/>
          <w:numId w:val="0"/>
        </w:numPr>
        <w:adjustRightInd w:val="0"/>
        <w:snapToGrid w:val="0"/>
        <w:spacing w:before="72" w:beforeLines="30" w:after="72" w:afterLines="30" w:line="360" w:lineRule="auto"/>
        <w:ind w:leftChars="0"/>
        <w:rPr>
          <w:rFonts w:asciiTheme="minorEastAsia" w:hAnsiTheme="minorEastAsia" w:eastAsiaTheme="minorEastAsia"/>
          <w:sz w:val="24"/>
        </w:rPr>
      </w:pPr>
      <w:r>
        <w:rPr>
          <w:rFonts w:hint="eastAsia" w:asciiTheme="minorEastAsia" w:hAnsiTheme="minorEastAsia" w:eastAsiaTheme="minorEastAsia"/>
          <w:kern w:val="0"/>
          <w:sz w:val="24"/>
          <w:lang w:val="en-US" w:eastAsia="zh-CN"/>
        </w:rPr>
        <w:t xml:space="preserve">17.2  </w:t>
      </w:r>
      <w:r>
        <w:rPr>
          <w:rFonts w:hint="eastAsia" w:asciiTheme="minorEastAsia" w:hAnsiTheme="minorEastAsia" w:eastAsiaTheme="minorEastAsia"/>
          <w:kern w:val="0"/>
          <w:sz w:val="24"/>
        </w:rPr>
        <w:t>卖方应保存与本合同相关的记录和账目，保存期限为本合同终止后</w:t>
      </w:r>
      <w:r>
        <w:rPr>
          <w:rFonts w:hint="eastAsia" w:asciiTheme="minorEastAsia" w:hAnsiTheme="minorEastAsia" w:eastAsiaTheme="minorEastAsia"/>
          <w:i w:val="0"/>
          <w:iCs w:val="0"/>
          <w:kern w:val="0"/>
          <w:sz w:val="24"/>
          <w:highlight w:val="none"/>
        </w:rPr>
        <w:t>【十（</w:t>
      </w:r>
      <w:r>
        <w:rPr>
          <w:rFonts w:asciiTheme="minorEastAsia" w:hAnsiTheme="minorEastAsia" w:eastAsiaTheme="minorEastAsia"/>
          <w:i w:val="0"/>
          <w:iCs w:val="0"/>
          <w:kern w:val="0"/>
          <w:sz w:val="24"/>
          <w:highlight w:val="none"/>
        </w:rPr>
        <w:t>10</w:t>
      </w:r>
      <w:r>
        <w:rPr>
          <w:rFonts w:hint="eastAsia" w:asciiTheme="minorEastAsia" w:hAnsiTheme="minorEastAsia" w:eastAsiaTheme="minorEastAsia"/>
          <w:i w:val="0"/>
          <w:iCs w:val="0"/>
          <w:kern w:val="0"/>
          <w:sz w:val="24"/>
          <w:highlight w:val="none"/>
        </w:rPr>
        <w:t>）】</w:t>
      </w:r>
      <w:r>
        <w:rPr>
          <w:rFonts w:hint="eastAsia" w:asciiTheme="minorEastAsia" w:hAnsiTheme="minorEastAsia" w:eastAsiaTheme="minorEastAsia"/>
          <w:kern w:val="0"/>
          <w:sz w:val="24"/>
        </w:rPr>
        <w:t>年或遵从所在国相关规定。经提前通知，买方或买方委托的会计师事务所有权检查并复制该等记录和账目。</w:t>
      </w:r>
    </w:p>
    <w:p>
      <w:pPr>
        <w:pStyle w:val="34"/>
        <w:numPr>
          <w:ilvl w:val="0"/>
          <w:numId w:val="0"/>
        </w:numPr>
        <w:spacing w:line="360" w:lineRule="auto"/>
        <w:ind w:leftChars="0"/>
        <w:rPr>
          <w:rFonts w:asciiTheme="minorEastAsia" w:hAnsiTheme="minorEastAsia" w:eastAsiaTheme="minorEastAsia"/>
          <w:sz w:val="24"/>
        </w:rPr>
      </w:pPr>
      <w:r>
        <w:rPr>
          <w:rFonts w:hint="eastAsia" w:asciiTheme="minorEastAsia" w:hAnsiTheme="minorEastAsia" w:eastAsiaTheme="minorEastAsia"/>
          <w:sz w:val="24"/>
          <w:lang w:val="en-US" w:eastAsia="zh-CN"/>
        </w:rPr>
        <w:t xml:space="preserve">17.3  </w:t>
      </w:r>
      <w:r>
        <w:rPr>
          <w:rFonts w:hint="eastAsia" w:asciiTheme="minorEastAsia" w:hAnsiTheme="minorEastAsia" w:eastAsiaTheme="minor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9"/>
        <w:numPr>
          <w:ilvl w:val="0"/>
          <w:numId w:val="4"/>
        </w:numPr>
        <w:tabs>
          <w:tab w:val="left" w:pos="993"/>
        </w:tabs>
        <w:spacing w:before="72" w:beforeLines="30" w:after="72" w:afterLines="30" w:line="360" w:lineRule="auto"/>
        <w:ind w:left="567" w:hanging="567"/>
        <w:jc w:val="left"/>
        <w:rPr>
          <w:sz w:val="24"/>
          <w:szCs w:val="24"/>
        </w:rPr>
      </w:pPr>
      <w:r>
        <w:rPr>
          <w:rFonts w:hint="eastAsia"/>
          <w:sz w:val="24"/>
          <w:szCs w:val="24"/>
        </w:rPr>
        <w:t xml:space="preserve"> 通知</w:t>
      </w:r>
      <w:bookmarkEnd w:id="77"/>
    </w:p>
    <w:p>
      <w:pPr>
        <w:widowControl/>
        <w:numPr>
          <w:ilvl w:val="0"/>
          <w:numId w:val="0"/>
        </w:numPr>
        <w:tabs>
          <w:tab w:val="left" w:pos="567"/>
          <w:tab w:val="left" w:pos="709"/>
        </w:tabs>
        <w:autoSpaceDE w:val="0"/>
        <w:autoSpaceDN w:val="0"/>
        <w:spacing w:before="72" w:beforeLines="30" w:after="72" w:afterLines="30" w:line="360" w:lineRule="auto"/>
        <w:ind w:leftChars="0"/>
        <w:jc w:val="left"/>
        <w:textAlignment w:val="bottom"/>
        <w:rPr>
          <w:sz w:val="24"/>
        </w:rPr>
      </w:pPr>
      <w:r>
        <w:rPr>
          <w:rFonts w:hint="eastAsia"/>
          <w:sz w:val="24"/>
          <w:lang w:val="en-US" w:eastAsia="zh-CN"/>
        </w:rPr>
        <w:t xml:space="preserve">18.1  </w:t>
      </w:r>
      <w:r>
        <w:rPr>
          <w:rFonts w:hint="eastAsia"/>
          <w:sz w:val="24"/>
        </w:rPr>
        <w:t>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17"/>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17"/>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用特快专递</w:t>
      </w:r>
      <w:r>
        <w:rPr>
          <w:sz w:val="24"/>
        </w:rPr>
        <w:t>方式，于</w:t>
      </w:r>
      <w:r>
        <w:rPr>
          <w:rFonts w:hint="eastAsia"/>
          <w:sz w:val="24"/>
        </w:rPr>
        <w:t>收件人签收</w:t>
      </w:r>
      <w:r>
        <w:rPr>
          <w:sz w:val="24"/>
        </w:rPr>
        <w:t>之时</w:t>
      </w:r>
      <w:r>
        <w:rPr>
          <w:rFonts w:hint="eastAsia"/>
          <w:sz w:val="24"/>
        </w:rPr>
        <w:t>；</w:t>
      </w:r>
    </w:p>
    <w:p>
      <w:pPr>
        <w:widowControl/>
        <w:numPr>
          <w:ilvl w:val="1"/>
          <w:numId w:val="17"/>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传真方式，于确认传输之时</w:t>
      </w:r>
      <w:r>
        <w:rPr>
          <w:rFonts w:hint="eastAsia"/>
          <w:sz w:val="24"/>
        </w:rPr>
        <w:t>。</w:t>
      </w:r>
    </w:p>
    <w:p>
      <w:pPr>
        <w:widowControl/>
        <w:numPr>
          <w:ilvl w:val="0"/>
          <w:numId w:val="0"/>
        </w:numPr>
        <w:tabs>
          <w:tab w:val="left" w:pos="567"/>
          <w:tab w:val="left" w:pos="709"/>
        </w:tabs>
        <w:autoSpaceDE w:val="0"/>
        <w:autoSpaceDN w:val="0"/>
        <w:spacing w:before="72" w:beforeLines="30" w:after="72" w:afterLines="30" w:line="360" w:lineRule="auto"/>
        <w:ind w:leftChars="0"/>
        <w:jc w:val="left"/>
        <w:textAlignment w:val="bottom"/>
        <w:rPr>
          <w:sz w:val="24"/>
        </w:rPr>
      </w:pPr>
      <w:r>
        <w:rPr>
          <w:rFonts w:hint="eastAsia" w:ascii="宋体" w:hAnsi="宋体"/>
          <w:sz w:val="24"/>
          <w:lang w:val="en-US" w:eastAsia="zh-CN"/>
        </w:rPr>
        <w:t xml:space="preserve">18.2  </w:t>
      </w: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numPr>
          <w:ilvl w:val="0"/>
          <w:numId w:val="0"/>
        </w:numPr>
        <w:adjustRightInd w:val="0"/>
        <w:snapToGrid w:val="0"/>
        <w:spacing w:line="360" w:lineRule="auto"/>
        <w:ind w:leftChars="0"/>
        <w:jc w:val="left"/>
        <w:textAlignment w:val="baseline"/>
        <w:outlineLvl w:val="3"/>
        <w:rPr>
          <w:sz w:val="24"/>
        </w:rPr>
      </w:pPr>
      <w:r>
        <w:rPr>
          <w:rFonts w:hint="eastAsia" w:hAnsi="宋体"/>
          <w:bCs/>
          <w:kern w:val="0"/>
          <w:sz w:val="24"/>
          <w:lang w:val="en-US" w:eastAsia="zh-CN"/>
        </w:rPr>
        <w:t xml:space="preserve">18.3  </w:t>
      </w:r>
      <w:r>
        <w:rPr>
          <w:rFonts w:hint="eastAsia" w:hAnsi="宋体"/>
          <w:bCs/>
          <w:kern w:val="0"/>
          <w:sz w:val="24"/>
        </w:rPr>
        <w:t>本合同送达地址适用范围包括就本合同发生争议时相关文件和法律文书的 送达（包括在争议进入仲裁、民事诉讼程序后的一审、二审、再审和执行程序）。</w:t>
      </w:r>
    </w:p>
    <w:p>
      <w:pPr>
        <w:pStyle w:val="19"/>
        <w:numPr>
          <w:ilvl w:val="0"/>
          <w:numId w:val="4"/>
        </w:numPr>
        <w:tabs>
          <w:tab w:val="left" w:pos="567"/>
        </w:tabs>
        <w:spacing w:before="72" w:beforeLines="30" w:after="72" w:afterLines="30" w:line="360" w:lineRule="auto"/>
        <w:ind w:left="567" w:hanging="567"/>
        <w:jc w:val="left"/>
        <w:rPr>
          <w:sz w:val="24"/>
          <w:szCs w:val="24"/>
        </w:rPr>
      </w:pPr>
      <w:bookmarkStart w:id="78" w:name="_Toc306354329"/>
      <w:r>
        <w:rPr>
          <w:sz w:val="24"/>
          <w:szCs w:val="24"/>
        </w:rPr>
        <w:t>法律适用</w:t>
      </w:r>
      <w:r>
        <w:rPr>
          <w:rFonts w:hint="eastAsia"/>
          <w:sz w:val="24"/>
          <w:szCs w:val="24"/>
        </w:rPr>
        <w:t>和</w:t>
      </w:r>
      <w:r>
        <w:rPr>
          <w:sz w:val="24"/>
          <w:szCs w:val="24"/>
        </w:rPr>
        <w:t>争议解决</w:t>
      </w:r>
      <w:bookmarkEnd w:id="78"/>
    </w:p>
    <w:p>
      <w:pPr>
        <w:numPr>
          <w:ilvl w:val="0"/>
          <w:numId w:val="0"/>
        </w:numPr>
        <w:tabs>
          <w:tab w:val="left" w:pos="567"/>
        </w:tabs>
        <w:spacing w:before="72" w:beforeLines="30" w:after="72" w:afterLines="30" w:line="360" w:lineRule="auto"/>
        <w:ind w:leftChars="0"/>
        <w:rPr>
          <w:rFonts w:ascii="宋体" w:hAnsi="宋体"/>
          <w:sz w:val="24"/>
        </w:rPr>
      </w:pPr>
      <w:bookmarkStart w:id="79" w:name="_Toc296955884"/>
      <w:bookmarkStart w:id="80" w:name="_Toc296959346"/>
      <w:r>
        <w:rPr>
          <w:rFonts w:hint="eastAsia" w:ascii="宋体" w:hAnsi="宋体"/>
          <w:sz w:val="24"/>
          <w:lang w:val="en-US" w:eastAsia="zh-CN"/>
        </w:rPr>
        <w:t xml:space="preserve">19.1  </w:t>
      </w:r>
      <w:r>
        <w:rPr>
          <w:rFonts w:hint="eastAsia" w:ascii="宋体" w:hAnsi="宋体"/>
          <w:sz w:val="24"/>
        </w:rPr>
        <w:t>本合同适用中华人民共和国（不含香港特别行政区、澳门特别行政区和台湾地区）法律。</w:t>
      </w:r>
    </w:p>
    <w:p>
      <w:pPr>
        <w:numPr>
          <w:ilvl w:val="0"/>
          <w:numId w:val="0"/>
        </w:numPr>
        <w:tabs>
          <w:tab w:val="left" w:pos="567"/>
        </w:tabs>
        <w:spacing w:before="72" w:beforeLines="30" w:after="72" w:afterLines="30" w:line="360" w:lineRule="auto"/>
        <w:ind w:leftChars="0"/>
        <w:rPr>
          <w:rFonts w:ascii="宋体" w:hAnsi="宋体"/>
          <w:sz w:val="24"/>
        </w:rPr>
      </w:pPr>
      <w:r>
        <w:rPr>
          <w:rFonts w:hint="eastAsia" w:ascii="宋体" w:hAnsi="宋体"/>
          <w:sz w:val="24"/>
          <w:lang w:val="en-US" w:eastAsia="zh-CN"/>
        </w:rPr>
        <w:t xml:space="preserve">19.2  </w:t>
      </w:r>
      <w:r>
        <w:rPr>
          <w:rFonts w:ascii="宋体" w:hAnsi="宋体"/>
          <w:sz w:val="24"/>
        </w:rPr>
        <w:t>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int="eastAsia" w:ascii="宋体" w:hAnsi="宋体"/>
          <w:sz w:val="24"/>
          <w:highlight w:val="none"/>
        </w:rPr>
        <w:t>【</w:t>
      </w:r>
      <w:r>
        <w:rPr>
          <w:rFonts w:hint="eastAsia" w:ascii="宋体" w:hAnsi="宋体"/>
          <w:i w:val="0"/>
          <w:iCs/>
          <w:sz w:val="24"/>
          <w:highlight w:val="none"/>
        </w:rPr>
        <w:t>如</w:t>
      </w:r>
      <w:r>
        <w:rPr>
          <w:rFonts w:hAnsi="宋体"/>
          <w:i w:val="0"/>
          <w:iCs/>
          <w:sz w:val="24"/>
          <w:highlight w:val="none"/>
        </w:rPr>
        <w:t>六十（</w:t>
      </w:r>
      <w:r>
        <w:rPr>
          <w:i w:val="0"/>
          <w:iCs/>
          <w:sz w:val="24"/>
          <w:highlight w:val="none"/>
        </w:rPr>
        <w:t>60</w:t>
      </w:r>
      <w:r>
        <w:rPr>
          <w:rFonts w:hAnsi="宋体"/>
          <w:i w:val="0"/>
          <w:iCs/>
          <w:sz w:val="24"/>
          <w:highlight w:val="none"/>
        </w:rPr>
        <w:t>）</w:t>
      </w:r>
      <w:r>
        <w:rPr>
          <w:rFonts w:hint="eastAsia" w:ascii="宋体" w:hAnsi="宋体"/>
          <w:sz w:val="24"/>
          <w:highlight w:val="none"/>
        </w:rPr>
        <w:t>】</w:t>
      </w:r>
      <w:r>
        <w:rPr>
          <w:rFonts w:hint="eastAsia" w:ascii="宋体" w:hAnsi="宋体"/>
          <w:sz w:val="24"/>
        </w:rPr>
        <w:t>日内</w:t>
      </w:r>
      <w:r>
        <w:rPr>
          <w:rFonts w:ascii="宋体" w:hAnsi="宋体"/>
          <w:sz w:val="24"/>
        </w:rPr>
        <w:t>仍不能解决</w:t>
      </w:r>
      <w:r>
        <w:rPr>
          <w:rFonts w:hint="eastAsia" w:ascii="宋体" w:hAnsi="宋体"/>
          <w:sz w:val="24"/>
        </w:rPr>
        <w:t>，</w:t>
      </w:r>
      <w:r>
        <w:rPr>
          <w:rFonts w:ascii="宋体" w:hAnsi="宋体"/>
          <w:sz w:val="24"/>
        </w:rPr>
        <w:t>双方同意：向买方所在地人民法院起诉。</w:t>
      </w:r>
    </w:p>
    <w:p>
      <w:pPr>
        <w:numPr>
          <w:ilvl w:val="0"/>
          <w:numId w:val="0"/>
        </w:numPr>
        <w:tabs>
          <w:tab w:val="left" w:pos="567"/>
        </w:tabs>
        <w:spacing w:before="72" w:beforeLines="30" w:after="72" w:afterLines="30" w:line="360" w:lineRule="auto"/>
        <w:ind w:leftChars="0"/>
        <w:rPr>
          <w:b/>
          <w:sz w:val="24"/>
        </w:rPr>
      </w:pPr>
      <w:r>
        <w:rPr>
          <w:rFonts w:hint="eastAsia" w:ascii="宋体" w:hAnsi="宋体"/>
          <w:sz w:val="24"/>
          <w:lang w:val="en-US" w:eastAsia="zh-CN"/>
        </w:rPr>
        <w:t xml:space="preserve">19.3  </w:t>
      </w:r>
      <w:r>
        <w:rPr>
          <w:rFonts w:hint="eastAsia" w:ascii="宋体" w:hAnsi="宋体"/>
          <w:sz w:val="24"/>
        </w:rPr>
        <w:t>争议解决期间</w:t>
      </w:r>
      <w:r>
        <w:rPr>
          <w:rFonts w:ascii="宋体" w:hAnsi="宋体"/>
          <w:sz w:val="24"/>
        </w:rPr>
        <w:t>，除争议事项外，双方应继续履行本合同。</w:t>
      </w:r>
    </w:p>
    <w:bookmarkEnd w:id="79"/>
    <w:bookmarkEnd w:id="80"/>
    <w:p>
      <w:pPr>
        <w:pStyle w:val="19"/>
        <w:numPr>
          <w:ilvl w:val="0"/>
          <w:numId w:val="4"/>
        </w:numPr>
        <w:tabs>
          <w:tab w:val="left" w:pos="567"/>
        </w:tabs>
        <w:spacing w:before="72" w:beforeLines="30" w:after="72" w:afterLines="30" w:line="360" w:lineRule="auto"/>
        <w:ind w:left="567" w:hanging="567"/>
        <w:jc w:val="left"/>
        <w:rPr>
          <w:sz w:val="24"/>
          <w:szCs w:val="24"/>
        </w:rPr>
      </w:pPr>
      <w:bookmarkStart w:id="81" w:name="_Toc306354330"/>
      <w:r>
        <w:rPr>
          <w:rFonts w:hint="eastAsia"/>
          <w:sz w:val="24"/>
          <w:szCs w:val="24"/>
        </w:rPr>
        <w:t xml:space="preserve"> </w:t>
      </w:r>
      <w:r>
        <w:rPr>
          <w:sz w:val="24"/>
          <w:szCs w:val="24"/>
        </w:rPr>
        <w:t>其它</w:t>
      </w:r>
      <w:bookmarkEnd w:id="81"/>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20.1  </w:t>
      </w:r>
      <w:r>
        <w:rPr>
          <w:rFonts w:hint="eastAsia"/>
          <w:sz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20.2  </w:t>
      </w:r>
      <w:r>
        <w:rPr>
          <w:sz w:val="24"/>
        </w:rPr>
        <w:t>本合同自买卖双方</w:t>
      </w:r>
      <w:r>
        <w:rPr>
          <w:rFonts w:hint="eastAsia"/>
          <w:sz w:val="24"/>
        </w:rPr>
        <w:t>法定代表人或授权代表</w:t>
      </w:r>
      <w:r>
        <w:rPr>
          <w:sz w:val="24"/>
        </w:rPr>
        <w:t>签</w:t>
      </w:r>
      <w:r>
        <w:rPr>
          <w:rFonts w:hint="eastAsia"/>
          <w:sz w:val="24"/>
        </w:rPr>
        <w:t>字并盖章</w:t>
      </w:r>
      <w:r>
        <w:rPr>
          <w:sz w:val="24"/>
        </w:rPr>
        <w:t>之日起生效</w:t>
      </w:r>
      <w:r>
        <w:rPr>
          <w:rFonts w:hint="eastAsia"/>
          <w:sz w:val="24"/>
        </w:rPr>
        <w:t>，</w:t>
      </w:r>
      <w:bookmarkStart w:id="82" w:name="OLE_LINK12"/>
      <w:bookmarkStart w:id="83" w:name="OLE_LINK11"/>
      <w:r>
        <w:rPr>
          <w:rFonts w:hint="eastAsia" w:ascii="宋体" w:hAnsi="宋体"/>
          <w:sz w:val="24"/>
        </w:rPr>
        <w:t>自双方履行完本合同项下全部权利和义务后终止</w:t>
      </w:r>
      <w:bookmarkEnd w:id="82"/>
      <w:bookmarkEnd w:id="83"/>
      <w:r>
        <w:rPr>
          <w:sz w:val="24"/>
        </w:rPr>
        <w:t>。</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20.3  </w:t>
      </w:r>
      <w:r>
        <w:rPr>
          <w:rFonts w:hint="eastAsia"/>
          <w:sz w:val="24"/>
        </w:rPr>
        <w:t>本合同签署以前双方就本合同约定的货物买卖及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0"/>
          <w:numId w:val="0"/>
        </w:numPr>
        <w:tabs>
          <w:tab w:val="left" w:pos="567"/>
        </w:tabs>
        <w:spacing w:before="72" w:beforeLines="30" w:after="72" w:afterLines="30" w:line="360" w:lineRule="auto"/>
        <w:ind w:leftChars="0"/>
        <w:rPr>
          <w:rFonts w:ascii="宋体" w:hAnsi="宋体"/>
          <w:sz w:val="24"/>
        </w:rPr>
      </w:pPr>
      <w:r>
        <w:rPr>
          <w:rFonts w:hint="eastAsia" w:ascii="宋体" w:hAnsi="宋体"/>
          <w:sz w:val="24"/>
          <w:lang w:val="en-US" w:eastAsia="zh-CN"/>
        </w:rPr>
        <w:t xml:space="preserve">20.4  </w:t>
      </w:r>
      <w:r>
        <w:rPr>
          <w:rFonts w:ascii="宋体" w:hAnsi="宋体"/>
          <w:sz w:val="24"/>
        </w:rPr>
        <w:t>未经另一方事先书面同意，任何一方不得以任何方式使用另一方的名称、商品商标、服务商标、企业标志、商号或品牌。</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20.5  </w:t>
      </w: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被裁定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20.6 </w:t>
      </w:r>
      <w:r>
        <w:rPr>
          <w:sz w:val="24"/>
        </w:rPr>
        <w:t>本合同履行过程中，</w:t>
      </w:r>
      <w:r>
        <w:rPr>
          <w:rFonts w:hint="eastAsia"/>
          <w:sz w:val="24"/>
        </w:rPr>
        <w:t>如</w:t>
      </w:r>
      <w:r>
        <w:rPr>
          <w:sz w:val="24"/>
        </w:rPr>
        <w:t>卖方</w:t>
      </w:r>
      <w:r>
        <w:rPr>
          <w:rFonts w:hint="eastAsia"/>
          <w:sz w:val="24"/>
        </w:rPr>
        <w:t>发生重组、</w:t>
      </w:r>
      <w:r>
        <w:rPr>
          <w:sz w:val="24"/>
        </w:rPr>
        <w:t>合并、</w:t>
      </w:r>
      <w:r>
        <w:rPr>
          <w:rFonts w:hint="eastAsia"/>
          <w:sz w:val="24"/>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20.7  </w:t>
      </w: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20.8  </w:t>
      </w:r>
      <w:r>
        <w:rPr>
          <w:rFonts w:hint="eastAsia"/>
          <w:sz w:val="24"/>
        </w:rPr>
        <w:t>本</w:t>
      </w:r>
      <w:r>
        <w:rPr>
          <w:sz w:val="24"/>
        </w:rPr>
        <w:t>合同未尽事宜，应由双方协商</w:t>
      </w:r>
      <w:r>
        <w:rPr>
          <w:rFonts w:hint="eastAsia"/>
          <w:sz w:val="24"/>
        </w:rPr>
        <w:t>确定</w:t>
      </w:r>
      <w:r>
        <w:rPr>
          <w:sz w:val="24"/>
        </w:rPr>
        <w:t>，并签订补充协议，补充协议与本合同具有同等法律效力。</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20.9  </w:t>
      </w:r>
      <w:r>
        <w:rPr>
          <w:sz w:val="24"/>
        </w:rPr>
        <w:t>本合同的任何变更、修改或增减，须经双方协商</w:t>
      </w:r>
      <w:r>
        <w:rPr>
          <w:rFonts w:hint="eastAsia"/>
          <w:sz w:val="24"/>
        </w:rPr>
        <w:t>一致、法定代表人或</w:t>
      </w:r>
      <w:r>
        <w:rPr>
          <w:sz w:val="24"/>
        </w:rPr>
        <w:t>授权代表签署书面文件</w:t>
      </w:r>
      <w:r>
        <w:rPr>
          <w:rFonts w:hint="eastAsia"/>
          <w:sz w:val="24"/>
        </w:rPr>
        <w:t>并盖章</w:t>
      </w:r>
      <w:r>
        <w:rPr>
          <w:sz w:val="24"/>
        </w:rPr>
        <w:t>后</w:t>
      </w:r>
      <w:r>
        <w:rPr>
          <w:rFonts w:hint="eastAsia"/>
          <w:sz w:val="24"/>
        </w:rPr>
        <w:t>生</w:t>
      </w:r>
      <w:r>
        <w:rPr>
          <w:sz w:val="24"/>
        </w:rPr>
        <w:t>效。</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20.10 </w:t>
      </w:r>
      <w:r>
        <w:rPr>
          <w:rFonts w:hint="eastAsia"/>
          <w:sz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20.11  </w:t>
      </w:r>
      <w:r>
        <w:rPr>
          <w:rFonts w:hint="eastAsia"/>
          <w:sz w:val="24"/>
        </w:rPr>
        <w:t>本合同系双方协商、讨论的结果，合同内容非一方当事人单方拟定。本合同不属于格式合同，条款内容不属于格式条款。</w:t>
      </w:r>
    </w:p>
    <w:p>
      <w:pPr>
        <w:numPr>
          <w:ilvl w:val="0"/>
          <w:numId w:val="0"/>
        </w:numPr>
        <w:tabs>
          <w:tab w:val="left" w:pos="567"/>
        </w:tabs>
        <w:spacing w:before="72" w:beforeLines="30" w:after="72" w:afterLines="30" w:line="360" w:lineRule="auto"/>
        <w:ind w:leftChars="0"/>
        <w:rPr>
          <w:sz w:val="24"/>
        </w:rPr>
      </w:pPr>
      <w:r>
        <w:rPr>
          <w:rFonts w:hint="eastAsia"/>
          <w:sz w:val="24"/>
          <w:lang w:val="en-US" w:eastAsia="zh-CN"/>
        </w:rPr>
        <w:t xml:space="preserve">20.12  </w:t>
      </w:r>
      <w:r>
        <w:rPr>
          <w:rFonts w:hint="eastAsia"/>
          <w:sz w:val="24"/>
        </w:rPr>
        <w:t>本合同正文、附件及其后的修改文件和补充文件均应采用中文书写。附件及其后的修改文件和补充文件作为本合同不可分割的组成部分，与本合同正文具有同等法律效力。</w:t>
      </w:r>
    </w:p>
    <w:p>
      <w:pPr>
        <w:widowControl/>
        <w:numPr>
          <w:ilvl w:val="0"/>
          <w:numId w:val="0"/>
        </w:numPr>
        <w:tabs>
          <w:tab w:val="left" w:pos="567"/>
        </w:tabs>
        <w:spacing w:before="72" w:beforeLines="30" w:after="72" w:afterLines="30" w:line="360" w:lineRule="auto"/>
        <w:ind w:leftChars="0"/>
        <w:jc w:val="left"/>
        <w:rPr>
          <w:sz w:val="24"/>
        </w:rPr>
      </w:pPr>
      <w:r>
        <w:rPr>
          <w:rFonts w:hint="eastAsia"/>
          <w:sz w:val="24"/>
          <w:lang w:val="en-US" w:eastAsia="zh-CN"/>
        </w:rPr>
        <w:t xml:space="preserve">20.13  </w:t>
      </w:r>
      <w:r>
        <w:rPr>
          <w:sz w:val="24"/>
        </w:rPr>
        <w:t>本合同一式</w:t>
      </w:r>
      <w:r>
        <w:rPr>
          <w:rFonts w:hint="eastAsia"/>
          <w:sz w:val="24"/>
          <w:highlight w:val="none"/>
        </w:rPr>
        <w:t>【</w:t>
      </w:r>
      <w:r>
        <w:rPr>
          <w:rFonts w:hint="eastAsia"/>
          <w:i w:val="0"/>
          <w:iCs/>
          <w:sz w:val="24"/>
          <w:highlight w:val="none"/>
          <w:lang w:val="en-US" w:eastAsia="zh-CN"/>
        </w:rPr>
        <w:t>肆</w:t>
      </w:r>
      <w:r>
        <w:rPr>
          <w:rFonts w:hint="eastAsia"/>
          <w:sz w:val="24"/>
          <w:highlight w:val="none"/>
        </w:rPr>
        <w:t>】</w:t>
      </w:r>
      <w:r>
        <w:rPr>
          <w:sz w:val="24"/>
          <w:highlight w:val="none"/>
        </w:rPr>
        <w:t>份，</w:t>
      </w:r>
      <w:r>
        <w:rPr>
          <w:rFonts w:hint="eastAsia"/>
          <w:sz w:val="24"/>
          <w:highlight w:val="none"/>
        </w:rPr>
        <w:t>买方持【</w:t>
      </w:r>
      <w:r>
        <w:rPr>
          <w:rFonts w:hint="eastAsia"/>
          <w:i w:val="0"/>
          <w:iCs/>
          <w:sz w:val="24"/>
          <w:highlight w:val="none"/>
          <w:lang w:val="en-US" w:eastAsia="zh-CN"/>
        </w:rPr>
        <w:t>叁</w:t>
      </w:r>
      <w:r>
        <w:rPr>
          <w:rFonts w:hint="eastAsia"/>
          <w:sz w:val="24"/>
          <w:highlight w:val="none"/>
        </w:rPr>
        <w:t>】份</w:t>
      </w:r>
      <w:r>
        <w:rPr>
          <w:sz w:val="24"/>
        </w:rPr>
        <w:t>，</w:t>
      </w:r>
      <w:r>
        <w:rPr>
          <w:rFonts w:hint="eastAsia"/>
          <w:sz w:val="24"/>
          <w:highlight w:val="none"/>
          <w:lang w:val="en-US" w:eastAsia="zh-CN"/>
        </w:rPr>
        <w:t>卖</w:t>
      </w:r>
      <w:r>
        <w:rPr>
          <w:rFonts w:hint="eastAsia"/>
          <w:sz w:val="24"/>
          <w:highlight w:val="none"/>
        </w:rPr>
        <w:t>方持【</w:t>
      </w:r>
      <w:r>
        <w:rPr>
          <w:rFonts w:hint="eastAsia"/>
          <w:i w:val="0"/>
          <w:iCs/>
          <w:sz w:val="24"/>
          <w:highlight w:val="none"/>
          <w:lang w:val="en-US" w:eastAsia="zh-CN"/>
        </w:rPr>
        <w:t>壹</w:t>
      </w:r>
      <w:r>
        <w:rPr>
          <w:rFonts w:hint="eastAsia"/>
          <w:sz w:val="24"/>
          <w:highlight w:val="none"/>
        </w:rPr>
        <w:t>】份</w:t>
      </w:r>
      <w:r>
        <w:rPr>
          <w:sz w:val="24"/>
        </w:rPr>
        <w:t>，具有同等效力。</w:t>
      </w:r>
    </w:p>
    <w:p>
      <w:pPr>
        <w:tabs>
          <w:tab w:val="left" w:pos="850"/>
        </w:tabs>
        <w:autoSpaceDE w:val="0"/>
        <w:autoSpaceDN w:val="0"/>
        <w:spacing w:before="72" w:beforeLines="30" w:after="72" w:afterLines="30" w:line="360" w:lineRule="auto"/>
        <w:ind w:firstLine="600"/>
        <w:textAlignment w:val="bottom"/>
        <w:rPr>
          <w:sz w:val="24"/>
        </w:rPr>
      </w:pPr>
    </w:p>
    <w:tbl>
      <w:tblPr>
        <w:tblStyle w:val="21"/>
        <w:tblW w:w="5000" w:type="pct"/>
        <w:tblInd w:w="0" w:type="dxa"/>
        <w:tblLayout w:type="autofit"/>
        <w:tblCellMar>
          <w:top w:w="0" w:type="dxa"/>
          <w:left w:w="108" w:type="dxa"/>
          <w:bottom w:w="0" w:type="dxa"/>
          <w:right w:w="108" w:type="dxa"/>
        </w:tblCellMar>
      </w:tblPr>
      <w:tblGrid>
        <w:gridCol w:w="4333"/>
        <w:gridCol w:w="4195"/>
      </w:tblGrid>
      <w:tr>
        <w:tblPrEx>
          <w:tblCellMar>
            <w:top w:w="0" w:type="dxa"/>
            <w:left w:w="108" w:type="dxa"/>
            <w:bottom w:w="0" w:type="dxa"/>
            <w:right w:w="108" w:type="dxa"/>
          </w:tblCellMar>
        </w:tblPrEx>
        <w:trPr>
          <w:trHeight w:val="2653" w:hRule="atLeast"/>
        </w:trPr>
        <w:tc>
          <w:tcPr>
            <w:tcW w:w="2540" w:type="pct"/>
          </w:tcPr>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rFonts w:hint="eastAsia"/>
                <w:sz w:val="24"/>
                <w:u w:val="none"/>
              </w:rPr>
              <w:t>湖北大峪口化工有限责任公司</w:t>
            </w:r>
          </w:p>
          <w:p>
            <w:pPr>
              <w:tabs>
                <w:tab w:val="left" w:pos="850"/>
              </w:tabs>
              <w:autoSpaceDE w:val="0"/>
              <w:autoSpaceDN w:val="0"/>
              <w:spacing w:before="72" w:beforeLines="30" w:after="72" w:afterLines="30" w:line="360" w:lineRule="auto"/>
              <w:ind w:left="1440" w:hanging="1440" w:hangingChars="600"/>
              <w:textAlignment w:val="bottom"/>
              <w:rPr>
                <w:rFonts w:hint="eastAsia" w:eastAsia="宋体"/>
                <w:sz w:val="24"/>
                <w:lang w:val="en-US" w:eastAsia="zh-CN"/>
              </w:rPr>
            </w:pPr>
            <w:r>
              <w:rPr>
                <w:sz w:val="24"/>
              </w:rPr>
              <w:t>买方</w:t>
            </w:r>
            <w:r>
              <w:rPr>
                <w:rFonts w:hint="eastAsia"/>
                <w:sz w:val="24"/>
              </w:rPr>
              <w:t>（盖章）</w:t>
            </w:r>
            <w:r>
              <w:rPr>
                <w:rFonts w:hint="eastAsia"/>
                <w:sz w:val="24"/>
                <w:lang w:eastAsia="zh-CN"/>
              </w:rPr>
              <w:t>：</w:t>
            </w:r>
          </w:p>
        </w:tc>
        <w:tc>
          <w:tcPr>
            <w:tcW w:w="2459" w:type="pct"/>
          </w:tcPr>
          <w:p>
            <w:pPr>
              <w:tabs>
                <w:tab w:val="left" w:pos="850"/>
              </w:tabs>
              <w:autoSpaceDE w:val="0"/>
              <w:autoSpaceDN w:val="0"/>
              <w:spacing w:before="72" w:beforeLines="30" w:after="72" w:afterLines="30" w:line="360" w:lineRule="auto"/>
              <w:textAlignment w:val="bottom"/>
              <w:rPr>
                <w:sz w:val="24"/>
              </w:rPr>
            </w:pPr>
          </w:p>
          <w:p>
            <w:pPr>
              <w:tabs>
                <w:tab w:val="left" w:pos="3060"/>
              </w:tabs>
              <w:spacing w:before="72" w:beforeLines="30" w:after="72" w:afterLines="30" w:line="360" w:lineRule="auto"/>
              <w:rPr>
                <w:sz w:val="24"/>
              </w:rPr>
            </w:pPr>
          </w:p>
          <w:p>
            <w:pPr>
              <w:tabs>
                <w:tab w:val="left" w:pos="3060"/>
              </w:tabs>
              <w:spacing w:line="360" w:lineRule="auto"/>
              <w:ind w:left="2160" w:hanging="2160" w:hangingChars="900"/>
              <w:rPr>
                <w:rFonts w:hint="eastAsia"/>
                <w:color w:val="FF0000"/>
                <w:sz w:val="24"/>
                <w:highlight w:val="none"/>
                <w:u w:val="none"/>
              </w:rPr>
            </w:pPr>
            <w:r>
              <w:rPr>
                <w:sz w:val="24"/>
              </w:rPr>
              <w:t>卖方</w:t>
            </w:r>
            <w:r>
              <w:rPr>
                <w:rFonts w:hint="eastAsia"/>
                <w:sz w:val="24"/>
              </w:rPr>
              <w:t>（盖章）</w:t>
            </w:r>
            <w:r>
              <w:rPr>
                <w:rFonts w:hint="eastAsia"/>
                <w:sz w:val="24"/>
                <w:lang w:eastAsia="zh-CN"/>
              </w:rPr>
              <w:t>：</w:t>
            </w:r>
          </w:p>
          <w:p>
            <w:pPr>
              <w:tabs>
                <w:tab w:val="left" w:pos="3060"/>
              </w:tabs>
              <w:spacing w:before="72" w:beforeLines="30" w:after="72" w:afterLines="30" w:line="360" w:lineRule="auto"/>
              <w:ind w:left="1680" w:hanging="1680" w:hangingChars="700"/>
              <w:rPr>
                <w:color w:val="auto"/>
                <w:sz w:val="24"/>
                <w:highlight w:val="magenta"/>
                <w:u w:val="none"/>
              </w:rPr>
            </w:pPr>
          </w:p>
          <w:p>
            <w:pPr>
              <w:tabs>
                <w:tab w:val="left" w:pos="850"/>
              </w:tabs>
              <w:autoSpaceDE w:val="0"/>
              <w:autoSpaceDN w:val="0"/>
              <w:spacing w:before="72" w:beforeLines="30" w:after="72" w:afterLines="30" w:line="360" w:lineRule="auto"/>
              <w:textAlignment w:val="bottom"/>
              <w:rPr>
                <w:rFonts w:hint="eastAsia" w:eastAsia="宋体"/>
                <w:sz w:val="24"/>
                <w:lang w:eastAsia="zh-CN"/>
              </w:rPr>
            </w:pPr>
          </w:p>
          <w:p>
            <w:pPr>
              <w:tabs>
                <w:tab w:val="left" w:pos="850"/>
              </w:tabs>
              <w:autoSpaceDE w:val="0"/>
              <w:autoSpaceDN w:val="0"/>
              <w:spacing w:before="72" w:beforeLines="30" w:after="72" w:afterLines="30" w:line="360" w:lineRule="auto"/>
              <w:textAlignment w:val="bottom"/>
              <w:rPr>
                <w:sz w:val="24"/>
              </w:rPr>
            </w:pPr>
          </w:p>
        </w:tc>
      </w:tr>
      <w:tr>
        <w:tblPrEx>
          <w:tblCellMar>
            <w:top w:w="0" w:type="dxa"/>
            <w:left w:w="108" w:type="dxa"/>
            <w:bottom w:w="0" w:type="dxa"/>
            <w:right w:w="108" w:type="dxa"/>
          </w:tblCellMar>
        </w:tblPrEx>
        <w:trPr>
          <w:trHeight w:val="1084" w:hRule="atLeast"/>
        </w:trPr>
        <w:tc>
          <w:tcPr>
            <w:tcW w:w="2540"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c>
          <w:tcPr>
            <w:tcW w:w="2459"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r>
    </w:tbl>
    <w:p>
      <w:pPr>
        <w:spacing w:before="72" w:beforeLines="30" w:after="72" w:afterLines="30" w:line="360" w:lineRule="auto"/>
        <w:rPr>
          <w:sz w:val="24"/>
        </w:rPr>
      </w:pPr>
      <w:r>
        <w:rPr>
          <w:rFonts w:hint="eastAsia"/>
          <w:sz w:val="24"/>
        </w:rPr>
        <w:t>姓名：</w:t>
      </w:r>
      <w:r>
        <w:rPr>
          <w:rFonts w:hint="eastAsia"/>
          <w:sz w:val="24"/>
          <w:u w:val="single"/>
        </w:rPr>
        <w:t xml:space="preserve">                     </w:t>
      </w:r>
      <w:r>
        <w:rPr>
          <w:rFonts w:hint="eastAsia"/>
          <w:sz w:val="24"/>
        </w:rPr>
        <w:tab/>
      </w:r>
      <w:r>
        <w:rPr>
          <w:rFonts w:hint="eastAsia"/>
          <w:sz w:val="24"/>
        </w:rPr>
        <w:tab/>
      </w:r>
      <w:r>
        <w:rPr>
          <w:rFonts w:hint="eastAsia"/>
          <w:sz w:val="24"/>
        </w:rPr>
        <w:t xml:space="preserve">          姓名：</w:t>
      </w:r>
      <w:r>
        <w:rPr>
          <w:rFonts w:hint="eastAsia"/>
          <w:sz w:val="24"/>
          <w:u w:val="single"/>
        </w:rPr>
        <w:t xml:space="preserve">                       </w:t>
      </w:r>
    </w:p>
    <w:p>
      <w:pPr>
        <w:spacing w:before="72" w:beforeLines="30" w:after="72" w:afterLines="30" w:line="360" w:lineRule="auto"/>
        <w:rPr>
          <w:sz w:val="24"/>
        </w:rPr>
      </w:pPr>
      <w:r>
        <w:rPr>
          <w:rFonts w:hint="eastAsia"/>
          <w:sz w:val="24"/>
        </w:rPr>
        <w:t>职务：</w:t>
      </w:r>
      <w:r>
        <w:rPr>
          <w:rFonts w:hint="eastAsia"/>
          <w:sz w:val="24"/>
          <w:u w:val="single"/>
        </w:rPr>
        <w:t xml:space="preserve">                     </w:t>
      </w:r>
      <w:r>
        <w:rPr>
          <w:rFonts w:hint="eastAsia"/>
          <w:sz w:val="24"/>
        </w:rPr>
        <w:tab/>
      </w:r>
      <w:r>
        <w:rPr>
          <w:rFonts w:hint="eastAsia"/>
          <w:sz w:val="24"/>
        </w:rPr>
        <w:tab/>
      </w:r>
      <w:r>
        <w:rPr>
          <w:rFonts w:hint="eastAsia"/>
          <w:sz w:val="24"/>
        </w:rPr>
        <w:t xml:space="preserve">          职务：</w:t>
      </w:r>
      <w:r>
        <w:rPr>
          <w:rFonts w:hint="eastAsia"/>
          <w:sz w:val="24"/>
          <w:u w:val="single"/>
        </w:rPr>
        <w:t xml:space="preserve">                       </w:t>
      </w:r>
    </w:p>
    <w:p>
      <w:pPr>
        <w:widowControl/>
        <w:spacing w:before="72" w:beforeLines="30" w:after="72" w:afterLines="30" w:line="360" w:lineRule="auto"/>
        <w:jc w:val="left"/>
        <w:rPr>
          <w:sz w:val="24"/>
        </w:rPr>
      </w:pPr>
    </w:p>
    <w:p>
      <w:pPr>
        <w:widowControl/>
        <w:spacing w:before="72" w:beforeLines="30" w:after="72" w:afterLines="30" w:line="360" w:lineRule="auto"/>
        <w:jc w:val="left"/>
        <w:rPr>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18030">
    <w:altName w:val="微软雅黑"/>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lang w:val="en-US" w:eastAsia="zh-CN"/>
      </w:rPr>
    </w:pPr>
    <w:r>
      <w:rPr>
        <w:rFonts w:hint="eastAsia"/>
        <w:lang w:val="en-US" w:eastAsia="zh-CN"/>
      </w:rPr>
      <w:t>大峪口公司2025年10月液氨买卖合同5                                  合同编号：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eastAsia="宋体"/>
        <w:lang w:val="en-US" w:eastAsia="zh-CN"/>
      </w:rPr>
    </w:pPr>
    <w:r>
      <w:rPr>
        <w:rFonts w:hint="eastAsia"/>
        <w:lang w:val="en-US" w:eastAsia="zh-CN"/>
      </w:rPr>
      <w:t>大峪口公司2025年10月液氨买卖合同5                                  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62356"/>
    <w:multiLevelType w:val="multilevel"/>
    <w:tmpl w:val="0B962356"/>
    <w:lvl w:ilvl="0" w:tentative="0">
      <w:start w:val="1"/>
      <w:numFmt w:val="chineseCountingThousand"/>
      <w:pStyle w:val="27"/>
      <w:lvlText w:val="第%1章"/>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6">
    <w:nsid w:val="3B2C3E48"/>
    <w:multiLevelType w:val="multilevel"/>
    <w:tmpl w:val="3B2C3E48"/>
    <w:lvl w:ilvl="0" w:tentative="0">
      <w:start w:val="1"/>
      <w:numFmt w:val="chineseCountingThousand"/>
      <w:pStyle w:val="33"/>
      <w:lvlText w:val="第%1条"/>
      <w:lvlJc w:val="left"/>
      <w:pPr>
        <w:tabs>
          <w:tab w:val="left" w:pos="720"/>
        </w:tabs>
        <w:ind w:left="720"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0">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A31A03"/>
    <w:multiLevelType w:val="singleLevel"/>
    <w:tmpl w:val="55A31A03"/>
    <w:lvl w:ilvl="0" w:tentative="0">
      <w:start w:val="1"/>
      <w:numFmt w:val="upperLetter"/>
      <w:pStyle w:val="3"/>
      <w:lvlText w:val="%1."/>
      <w:lvlJc w:val="left"/>
      <w:pPr>
        <w:tabs>
          <w:tab w:val="left" w:pos="425"/>
        </w:tabs>
        <w:ind w:left="425" w:hanging="425"/>
      </w:pPr>
    </w:lvl>
  </w:abstractNum>
  <w:abstractNum w:abstractNumId="12">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13">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6"/>
  </w:num>
  <w:num w:numId="4">
    <w:abstractNumId w:val="3"/>
  </w:num>
  <w:num w:numId="5">
    <w:abstractNumId w:val="7"/>
  </w:num>
  <w:num w:numId="6">
    <w:abstractNumId w:val="13"/>
  </w:num>
  <w:num w:numId="7">
    <w:abstractNumId w:val="16"/>
  </w:num>
  <w:num w:numId="8">
    <w:abstractNumId w:val="8"/>
  </w:num>
  <w:num w:numId="9">
    <w:abstractNumId w:val="9"/>
  </w:num>
  <w:num w:numId="10">
    <w:abstractNumId w:val="14"/>
  </w:num>
  <w:num w:numId="11">
    <w:abstractNumId w:val="1"/>
  </w:num>
  <w:num w:numId="12">
    <w:abstractNumId w:val="15"/>
  </w:num>
  <w:num w:numId="13">
    <w:abstractNumId w:val="4"/>
  </w:num>
  <w:num w:numId="14">
    <w:abstractNumId w:val="2"/>
  </w:num>
  <w:num w:numId="15">
    <w:abstractNumId w:val="1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3173737697092392N6"/>
    <w:docVar w:name="aztPrintName" w:val="000000ESAOAPRINT"/>
    <w:docVar w:name="aztPrintType" w:val="2"/>
  </w:docVars>
  <w:rsids>
    <w:rsidRoot w:val="00625D76"/>
    <w:rsid w:val="00004CEC"/>
    <w:rsid w:val="0000545B"/>
    <w:rsid w:val="00011331"/>
    <w:rsid w:val="00011333"/>
    <w:rsid w:val="00012FD7"/>
    <w:rsid w:val="00013605"/>
    <w:rsid w:val="0001404B"/>
    <w:rsid w:val="00016B96"/>
    <w:rsid w:val="00022B95"/>
    <w:rsid w:val="0002439A"/>
    <w:rsid w:val="00024B82"/>
    <w:rsid w:val="00025F1A"/>
    <w:rsid w:val="00026401"/>
    <w:rsid w:val="0003053F"/>
    <w:rsid w:val="0003101B"/>
    <w:rsid w:val="0003361C"/>
    <w:rsid w:val="00034547"/>
    <w:rsid w:val="00041CF8"/>
    <w:rsid w:val="0004406F"/>
    <w:rsid w:val="00055A03"/>
    <w:rsid w:val="00057DF2"/>
    <w:rsid w:val="00061287"/>
    <w:rsid w:val="00063D99"/>
    <w:rsid w:val="00067FDB"/>
    <w:rsid w:val="000732AA"/>
    <w:rsid w:val="000735C6"/>
    <w:rsid w:val="000748F7"/>
    <w:rsid w:val="000773F1"/>
    <w:rsid w:val="00081564"/>
    <w:rsid w:val="00085FEF"/>
    <w:rsid w:val="00087217"/>
    <w:rsid w:val="000878A0"/>
    <w:rsid w:val="00090976"/>
    <w:rsid w:val="0009156E"/>
    <w:rsid w:val="000A2853"/>
    <w:rsid w:val="000A2870"/>
    <w:rsid w:val="000A3C20"/>
    <w:rsid w:val="000A578A"/>
    <w:rsid w:val="000A5EAA"/>
    <w:rsid w:val="000B6D2C"/>
    <w:rsid w:val="000C3D61"/>
    <w:rsid w:val="000C48FC"/>
    <w:rsid w:val="000C5F03"/>
    <w:rsid w:val="000C689A"/>
    <w:rsid w:val="000C7F89"/>
    <w:rsid w:val="000D4C46"/>
    <w:rsid w:val="000D4C5B"/>
    <w:rsid w:val="000D570F"/>
    <w:rsid w:val="000D6173"/>
    <w:rsid w:val="000E0280"/>
    <w:rsid w:val="000E0E13"/>
    <w:rsid w:val="000F05AF"/>
    <w:rsid w:val="000F1B81"/>
    <w:rsid w:val="000F2D77"/>
    <w:rsid w:val="0010079D"/>
    <w:rsid w:val="00105CDB"/>
    <w:rsid w:val="00106189"/>
    <w:rsid w:val="0011279C"/>
    <w:rsid w:val="0012299F"/>
    <w:rsid w:val="00124126"/>
    <w:rsid w:val="00127865"/>
    <w:rsid w:val="00127B14"/>
    <w:rsid w:val="00133BF6"/>
    <w:rsid w:val="0014058D"/>
    <w:rsid w:val="00140AD9"/>
    <w:rsid w:val="001414DB"/>
    <w:rsid w:val="00145547"/>
    <w:rsid w:val="00152625"/>
    <w:rsid w:val="00153372"/>
    <w:rsid w:val="00154A09"/>
    <w:rsid w:val="001610D8"/>
    <w:rsid w:val="00162A51"/>
    <w:rsid w:val="001656F5"/>
    <w:rsid w:val="00165849"/>
    <w:rsid w:val="00165E00"/>
    <w:rsid w:val="001679F3"/>
    <w:rsid w:val="00173818"/>
    <w:rsid w:val="0017482A"/>
    <w:rsid w:val="0018248A"/>
    <w:rsid w:val="00182F1F"/>
    <w:rsid w:val="00190FC9"/>
    <w:rsid w:val="00196111"/>
    <w:rsid w:val="001B08DC"/>
    <w:rsid w:val="001B3A9D"/>
    <w:rsid w:val="001C02F6"/>
    <w:rsid w:val="001C0F46"/>
    <w:rsid w:val="001C38D3"/>
    <w:rsid w:val="001C7648"/>
    <w:rsid w:val="001D36F3"/>
    <w:rsid w:val="001E3933"/>
    <w:rsid w:val="001E6797"/>
    <w:rsid w:val="001E7149"/>
    <w:rsid w:val="001E75D6"/>
    <w:rsid w:val="001F2DF3"/>
    <w:rsid w:val="001F4B60"/>
    <w:rsid w:val="001F5081"/>
    <w:rsid w:val="001F70F8"/>
    <w:rsid w:val="0020200C"/>
    <w:rsid w:val="00203F31"/>
    <w:rsid w:val="00212D53"/>
    <w:rsid w:val="00213CA0"/>
    <w:rsid w:val="00217248"/>
    <w:rsid w:val="00221DD3"/>
    <w:rsid w:val="00222054"/>
    <w:rsid w:val="00224471"/>
    <w:rsid w:val="00224525"/>
    <w:rsid w:val="00225E87"/>
    <w:rsid w:val="00227F2B"/>
    <w:rsid w:val="002353E3"/>
    <w:rsid w:val="00236AC4"/>
    <w:rsid w:val="0023788A"/>
    <w:rsid w:val="0024099D"/>
    <w:rsid w:val="002439FA"/>
    <w:rsid w:val="00243E2C"/>
    <w:rsid w:val="0024594E"/>
    <w:rsid w:val="0024695D"/>
    <w:rsid w:val="0025292E"/>
    <w:rsid w:val="00261E6B"/>
    <w:rsid w:val="00265845"/>
    <w:rsid w:val="00272C3E"/>
    <w:rsid w:val="00274220"/>
    <w:rsid w:val="0027697C"/>
    <w:rsid w:val="00281D0B"/>
    <w:rsid w:val="00282AC1"/>
    <w:rsid w:val="00282F1C"/>
    <w:rsid w:val="002878C8"/>
    <w:rsid w:val="00291052"/>
    <w:rsid w:val="00296893"/>
    <w:rsid w:val="002A0021"/>
    <w:rsid w:val="002A37C4"/>
    <w:rsid w:val="002A3F49"/>
    <w:rsid w:val="002A3F8D"/>
    <w:rsid w:val="002A4BB4"/>
    <w:rsid w:val="002A5898"/>
    <w:rsid w:val="002B0079"/>
    <w:rsid w:val="002B1F97"/>
    <w:rsid w:val="002B4E16"/>
    <w:rsid w:val="002B7D34"/>
    <w:rsid w:val="002C05A6"/>
    <w:rsid w:val="002C0F68"/>
    <w:rsid w:val="002C1C70"/>
    <w:rsid w:val="002C26F0"/>
    <w:rsid w:val="002C5275"/>
    <w:rsid w:val="002C6C48"/>
    <w:rsid w:val="002D2ED1"/>
    <w:rsid w:val="002D671B"/>
    <w:rsid w:val="002E0686"/>
    <w:rsid w:val="002E1B62"/>
    <w:rsid w:val="002E1BF7"/>
    <w:rsid w:val="002E366F"/>
    <w:rsid w:val="002E42AA"/>
    <w:rsid w:val="002E50FF"/>
    <w:rsid w:val="002F1E7C"/>
    <w:rsid w:val="002F2FFF"/>
    <w:rsid w:val="002F459D"/>
    <w:rsid w:val="002F45BE"/>
    <w:rsid w:val="002F61E1"/>
    <w:rsid w:val="0030300A"/>
    <w:rsid w:val="00303AFD"/>
    <w:rsid w:val="00304800"/>
    <w:rsid w:val="003126DC"/>
    <w:rsid w:val="00312829"/>
    <w:rsid w:val="003132CD"/>
    <w:rsid w:val="00320074"/>
    <w:rsid w:val="003231B4"/>
    <w:rsid w:val="00324FC7"/>
    <w:rsid w:val="003256FB"/>
    <w:rsid w:val="00326CBD"/>
    <w:rsid w:val="003305D1"/>
    <w:rsid w:val="0033176C"/>
    <w:rsid w:val="00334CF4"/>
    <w:rsid w:val="0033606C"/>
    <w:rsid w:val="003375C9"/>
    <w:rsid w:val="0034688B"/>
    <w:rsid w:val="003506C3"/>
    <w:rsid w:val="00350A54"/>
    <w:rsid w:val="00350F70"/>
    <w:rsid w:val="003524E5"/>
    <w:rsid w:val="0035526D"/>
    <w:rsid w:val="00357D63"/>
    <w:rsid w:val="0036119D"/>
    <w:rsid w:val="003722B8"/>
    <w:rsid w:val="00377712"/>
    <w:rsid w:val="00390906"/>
    <w:rsid w:val="00392161"/>
    <w:rsid w:val="00394246"/>
    <w:rsid w:val="003969A8"/>
    <w:rsid w:val="00396E6F"/>
    <w:rsid w:val="003A0344"/>
    <w:rsid w:val="003A1A1B"/>
    <w:rsid w:val="003A1BCF"/>
    <w:rsid w:val="003A21A8"/>
    <w:rsid w:val="003A4CDD"/>
    <w:rsid w:val="003A718E"/>
    <w:rsid w:val="003B1D1C"/>
    <w:rsid w:val="003B3C74"/>
    <w:rsid w:val="003B75AC"/>
    <w:rsid w:val="003C248F"/>
    <w:rsid w:val="003C3759"/>
    <w:rsid w:val="003C388C"/>
    <w:rsid w:val="003C577A"/>
    <w:rsid w:val="003C71AA"/>
    <w:rsid w:val="003D1962"/>
    <w:rsid w:val="003D271F"/>
    <w:rsid w:val="003D695A"/>
    <w:rsid w:val="003D6A18"/>
    <w:rsid w:val="003D7F24"/>
    <w:rsid w:val="003E3350"/>
    <w:rsid w:val="003E4EB2"/>
    <w:rsid w:val="003E6519"/>
    <w:rsid w:val="003F734C"/>
    <w:rsid w:val="00402B92"/>
    <w:rsid w:val="004064B4"/>
    <w:rsid w:val="00410747"/>
    <w:rsid w:val="004157F8"/>
    <w:rsid w:val="00421D92"/>
    <w:rsid w:val="0042314B"/>
    <w:rsid w:val="0042376A"/>
    <w:rsid w:val="00425A52"/>
    <w:rsid w:val="0043140E"/>
    <w:rsid w:val="0043463D"/>
    <w:rsid w:val="004358AB"/>
    <w:rsid w:val="004376D8"/>
    <w:rsid w:val="00437E75"/>
    <w:rsid w:val="00441DCB"/>
    <w:rsid w:val="00443830"/>
    <w:rsid w:val="00445D12"/>
    <w:rsid w:val="004461EC"/>
    <w:rsid w:val="0045089D"/>
    <w:rsid w:val="00453945"/>
    <w:rsid w:val="00454612"/>
    <w:rsid w:val="00465A0F"/>
    <w:rsid w:val="00470FF5"/>
    <w:rsid w:val="00473148"/>
    <w:rsid w:val="004761E9"/>
    <w:rsid w:val="0048091D"/>
    <w:rsid w:val="004858D9"/>
    <w:rsid w:val="00497E98"/>
    <w:rsid w:val="004A1E9B"/>
    <w:rsid w:val="004A2495"/>
    <w:rsid w:val="004A285F"/>
    <w:rsid w:val="004A398C"/>
    <w:rsid w:val="004A3B6B"/>
    <w:rsid w:val="004A5DDF"/>
    <w:rsid w:val="004A7F95"/>
    <w:rsid w:val="004B1719"/>
    <w:rsid w:val="004B3A4A"/>
    <w:rsid w:val="004B5A50"/>
    <w:rsid w:val="004C1328"/>
    <w:rsid w:val="004C2366"/>
    <w:rsid w:val="004C5B9C"/>
    <w:rsid w:val="004D10CE"/>
    <w:rsid w:val="004D65A1"/>
    <w:rsid w:val="004D7661"/>
    <w:rsid w:val="004D78EF"/>
    <w:rsid w:val="004E2391"/>
    <w:rsid w:val="004E427B"/>
    <w:rsid w:val="004F0F97"/>
    <w:rsid w:val="004F3189"/>
    <w:rsid w:val="004F4AFD"/>
    <w:rsid w:val="004F4C92"/>
    <w:rsid w:val="004F50EA"/>
    <w:rsid w:val="00507524"/>
    <w:rsid w:val="00513074"/>
    <w:rsid w:val="005273CE"/>
    <w:rsid w:val="0052749D"/>
    <w:rsid w:val="0053371B"/>
    <w:rsid w:val="005342EA"/>
    <w:rsid w:val="00534306"/>
    <w:rsid w:val="00534A67"/>
    <w:rsid w:val="00536646"/>
    <w:rsid w:val="005418B9"/>
    <w:rsid w:val="00543EB3"/>
    <w:rsid w:val="00545998"/>
    <w:rsid w:val="0054792B"/>
    <w:rsid w:val="0056093F"/>
    <w:rsid w:val="00563C02"/>
    <w:rsid w:val="00566797"/>
    <w:rsid w:val="00567592"/>
    <w:rsid w:val="00574506"/>
    <w:rsid w:val="00574EC4"/>
    <w:rsid w:val="00575D21"/>
    <w:rsid w:val="00576B99"/>
    <w:rsid w:val="00584305"/>
    <w:rsid w:val="00584C9B"/>
    <w:rsid w:val="0059448B"/>
    <w:rsid w:val="0059451B"/>
    <w:rsid w:val="005966A5"/>
    <w:rsid w:val="005A388E"/>
    <w:rsid w:val="005A46AA"/>
    <w:rsid w:val="005B44EF"/>
    <w:rsid w:val="005B5988"/>
    <w:rsid w:val="005C4CBA"/>
    <w:rsid w:val="005C7DBB"/>
    <w:rsid w:val="005D151F"/>
    <w:rsid w:val="005F33F2"/>
    <w:rsid w:val="005F57F9"/>
    <w:rsid w:val="006078AD"/>
    <w:rsid w:val="00610691"/>
    <w:rsid w:val="0061687D"/>
    <w:rsid w:val="00625D76"/>
    <w:rsid w:val="00641CD5"/>
    <w:rsid w:val="00641D44"/>
    <w:rsid w:val="0064252E"/>
    <w:rsid w:val="0064470A"/>
    <w:rsid w:val="0064487E"/>
    <w:rsid w:val="0064556C"/>
    <w:rsid w:val="00647350"/>
    <w:rsid w:val="00650C28"/>
    <w:rsid w:val="0065292A"/>
    <w:rsid w:val="006648B2"/>
    <w:rsid w:val="00664932"/>
    <w:rsid w:val="00664BAF"/>
    <w:rsid w:val="0066697E"/>
    <w:rsid w:val="00667630"/>
    <w:rsid w:val="00671CFD"/>
    <w:rsid w:val="00673CE2"/>
    <w:rsid w:val="00674B8F"/>
    <w:rsid w:val="006773FA"/>
    <w:rsid w:val="0068301C"/>
    <w:rsid w:val="006834B7"/>
    <w:rsid w:val="00684BAB"/>
    <w:rsid w:val="0068658A"/>
    <w:rsid w:val="006951BF"/>
    <w:rsid w:val="006A3995"/>
    <w:rsid w:val="006A6613"/>
    <w:rsid w:val="006A70F4"/>
    <w:rsid w:val="006B28C9"/>
    <w:rsid w:val="006B3AED"/>
    <w:rsid w:val="006B41AD"/>
    <w:rsid w:val="006B5B3A"/>
    <w:rsid w:val="006B7E93"/>
    <w:rsid w:val="006C2C5D"/>
    <w:rsid w:val="006D10C7"/>
    <w:rsid w:val="006D5383"/>
    <w:rsid w:val="006D7735"/>
    <w:rsid w:val="006E2774"/>
    <w:rsid w:val="006E28B5"/>
    <w:rsid w:val="006E3FE4"/>
    <w:rsid w:val="006F0038"/>
    <w:rsid w:val="006F630B"/>
    <w:rsid w:val="006F7634"/>
    <w:rsid w:val="00700848"/>
    <w:rsid w:val="007303C6"/>
    <w:rsid w:val="0073267B"/>
    <w:rsid w:val="007338D8"/>
    <w:rsid w:val="0074612A"/>
    <w:rsid w:val="007526FB"/>
    <w:rsid w:val="007556F2"/>
    <w:rsid w:val="00756269"/>
    <w:rsid w:val="00757735"/>
    <w:rsid w:val="00762336"/>
    <w:rsid w:val="007626A4"/>
    <w:rsid w:val="00762D00"/>
    <w:rsid w:val="007661AB"/>
    <w:rsid w:val="00776436"/>
    <w:rsid w:val="007819A8"/>
    <w:rsid w:val="00783965"/>
    <w:rsid w:val="00784C6C"/>
    <w:rsid w:val="007A16A1"/>
    <w:rsid w:val="007A3FB3"/>
    <w:rsid w:val="007A7037"/>
    <w:rsid w:val="007B7D0F"/>
    <w:rsid w:val="007C04BE"/>
    <w:rsid w:val="007C42EC"/>
    <w:rsid w:val="007C5957"/>
    <w:rsid w:val="007D0C55"/>
    <w:rsid w:val="007D0EAC"/>
    <w:rsid w:val="007D1ACF"/>
    <w:rsid w:val="007D3B83"/>
    <w:rsid w:val="007D66C2"/>
    <w:rsid w:val="007D69DC"/>
    <w:rsid w:val="007D6D9B"/>
    <w:rsid w:val="007D79A3"/>
    <w:rsid w:val="007E01EC"/>
    <w:rsid w:val="007E0D2C"/>
    <w:rsid w:val="007E63A8"/>
    <w:rsid w:val="007F0598"/>
    <w:rsid w:val="007F071B"/>
    <w:rsid w:val="007F7A07"/>
    <w:rsid w:val="00803CC4"/>
    <w:rsid w:val="008066FC"/>
    <w:rsid w:val="0081294E"/>
    <w:rsid w:val="00823C07"/>
    <w:rsid w:val="00826AD0"/>
    <w:rsid w:val="00832746"/>
    <w:rsid w:val="00833495"/>
    <w:rsid w:val="00833C1A"/>
    <w:rsid w:val="00834118"/>
    <w:rsid w:val="00836E80"/>
    <w:rsid w:val="00836EB3"/>
    <w:rsid w:val="00841702"/>
    <w:rsid w:val="00845842"/>
    <w:rsid w:val="00850370"/>
    <w:rsid w:val="00853319"/>
    <w:rsid w:val="00857656"/>
    <w:rsid w:val="00863393"/>
    <w:rsid w:val="00864529"/>
    <w:rsid w:val="00872520"/>
    <w:rsid w:val="008770FF"/>
    <w:rsid w:val="0088259D"/>
    <w:rsid w:val="00892FF0"/>
    <w:rsid w:val="008A2791"/>
    <w:rsid w:val="008A3818"/>
    <w:rsid w:val="008A3DA4"/>
    <w:rsid w:val="008B3C9D"/>
    <w:rsid w:val="008B5566"/>
    <w:rsid w:val="008C09E1"/>
    <w:rsid w:val="008C212B"/>
    <w:rsid w:val="008C21AD"/>
    <w:rsid w:val="008C2D84"/>
    <w:rsid w:val="008C3831"/>
    <w:rsid w:val="008C466F"/>
    <w:rsid w:val="008C4880"/>
    <w:rsid w:val="008C4D87"/>
    <w:rsid w:val="008D343A"/>
    <w:rsid w:val="008D3BFE"/>
    <w:rsid w:val="008D6DD8"/>
    <w:rsid w:val="008E0700"/>
    <w:rsid w:val="008E1D8E"/>
    <w:rsid w:val="008E77AC"/>
    <w:rsid w:val="008F134D"/>
    <w:rsid w:val="008F4669"/>
    <w:rsid w:val="00900497"/>
    <w:rsid w:val="009007AD"/>
    <w:rsid w:val="009073F2"/>
    <w:rsid w:val="00911D27"/>
    <w:rsid w:val="00912D60"/>
    <w:rsid w:val="009144A1"/>
    <w:rsid w:val="00916085"/>
    <w:rsid w:val="00916C62"/>
    <w:rsid w:val="009208E3"/>
    <w:rsid w:val="00920D6D"/>
    <w:rsid w:val="00923AB4"/>
    <w:rsid w:val="00931C48"/>
    <w:rsid w:val="00932115"/>
    <w:rsid w:val="00937A01"/>
    <w:rsid w:val="00943A82"/>
    <w:rsid w:val="00944573"/>
    <w:rsid w:val="00945098"/>
    <w:rsid w:val="0094726C"/>
    <w:rsid w:val="009474B0"/>
    <w:rsid w:val="00947B48"/>
    <w:rsid w:val="00950263"/>
    <w:rsid w:val="00950F3A"/>
    <w:rsid w:val="009531EE"/>
    <w:rsid w:val="0095327D"/>
    <w:rsid w:val="009723D7"/>
    <w:rsid w:val="009728D8"/>
    <w:rsid w:val="00976331"/>
    <w:rsid w:val="00977442"/>
    <w:rsid w:val="00980D75"/>
    <w:rsid w:val="009A0584"/>
    <w:rsid w:val="009A1C82"/>
    <w:rsid w:val="009A6A6C"/>
    <w:rsid w:val="009B2D7E"/>
    <w:rsid w:val="009B7F67"/>
    <w:rsid w:val="009C0109"/>
    <w:rsid w:val="009C48D3"/>
    <w:rsid w:val="009C7AA4"/>
    <w:rsid w:val="009D1082"/>
    <w:rsid w:val="009D205C"/>
    <w:rsid w:val="009D2789"/>
    <w:rsid w:val="009D2A1E"/>
    <w:rsid w:val="009D4746"/>
    <w:rsid w:val="009E1A28"/>
    <w:rsid w:val="009E34C6"/>
    <w:rsid w:val="009F38A5"/>
    <w:rsid w:val="009F4CAE"/>
    <w:rsid w:val="009F7758"/>
    <w:rsid w:val="009F7994"/>
    <w:rsid w:val="00A003BD"/>
    <w:rsid w:val="00A004B2"/>
    <w:rsid w:val="00A01BCD"/>
    <w:rsid w:val="00A03366"/>
    <w:rsid w:val="00A10C44"/>
    <w:rsid w:val="00A2023A"/>
    <w:rsid w:val="00A211B9"/>
    <w:rsid w:val="00A361C0"/>
    <w:rsid w:val="00A41E00"/>
    <w:rsid w:val="00A4646A"/>
    <w:rsid w:val="00A4665B"/>
    <w:rsid w:val="00A47635"/>
    <w:rsid w:val="00A50206"/>
    <w:rsid w:val="00A569BC"/>
    <w:rsid w:val="00A603EA"/>
    <w:rsid w:val="00A65085"/>
    <w:rsid w:val="00A671BF"/>
    <w:rsid w:val="00A71DBB"/>
    <w:rsid w:val="00A82AF7"/>
    <w:rsid w:val="00A841DA"/>
    <w:rsid w:val="00A85777"/>
    <w:rsid w:val="00A90DEC"/>
    <w:rsid w:val="00A971EC"/>
    <w:rsid w:val="00AA14FE"/>
    <w:rsid w:val="00AA2FD0"/>
    <w:rsid w:val="00AA3B43"/>
    <w:rsid w:val="00AB10AA"/>
    <w:rsid w:val="00AB7CE9"/>
    <w:rsid w:val="00AC38A9"/>
    <w:rsid w:val="00AC5AF0"/>
    <w:rsid w:val="00AC69E2"/>
    <w:rsid w:val="00AD0607"/>
    <w:rsid w:val="00AD1855"/>
    <w:rsid w:val="00AD37AC"/>
    <w:rsid w:val="00AD483C"/>
    <w:rsid w:val="00AD4895"/>
    <w:rsid w:val="00AD5596"/>
    <w:rsid w:val="00AD75BE"/>
    <w:rsid w:val="00AE2D35"/>
    <w:rsid w:val="00AE3152"/>
    <w:rsid w:val="00AE4934"/>
    <w:rsid w:val="00AF0820"/>
    <w:rsid w:val="00AF7577"/>
    <w:rsid w:val="00B035F4"/>
    <w:rsid w:val="00B067F6"/>
    <w:rsid w:val="00B158D3"/>
    <w:rsid w:val="00B16EB2"/>
    <w:rsid w:val="00B22529"/>
    <w:rsid w:val="00B41885"/>
    <w:rsid w:val="00B41B83"/>
    <w:rsid w:val="00B44D96"/>
    <w:rsid w:val="00B4777A"/>
    <w:rsid w:val="00B50ADA"/>
    <w:rsid w:val="00B532BA"/>
    <w:rsid w:val="00B53768"/>
    <w:rsid w:val="00B56550"/>
    <w:rsid w:val="00B70718"/>
    <w:rsid w:val="00B71801"/>
    <w:rsid w:val="00B75890"/>
    <w:rsid w:val="00B80669"/>
    <w:rsid w:val="00B80A37"/>
    <w:rsid w:val="00B80A52"/>
    <w:rsid w:val="00B86A46"/>
    <w:rsid w:val="00B87BC1"/>
    <w:rsid w:val="00B91993"/>
    <w:rsid w:val="00B92A49"/>
    <w:rsid w:val="00BC0404"/>
    <w:rsid w:val="00BC386E"/>
    <w:rsid w:val="00BC3B98"/>
    <w:rsid w:val="00BC3F88"/>
    <w:rsid w:val="00BC51D9"/>
    <w:rsid w:val="00BD19FD"/>
    <w:rsid w:val="00BD3E63"/>
    <w:rsid w:val="00BD6A1D"/>
    <w:rsid w:val="00BE327C"/>
    <w:rsid w:val="00BF13CD"/>
    <w:rsid w:val="00C04C71"/>
    <w:rsid w:val="00C0555E"/>
    <w:rsid w:val="00C05838"/>
    <w:rsid w:val="00C11D43"/>
    <w:rsid w:val="00C12698"/>
    <w:rsid w:val="00C175C6"/>
    <w:rsid w:val="00C20F5F"/>
    <w:rsid w:val="00C21205"/>
    <w:rsid w:val="00C2160C"/>
    <w:rsid w:val="00C27BF8"/>
    <w:rsid w:val="00C353E4"/>
    <w:rsid w:val="00C426B5"/>
    <w:rsid w:val="00C5057A"/>
    <w:rsid w:val="00C50F35"/>
    <w:rsid w:val="00C51764"/>
    <w:rsid w:val="00C54686"/>
    <w:rsid w:val="00C60E2A"/>
    <w:rsid w:val="00C628D2"/>
    <w:rsid w:val="00C664D7"/>
    <w:rsid w:val="00C82B84"/>
    <w:rsid w:val="00C9340F"/>
    <w:rsid w:val="00C951E1"/>
    <w:rsid w:val="00C95264"/>
    <w:rsid w:val="00CA26D1"/>
    <w:rsid w:val="00CA4B46"/>
    <w:rsid w:val="00CA5F53"/>
    <w:rsid w:val="00CA79FD"/>
    <w:rsid w:val="00CB1FCA"/>
    <w:rsid w:val="00CB2509"/>
    <w:rsid w:val="00CB62EF"/>
    <w:rsid w:val="00CB6AD9"/>
    <w:rsid w:val="00CC7523"/>
    <w:rsid w:val="00CD352D"/>
    <w:rsid w:val="00CD52E1"/>
    <w:rsid w:val="00CE353C"/>
    <w:rsid w:val="00CE7564"/>
    <w:rsid w:val="00CF0095"/>
    <w:rsid w:val="00CF4476"/>
    <w:rsid w:val="00CF4A5A"/>
    <w:rsid w:val="00CF74A3"/>
    <w:rsid w:val="00D003D5"/>
    <w:rsid w:val="00D0262E"/>
    <w:rsid w:val="00D037A1"/>
    <w:rsid w:val="00D03989"/>
    <w:rsid w:val="00D04781"/>
    <w:rsid w:val="00D06A39"/>
    <w:rsid w:val="00D076DF"/>
    <w:rsid w:val="00D1197D"/>
    <w:rsid w:val="00D11A7E"/>
    <w:rsid w:val="00D12951"/>
    <w:rsid w:val="00D154E3"/>
    <w:rsid w:val="00D16A59"/>
    <w:rsid w:val="00D174A0"/>
    <w:rsid w:val="00D17FC5"/>
    <w:rsid w:val="00D2157A"/>
    <w:rsid w:val="00D229A2"/>
    <w:rsid w:val="00D402A8"/>
    <w:rsid w:val="00D47A6B"/>
    <w:rsid w:val="00D50AD2"/>
    <w:rsid w:val="00D547A7"/>
    <w:rsid w:val="00D578BD"/>
    <w:rsid w:val="00D60A8D"/>
    <w:rsid w:val="00D61FF3"/>
    <w:rsid w:val="00D6769B"/>
    <w:rsid w:val="00D6792E"/>
    <w:rsid w:val="00D855D4"/>
    <w:rsid w:val="00D9220B"/>
    <w:rsid w:val="00D92C5D"/>
    <w:rsid w:val="00DA0570"/>
    <w:rsid w:val="00DA13DC"/>
    <w:rsid w:val="00DA1DB9"/>
    <w:rsid w:val="00DA4483"/>
    <w:rsid w:val="00DA606A"/>
    <w:rsid w:val="00DB5AB9"/>
    <w:rsid w:val="00DB65FD"/>
    <w:rsid w:val="00DC1FA4"/>
    <w:rsid w:val="00DC2B14"/>
    <w:rsid w:val="00DC46F4"/>
    <w:rsid w:val="00DD52EC"/>
    <w:rsid w:val="00DD5436"/>
    <w:rsid w:val="00DE4BA7"/>
    <w:rsid w:val="00DE6FA8"/>
    <w:rsid w:val="00DF72A9"/>
    <w:rsid w:val="00E0777A"/>
    <w:rsid w:val="00E114F8"/>
    <w:rsid w:val="00E11B6E"/>
    <w:rsid w:val="00E122EE"/>
    <w:rsid w:val="00E20CC3"/>
    <w:rsid w:val="00E21D55"/>
    <w:rsid w:val="00E256D7"/>
    <w:rsid w:val="00E33F82"/>
    <w:rsid w:val="00E34184"/>
    <w:rsid w:val="00E42AD5"/>
    <w:rsid w:val="00E43E07"/>
    <w:rsid w:val="00E46CBB"/>
    <w:rsid w:val="00E50C02"/>
    <w:rsid w:val="00E609CC"/>
    <w:rsid w:val="00E64AEC"/>
    <w:rsid w:val="00E6512C"/>
    <w:rsid w:val="00E66814"/>
    <w:rsid w:val="00E7059B"/>
    <w:rsid w:val="00E70845"/>
    <w:rsid w:val="00E768BD"/>
    <w:rsid w:val="00E768D6"/>
    <w:rsid w:val="00E86038"/>
    <w:rsid w:val="00E873F5"/>
    <w:rsid w:val="00E911DD"/>
    <w:rsid w:val="00E945EE"/>
    <w:rsid w:val="00EA4628"/>
    <w:rsid w:val="00EA714E"/>
    <w:rsid w:val="00EB01F8"/>
    <w:rsid w:val="00EB2ACE"/>
    <w:rsid w:val="00EB2B38"/>
    <w:rsid w:val="00EB5E3F"/>
    <w:rsid w:val="00EC5D02"/>
    <w:rsid w:val="00EC7268"/>
    <w:rsid w:val="00ED03BA"/>
    <w:rsid w:val="00ED1499"/>
    <w:rsid w:val="00ED1520"/>
    <w:rsid w:val="00ED3339"/>
    <w:rsid w:val="00ED7413"/>
    <w:rsid w:val="00EE09FC"/>
    <w:rsid w:val="00EE0A72"/>
    <w:rsid w:val="00EE39C3"/>
    <w:rsid w:val="00EE4C7D"/>
    <w:rsid w:val="00EE5C21"/>
    <w:rsid w:val="00EE64B5"/>
    <w:rsid w:val="00EE6E0F"/>
    <w:rsid w:val="00EF11FE"/>
    <w:rsid w:val="00EF1E17"/>
    <w:rsid w:val="00F00469"/>
    <w:rsid w:val="00F0068C"/>
    <w:rsid w:val="00F01BB3"/>
    <w:rsid w:val="00F05881"/>
    <w:rsid w:val="00F13CD1"/>
    <w:rsid w:val="00F17092"/>
    <w:rsid w:val="00F17726"/>
    <w:rsid w:val="00F22962"/>
    <w:rsid w:val="00F343F9"/>
    <w:rsid w:val="00F3618C"/>
    <w:rsid w:val="00F372AA"/>
    <w:rsid w:val="00F413B7"/>
    <w:rsid w:val="00F43CE4"/>
    <w:rsid w:val="00F44AFE"/>
    <w:rsid w:val="00F461E9"/>
    <w:rsid w:val="00F53419"/>
    <w:rsid w:val="00F6241B"/>
    <w:rsid w:val="00F644BC"/>
    <w:rsid w:val="00F668CE"/>
    <w:rsid w:val="00F67036"/>
    <w:rsid w:val="00F6707D"/>
    <w:rsid w:val="00F67493"/>
    <w:rsid w:val="00F67AD4"/>
    <w:rsid w:val="00F72172"/>
    <w:rsid w:val="00F73F75"/>
    <w:rsid w:val="00F752E4"/>
    <w:rsid w:val="00F77ECD"/>
    <w:rsid w:val="00F800D4"/>
    <w:rsid w:val="00F83E27"/>
    <w:rsid w:val="00F962BF"/>
    <w:rsid w:val="00FA1187"/>
    <w:rsid w:val="00FA1D20"/>
    <w:rsid w:val="00FA366B"/>
    <w:rsid w:val="00FB044E"/>
    <w:rsid w:val="00FB0804"/>
    <w:rsid w:val="00FB25DF"/>
    <w:rsid w:val="00FB5DBD"/>
    <w:rsid w:val="00FC66F8"/>
    <w:rsid w:val="00FD2C15"/>
    <w:rsid w:val="00FD3157"/>
    <w:rsid w:val="00FD3928"/>
    <w:rsid w:val="00FD3F73"/>
    <w:rsid w:val="00FD480F"/>
    <w:rsid w:val="00FF525D"/>
    <w:rsid w:val="00FF7B71"/>
    <w:rsid w:val="01085CAB"/>
    <w:rsid w:val="025D783A"/>
    <w:rsid w:val="02C45698"/>
    <w:rsid w:val="02EE5483"/>
    <w:rsid w:val="0341724D"/>
    <w:rsid w:val="044D4DCD"/>
    <w:rsid w:val="05A31168"/>
    <w:rsid w:val="07BA05F1"/>
    <w:rsid w:val="07EC7C0C"/>
    <w:rsid w:val="08F87BE7"/>
    <w:rsid w:val="091419E2"/>
    <w:rsid w:val="0A395564"/>
    <w:rsid w:val="0BE81AE1"/>
    <w:rsid w:val="0C034920"/>
    <w:rsid w:val="0C197BE9"/>
    <w:rsid w:val="0CE635FA"/>
    <w:rsid w:val="0D941563"/>
    <w:rsid w:val="0E2D0652"/>
    <w:rsid w:val="0F732035"/>
    <w:rsid w:val="0FC369C1"/>
    <w:rsid w:val="11B91F74"/>
    <w:rsid w:val="124D4A0A"/>
    <w:rsid w:val="133E7D51"/>
    <w:rsid w:val="16134C87"/>
    <w:rsid w:val="16973C74"/>
    <w:rsid w:val="18BE15F8"/>
    <w:rsid w:val="190E4A91"/>
    <w:rsid w:val="1ACC3580"/>
    <w:rsid w:val="1B1D5607"/>
    <w:rsid w:val="1F7A3CB3"/>
    <w:rsid w:val="1FE6508D"/>
    <w:rsid w:val="201E50B1"/>
    <w:rsid w:val="206174BF"/>
    <w:rsid w:val="207D32C8"/>
    <w:rsid w:val="21122134"/>
    <w:rsid w:val="212A5BF7"/>
    <w:rsid w:val="22297D19"/>
    <w:rsid w:val="22894A48"/>
    <w:rsid w:val="255F5983"/>
    <w:rsid w:val="26BB52E5"/>
    <w:rsid w:val="271852FE"/>
    <w:rsid w:val="27DA5EA3"/>
    <w:rsid w:val="27E8080F"/>
    <w:rsid w:val="281D195D"/>
    <w:rsid w:val="28AD6AA0"/>
    <w:rsid w:val="294D2679"/>
    <w:rsid w:val="2AEB0E55"/>
    <w:rsid w:val="2B0378F4"/>
    <w:rsid w:val="2B6F66BD"/>
    <w:rsid w:val="2D207EB5"/>
    <w:rsid w:val="2D510285"/>
    <w:rsid w:val="2E05213C"/>
    <w:rsid w:val="2E56061A"/>
    <w:rsid w:val="30FE2CF0"/>
    <w:rsid w:val="31055305"/>
    <w:rsid w:val="31565BBF"/>
    <w:rsid w:val="315F620C"/>
    <w:rsid w:val="31F221E7"/>
    <w:rsid w:val="320D762A"/>
    <w:rsid w:val="33195C01"/>
    <w:rsid w:val="3346533B"/>
    <w:rsid w:val="34ED7372"/>
    <w:rsid w:val="36A9442B"/>
    <w:rsid w:val="372C0D68"/>
    <w:rsid w:val="37495F0C"/>
    <w:rsid w:val="38BD0A54"/>
    <w:rsid w:val="38F43D53"/>
    <w:rsid w:val="39517BD9"/>
    <w:rsid w:val="39B905C0"/>
    <w:rsid w:val="3DD12E5F"/>
    <w:rsid w:val="3E684FFB"/>
    <w:rsid w:val="3F3E43F3"/>
    <w:rsid w:val="3FA01077"/>
    <w:rsid w:val="41916F22"/>
    <w:rsid w:val="421B5B35"/>
    <w:rsid w:val="42243F12"/>
    <w:rsid w:val="422A4EE2"/>
    <w:rsid w:val="432824BB"/>
    <w:rsid w:val="44A5096B"/>
    <w:rsid w:val="4555504E"/>
    <w:rsid w:val="459C6650"/>
    <w:rsid w:val="45DA52A8"/>
    <w:rsid w:val="46364275"/>
    <w:rsid w:val="467177F0"/>
    <w:rsid w:val="47146D21"/>
    <w:rsid w:val="48316A7C"/>
    <w:rsid w:val="49906356"/>
    <w:rsid w:val="4ABF1586"/>
    <w:rsid w:val="4B032225"/>
    <w:rsid w:val="4B910B7C"/>
    <w:rsid w:val="4DFF2684"/>
    <w:rsid w:val="5064096B"/>
    <w:rsid w:val="50B9287D"/>
    <w:rsid w:val="50FD3464"/>
    <w:rsid w:val="51E47B3E"/>
    <w:rsid w:val="5213761C"/>
    <w:rsid w:val="53D34AC1"/>
    <w:rsid w:val="56CC4C10"/>
    <w:rsid w:val="57B707E3"/>
    <w:rsid w:val="58637AB9"/>
    <w:rsid w:val="597320B9"/>
    <w:rsid w:val="599B0847"/>
    <w:rsid w:val="5A4178A0"/>
    <w:rsid w:val="5A5A40CF"/>
    <w:rsid w:val="5BA33C64"/>
    <w:rsid w:val="5BBE6019"/>
    <w:rsid w:val="5BC21F77"/>
    <w:rsid w:val="5C925ECF"/>
    <w:rsid w:val="5D4247C1"/>
    <w:rsid w:val="6175450D"/>
    <w:rsid w:val="62947BEA"/>
    <w:rsid w:val="640E0AB2"/>
    <w:rsid w:val="641A7FDB"/>
    <w:rsid w:val="668C6161"/>
    <w:rsid w:val="67217E3E"/>
    <w:rsid w:val="67254BE8"/>
    <w:rsid w:val="674647FB"/>
    <w:rsid w:val="676B66F6"/>
    <w:rsid w:val="67B041D2"/>
    <w:rsid w:val="69F475BB"/>
    <w:rsid w:val="6B260636"/>
    <w:rsid w:val="6B680919"/>
    <w:rsid w:val="6BC37C1B"/>
    <w:rsid w:val="6C3F34C3"/>
    <w:rsid w:val="6D7F5FEB"/>
    <w:rsid w:val="6E7164E6"/>
    <w:rsid w:val="6F5313D8"/>
    <w:rsid w:val="6FDC0F91"/>
    <w:rsid w:val="7001594E"/>
    <w:rsid w:val="71C4519C"/>
    <w:rsid w:val="73A9512A"/>
    <w:rsid w:val="73D45B43"/>
    <w:rsid w:val="74AD113B"/>
    <w:rsid w:val="753C158B"/>
    <w:rsid w:val="77AE28DB"/>
    <w:rsid w:val="77CC4F9A"/>
    <w:rsid w:val="79305EEA"/>
    <w:rsid w:val="79CA1390"/>
    <w:rsid w:val="79CC00FC"/>
    <w:rsid w:val="7A3D6F7A"/>
    <w:rsid w:val="7CDF796E"/>
    <w:rsid w:val="7D6E2658"/>
    <w:rsid w:val="7F5A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tabs>
        <w:tab w:val="left" w:pos="850"/>
        <w:tab w:val="clear" w:pos="425"/>
      </w:tabs>
      <w:spacing w:line="360" w:lineRule="auto"/>
      <w:ind w:left="850"/>
      <w:outlineLvl w:val="0"/>
    </w:pPr>
    <w:rPr>
      <w:sz w:val="28"/>
      <w:szCs w:val="20"/>
    </w:rPr>
  </w:style>
  <w:style w:type="paragraph" w:styleId="4">
    <w:name w:val="heading 2"/>
    <w:basedOn w:val="1"/>
    <w:next w:val="1"/>
    <w:qFormat/>
    <w:uiPriority w:val="0"/>
    <w:pPr>
      <w:keepNext/>
      <w:spacing w:line="300" w:lineRule="auto"/>
      <w:jc w:val="center"/>
      <w:outlineLvl w:val="1"/>
    </w:pPr>
    <w:rPr>
      <w:rFonts w:ascii="Arial" w:hAnsi="Arial"/>
      <w:b/>
      <w:bCs/>
      <w:i/>
      <w:iCs/>
      <w:color w:val="000000"/>
      <w:sz w:val="24"/>
    </w:rPr>
  </w:style>
  <w:style w:type="paragraph" w:styleId="5">
    <w:name w:val="heading 3"/>
    <w:basedOn w:val="1"/>
    <w:next w:val="1"/>
    <w:qFormat/>
    <w:uiPriority w:val="0"/>
    <w:pPr>
      <w:keepNext/>
      <w:spacing w:line="300" w:lineRule="auto"/>
      <w:jc w:val="center"/>
      <w:outlineLvl w:val="2"/>
    </w:pPr>
    <w:rPr>
      <w:rFonts w:ascii="Arial" w:hAnsi="Arial"/>
      <w:b/>
      <w:bCs/>
      <w:i/>
      <w:iCs/>
      <w:color w:val="000000"/>
    </w:rPr>
  </w:style>
  <w:style w:type="paragraph" w:styleId="6">
    <w:name w:val="heading 6"/>
    <w:basedOn w:val="1"/>
    <w:next w:val="1"/>
    <w:qFormat/>
    <w:uiPriority w:val="0"/>
    <w:pPr>
      <w:keepNext/>
      <w:spacing w:line="300" w:lineRule="auto"/>
      <w:jc w:val="center"/>
      <w:outlineLvl w:val="5"/>
    </w:pPr>
    <w:rPr>
      <w:b/>
      <w:bCs/>
      <w:i/>
      <w:iCs/>
      <w:color w:val="000000"/>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val="0"/>
      <w:ind w:firstLine="420" w:firstLineChars="200"/>
      <w:jc w:val="both"/>
    </w:pPr>
    <w:rPr>
      <w:rFonts w:ascii="Times New Roman" w:hAnsi="Times New Roman" w:cs="Times New Roman"/>
      <w:kern w:val="2"/>
      <w:sz w:val="21"/>
      <w:szCs w:val="21"/>
    </w:rPr>
  </w:style>
  <w:style w:type="paragraph" w:styleId="7">
    <w:name w:val="Document Map"/>
    <w:basedOn w:val="1"/>
    <w:link w:val="37"/>
    <w:qFormat/>
    <w:uiPriority w:val="0"/>
    <w:rPr>
      <w:rFonts w:ascii="宋体"/>
      <w:sz w:val="18"/>
      <w:szCs w:val="18"/>
    </w:rPr>
  </w:style>
  <w:style w:type="paragraph" w:styleId="8">
    <w:name w:val="annotation text"/>
    <w:basedOn w:val="1"/>
    <w:link w:val="39"/>
    <w:qFormat/>
    <w:uiPriority w:val="99"/>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firstLine="540" w:firstLineChars="225"/>
    </w:pPr>
    <w:rPr>
      <w:sz w:val="24"/>
    </w:rPr>
  </w:style>
  <w:style w:type="paragraph" w:styleId="11">
    <w:name w:val="Plain Text"/>
    <w:basedOn w:val="1"/>
    <w:qFormat/>
    <w:uiPriority w:val="0"/>
    <w:rPr>
      <w:rFonts w:ascii="宋体" w:hAnsi="Courier New"/>
      <w:szCs w:val="21"/>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360" w:lineRule="auto"/>
      <w:ind w:left="359" w:leftChars="171"/>
    </w:pPr>
    <w:rPr>
      <w:sz w:val="24"/>
    </w:rPr>
  </w:style>
  <w:style w:type="paragraph" w:styleId="14">
    <w:name w:val="Balloon Text"/>
    <w:basedOn w:val="1"/>
    <w:semiHidden/>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608"/>
      </w:tabs>
      <w:spacing w:line="360" w:lineRule="auto"/>
      <w:ind w:firstLine="425" w:firstLineChars="177"/>
    </w:pPr>
  </w:style>
  <w:style w:type="paragraph" w:styleId="18">
    <w:name w:val="Body Text 2"/>
    <w:basedOn w:val="1"/>
    <w:qFormat/>
    <w:uiPriority w:val="0"/>
    <w:pPr>
      <w:spacing w:line="440" w:lineRule="exact"/>
    </w:pPr>
    <w:rPr>
      <w:rFonts w:ascii="仿宋_GB2312" w:eastAsia="仿宋_GB2312"/>
      <w:sz w:val="24"/>
    </w:rPr>
  </w:style>
  <w:style w:type="paragraph" w:styleId="19">
    <w:name w:val="Title"/>
    <w:basedOn w:val="1"/>
    <w:next w:val="1"/>
    <w:link w:val="30"/>
    <w:qFormat/>
    <w:uiPriority w:val="0"/>
    <w:pPr>
      <w:spacing w:before="240" w:after="60"/>
      <w:jc w:val="center"/>
      <w:outlineLvl w:val="0"/>
    </w:pPr>
    <w:rPr>
      <w:rFonts w:ascii="Cambria" w:hAnsi="Cambria"/>
      <w:b/>
      <w:bCs/>
      <w:sz w:val="32"/>
      <w:szCs w:val="32"/>
    </w:rPr>
  </w:style>
  <w:style w:type="paragraph" w:styleId="20">
    <w:name w:val="annotation subject"/>
    <w:basedOn w:val="8"/>
    <w:next w:val="8"/>
    <w:link w:val="38"/>
    <w:semiHidden/>
    <w:qFormat/>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unhideWhenUsed/>
    <w:qFormat/>
    <w:uiPriority w:val="99"/>
    <w:rPr>
      <w:color w:val="0000FF"/>
      <w:u w:val="single"/>
    </w:rPr>
  </w:style>
  <w:style w:type="character" w:styleId="26">
    <w:name w:val="annotation reference"/>
    <w:basedOn w:val="23"/>
    <w:qFormat/>
    <w:uiPriority w:val="99"/>
    <w:rPr>
      <w:sz w:val="21"/>
      <w:szCs w:val="21"/>
    </w:rPr>
  </w:style>
  <w:style w:type="paragraph" w:customStyle="1" w:styleId="27">
    <w:name w:val="样式 标题 1 + 四号"/>
    <w:basedOn w:val="3"/>
    <w:qFormat/>
    <w:uiPriority w:val="0"/>
    <w:pPr>
      <w:keepLines/>
      <w:numPr>
        <w:ilvl w:val="0"/>
        <w:numId w:val="2"/>
      </w:numPr>
      <w:spacing w:before="120" w:after="120" w:line="240" w:lineRule="auto"/>
      <w:jc w:val="center"/>
    </w:pPr>
    <w:rPr>
      <w:rFonts w:eastAsia="楷体_GB2312"/>
      <w:b/>
      <w:bCs/>
      <w:kern w:val="44"/>
      <w:szCs w:val="28"/>
    </w:rPr>
  </w:style>
  <w:style w:type="paragraph" w:customStyle="1" w:styleId="28">
    <w:name w:val="kd"/>
    <w:basedOn w:val="1"/>
    <w:qFormat/>
    <w:uiPriority w:val="0"/>
    <w:pPr>
      <w:autoSpaceDE w:val="0"/>
      <w:autoSpaceDN w:val="0"/>
      <w:adjustRightInd w:val="0"/>
      <w:ind w:left="720" w:hanging="720"/>
    </w:pPr>
    <w:rPr>
      <w:rFonts w:ascii="宋体"/>
      <w:kern w:val="0"/>
      <w:position w:val="-9"/>
      <w:sz w:val="24"/>
      <w:szCs w:val="20"/>
    </w:rPr>
  </w:style>
  <w:style w:type="paragraph" w:customStyle="1" w:styleId="29">
    <w:name w:val="Char1"/>
    <w:basedOn w:val="1"/>
    <w:qFormat/>
    <w:uiPriority w:val="0"/>
    <w:pPr>
      <w:adjustRightInd w:val="0"/>
      <w:spacing w:line="360" w:lineRule="auto"/>
    </w:pPr>
    <w:rPr>
      <w:kern w:val="0"/>
      <w:sz w:val="24"/>
      <w:szCs w:val="20"/>
    </w:rPr>
  </w:style>
  <w:style w:type="character" w:customStyle="1" w:styleId="30">
    <w:name w:val="标题 字符"/>
    <w:basedOn w:val="23"/>
    <w:link w:val="19"/>
    <w:qFormat/>
    <w:uiPriority w:val="0"/>
    <w:rPr>
      <w:rFonts w:ascii="Cambria" w:hAnsi="Cambria" w:cs="Times New Roman"/>
      <w:b/>
      <w:bCs/>
      <w:kern w:val="2"/>
      <w:sz w:val="32"/>
      <w:szCs w:val="32"/>
    </w:rPr>
  </w:style>
  <w:style w:type="character" w:customStyle="1" w:styleId="31">
    <w:name w:val="DeltaView Insertion"/>
    <w:qFormat/>
    <w:uiPriority w:val="0"/>
    <w:rPr>
      <w:color w:val="0000FF"/>
      <w:spacing w:val="0"/>
      <w:u w:val="double"/>
    </w:rPr>
  </w:style>
  <w:style w:type="character" w:customStyle="1" w:styleId="32">
    <w:name w:val="页脚 字符"/>
    <w:basedOn w:val="23"/>
    <w:link w:val="15"/>
    <w:qFormat/>
    <w:uiPriority w:val="99"/>
    <w:rPr>
      <w:kern w:val="2"/>
      <w:sz w:val="18"/>
      <w:szCs w:val="18"/>
    </w:rPr>
  </w:style>
  <w:style w:type="paragraph" w:customStyle="1" w:styleId="33">
    <w:name w:val="标题2A"/>
    <w:basedOn w:val="4"/>
    <w:qFormat/>
    <w:uiPriority w:val="0"/>
    <w:pPr>
      <w:keepLines/>
      <w:numPr>
        <w:ilvl w:val="0"/>
        <w:numId w:val="3"/>
      </w:numPr>
      <w:spacing w:before="360" w:after="360" w:line="578" w:lineRule="auto"/>
    </w:pPr>
    <w:rPr>
      <w:i w:val="0"/>
      <w:iCs w:val="0"/>
      <w:color w:val="auto"/>
      <w:szCs w:val="32"/>
    </w:rPr>
  </w:style>
  <w:style w:type="paragraph" w:styleId="34">
    <w:name w:val="List Paragraph"/>
    <w:basedOn w:val="1"/>
    <w:qFormat/>
    <w:uiPriority w:val="34"/>
    <w:pPr>
      <w:ind w:firstLine="420" w:firstLineChars="200"/>
    </w:p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正文文本缩进1"/>
    <w:basedOn w:val="1"/>
    <w:qFormat/>
    <w:uiPriority w:val="0"/>
    <w:pPr>
      <w:spacing w:line="360" w:lineRule="auto"/>
      <w:ind w:firstLine="444" w:firstLineChars="200"/>
    </w:pPr>
    <w:rPr>
      <w:rFonts w:ascii="宋体"/>
      <w:sz w:val="24"/>
    </w:rPr>
  </w:style>
  <w:style w:type="character" w:customStyle="1" w:styleId="37">
    <w:name w:val="文档结构图 字符"/>
    <w:basedOn w:val="23"/>
    <w:link w:val="7"/>
    <w:qFormat/>
    <w:uiPriority w:val="0"/>
    <w:rPr>
      <w:rFonts w:ascii="宋体"/>
      <w:kern w:val="2"/>
      <w:sz w:val="18"/>
      <w:szCs w:val="18"/>
    </w:rPr>
  </w:style>
  <w:style w:type="character" w:customStyle="1" w:styleId="38">
    <w:name w:val="批注主题 字符"/>
    <w:basedOn w:val="23"/>
    <w:link w:val="20"/>
    <w:semiHidden/>
    <w:qFormat/>
    <w:uiPriority w:val="99"/>
    <w:rPr>
      <w:b/>
      <w:bCs/>
      <w:kern w:val="2"/>
      <w:sz w:val="21"/>
      <w:szCs w:val="24"/>
    </w:rPr>
  </w:style>
  <w:style w:type="character" w:customStyle="1" w:styleId="39">
    <w:name w:val="批注文字 字符"/>
    <w:link w:val="8"/>
    <w:qFormat/>
    <w:locked/>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AA58E-61AF-4C8B-BF6D-C52C38AB4BF9}">
  <ds:schemaRefs/>
</ds:datastoreItem>
</file>

<file path=docProps/app.xml><?xml version="1.0" encoding="utf-8"?>
<Properties xmlns="http://schemas.openxmlformats.org/officeDocument/2006/extended-properties" xmlns:vt="http://schemas.openxmlformats.org/officeDocument/2006/docPropsVTypes">
  <Template>Normal</Template>
  <Company>cnooc</Company>
  <Pages>12</Pages>
  <Words>9533</Words>
  <Characters>720</Characters>
  <Lines>6</Lines>
  <Paragraphs>20</Paragraphs>
  <TotalTime>25</TotalTime>
  <ScaleCrop>false</ScaleCrop>
  <LinksUpToDate>false</LinksUpToDate>
  <CharactersWithSpaces>10233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2021-03-04T00:19:00Z</dcterms:created>
  <dc:creator>申嵩</dc:creator>
  <cp:lastModifiedBy>USER</cp:lastModifiedBy>
  <cp:lastPrinted>2009-12-16T07:15:00Z</cp:lastPrinted>
  <dcterms:modified xsi:type="dcterms:W3CDTF">2025-10-21T01:42:49Z</dcterms:modified>
  <dc:title>中国海洋石油总公司</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UFAAKbWmcrVFSZWmRyPk2VFeA8O94DV1sCr57nESmzm504IIZWGfVo/Y3N8VjYdF6MIydqxlviq4DgNG_x000d_
ZbpSzgOFiFnYWAs47aiNXpzG6dHXciqQQNz/sewkbZGk0uexNyjJgaderq1xYWdGZbpSzgOFiFnY_x000d_
WAs47aiNXpzG6dHXciqQQNz/sewkbZGk0uexNyjJmRWmwC1Oaid5n8KHRFvtJxmGDqtQmQRJjY+V_x000d_
5ZQPYoyK1SWmbSMSR</vt:lpwstr>
  </property>
  <property fmtid="{D5CDD505-2E9C-101B-9397-08002B2CF9AE}" pid="3" name="MAIL_MSG_ID2">
    <vt:lpwstr>A4LIJ9reccuUz2wlSzDwzIcK96kT7Rna22+rUclZ+yXStJJNawT6p8Zp43B_x000d_
XmOQn3ErASVuXwOhb4klGp75S2Y=</vt:lpwstr>
  </property>
  <property fmtid="{D5CDD505-2E9C-101B-9397-08002B2CF9AE}" pid="4" name="RESPONSE_SENDER_NAME">
    <vt:lpwstr>sAAAb0xRtPDW5UuDbsWbvd8de5TwZj6kwWqShE3j6/Vo+LY=</vt:lpwstr>
  </property>
  <property fmtid="{D5CDD505-2E9C-101B-9397-08002B2CF9AE}" pid="5" name="EMAIL_OWNER_ADDRESS">
    <vt:lpwstr>4AAAyjQjm0EOGgLWw9e2jrPSvNzC7OwQ/SymG8+0jaShON/do/EKhJ5noA==</vt:lpwstr>
  </property>
  <property fmtid="{D5CDD505-2E9C-101B-9397-08002B2CF9AE}" pid="6" name="KSOProductBuildVer">
    <vt:lpwstr>2052-11.8.2.12309</vt:lpwstr>
  </property>
  <property fmtid="{D5CDD505-2E9C-101B-9397-08002B2CF9AE}" pid="7" name="ICV">
    <vt:lpwstr>4A6F2BD016C04B7BB369CCC6A161E604</vt:lpwstr>
  </property>
</Properties>
</file>