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5"/>
          <w:tab w:val="left" w:pos="840"/>
          <w:tab w:val="left" w:pos="1260"/>
          <w:tab w:val="left" w:pos="1680"/>
          <w:tab w:val="left" w:pos="2100"/>
          <w:tab w:val="center" w:pos="2757"/>
        </w:tabs>
        <w:spacing w:line="360" w:lineRule="auto"/>
        <w:ind w:left="144" w:right="144"/>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一、质量人员一般要求</w:t>
      </w:r>
    </w:p>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360" w:lineRule="auto"/>
        <w:ind w:left="142" w:right="142"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承包商</w:t>
      </w:r>
      <w:r>
        <w:rPr>
          <w:rFonts w:hint="eastAsia" w:ascii="宋体" w:hAnsi="宋体" w:eastAsia="宋体" w:cs="宋体"/>
          <w:color w:val="auto"/>
          <w:sz w:val="24"/>
          <w:szCs w:val="24"/>
          <w:highlight w:val="none"/>
        </w:rPr>
        <w:t>应承担其施工范围内的过程质量控制工作职责。应建立施工过程质量自控机制及满足项目要求的施工过程质量自控组织机构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任何其它场地如供货商的材料、设备制造现场，要进行重要工作时，承包商应有质检人员始终在现场，质检人员应确保所有工作按照批准的程序进行。当工作没有按批准的程序、图纸或规格书实施时，质检人员有权勒令停工。质检人员应做好工作记录供</w:t>
      </w:r>
      <w:r>
        <w:rPr>
          <w:rFonts w:hint="eastAsia" w:ascii="Times New Roman" w:hAnsi="Times New Roman" w:eastAsia="宋体" w:cs="Times New Roman"/>
          <w:sz w:val="24"/>
          <w:szCs w:val="24"/>
        </w:rPr>
        <w:t>甲方</w:t>
      </w:r>
      <w:r>
        <w:rPr>
          <w:rFonts w:hint="eastAsia" w:ascii="宋体" w:hAnsi="宋体" w:eastAsia="宋体" w:cs="宋体"/>
          <w:color w:val="auto"/>
          <w:sz w:val="24"/>
          <w:szCs w:val="24"/>
          <w:highlight w:val="none"/>
          <w:lang w:val="en-US" w:eastAsia="zh-CN"/>
        </w:rPr>
        <w:t>审查。</w:t>
      </w:r>
    </w:p>
    <w:p>
      <w:pPr>
        <w:tabs>
          <w:tab w:val="left" w:pos="625"/>
          <w:tab w:val="left" w:pos="840"/>
          <w:tab w:val="left" w:pos="1260"/>
          <w:tab w:val="left" w:pos="1680"/>
          <w:tab w:val="left" w:pos="2100"/>
          <w:tab w:val="center" w:pos="2757"/>
        </w:tabs>
        <w:spacing w:line="360" w:lineRule="auto"/>
        <w:ind w:left="144" w:right="144"/>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二、承包商质量人员数量要求</w:t>
      </w:r>
    </w:p>
    <w:p>
      <w:pPr>
        <w:tabs>
          <w:tab w:val="left" w:pos="625"/>
          <w:tab w:val="left" w:pos="840"/>
          <w:tab w:val="left" w:pos="1260"/>
          <w:tab w:val="left" w:pos="1680"/>
          <w:tab w:val="left" w:pos="2100"/>
          <w:tab w:val="center" w:pos="2757"/>
        </w:tabs>
        <w:spacing w:line="360" w:lineRule="auto"/>
        <w:ind w:left="144" w:right="1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根据工作范围，质量人员数量的最低要求如下：</w:t>
      </w:r>
    </w:p>
    <w:tbl>
      <w:tblPr>
        <w:tblStyle w:val="6"/>
        <w:tblW w:w="7979"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0"/>
        <w:gridCol w:w="4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370"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岗位</w:t>
            </w:r>
          </w:p>
        </w:tc>
        <w:tc>
          <w:tcPr>
            <w:tcW w:w="4609"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370"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质量负责人</w:t>
            </w:r>
          </w:p>
        </w:tc>
        <w:tc>
          <w:tcPr>
            <w:tcW w:w="4609"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每个合同一名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370"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管线焊接检验员</w:t>
            </w:r>
          </w:p>
        </w:tc>
        <w:tc>
          <w:tcPr>
            <w:tcW w:w="4609"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2"/>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每15个焊工1名或每个区域至少1名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370"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机械/设备检验员</w:t>
            </w:r>
          </w:p>
        </w:tc>
        <w:tc>
          <w:tcPr>
            <w:tcW w:w="4609"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2"/>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每20个工人1名或每个区域至少1名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370"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结构焊接检验员</w:t>
            </w:r>
          </w:p>
        </w:tc>
        <w:tc>
          <w:tcPr>
            <w:tcW w:w="4609"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2"/>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每15个焊工1名或每个区域至少1名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370"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油漆保温</w:t>
            </w:r>
          </w:p>
        </w:tc>
        <w:tc>
          <w:tcPr>
            <w:tcW w:w="4609"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2"/>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每个班组至少1名或每个区域至少1名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370"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测量检验员</w:t>
            </w:r>
          </w:p>
        </w:tc>
        <w:tc>
          <w:tcPr>
            <w:tcW w:w="4609"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2"/>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每个班组至少1名或每个区域至少1名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370"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NDE协调</w:t>
            </w:r>
          </w:p>
        </w:tc>
        <w:tc>
          <w:tcPr>
            <w:tcW w:w="4609"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每个班组1名或每个区域至少1名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370"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电气检验员</w:t>
            </w:r>
          </w:p>
        </w:tc>
        <w:tc>
          <w:tcPr>
            <w:tcW w:w="4609"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20个工人1名或每个区域至少1名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370"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仪表检验员</w:t>
            </w:r>
          </w:p>
        </w:tc>
        <w:tc>
          <w:tcPr>
            <w:tcW w:w="4609"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20个工人1名或每个区域至少1名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370"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质量文件或系统管理</w:t>
            </w:r>
          </w:p>
        </w:tc>
        <w:tc>
          <w:tcPr>
            <w:tcW w:w="4609" w:type="dxa"/>
          </w:tcPr>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240" w:lineRule="auto"/>
              <w:ind w:right="144"/>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每个合同至少1名</w:t>
            </w:r>
          </w:p>
        </w:tc>
      </w:tr>
    </w:tbl>
    <w:p>
      <w:pPr>
        <w:tabs>
          <w:tab w:val="left" w:pos="625"/>
          <w:tab w:val="left" w:pos="840"/>
          <w:tab w:val="left" w:pos="1260"/>
          <w:tab w:val="left" w:pos="1680"/>
          <w:tab w:val="left" w:pos="2100"/>
          <w:tab w:val="center" w:pos="2757"/>
        </w:tabs>
        <w:spacing w:line="360" w:lineRule="auto"/>
        <w:ind w:left="144" w:right="144"/>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三、承包商质量人员能力要求</w:t>
      </w:r>
    </w:p>
    <w:p>
      <w:pPr>
        <w:tabs>
          <w:tab w:val="left" w:pos="625"/>
          <w:tab w:val="left" w:pos="840"/>
          <w:tab w:val="left" w:pos="1260"/>
          <w:tab w:val="left" w:pos="1680"/>
          <w:tab w:val="left" w:pos="2100"/>
          <w:tab w:val="center" w:pos="2757"/>
        </w:tabs>
        <w:spacing w:line="360" w:lineRule="auto"/>
        <w:ind w:left="144" w:right="1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管线/结构焊接检验员</w:t>
      </w:r>
    </w:p>
    <w:tbl>
      <w:tblPr>
        <w:tblStyle w:val="6"/>
        <w:tblW w:w="0" w:type="auto"/>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1"/>
        <w:gridCol w:w="3450"/>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1"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基本条件</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A级</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1"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证书CWI,CSWIP</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需要(每个合同或项目至少2名)</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1"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工作年限</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至少1年</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至少半年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1"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检验工机具使用</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31"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办公软件应用</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r>
    </w:tbl>
    <w:p>
      <w:pPr>
        <w:tabs>
          <w:tab w:val="left" w:pos="625"/>
          <w:tab w:val="left" w:pos="840"/>
          <w:tab w:val="left" w:pos="1260"/>
          <w:tab w:val="left" w:pos="1680"/>
          <w:tab w:val="left" w:pos="2100"/>
          <w:tab w:val="center" w:pos="2757"/>
        </w:tabs>
        <w:spacing w:line="360" w:lineRule="auto"/>
        <w:ind w:left="144" w:right="1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机械/设备/电气/仪表检验员</w:t>
      </w:r>
    </w:p>
    <w:tbl>
      <w:tblPr>
        <w:tblStyle w:val="6"/>
        <w:tblW w:w="0" w:type="auto"/>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3450"/>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基本条件</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A级</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电气防爆证书</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需要(每个合同或项目至少1名)</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工作年限</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至少1年</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至少半年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检验工机具使用</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办公软件应用</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r>
    </w:tbl>
    <w:p>
      <w:pPr>
        <w:tabs>
          <w:tab w:val="left" w:pos="625"/>
          <w:tab w:val="left" w:pos="840"/>
          <w:tab w:val="left" w:pos="1260"/>
          <w:tab w:val="left" w:pos="1680"/>
          <w:tab w:val="left" w:pos="2100"/>
          <w:tab w:val="center" w:pos="2757"/>
        </w:tabs>
        <w:spacing w:line="360" w:lineRule="auto"/>
        <w:ind w:left="144" w:right="1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测量检验员</w:t>
      </w:r>
    </w:p>
    <w:tbl>
      <w:tblPr>
        <w:tblStyle w:val="6"/>
        <w:tblW w:w="0" w:type="auto"/>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3450"/>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基本条件</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A级</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证书</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不需要(每个合同或项目至少2名)</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工作年限</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至少1年</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至少半年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检验工机具使用全站仪等</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办公软件应用CAD等</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r>
    </w:tbl>
    <w:p>
      <w:pPr>
        <w:tabs>
          <w:tab w:val="left" w:pos="625"/>
          <w:tab w:val="left" w:pos="840"/>
          <w:tab w:val="left" w:pos="1260"/>
          <w:tab w:val="left" w:pos="1680"/>
          <w:tab w:val="left" w:pos="2100"/>
          <w:tab w:val="center" w:pos="2757"/>
        </w:tabs>
        <w:spacing w:line="360" w:lineRule="auto"/>
        <w:ind w:left="144" w:right="1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涂装/保温检验员</w:t>
      </w:r>
    </w:p>
    <w:tbl>
      <w:tblPr>
        <w:tblStyle w:val="6"/>
        <w:tblW w:w="0" w:type="auto"/>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3450"/>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基本条件</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A级</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证书NACE/AMPP</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需要(每个合同或项目至少1名)</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工作年限</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至少1年</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至少半年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检验工机具使用</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办公软件应用</w:t>
            </w:r>
          </w:p>
        </w:tc>
        <w:tc>
          <w:tcPr>
            <w:tcW w:w="3450"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c>
          <w:tcPr>
            <w:tcW w:w="160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r>
    </w:tbl>
    <w:p>
      <w:pPr>
        <w:tabs>
          <w:tab w:val="left" w:pos="625"/>
          <w:tab w:val="left" w:pos="840"/>
          <w:tab w:val="left" w:pos="1260"/>
          <w:tab w:val="left" w:pos="1680"/>
          <w:tab w:val="left" w:pos="2100"/>
          <w:tab w:val="center" w:pos="2757"/>
        </w:tabs>
        <w:spacing w:line="360" w:lineRule="auto"/>
        <w:ind w:left="144" w:right="1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NDE协调员</w:t>
      </w:r>
    </w:p>
    <w:tbl>
      <w:tblPr>
        <w:tblStyle w:val="6"/>
        <w:tblW w:w="0" w:type="auto"/>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3442"/>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基本条件</w:t>
            </w:r>
          </w:p>
        </w:tc>
        <w:tc>
          <w:tcPr>
            <w:tcW w:w="3442"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A级</w:t>
            </w:r>
          </w:p>
        </w:tc>
        <w:tc>
          <w:tcPr>
            <w:tcW w:w="1609"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CWI/CSWIP/ASNT/PCN/ISO9712</w:t>
            </w:r>
          </w:p>
        </w:tc>
        <w:tc>
          <w:tcPr>
            <w:tcW w:w="3442"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需要(每个合同或项目至少1名)</w:t>
            </w:r>
          </w:p>
        </w:tc>
        <w:tc>
          <w:tcPr>
            <w:tcW w:w="1609"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工作年限</w:t>
            </w:r>
          </w:p>
        </w:tc>
        <w:tc>
          <w:tcPr>
            <w:tcW w:w="3442"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至少1年</w:t>
            </w:r>
          </w:p>
        </w:tc>
        <w:tc>
          <w:tcPr>
            <w:tcW w:w="1609"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至少半年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检验工机具使用</w:t>
            </w:r>
          </w:p>
        </w:tc>
        <w:tc>
          <w:tcPr>
            <w:tcW w:w="3442"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c>
          <w:tcPr>
            <w:tcW w:w="1609"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办公软件应用</w:t>
            </w:r>
          </w:p>
        </w:tc>
        <w:tc>
          <w:tcPr>
            <w:tcW w:w="3442"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c>
          <w:tcPr>
            <w:tcW w:w="1609"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r>
    </w:tbl>
    <w:p>
      <w:pPr>
        <w:tabs>
          <w:tab w:val="left" w:pos="625"/>
          <w:tab w:val="left" w:pos="840"/>
          <w:tab w:val="left" w:pos="1260"/>
          <w:tab w:val="left" w:pos="1680"/>
          <w:tab w:val="left" w:pos="2100"/>
          <w:tab w:val="center" w:pos="2757"/>
        </w:tabs>
        <w:spacing w:line="360" w:lineRule="auto"/>
        <w:ind w:left="144" w:right="1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质量文件或系统管理</w:t>
      </w:r>
    </w:p>
    <w:tbl>
      <w:tblPr>
        <w:tblStyle w:val="6"/>
        <w:tblW w:w="0" w:type="auto"/>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5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基本条件</w:t>
            </w:r>
          </w:p>
        </w:tc>
        <w:tc>
          <w:tcPr>
            <w:tcW w:w="505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证书</w:t>
            </w:r>
          </w:p>
        </w:tc>
        <w:tc>
          <w:tcPr>
            <w:tcW w:w="505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工作年限</w:t>
            </w:r>
          </w:p>
        </w:tc>
        <w:tc>
          <w:tcPr>
            <w:tcW w:w="505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至少1年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学历</w:t>
            </w:r>
          </w:p>
        </w:tc>
        <w:tc>
          <w:tcPr>
            <w:tcW w:w="505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中专以上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办公软件应用</w:t>
            </w:r>
          </w:p>
        </w:tc>
        <w:tc>
          <w:tcPr>
            <w:tcW w:w="5054" w:type="dxa"/>
            <w:vAlign w:val="top"/>
          </w:tcPr>
          <w:p>
            <w:pPr>
              <w:pStyle w:val="4"/>
              <w:keepNext w:val="0"/>
              <w:keepLines w:val="0"/>
              <w:widowControl/>
              <w:suppressLineNumbers w:val="0"/>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rPr>
              <w:t>需要</w:t>
            </w:r>
          </w:p>
        </w:tc>
      </w:tr>
    </w:tbl>
    <w:p>
      <w:pPr>
        <w:tabs>
          <w:tab w:val="left" w:pos="625"/>
          <w:tab w:val="left" w:pos="840"/>
          <w:tab w:val="left" w:pos="1260"/>
          <w:tab w:val="left" w:pos="1680"/>
          <w:tab w:val="left" w:pos="2100"/>
          <w:tab w:val="center" w:pos="2757"/>
        </w:tabs>
        <w:spacing w:line="360" w:lineRule="auto"/>
        <w:ind w:left="144" w:right="144"/>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四、承包商质量人员工机具要求</w:t>
      </w:r>
    </w:p>
    <w:p>
      <w:pPr>
        <w:tabs>
          <w:tab w:val="left" w:pos="625"/>
          <w:tab w:val="left" w:pos="840"/>
          <w:tab w:val="left" w:pos="1260"/>
          <w:tab w:val="left" w:pos="1680"/>
          <w:tab w:val="left" w:pos="2100"/>
          <w:tab w:val="center" w:pos="2757"/>
        </w:tabs>
        <w:spacing w:line="360" w:lineRule="auto"/>
        <w:ind w:left="144" w:right="1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根据工作范围，质量人员的工具要求如下：</w:t>
      </w:r>
    </w:p>
    <w:tbl>
      <w:tblPr>
        <w:tblStyle w:val="6"/>
        <w:tblW w:w="8008"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512"/>
        <w:gridCol w:w="1303"/>
        <w:gridCol w:w="1523"/>
        <w:gridCol w:w="147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6" w:type="dxa"/>
            <w:vAlign w:val="center"/>
          </w:tcPr>
          <w:p>
            <w:pPr>
              <w:pStyle w:val="4"/>
              <w:keepNext w:val="0"/>
              <w:keepLines w:val="0"/>
              <w:widowControl/>
              <w:suppressLineNumbers w:val="0"/>
              <w:ind w:left="0" w:leftChars="0" w:right="0" w:rightChars="0"/>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color w:val="000000"/>
                <w:sz w:val="21"/>
                <w:szCs w:val="21"/>
                <w:lang w:val="en-US" w:eastAsia="zh-CN"/>
              </w:rPr>
              <w:t>序号</w:t>
            </w:r>
          </w:p>
        </w:tc>
        <w:tc>
          <w:tcPr>
            <w:tcW w:w="1512" w:type="dxa"/>
            <w:vAlign w:val="center"/>
          </w:tcPr>
          <w:p>
            <w:pPr>
              <w:pStyle w:val="4"/>
              <w:keepNext w:val="0"/>
              <w:keepLines w:val="0"/>
              <w:widowControl/>
              <w:suppressLineNumbers w:val="0"/>
              <w:ind w:left="0" w:leftChars="0" w:right="0" w:rightChars="0"/>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color w:val="000000"/>
                <w:sz w:val="21"/>
                <w:szCs w:val="21"/>
              </w:rPr>
              <w:t>结构焊接QC</w:t>
            </w:r>
          </w:p>
        </w:tc>
        <w:tc>
          <w:tcPr>
            <w:tcW w:w="1303" w:type="dxa"/>
            <w:vAlign w:val="center"/>
          </w:tcPr>
          <w:p>
            <w:pPr>
              <w:pStyle w:val="4"/>
              <w:keepNext w:val="0"/>
              <w:keepLines w:val="0"/>
              <w:widowControl/>
              <w:suppressLineNumbers w:val="0"/>
              <w:ind w:left="0" w:leftChars="0" w:right="0" w:rightChars="0"/>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color w:val="000000"/>
                <w:sz w:val="21"/>
                <w:szCs w:val="21"/>
              </w:rPr>
              <w:t>管线焊接QC</w:t>
            </w:r>
          </w:p>
        </w:tc>
        <w:tc>
          <w:tcPr>
            <w:tcW w:w="1523" w:type="dxa"/>
            <w:vAlign w:val="center"/>
          </w:tcPr>
          <w:p>
            <w:pPr>
              <w:pStyle w:val="4"/>
              <w:keepNext w:val="0"/>
              <w:keepLines w:val="0"/>
              <w:widowControl/>
              <w:suppressLineNumbers w:val="0"/>
              <w:ind w:left="0" w:leftChars="0" w:right="0" w:rightChars="0"/>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color w:val="000000"/>
                <w:sz w:val="21"/>
                <w:szCs w:val="21"/>
              </w:rPr>
              <w:t>测量QC</w:t>
            </w:r>
          </w:p>
        </w:tc>
        <w:tc>
          <w:tcPr>
            <w:tcW w:w="1477" w:type="dxa"/>
            <w:vAlign w:val="center"/>
          </w:tcPr>
          <w:p>
            <w:pPr>
              <w:pStyle w:val="4"/>
              <w:keepNext w:val="0"/>
              <w:keepLines w:val="0"/>
              <w:widowControl/>
              <w:suppressLineNumbers w:val="0"/>
              <w:ind w:left="0" w:leftChars="0" w:right="0" w:rightChars="0"/>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color w:val="000000"/>
                <w:sz w:val="21"/>
                <w:szCs w:val="21"/>
              </w:rPr>
              <w:t>涂装/保温QC</w:t>
            </w:r>
          </w:p>
        </w:tc>
        <w:tc>
          <w:tcPr>
            <w:tcW w:w="1547" w:type="dxa"/>
            <w:vAlign w:val="center"/>
          </w:tcPr>
          <w:p>
            <w:pPr>
              <w:pStyle w:val="4"/>
              <w:keepNext w:val="0"/>
              <w:keepLines w:val="0"/>
              <w:widowControl/>
              <w:suppressLineNumbers w:val="0"/>
              <w:ind w:left="0" w:leftChars="0" w:right="0" w:rightChars="0"/>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color w:val="000000"/>
                <w:sz w:val="21"/>
                <w:szCs w:val="21"/>
              </w:rPr>
              <w:t>机电仪QC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pStyle w:val="4"/>
              <w:keepNext w:val="0"/>
              <w:keepLines w:val="0"/>
              <w:widowControl/>
              <w:suppressLineNumbers w:val="0"/>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1</w:t>
            </w:r>
          </w:p>
        </w:tc>
        <w:tc>
          <w:tcPr>
            <w:tcW w:w="1512"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工具包</w:t>
            </w:r>
          </w:p>
        </w:tc>
        <w:tc>
          <w:tcPr>
            <w:tcW w:w="1303"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工具包</w:t>
            </w:r>
          </w:p>
        </w:tc>
        <w:tc>
          <w:tcPr>
            <w:tcW w:w="1523"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工具包</w:t>
            </w:r>
          </w:p>
        </w:tc>
        <w:tc>
          <w:tcPr>
            <w:tcW w:w="1477"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工具包</w:t>
            </w:r>
          </w:p>
        </w:tc>
        <w:tc>
          <w:tcPr>
            <w:tcW w:w="1547"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工具包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pStyle w:val="4"/>
              <w:keepNext w:val="0"/>
              <w:keepLines w:val="0"/>
              <w:widowControl/>
              <w:suppressLineNumbers w:val="0"/>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2</w:t>
            </w:r>
          </w:p>
        </w:tc>
        <w:tc>
          <w:tcPr>
            <w:tcW w:w="1512"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防爆手电筒</w:t>
            </w:r>
          </w:p>
        </w:tc>
        <w:tc>
          <w:tcPr>
            <w:tcW w:w="1303"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防爆手电筒</w:t>
            </w:r>
          </w:p>
        </w:tc>
        <w:tc>
          <w:tcPr>
            <w:tcW w:w="1523"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防爆手电筒</w:t>
            </w:r>
          </w:p>
        </w:tc>
        <w:tc>
          <w:tcPr>
            <w:tcW w:w="1477"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防爆手电筒</w:t>
            </w:r>
          </w:p>
        </w:tc>
        <w:tc>
          <w:tcPr>
            <w:tcW w:w="1547"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防爆手电筒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pStyle w:val="4"/>
              <w:keepNext w:val="0"/>
              <w:keepLines w:val="0"/>
              <w:widowControl/>
              <w:suppressLineNumbers w:val="0"/>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3</w:t>
            </w:r>
          </w:p>
        </w:tc>
        <w:tc>
          <w:tcPr>
            <w:tcW w:w="1512"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5m盒尺（卷尺）</w:t>
            </w:r>
          </w:p>
        </w:tc>
        <w:tc>
          <w:tcPr>
            <w:tcW w:w="1303"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错边尺</w:t>
            </w:r>
          </w:p>
        </w:tc>
        <w:tc>
          <w:tcPr>
            <w:tcW w:w="1523"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5m盒尺（卷尺）</w:t>
            </w:r>
          </w:p>
        </w:tc>
        <w:tc>
          <w:tcPr>
            <w:tcW w:w="1477"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可伸缩检查镜</w:t>
            </w:r>
          </w:p>
        </w:tc>
        <w:tc>
          <w:tcPr>
            <w:tcW w:w="1547"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5m盒尺（卷尺）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pStyle w:val="4"/>
              <w:keepNext w:val="0"/>
              <w:keepLines w:val="0"/>
              <w:widowControl/>
              <w:suppressLineNumbers w:val="0"/>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4</w:t>
            </w:r>
          </w:p>
        </w:tc>
        <w:tc>
          <w:tcPr>
            <w:tcW w:w="1512"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焊缝检验尺</w:t>
            </w:r>
          </w:p>
        </w:tc>
        <w:tc>
          <w:tcPr>
            <w:tcW w:w="1303"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焊缝检验尺</w:t>
            </w:r>
          </w:p>
        </w:tc>
        <w:tc>
          <w:tcPr>
            <w:tcW w:w="1523"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20m盘尺</w:t>
            </w:r>
          </w:p>
        </w:tc>
        <w:tc>
          <w:tcPr>
            <w:tcW w:w="1477"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温湿度摇表</w:t>
            </w:r>
          </w:p>
        </w:tc>
        <w:tc>
          <w:tcPr>
            <w:tcW w:w="1547"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pStyle w:val="4"/>
              <w:keepNext w:val="0"/>
              <w:keepLines w:val="0"/>
              <w:widowControl/>
              <w:suppressLineNumbers w:val="0"/>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5</w:t>
            </w:r>
          </w:p>
        </w:tc>
        <w:tc>
          <w:tcPr>
            <w:tcW w:w="1512"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间隙尺</w:t>
            </w:r>
          </w:p>
        </w:tc>
        <w:tc>
          <w:tcPr>
            <w:tcW w:w="1303"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间隙尺</w:t>
            </w:r>
          </w:p>
        </w:tc>
        <w:tc>
          <w:tcPr>
            <w:tcW w:w="1523"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 </w:t>
            </w:r>
          </w:p>
        </w:tc>
        <w:tc>
          <w:tcPr>
            <w:tcW w:w="1477"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表面温度计</w:t>
            </w:r>
          </w:p>
        </w:tc>
        <w:tc>
          <w:tcPr>
            <w:tcW w:w="1547"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绝缘表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pStyle w:val="4"/>
              <w:keepNext w:val="0"/>
              <w:keepLines w:val="0"/>
              <w:widowControl/>
              <w:suppressLineNumbers w:val="0"/>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6</w:t>
            </w:r>
          </w:p>
        </w:tc>
        <w:tc>
          <w:tcPr>
            <w:tcW w:w="1512"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测温枪</w:t>
            </w:r>
          </w:p>
        </w:tc>
        <w:tc>
          <w:tcPr>
            <w:tcW w:w="1303"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测温枪</w:t>
            </w:r>
          </w:p>
        </w:tc>
        <w:tc>
          <w:tcPr>
            <w:tcW w:w="1523"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 </w:t>
            </w:r>
          </w:p>
        </w:tc>
        <w:tc>
          <w:tcPr>
            <w:tcW w:w="1477"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油漆检验铲刀</w:t>
            </w:r>
          </w:p>
        </w:tc>
        <w:tc>
          <w:tcPr>
            <w:tcW w:w="1547"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钢直尺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pStyle w:val="4"/>
              <w:keepNext w:val="0"/>
              <w:keepLines w:val="0"/>
              <w:widowControl/>
              <w:suppressLineNumbers w:val="0"/>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7</w:t>
            </w:r>
          </w:p>
        </w:tc>
        <w:tc>
          <w:tcPr>
            <w:tcW w:w="1512"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钳形表</w:t>
            </w:r>
          </w:p>
        </w:tc>
        <w:tc>
          <w:tcPr>
            <w:tcW w:w="1303"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钳形表</w:t>
            </w:r>
          </w:p>
        </w:tc>
        <w:tc>
          <w:tcPr>
            <w:tcW w:w="1523"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 </w:t>
            </w:r>
          </w:p>
        </w:tc>
        <w:tc>
          <w:tcPr>
            <w:tcW w:w="1477"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漆膜测厚仪</w:t>
            </w:r>
          </w:p>
        </w:tc>
        <w:tc>
          <w:tcPr>
            <w:tcW w:w="1547" w:type="dxa"/>
            <w:vAlign w:val="center"/>
          </w:tcPr>
          <w:p>
            <w:pPr>
              <w:pStyle w:val="4"/>
              <w:keepNext w:val="0"/>
              <w:keepLines w:val="0"/>
              <w:widowControl/>
              <w:suppressLineNumbers w:val="0"/>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兆欧表</w:t>
            </w:r>
          </w:p>
        </w:tc>
      </w:tr>
    </w:tbl>
    <w:p>
      <w:pPr>
        <w:tabs>
          <w:tab w:val="left" w:pos="625"/>
          <w:tab w:val="left" w:pos="840"/>
          <w:tab w:val="left" w:pos="1260"/>
          <w:tab w:val="left" w:pos="1680"/>
          <w:tab w:val="left" w:pos="2100"/>
          <w:tab w:val="center" w:pos="2757"/>
        </w:tabs>
        <w:spacing w:line="360" w:lineRule="auto"/>
        <w:ind w:left="144" w:right="144"/>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五、承包商质量人员考核要求</w:t>
      </w:r>
    </w:p>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360" w:lineRule="auto"/>
        <w:ind w:left="142" w:right="142"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1、生产开始前质量人员需要到位，随着生产进度的进行质量人员需要至少提前1周达到工种配比要求。</w:t>
      </w:r>
    </w:p>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360" w:lineRule="auto"/>
        <w:ind w:left="142" w:right="142"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2、自检人员需要提交正式简历经过初选面试合格后，进入人员等级考核。</w:t>
      </w:r>
    </w:p>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360" w:lineRule="auto"/>
        <w:ind w:left="142" w:right="142"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3、人员等级考核分为理论和实操两部分，考试合格发上岗证。</w:t>
      </w:r>
    </w:p>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360" w:lineRule="auto"/>
        <w:ind w:left="142" w:right="142"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4、人员等级考核完成后，进入项目前进行项目质量管理程序文件培训，共计8小时。</w:t>
      </w:r>
    </w:p>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360" w:lineRule="auto"/>
        <w:ind w:left="142" w:right="142"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5、进入项目后观察期2周，如不达标人员需要立即进行更换。</w:t>
      </w:r>
    </w:p>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360" w:lineRule="auto"/>
        <w:ind w:left="142" w:right="142"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6、自检人员每季度一次进行考核，不达标人员需要及时更换。</w:t>
      </w:r>
    </w:p>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360" w:lineRule="auto"/>
        <w:ind w:left="142" w:right="142"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7、因人员个人原因离职，需提前2周向项目质量负责人报备，并在两周内完成人员替补。</w:t>
      </w:r>
    </w:p>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360" w:lineRule="auto"/>
        <w:ind w:left="142" w:right="142"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8、自检人员的考核主要维度为一次报检通过率、所负责区域出现质量问题的数量和级别、QC和客户满意度。</w:t>
      </w:r>
    </w:p>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360" w:lineRule="auto"/>
        <w:ind w:left="142" w:right="142"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六、其他要求</w:t>
      </w:r>
    </w:p>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360" w:lineRule="auto"/>
        <w:ind w:left="142" w:right="142"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w:t>
      </w:r>
      <w:r>
        <w:rPr>
          <w:rFonts w:hint="eastAsia" w:ascii="Times New Roman" w:hAnsi="Times New Roman" w:eastAsia="宋体" w:cs="Times New Roman"/>
          <w:sz w:val="24"/>
          <w:szCs w:val="24"/>
          <w:lang w:val="en-US" w:eastAsia="zh-CN"/>
        </w:rPr>
        <w:t>承包商</w:t>
      </w:r>
      <w:r>
        <w:rPr>
          <w:rFonts w:hint="eastAsia" w:ascii="宋体" w:hAnsi="宋体" w:eastAsia="宋体" w:cs="宋体"/>
          <w:color w:val="auto"/>
          <w:sz w:val="24"/>
          <w:szCs w:val="24"/>
          <w:highlight w:val="none"/>
          <w:lang w:val="en-US" w:eastAsia="zh-CN"/>
        </w:rPr>
        <w:t>的质检人员数量不满足上述要求，</w:t>
      </w:r>
      <w:r>
        <w:rPr>
          <w:rFonts w:hint="eastAsia" w:ascii="Times New Roman" w:hAnsi="Times New Roman" w:eastAsia="宋体" w:cs="Times New Roman"/>
          <w:sz w:val="24"/>
          <w:szCs w:val="24"/>
          <w:lang w:val="en-US" w:eastAsia="zh-CN"/>
        </w:rPr>
        <w:t>承包商应</w:t>
      </w:r>
      <w:r>
        <w:rPr>
          <w:rFonts w:hint="eastAsia" w:ascii="宋体" w:hAnsi="宋体" w:eastAsia="宋体" w:cs="宋体"/>
          <w:color w:val="auto"/>
          <w:sz w:val="24"/>
          <w:szCs w:val="24"/>
          <w:highlight w:val="none"/>
          <w:lang w:val="en-US" w:eastAsia="zh-CN"/>
        </w:rPr>
        <w:t>承担由此带来的影响，且不足的人员将由甲方质量人员进行补充，所产生的费用由</w:t>
      </w:r>
      <w:r>
        <w:rPr>
          <w:rFonts w:hint="eastAsia" w:ascii="Times New Roman" w:hAnsi="Times New Roman" w:eastAsia="宋体" w:cs="Times New Roman"/>
          <w:sz w:val="24"/>
          <w:szCs w:val="24"/>
          <w:lang w:val="en-US" w:eastAsia="zh-CN"/>
        </w:rPr>
        <w:t>承包商承担。</w:t>
      </w:r>
    </w:p>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360" w:lineRule="auto"/>
        <w:ind w:left="142" w:right="142" w:firstLine="480" w:firstLineChars="200"/>
        <w:textAlignment w:val="auto"/>
        <w:rPr>
          <w:rFonts w:hint="eastAsia" w:ascii="Times New Roman" w:hAnsi="Times New Roman" w:eastAsia="宋体" w:cs="Times New Roman"/>
          <w:sz w:val="24"/>
          <w:szCs w:val="24"/>
          <w:lang w:val="en-US" w:eastAsia="zh-CN"/>
        </w:rPr>
      </w:pPr>
      <w:r>
        <w:rPr>
          <w:rFonts w:hint="eastAsia" w:ascii="宋体" w:hAnsi="宋体" w:eastAsia="宋体" w:cs="宋体"/>
          <w:color w:val="auto"/>
          <w:sz w:val="24"/>
          <w:szCs w:val="24"/>
          <w:highlight w:val="none"/>
          <w:lang w:val="en-US" w:eastAsia="zh-CN"/>
        </w:rPr>
        <w:t>2、如</w:t>
      </w:r>
      <w:r>
        <w:rPr>
          <w:rFonts w:hint="eastAsia" w:ascii="Times New Roman" w:hAnsi="Times New Roman" w:eastAsia="宋体" w:cs="Times New Roman"/>
          <w:sz w:val="24"/>
          <w:szCs w:val="24"/>
          <w:lang w:val="en-US" w:eastAsia="zh-CN"/>
        </w:rPr>
        <w:t>承包商</w:t>
      </w:r>
      <w:r>
        <w:rPr>
          <w:rFonts w:hint="eastAsia" w:ascii="宋体" w:hAnsi="宋体" w:eastAsia="宋体" w:cs="宋体"/>
          <w:color w:val="auto"/>
          <w:sz w:val="24"/>
          <w:szCs w:val="24"/>
          <w:highlight w:val="none"/>
          <w:lang w:val="en-US" w:eastAsia="zh-CN"/>
        </w:rPr>
        <w:t>的质检人员不认真履行自检要求，</w:t>
      </w:r>
      <w:r>
        <w:rPr>
          <w:rFonts w:hint="eastAsia" w:ascii="Times New Roman" w:hAnsi="Times New Roman" w:eastAsia="宋体" w:cs="Times New Roman"/>
          <w:sz w:val="24"/>
          <w:szCs w:val="24"/>
        </w:rPr>
        <w:t>甲方</w:t>
      </w:r>
      <w:r>
        <w:rPr>
          <w:rFonts w:hint="eastAsia" w:ascii="宋体" w:hAnsi="宋体" w:eastAsia="宋体" w:cs="宋体"/>
          <w:color w:val="auto"/>
          <w:sz w:val="24"/>
          <w:szCs w:val="24"/>
          <w:highlight w:val="none"/>
          <w:lang w:val="en-US" w:eastAsia="zh-CN"/>
        </w:rPr>
        <w:t>有权利要求更换质量人员，</w:t>
      </w:r>
      <w:r>
        <w:rPr>
          <w:rFonts w:hint="eastAsia" w:ascii="Times New Roman" w:hAnsi="Times New Roman" w:eastAsia="宋体" w:cs="Times New Roman"/>
          <w:sz w:val="24"/>
          <w:szCs w:val="24"/>
          <w:lang w:val="en-US" w:eastAsia="zh-CN"/>
        </w:rPr>
        <w:t>承包商</w:t>
      </w:r>
      <w:r>
        <w:rPr>
          <w:rFonts w:hint="eastAsia" w:ascii="宋体" w:hAnsi="宋体" w:eastAsia="宋体" w:cs="宋体"/>
          <w:color w:val="auto"/>
          <w:sz w:val="24"/>
          <w:szCs w:val="24"/>
          <w:highlight w:val="none"/>
          <w:lang w:val="en-US" w:eastAsia="zh-CN"/>
        </w:rPr>
        <w:t>应及时更换并承担由此带来的影响，且人员更换期间将由甲方质量人员进行补充，所产生的费用由</w:t>
      </w:r>
      <w:r>
        <w:rPr>
          <w:rFonts w:hint="eastAsia" w:ascii="Times New Roman" w:hAnsi="Times New Roman" w:eastAsia="宋体" w:cs="Times New Roman"/>
          <w:sz w:val="24"/>
          <w:szCs w:val="24"/>
          <w:lang w:val="en-US" w:eastAsia="zh-CN"/>
        </w:rPr>
        <w:t>承包商承担。</w:t>
      </w:r>
    </w:p>
    <w:p>
      <w:pPr>
        <w:keepNext w:val="0"/>
        <w:keepLines w:val="0"/>
        <w:pageBreakBefore w:val="0"/>
        <w:widowControl w:val="0"/>
        <w:tabs>
          <w:tab w:val="left" w:pos="625"/>
          <w:tab w:val="left" w:pos="840"/>
          <w:tab w:val="left" w:pos="1260"/>
          <w:tab w:val="left" w:pos="1680"/>
          <w:tab w:val="left" w:pos="2100"/>
          <w:tab w:val="center" w:pos="2757"/>
        </w:tabs>
        <w:kinsoku/>
        <w:wordWrap/>
        <w:overflowPunct/>
        <w:topLinePunct w:val="0"/>
        <w:autoSpaceDE/>
        <w:autoSpaceDN/>
        <w:bidi w:val="0"/>
        <w:adjustRightInd/>
        <w:snapToGrid/>
        <w:spacing w:line="360" w:lineRule="auto"/>
        <w:ind w:left="142" w:right="142"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3、如月度一次报检合格率超标（以MOM系统统计结果为准），则超标部分所产生的任何费用由</w:t>
      </w:r>
      <w:r>
        <w:rPr>
          <w:rFonts w:hint="eastAsia" w:ascii="Times New Roman" w:hAnsi="Times New Roman" w:eastAsia="宋体" w:cs="Times New Roman"/>
          <w:sz w:val="24"/>
          <w:szCs w:val="24"/>
          <w:lang w:val="en-US" w:eastAsia="zh-CN"/>
        </w:rPr>
        <w:t>承包商承担。</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lang w:val="en-US" w:eastAsia="zh-CN"/>
      </w:rPr>
    </w:pPr>
    <w:r>
      <w:rPr>
        <w:rFonts w:hint="eastAsia"/>
        <w:lang w:val="en-US" w:eastAsia="zh-CN"/>
      </w:rPr>
      <w:t>承包商</w:t>
    </w:r>
    <w:r>
      <w:rPr>
        <w:rFonts w:hint="eastAsia"/>
        <w:lang w:val="en-US" w:eastAsia="zh-CN"/>
      </w:rPr>
      <w:t xml:space="preserve">质量人员要求                           </w:t>
    </w:r>
    <w:bookmarkStart w:id="0" w:name="_GoBack"/>
    <w:bookmarkEnd w:id="0"/>
    <w:r>
      <w:rPr>
        <w:rFonts w:hint="eastAsia"/>
        <w:lang w:val="en-US" w:eastAsia="zh-CN"/>
      </w:rPr>
      <w:t xml:space="preserve">                        REV. 202602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5362F"/>
    <w:rsid w:val="096A04BC"/>
    <w:rsid w:val="0E912974"/>
    <w:rsid w:val="10806242"/>
    <w:rsid w:val="129C3AE7"/>
    <w:rsid w:val="13E301B7"/>
    <w:rsid w:val="269B7263"/>
    <w:rsid w:val="27831C40"/>
    <w:rsid w:val="2796077F"/>
    <w:rsid w:val="3A9D5602"/>
    <w:rsid w:val="4B897A7D"/>
    <w:rsid w:val="692E5FB4"/>
    <w:rsid w:val="69E44DB7"/>
    <w:rsid w:val="6D7B2EBE"/>
    <w:rsid w:val="6F4F1753"/>
    <w:rsid w:val="733173B2"/>
    <w:rsid w:val="7636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2026-02-10T05:57:00Z</dcterms:created>
  <dc:creator>liuhh15-L</dc:creator>
  <cp:lastModifiedBy>wangjiao5-L</cp:lastModifiedBy>
  <dcterms:modified xsi:type="dcterms:W3CDTF">2026-04-15T01:56:10Z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C2A55FE6B7094A44B70FD4923F195B02</vt:lpwstr>
  </property>
</Properties>
</file>