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ascii="Times New Roman" w:hAnsi="Times New Roman" w:cs="Times New Roman"/>
          <w:b/>
          <w:sz w:val="24"/>
        </w:rPr>
      </w:pPr>
      <w:r>
        <w:rPr>
          <w:rFonts w:ascii="Times New Roman" w:hAnsi="Times New Roman" w:cs="Times New Roman"/>
          <w:b/>
          <w:sz w:val="24"/>
        </w:rPr>
        <w:drawing>
          <wp:inline distT="0" distB="0" distL="114300" distR="114300">
            <wp:extent cx="3742690" cy="743585"/>
            <wp:effectExtent l="0" t="0" r="0" b="0"/>
            <wp:docPr id="1" name="图片 1" descr="hgjg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gjglogonew"/>
                    <pic:cNvPicPr>
                      <a:picLocks noChangeAspect="1"/>
                    </pic:cNvPicPr>
                  </pic:nvPicPr>
                  <pic:blipFill>
                    <a:blip r:embed="rId4"/>
                    <a:stretch>
                      <a:fillRect/>
                    </a:stretch>
                  </pic:blipFill>
                  <pic:spPr>
                    <a:xfrm>
                      <a:off x="0" y="0"/>
                      <a:ext cx="3742690" cy="743585"/>
                    </a:xfrm>
                    <a:prstGeom prst="rect">
                      <a:avLst/>
                    </a:prstGeom>
                  </pic:spPr>
                </pic:pic>
              </a:graphicData>
            </a:graphic>
          </wp:inline>
        </w:drawing>
      </w:r>
    </w:p>
    <w:p>
      <w:pPr>
        <w:spacing w:line="420" w:lineRule="exact"/>
        <w:ind w:right="-340" w:rightChars="-162"/>
        <w:rPr>
          <w:rFonts w:ascii="Times New Roman" w:hAnsi="Times New Roman" w:eastAsia="宋体" w:cs="Times New Roman"/>
          <w:b/>
          <w:sz w:val="28"/>
          <w:szCs w:val="28"/>
        </w:rPr>
      </w:pPr>
      <w:r>
        <w:rPr>
          <w:rFonts w:ascii="Times New Roman" w:hAnsi="Times New Roman" w:eastAsia="宋体" w:cs="Times New Roman"/>
          <w:b/>
          <w:sz w:val="28"/>
          <w:szCs w:val="28"/>
        </w:rPr>
        <w:t>关于海洋石油工程股份有限公司-天津海洋工程装备制造基地建设项目临港二期视觉识别提升服务</w:t>
      </w:r>
      <w:r>
        <w:rPr>
          <w:rFonts w:hint="eastAsia" w:ascii="Times New Roman" w:hAnsi="Times New Roman" w:eastAsia="宋体" w:cs="Times New Roman"/>
          <w:b/>
          <w:sz w:val="28"/>
          <w:szCs w:val="28"/>
          <w:lang w:val="en-US" w:eastAsia="zh-CN"/>
        </w:rPr>
        <w:t>公开招标</w:t>
      </w: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项目</w:t>
      </w:r>
      <w:r>
        <w:rPr>
          <w:rFonts w:ascii="Times New Roman" w:hAnsi="Times New Roman" w:eastAsia="宋体" w:cs="Times New Roman"/>
          <w:b/>
          <w:sz w:val="28"/>
          <w:szCs w:val="28"/>
        </w:rPr>
        <w:t>编号：</w:t>
      </w:r>
      <w:r>
        <w:rPr>
          <w:rFonts w:ascii="微软雅黑" w:hAnsi="微软雅黑" w:eastAsia="微软雅黑" w:cs="微软雅黑"/>
          <w:i w:val="0"/>
          <w:iCs w:val="0"/>
          <w:caps w:val="0"/>
          <w:color w:val="646A73"/>
          <w:spacing w:val="0"/>
          <w:sz w:val="24"/>
          <w:szCs w:val="24"/>
          <w:shd w:val="clear" w:fill="FFFFFF"/>
        </w:rPr>
        <w:t>2024-HGCBGXZX-ZX-GCFW-0698/01</w:t>
      </w: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招标</w:t>
      </w:r>
      <w:r>
        <w:rPr>
          <w:rFonts w:ascii="Times New Roman" w:hAnsi="Times New Roman" w:eastAsia="宋体" w:cs="Times New Roman"/>
          <w:b/>
          <w:sz w:val="28"/>
          <w:szCs w:val="28"/>
        </w:rPr>
        <w:t>文件的澄清</w:t>
      </w:r>
    </w:p>
    <w:p>
      <w:pPr>
        <w:spacing w:line="420" w:lineRule="exact"/>
        <w:ind w:right="-340" w:rightChars="-162"/>
        <w:jc w:val="center"/>
        <w:outlineLvl w:val="0"/>
        <w:rPr>
          <w:rFonts w:ascii="Times New Roman" w:hAnsi="Times New Roman" w:eastAsia="宋体" w:cs="Times New Roman"/>
          <w:b/>
          <w:sz w:val="28"/>
          <w:szCs w:val="28"/>
        </w:rPr>
      </w:pPr>
      <w:r>
        <w:rPr>
          <w:rFonts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资审</w:t>
      </w:r>
      <w:r>
        <w:rPr>
          <w:rFonts w:ascii="Times New Roman" w:hAnsi="Times New Roman" w:eastAsia="宋体" w:cs="Times New Roman"/>
          <w:b/>
          <w:sz w:val="28"/>
          <w:szCs w:val="28"/>
        </w:rPr>
        <w:t>文件澄清函编号： 0</w:t>
      </w:r>
      <w:r>
        <w:rPr>
          <w:rFonts w:hint="eastAsia" w:ascii="Times New Roman" w:hAnsi="Times New Roman" w:eastAsia="宋体" w:cs="Times New Roman"/>
          <w:b/>
          <w:sz w:val="28"/>
          <w:szCs w:val="28"/>
          <w:lang w:val="en-US" w:eastAsia="zh-CN"/>
        </w:rPr>
        <w:t>1-3</w:t>
      </w:r>
      <w:r>
        <w:rPr>
          <w:rFonts w:ascii="Times New Roman" w:hAnsi="Times New Roman" w:eastAsia="宋体" w:cs="Times New Roman"/>
          <w:b/>
          <w:sz w:val="28"/>
          <w:szCs w:val="28"/>
        </w:rPr>
        <w:t>）</w:t>
      </w:r>
    </w:p>
    <w:p>
      <w:pPr>
        <w:widowControl/>
        <w:spacing w:after="156" w:afterLines="50" w:line="400" w:lineRule="exact"/>
        <w:rPr>
          <w:rFonts w:ascii="Times New Roman" w:hAnsi="Times New Roman" w:eastAsia="宋体" w:cs="Times New Roman"/>
          <w:sz w:val="24"/>
          <w:szCs w:val="24"/>
        </w:rPr>
      </w:pPr>
      <w:r>
        <w:rPr>
          <w:rFonts w:ascii="Times New Roman" w:hAnsi="Times New Roman" w:eastAsia="宋体" w:cs="Times New Roman"/>
          <w:sz w:val="24"/>
          <w:szCs w:val="24"/>
        </w:rPr>
        <w:t>招标联系人及联系方式：</w:t>
      </w:r>
    </w:p>
    <w:p>
      <w:pPr>
        <w:widowControl/>
        <w:spacing w:after="156" w:afterLines="5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陈星：022</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5989</w:t>
      </w:r>
      <w:r>
        <w:rPr>
          <w:rFonts w:ascii="Times New Roman" w:hAnsi="Times New Roman" w:eastAsia="宋体" w:cs="Times New Roman"/>
          <w:sz w:val="24"/>
          <w:szCs w:val="24"/>
        </w:rPr>
        <w:t xml:space="preserve"> 7</w:t>
      </w:r>
      <w:r>
        <w:rPr>
          <w:rFonts w:hint="eastAsia" w:ascii="Times New Roman" w:hAnsi="Times New Roman" w:eastAsia="宋体" w:cs="Times New Roman"/>
          <w:sz w:val="24"/>
          <w:szCs w:val="24"/>
          <w:lang w:val="en-US" w:eastAsia="zh-CN"/>
        </w:rPr>
        <w:t>776</w:t>
      </w:r>
      <w:r>
        <w:rPr>
          <w:rFonts w:ascii="Times New Roman" w:hAnsi="Times New Roman" w:eastAsia="宋体" w:cs="Times New Roman"/>
          <w:sz w:val="24"/>
          <w:szCs w:val="24"/>
        </w:rPr>
        <w:t>/</w:t>
      </w:r>
      <w:bookmarkStart w:id="0" w:name="OLE_LINK22"/>
      <w:bookmarkStart w:id="1" w:name="OLE_LINK21"/>
      <w:r>
        <w:rPr>
          <w:rFonts w:hint="eastAsia" w:ascii="Times New Roman" w:hAnsi="Times New Roman" w:eastAsia="宋体" w:cs="Times New Roman"/>
          <w:sz w:val="24"/>
          <w:szCs w:val="24"/>
          <w:lang w:val="en-US" w:eastAsia="zh-CN"/>
        </w:rPr>
        <w:t>chenxing2</w:t>
      </w:r>
      <w:r>
        <w:rPr>
          <w:rFonts w:ascii="Times New Roman" w:hAnsi="Times New Roman" w:eastAsia="宋体" w:cs="Times New Roman"/>
          <w:sz w:val="24"/>
          <w:szCs w:val="24"/>
        </w:rPr>
        <w:t>@c</w:t>
      </w:r>
      <w:r>
        <w:rPr>
          <w:rFonts w:hint="eastAsia" w:ascii="Times New Roman" w:hAnsi="Times New Roman" w:eastAsia="宋体" w:cs="Times New Roman"/>
          <w:sz w:val="24"/>
          <w:szCs w:val="24"/>
          <w:lang w:val="en-US" w:eastAsia="zh-CN"/>
        </w:rPr>
        <w:t>ooe</w:t>
      </w:r>
      <w:r>
        <w:rPr>
          <w:rFonts w:ascii="Times New Roman" w:hAnsi="Times New Roman" w:eastAsia="宋体" w:cs="Times New Roman"/>
          <w:sz w:val="24"/>
          <w:szCs w:val="24"/>
        </w:rPr>
        <w:t>c.com.cn</w:t>
      </w:r>
      <w:bookmarkEnd w:id="0"/>
      <w:bookmarkEnd w:id="1"/>
    </w:p>
    <w:p>
      <w:pPr>
        <w:widowControl/>
        <w:spacing w:after="156" w:afterLines="50" w:line="400" w:lineRule="exact"/>
        <w:rPr>
          <w:rFonts w:ascii="Times New Roman" w:hAnsi="Times New Roman" w:eastAsia="宋体" w:cs="Times New Roman"/>
          <w:sz w:val="24"/>
          <w:szCs w:val="24"/>
        </w:rPr>
      </w:pPr>
      <w:r>
        <w:rPr>
          <w:rFonts w:ascii="Times New Roman" w:hAnsi="Times New Roman" w:eastAsia="宋体" w:cs="Times New Roman"/>
          <w:sz w:val="24"/>
          <w:szCs w:val="24"/>
        </w:rPr>
        <w:t>各</w:t>
      </w:r>
      <w:r>
        <w:rPr>
          <w:rFonts w:hint="eastAsia" w:ascii="Times New Roman" w:hAnsi="Times New Roman" w:eastAsia="宋体" w:cs="Times New Roman"/>
          <w:sz w:val="24"/>
          <w:szCs w:val="24"/>
          <w:lang w:val="en-US" w:eastAsia="zh-CN"/>
        </w:rPr>
        <w:t>申请</w:t>
      </w:r>
      <w:r>
        <w:rPr>
          <w:rFonts w:ascii="Times New Roman" w:hAnsi="Times New Roman" w:eastAsia="宋体" w:cs="Times New Roman"/>
          <w:sz w:val="24"/>
          <w:szCs w:val="24"/>
        </w:rPr>
        <w:t>人：</w:t>
      </w:r>
    </w:p>
    <w:p>
      <w:pPr>
        <w:widowControl/>
        <w:spacing w:after="156" w:afterLines="50"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海洋石油工程股份有限公司-天津海洋工程装备制造基地建设项目临港二期视觉识别提升服务进行</w:t>
      </w:r>
      <w:r>
        <w:rPr>
          <w:rFonts w:hint="eastAsia" w:ascii="Times New Roman" w:hAnsi="Times New Roman" w:eastAsia="宋体" w:cs="Times New Roman"/>
          <w:sz w:val="24"/>
          <w:szCs w:val="24"/>
          <w:lang w:val="en-US" w:eastAsia="zh-CN"/>
        </w:rPr>
        <w:t>公开招标</w:t>
      </w:r>
      <w:r>
        <w:rPr>
          <w:rFonts w:ascii="Times New Roman" w:hAnsi="Times New Roman" w:eastAsia="宋体" w:cs="Times New Roman"/>
          <w:sz w:val="24"/>
          <w:szCs w:val="24"/>
        </w:rPr>
        <w:t>。现对</w:t>
      </w:r>
      <w:r>
        <w:rPr>
          <w:rFonts w:hint="eastAsia" w:ascii="Times New Roman" w:hAnsi="Times New Roman" w:eastAsia="宋体" w:cs="Times New Roman"/>
          <w:sz w:val="24"/>
          <w:szCs w:val="24"/>
          <w:lang w:val="en-US" w:eastAsia="zh-CN"/>
        </w:rPr>
        <w:t>招标</w:t>
      </w:r>
      <w:r>
        <w:rPr>
          <w:rFonts w:ascii="Times New Roman" w:hAnsi="Times New Roman" w:eastAsia="宋体" w:cs="Times New Roman"/>
          <w:sz w:val="24"/>
          <w:szCs w:val="24"/>
        </w:rPr>
        <w:t>文件澄清如下：</w:t>
      </w:r>
    </w:p>
    <w:p>
      <w:pPr>
        <w:widowControl/>
        <w:numPr>
          <w:ilvl w:val="0"/>
          <w:numId w:val="1"/>
        </w:numPr>
        <w:spacing w:after="156" w:afterLines="50" w:line="400" w:lineRule="exact"/>
        <w:outlineLvl w:val="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修改如下：</w:t>
      </w:r>
    </w:p>
    <w:p>
      <w:pPr>
        <w:widowControl/>
        <w:numPr>
          <w:ilvl w:val="0"/>
          <w:numId w:val="2"/>
        </w:numPr>
        <w:spacing w:after="156" w:afterLines="50" w:line="400" w:lineRule="exact"/>
        <w:ind w:left="-60" w:leftChars="0" w:firstLine="48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财务指标评分更新，如下：</w:t>
      </w:r>
    </w:p>
    <w:p>
      <w:pPr>
        <w:widowControl/>
        <w:spacing w:after="156" w:afterLines="50" w:line="400" w:lineRule="exact"/>
        <w:ind w:firstLine="480" w:firstLineChars="200"/>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近三年（</w:t>
      </w:r>
      <w:r>
        <w:rPr>
          <w:rFonts w:hint="eastAsia" w:ascii="Times New Roman" w:hAnsi="Times New Roman" w:eastAsia="宋体" w:cs="Times New Roman"/>
          <w:sz w:val="24"/>
          <w:szCs w:val="24"/>
        </w:rPr>
        <w:t>2021-2023 年）平均：营业额＜1000万元人民币，得5 分；近三年（2021-2023 年）平均：1000 万元人民币≤营业额＜5000万元人民币，得10 分；近三年（2021-2023 年）平均：营业额≥5000万元人民币，得15 分；提供经第三方审计的财务报表及第三方审计单位的营业执照</w:t>
      </w:r>
      <w:r>
        <w:rPr>
          <w:rFonts w:hint="eastAsia" w:ascii="Times New Roman" w:hAnsi="Times New Roman" w:eastAsia="宋体" w:cs="Times New Roman"/>
          <w:sz w:val="24"/>
          <w:szCs w:val="24"/>
          <w:lang w:val="en-US" w:eastAsia="zh-CN"/>
        </w:rPr>
        <w:t>。</w:t>
      </w:r>
    </w:p>
    <w:p>
      <w:pPr>
        <w:widowControl/>
        <w:numPr>
          <w:ilvl w:val="0"/>
          <w:numId w:val="2"/>
        </w:numPr>
        <w:spacing w:after="156" w:afterLines="50" w:line="400" w:lineRule="exact"/>
        <w:ind w:left="-60" w:leftChars="0" w:firstLine="48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奖项指标评分更新，如下：</w:t>
      </w:r>
    </w:p>
    <w:p>
      <w:pPr>
        <w:widowControl/>
        <w:spacing w:after="156" w:afterLines="50" w:line="400" w:lineRule="exact"/>
        <w:ind w:firstLine="480" w:firstLineChars="200"/>
        <w:rPr>
          <w:rFonts w:hint="eastAsia" w:ascii="Times New Roman" w:hAnsi="Times New Roman" w:eastAsia="黑体" w:cs="Times New Roman"/>
          <w:sz w:val="24"/>
          <w:szCs w:val="24"/>
          <w:lang w:val="en-US" w:eastAsia="zh-CN"/>
        </w:rPr>
      </w:pPr>
      <w:r>
        <w:rPr>
          <w:rFonts w:hint="eastAsia" w:ascii="Times New Roman" w:hAnsi="Times New Roman" w:eastAsia="宋体" w:cs="Times New Roman"/>
          <w:sz w:val="24"/>
          <w:szCs w:val="24"/>
        </w:rPr>
        <w:t>近三年（2021年1月1日至投标截止日），投标人每拥有</w:t>
      </w:r>
      <w:r>
        <w:rPr>
          <w:rFonts w:hint="eastAsia" w:ascii="Times New Roman" w:hAnsi="Times New Roman" w:eastAsia="宋体" w:cs="Times New Roman"/>
          <w:sz w:val="24"/>
          <w:szCs w:val="24"/>
        </w:rPr>
        <w:t>1 个中国省部</w:t>
      </w:r>
      <w:r>
        <w:rPr>
          <w:rFonts w:hint="eastAsia" w:ascii="Times New Roman" w:hAnsi="Times New Roman" w:eastAsia="宋体" w:cs="Times New Roman"/>
          <w:sz w:val="24"/>
          <w:szCs w:val="24"/>
          <w:lang w:val="en-US" w:eastAsia="zh-CN"/>
        </w:rPr>
        <w:t>级</w:t>
      </w:r>
      <w:r>
        <w:rPr>
          <w:rFonts w:hint="eastAsia" w:ascii="Times New Roman" w:hAnsi="Times New Roman" w:eastAsia="宋体" w:cs="Times New Roman"/>
          <w:sz w:val="24"/>
          <w:szCs w:val="24"/>
        </w:rPr>
        <w:t>设计奖项得5分； 投标人每拥有1 个中国国家级设计奖项得7分；投标人每拥有1 个国际大奖得10 分,国际大奖包括：“德国国家设计奖（GERMAN DESIGN AWARD）、红点（RED DOT）、IF 大奖”等同等水平</w:t>
      </w:r>
      <w:r>
        <w:rPr>
          <w:rFonts w:hint="eastAsia" w:ascii="Times New Roman" w:hAnsi="Times New Roman" w:eastAsia="宋体" w:cs="Times New Roman"/>
          <w:sz w:val="24"/>
          <w:szCs w:val="24"/>
          <w:lang w:val="en-US" w:eastAsia="zh-CN"/>
        </w:rPr>
        <w:t>奖项</w:t>
      </w:r>
      <w:bookmarkStart w:id="2" w:name="_GoBack"/>
      <w:bookmarkEnd w:id="2"/>
      <w:r>
        <w:rPr>
          <w:rFonts w:hint="eastAsia" w:ascii="Times New Roman" w:hAnsi="Times New Roman" w:eastAsia="宋体" w:cs="Times New Roman"/>
          <w:sz w:val="24"/>
          <w:szCs w:val="24"/>
        </w:rPr>
        <w:t>，获奖情况应在官方网站可查询，并提供查询图片及可查询的有效网址路径。本项最高得分20分</w:t>
      </w:r>
      <w:r>
        <w:rPr>
          <w:rFonts w:hint="eastAsia" w:ascii="Times New Roman" w:hAnsi="Times New Roman" w:eastAsia="宋体" w:cs="Times New Roman"/>
          <w:sz w:val="24"/>
          <w:szCs w:val="24"/>
          <w:lang w:val="en-US" w:eastAsia="zh-CN"/>
        </w:rPr>
        <w:t>。</w:t>
      </w:r>
    </w:p>
    <w:p>
      <w:pPr>
        <w:widowControl/>
        <w:spacing w:after="156" w:afterLines="50" w:line="40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lang w:val="en-US" w:eastAsia="zh-CN"/>
        </w:rPr>
        <w:t>招标</w:t>
      </w:r>
      <w:r>
        <w:rPr>
          <w:rFonts w:ascii="Times New Roman" w:hAnsi="Times New Roman" w:eastAsia="黑体" w:cs="Times New Roman"/>
          <w:sz w:val="24"/>
          <w:szCs w:val="24"/>
        </w:rPr>
        <w:t>文件的其他内容保持不变。如不同时间发出的澄清函内容出现不一致，以发出时间在后的澄清函为准。</w:t>
      </w:r>
    </w:p>
    <w:p>
      <w:pPr>
        <w:widowControl/>
        <w:spacing w:after="156" w:afterLines="50" w:line="400" w:lineRule="exact"/>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以上澄清内容若对</w:t>
      </w:r>
      <w:r>
        <w:rPr>
          <w:rFonts w:hint="eastAsia" w:ascii="Times New Roman" w:hAnsi="Times New Roman" w:eastAsia="黑体" w:cs="Times New Roman"/>
          <w:sz w:val="24"/>
          <w:szCs w:val="24"/>
          <w:lang w:val="en-US" w:eastAsia="zh-CN"/>
        </w:rPr>
        <w:t>申请</w:t>
      </w:r>
      <w:r>
        <w:rPr>
          <w:rFonts w:ascii="Times New Roman" w:hAnsi="Times New Roman" w:eastAsia="黑体" w:cs="Times New Roman"/>
          <w:sz w:val="24"/>
          <w:szCs w:val="24"/>
        </w:rPr>
        <w:t>人按时提交</w:t>
      </w:r>
      <w:r>
        <w:rPr>
          <w:rFonts w:hint="eastAsia" w:ascii="Times New Roman" w:hAnsi="Times New Roman" w:eastAsia="黑体" w:cs="Times New Roman"/>
          <w:sz w:val="24"/>
          <w:szCs w:val="24"/>
          <w:lang w:val="en-US" w:eastAsia="zh-CN"/>
        </w:rPr>
        <w:t>申请</w:t>
      </w:r>
      <w:r>
        <w:rPr>
          <w:rFonts w:ascii="Times New Roman" w:hAnsi="Times New Roman" w:eastAsia="黑体" w:cs="Times New Roman"/>
          <w:sz w:val="24"/>
          <w:szCs w:val="24"/>
        </w:rPr>
        <w:t>文件有影响，请在本澄清文件发出之日起1日内书面提出，并说明理由。</w:t>
      </w:r>
    </w:p>
    <w:p>
      <w:pPr>
        <w:widowControl/>
        <w:spacing w:after="156" w:afterLines="50" w:line="400" w:lineRule="exact"/>
        <w:ind w:firstLine="480" w:firstLineChars="200"/>
        <w:rPr>
          <w:rFonts w:ascii="Times New Roman" w:hAnsi="Times New Roman" w:eastAsia="黑体" w:cs="Times New Roman"/>
          <w:sz w:val="24"/>
          <w:szCs w:val="24"/>
        </w:rPr>
      </w:pPr>
    </w:p>
    <w:p>
      <w:pPr>
        <w:widowControl/>
        <w:spacing w:after="156" w:afterLines="50" w:line="400" w:lineRule="exact"/>
        <w:ind w:firstLine="480" w:firstLineChars="200"/>
        <w:rPr>
          <w:rFonts w:ascii="Times New Roman" w:hAnsi="Times New Roman" w:eastAsia="黑体" w:cs="Times New Roman"/>
          <w:sz w:val="24"/>
          <w:szCs w:val="24"/>
        </w:rPr>
      </w:pPr>
    </w:p>
    <w:p>
      <w:pPr>
        <w:widowControl/>
        <w:spacing w:after="156" w:afterLines="50" w:line="400" w:lineRule="exact"/>
        <w:ind w:left="5990" w:leftChars="2508" w:hanging="723" w:hangingChars="300"/>
        <w:outlineLvl w:val="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海洋石油工程股份有限</w:t>
      </w:r>
      <w:r>
        <w:rPr>
          <w:rFonts w:ascii="Times New Roman" w:hAnsi="Times New Roman" w:eastAsia="宋体" w:cs="Times New Roman"/>
          <w:b/>
          <w:sz w:val="24"/>
          <w:szCs w:val="24"/>
        </w:rPr>
        <w:t>公司202</w:t>
      </w: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年</w:t>
      </w: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月</w:t>
      </w:r>
      <w:r>
        <w:rPr>
          <w:rFonts w:hint="eastAsia" w:ascii="Times New Roman" w:hAnsi="Times New Roman" w:eastAsia="宋体" w:cs="Times New Roman"/>
          <w:b/>
          <w:sz w:val="24"/>
          <w:szCs w:val="24"/>
          <w:lang w:val="en-US" w:eastAsia="zh-CN"/>
        </w:rPr>
        <w:t>14</w:t>
      </w:r>
      <w:r>
        <w:rPr>
          <w:rFonts w:ascii="Times New Roman" w:hAnsi="Times New Roman" w:eastAsia="宋体" w:cs="Times New Roman"/>
          <w:b/>
          <w:sz w:val="24"/>
          <w:szCs w:val="24"/>
        </w:rPr>
        <w:t>日</w:t>
      </w:r>
    </w:p>
    <w:p>
      <w:pPr>
        <w:ind w:firstLine="6505" w:firstLineChars="2700"/>
        <w:rPr>
          <w:rFonts w:ascii="Times New Roman" w:hAnsi="Times New Roman" w:eastAsia="宋体" w:cs="Times New Roman"/>
          <w:b/>
          <w:sz w:val="24"/>
          <w:szCs w:val="24"/>
        </w:rPr>
      </w:pPr>
    </w:p>
    <w:p>
      <w:pPr>
        <w:ind w:firstLine="6505" w:firstLineChars="2700"/>
        <w:jc w:val="left"/>
        <w:rPr>
          <w:rFonts w:ascii="Times New Roman" w:hAnsi="Times New Roman" w:eastAsia="宋体"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D330D"/>
    <w:multiLevelType w:val="singleLevel"/>
    <w:tmpl w:val="83DD330D"/>
    <w:lvl w:ilvl="0" w:tentative="0">
      <w:start w:val="1"/>
      <w:numFmt w:val="decimal"/>
      <w:suff w:val="nothing"/>
      <w:lvlText w:val="%1、"/>
      <w:lvlJc w:val="left"/>
      <w:pPr>
        <w:ind w:left="-60"/>
      </w:pPr>
    </w:lvl>
  </w:abstractNum>
  <w:abstractNum w:abstractNumId="1">
    <w:nsid w:val="F256E932"/>
    <w:multiLevelType w:val="singleLevel"/>
    <w:tmpl w:val="F256E9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1195"/>
    <w:rsid w:val="000E3EA5"/>
    <w:rsid w:val="003D1417"/>
    <w:rsid w:val="0387255D"/>
    <w:rsid w:val="0837350B"/>
    <w:rsid w:val="09405F3B"/>
    <w:rsid w:val="0A615ABA"/>
    <w:rsid w:val="0B5E3954"/>
    <w:rsid w:val="0C9F46C4"/>
    <w:rsid w:val="16536493"/>
    <w:rsid w:val="19995EAC"/>
    <w:rsid w:val="1A5220E0"/>
    <w:rsid w:val="231B5FED"/>
    <w:rsid w:val="28125B4B"/>
    <w:rsid w:val="28D66B8D"/>
    <w:rsid w:val="29ED3A97"/>
    <w:rsid w:val="2D87143F"/>
    <w:rsid w:val="2F3F67C3"/>
    <w:rsid w:val="36156268"/>
    <w:rsid w:val="374878C2"/>
    <w:rsid w:val="38CA6739"/>
    <w:rsid w:val="3C0E6896"/>
    <w:rsid w:val="41E40B1C"/>
    <w:rsid w:val="45921630"/>
    <w:rsid w:val="466E359D"/>
    <w:rsid w:val="500D0068"/>
    <w:rsid w:val="511539BA"/>
    <w:rsid w:val="53722A9B"/>
    <w:rsid w:val="54047DE6"/>
    <w:rsid w:val="54EA6D18"/>
    <w:rsid w:val="5C527F20"/>
    <w:rsid w:val="5DE83D33"/>
    <w:rsid w:val="678B52EF"/>
    <w:rsid w:val="6CFF0C9B"/>
    <w:rsid w:val="6D827EB8"/>
    <w:rsid w:val="70323DF7"/>
    <w:rsid w:val="724F6FD4"/>
    <w:rsid w:val="77DF61B9"/>
    <w:rsid w:val="799A0F87"/>
    <w:rsid w:val="7BC61195"/>
    <w:rsid w:val="7E41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2023-03-07T04:13:00Z</dcterms:created>
  <dc:creator>刘金秀</dc:creator>
  <cp:lastModifiedBy>陈星</cp:lastModifiedBy>
  <dcterms:modified xsi:type="dcterms:W3CDTF">2024-08-14T08:54:04Z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AC2787DCF56140B184C1AB292A882147</vt:lpwstr>
  </property>
</Properties>
</file>