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i w:val="0"/>
          <w:iCs w:val="0"/>
          <w:caps w:val="0"/>
          <w:color w:val="2C3E50"/>
          <w:spacing w:val="0"/>
          <w:sz w:val="36"/>
          <w:szCs w:val="36"/>
        </w:rPr>
      </w:pPr>
      <w:r>
        <w:rPr>
          <w:rFonts w:hint="eastAsia" w:ascii="黑体" w:hAnsi="黑体" w:eastAsia="黑体" w:cs="黑体"/>
          <w:i w:val="0"/>
          <w:iCs w:val="0"/>
          <w:caps w:val="0"/>
          <w:color w:val="2C3E50"/>
          <w:spacing w:val="0"/>
          <w:sz w:val="36"/>
          <w:szCs w:val="36"/>
        </w:rPr>
        <w:t>资质</w:t>
      </w:r>
      <w:r>
        <w:rPr>
          <w:rFonts w:hint="eastAsia" w:ascii="黑体" w:hAnsi="黑体" w:eastAsia="黑体" w:cs="黑体"/>
          <w:i w:val="0"/>
          <w:iCs w:val="0"/>
          <w:caps w:val="0"/>
          <w:color w:val="2C3E50"/>
          <w:spacing w:val="0"/>
          <w:sz w:val="36"/>
          <w:szCs w:val="36"/>
          <w:lang w:val="en-US" w:eastAsia="zh-CN"/>
        </w:rPr>
        <w:t>/</w:t>
      </w:r>
      <w:r>
        <w:rPr>
          <w:rFonts w:hint="eastAsia" w:ascii="黑体" w:hAnsi="黑体" w:eastAsia="黑体" w:cs="黑体"/>
          <w:i w:val="0"/>
          <w:iCs w:val="0"/>
          <w:caps w:val="0"/>
          <w:color w:val="2C3E50"/>
          <w:spacing w:val="0"/>
          <w:sz w:val="36"/>
          <w:szCs w:val="36"/>
        </w:rPr>
        <w:t>业绩</w:t>
      </w:r>
      <w:r>
        <w:rPr>
          <w:rFonts w:hint="eastAsia" w:ascii="黑体" w:hAnsi="黑体" w:eastAsia="黑体" w:cs="黑体"/>
          <w:i w:val="0"/>
          <w:iCs w:val="0"/>
          <w:caps w:val="0"/>
          <w:color w:val="2C3E50"/>
          <w:spacing w:val="0"/>
          <w:sz w:val="36"/>
          <w:szCs w:val="36"/>
          <w:lang w:val="en-US" w:eastAsia="zh-CN"/>
        </w:rPr>
        <w:t>信息汇总</w:t>
      </w:r>
      <w:r>
        <w:rPr>
          <w:rFonts w:hint="eastAsia" w:ascii="黑体" w:hAnsi="黑体" w:eastAsia="黑体" w:cs="黑体"/>
          <w:i w:val="0"/>
          <w:iCs w:val="0"/>
          <w:caps w:val="0"/>
          <w:color w:val="2C3E50"/>
          <w:spacing w:val="0"/>
          <w:sz w:val="36"/>
          <w:szCs w:val="36"/>
        </w:rPr>
        <w:t>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val="0"/>
          <w:bCs w:val="0"/>
          <w:color w:val="000000"/>
          <w:kern w:val="0"/>
          <w:sz w:val="24"/>
          <w:szCs w:val="24"/>
          <w:lang w:val="en-US" w:eastAsia="zh-CN" w:bidi="ar"/>
        </w:rPr>
      </w:pPr>
      <w:r>
        <w:rPr>
          <w:rFonts w:hint="eastAsia" w:ascii="黑体" w:hAnsi="黑体" w:eastAsia="黑体" w:cs="黑体"/>
          <w:b/>
          <w:bCs/>
          <w:color w:val="000000"/>
          <w:kern w:val="0"/>
          <w:sz w:val="24"/>
          <w:szCs w:val="24"/>
          <w:lang w:val="en-US" w:eastAsia="zh-CN" w:bidi="ar"/>
        </w:rPr>
        <w:t>标段（包）编号：</w:t>
      </w:r>
      <w:r>
        <w:rPr>
          <w:rFonts w:hint="eastAsia" w:ascii="宋体" w:hAnsi="宋体" w:eastAsia="宋体" w:cs="宋体"/>
          <w:b w:val="0"/>
          <w:bCs w:val="0"/>
          <w:color w:val="000000"/>
          <w:kern w:val="0"/>
          <w:sz w:val="24"/>
          <w:szCs w:val="24"/>
          <w:lang w:val="en-US" w:eastAsia="zh-CN" w:bidi="ar"/>
        </w:rPr>
        <w:t>CGP-25-LNGF-FJLNG-0041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黑体" w:hAnsi="黑体" w:eastAsia="黑体" w:cs="黑体"/>
          <w:b/>
          <w:bCs/>
          <w:color w:val="000000"/>
          <w:kern w:val="0"/>
          <w:sz w:val="24"/>
          <w:szCs w:val="24"/>
          <w:lang w:val="en-US" w:eastAsia="zh-CN" w:bidi="ar"/>
        </w:rPr>
      </w:pPr>
      <w:r>
        <w:rPr>
          <w:rFonts w:hint="eastAsia" w:ascii="黑体" w:hAnsi="黑体" w:eastAsia="黑体" w:cs="黑体"/>
          <w:b/>
          <w:bCs/>
          <w:color w:val="000000"/>
          <w:kern w:val="0"/>
          <w:sz w:val="24"/>
          <w:szCs w:val="24"/>
          <w:lang w:val="en-US" w:eastAsia="zh-CN" w:bidi="ar"/>
        </w:rPr>
        <w:t>标段（包）名称：</w:t>
      </w:r>
      <w:r>
        <w:rPr>
          <w:rFonts w:hint="eastAsia" w:ascii="宋体" w:hAnsi="宋体" w:eastAsia="宋体" w:cs="宋体"/>
          <w:b w:val="0"/>
          <w:bCs w:val="0"/>
          <w:color w:val="000000"/>
          <w:kern w:val="0"/>
          <w:sz w:val="24"/>
          <w:szCs w:val="24"/>
          <w:lang w:val="en-US" w:eastAsia="zh-CN" w:bidi="ar"/>
        </w:rPr>
        <w:t>2025-2027年度福建 LNG工业控制系统及电力监控网络安全系统等级保护定级服务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黑体" w:hAnsi="黑体" w:eastAsia="黑体" w:cs="黑体"/>
          <w:b/>
          <w:bCs/>
          <w:color w:val="000000"/>
          <w:kern w:val="0"/>
          <w:sz w:val="24"/>
          <w:szCs w:val="24"/>
          <w:lang w:val="en-US" w:eastAsia="zh-CN" w:bidi="ar"/>
        </w:rPr>
      </w:pPr>
    </w:p>
    <w:p>
      <w:pPr>
        <w:jc w:val="both"/>
        <w:rPr>
          <w:rFonts w:hint="eastAsia" w:ascii="黑体" w:hAnsi="黑体" w:eastAsia="黑体" w:cs="黑体"/>
          <w:i w:val="0"/>
          <w:iCs w:val="0"/>
          <w:caps w:val="0"/>
          <w:color w:val="2C3E50"/>
          <w:spacing w:val="0"/>
          <w:sz w:val="36"/>
          <w:szCs w:val="36"/>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2562"/>
        <w:gridCol w:w="4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序号</w:t>
            </w:r>
          </w:p>
        </w:tc>
        <w:tc>
          <w:tcPr>
            <w:tcW w:w="2562" w:type="dxa"/>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投标人名称</w:t>
            </w:r>
          </w:p>
        </w:tc>
        <w:tc>
          <w:tcPr>
            <w:tcW w:w="4358" w:type="dxa"/>
            <w:vAlign w:val="center"/>
          </w:tcPr>
          <w:p>
            <w:pPr>
              <w:jc w:val="center"/>
              <w:rPr>
                <w:rFonts w:hint="default"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资质名称和编号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1</w:t>
            </w:r>
          </w:p>
        </w:tc>
        <w:tc>
          <w:tcPr>
            <w:tcW w:w="2562" w:type="dxa"/>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sz w:val="18"/>
                <w:szCs w:val="18"/>
                <w:lang w:bidi="ar"/>
              </w:rPr>
              <w:t>福建信安网络科技有限公司</w:t>
            </w:r>
          </w:p>
        </w:tc>
        <w:tc>
          <w:tcPr>
            <w:tcW w:w="4358"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公安部第三研究所认证发放的《网络安全等级测评与检测评估机构服务认证证书》，证书编号：SC202127130010127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2</w:t>
            </w:r>
          </w:p>
        </w:tc>
        <w:tc>
          <w:tcPr>
            <w:tcW w:w="2562" w:type="dxa"/>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sz w:val="18"/>
                <w:szCs w:val="18"/>
                <w:lang w:bidi="ar"/>
              </w:rPr>
              <w:t>福建省通联测评数据有限公司</w:t>
            </w:r>
          </w:p>
        </w:tc>
        <w:tc>
          <w:tcPr>
            <w:tcW w:w="4358"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公安部第三研究所认证发放的《网络安全等级测评与检测评估机构服务认证证书》，证书编号：SC202127130010128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jc w:val="center"/>
              <w:rPr>
                <w:rFonts w:hint="default"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3</w:t>
            </w:r>
          </w:p>
        </w:tc>
        <w:tc>
          <w:tcPr>
            <w:tcW w:w="2562" w:type="dxa"/>
            <w:vAlign w:val="center"/>
          </w:tcPr>
          <w:p>
            <w:pPr>
              <w:jc w:val="center"/>
              <w:rPr>
                <w:rFonts w:hint="eastAsia" w:ascii="黑体" w:hAnsi="黑体" w:eastAsia="黑体" w:cs="黑体"/>
                <w:sz w:val="18"/>
                <w:szCs w:val="18"/>
                <w:lang w:bidi="ar"/>
              </w:rPr>
            </w:pPr>
            <w:r>
              <w:rPr>
                <w:rFonts w:hint="eastAsia" w:ascii="黑体" w:hAnsi="黑体" w:eastAsia="黑体" w:cs="黑体"/>
                <w:sz w:val="18"/>
                <w:szCs w:val="18"/>
                <w:lang w:bidi="ar"/>
              </w:rPr>
              <w:t>.福建闽盾网络安全有限公司</w:t>
            </w:r>
          </w:p>
        </w:tc>
        <w:tc>
          <w:tcPr>
            <w:tcW w:w="4358" w:type="dxa"/>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公安部第三研究所认证发放的《网络安全等级测评与检测评估机构服务认证证书》，证书编号：SC202127130010126</w:t>
            </w:r>
          </w:p>
        </w:tc>
      </w:tr>
    </w:tbl>
    <w:p>
      <w:pPr>
        <w:jc w:val="both"/>
        <w:rPr>
          <w:rFonts w:hint="eastAsia" w:ascii="黑体" w:hAnsi="黑体" w:eastAsia="黑体" w:cs="黑体"/>
          <w:i w:val="0"/>
          <w:iCs w:val="0"/>
          <w:caps w:val="0"/>
          <w:color w:val="2C3E50"/>
          <w:spacing w:val="0"/>
          <w:sz w:val="36"/>
          <w:szCs w:val="36"/>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2367"/>
        <w:gridCol w:w="4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序号</w:t>
            </w:r>
          </w:p>
        </w:tc>
        <w:tc>
          <w:tcPr>
            <w:tcW w:w="2367" w:type="dxa"/>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投标人名称</w:t>
            </w:r>
          </w:p>
        </w:tc>
        <w:tc>
          <w:tcPr>
            <w:tcW w:w="4553" w:type="dxa"/>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业绩名称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jc w:val="center"/>
              <w:rPr>
                <w:rFonts w:hint="default" w:ascii="黑体" w:hAnsi="黑体" w:eastAsia="黑体" w:cs="黑体"/>
                <w:i w:val="0"/>
                <w:iCs w:val="0"/>
                <w:caps w:val="0"/>
                <w:color w:val="2C3E50"/>
                <w:spacing w:val="0"/>
                <w:sz w:val="18"/>
                <w:szCs w:val="18"/>
                <w:vertAlign w:val="baseline"/>
                <w:lang w:val="en-US" w:eastAsia="zh-CN"/>
              </w:rPr>
            </w:pPr>
            <w:bookmarkStart w:id="0" w:name="_GoBack" w:colFirst="2" w:colLast="2"/>
            <w:r>
              <w:rPr>
                <w:rFonts w:hint="eastAsia" w:ascii="黑体" w:hAnsi="黑体" w:eastAsia="黑体" w:cs="黑体"/>
                <w:i w:val="0"/>
                <w:iCs w:val="0"/>
                <w:caps w:val="0"/>
                <w:color w:val="2C3E50"/>
                <w:spacing w:val="0"/>
                <w:sz w:val="18"/>
                <w:szCs w:val="18"/>
                <w:vertAlign w:val="baseline"/>
                <w:lang w:val="en-US" w:eastAsia="zh-CN"/>
              </w:rPr>
              <w:t>1</w:t>
            </w:r>
          </w:p>
        </w:tc>
        <w:tc>
          <w:tcPr>
            <w:tcW w:w="2367" w:type="dxa"/>
            <w:vAlign w:val="center"/>
          </w:tcPr>
          <w:p>
            <w:pPr>
              <w:jc w:val="center"/>
              <w:rPr>
                <w:rFonts w:hint="eastAsia" w:ascii="黑体" w:hAnsi="黑体" w:eastAsia="黑体" w:cs="黑体"/>
                <w:sz w:val="18"/>
                <w:szCs w:val="18"/>
                <w:lang w:bidi="ar"/>
              </w:rPr>
            </w:pPr>
            <w:r>
              <w:rPr>
                <w:rFonts w:hint="eastAsia" w:ascii="黑体" w:hAnsi="黑体" w:eastAsia="黑体" w:cs="黑体"/>
                <w:sz w:val="18"/>
                <w:szCs w:val="18"/>
                <w:lang w:bidi="ar"/>
              </w:rPr>
              <w:t>福建信安网络科技有限公司</w:t>
            </w:r>
          </w:p>
        </w:tc>
        <w:tc>
          <w:tcPr>
            <w:tcW w:w="4553" w:type="dxa"/>
            <w:vAlign w:val="center"/>
          </w:tcPr>
          <w:p>
            <w:pPr>
              <w:keepNext w:val="0"/>
              <w:keepLines w:val="0"/>
              <w:widowControl/>
              <w:suppressLineNumbers w:val="0"/>
              <w:jc w:val="both"/>
              <w:rPr>
                <w:rFonts w:hint="default"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《清流县人民检察院网络安全等级保护测评服务项目》</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restart"/>
            <w:vAlign w:val="center"/>
          </w:tcPr>
          <w:p>
            <w:pPr>
              <w:jc w:val="center"/>
              <w:rPr>
                <w:rFonts w:hint="default"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2</w:t>
            </w:r>
          </w:p>
        </w:tc>
        <w:tc>
          <w:tcPr>
            <w:tcW w:w="2367" w:type="dxa"/>
            <w:vMerge w:val="restart"/>
            <w:vAlign w:val="center"/>
          </w:tcPr>
          <w:p>
            <w:pPr>
              <w:jc w:val="center"/>
              <w:rPr>
                <w:rFonts w:hint="eastAsia" w:ascii="黑体" w:hAnsi="黑体" w:eastAsia="黑体" w:cs="黑体"/>
                <w:sz w:val="18"/>
                <w:szCs w:val="18"/>
                <w:lang w:bidi="ar"/>
              </w:rPr>
            </w:pPr>
            <w:r>
              <w:rPr>
                <w:rFonts w:hint="eastAsia" w:ascii="黑体" w:hAnsi="黑体" w:eastAsia="黑体" w:cs="黑体"/>
                <w:sz w:val="18"/>
                <w:szCs w:val="18"/>
                <w:lang w:bidi="ar"/>
              </w:rPr>
              <w:t>福建省通联测评数据有限公司</w:t>
            </w:r>
          </w:p>
        </w:tc>
        <w:tc>
          <w:tcPr>
            <w:tcW w:w="4553" w:type="dxa"/>
            <w:vAlign w:val="center"/>
          </w:tcPr>
          <w:p>
            <w:pPr>
              <w:keepNext w:val="0"/>
              <w:keepLines w:val="0"/>
              <w:widowControl/>
              <w:suppressLineNumbers w:val="0"/>
              <w:jc w:val="center"/>
              <w:rPr>
                <w:rFonts w:hint="default"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《厦门交警支队非税收入电子缴费系统等级保护测评项目》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p>
        </w:tc>
        <w:tc>
          <w:tcPr>
            <w:tcW w:w="2367" w:type="dxa"/>
            <w:vMerge w:val="continue"/>
            <w:vAlign w:val="center"/>
          </w:tcPr>
          <w:p>
            <w:pPr>
              <w:jc w:val="center"/>
              <w:rPr>
                <w:rFonts w:hint="eastAsia" w:ascii="黑体" w:hAnsi="黑体" w:eastAsia="黑体" w:cs="黑体"/>
                <w:sz w:val="18"/>
                <w:szCs w:val="18"/>
                <w:lang w:bidi="ar"/>
              </w:rPr>
            </w:pPr>
          </w:p>
        </w:tc>
        <w:tc>
          <w:tcPr>
            <w:tcW w:w="4553" w:type="dxa"/>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《2023年长乐区不动产登记和交易中心一不动产登记信息系统三级等保测评服务》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p>
        </w:tc>
        <w:tc>
          <w:tcPr>
            <w:tcW w:w="2367" w:type="dxa"/>
            <w:vMerge w:val="continue"/>
            <w:vAlign w:val="center"/>
          </w:tcPr>
          <w:p>
            <w:pPr>
              <w:jc w:val="center"/>
              <w:rPr>
                <w:rFonts w:hint="eastAsia" w:ascii="黑体" w:hAnsi="黑体" w:eastAsia="黑体" w:cs="黑体"/>
                <w:sz w:val="18"/>
                <w:szCs w:val="18"/>
                <w:lang w:bidi="ar"/>
              </w:rPr>
            </w:pPr>
          </w:p>
        </w:tc>
        <w:tc>
          <w:tcPr>
            <w:tcW w:w="4553" w:type="dxa"/>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《2024年厦门市第五医院信息系统三级、二级等保测评服务》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jc w:val="center"/>
              <w:rPr>
                <w:rFonts w:hint="default"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3</w:t>
            </w:r>
          </w:p>
        </w:tc>
        <w:tc>
          <w:tcPr>
            <w:tcW w:w="2367" w:type="dxa"/>
            <w:vAlign w:val="center"/>
          </w:tcPr>
          <w:p>
            <w:pPr>
              <w:jc w:val="center"/>
              <w:rPr>
                <w:rFonts w:hint="eastAsia" w:ascii="黑体" w:hAnsi="黑体" w:eastAsia="黑体" w:cs="黑体"/>
                <w:sz w:val="18"/>
                <w:szCs w:val="18"/>
                <w:lang w:bidi="ar"/>
              </w:rPr>
            </w:pPr>
            <w:r>
              <w:rPr>
                <w:rFonts w:hint="eastAsia" w:ascii="黑体" w:hAnsi="黑体" w:eastAsia="黑体" w:cs="黑体"/>
                <w:sz w:val="18"/>
                <w:szCs w:val="18"/>
                <w:lang w:bidi="ar"/>
              </w:rPr>
              <w:t>.福建闽盾网络安全有限公司</w:t>
            </w:r>
          </w:p>
        </w:tc>
        <w:tc>
          <w:tcPr>
            <w:tcW w:w="4553" w:type="dxa"/>
            <w:vAlign w:val="center"/>
          </w:tcPr>
          <w:p>
            <w:pPr>
              <w:keepNext w:val="0"/>
              <w:keepLines w:val="0"/>
              <w:widowControl/>
              <w:suppressLineNumbers w:val="0"/>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《福建中烟工业有限公司信息系统等保测评服务合同》</w:t>
            </w:r>
          </w:p>
        </w:tc>
      </w:tr>
    </w:tbl>
    <w:p>
      <w:pPr>
        <w:jc w:val="both"/>
        <w:rPr>
          <w:rFonts w:hint="eastAsia" w:ascii="黑体" w:hAnsi="黑体" w:eastAsia="黑体" w:cs="黑体"/>
          <w:i w:val="0"/>
          <w:iCs w:val="0"/>
          <w:caps w:val="0"/>
          <w:color w:val="2C3E50"/>
          <w:spacing w:val="0"/>
          <w:sz w:val="36"/>
          <w:szCs w:val="36"/>
        </w:rPr>
      </w:pPr>
    </w:p>
    <w:p>
      <w:pPr>
        <w:jc w:val="both"/>
        <w:rPr>
          <w:rFonts w:hint="eastAsia" w:ascii="黑体" w:hAnsi="黑体" w:eastAsia="黑体" w:cs="黑体"/>
          <w:i w:val="0"/>
          <w:iCs w:val="0"/>
          <w:caps w:val="0"/>
          <w:color w:val="2C3E50"/>
          <w:spacing w:val="0"/>
          <w:sz w:val="36"/>
          <w:szCs w:val="36"/>
        </w:rPr>
      </w:pP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4D">
      <wne:fci wne:fciName="InsertInkComment"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2219A"/>
    <w:rsid w:val="01D52A58"/>
    <w:rsid w:val="02B240F8"/>
    <w:rsid w:val="02F8266E"/>
    <w:rsid w:val="02FF7A7B"/>
    <w:rsid w:val="03600D99"/>
    <w:rsid w:val="03B77229"/>
    <w:rsid w:val="042652DF"/>
    <w:rsid w:val="06262826"/>
    <w:rsid w:val="09573962"/>
    <w:rsid w:val="0BBD1B53"/>
    <w:rsid w:val="0BD41778"/>
    <w:rsid w:val="0CE54E38"/>
    <w:rsid w:val="0DF21380"/>
    <w:rsid w:val="0EAE6622"/>
    <w:rsid w:val="10081EA4"/>
    <w:rsid w:val="10345524"/>
    <w:rsid w:val="10360A28"/>
    <w:rsid w:val="10B35A73"/>
    <w:rsid w:val="10C87F96"/>
    <w:rsid w:val="110C5208"/>
    <w:rsid w:val="116E61A6"/>
    <w:rsid w:val="12152926"/>
    <w:rsid w:val="135E6CD6"/>
    <w:rsid w:val="154F7486"/>
    <w:rsid w:val="17006E4C"/>
    <w:rsid w:val="174B5FC7"/>
    <w:rsid w:val="17697775"/>
    <w:rsid w:val="187E50BF"/>
    <w:rsid w:val="18816044"/>
    <w:rsid w:val="196C5C41"/>
    <w:rsid w:val="1CC359F6"/>
    <w:rsid w:val="1D67554C"/>
    <w:rsid w:val="1DAF11C4"/>
    <w:rsid w:val="1E2F777F"/>
    <w:rsid w:val="1EC20D17"/>
    <w:rsid w:val="1FC74B80"/>
    <w:rsid w:val="1FCB49B6"/>
    <w:rsid w:val="1FED61F0"/>
    <w:rsid w:val="207A70D9"/>
    <w:rsid w:val="229F0FDC"/>
    <w:rsid w:val="22A650E4"/>
    <w:rsid w:val="23AF6C1B"/>
    <w:rsid w:val="242520DD"/>
    <w:rsid w:val="24315EF0"/>
    <w:rsid w:val="248C5304"/>
    <w:rsid w:val="249C1D1C"/>
    <w:rsid w:val="251F22F5"/>
    <w:rsid w:val="25BB59F6"/>
    <w:rsid w:val="26102F02"/>
    <w:rsid w:val="287A5DB9"/>
    <w:rsid w:val="28E8012C"/>
    <w:rsid w:val="2A2036AC"/>
    <w:rsid w:val="2A6818A2"/>
    <w:rsid w:val="2A8B2D5C"/>
    <w:rsid w:val="2AD44455"/>
    <w:rsid w:val="2ADB2A24"/>
    <w:rsid w:val="2ADD72E3"/>
    <w:rsid w:val="2BCD65B7"/>
    <w:rsid w:val="2C426395"/>
    <w:rsid w:val="2D2F6832"/>
    <w:rsid w:val="2DB77A10"/>
    <w:rsid w:val="2EE93605"/>
    <w:rsid w:val="2FB1304E"/>
    <w:rsid w:val="30DA3DB5"/>
    <w:rsid w:val="32103E32"/>
    <w:rsid w:val="32D44E75"/>
    <w:rsid w:val="34AD7131"/>
    <w:rsid w:val="355E745F"/>
    <w:rsid w:val="36032AAE"/>
    <w:rsid w:val="373A10DF"/>
    <w:rsid w:val="374643BF"/>
    <w:rsid w:val="37617167"/>
    <w:rsid w:val="39AD25AF"/>
    <w:rsid w:val="3A595F4B"/>
    <w:rsid w:val="3C1F45B2"/>
    <w:rsid w:val="3C8C7164"/>
    <w:rsid w:val="3CDB2766"/>
    <w:rsid w:val="3DA321AF"/>
    <w:rsid w:val="3E1D07F4"/>
    <w:rsid w:val="40600DAE"/>
    <w:rsid w:val="406C4BC1"/>
    <w:rsid w:val="40D667EF"/>
    <w:rsid w:val="410C2A9B"/>
    <w:rsid w:val="42D41E73"/>
    <w:rsid w:val="432D21C6"/>
    <w:rsid w:val="44655746"/>
    <w:rsid w:val="44CE18F2"/>
    <w:rsid w:val="451440D0"/>
    <w:rsid w:val="45321617"/>
    <w:rsid w:val="46CB0ACA"/>
    <w:rsid w:val="48570EBF"/>
    <w:rsid w:val="49A2565E"/>
    <w:rsid w:val="49E35C4B"/>
    <w:rsid w:val="4A5D4983"/>
    <w:rsid w:val="4A7F3D47"/>
    <w:rsid w:val="4A824794"/>
    <w:rsid w:val="4AE14CE5"/>
    <w:rsid w:val="4B8C1BDC"/>
    <w:rsid w:val="4BFC0870"/>
    <w:rsid w:val="4C07034B"/>
    <w:rsid w:val="4D21431B"/>
    <w:rsid w:val="4E2010A1"/>
    <w:rsid w:val="4F1D2E5C"/>
    <w:rsid w:val="4F6222CB"/>
    <w:rsid w:val="500F7E65"/>
    <w:rsid w:val="50FB45EB"/>
    <w:rsid w:val="51465964"/>
    <w:rsid w:val="5184324A"/>
    <w:rsid w:val="533C259B"/>
    <w:rsid w:val="533D5E1F"/>
    <w:rsid w:val="53F01145"/>
    <w:rsid w:val="5414085F"/>
    <w:rsid w:val="54B6568B"/>
    <w:rsid w:val="550D0E6D"/>
    <w:rsid w:val="551A1B2C"/>
    <w:rsid w:val="56F77418"/>
    <w:rsid w:val="58D95D50"/>
    <w:rsid w:val="598629F0"/>
    <w:rsid w:val="5A6310DA"/>
    <w:rsid w:val="5AC70DFE"/>
    <w:rsid w:val="5B1F728F"/>
    <w:rsid w:val="5B7C7628"/>
    <w:rsid w:val="5BAE1EAB"/>
    <w:rsid w:val="5BB61B9D"/>
    <w:rsid w:val="5D292B67"/>
    <w:rsid w:val="60A81824"/>
    <w:rsid w:val="60ED0C93"/>
    <w:rsid w:val="619117A1"/>
    <w:rsid w:val="61DD3E1F"/>
    <w:rsid w:val="61DE18A1"/>
    <w:rsid w:val="621B6DEA"/>
    <w:rsid w:val="62583769"/>
    <w:rsid w:val="63064B86"/>
    <w:rsid w:val="64D150F6"/>
    <w:rsid w:val="64EE55D9"/>
    <w:rsid w:val="659E768B"/>
    <w:rsid w:val="65ED6B48"/>
    <w:rsid w:val="66A504F5"/>
    <w:rsid w:val="6A4B4E73"/>
    <w:rsid w:val="6B073028"/>
    <w:rsid w:val="6B9D5719"/>
    <w:rsid w:val="6CCD0AF9"/>
    <w:rsid w:val="6DD4663E"/>
    <w:rsid w:val="6E401570"/>
    <w:rsid w:val="6FF156B3"/>
    <w:rsid w:val="703561A8"/>
    <w:rsid w:val="704E12D0"/>
    <w:rsid w:val="70C04A87"/>
    <w:rsid w:val="70CB089A"/>
    <w:rsid w:val="72BF1FCE"/>
    <w:rsid w:val="73173CE2"/>
    <w:rsid w:val="73D47918"/>
    <w:rsid w:val="764928A0"/>
    <w:rsid w:val="7652792C"/>
    <w:rsid w:val="76946CFC"/>
    <w:rsid w:val="76D37F85"/>
    <w:rsid w:val="784B51D9"/>
    <w:rsid w:val="78A06277"/>
    <w:rsid w:val="790849A2"/>
    <w:rsid w:val="793B5B55"/>
    <w:rsid w:val="797C6EDF"/>
    <w:rsid w:val="7AAC5052"/>
    <w:rsid w:val="7B276F1B"/>
    <w:rsid w:val="7B5C5244"/>
    <w:rsid w:val="7B831833"/>
    <w:rsid w:val="7C166399"/>
    <w:rsid w:val="7C3544AA"/>
    <w:rsid w:val="7C513185"/>
    <w:rsid w:val="7D0719AF"/>
    <w:rsid w:val="7D892E81"/>
    <w:rsid w:val="7DCF13F7"/>
    <w:rsid w:val="7F746C5F"/>
    <w:rsid w:val="7FE3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2023-04-03T07:07:00Z</dcterms:created>
  <dc:creator>lichr7</dc:creator>
  <cp:lastModifiedBy>李超然</cp:lastModifiedBy>
  <dcterms:modified xsi:type="dcterms:W3CDTF">2025-12-25T08:42:16Z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871F3C6768344D42ABE74E1AF39D6359</vt:lpwstr>
  </property>
</Properties>
</file>