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i w:val="0"/>
          <w:iCs w:val="0"/>
          <w:caps w:val="0"/>
          <w:color w:val="2C3E50"/>
          <w:spacing w:val="0"/>
          <w:sz w:val="36"/>
          <w:szCs w:val="36"/>
        </w:rPr>
      </w:pPr>
      <w:r>
        <w:rPr>
          <w:rFonts w:hint="eastAsia" w:ascii="黑体" w:hAnsi="黑体" w:eastAsia="黑体" w:cs="黑体"/>
          <w:i w:val="0"/>
          <w:iCs w:val="0"/>
          <w:caps w:val="0"/>
          <w:color w:val="2C3E50"/>
          <w:spacing w:val="0"/>
          <w:sz w:val="36"/>
          <w:szCs w:val="36"/>
        </w:rPr>
        <w:t>资质</w:t>
      </w:r>
      <w:r>
        <w:rPr>
          <w:rFonts w:hint="eastAsia" w:ascii="黑体" w:hAnsi="黑体" w:eastAsia="黑体" w:cs="黑体"/>
          <w:i w:val="0"/>
          <w:iCs w:val="0"/>
          <w:caps w:val="0"/>
          <w:color w:val="2C3E50"/>
          <w:spacing w:val="0"/>
          <w:sz w:val="36"/>
          <w:szCs w:val="36"/>
          <w:lang w:val="en-US" w:eastAsia="zh-CN"/>
        </w:rPr>
        <w:t>/</w:t>
      </w:r>
      <w:r>
        <w:rPr>
          <w:rFonts w:hint="eastAsia" w:ascii="黑体" w:hAnsi="黑体" w:eastAsia="黑体" w:cs="黑体"/>
          <w:i w:val="0"/>
          <w:iCs w:val="0"/>
          <w:caps w:val="0"/>
          <w:color w:val="2C3E50"/>
          <w:spacing w:val="0"/>
          <w:sz w:val="36"/>
          <w:szCs w:val="36"/>
        </w:rPr>
        <w:t>业绩</w:t>
      </w:r>
      <w:r>
        <w:rPr>
          <w:rFonts w:hint="eastAsia" w:ascii="黑体" w:hAnsi="黑体" w:eastAsia="黑体" w:cs="黑体"/>
          <w:i w:val="0"/>
          <w:iCs w:val="0"/>
          <w:caps w:val="0"/>
          <w:color w:val="2C3E50"/>
          <w:spacing w:val="0"/>
          <w:sz w:val="36"/>
          <w:szCs w:val="36"/>
          <w:lang w:val="en-US" w:eastAsia="zh-CN"/>
        </w:rPr>
        <w:t>信息汇总</w:t>
      </w:r>
      <w:r>
        <w:rPr>
          <w:rFonts w:hint="eastAsia" w:ascii="黑体" w:hAnsi="黑体" w:eastAsia="黑体" w:cs="黑体"/>
          <w:i w:val="0"/>
          <w:iCs w:val="0"/>
          <w:caps w:val="0"/>
          <w:color w:val="2C3E50"/>
          <w:spacing w:val="0"/>
          <w:sz w:val="36"/>
          <w:szCs w:val="36"/>
        </w:rPr>
        <w:t>表</w:t>
      </w:r>
    </w:p>
    <w:p>
      <w:pPr>
        <w:jc w:val="both"/>
        <w:rPr>
          <w:rFonts w:hint="eastAsia" w:ascii="黑体" w:hAnsi="黑体" w:eastAsia="黑体" w:cs="黑体"/>
          <w:i w:val="0"/>
          <w:iCs w:val="0"/>
          <w:caps w:val="0"/>
          <w:color w:val="2C3E50"/>
          <w:spacing w:val="0"/>
          <w:sz w:val="24"/>
          <w:szCs w:val="24"/>
          <w:vertAlign w:val="baseline"/>
          <w:lang w:val="en-US" w:eastAsia="zh-CN"/>
        </w:rPr>
      </w:pPr>
      <w:r>
        <w:rPr>
          <w:rFonts w:hint="eastAsia" w:ascii="黑体" w:hAnsi="黑体" w:eastAsia="黑体" w:cs="黑体"/>
          <w:i w:val="0"/>
          <w:iCs w:val="0"/>
          <w:caps w:val="0"/>
          <w:color w:val="2C3E50"/>
          <w:spacing w:val="0"/>
          <w:sz w:val="24"/>
          <w:szCs w:val="24"/>
          <w:vertAlign w:val="baseline"/>
          <w:lang w:val="en-US" w:eastAsia="zh-CN"/>
        </w:rPr>
        <w:t>标段（包）编号：C G P - 2 6 - L N G F - J S L N G - 0 0 0 3</w:t>
      </w:r>
    </w:p>
    <w:p>
      <w:pPr>
        <w:jc w:val="both"/>
        <w:rPr>
          <w:rFonts w:hint="eastAsia" w:ascii="黑体" w:hAnsi="黑体" w:eastAsia="黑体" w:cs="黑体"/>
          <w:i w:val="0"/>
          <w:iCs w:val="0"/>
          <w:caps w:val="0"/>
          <w:color w:val="2C3E50"/>
          <w:spacing w:val="0"/>
          <w:sz w:val="24"/>
          <w:szCs w:val="24"/>
          <w:vertAlign w:val="baseline"/>
          <w:lang w:val="en-US" w:eastAsia="zh-CN"/>
        </w:rPr>
      </w:pPr>
      <w:r>
        <w:rPr>
          <w:rFonts w:hint="eastAsia" w:ascii="黑体" w:hAnsi="黑体" w:eastAsia="黑体" w:cs="黑体"/>
          <w:i w:val="0"/>
          <w:iCs w:val="0"/>
          <w:caps w:val="0"/>
          <w:color w:val="2C3E50"/>
          <w:spacing w:val="0"/>
          <w:sz w:val="24"/>
          <w:szCs w:val="24"/>
          <w:vertAlign w:val="baseline"/>
          <w:lang w:val="en-US" w:eastAsia="zh-CN"/>
        </w:rPr>
        <w:t>标段（包）名称：盐城港滨海港区中海油液化天然气一期项目二号泊位工程通航安全技术报告及船舶操纵模拟试验报告编制服务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黑体" w:hAnsi="黑体" w:eastAsia="黑体" w:cs="黑体"/>
          <w:b/>
          <w:bCs/>
          <w:color w:val="000000"/>
          <w:kern w:val="0"/>
          <w:sz w:val="24"/>
          <w:szCs w:val="24"/>
          <w:lang w:val="en-US" w:eastAsia="zh-CN" w:bidi="ar"/>
        </w:rPr>
      </w:pPr>
    </w:p>
    <w:p>
      <w:pPr>
        <w:jc w:val="both"/>
        <w:rPr>
          <w:rFonts w:hint="eastAsia" w:ascii="黑体" w:hAnsi="黑体" w:eastAsia="黑体" w:cs="黑体"/>
          <w:i w:val="0"/>
          <w:iCs w:val="0"/>
          <w:caps w:val="0"/>
          <w:color w:val="2C3E50"/>
          <w:spacing w:val="0"/>
          <w:sz w:val="36"/>
          <w:szCs w:val="36"/>
        </w:rPr>
      </w:pPr>
      <w:bookmarkStart w:id="0" w:name="_GoBack"/>
      <w:bookmarkEnd w:id="0"/>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428"/>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序号</w:t>
            </w:r>
          </w:p>
        </w:tc>
        <w:tc>
          <w:tcPr>
            <w:tcW w:w="2428"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投标人名称</w:t>
            </w:r>
          </w:p>
        </w:tc>
        <w:tc>
          <w:tcPr>
            <w:tcW w:w="4492" w:type="dxa"/>
            <w:vAlign w:val="center"/>
          </w:tcPr>
          <w:p>
            <w:pPr>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资质名称和编号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1</w:t>
            </w:r>
          </w:p>
        </w:tc>
        <w:tc>
          <w:tcPr>
            <w:tcW w:w="2428"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上海海事大学</w:t>
            </w:r>
          </w:p>
        </w:tc>
        <w:tc>
          <w:tcPr>
            <w:tcW w:w="4492"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2</w:t>
            </w:r>
          </w:p>
        </w:tc>
        <w:tc>
          <w:tcPr>
            <w:tcW w:w="2428"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武汉理工大学</w:t>
            </w:r>
          </w:p>
        </w:tc>
        <w:tc>
          <w:tcPr>
            <w:tcW w:w="4492"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3</w:t>
            </w:r>
          </w:p>
        </w:tc>
        <w:tc>
          <w:tcPr>
            <w:tcW w:w="2428"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武</w:t>
            </w:r>
            <w:r>
              <w:rPr>
                <w:rFonts w:hint="eastAsia" w:ascii="黑体" w:hAnsi="黑体" w:eastAsia="黑体" w:cs="黑体"/>
                <w:i w:val="0"/>
                <w:iCs w:val="0"/>
                <w:caps w:val="0"/>
                <w:color w:val="2C3E50"/>
                <w:spacing w:val="0"/>
                <w:sz w:val="18"/>
                <w:szCs w:val="18"/>
                <w:vertAlign w:val="baseline"/>
                <w:lang w:val="en-US" w:eastAsia="zh-CN"/>
              </w:rPr>
              <w:t>汉明泽航运技术有限公司</w:t>
            </w:r>
          </w:p>
        </w:tc>
        <w:tc>
          <w:tcPr>
            <w:tcW w:w="4492"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w:t>
            </w:r>
          </w:p>
        </w:tc>
      </w:tr>
    </w:tbl>
    <w:p>
      <w:pPr>
        <w:jc w:val="both"/>
        <w:rPr>
          <w:rFonts w:hint="eastAsia" w:ascii="黑体" w:hAnsi="黑体" w:eastAsia="黑体" w:cs="黑体"/>
          <w:i w:val="0"/>
          <w:iCs w:val="0"/>
          <w:caps w:val="0"/>
          <w:color w:val="2C3E50"/>
          <w:spacing w:val="0"/>
          <w:sz w:val="36"/>
          <w:szCs w:val="36"/>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2426"/>
        <w:gridCol w:w="4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序号</w:t>
            </w:r>
          </w:p>
        </w:tc>
        <w:tc>
          <w:tcPr>
            <w:tcW w:w="2426"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投标人名称</w:t>
            </w:r>
          </w:p>
        </w:tc>
        <w:tc>
          <w:tcPr>
            <w:tcW w:w="4754"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业绩名称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Merge w:val="restart"/>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1</w:t>
            </w:r>
          </w:p>
        </w:tc>
        <w:tc>
          <w:tcPr>
            <w:tcW w:w="2426" w:type="dxa"/>
            <w:vMerge w:val="restart"/>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上海海事大学</w:t>
            </w:r>
          </w:p>
        </w:tc>
        <w:tc>
          <w:tcPr>
            <w:tcW w:w="4754" w:type="dxa"/>
            <w:vAlign w:val="center"/>
          </w:tcPr>
          <w:p>
            <w:pPr>
              <w:keepNext w:val="0"/>
              <w:keepLines w:val="0"/>
              <w:widowControl/>
              <w:suppressLineNumbers w:val="0"/>
              <w:jc w:val="both"/>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长华路（罗秀路~华发路）道路拓宽工程 跨淀浦河桥工程通航安全保障方案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97" w:type="dxa"/>
            <w:vMerge w:val="continue"/>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p>
        </w:tc>
        <w:tc>
          <w:tcPr>
            <w:tcW w:w="2426" w:type="dxa"/>
            <w:vMerge w:val="continue"/>
            <w:vAlign w:val="center"/>
          </w:tcPr>
          <w:p>
            <w:pPr>
              <w:jc w:val="center"/>
              <w:rPr>
                <w:rFonts w:hint="eastAsia" w:ascii="黑体" w:hAnsi="黑体" w:eastAsia="黑体" w:cs="黑体"/>
                <w:sz w:val="18"/>
                <w:szCs w:val="18"/>
                <w:lang w:bidi="ar"/>
              </w:rPr>
            </w:pPr>
          </w:p>
        </w:tc>
        <w:tc>
          <w:tcPr>
            <w:tcW w:w="4754" w:type="dxa"/>
            <w:tcBorders/>
            <w:vAlign w:val="center"/>
          </w:tcPr>
          <w:p>
            <w:pPr>
              <w:keepNext w:val="0"/>
              <w:keepLines w:val="0"/>
              <w:widowControl/>
              <w:suppressLineNumbers w:val="0"/>
              <w:jc w:val="both"/>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 xml:space="preserve">小洋山北作业区集装箱码头船舶操纵模拟实验研究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Merge w:val="restart"/>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2</w:t>
            </w:r>
          </w:p>
        </w:tc>
        <w:tc>
          <w:tcPr>
            <w:tcW w:w="2426" w:type="dxa"/>
            <w:vMerge w:val="restart"/>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武汉理工大学</w:t>
            </w:r>
          </w:p>
        </w:tc>
        <w:tc>
          <w:tcPr>
            <w:tcW w:w="4754" w:type="dxa"/>
            <w:vAlign w:val="center"/>
          </w:tcPr>
          <w:p>
            <w:pPr>
              <w:keepNext w:val="0"/>
              <w:keepLines w:val="0"/>
              <w:widowControl/>
              <w:suppressLineNumbers w:val="0"/>
              <w:jc w:val="left"/>
              <w:rPr>
                <w:rFonts w:hint="default" w:ascii="黑体" w:hAnsi="黑体" w:eastAsia="黑体" w:cs="黑体"/>
                <w:i w:val="0"/>
                <w:iCs w:val="0"/>
                <w:caps w:val="0"/>
                <w:color w:val="2C3E50"/>
                <w:spacing w:val="0"/>
                <w:sz w:val="18"/>
                <w:szCs w:val="18"/>
                <w:vertAlign w:val="baseline"/>
                <w:lang w:val="en-US" w:eastAsia="zh-CN"/>
              </w:rPr>
            </w:pPr>
            <w:r>
              <w:rPr>
                <w:rFonts w:hint="default" w:ascii="黑体" w:hAnsi="黑体" w:eastAsia="黑体" w:cs="黑体"/>
                <w:i w:val="0"/>
                <w:iCs w:val="0"/>
                <w:caps w:val="0"/>
                <w:color w:val="2C3E50"/>
                <w:spacing w:val="0"/>
                <w:sz w:val="18"/>
                <w:szCs w:val="18"/>
                <w:vertAlign w:val="baseline"/>
                <w:lang w:val="en-US" w:eastAsia="zh-CN"/>
              </w:rPr>
              <w:t>盐城港滨海港区北港池防波堤二期工程操船模拟试验项目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Merge w:val="continue"/>
            <w:tcBorders/>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p>
        </w:tc>
        <w:tc>
          <w:tcPr>
            <w:tcW w:w="2426" w:type="dxa"/>
            <w:vMerge w:val="continue"/>
            <w:tcBorders/>
            <w:vAlign w:val="center"/>
          </w:tcPr>
          <w:p>
            <w:pPr>
              <w:jc w:val="center"/>
              <w:rPr>
                <w:rFonts w:hint="eastAsia" w:ascii="黑体" w:hAnsi="黑体" w:eastAsia="黑体" w:cs="黑体"/>
                <w:sz w:val="18"/>
                <w:szCs w:val="18"/>
                <w:lang w:bidi="ar"/>
              </w:rPr>
            </w:pPr>
          </w:p>
        </w:tc>
        <w:tc>
          <w:tcPr>
            <w:tcW w:w="4754" w:type="dxa"/>
            <w:vAlign w:val="center"/>
          </w:tcPr>
          <w:p>
            <w:pPr>
              <w:keepNext w:val="0"/>
              <w:keepLines w:val="0"/>
              <w:widowControl/>
              <w:suppressLineNumbers w:val="0"/>
              <w:jc w:val="left"/>
              <w:rPr>
                <w:rFonts w:hint="default" w:ascii="黑体" w:hAnsi="黑体" w:eastAsia="黑体" w:cs="黑体"/>
                <w:i w:val="0"/>
                <w:iCs w:val="0"/>
                <w:caps w:val="0"/>
                <w:color w:val="2C3E50"/>
                <w:spacing w:val="0"/>
                <w:sz w:val="18"/>
                <w:szCs w:val="18"/>
                <w:vertAlign w:val="baseline"/>
                <w:lang w:val="en-US" w:eastAsia="zh-CN"/>
              </w:rPr>
            </w:pPr>
            <w:r>
              <w:rPr>
                <w:rFonts w:hint="default" w:ascii="黑体" w:hAnsi="黑体" w:eastAsia="黑体" w:cs="黑体"/>
                <w:i w:val="0"/>
                <w:iCs w:val="0"/>
                <w:caps w:val="0"/>
                <w:color w:val="2C3E50"/>
                <w:spacing w:val="0"/>
                <w:sz w:val="18"/>
                <w:szCs w:val="18"/>
                <w:vertAlign w:val="baseline"/>
                <w:lang w:val="en-US" w:eastAsia="zh-CN"/>
              </w:rPr>
              <w:t>盐城港滨海港区北港池10万吨级进港航道操船模拟试验项目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Merge w:val="continue"/>
            <w:tcBorders/>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p>
        </w:tc>
        <w:tc>
          <w:tcPr>
            <w:tcW w:w="2426" w:type="dxa"/>
            <w:vMerge w:val="continue"/>
            <w:tcBorders/>
            <w:vAlign w:val="center"/>
          </w:tcPr>
          <w:p>
            <w:pPr>
              <w:jc w:val="center"/>
              <w:rPr>
                <w:rFonts w:hint="eastAsia" w:ascii="黑体" w:hAnsi="黑体" w:eastAsia="黑体" w:cs="黑体"/>
                <w:sz w:val="18"/>
                <w:szCs w:val="18"/>
                <w:lang w:bidi="ar"/>
              </w:rPr>
            </w:pPr>
          </w:p>
        </w:tc>
        <w:tc>
          <w:tcPr>
            <w:tcW w:w="4754" w:type="dxa"/>
            <w:vAlign w:val="center"/>
          </w:tcPr>
          <w:p>
            <w:pPr>
              <w:keepNext w:val="0"/>
              <w:keepLines w:val="0"/>
              <w:widowControl/>
              <w:suppressLineNumbers w:val="0"/>
              <w:jc w:val="left"/>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盐城港滨海港区北区通用杂货码头工程通航安全技术研究及船舶操纵模拟试验项目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Merge w:val="continue"/>
            <w:tcBorders/>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p>
        </w:tc>
        <w:tc>
          <w:tcPr>
            <w:tcW w:w="2426" w:type="dxa"/>
            <w:vMerge w:val="continue"/>
            <w:tcBorders/>
            <w:vAlign w:val="center"/>
          </w:tcPr>
          <w:p>
            <w:pPr>
              <w:jc w:val="center"/>
              <w:rPr>
                <w:rFonts w:hint="eastAsia" w:ascii="黑体" w:hAnsi="黑体" w:eastAsia="黑体" w:cs="黑体"/>
                <w:sz w:val="18"/>
                <w:szCs w:val="18"/>
                <w:lang w:bidi="ar"/>
              </w:rPr>
            </w:pPr>
          </w:p>
        </w:tc>
        <w:tc>
          <w:tcPr>
            <w:tcW w:w="4754" w:type="dxa"/>
            <w:vAlign w:val="center"/>
          </w:tcPr>
          <w:p>
            <w:pPr>
              <w:keepNext w:val="0"/>
              <w:keepLines w:val="0"/>
              <w:widowControl/>
              <w:suppressLineNumbers w:val="0"/>
              <w:jc w:val="left"/>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滨海港北港池防波堤二期工程通航安全技术报告第三方服务项目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Merge w:val="continue"/>
            <w:tcBorders/>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p>
        </w:tc>
        <w:tc>
          <w:tcPr>
            <w:tcW w:w="2426" w:type="dxa"/>
            <w:vMerge w:val="continue"/>
            <w:tcBorders/>
            <w:vAlign w:val="center"/>
          </w:tcPr>
          <w:p>
            <w:pPr>
              <w:jc w:val="center"/>
              <w:rPr>
                <w:rFonts w:hint="eastAsia" w:ascii="黑体" w:hAnsi="黑体" w:eastAsia="黑体" w:cs="黑体"/>
                <w:sz w:val="18"/>
                <w:szCs w:val="18"/>
                <w:lang w:bidi="ar"/>
              </w:rPr>
            </w:pPr>
          </w:p>
        </w:tc>
        <w:tc>
          <w:tcPr>
            <w:tcW w:w="4754" w:type="dxa"/>
            <w:vAlign w:val="center"/>
          </w:tcPr>
          <w:p>
            <w:pPr>
              <w:keepNext w:val="0"/>
              <w:keepLines w:val="0"/>
              <w:widowControl/>
              <w:suppressLineNumbers w:val="0"/>
              <w:jc w:val="left"/>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田湾核电自备码头改造项目通航安全技术报告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Merge w:val="restart"/>
            <w:vAlign w:val="center"/>
          </w:tcPr>
          <w:p>
            <w:pPr>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3</w:t>
            </w:r>
          </w:p>
        </w:tc>
        <w:tc>
          <w:tcPr>
            <w:tcW w:w="2426" w:type="dxa"/>
            <w:vMerge w:val="restart"/>
            <w:vAlign w:val="center"/>
          </w:tcPr>
          <w:p>
            <w:pPr>
              <w:jc w:val="both"/>
              <w:rPr>
                <w:rFonts w:hint="eastAsia" w:ascii="黑体" w:hAnsi="黑体" w:eastAsia="黑体" w:cs="黑体"/>
                <w:sz w:val="18"/>
                <w:szCs w:val="18"/>
                <w:lang w:bidi="ar"/>
              </w:rPr>
            </w:pPr>
            <w:r>
              <w:rPr>
                <w:rFonts w:hint="eastAsia" w:ascii="黑体" w:hAnsi="黑体" w:eastAsia="黑体" w:cs="黑体"/>
                <w:i w:val="0"/>
                <w:iCs w:val="0"/>
                <w:caps w:val="0"/>
                <w:color w:val="2C3E50"/>
                <w:spacing w:val="0"/>
                <w:sz w:val="18"/>
                <w:szCs w:val="18"/>
                <w:vertAlign w:val="baseline"/>
                <w:lang w:val="en-US" w:eastAsia="zh-CN"/>
              </w:rPr>
              <w:t>武汉明泽航运技术有限公司</w:t>
            </w:r>
          </w:p>
        </w:tc>
        <w:tc>
          <w:tcPr>
            <w:tcW w:w="4754" w:type="dxa"/>
            <w:vAlign w:val="center"/>
          </w:tcPr>
          <w:p>
            <w:pPr>
              <w:keepNext w:val="0"/>
              <w:keepLines w:val="0"/>
              <w:widowControl/>
              <w:suppressLineNumbers w:val="0"/>
              <w:jc w:val="left"/>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连云港港徐港区一港池108#-109#泊位工程通航安全影响论证报告编制项目技术服务合同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Merge w:val="continue"/>
            <w:tcBorders/>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p>
        </w:tc>
        <w:tc>
          <w:tcPr>
            <w:tcW w:w="2426" w:type="dxa"/>
            <w:vMerge w:val="continue"/>
            <w:tcBorders/>
            <w:vAlign w:val="center"/>
          </w:tcPr>
          <w:p>
            <w:pPr>
              <w:jc w:val="both"/>
              <w:rPr>
                <w:rFonts w:hint="eastAsia" w:ascii="黑体" w:hAnsi="黑体" w:eastAsia="黑体" w:cs="黑体"/>
                <w:sz w:val="18"/>
                <w:szCs w:val="18"/>
                <w:lang w:bidi="ar"/>
              </w:rPr>
            </w:pPr>
          </w:p>
        </w:tc>
        <w:tc>
          <w:tcPr>
            <w:tcW w:w="4754" w:type="dxa"/>
            <w:vAlign w:val="center"/>
          </w:tcPr>
          <w:p>
            <w:pPr>
              <w:keepNext w:val="0"/>
              <w:keepLines w:val="0"/>
              <w:widowControl/>
              <w:suppressLineNumbers w:val="0"/>
              <w:jc w:val="left"/>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连云港港灌云港区燕尾作业区二期工程303#-304#泊位预留水工结构等级能力释放工程通航安全技术报告及船舶模拟试验项目服务采购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Merge w:val="continue"/>
            <w:tcBorders/>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p>
        </w:tc>
        <w:tc>
          <w:tcPr>
            <w:tcW w:w="2426" w:type="dxa"/>
            <w:vMerge w:val="continue"/>
            <w:tcBorders/>
            <w:vAlign w:val="center"/>
          </w:tcPr>
          <w:p>
            <w:pPr>
              <w:jc w:val="both"/>
              <w:rPr>
                <w:rFonts w:hint="eastAsia" w:ascii="黑体" w:hAnsi="黑体" w:eastAsia="黑体" w:cs="黑体"/>
                <w:sz w:val="18"/>
                <w:szCs w:val="18"/>
                <w:lang w:bidi="ar"/>
              </w:rPr>
            </w:pPr>
          </w:p>
        </w:tc>
        <w:tc>
          <w:tcPr>
            <w:tcW w:w="4754" w:type="dxa"/>
            <w:vAlign w:val="center"/>
          </w:tcPr>
          <w:p>
            <w:pPr>
              <w:keepNext w:val="0"/>
              <w:keepLines w:val="0"/>
              <w:widowControl/>
              <w:suppressLineNumbers w:val="0"/>
              <w:jc w:val="left"/>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盛虹炼化一体化配套商业油气储运基地项目通航安全影响论证报告编制项目技术服务合同</w:t>
            </w:r>
          </w:p>
        </w:tc>
      </w:tr>
    </w:tbl>
    <w:p>
      <w:pPr>
        <w:jc w:val="both"/>
        <w:rPr>
          <w:rFonts w:hint="eastAsia" w:ascii="黑体" w:hAnsi="黑体" w:eastAsia="黑体" w:cs="黑体"/>
          <w:i w:val="0"/>
          <w:iCs w:val="0"/>
          <w:caps w:val="0"/>
          <w:color w:val="2C3E50"/>
          <w:spacing w:val="0"/>
          <w:sz w:val="36"/>
          <w:szCs w:val="36"/>
        </w:rPr>
      </w:pPr>
    </w:p>
    <w:p>
      <w:pPr>
        <w:jc w:val="both"/>
        <w:rPr>
          <w:rFonts w:hint="eastAsia" w:ascii="黑体" w:hAnsi="黑体" w:eastAsia="黑体" w:cs="黑体"/>
          <w:i w:val="0"/>
          <w:iCs w:val="0"/>
          <w:caps w:val="0"/>
          <w:color w:val="2C3E50"/>
          <w:spacing w:val="0"/>
          <w:sz w:val="36"/>
          <w:szCs w:val="36"/>
        </w:rPr>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4D">
      <wne:fci wne:fciName="InsertInkComment"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219A"/>
    <w:rsid w:val="01D52A58"/>
    <w:rsid w:val="02B240F8"/>
    <w:rsid w:val="02F8266E"/>
    <w:rsid w:val="02FF7A7B"/>
    <w:rsid w:val="03600D99"/>
    <w:rsid w:val="03B77229"/>
    <w:rsid w:val="042652DF"/>
    <w:rsid w:val="06262826"/>
    <w:rsid w:val="09573962"/>
    <w:rsid w:val="0BBD1B53"/>
    <w:rsid w:val="0BD41778"/>
    <w:rsid w:val="0CE54E38"/>
    <w:rsid w:val="0DF21380"/>
    <w:rsid w:val="0EAE6622"/>
    <w:rsid w:val="10081EA4"/>
    <w:rsid w:val="10345524"/>
    <w:rsid w:val="10360A28"/>
    <w:rsid w:val="10B35A73"/>
    <w:rsid w:val="10C87F96"/>
    <w:rsid w:val="110C5208"/>
    <w:rsid w:val="116E61A6"/>
    <w:rsid w:val="12152926"/>
    <w:rsid w:val="135E6CD6"/>
    <w:rsid w:val="154F7486"/>
    <w:rsid w:val="17006E4C"/>
    <w:rsid w:val="174B5FC7"/>
    <w:rsid w:val="17697775"/>
    <w:rsid w:val="183203BA"/>
    <w:rsid w:val="187E50BF"/>
    <w:rsid w:val="18816044"/>
    <w:rsid w:val="196C5C41"/>
    <w:rsid w:val="1CC359F6"/>
    <w:rsid w:val="1D67554C"/>
    <w:rsid w:val="1DAF11C4"/>
    <w:rsid w:val="1E2F777F"/>
    <w:rsid w:val="1EC20D17"/>
    <w:rsid w:val="1FC74B80"/>
    <w:rsid w:val="1FCB49B6"/>
    <w:rsid w:val="1FED61F0"/>
    <w:rsid w:val="207A70D9"/>
    <w:rsid w:val="229F0FDC"/>
    <w:rsid w:val="22A650E4"/>
    <w:rsid w:val="23AF6C1B"/>
    <w:rsid w:val="242520DD"/>
    <w:rsid w:val="24315EF0"/>
    <w:rsid w:val="248C5304"/>
    <w:rsid w:val="249C1D1C"/>
    <w:rsid w:val="251F22F5"/>
    <w:rsid w:val="25BB59F6"/>
    <w:rsid w:val="26102F02"/>
    <w:rsid w:val="287A5DB9"/>
    <w:rsid w:val="28E8012C"/>
    <w:rsid w:val="2A2036AC"/>
    <w:rsid w:val="2A6818A2"/>
    <w:rsid w:val="2A8B2D5C"/>
    <w:rsid w:val="2AD44455"/>
    <w:rsid w:val="2ADB2A24"/>
    <w:rsid w:val="2ADD72E3"/>
    <w:rsid w:val="2BCD65B7"/>
    <w:rsid w:val="2C426395"/>
    <w:rsid w:val="2D2F6832"/>
    <w:rsid w:val="2DB77A10"/>
    <w:rsid w:val="2EE93605"/>
    <w:rsid w:val="2FB1304E"/>
    <w:rsid w:val="30DA3DB5"/>
    <w:rsid w:val="32103E32"/>
    <w:rsid w:val="32D44E75"/>
    <w:rsid w:val="34AD7131"/>
    <w:rsid w:val="355E745F"/>
    <w:rsid w:val="36032AAE"/>
    <w:rsid w:val="373A10DF"/>
    <w:rsid w:val="374643BF"/>
    <w:rsid w:val="37617167"/>
    <w:rsid w:val="39AD25AF"/>
    <w:rsid w:val="3A595F4B"/>
    <w:rsid w:val="3C1F45B2"/>
    <w:rsid w:val="3C8C7164"/>
    <w:rsid w:val="3CDB2766"/>
    <w:rsid w:val="3DA321AF"/>
    <w:rsid w:val="3E1D07F4"/>
    <w:rsid w:val="40600DAE"/>
    <w:rsid w:val="406C4BC1"/>
    <w:rsid w:val="40D667EF"/>
    <w:rsid w:val="42D41E73"/>
    <w:rsid w:val="432D21C6"/>
    <w:rsid w:val="44655746"/>
    <w:rsid w:val="44CE18F2"/>
    <w:rsid w:val="451440D0"/>
    <w:rsid w:val="45321617"/>
    <w:rsid w:val="46CB0ACA"/>
    <w:rsid w:val="48570EBF"/>
    <w:rsid w:val="49A2565E"/>
    <w:rsid w:val="49E35C4B"/>
    <w:rsid w:val="4A5D4983"/>
    <w:rsid w:val="4A7F3D47"/>
    <w:rsid w:val="4A824794"/>
    <w:rsid w:val="4AE14CE5"/>
    <w:rsid w:val="4B8C1BDC"/>
    <w:rsid w:val="4BFC0870"/>
    <w:rsid w:val="4C07034B"/>
    <w:rsid w:val="4D21431B"/>
    <w:rsid w:val="4E2010A1"/>
    <w:rsid w:val="4F1D2E5C"/>
    <w:rsid w:val="4F6222CB"/>
    <w:rsid w:val="500F7E65"/>
    <w:rsid w:val="50FB45EB"/>
    <w:rsid w:val="51465964"/>
    <w:rsid w:val="5184324A"/>
    <w:rsid w:val="51B64E15"/>
    <w:rsid w:val="533C259B"/>
    <w:rsid w:val="533D5E1F"/>
    <w:rsid w:val="53F01145"/>
    <w:rsid w:val="5414085F"/>
    <w:rsid w:val="54B6568B"/>
    <w:rsid w:val="551A1B2C"/>
    <w:rsid w:val="56F77418"/>
    <w:rsid w:val="58D95D50"/>
    <w:rsid w:val="598629F0"/>
    <w:rsid w:val="5A6310DA"/>
    <w:rsid w:val="5AC70DFE"/>
    <w:rsid w:val="5B1F728F"/>
    <w:rsid w:val="5B7C7628"/>
    <w:rsid w:val="5BB61B9D"/>
    <w:rsid w:val="5D292B67"/>
    <w:rsid w:val="60A81824"/>
    <w:rsid w:val="60ED0C93"/>
    <w:rsid w:val="619117A1"/>
    <w:rsid w:val="61DD3E1F"/>
    <w:rsid w:val="61DE18A1"/>
    <w:rsid w:val="621B6DEA"/>
    <w:rsid w:val="62583769"/>
    <w:rsid w:val="63064B86"/>
    <w:rsid w:val="64D150F6"/>
    <w:rsid w:val="64EE55D9"/>
    <w:rsid w:val="659E768B"/>
    <w:rsid w:val="65ED6B48"/>
    <w:rsid w:val="66A504F5"/>
    <w:rsid w:val="68703A59"/>
    <w:rsid w:val="6A4B4E73"/>
    <w:rsid w:val="6B073028"/>
    <w:rsid w:val="6B9D5719"/>
    <w:rsid w:val="6CCD0AF9"/>
    <w:rsid w:val="6DD4663E"/>
    <w:rsid w:val="6E401570"/>
    <w:rsid w:val="6FF156B3"/>
    <w:rsid w:val="703561A8"/>
    <w:rsid w:val="704E12D0"/>
    <w:rsid w:val="70C04A87"/>
    <w:rsid w:val="70CB089A"/>
    <w:rsid w:val="72BF1FCE"/>
    <w:rsid w:val="73173CE2"/>
    <w:rsid w:val="73D47918"/>
    <w:rsid w:val="764928A0"/>
    <w:rsid w:val="7652792C"/>
    <w:rsid w:val="76946CFC"/>
    <w:rsid w:val="76D37F85"/>
    <w:rsid w:val="784B51D9"/>
    <w:rsid w:val="78A06277"/>
    <w:rsid w:val="790849A2"/>
    <w:rsid w:val="793B5B55"/>
    <w:rsid w:val="797C6EDF"/>
    <w:rsid w:val="7AAC5052"/>
    <w:rsid w:val="7B276F1B"/>
    <w:rsid w:val="7B5C5244"/>
    <w:rsid w:val="7B831833"/>
    <w:rsid w:val="7C166399"/>
    <w:rsid w:val="7C3544AA"/>
    <w:rsid w:val="7C513185"/>
    <w:rsid w:val="7D0719AF"/>
    <w:rsid w:val="7D892E81"/>
    <w:rsid w:val="7DCF13F7"/>
    <w:rsid w:val="7F746C5F"/>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2023-04-03T07:07:00Z</dcterms:created>
  <dc:creator>lichr7</dc:creator>
  <cp:lastModifiedBy>邱涛</cp:lastModifiedBy>
  <dcterms:modified xsi:type="dcterms:W3CDTF">2026-05-29T02:52:18Z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871F3C6768344D42ABE74E1AF39D6359</vt:lpwstr>
  </property>
</Properties>
</file>