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val="0"/>
        <w:kinsoku/>
        <w:overflowPunct/>
        <w:bidi w:val="0"/>
        <w:jc w:val="both"/>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b w:val="0"/>
          <w:bCs w:val="0"/>
          <w:color w:val="000000" w:themeColor="text1"/>
          <w:sz w:val="31"/>
          <w:szCs w:val="31"/>
          <w:lang w:val="en-US" w:eastAsia="zh-CN"/>
          <w14:textFill>
            <w14:solidFill>
              <w14:schemeClr w14:val="tx1"/>
            </w14:solidFill>
          </w14:textFill>
        </w:rPr>
        <w:t>附件</w:t>
      </w:r>
      <w:r>
        <w:rPr>
          <w:rFonts w:hint="eastAsia" w:ascii="Times New Roman" w:hAnsi="Times New Roman" w:eastAsia="方正黑体_GBK" w:cs="Times New Roman"/>
          <w:b w:val="0"/>
          <w:bCs w:val="0"/>
          <w:color w:val="000000" w:themeColor="text1"/>
          <w:sz w:val="31"/>
          <w:szCs w:val="31"/>
          <w:lang w:val="en-US" w:eastAsia="zh-CN"/>
          <w14:textFill>
            <w14:solidFill>
              <w14:schemeClr w14:val="tx1"/>
            </w14:solidFill>
          </w14:textFill>
        </w:rPr>
        <w:t>1</w:t>
      </w:r>
    </w:p>
    <w:tbl>
      <w:tblPr>
        <w:tblStyle w:val="10"/>
        <w:tblW w:w="10294" w:type="dxa"/>
        <w:tblInd w:w="-7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81"/>
        <w:gridCol w:w="1158"/>
        <w:gridCol w:w="4336"/>
        <w:gridCol w:w="637"/>
        <w:gridCol w:w="657"/>
        <w:gridCol w:w="29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9" w:hRule="atLeast"/>
        </w:trPr>
        <w:tc>
          <w:tcPr>
            <w:tcW w:w="10294" w:type="dxa"/>
            <w:gridSpan w:val="6"/>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方正小标宋简体" w:cs="Times New Roman"/>
                <w:i w:val="0"/>
                <w:color w:val="000000" w:themeColor="text1"/>
                <w:sz w:val="21"/>
                <w:szCs w:val="21"/>
                <w:u w:val="none"/>
                <w14:textFill>
                  <w14:solidFill>
                    <w14:schemeClr w14:val="tx1"/>
                  </w14:solidFill>
                </w14:textFill>
              </w:rPr>
            </w:pPr>
            <w:r>
              <w:rPr>
                <w:rFonts w:hint="default" w:ascii="Times New Roman" w:hAnsi="Times New Roman" w:eastAsia="方正小标宋简体" w:cs="Times New Roman"/>
                <w:i w:val="0"/>
                <w:color w:val="000000" w:themeColor="text1"/>
                <w:kern w:val="0"/>
                <w:sz w:val="28"/>
                <w:szCs w:val="28"/>
                <w:u w:val="none"/>
                <w:lang w:val="en-US" w:eastAsia="zh-CN" w:bidi="ar"/>
                <w14:textFill>
                  <w14:solidFill>
                    <w14:schemeClr w14:val="tx1"/>
                  </w14:solidFill>
                </w14:textFill>
              </w:rPr>
              <w:t>承包商安全评价表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7" w:hRule="atLeast"/>
        </w:trPr>
        <w:tc>
          <w:tcPr>
            <w:tcW w:w="17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b/>
                <w:i w:val="0"/>
                <w:color w:val="000000" w:themeColor="text1"/>
                <w:sz w:val="21"/>
                <w:szCs w:val="21"/>
                <w:u w:val="none"/>
                <w14:textFill>
                  <w14:solidFill>
                    <w14:schemeClr w14:val="tx1"/>
                  </w14:solidFill>
                </w14:textFill>
              </w:rPr>
            </w:pPr>
            <w:r>
              <w:rPr>
                <w:rFonts w:hint="default" w:ascii="Times New Roman" w:hAnsi="Times New Roman" w:eastAsia="宋体" w:cs="Times New Roman"/>
                <w:b/>
                <w:i w:val="0"/>
                <w:color w:val="000000" w:themeColor="text1"/>
                <w:kern w:val="0"/>
                <w:sz w:val="21"/>
                <w:szCs w:val="21"/>
                <w:u w:val="none"/>
                <w:lang w:val="en-US" w:eastAsia="zh-CN" w:bidi="ar"/>
                <w14:textFill>
                  <w14:solidFill>
                    <w14:schemeClr w14:val="tx1"/>
                  </w14:solidFill>
                </w14:textFill>
              </w:rPr>
              <w:t>承包商名称</w:t>
            </w:r>
          </w:p>
        </w:tc>
        <w:tc>
          <w:tcPr>
            <w:tcW w:w="4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bidi w:val="0"/>
              <w:spacing w:line="590" w:lineRule="exact"/>
              <w:jc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p>
        </w:tc>
        <w:tc>
          <w:tcPr>
            <w:tcW w:w="1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b/>
                <w:i w:val="0"/>
                <w:color w:val="000000" w:themeColor="text1"/>
                <w:sz w:val="21"/>
                <w:szCs w:val="21"/>
                <w:u w:val="none"/>
                <w14:textFill>
                  <w14:solidFill>
                    <w14:schemeClr w14:val="tx1"/>
                  </w14:solidFill>
                </w14:textFill>
              </w:rPr>
            </w:pPr>
            <w:r>
              <w:rPr>
                <w:rFonts w:hint="default" w:ascii="Times New Roman" w:hAnsi="Times New Roman" w:eastAsia="宋体" w:cs="Times New Roman"/>
                <w:b/>
                <w:i w:val="0"/>
                <w:color w:val="000000" w:themeColor="text1"/>
                <w:kern w:val="0"/>
                <w:sz w:val="21"/>
                <w:szCs w:val="21"/>
                <w:u w:val="none"/>
                <w:lang w:val="en-US" w:eastAsia="zh-CN" w:bidi="ar"/>
                <w14:textFill>
                  <w14:solidFill>
                    <w14:schemeClr w14:val="tx1"/>
                  </w14:solidFill>
                </w14:textFill>
              </w:rPr>
              <w:t>评分</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bidi w:val="0"/>
              <w:spacing w:line="590" w:lineRule="exact"/>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7" w:hRule="atLeast"/>
        </w:trPr>
        <w:tc>
          <w:tcPr>
            <w:tcW w:w="17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bidi w:val="0"/>
              <w:spacing w:line="590" w:lineRule="exact"/>
              <w:jc w:val="center"/>
              <w:outlineLvl w:val="9"/>
              <w:rPr>
                <w:rFonts w:hint="default" w:ascii="Times New Roman" w:hAnsi="Times New Roman" w:eastAsia="宋体" w:cs="Times New Roman"/>
                <w:b/>
                <w:i w:val="0"/>
                <w:color w:val="000000" w:themeColor="text1"/>
                <w:sz w:val="21"/>
                <w:szCs w:val="21"/>
                <w:u w:val="none"/>
                <w14:textFill>
                  <w14:solidFill>
                    <w14:schemeClr w14:val="tx1"/>
                  </w14:solidFill>
                </w14:textFill>
              </w:rPr>
            </w:pPr>
          </w:p>
        </w:tc>
        <w:tc>
          <w:tcPr>
            <w:tcW w:w="4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bidi w:val="0"/>
              <w:spacing w:line="590" w:lineRule="exact"/>
              <w:jc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p>
        </w:tc>
        <w:tc>
          <w:tcPr>
            <w:tcW w:w="1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b/>
                <w:i w:val="0"/>
                <w:color w:val="000000" w:themeColor="text1"/>
                <w:sz w:val="21"/>
                <w:szCs w:val="21"/>
                <w:u w:val="none"/>
                <w14:textFill>
                  <w14:solidFill>
                    <w14:schemeClr w14:val="tx1"/>
                  </w14:solidFill>
                </w14:textFill>
              </w:rPr>
            </w:pPr>
            <w:r>
              <w:rPr>
                <w:rFonts w:hint="default" w:ascii="Times New Roman" w:hAnsi="Times New Roman" w:eastAsia="宋体" w:cs="Times New Roman"/>
                <w:b/>
                <w:i w:val="0"/>
                <w:color w:val="000000" w:themeColor="text1"/>
                <w:kern w:val="0"/>
                <w:sz w:val="21"/>
                <w:szCs w:val="21"/>
                <w:u w:val="none"/>
                <w:lang w:val="en-US" w:eastAsia="zh-CN" w:bidi="ar"/>
                <w14:textFill>
                  <w14:solidFill>
                    <w14:schemeClr w14:val="tx1"/>
                  </w14:solidFill>
                </w14:textFill>
              </w:rPr>
              <w:t>评价结果</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bidi w:val="0"/>
              <w:spacing w:line="590" w:lineRule="exact"/>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3" w:hRule="atLeast"/>
        </w:trPr>
        <w:tc>
          <w:tcPr>
            <w:tcW w:w="17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b/>
                <w:i w:val="0"/>
                <w:color w:val="000000" w:themeColor="text1"/>
                <w:sz w:val="21"/>
                <w:szCs w:val="21"/>
                <w:u w:val="none"/>
                <w14:textFill>
                  <w14:solidFill>
                    <w14:schemeClr w14:val="tx1"/>
                  </w14:solidFill>
                </w14:textFill>
              </w:rPr>
            </w:pPr>
            <w:r>
              <w:rPr>
                <w:rFonts w:hint="default" w:ascii="Times New Roman" w:hAnsi="Times New Roman" w:eastAsia="宋体" w:cs="Times New Roman"/>
                <w:b/>
                <w:i w:val="0"/>
                <w:color w:val="000000" w:themeColor="text1"/>
                <w:kern w:val="0"/>
                <w:sz w:val="21"/>
                <w:szCs w:val="21"/>
                <w:u w:val="none"/>
                <w:lang w:val="en-US" w:eastAsia="zh-CN" w:bidi="ar"/>
                <w14:textFill>
                  <w14:solidFill>
                    <w14:schemeClr w14:val="tx1"/>
                  </w14:solidFill>
                </w14:textFill>
              </w:rPr>
              <w:t>评价部门</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bidi w:val="0"/>
              <w:spacing w:line="590" w:lineRule="exact"/>
              <w:jc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p>
        </w:tc>
        <w:tc>
          <w:tcPr>
            <w:tcW w:w="1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b/>
                <w:i w:val="0"/>
                <w:color w:val="000000" w:themeColor="text1"/>
                <w:sz w:val="21"/>
                <w:szCs w:val="21"/>
                <w:u w:val="none"/>
                <w14:textFill>
                  <w14:solidFill>
                    <w14:schemeClr w14:val="tx1"/>
                  </w14:solidFill>
                </w14:textFill>
              </w:rPr>
            </w:pPr>
            <w:r>
              <w:rPr>
                <w:rFonts w:hint="default" w:ascii="Times New Roman" w:hAnsi="Times New Roman" w:eastAsia="宋体" w:cs="Times New Roman"/>
                <w:b/>
                <w:i w:val="0"/>
                <w:color w:val="000000" w:themeColor="text1"/>
                <w:kern w:val="0"/>
                <w:sz w:val="21"/>
                <w:szCs w:val="21"/>
                <w:u w:val="none"/>
                <w:lang w:val="en-US" w:eastAsia="zh-CN" w:bidi="ar"/>
                <w14:textFill>
                  <w14:solidFill>
                    <w14:schemeClr w14:val="tx1"/>
                  </w14:solidFill>
                </w14:textFill>
              </w:rPr>
              <w:t>评价日期</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bidi w:val="0"/>
              <w:spacing w:line="590" w:lineRule="exact"/>
              <w:jc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3"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b/>
                <w:i w:val="0"/>
                <w:color w:val="000000" w:themeColor="text1"/>
                <w:sz w:val="21"/>
                <w:szCs w:val="21"/>
                <w:u w:val="none"/>
                <w14:textFill>
                  <w14:solidFill>
                    <w14:schemeClr w14:val="tx1"/>
                  </w14:solidFill>
                </w14:textFill>
              </w:rPr>
            </w:pPr>
            <w:r>
              <w:rPr>
                <w:rFonts w:hint="default" w:ascii="Times New Roman" w:hAnsi="Times New Roman" w:eastAsia="宋体" w:cs="Times New Roman"/>
                <w:b/>
                <w:i w:val="0"/>
                <w:color w:val="000000" w:themeColor="text1"/>
                <w:kern w:val="0"/>
                <w:sz w:val="21"/>
                <w:szCs w:val="21"/>
                <w:u w:val="none"/>
                <w:lang w:val="en-US" w:eastAsia="zh-CN" w:bidi="ar"/>
                <w14:textFill>
                  <w14:solidFill>
                    <w14:schemeClr w14:val="tx1"/>
                  </w14:solidFill>
                </w14:textFill>
              </w:rPr>
              <w:t>序号</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b/>
                <w:i w:val="0"/>
                <w:color w:val="000000" w:themeColor="text1"/>
                <w:sz w:val="21"/>
                <w:szCs w:val="21"/>
                <w:u w:val="none"/>
                <w14:textFill>
                  <w14:solidFill>
                    <w14:schemeClr w14:val="tx1"/>
                  </w14:solidFill>
                </w14:textFill>
              </w:rPr>
            </w:pPr>
            <w:r>
              <w:rPr>
                <w:rFonts w:hint="default" w:ascii="Times New Roman" w:hAnsi="Times New Roman" w:eastAsia="宋体" w:cs="Times New Roman"/>
                <w:b/>
                <w:i w:val="0"/>
                <w:color w:val="000000" w:themeColor="text1"/>
                <w:kern w:val="0"/>
                <w:sz w:val="21"/>
                <w:szCs w:val="21"/>
                <w:u w:val="none"/>
                <w:lang w:val="en-US" w:eastAsia="zh-CN" w:bidi="ar"/>
                <w14:textFill>
                  <w14:solidFill>
                    <w14:schemeClr w14:val="tx1"/>
                  </w14:solidFill>
                </w14:textFill>
              </w:rPr>
              <w:t>评分项目</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b/>
                <w:i w:val="0"/>
                <w:color w:val="000000" w:themeColor="text1"/>
                <w:sz w:val="21"/>
                <w:szCs w:val="21"/>
                <w:u w:val="none"/>
                <w14:textFill>
                  <w14:solidFill>
                    <w14:schemeClr w14:val="tx1"/>
                  </w14:solidFill>
                </w14:textFill>
              </w:rPr>
            </w:pPr>
            <w:r>
              <w:rPr>
                <w:rFonts w:hint="default" w:ascii="Times New Roman" w:hAnsi="Times New Roman" w:eastAsia="宋体" w:cs="Times New Roman"/>
                <w:b/>
                <w:i w:val="0"/>
                <w:color w:val="000000" w:themeColor="text1"/>
                <w:kern w:val="0"/>
                <w:sz w:val="21"/>
                <w:szCs w:val="21"/>
                <w:u w:val="none"/>
                <w:lang w:val="en-US" w:eastAsia="zh-CN" w:bidi="ar"/>
                <w14:textFill>
                  <w14:solidFill>
                    <w14:schemeClr w14:val="tx1"/>
                  </w14:solidFill>
                </w14:textFill>
              </w:rPr>
              <w:t>评分标准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b/>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i w:val="0"/>
                <w:color w:val="000000" w:themeColor="text1"/>
                <w:kern w:val="0"/>
                <w:sz w:val="21"/>
                <w:szCs w:val="21"/>
                <w:u w:val="none"/>
                <w:lang w:val="en-US" w:eastAsia="zh-CN" w:bidi="ar"/>
                <w14:textFill>
                  <w14:solidFill>
                    <w14:schemeClr w14:val="tx1"/>
                  </w14:solidFill>
                </w14:textFill>
              </w:rPr>
              <w:t>控制</w:t>
            </w:r>
          </w:p>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b/>
                <w:i w:val="0"/>
                <w:color w:val="000000" w:themeColor="text1"/>
                <w:sz w:val="21"/>
                <w:szCs w:val="21"/>
                <w:u w:val="none"/>
                <w14:textFill>
                  <w14:solidFill>
                    <w14:schemeClr w14:val="tx1"/>
                  </w14:solidFill>
                </w14:textFill>
              </w:rPr>
            </w:pPr>
            <w:r>
              <w:rPr>
                <w:rFonts w:hint="default" w:ascii="Times New Roman" w:hAnsi="Times New Roman" w:eastAsia="宋体" w:cs="Times New Roman"/>
                <w:b/>
                <w:i w:val="0"/>
                <w:color w:val="000000" w:themeColor="text1"/>
                <w:kern w:val="0"/>
                <w:sz w:val="21"/>
                <w:szCs w:val="21"/>
                <w:u w:val="none"/>
                <w:lang w:val="en-US" w:eastAsia="zh-CN" w:bidi="ar"/>
                <w14:textFill>
                  <w14:solidFill>
                    <w14:schemeClr w14:val="tx1"/>
                  </w14:solidFill>
                </w14:textFill>
              </w:rPr>
              <w:t>分数</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b/>
                <w:i w:val="0"/>
                <w:color w:val="000000" w:themeColor="text1"/>
                <w:sz w:val="21"/>
                <w:szCs w:val="21"/>
                <w:u w:val="none"/>
                <w14:textFill>
                  <w14:solidFill>
                    <w14:schemeClr w14:val="tx1"/>
                  </w14:solidFill>
                </w14:textFill>
              </w:rPr>
            </w:pPr>
            <w:r>
              <w:rPr>
                <w:rFonts w:hint="default" w:ascii="Times New Roman" w:hAnsi="Times New Roman" w:eastAsia="宋体" w:cs="Times New Roman"/>
                <w:b/>
                <w:i w:val="0"/>
                <w:color w:val="000000" w:themeColor="text1"/>
                <w:kern w:val="0"/>
                <w:sz w:val="21"/>
                <w:szCs w:val="21"/>
                <w:u w:val="none"/>
                <w:lang w:val="en-US" w:eastAsia="zh-CN" w:bidi="ar"/>
                <w14:textFill>
                  <w14:solidFill>
                    <w14:schemeClr w14:val="tx1"/>
                  </w14:solidFill>
                </w14:textFill>
              </w:rPr>
              <w:t>扣分</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b/>
                <w:i w:val="0"/>
                <w:color w:val="000000" w:themeColor="text1"/>
                <w:sz w:val="21"/>
                <w:szCs w:val="21"/>
                <w:u w:val="none"/>
                <w14:textFill>
                  <w14:solidFill>
                    <w14:schemeClr w14:val="tx1"/>
                  </w14:solidFill>
                </w14:textFill>
              </w:rPr>
            </w:pPr>
            <w:r>
              <w:rPr>
                <w:rFonts w:hint="default" w:ascii="Times New Roman" w:hAnsi="Times New Roman" w:eastAsia="宋体" w:cs="Times New Roman"/>
                <w:b/>
                <w:i w:val="0"/>
                <w:color w:val="000000" w:themeColor="text1"/>
                <w:kern w:val="0"/>
                <w:sz w:val="21"/>
                <w:szCs w:val="21"/>
                <w:u w:val="none"/>
                <w:lang w:val="en-US" w:eastAsia="zh-CN" w:bidi="ar"/>
                <w14:textFill>
                  <w14:solidFill>
                    <w14:schemeClr w14:val="tx1"/>
                  </w14:solidFill>
                </w14:textFill>
              </w:rPr>
              <w:t>扣分事项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93"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1</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作业资质管理</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left"/>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作业人员未持证上岗作业或不具备相关作业资质的，每发生一次扣5分。</w:t>
            </w:r>
            <w:bookmarkStart w:id="0" w:name="_GoBack"/>
            <w:bookmarkEnd w:id="0"/>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15</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bidi w:val="0"/>
              <w:spacing w:line="590" w:lineRule="exact"/>
              <w:jc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bidi w:val="0"/>
              <w:spacing w:line="590" w:lineRule="exact"/>
              <w:jc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56"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2</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安全管理制度</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left"/>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安全管理制度不健全或落实不到位的，每发生一次酌情扣1-3分。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3</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bidi w:val="0"/>
              <w:spacing w:line="590" w:lineRule="exact"/>
              <w:jc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bidi w:val="0"/>
              <w:spacing w:line="590" w:lineRule="exact"/>
              <w:jc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83"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3</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人身、设备风险控制</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left"/>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发生人身轻伤扣5分/次，人身重伤扣5-10分/次，人身死亡扣10-20分/次。一般事故扣10分/次，较大及以上施工扣10-20分/次。</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25</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bidi w:val="0"/>
              <w:spacing w:line="590" w:lineRule="exact"/>
              <w:jc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bidi w:val="0"/>
              <w:spacing w:line="590" w:lineRule="exact"/>
              <w:jc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5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4</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作业管理能力</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left"/>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作业管理能力不符合要求的，每发生一次酌情扣1-4分。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4</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bidi w:val="0"/>
              <w:spacing w:line="590" w:lineRule="exact"/>
              <w:jc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bidi w:val="0"/>
              <w:spacing w:line="590" w:lineRule="exact"/>
              <w:jc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07"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5</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管理层对安全生产的重视</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left"/>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管理层未保证足够的安全投入、施工资源投入，未认真组织安全技术培训、定期进行安全检查、及时解决项目责任单位反映的问题的，每发生一次扣1-2分。发生其他不重视安全生产的事项，酌情扣1-2分。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4</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bidi w:val="0"/>
              <w:spacing w:line="590" w:lineRule="exact"/>
              <w:jc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bidi w:val="0"/>
              <w:spacing w:line="590" w:lineRule="exact"/>
              <w:jc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07"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6</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管理人员履职</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left"/>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施工单位管理人员未认真履行职责、有效组织施工作业的，每发生一次酌情扣1-5分。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5</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bidi w:val="0"/>
              <w:spacing w:line="590" w:lineRule="exact"/>
              <w:jc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bidi w:val="0"/>
              <w:spacing w:line="590" w:lineRule="exact"/>
              <w:jc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9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7</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员工安全技术培训</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left"/>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未按要求对作业人员进行安全技术培训的，每发生一次酌情扣1-5分。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5</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bidi w:val="0"/>
              <w:spacing w:line="590" w:lineRule="exact"/>
              <w:jc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bidi w:val="0"/>
              <w:spacing w:line="590" w:lineRule="exact"/>
              <w:jc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安全投入</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left"/>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未按规定配置足够的安全工具、个人防护用品、安全管理人员的，每发生一次扣2-4分。安全工具、个人防护用品不符合作业需要或规程要求的，每发生一次扣1分。发生其他安全投入不足的事项，酌情扣1-3分。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6</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bidi w:val="0"/>
              <w:spacing w:line="590" w:lineRule="exact"/>
              <w:jc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bidi w:val="0"/>
              <w:spacing w:line="590" w:lineRule="exact"/>
              <w:jc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83"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9</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施工资源投入</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left"/>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未根据工作需要配置足够的人力资源、施工设备、工具等资源的，每发生一次扣1-3分。发生其他施工资源投入不足的事项，酌情扣1-3分。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6</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bidi w:val="0"/>
              <w:spacing w:line="590" w:lineRule="exact"/>
              <w:jc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bidi w:val="0"/>
              <w:spacing w:line="590" w:lineRule="exact"/>
              <w:jc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4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10</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施工组织</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left"/>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未认真进行施工组织。施工准备不充分、现场勘查不到位、作业文件编制不结合实际的，每发生一次酌情扣2-5分。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5</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bidi w:val="0"/>
              <w:spacing w:line="590" w:lineRule="exact"/>
              <w:jc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bidi w:val="0"/>
              <w:spacing w:line="590" w:lineRule="exact"/>
              <w:jc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9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11</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现场安全设施的符合性</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left"/>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现场安健环设施布置不符合要求或不满足作业需要的，每发生一次酌情扣2-5分。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5</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bidi w:val="0"/>
              <w:spacing w:line="590" w:lineRule="exact"/>
              <w:jc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bidi w:val="0"/>
              <w:spacing w:line="590" w:lineRule="exact"/>
              <w:jc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4"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12</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内部安全技术交底</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left"/>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作业前未进行“施工方案”、“三措”学习和现场安全交底的，每发生一次酌情扣1-5分。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5</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bidi w:val="0"/>
              <w:spacing w:line="590" w:lineRule="exact"/>
              <w:jc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bidi w:val="0"/>
              <w:spacing w:line="590" w:lineRule="exact"/>
              <w:jc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9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13</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作业人员执行规章制度的依从性</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left"/>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员工执行作业文件不到位的，每发生一次酌情扣1-3分。违反“八条禁令”扣5分/次，发生违章每发生一次酌情扣2-4分。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12</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bidi w:val="0"/>
              <w:spacing w:line="590" w:lineRule="exact"/>
              <w:jc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bidi w:val="0"/>
              <w:spacing w:line="590" w:lineRule="exact"/>
              <w:jc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9" w:hRule="atLeast"/>
        </w:trPr>
        <w:tc>
          <w:tcPr>
            <w:tcW w:w="6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b/>
                <w:i w:val="0"/>
                <w:color w:val="000000" w:themeColor="text1"/>
                <w:sz w:val="21"/>
                <w:szCs w:val="21"/>
                <w:u w:val="none"/>
                <w14:textFill>
                  <w14:solidFill>
                    <w14:schemeClr w14:val="tx1"/>
                  </w14:solidFill>
                </w14:textFill>
              </w:rPr>
            </w:pPr>
            <w:r>
              <w:rPr>
                <w:rFonts w:hint="default" w:ascii="Times New Roman" w:hAnsi="Times New Roman" w:eastAsia="宋体" w:cs="Times New Roman"/>
                <w:b/>
                <w:i w:val="0"/>
                <w:color w:val="000000" w:themeColor="text1"/>
                <w:kern w:val="0"/>
                <w:sz w:val="21"/>
                <w:szCs w:val="21"/>
                <w:u w:val="none"/>
                <w:lang w:val="en-US" w:eastAsia="zh-CN" w:bidi="ar"/>
                <w14:textFill>
                  <w14:solidFill>
                    <w14:schemeClr w14:val="tx1"/>
                  </w14:solidFill>
                </w14:textFill>
              </w:rPr>
              <w:t>总分：</w:t>
            </w:r>
          </w:p>
        </w:tc>
        <w:tc>
          <w:tcPr>
            <w:tcW w:w="4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bidi w:val="0"/>
              <w:spacing w:line="590" w:lineRule="exact"/>
              <w:jc w:val="center"/>
              <w:outlineLvl w:val="9"/>
              <w:rPr>
                <w:rFonts w:hint="default" w:ascii="Times New Roman" w:hAnsi="Times New Roman" w:eastAsia="宋体" w:cs="Times New Roman"/>
                <w:b/>
                <w:i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4" w:hRule="atLeast"/>
        </w:trPr>
        <w:tc>
          <w:tcPr>
            <w:tcW w:w="102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center"/>
              <w:textAlignment w:val="center"/>
              <w:outlineLvl w:val="9"/>
              <w:rPr>
                <w:rFonts w:hint="default" w:ascii="Times New Roman" w:hAnsi="Times New Roman" w:eastAsia="宋体" w:cs="Times New Roman"/>
                <w:b/>
                <w:i w:val="0"/>
                <w:color w:val="000000" w:themeColor="text1"/>
                <w:sz w:val="21"/>
                <w:szCs w:val="21"/>
                <w:u w:val="none"/>
                <w14:textFill>
                  <w14:solidFill>
                    <w14:schemeClr w14:val="tx1"/>
                  </w14:solidFill>
                </w14:textFill>
              </w:rPr>
            </w:pPr>
            <w:r>
              <w:rPr>
                <w:rFonts w:hint="default" w:ascii="Times New Roman" w:hAnsi="Times New Roman" w:eastAsia="宋体" w:cs="Times New Roman"/>
                <w:b/>
                <w:i w:val="0"/>
                <w:color w:val="000000" w:themeColor="text1"/>
                <w:kern w:val="0"/>
                <w:sz w:val="21"/>
                <w:szCs w:val="21"/>
                <w:u w:val="none"/>
                <w:lang w:val="en-US" w:eastAsia="zh-CN" w:bidi="ar"/>
                <w14:textFill>
                  <w14:solidFill>
                    <w14:schemeClr w14:val="tx1"/>
                  </w14:solidFill>
                </w14:textFill>
              </w:rPr>
              <w:t xml:space="preserve">评价结果：                </w:t>
            </w:r>
            <w:r>
              <w:rPr>
                <w:rStyle w:val="13"/>
                <w:rFonts w:hint="default" w:ascii="Times New Roman" w:hAnsi="Times New Roman" w:cs="Times New Roman"/>
                <w:color w:val="000000" w:themeColor="text1"/>
                <w:sz w:val="21"/>
                <w:szCs w:val="21"/>
                <w:lang w:val="en-US" w:eastAsia="zh-CN" w:bidi="ar"/>
                <w14:textFill>
                  <w14:solidFill>
                    <w14:schemeClr w14:val="tx1"/>
                  </w14:solidFill>
                </w14:textFill>
              </w:rPr>
              <w:t>□优秀             □良好            □不合格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7" w:hRule="atLeast"/>
        </w:trPr>
        <w:tc>
          <w:tcPr>
            <w:tcW w:w="102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90" w:lineRule="exact"/>
              <w:jc w:val="left"/>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评价结果：86-100分 优秀；70-85分 良好；69分及以下 不合格。</w:t>
            </w:r>
          </w:p>
        </w:tc>
      </w:tr>
    </w:tbl>
    <w:p>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eastAsia" w:ascii="宋体" w:hAnsi="宋体" w:eastAsia="宋体" w:cs="宋体"/>
          <w:b/>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eastAsia" w:ascii="宋体" w:hAnsi="宋体" w:eastAsia="宋体" w:cs="宋体"/>
          <w:b/>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eastAsia" w:ascii="宋体" w:hAnsi="宋体" w:eastAsia="宋体" w:cs="宋体"/>
          <w:b/>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eastAsia" w:ascii="宋体" w:hAnsi="宋体" w:eastAsia="宋体" w:cs="宋体"/>
          <w:b/>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eastAsia" w:ascii="宋体" w:hAnsi="宋体" w:eastAsia="宋体" w:cs="宋体"/>
          <w:b/>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eastAsia" w:ascii="宋体" w:hAnsi="宋体" w:eastAsia="宋体" w:cs="宋体"/>
          <w:b/>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eastAsia" w:ascii="宋体" w:hAnsi="宋体" w:eastAsia="宋体" w:cs="宋体"/>
          <w:b/>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eastAsia" w:ascii="宋体" w:hAnsi="宋体" w:eastAsia="宋体" w:cs="宋体"/>
          <w:b/>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eastAsia" w:ascii="宋体" w:hAnsi="宋体" w:eastAsia="宋体" w:cs="宋体"/>
          <w:b/>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eastAsia" w:ascii="宋体" w:hAnsi="宋体" w:eastAsia="宋体" w:cs="宋体"/>
          <w:b/>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eastAsia" w:ascii="宋体" w:hAnsi="宋体" w:eastAsia="宋体" w:cs="宋体"/>
          <w:b/>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eastAsia" w:ascii="宋体" w:hAnsi="宋体" w:eastAsia="宋体" w:cs="宋体"/>
          <w:b/>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eastAsia" w:ascii="宋体" w:hAnsi="宋体" w:eastAsia="宋体" w:cs="宋体"/>
          <w:b/>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eastAsia" w:ascii="宋体" w:hAnsi="宋体" w:eastAsia="宋体" w:cs="宋体"/>
          <w:b/>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eastAsia" w:ascii="宋体" w:hAnsi="宋体" w:eastAsia="宋体" w:cs="宋体"/>
          <w:b/>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eastAsia" w:ascii="宋体" w:hAnsi="宋体" w:eastAsia="宋体" w:cs="宋体"/>
          <w:b/>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eastAsia" w:ascii="宋体" w:hAnsi="宋体" w:eastAsia="宋体" w:cs="宋体"/>
          <w:b/>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eastAsia" w:ascii="宋体" w:hAnsi="宋体" w:eastAsia="宋体" w:cs="宋体"/>
          <w:b/>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eastAsia" w:ascii="宋体" w:hAnsi="宋体" w:eastAsia="宋体" w:cs="宋体"/>
          <w:b/>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注释：</w:t>
      </w:r>
    </w:p>
    <w:p>
      <w:pPr>
        <w:pStyle w:val="2"/>
        <w:numPr>
          <w:ilvl w:val="0"/>
          <w:numId w:val="1"/>
        </w:numPr>
        <w:jc w:val="left"/>
        <w:rPr>
          <w:rFonts w:hint="eastAsia" w:ascii="宋体" w:hAnsi="宋体" w:eastAsia="宋体" w:cs="宋体"/>
          <w:sz w:val="21"/>
          <w:szCs w:val="21"/>
          <w:lang w:val="en-US" w:eastAsia="zh-CN"/>
        </w:rPr>
      </w:pPr>
      <w:r>
        <w:rPr>
          <w:rFonts w:hint="eastAsia" w:ascii="宋体" w:hAnsi="宋体" w:eastAsia="宋体" w:cs="宋体"/>
          <w:b/>
          <w:bCs/>
          <w:color w:val="000000" w:themeColor="text1"/>
          <w:sz w:val="21"/>
          <w:szCs w:val="21"/>
          <w:lang w:val="en-US" w:eastAsia="zh-CN"/>
          <w14:textFill>
            <w14:solidFill>
              <w14:schemeClr w14:val="tx1"/>
            </w14:solidFill>
          </w14:textFill>
        </w:rPr>
        <w:t>三措：</w:t>
      </w:r>
    </w:p>
    <w:p>
      <w:pPr>
        <w:pStyle w:val="2"/>
        <w:numPr>
          <w:ilvl w:val="0"/>
          <w:numId w:val="0"/>
        </w:numPr>
        <w:jc w:val="left"/>
        <w:rPr>
          <w:rFonts w:hint="eastAsia" w:ascii="宋体" w:hAnsi="宋体" w:eastAsia="宋体" w:cs="宋体"/>
          <w:sz w:val="21"/>
          <w:szCs w:val="21"/>
          <w:lang w:val="en-US" w:eastAsia="zh-CN"/>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组织措施、技术措施、安全措施。</w:t>
      </w:r>
    </w:p>
    <w:p>
      <w:pPr>
        <w:pStyle w:val="2"/>
        <w:numPr>
          <w:ilvl w:val="0"/>
          <w:numId w:val="1"/>
        </w:numPr>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八条禁令：</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（一）遵守发包单位的各项管理规定，接受安全管理、监督和指导，落实各类隐患问题的整改。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（二）辨识作业现场安全风险，制定安全作业规程和作业方案，明确作业内容、作业范围、作业步骤、安全管理要求及风险防范措施等。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（三）设置专职安全管理人员，做好现场安全检查和安全管理工作，落实作业风险防范措施。进入作业现场前，配合发包单位落实安全培训教育和现场安全交底。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（四）确保进入现场的工机具设备达到安全标准的要求。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（五）制定作业现场的生产安全事故应急预案，参与发包单位组织的应急演练，及时向发包单位报告作业过程中发生的事故、未遂事故以及不安全的状况。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（六）按规定为作业人员配备达到安全标准要求的劳动防护用品和职业病防护设备、设施。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（七）依法为作业人员进行职业健康体检并缴纳工伤等社会保险，主动向发包单位提供投保有效证明材料。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方正黑体_GBK" w:cs="Times New Roman"/>
          <w:b w:val="0"/>
          <w:bCs w:val="0"/>
          <w:color w:val="000000" w:themeColor="text1"/>
          <w:sz w:val="31"/>
          <w:szCs w:val="31"/>
          <w:lang w:val="en-US" w:eastAsia="zh-CN"/>
          <w14:textFill>
            <w14:solidFill>
              <w14:schemeClr w14:val="tx1"/>
            </w14:solidFill>
          </w14:textFill>
        </w:rPr>
      </w:pPr>
      <w:r>
        <w:rPr>
          <w:rFonts w:hint="eastAsia" w:ascii="宋体" w:hAnsi="宋体" w:eastAsia="宋体" w:cs="宋体"/>
          <w:sz w:val="21"/>
          <w:szCs w:val="21"/>
          <w:lang w:val="en-US" w:eastAsia="zh-CN"/>
        </w:rPr>
        <w:t>（八）承担法律、法规及规章规定的其他职责。</w:t>
      </w:r>
    </w:p>
    <w:p>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default" w:ascii="Times New Roman" w:hAnsi="Times New Roman" w:eastAsia="方正黑体_GBK" w:cs="Times New Roman"/>
          <w:b w:val="0"/>
          <w:bCs w:val="0"/>
          <w:color w:val="000000" w:themeColor="text1"/>
          <w:sz w:val="31"/>
          <w:szCs w:val="3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eastAsia" w:ascii="方正仿宋_GBK" w:hAnsi="方正仿宋_GBK" w:eastAsia="方正仿宋_GBK" w:cs="方正仿宋_GBK"/>
          <w:b w:val="0"/>
          <w:bCs w:val="0"/>
          <w:color w:val="000000" w:themeColor="text1"/>
          <w:sz w:val="31"/>
          <w:szCs w:val="31"/>
          <w:lang w:val="en-US" w:eastAsia="zh-CN"/>
          <w14:textFill>
            <w14:solidFill>
              <w14:schemeClr w14:val="tx1"/>
            </w14:solidFill>
          </w14:textFill>
        </w:rPr>
      </w:pPr>
    </w:p>
    <w:sectPr>
      <w:footerReference r:id="rId3" w:type="default"/>
      <w:pgSz w:w="11906" w:h="16838"/>
      <w:pgMar w:top="1701" w:right="1474" w:bottom="1531"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Theme="minorEastAsia"/>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160071"/>
    <w:multiLevelType w:val="singleLevel"/>
    <w:tmpl w:val="3316007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304BEE"/>
    <w:rsid w:val="00047D12"/>
    <w:rsid w:val="04CC3ADC"/>
    <w:rsid w:val="052E4CF5"/>
    <w:rsid w:val="09456588"/>
    <w:rsid w:val="095B56A8"/>
    <w:rsid w:val="0B963DC0"/>
    <w:rsid w:val="0CA737D5"/>
    <w:rsid w:val="0DEE5FD6"/>
    <w:rsid w:val="0E7F30FB"/>
    <w:rsid w:val="0F0C1FDB"/>
    <w:rsid w:val="12383112"/>
    <w:rsid w:val="12EF760E"/>
    <w:rsid w:val="135F206E"/>
    <w:rsid w:val="13E60F63"/>
    <w:rsid w:val="15E23053"/>
    <w:rsid w:val="182C6BE3"/>
    <w:rsid w:val="1A475ACA"/>
    <w:rsid w:val="1C384041"/>
    <w:rsid w:val="22F84EEE"/>
    <w:rsid w:val="24C27205"/>
    <w:rsid w:val="26C32B62"/>
    <w:rsid w:val="26FE39C3"/>
    <w:rsid w:val="27C40FFA"/>
    <w:rsid w:val="2BB90F90"/>
    <w:rsid w:val="2C8F7D79"/>
    <w:rsid w:val="2E4E6A84"/>
    <w:rsid w:val="30DE7DF6"/>
    <w:rsid w:val="36B73744"/>
    <w:rsid w:val="436C6603"/>
    <w:rsid w:val="43AF6678"/>
    <w:rsid w:val="4B304BEE"/>
    <w:rsid w:val="4CCB6378"/>
    <w:rsid w:val="54EB3100"/>
    <w:rsid w:val="599A14ED"/>
    <w:rsid w:val="5A307F33"/>
    <w:rsid w:val="5CB572F0"/>
    <w:rsid w:val="6129536D"/>
    <w:rsid w:val="615D5386"/>
    <w:rsid w:val="65263330"/>
    <w:rsid w:val="661357B3"/>
    <w:rsid w:val="66480EA7"/>
    <w:rsid w:val="66C85766"/>
    <w:rsid w:val="6720120F"/>
    <w:rsid w:val="672C3830"/>
    <w:rsid w:val="681178AC"/>
    <w:rsid w:val="69A068EC"/>
    <w:rsid w:val="6AE07707"/>
    <w:rsid w:val="6B736613"/>
    <w:rsid w:val="714B0D57"/>
    <w:rsid w:val="71A60262"/>
    <w:rsid w:val="71C37A80"/>
    <w:rsid w:val="721D1E4B"/>
    <w:rsid w:val="72FA6594"/>
    <w:rsid w:val="73973708"/>
    <w:rsid w:val="76BF2A15"/>
    <w:rsid w:val="77191128"/>
    <w:rsid w:val="79DA0010"/>
    <w:rsid w:val="7D614B02"/>
    <w:rsid w:val="7EE54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2">
    <w:name w:val="heading 3"/>
    <w:basedOn w:val="1"/>
    <w:next w:val="1"/>
    <w:qFormat/>
    <w:uiPriority w:val="0"/>
    <w:pPr>
      <w:spacing w:line="572" w:lineRule="exact"/>
      <w:jc w:val="center"/>
      <w:outlineLvl w:val="2"/>
    </w:pPr>
    <w:rPr>
      <w:rFonts w:hint="eastAsia" w:ascii="宋体" w:hAnsi="宋体" w:eastAsia="方正小标宋简体" w:cs="宋体"/>
      <w:kern w:val="0"/>
      <w:sz w:val="44"/>
      <w:szCs w:val="27"/>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spacing w:line="500" w:lineRule="exact"/>
      <w:ind w:right="8" w:rightChars="8" w:firstLine="640"/>
    </w:pPr>
    <w:rPr>
      <w:rFonts w:ascii="楷体_GB2312" w:hAnsi="Calibri" w:eastAsia="楷体_GB2312" w:cs="Times New Roman"/>
      <w:sz w:val="21"/>
      <w:szCs w:val="32"/>
    </w:rPr>
  </w:style>
  <w:style w:type="paragraph" w:styleId="5">
    <w:name w:val="Body Text"/>
    <w:basedOn w:val="1"/>
    <w:next w:val="6"/>
    <w:semiHidden/>
    <w:qFormat/>
    <w:uiPriority w:val="0"/>
    <w:pPr>
      <w:snapToGrid w:val="0"/>
      <w:spacing w:line="480" w:lineRule="exact"/>
      <w:jc w:val="center"/>
    </w:pPr>
    <w:rPr>
      <w:rFonts w:ascii="华文中宋" w:hAnsi="华文中宋" w:eastAsia="华文中宋"/>
      <w:b/>
      <w:bCs/>
      <w:sz w:val="44"/>
    </w:rPr>
  </w:style>
  <w:style w:type="paragraph" w:styleId="6">
    <w:name w:val="Title"/>
    <w:basedOn w:val="1"/>
    <w:next w:val="1"/>
    <w:qFormat/>
    <w:uiPriority w:val="0"/>
    <w:pPr>
      <w:keepNext w:val="0"/>
      <w:keepLines w:val="0"/>
      <w:widowControl w:val="0"/>
      <w:suppressLineNumbers w:val="0"/>
      <w:spacing w:before="0" w:beforeAutospacing="0" w:after="0" w:afterAutospacing="0" w:line="0" w:lineRule="atLeast"/>
      <w:ind w:left="0" w:right="0"/>
      <w:jc w:val="center"/>
    </w:pPr>
    <w:rPr>
      <w:rFonts w:ascii="Arial" w:hAnsi="Arial" w:eastAsia="黑体" w:cs="Arial"/>
      <w:kern w:val="2"/>
      <w:sz w:val="52"/>
      <w:szCs w:val="52"/>
      <w:lang w:val="en-US" w:eastAsia="zh-CN" w:bidi="ar"/>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customStyle="1" w:styleId="13">
    <w:name w:val="font51"/>
    <w:basedOn w:val="11"/>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金湾区</Company>
  <Pages>4</Pages>
  <Words>293</Words>
  <Characters>310</Characters>
  <Lines>0</Lines>
  <Paragraphs>0</Paragraphs>
  <TotalTime>0</TotalTime>
  <ScaleCrop>false</ScaleCrop>
  <LinksUpToDate>false</LinksUpToDate>
  <CharactersWithSpaces>310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2025-11-18T02:45:00Z</dcterms:created>
  <dc:creator>阿杰</dc:creator>
  <cp:lastModifiedBy>xuhsh5-L</cp:lastModifiedBy>
  <cp:lastPrinted>2025-12-12T06:25:00Z</cp:lastPrinted>
  <dcterms:modified xsi:type="dcterms:W3CDTF">2026-04-23T06:25:32Z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B78AA06E1E3847CB90687723C1AAB732</vt:lpwstr>
  </property>
  <property fmtid="{D5CDD505-2E9C-101B-9397-08002B2CF9AE}" pid="4" name="KSOTemplateDocerSaveRecord">
    <vt:lpwstr>eyJoZGlkIjoiMjZjOWY3OTUyYzllMzk3ODQzYjJjY2YzMWIwMGQ1ZGYiLCJ1c2VySWQiOiIyMDY1MjI3NjIifQ==</vt:lpwstr>
  </property>
</Properties>
</file>