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补遗/澄清</w:t>
      </w:r>
    </w:p>
    <w:p>
      <w:pPr>
        <w:spacing w:line="300" w:lineRule="atLeast"/>
        <w:ind w:right="0" w:rightChars="0"/>
        <w:rPr>
          <w:rFonts w:hint="eastAsia" w:ascii="仿宋" w:hAnsi="仿宋" w:eastAsia="仿宋" w:cs="仿宋"/>
          <w:b/>
          <w:sz w:val="24"/>
          <w:szCs w:val="24"/>
          <w:highlight w:val="none"/>
          <w:lang w:val="en-US" w:eastAsia="zh-CN"/>
        </w:rPr>
      </w:pPr>
    </w:p>
    <w:p>
      <w:pPr>
        <w:spacing w:line="300" w:lineRule="atLeast"/>
        <w:ind w:left="1200" w:right="0" w:rightChars="0" w:hanging="1200" w:hangingChars="5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项目名称：海油发展-湛江区域中心-工程技术公司DPC600W水冷变频系统原材料采购</w:t>
      </w:r>
    </w:p>
    <w:p>
      <w:pPr>
        <w:spacing w:line="300" w:lineRule="atLeast"/>
        <w:ind w:right="0" w:rightChars="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询价</w:t>
      </w:r>
      <w:r>
        <w:rPr>
          <w:rFonts w:hint="eastAsia" w:ascii="仿宋" w:hAnsi="仿宋" w:eastAsia="仿宋" w:cs="仿宋"/>
          <w:b w:val="0"/>
          <w:bCs/>
          <w:sz w:val="24"/>
          <w:szCs w:val="24"/>
          <w:highlight w:val="none"/>
        </w:rPr>
        <w:t>编号：</w:t>
      </w:r>
      <w:r>
        <w:rPr>
          <w:rFonts w:hint="eastAsia" w:ascii="仿宋" w:hAnsi="仿宋" w:eastAsia="仿宋" w:cs="仿宋"/>
          <w:b w:val="0"/>
          <w:bCs/>
          <w:sz w:val="24"/>
          <w:szCs w:val="24"/>
          <w:highlight w:val="none"/>
          <w:lang w:val="en-US" w:eastAsia="zh-CN"/>
        </w:rPr>
        <w:t>GKXJ-2025-GC-3245/01</w:t>
      </w:r>
    </w:p>
    <w:p>
      <w:pPr>
        <w:spacing w:line="420" w:lineRule="exact"/>
        <w:ind w:right="-454" w:rightChars="-162"/>
        <w:jc w:val="both"/>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澄清与修改</w:t>
      </w:r>
      <w:r>
        <w:rPr>
          <w:rFonts w:hint="eastAsia" w:ascii="仿宋" w:hAnsi="仿宋" w:eastAsia="仿宋" w:cs="仿宋"/>
          <w:b w:val="0"/>
          <w:bCs/>
          <w:sz w:val="24"/>
          <w:szCs w:val="24"/>
          <w:highlight w:val="none"/>
        </w:rPr>
        <w:t>编号：0</w:t>
      </w:r>
      <w:r>
        <w:rPr>
          <w:rFonts w:hint="eastAsia" w:ascii="仿宋" w:hAnsi="仿宋" w:eastAsia="仿宋" w:cs="仿宋"/>
          <w:b w:val="0"/>
          <w:bCs/>
          <w:sz w:val="24"/>
          <w:szCs w:val="24"/>
          <w:highlight w:val="none"/>
          <w:lang w:val="en-US" w:eastAsia="zh-CN"/>
        </w:rPr>
        <w:t>1</w:t>
      </w:r>
    </w:p>
    <w:p>
      <w:pPr>
        <w:widowControl/>
        <w:spacing w:after="156" w:afterLines="50" w:line="420" w:lineRule="exact"/>
        <w:rPr>
          <w:rFonts w:hint="eastAsia" w:ascii="仿宋" w:hAnsi="仿宋" w:eastAsia="仿宋" w:cs="仿宋"/>
          <w:sz w:val="24"/>
          <w:szCs w:val="24"/>
          <w:highlight w:val="none"/>
        </w:rPr>
      </w:pPr>
      <w:bookmarkStart w:id="0" w:name="_GoBack"/>
      <w:bookmarkEnd w:id="0"/>
    </w:p>
    <w:p>
      <w:pPr>
        <w:widowControl/>
        <w:spacing w:after="156"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各</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人：</w:t>
      </w:r>
    </w:p>
    <w:p>
      <w:pPr>
        <w:widowControl/>
        <w:numPr>
          <w:ilvl w:val="0"/>
          <w:numId w:val="1"/>
        </w:numPr>
        <w:spacing w:after="156" w:afterLines="50"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系统商务评审指标比较笼统，</w:t>
      </w:r>
      <w:r>
        <w:rPr>
          <w:rFonts w:hint="eastAsia" w:ascii="仿宋" w:hAnsi="仿宋" w:eastAsia="仿宋" w:cs="仿宋"/>
          <w:sz w:val="24"/>
          <w:szCs w:val="24"/>
          <w:highlight w:val="none"/>
        </w:rPr>
        <w:t>现对</w:t>
      </w:r>
      <w:r>
        <w:rPr>
          <w:rFonts w:hint="eastAsia" w:ascii="仿宋" w:hAnsi="仿宋" w:eastAsia="仿宋" w:cs="仿宋"/>
          <w:sz w:val="24"/>
          <w:szCs w:val="24"/>
          <w:highlight w:val="none"/>
          <w:lang w:val="en-US" w:eastAsia="zh-CN"/>
        </w:rPr>
        <w:t>商务评审项明确如下（与询价文件一致）</w:t>
      </w:r>
      <w:r>
        <w:rPr>
          <w:rFonts w:hint="eastAsia" w:ascii="仿宋" w:hAnsi="仿宋" w:eastAsia="仿宋" w:cs="仿宋"/>
          <w:sz w:val="24"/>
          <w:szCs w:val="24"/>
          <w:highlight w:val="none"/>
        </w:rPr>
        <w:t>：</w:t>
      </w:r>
    </w:p>
    <w:tbl>
      <w:tblPr>
        <w:tblStyle w:val="3"/>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825"/>
        <w:gridCol w:w="8550"/>
        <w:gridCol w:w="1075"/>
        <w:gridCol w:w="725"/>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评审因素</w:t>
            </w:r>
          </w:p>
        </w:tc>
        <w:tc>
          <w:tcPr>
            <w:tcW w:w="855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评审标准</w:t>
            </w:r>
          </w:p>
        </w:tc>
        <w:tc>
          <w:tcPr>
            <w:tcW w:w="107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指标类别</w:t>
            </w:r>
          </w:p>
        </w:tc>
        <w:tc>
          <w:tcPr>
            <w:tcW w:w="7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9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★应答人名称</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与营业执照一致</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★报价有效期</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报价截止之日起【90】日历日内保持有效；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★选择性报价</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本次采购不接受选择性报价或附加条件的报价。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★报价唯一</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能有一个有效报价，本次采购不接受选择性报价或附加条件的报价，不接受备选方案。除非国家税法修改，报价表中标明的价格和增值税税率在合同执行过程中是固定不变的，不得以任何理由予以变更。以可调整的价格提交的将作为非响应性应答而予以拒绝。</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★围标串标</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有以下情形之一的，视为应答人相互串通应答，并否决所有涉及的应答： a) 不同应答人的应答文件由同一单位或者个人编制，且应答人不能合理说明的，例如：不同应答人在集团公司数字化供应链平台上记录的文件制作机器码、文件创建标识码和应答电脑的MAC地址内容任何一项一致的；不同应答人的应答文件作者名称（除Admin、经确认为系统自动生成的作者名称）异常一致，且应答人不能合理说明的； b) 不同应答人委托同一单位或者个人办理应答事宜：例如：不同应答人在数字化供应链平台上的电子应答文件记录的应答文件上传IP地址异常一致且不属于中国海油网络IP范围，且应答人不能合理说明的。 c) 不同应答人的应答文件载明的项目管理成员为同一人，且应答人不能合理说明的。 d) 不同应答人的应答文件异常一致或者存在2处以上一致性错误；或者投标报价呈规律性差异的项数达到报价清单的50%以上，且应答人不能合理说明的。 e) 不同应答人的应答文件相互混装，且应答人不能合理说明的。f）不同应答人在数字化供应链平台上的上传应答文件联系人或联系电话一致，且应答人不能合理说明的。</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★报价文件签字盖章</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法定代表人（单位负责人）或其委托代理人签字并加盖单位章。由法定代表人（单位负责人）签字的，应附法定代表人（单位负责人）身份证明，由代理人签字的，应在提供法定代表人（单位负责人）身份证明基础上，补充提供授权委托书。</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★报价文件格式</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符合附件3：报价单格式的规定；</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★商务资格</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1.营业执照：应答人具有合法有效的企业法人营业执照、税务登记证及组织机构代码证 或证照合一的营业执照，应答时需提供原件扫描件（原件备查）。 应答人为事业单位的，应具有合法有效的事业单位法人证书，应答时需提供原件扫描件（原件备查）。应答人为分公司的，应具有合法有效的营业执照和上级法人单位授权书，分 公司与上级法人单位只可一家参与应答，同时参与应答的，应答均无效。2.法定代表人（单位负责人）身份证明。3.法定代表人授权委托书（如涉及）</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★股权证明文件</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股权证明文件：应答人应在应答文件中提供其公司章程或其他能够体现出资人、股东信息的法定文件、第三方网站查询记录截图，此证明文件将作为评标/评审参与应答供应商是否存在关联关系时的依据。备注：如应答人未提供或提供文件无法体现出资人、股东信息的以及与其他应答人存在关联关系的，都将影响评审结果。</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★信誉要求</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答人应提供《5.7：供应商承诺书》，应答人应按照模版格式，对涉及信誉情形进行承诺，并加盖单位章。如应答人未提供或不符合填报要求以及无法满足承诺项的，都将影响评审结果。（备注：评审时评委通过网上查询结果进行评审，如查询不合格则废标处理。）</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★应答人或应答人所提供的第三方不得存在的其他情形</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被中国海洋石油集团有限公司在集团范围内进行风险提示，且在中国海洋石油集团有限公司《中国海油供应链数字化平台》中被采购冻结，进入调查程序的；2.被中国海洋石油集团有限公司及所属单位处以“禁用”处罚，且仍在处罚期内或处罚期满但在系统中的供应商档案中的“档案状态”为“受控”、“业务状态”为“采购冻结”的。</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7"/>
                <w:lang w:val="en-US" w:eastAsia="zh-CN" w:bidi="ar"/>
              </w:rPr>
              <w:t>制造商要求</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本次采购仅允许制造商参与（如适用）。应答人应严格按照本次采购内容界定供应商属性，如为制造商，须按照本《询价文件》提供的格式填写</w:t>
            </w:r>
            <w:r>
              <w:rPr>
                <w:rStyle w:val="8"/>
                <w:lang w:val="en-US" w:eastAsia="zh-CN" w:bidi="ar"/>
              </w:rPr>
              <w:t>《5.7：供应商承诺书》</w:t>
            </w:r>
            <w:r>
              <w:rPr>
                <w:rStyle w:val="7"/>
                <w:lang w:val="en-US" w:eastAsia="zh-CN" w:bidi="ar"/>
              </w:rPr>
              <w:t>，并根据</w:t>
            </w:r>
            <w:r>
              <w:rPr>
                <w:rStyle w:val="8"/>
                <w:lang w:val="en-US" w:eastAsia="zh-CN" w:bidi="ar"/>
              </w:rPr>
              <w:t>《5.8：制造商属性证明书》</w:t>
            </w:r>
            <w:r>
              <w:rPr>
                <w:rStyle w:val="7"/>
                <w:lang w:val="en-US" w:eastAsia="zh-CN" w:bidi="ar"/>
              </w:rPr>
              <w:t>中的要求提供相关证明材料。</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付款条款</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诺付款方式为先货后款。银行电汇。卖方在合同规定的期限内将货物运至交货地点，双方签署到货检验证明。验收合格后，卖方向买方提供有效增值税专用发票及相关支持文件。如果买方对卖方出具的有效全额增值税专用发票和提供的相关支持文件无异议，自收到卖方合格发票之日起45日内向卖方支付合同总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开具增值税专用发票，税率为13%。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交货期</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合同签订之日起</w:t>
            </w:r>
            <w:r>
              <w:rPr>
                <w:rStyle w:val="9"/>
                <w:rFonts w:eastAsia="宋体"/>
                <w:lang w:val="en-US" w:eastAsia="zh-CN" w:bidi="ar"/>
              </w:rPr>
              <w:t>20</w:t>
            </w:r>
            <w:r>
              <w:rPr>
                <w:rFonts w:hint="eastAsia" w:ascii="宋体" w:hAnsi="宋体" w:eastAsia="宋体" w:cs="宋体"/>
                <w:i w:val="0"/>
                <w:iCs w:val="0"/>
                <w:color w:val="000000"/>
                <w:kern w:val="0"/>
                <w:sz w:val="18"/>
                <w:szCs w:val="18"/>
                <w:u w:val="none"/>
                <w:lang w:val="en-US" w:eastAsia="zh-CN" w:bidi="ar"/>
              </w:rPr>
              <w:t>天内完成协同设计评审，收到买方设计确认联络函之日起</w:t>
            </w:r>
            <w:r>
              <w:rPr>
                <w:rStyle w:val="9"/>
                <w:rFonts w:eastAsia="宋体"/>
                <w:lang w:val="en-US" w:eastAsia="zh-CN" w:bidi="ar"/>
              </w:rPr>
              <w:t>35</w:t>
            </w:r>
            <w:r>
              <w:rPr>
                <w:rFonts w:hint="eastAsia" w:ascii="宋体" w:hAnsi="宋体" w:eastAsia="宋体" w:cs="宋体"/>
                <w:i w:val="0"/>
                <w:iCs w:val="0"/>
                <w:color w:val="000000"/>
                <w:kern w:val="0"/>
                <w:sz w:val="18"/>
                <w:szCs w:val="18"/>
                <w:u w:val="none"/>
                <w:lang w:val="en-US" w:eastAsia="zh-CN" w:bidi="ar"/>
              </w:rPr>
              <w:t>天内供货，具体时间节点以买方联络函为准。</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交货地点</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天津市塘沽区海油发展天津海洋装备智能制造基地电气制造厂</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质保期</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货物的质保期为自设备到货验收合格之日起3年。</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8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不得存在国家法规和询价文件明确否决响应的其它条款和要求。</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widowControl/>
        <w:spacing w:after="156" w:afterLines="50" w:line="400" w:lineRule="exact"/>
        <w:ind w:firstLine="559" w:firstLineChars="233"/>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文件的其他内容保持不变。如不同时间发出的澄清函内容不一致，以发出时间在后的澄清函为准。</w:t>
      </w:r>
    </w:p>
    <w:p>
      <w:pPr>
        <w:widowControl/>
        <w:spacing w:after="156" w:afterLines="50" w:line="400" w:lineRule="exact"/>
        <w:ind w:firstLine="559" w:firstLineChars="233"/>
        <w:rPr>
          <w:rFonts w:hint="eastAsia" w:ascii="仿宋" w:hAnsi="仿宋" w:eastAsia="仿宋" w:cs="仿宋"/>
          <w:sz w:val="24"/>
          <w:szCs w:val="24"/>
          <w:highlight w:val="none"/>
        </w:rPr>
      </w:pPr>
      <w:r>
        <w:rPr>
          <w:rFonts w:hint="eastAsia" w:ascii="仿宋" w:hAnsi="仿宋" w:eastAsia="仿宋" w:cs="仿宋"/>
          <w:sz w:val="24"/>
          <w:szCs w:val="24"/>
          <w:highlight w:val="none"/>
        </w:rPr>
        <w:t>以上澄清内容若对</w:t>
      </w:r>
      <w:r>
        <w:rPr>
          <w:rFonts w:hint="eastAsia" w:ascii="仿宋" w:hAnsi="仿宋" w:eastAsia="仿宋" w:cs="仿宋"/>
          <w:sz w:val="24"/>
          <w:szCs w:val="24"/>
          <w:highlight w:val="none"/>
          <w:lang w:eastAsia="zh-CN"/>
        </w:rPr>
        <w:t>应答</w:t>
      </w:r>
      <w:r>
        <w:rPr>
          <w:rFonts w:hint="eastAsia" w:ascii="仿宋" w:hAnsi="仿宋" w:eastAsia="仿宋" w:cs="仿宋"/>
          <w:sz w:val="24"/>
          <w:szCs w:val="24"/>
          <w:highlight w:val="none"/>
        </w:rPr>
        <w:t>人按时提交</w:t>
      </w:r>
      <w:r>
        <w:rPr>
          <w:rFonts w:hint="eastAsia" w:ascii="仿宋" w:hAnsi="仿宋" w:eastAsia="仿宋" w:cs="仿宋"/>
          <w:sz w:val="24"/>
          <w:szCs w:val="24"/>
          <w:highlight w:val="none"/>
          <w:lang w:eastAsia="zh-CN"/>
        </w:rPr>
        <w:t>应答</w:t>
      </w:r>
      <w:r>
        <w:rPr>
          <w:rFonts w:hint="eastAsia" w:ascii="仿宋" w:hAnsi="仿宋" w:eastAsia="仿宋" w:cs="仿宋"/>
          <w:sz w:val="24"/>
          <w:szCs w:val="24"/>
          <w:highlight w:val="none"/>
        </w:rPr>
        <w:t>文件有影响，请在本澄清文件发出之日起1日内书面提出，并说明理由。</w:t>
      </w:r>
    </w:p>
    <w:p>
      <w:pPr>
        <w:pStyle w:val="2"/>
        <w:rPr>
          <w:rFonts w:hint="eastAsia" w:ascii="仿宋" w:hAnsi="仿宋" w:eastAsia="仿宋" w:cs="仿宋"/>
        </w:rPr>
      </w:pPr>
    </w:p>
    <w:p>
      <w:pPr>
        <w:jc w:val="right"/>
        <w:rPr>
          <w:rFonts w:hint="eastAsia" w:ascii="仿宋" w:hAnsi="仿宋" w:eastAsia="仿宋" w:cs="仿宋"/>
          <w:lang w:val="en-US" w:eastAsia="zh-CN"/>
        </w:rPr>
      </w:pPr>
      <w:r>
        <w:rPr>
          <w:rFonts w:hint="eastAsia" w:ascii="仿宋" w:hAnsi="仿宋" w:eastAsia="仿宋" w:cs="仿宋"/>
          <w:b w:val="0"/>
          <w:bCs/>
          <w:sz w:val="24"/>
          <w:szCs w:val="24"/>
          <w:highlight w:val="none"/>
        </w:rPr>
        <w:t>中海油能源发展股份有限公司</w:t>
      </w:r>
      <w:r>
        <w:rPr>
          <w:rFonts w:hint="eastAsia" w:ascii="仿宋" w:hAnsi="仿宋" w:eastAsia="仿宋" w:cs="仿宋"/>
          <w:b w:val="0"/>
          <w:bCs/>
          <w:sz w:val="24"/>
          <w:szCs w:val="24"/>
          <w:highlight w:val="none"/>
          <w:lang w:val="en-US" w:eastAsia="zh-CN"/>
        </w:rPr>
        <w:t>采办共享中心</w:t>
      </w:r>
    </w:p>
    <w:p>
      <w:pPr>
        <w:rPr>
          <w:rFonts w:hint="default" w:ascii="仿宋" w:hAnsi="仿宋" w:eastAsia="仿宋" w:cs="仿宋"/>
          <w:b w:val="0"/>
          <w:bCs/>
          <w:sz w:val="24"/>
          <w:szCs w:val="24"/>
          <w:highlight w:val="none"/>
          <w:lang w:val="en-US" w:eastAsia="zh-CN"/>
        </w:rPr>
      </w:pPr>
      <w:r>
        <w:rPr>
          <w:rFonts w:hint="eastAsia"/>
          <w:lang w:val="en-US" w:eastAsia="zh-CN"/>
        </w:rPr>
        <w:t xml:space="preserve">                                                                              </w:t>
      </w:r>
      <w:r>
        <w:rPr>
          <w:rFonts w:hint="eastAsia" w:ascii="仿宋" w:hAnsi="仿宋" w:eastAsia="仿宋" w:cs="仿宋"/>
          <w:b w:val="0"/>
          <w:bCs/>
          <w:sz w:val="24"/>
          <w:szCs w:val="24"/>
          <w:highlight w:val="none"/>
          <w:lang w:val="en-US" w:eastAsia="zh-CN"/>
        </w:rPr>
        <w:t xml:space="preserve"> 2025年11月10日</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1CB67"/>
    <w:multiLevelType w:val="singleLevel"/>
    <w:tmpl w:val="6061CB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74727"/>
    <w:rsid w:val="11FB6BD2"/>
    <w:rsid w:val="17082321"/>
    <w:rsid w:val="1A643C5B"/>
    <w:rsid w:val="1B193AF0"/>
    <w:rsid w:val="2449510D"/>
    <w:rsid w:val="24695A28"/>
    <w:rsid w:val="4736171A"/>
    <w:rsid w:val="47695B4D"/>
    <w:rsid w:val="53FB4342"/>
    <w:rsid w:val="5D057FB8"/>
    <w:rsid w:val="5F262B5C"/>
    <w:rsid w:val="623124DF"/>
    <w:rsid w:val="66831975"/>
    <w:rsid w:val="776C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Calibri" w:hAnsi="Calibri" w:eastAsia="宋体" w:cs="Times New Roman"/>
      <w:kern w:val="2"/>
      <w:sz w:val="28"/>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spacing w:line="580" w:lineRule="exact"/>
      <w:ind w:firstLine="420" w:firstLineChars="200"/>
    </w:pPr>
    <w:rPr>
      <w:rFonts w:hint="eastAsia" w:ascii="仿宋_GB2312" w:hAnsi="Calibri" w:eastAsia="仿宋_GB2312" w:cs="Times New Roman"/>
      <w:sz w:val="32"/>
      <w:szCs w:val="20"/>
    </w:rPr>
  </w:style>
  <w:style w:type="character" w:customStyle="1" w:styleId="5">
    <w:name w:val="font01"/>
    <w:basedOn w:val="4"/>
    <w:qFormat/>
    <w:uiPriority w:val="0"/>
    <w:rPr>
      <w:rFonts w:hint="eastAsia" w:ascii="宋体" w:hAnsi="宋体" w:eastAsia="宋体" w:cs="宋体"/>
      <w:b/>
      <w:bCs/>
      <w:color w:val="000000"/>
      <w:sz w:val="18"/>
      <w:szCs w:val="18"/>
      <w:u w:val="none"/>
    </w:rPr>
  </w:style>
  <w:style w:type="character" w:customStyle="1" w:styleId="6">
    <w:name w:val="font31"/>
    <w:basedOn w:val="4"/>
    <w:qFormat/>
    <w:uiPriority w:val="0"/>
    <w:rPr>
      <w:rFonts w:hint="eastAsia" w:ascii="宋体" w:hAnsi="宋体" w:eastAsia="宋体" w:cs="宋体"/>
      <w:color w:val="000000"/>
      <w:sz w:val="18"/>
      <w:szCs w:val="18"/>
      <w:u w:val="none"/>
    </w:rPr>
  </w:style>
  <w:style w:type="character" w:customStyle="1" w:styleId="7">
    <w:name w:val="font61"/>
    <w:basedOn w:val="4"/>
    <w:uiPriority w:val="0"/>
    <w:rPr>
      <w:rFonts w:hint="eastAsia" w:ascii="宋体" w:hAnsi="宋体" w:eastAsia="宋体" w:cs="宋体"/>
      <w:color w:val="000000"/>
      <w:sz w:val="18"/>
      <w:szCs w:val="18"/>
      <w:u w:val="none"/>
    </w:rPr>
  </w:style>
  <w:style w:type="character" w:customStyle="1" w:styleId="8">
    <w:name w:val="font81"/>
    <w:basedOn w:val="4"/>
    <w:qFormat/>
    <w:uiPriority w:val="0"/>
    <w:rPr>
      <w:rFonts w:hint="eastAsia" w:ascii="宋体" w:hAnsi="宋体" w:eastAsia="宋体" w:cs="宋体"/>
      <w:b/>
      <w:bCs/>
      <w:color w:val="000000"/>
      <w:sz w:val="18"/>
      <w:szCs w:val="18"/>
      <w:u w:val="none"/>
    </w:rPr>
  </w:style>
  <w:style w:type="character" w:customStyle="1" w:styleId="9">
    <w:name w:val="font11"/>
    <w:basedOn w:val="4"/>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2025-09-19T02:26:00Z</dcterms:created>
  <dc:creator>admin</dc:creator>
  <cp:lastModifiedBy>admin</cp:lastModifiedBy>
  <dcterms:modified xsi:type="dcterms:W3CDTF">2025-11-10T09:34:26Z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00A00BD809034741B3053576AC77B86E</vt:lpwstr>
  </property>
</Properties>
</file>