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w w:val="99"/>
          <w:highlight w:val="none"/>
        </w:rPr>
      </w:pPr>
      <w:r>
        <w:rPr>
          <w:color w:val="auto"/>
          <w:w w:val="99"/>
          <w:highlight w:val="none"/>
          <w:lang w:eastAsia="zh-CN"/>
        </w:rPr>
        <w:drawing>
          <wp:anchor distT="0" distB="0" distL="114300" distR="114300" simplePos="0" relativeHeight="251659264" behindDoc="1" locked="0" layoutInCell="1" allowOverlap="1">
            <wp:simplePos x="0" y="0"/>
            <wp:positionH relativeFrom="column">
              <wp:posOffset>2348230</wp:posOffset>
            </wp:positionH>
            <wp:positionV relativeFrom="paragraph">
              <wp:posOffset>61595</wp:posOffset>
            </wp:positionV>
            <wp:extent cx="1596390" cy="1438275"/>
            <wp:effectExtent l="0" t="0" r="0" b="0"/>
            <wp:wrapTight wrapText="bothSides">
              <wp:wrapPolygon>
                <wp:start x="7475" y="0"/>
                <wp:lineTo x="2320" y="4577"/>
                <wp:lineTo x="1289" y="6008"/>
                <wp:lineTo x="0" y="8583"/>
                <wp:lineTo x="0" y="15163"/>
                <wp:lineTo x="1289" y="18310"/>
                <wp:lineTo x="1289" y="18882"/>
                <wp:lineTo x="5155" y="21457"/>
                <wp:lineTo x="5928" y="21457"/>
                <wp:lineTo x="11084" y="21457"/>
                <wp:lineTo x="11857" y="21457"/>
                <wp:lineTo x="15465" y="18882"/>
                <wp:lineTo x="15723" y="18310"/>
                <wp:lineTo x="17527" y="13732"/>
                <wp:lineTo x="21394" y="12016"/>
                <wp:lineTo x="21394" y="8869"/>
                <wp:lineTo x="14692" y="4577"/>
                <wp:lineTo x="9537" y="0"/>
                <wp:lineTo x="7475"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rPr>
          <w:color w:val="auto"/>
          <w:w w:val="99"/>
          <w:highlight w:val="none"/>
        </w:rPr>
      </w:pPr>
    </w:p>
    <w:p>
      <w:pPr>
        <w:rPr>
          <w:rFonts w:ascii="微软雅黑" w:hAnsi="微软雅黑" w:eastAsia="微软雅黑"/>
          <w:color w:val="auto"/>
          <w:w w:val="99"/>
          <w:highlight w:val="none"/>
        </w:rPr>
      </w:pPr>
    </w:p>
    <w:p>
      <w:pPr>
        <w:rPr>
          <w:color w:val="auto"/>
          <w:w w:val="99"/>
          <w:highlight w:val="none"/>
          <w:lang w:eastAsia="zh-CN"/>
        </w:rPr>
      </w:pPr>
    </w:p>
    <w:p>
      <w:pPr>
        <w:rPr>
          <w:color w:val="auto"/>
          <w:w w:val="99"/>
          <w:highlight w:val="none"/>
          <w:lang w:eastAsia="zh-CN"/>
        </w:rPr>
      </w:pPr>
    </w:p>
    <w:p>
      <w:pPr>
        <w:rPr>
          <w:color w:val="auto"/>
          <w:w w:val="99"/>
          <w:highlight w:val="none"/>
          <w:lang w:eastAsia="zh-CN"/>
        </w:rPr>
      </w:pPr>
    </w:p>
    <w:p>
      <w:pPr>
        <w:rPr>
          <w:color w:val="auto"/>
          <w:w w:val="99"/>
          <w:highlight w:val="none"/>
          <w:lang w:eastAsia="zh-CN"/>
        </w:rPr>
      </w:pPr>
    </w:p>
    <w:p>
      <w:pPr>
        <w:rPr>
          <w:rFonts w:ascii="微软雅黑" w:hAnsi="微软雅黑" w:eastAsia="微软雅黑"/>
          <w:color w:val="auto"/>
          <w:w w:val="99"/>
          <w:highlight w:val="none"/>
          <w:lang w:eastAsia="zh-CN"/>
        </w:rPr>
      </w:pPr>
    </w:p>
    <w:p>
      <w:pPr>
        <w:jc w:val="center"/>
        <w:rPr>
          <w:rFonts w:ascii="微软雅黑" w:hAnsi="微软雅黑" w:eastAsia="微软雅黑"/>
          <w:color w:val="auto"/>
          <w:w w:val="99"/>
          <w:sz w:val="52"/>
          <w:szCs w:val="52"/>
          <w:highlight w:val="none"/>
          <w:lang w:eastAsia="zh-CN"/>
        </w:rPr>
      </w:pPr>
      <w:r>
        <w:rPr>
          <w:rFonts w:hint="eastAsia" w:ascii="微软雅黑" w:hAnsi="微软雅黑" w:eastAsia="微软雅黑"/>
          <w:color w:val="auto"/>
          <w:w w:val="99"/>
          <w:sz w:val="52"/>
          <w:szCs w:val="52"/>
          <w:highlight w:val="none"/>
          <w:lang w:eastAsia="zh-CN"/>
        </w:rPr>
        <w:t>中海油能源发展股份有限公司</w:t>
      </w:r>
    </w:p>
    <w:p>
      <w:pPr>
        <w:jc w:val="center"/>
        <w:rPr>
          <w:rFonts w:ascii="微软雅黑" w:hAnsi="微软雅黑" w:eastAsia="微软雅黑"/>
          <w:b/>
          <w:color w:val="auto"/>
          <w:w w:val="99"/>
          <w:sz w:val="52"/>
          <w:szCs w:val="52"/>
          <w:highlight w:val="none"/>
          <w:lang w:eastAsia="zh-CN"/>
        </w:rPr>
      </w:pPr>
    </w:p>
    <w:p>
      <w:pPr>
        <w:jc w:val="center"/>
        <w:rPr>
          <w:rFonts w:hint="default" w:ascii="微软雅黑" w:hAnsi="微软雅黑" w:eastAsia="微软雅黑"/>
          <w:b/>
          <w:color w:val="auto"/>
          <w:sz w:val="52"/>
          <w:szCs w:val="52"/>
          <w:highlight w:val="none"/>
          <w:u w:val="none"/>
          <w:lang w:val="en-US" w:eastAsia="zh-CN"/>
        </w:rPr>
      </w:pPr>
      <w:r>
        <w:rPr>
          <w:rFonts w:hint="eastAsia" w:ascii="微软雅黑" w:hAnsi="微软雅黑" w:eastAsia="微软雅黑"/>
          <w:b/>
          <w:color w:val="auto"/>
          <w:sz w:val="52"/>
          <w:szCs w:val="52"/>
          <w:highlight w:val="none"/>
          <w:u w:val="none"/>
          <w:lang w:val="en-US" w:eastAsia="zh-CN"/>
        </w:rPr>
        <w:t>大楼高清可视系统采购</w:t>
      </w:r>
    </w:p>
    <w:p>
      <w:pPr>
        <w:jc w:val="center"/>
        <w:rPr>
          <w:rFonts w:ascii="微软雅黑" w:hAnsi="微软雅黑" w:eastAsia="微软雅黑"/>
          <w:b/>
          <w:color w:val="auto"/>
          <w:w w:val="99"/>
          <w:sz w:val="52"/>
          <w:szCs w:val="52"/>
          <w:highlight w:val="none"/>
          <w:lang w:eastAsia="zh-CN"/>
        </w:rPr>
      </w:pPr>
      <w:r>
        <w:rPr>
          <w:rFonts w:hint="eastAsia" w:ascii="微软雅黑" w:hAnsi="微软雅黑" w:eastAsia="微软雅黑"/>
          <w:b/>
          <w:color w:val="auto"/>
          <w:w w:val="99"/>
          <w:sz w:val="52"/>
          <w:szCs w:val="52"/>
          <w:highlight w:val="none"/>
          <w:lang w:eastAsia="zh-CN"/>
        </w:rPr>
        <w:t>技术要求书</w:t>
      </w:r>
    </w:p>
    <w:p>
      <w:pPr>
        <w:rPr>
          <w:rFonts w:ascii="微软雅黑" w:hAnsi="微软雅黑" w:eastAsia="微软雅黑"/>
          <w:b/>
          <w:color w:val="auto"/>
          <w:w w:val="99"/>
          <w:highlight w:val="none"/>
          <w:lang w:eastAsia="zh-CN"/>
        </w:rPr>
      </w:pPr>
    </w:p>
    <w:p>
      <w:pPr>
        <w:rPr>
          <w:rFonts w:ascii="微软雅黑" w:hAnsi="微软雅黑" w:eastAsia="微软雅黑"/>
          <w:color w:val="auto"/>
          <w:sz w:val="44"/>
          <w:szCs w:val="44"/>
          <w:highlight w:val="none"/>
          <w:lang w:eastAsia="zh-CN"/>
        </w:rPr>
      </w:pPr>
    </w:p>
    <w:p>
      <w:pPr>
        <w:rPr>
          <w:rFonts w:ascii="微软雅黑" w:hAnsi="微软雅黑" w:eastAsia="微软雅黑"/>
          <w:color w:val="auto"/>
          <w:sz w:val="44"/>
          <w:szCs w:val="44"/>
          <w:highlight w:val="none"/>
          <w:lang w:eastAsia="zh-CN"/>
        </w:rPr>
      </w:pPr>
      <w:r>
        <w:rPr>
          <w:rFonts w:hint="eastAsia" w:ascii="微软雅黑" w:hAnsi="微软雅黑" w:eastAsia="微软雅黑"/>
          <w:color w:val="auto"/>
          <w:sz w:val="44"/>
          <w:szCs w:val="44"/>
          <w:highlight w:val="none"/>
          <w:lang w:eastAsia="zh-CN"/>
        </w:rPr>
        <w:t xml:space="preserve">                          </w:t>
      </w:r>
    </w:p>
    <w:p>
      <w:pPr>
        <w:rPr>
          <w:rFonts w:ascii="微软雅黑" w:hAnsi="微软雅黑" w:eastAsia="微软雅黑"/>
          <w:color w:val="auto"/>
          <w:sz w:val="44"/>
          <w:szCs w:val="44"/>
          <w:highlight w:val="none"/>
          <w:lang w:eastAsia="zh-CN"/>
        </w:rPr>
      </w:pPr>
      <w:r>
        <w:rPr>
          <w:rFonts w:ascii="微软雅黑" w:hAnsi="微软雅黑" w:eastAsia="微软雅黑"/>
          <w:color w:val="auto"/>
          <w:sz w:val="44"/>
          <w:szCs w:val="44"/>
          <w:highlight w:val="none"/>
          <w:lang w:eastAsia="zh-CN"/>
        </w:rPr>
        <w:br w:type="page"/>
      </w:r>
    </w:p>
    <w:p>
      <w:pPr>
        <w:pStyle w:val="33"/>
        <w:numPr>
          <w:ilvl w:val="0"/>
          <w:numId w:val="2"/>
        </w:numPr>
        <w:spacing w:before="120" w:after="120"/>
        <w:outlineLvl w:val="0"/>
        <w:rPr>
          <w:rFonts w:hAnsi="宋体"/>
          <w:b/>
          <w:color w:val="auto"/>
          <w:sz w:val="32"/>
          <w:szCs w:val="32"/>
          <w:highlight w:val="none"/>
        </w:rPr>
      </w:pPr>
      <w:bookmarkStart w:id="0" w:name="_Toc13248927"/>
      <w:bookmarkStart w:id="1" w:name="_Toc13249324"/>
      <w:r>
        <w:rPr>
          <w:rFonts w:hint="eastAsia" w:hAnsi="宋体"/>
          <w:b/>
          <w:color w:val="auto"/>
          <w:sz w:val="32"/>
          <w:szCs w:val="32"/>
          <w:highlight w:val="none"/>
        </w:rPr>
        <w:t>项目概况及总体要求</w:t>
      </w:r>
      <w:bookmarkEnd w:id="0"/>
      <w:bookmarkEnd w:id="1"/>
    </w:p>
    <w:p>
      <w:pPr>
        <w:snapToGrid w:val="0"/>
        <w:spacing w:line="360" w:lineRule="auto"/>
        <w:ind w:firstLine="420" w:firstLineChars="200"/>
        <w:rPr>
          <w:rFonts w:ascii="宋体" w:hAnsi="宋体" w:eastAsia="宋体" w:cs="宋体"/>
          <w:color w:val="auto"/>
          <w:sz w:val="21"/>
          <w:szCs w:val="21"/>
          <w:highlight w:val="none"/>
          <w:lang w:eastAsia="zh-CN"/>
        </w:rPr>
      </w:pPr>
      <w:bookmarkStart w:id="2" w:name="_Toc13248928"/>
      <w:bookmarkStart w:id="3" w:name="_Toc13249325"/>
      <w:r>
        <w:rPr>
          <w:rFonts w:hint="eastAsia" w:ascii="宋体" w:hAnsi="宋体" w:eastAsia="宋体" w:cs="宋体"/>
          <w:color w:val="auto"/>
          <w:sz w:val="21"/>
          <w:szCs w:val="21"/>
          <w:highlight w:val="none"/>
          <w:lang w:eastAsia="zh-CN"/>
        </w:rPr>
        <w:t>为满足公司</w:t>
      </w:r>
      <w:r>
        <w:rPr>
          <w:rFonts w:hint="eastAsia" w:ascii="宋体" w:hAnsi="宋体" w:eastAsia="宋体" w:cs="宋体"/>
          <w:color w:val="auto"/>
          <w:sz w:val="21"/>
          <w:szCs w:val="21"/>
          <w:highlight w:val="none"/>
          <w:lang w:val="en-US" w:eastAsia="zh-CN"/>
        </w:rPr>
        <w:t>建设需要</w:t>
      </w:r>
      <w:r>
        <w:rPr>
          <w:rFonts w:hint="eastAsia" w:ascii="宋体" w:hAnsi="宋体" w:eastAsia="宋体" w:cs="宋体"/>
          <w:color w:val="auto"/>
          <w:sz w:val="21"/>
          <w:szCs w:val="21"/>
          <w:highlight w:val="none"/>
          <w:lang w:eastAsia="zh-CN"/>
        </w:rPr>
        <w:t>，中海油信息科技有限公司上海分公司（以下简称：买方），需采购如下物资。</w:t>
      </w:r>
    </w:p>
    <w:p>
      <w:pPr>
        <w:pStyle w:val="33"/>
        <w:numPr>
          <w:ilvl w:val="0"/>
          <w:numId w:val="2"/>
        </w:numPr>
        <w:spacing w:before="120" w:after="120"/>
        <w:outlineLvl w:val="0"/>
        <w:rPr>
          <w:rFonts w:hAnsi="宋体"/>
          <w:b/>
          <w:color w:val="auto"/>
          <w:sz w:val="32"/>
          <w:szCs w:val="32"/>
          <w:highlight w:val="none"/>
        </w:rPr>
      </w:pPr>
      <w:r>
        <w:rPr>
          <w:rFonts w:hint="eastAsia" w:hAnsi="宋体"/>
          <w:b/>
          <w:color w:val="auto"/>
          <w:sz w:val="32"/>
          <w:szCs w:val="32"/>
          <w:highlight w:val="none"/>
        </w:rPr>
        <w:t>需求一览表</w:t>
      </w:r>
      <w:bookmarkEnd w:id="2"/>
      <w:bookmarkEnd w:id="3"/>
    </w:p>
    <w:p>
      <w:pPr>
        <w:pStyle w:val="33"/>
        <w:spacing w:before="120" w:after="120"/>
        <w:outlineLvl w:val="0"/>
        <w:rPr>
          <w:rFonts w:hint="eastAsia" w:hAnsi="宋体"/>
          <w:b/>
          <w:bCs/>
          <w:color w:val="auto"/>
          <w:spacing w:val="2"/>
          <w:sz w:val="21"/>
          <w:szCs w:val="21"/>
          <w:highlight w:val="none"/>
        </w:rPr>
      </w:pPr>
      <w:r>
        <w:rPr>
          <w:rFonts w:hint="eastAsia" w:hAnsi="宋体"/>
          <w:b/>
          <w:bCs/>
          <w:color w:val="auto"/>
          <w:spacing w:val="2"/>
          <w:sz w:val="21"/>
          <w:szCs w:val="21"/>
          <w:highlight w:val="none"/>
        </w:rPr>
        <w:t>2.1 物资清单</w:t>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15"/>
        <w:gridCol w:w="5212"/>
        <w:gridCol w:w="1517"/>
        <w:gridCol w:w="666"/>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60" w:lineRule="auto"/>
              <w:jc w:val="center"/>
              <w:rPr>
                <w:rFonts w:hint="eastAsia" w:ascii="宋体" w:hAnsi="宋体" w:eastAsia="宋体" w:cs="宋体"/>
                <w:color w:val="auto"/>
                <w:sz w:val="21"/>
                <w:szCs w:val="21"/>
                <w:highlight w:val="none"/>
                <w:lang w:eastAsia="zh-CN"/>
              </w:rPr>
            </w:pPr>
            <w:bookmarkStart w:id="4" w:name="_Toc13249326"/>
            <w:bookmarkStart w:id="5" w:name="_Toc13248929"/>
            <w:r>
              <w:rPr>
                <w:rFonts w:hint="eastAsia" w:ascii="宋体" w:hAnsi="宋体" w:eastAsia="宋体" w:cs="宋体"/>
                <w:color w:val="auto"/>
                <w:sz w:val="21"/>
                <w:szCs w:val="21"/>
                <w:highlight w:val="none"/>
                <w:lang w:val="en-US" w:eastAsia="zh-CN"/>
              </w:rPr>
              <w:t>序号</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60" w:lineRule="auto"/>
              <w:ind w:firstLine="420" w:firstLineChars="2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57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2100" w:firstLineChars="10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描述</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品牌</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全彩LED主显示屏</w:t>
            </w:r>
          </w:p>
        </w:tc>
        <w:tc>
          <w:tcPr>
            <w:tcW w:w="257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1.★满屏分辨率（W×H）7680 X 2160，显示尺寸9.6m X 2.7m；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SMD封装（表贴三合一）的全彩显示屏，像素组成1R1G1B，须采用金线封装；为保证灯珠质量，要求采用国内优质品牌（或质量参数及标准相当于国星、宏齐、亿光等金线封装厂家产品），可提供LED灯珠制造商针对本项目对LED全彩屏原厂商的授权，授权上须加盖LED灯珠制造商公章和LED全彩屏原厂商公章。</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3.★像素点间距：1.25mm；箱体为压铸铝合金材质，为一次性整体压铸成型，全金属自然散热结构，无风扇，防尘和静音设计。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4.显示屏静态对比度：≥10000：1。</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5.显示屏亮度调节范围：0~800cd/㎡。应具有手控、自动、程控亮度调节功能。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6.显示屏水平/垂直视角：≥170°。</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7.显示屏色温：3000-10000K可调。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8.显示屏换帧频率：支持50/60Hz；刷新频率：＞3800Hz。</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9.显示屏支持亮、色度逐点一致化校正，（提供具有CNAS、CMA标识的检测报告，提供的检测报告需符合SJ/T11141-2017 LED显示屏通用规范和SJ/T11281-2017 发光二极管（LED）显示屏测试方法）。</w:t>
            </w:r>
          </w:p>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无信号接插件技术：每个平米LED显示模块信号线触点不超过50个连接，以减少线缆接触不良等造成的显示故障，增加可靠性和使用寿命，降低维修成本；（提供具有CNAS、CMA标识的检测报告，提供的检测报告需符合SJ/T11141-2017 LED显示屏通用规范和SJ/T11281-2017 发光二极管（LED）显示屏测试方法）</w:t>
            </w:r>
          </w:p>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11.LED显示屏制造厂商符合商品售后服务管理体系GB/T 27922-2011标准规定的五星级要求，提供证书复印件，并加盖厂商公章；</w:t>
            </w:r>
          </w:p>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12.LED显示屏厂家具有国家认可委员会颁发的CNAS实验室认可证书，提供证书复印件证明，并加盖厂家公章；</w:t>
            </w:r>
          </w:p>
          <w:p>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13.LED显示屏厂家具有音视频智能系统集成工程资质，提供证书复印件，并加盖厂商公章。</w:t>
            </w:r>
          </w:p>
          <w:p>
            <w:pPr>
              <w:pStyle w:val="2"/>
              <w:numPr>
                <w:ilvl w:val="0"/>
                <w:numId w:val="0"/>
              </w:numPr>
              <w:rPr>
                <w:rFonts w:hint="eastAsia"/>
                <w:sz w:val="21"/>
                <w:szCs w:val="21"/>
                <w:highlight w:val="cyan"/>
                <w:lang w:val="en-US" w:eastAsia="zh-CN"/>
              </w:rPr>
            </w:pPr>
            <w:r>
              <w:rPr>
                <w:rFonts w:hint="eastAsia" w:ascii="宋体" w:hAnsi="宋体" w:eastAsia="宋体" w:cs="宋体"/>
                <w:color w:val="auto"/>
                <w:sz w:val="21"/>
                <w:szCs w:val="21"/>
                <w:highlight w:val="none"/>
                <w:lang w:val="en-US" w:eastAsia="zh-CN"/>
              </w:rPr>
              <w:t>14.提供全套辅材。</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等同于</w:t>
            </w:r>
            <w:r>
              <w:rPr>
                <w:rFonts w:hint="eastAsia" w:ascii="宋体" w:hAnsi="宋体" w:eastAsia="宋体" w:cs="宋体"/>
                <w:color w:val="auto"/>
                <w:sz w:val="21"/>
                <w:szCs w:val="21"/>
                <w:highlight w:val="none"/>
                <w:lang w:val="en-US" w:eastAsia="zh-CN"/>
              </w:rPr>
              <w:t>：三思、利亚德、洲明</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系统软件</w:t>
            </w:r>
          </w:p>
        </w:tc>
        <w:tc>
          <w:tcPr>
            <w:tcW w:w="2576"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1.定制调试软件，并根据系统进行测试。</w:t>
            </w:r>
          </w:p>
          <w:p>
            <w:pPr>
              <w:numPr>
                <w:ilvl w:val="0"/>
                <w:numId w:val="0"/>
              </w:numPr>
              <w:snapToGrid w:val="0"/>
              <w:spacing w:line="360" w:lineRule="auto"/>
              <w:rPr>
                <w:rFonts w:hint="default" w:ascii="宋体" w:hAnsi="宋体" w:eastAsia="宋体" w:cs="宋体"/>
                <w:color w:val="auto"/>
                <w:sz w:val="21"/>
                <w:szCs w:val="21"/>
                <w:highlight w:val="cyan"/>
                <w:lang w:val="en-US" w:eastAsia="zh-CN"/>
              </w:rPr>
            </w:pPr>
            <w:r>
              <w:rPr>
                <w:rFonts w:hint="eastAsia" w:ascii="宋体" w:hAnsi="宋体" w:eastAsia="宋体" w:cs="宋体"/>
                <w:color w:val="auto"/>
                <w:sz w:val="21"/>
                <w:szCs w:val="21"/>
                <w:highlight w:val="none"/>
                <w:lang w:val="en-US" w:eastAsia="zh-CN"/>
              </w:rPr>
              <w:t>2.需与全彩LED主显示屏品牌保持一致，提供控制系统软件著作权证书加盖厂家公章。</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等同于：三思、利亚德、洲明</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配电系统</w:t>
            </w:r>
          </w:p>
        </w:tc>
        <w:tc>
          <w:tcPr>
            <w:tcW w:w="257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1.30KW配电，具有过流、短路、过压、欠压保护功能。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2.配电系统采用分步顺序延时启动。</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3.应具备手动/自动两种送电方式并有状态指示。</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4.支持远程控制配电柜开关。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5.支持定时控制功能。</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6.主要器件采用优质产品。</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7.配电柜内安装符合国家标准的防雷设备，并可靠接地，防雷系统接地电阻≤4Ω</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等同于：三思、利亚德、洲明</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钢结构</w:t>
            </w:r>
          </w:p>
        </w:tc>
        <w:tc>
          <w:tcPr>
            <w:tcW w:w="257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根据全彩LED主显示屏的尺寸及项目现场的结构定制。</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等同于：三思、利亚德、洲明</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套</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r>
    </w:tbl>
    <w:p>
      <w:pPr>
        <w:rPr>
          <w:rFonts w:hint="eastAsia" w:hAnsi="宋体"/>
          <w:b/>
          <w:bCs/>
          <w:color w:val="auto"/>
          <w:spacing w:val="2"/>
          <w:sz w:val="21"/>
          <w:szCs w:val="21"/>
          <w:highlight w:val="none"/>
        </w:rPr>
      </w:pPr>
    </w:p>
    <w:p>
      <w:pPr>
        <w:pStyle w:val="33"/>
        <w:spacing w:before="120" w:after="120"/>
        <w:outlineLvl w:val="0"/>
        <w:rPr>
          <w:rFonts w:hAnsi="宋体"/>
          <w:b/>
          <w:bCs/>
          <w:color w:val="auto"/>
          <w:spacing w:val="2"/>
          <w:sz w:val="21"/>
          <w:szCs w:val="21"/>
          <w:highlight w:val="none"/>
        </w:rPr>
      </w:pPr>
      <w:r>
        <w:rPr>
          <w:rFonts w:hint="eastAsia" w:hAnsi="宋体"/>
          <w:b/>
          <w:bCs/>
          <w:color w:val="auto"/>
          <w:spacing w:val="2"/>
          <w:sz w:val="21"/>
          <w:szCs w:val="21"/>
          <w:highlight w:val="none"/>
        </w:rPr>
        <w:t>2.2 送货详细地址：</w:t>
      </w:r>
    </w:p>
    <w:tbl>
      <w:tblPr>
        <w:tblStyle w:val="19"/>
        <w:tblW w:w="5005" w:type="pct"/>
        <w:tblInd w:w="0" w:type="dxa"/>
        <w:tblLayout w:type="autofit"/>
        <w:tblCellMar>
          <w:top w:w="0" w:type="dxa"/>
          <w:left w:w="108" w:type="dxa"/>
          <w:bottom w:w="0" w:type="dxa"/>
          <w:right w:w="108" w:type="dxa"/>
        </w:tblCellMar>
      </w:tblPr>
      <w:tblGrid>
        <w:gridCol w:w="679"/>
        <w:gridCol w:w="2117"/>
        <w:gridCol w:w="4039"/>
        <w:gridCol w:w="1357"/>
        <w:gridCol w:w="1934"/>
      </w:tblGrid>
      <w:tr>
        <w:tblPrEx>
          <w:tblCellMar>
            <w:top w:w="0" w:type="dxa"/>
            <w:left w:w="108" w:type="dxa"/>
            <w:bottom w:w="0" w:type="dxa"/>
            <w:right w:w="108" w:type="dxa"/>
          </w:tblCellMar>
        </w:tblPrEx>
        <w:trPr>
          <w:trHeight w:val="502" w:hRule="atLeast"/>
        </w:trPr>
        <w:tc>
          <w:tcPr>
            <w:tcW w:w="335"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序号</w:t>
            </w:r>
          </w:p>
        </w:tc>
        <w:tc>
          <w:tcPr>
            <w:tcW w:w="1045" w:type="pct"/>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收货</w:t>
            </w:r>
            <w:r>
              <w:rPr>
                <w:rFonts w:hint="eastAsia" w:ascii="宋体" w:hAnsi="宋体" w:eastAsia="宋体" w:cs="宋体"/>
                <w:color w:val="auto"/>
                <w:sz w:val="21"/>
                <w:szCs w:val="21"/>
                <w:highlight w:val="none"/>
                <w:lang w:eastAsia="zh-CN" w:bidi="ar"/>
              </w:rPr>
              <w:t>地点</w:t>
            </w:r>
          </w:p>
        </w:tc>
        <w:tc>
          <w:tcPr>
            <w:tcW w:w="1994" w:type="pct"/>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地址</w:t>
            </w:r>
          </w:p>
        </w:tc>
        <w:tc>
          <w:tcPr>
            <w:tcW w:w="670" w:type="pct"/>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联系人</w:t>
            </w:r>
          </w:p>
        </w:tc>
        <w:tc>
          <w:tcPr>
            <w:tcW w:w="954" w:type="pct"/>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联系电话</w:t>
            </w:r>
          </w:p>
        </w:tc>
      </w:tr>
      <w:tr>
        <w:tblPrEx>
          <w:tblCellMar>
            <w:top w:w="0" w:type="dxa"/>
            <w:left w:w="108" w:type="dxa"/>
            <w:bottom w:w="0" w:type="dxa"/>
            <w:right w:w="108" w:type="dxa"/>
          </w:tblCellMar>
        </w:tblPrEx>
        <w:trPr>
          <w:trHeight w:val="823"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1</w:t>
            </w:r>
          </w:p>
        </w:tc>
        <w:tc>
          <w:tcPr>
            <w:tcW w:w="10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中海油转运大楼</w:t>
            </w:r>
          </w:p>
        </w:tc>
        <w:tc>
          <w:tcPr>
            <w:tcW w:w="19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浙江省舟山市</w:t>
            </w:r>
          </w:p>
        </w:tc>
        <w:tc>
          <w:tcPr>
            <w:tcW w:w="6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曹明瑶</w:t>
            </w:r>
          </w:p>
        </w:tc>
        <w:tc>
          <w:tcPr>
            <w:tcW w:w="9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default" w:ascii="宋体" w:hAnsi="宋体" w:eastAsia="宋体" w:cs="宋体"/>
                <w:color w:val="auto"/>
                <w:sz w:val="21"/>
                <w:szCs w:val="21"/>
                <w:highlight w:val="none"/>
                <w:lang w:val="en-US" w:eastAsia="zh-CN" w:bidi="ar"/>
              </w:rPr>
              <w:t>18265326756</w:t>
            </w:r>
          </w:p>
        </w:tc>
      </w:tr>
      <w:tr>
        <w:tblPrEx>
          <w:tblCellMar>
            <w:top w:w="0" w:type="dxa"/>
            <w:left w:w="108" w:type="dxa"/>
            <w:bottom w:w="0" w:type="dxa"/>
            <w:right w:w="108" w:type="dxa"/>
          </w:tblCellMar>
        </w:tblPrEx>
        <w:trPr>
          <w:trHeight w:val="527"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到货时间</w:t>
            </w:r>
          </w:p>
        </w:tc>
        <w:tc>
          <w:tcPr>
            <w:tcW w:w="4664"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lang w:val="en-US" w:eastAsia="zh-CN"/>
              </w:rPr>
            </w:pPr>
            <w:r>
              <w:rPr>
                <w:rFonts w:hint="eastAsia"/>
                <w:lang w:val="en-US" w:eastAsia="zh-CN"/>
              </w:rPr>
              <w:t>暂定合同签订后20日内送达现场，实际到货时间以书面文件为准。</w:t>
            </w:r>
          </w:p>
          <w:p>
            <w:pPr>
              <w:pStyle w:val="2"/>
              <w:numPr>
                <w:ilvl w:val="0"/>
                <w:numId w:val="0"/>
              </w:numPr>
              <w:ind w:left="420" w:leftChars="0"/>
              <w:rPr>
                <w:rFonts w:hint="default"/>
                <w:lang w:val="en-US" w:eastAsia="zh-CN"/>
              </w:rPr>
            </w:pPr>
            <w:r>
              <w:rPr>
                <w:rFonts w:hint="eastAsia" w:asciiTheme="minorEastAsia" w:hAnsiTheme="minorEastAsia" w:eastAsiaTheme="minorEastAsia" w:cstheme="minorEastAsia"/>
                <w:color w:val="auto"/>
                <w:sz w:val="21"/>
                <w:szCs w:val="21"/>
                <w:lang w:val="en-US" w:eastAsia="zh-CN"/>
              </w:rPr>
              <w:t>（卖方需在发货前【3】日以书面方式通知买方相关发货事宜，未得买方确认，卖方不得发货。）</w:t>
            </w:r>
          </w:p>
        </w:tc>
      </w:tr>
    </w:tbl>
    <w:p>
      <w:pPr>
        <w:spacing w:line="360" w:lineRule="auto"/>
        <w:ind w:firstLine="420" w:firstLineChars="200"/>
        <w:jc w:val="both"/>
        <w:rPr>
          <w:rFonts w:asciiTheme="minorEastAsia" w:hAnsiTheme="minorEastAsia"/>
          <w:color w:val="auto"/>
          <w:sz w:val="21"/>
          <w:szCs w:val="21"/>
          <w:highlight w:val="none"/>
          <w:lang w:eastAsia="zh-CN"/>
        </w:rPr>
      </w:pPr>
    </w:p>
    <w:p>
      <w:pPr>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olor w:val="auto"/>
          <w:sz w:val="21"/>
          <w:szCs w:val="21"/>
          <w:highlight w:val="none"/>
          <w:lang w:eastAsia="zh-CN"/>
        </w:rPr>
        <w:t>注：1、如对</w:t>
      </w:r>
      <w:r>
        <w:rPr>
          <w:rFonts w:hint="eastAsia" w:asciiTheme="minorEastAsia" w:hAnsiTheme="minorEastAsia" w:eastAsiaTheme="minorEastAsia" w:cstheme="minorEastAsia"/>
          <w:color w:val="auto"/>
          <w:sz w:val="21"/>
          <w:szCs w:val="21"/>
          <w:highlight w:val="none"/>
          <w:lang w:eastAsia="zh-CN"/>
        </w:rPr>
        <w:t>清单内设备有疑问，可与技术人员进行沟通；联系人及联系方式：</w:t>
      </w:r>
      <w:r>
        <w:rPr>
          <w:rFonts w:hint="eastAsia" w:asciiTheme="minorEastAsia" w:hAnsiTheme="minorEastAsia" w:eastAsiaTheme="minorEastAsia" w:cstheme="minorEastAsia"/>
          <w:color w:val="auto"/>
          <w:sz w:val="21"/>
          <w:szCs w:val="21"/>
          <w:highlight w:val="none"/>
          <w:lang w:val="en-US" w:eastAsia="zh-CN" w:bidi="ar"/>
        </w:rPr>
        <w:t>刘军 13301655570</w:t>
      </w:r>
    </w:p>
    <w:p>
      <w:pPr>
        <w:numPr>
          <w:ilvl w:val="0"/>
          <w:numId w:val="3"/>
        </w:numPr>
        <w:spacing w:line="360" w:lineRule="auto"/>
        <w:ind w:firstLine="840" w:firstLineChars="4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卖方需提供所供物资的指导安装及调试投用工作。</w:t>
      </w:r>
    </w:p>
    <w:p>
      <w:pPr>
        <w:numPr>
          <w:ilvl w:val="0"/>
          <w:numId w:val="3"/>
        </w:numPr>
        <w:spacing w:line="360" w:lineRule="auto"/>
        <w:ind w:firstLine="840" w:firstLineChars="4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卖方需在发货前</w:t>
      </w:r>
      <w:r>
        <w:rPr>
          <w:rFonts w:hint="eastAsia" w:asciiTheme="minorEastAsia" w:hAnsiTheme="minorEastAsia" w:eastAsiaTheme="minorEastAsia" w:cstheme="minorEastAsia"/>
          <w:color w:val="auto"/>
          <w:sz w:val="21"/>
          <w:szCs w:val="21"/>
          <w:highlight w:val="none"/>
          <w:lang w:eastAsia="zh-CN"/>
        </w:rPr>
        <w:t>【3】日以书面方式通知</w:t>
      </w:r>
      <w:r>
        <w:rPr>
          <w:rFonts w:hint="eastAsia" w:asciiTheme="minorEastAsia" w:hAnsiTheme="minorEastAsia" w:eastAsiaTheme="minorEastAsia" w:cstheme="minorEastAsia"/>
          <w:color w:val="auto"/>
          <w:sz w:val="21"/>
          <w:szCs w:val="21"/>
          <w:highlight w:val="none"/>
          <w:lang w:val="en-US" w:eastAsia="zh-CN"/>
        </w:rPr>
        <w:t>买方相关发货事宜，未得买方确认，卖方不得发货。</w:t>
      </w:r>
    </w:p>
    <w:p>
      <w:pPr>
        <w:pStyle w:val="33"/>
        <w:numPr>
          <w:ilvl w:val="0"/>
          <w:numId w:val="2"/>
        </w:numPr>
        <w:spacing w:before="120" w:after="120"/>
        <w:outlineLvl w:val="0"/>
        <w:rPr>
          <w:rFonts w:hAnsi="宋体"/>
          <w:b/>
          <w:color w:val="auto"/>
          <w:sz w:val="32"/>
          <w:szCs w:val="32"/>
          <w:highlight w:val="none"/>
        </w:rPr>
      </w:pPr>
      <w:r>
        <w:rPr>
          <w:rFonts w:hint="eastAsia" w:hAnsi="宋体"/>
          <w:b/>
          <w:color w:val="auto"/>
          <w:sz w:val="32"/>
          <w:szCs w:val="32"/>
          <w:highlight w:val="none"/>
        </w:rPr>
        <w:t>主要设备技术参数</w:t>
      </w:r>
      <w:r>
        <w:rPr>
          <w:rFonts w:hint="eastAsia" w:hAnsi="宋体"/>
          <w:b/>
          <w:color w:val="auto"/>
          <w:sz w:val="32"/>
          <w:szCs w:val="32"/>
          <w:highlight w:val="none"/>
          <w:lang w:val="en-US" w:eastAsia="zh-CN"/>
        </w:rPr>
        <w:t>及要求</w:t>
      </w:r>
    </w:p>
    <w:p>
      <w:pPr>
        <w:pStyle w:val="4"/>
        <w:numPr>
          <w:ilvl w:val="1"/>
          <w:numId w:val="4"/>
        </w:numPr>
        <w:spacing w:line="360" w:lineRule="auto"/>
        <w:ind w:left="1007" w:leftChars="0" w:firstLineChars="0"/>
        <w:jc w:val="both"/>
        <w:rPr>
          <w:rFonts w:ascii="宋体" w:hAnsi="宋体" w:eastAsia="宋体" w:cs="宋体"/>
          <w:b/>
          <w:bCs/>
          <w:color w:val="auto"/>
          <w:sz w:val="21"/>
          <w:szCs w:val="21"/>
          <w:highlight w:val="none"/>
        </w:rPr>
      </w:pPr>
      <w:bookmarkStart w:id="6" w:name="_Hlk134436493"/>
      <w:r>
        <w:rPr>
          <w:rFonts w:hint="eastAsia" w:ascii="宋体" w:hAnsi="宋体" w:eastAsia="宋体" w:cs="宋体"/>
          <w:b/>
          <w:bCs/>
          <w:color w:val="auto"/>
          <w:sz w:val="21"/>
          <w:szCs w:val="21"/>
          <w:highlight w:val="none"/>
        </w:rPr>
        <w:t>全彩LED主显示屏</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b w:val="0"/>
          <w:bCs w:val="0"/>
          <w:color w:val="auto"/>
          <w:sz w:val="21"/>
          <w:szCs w:val="21"/>
          <w:highlight w:val="none"/>
          <w:lang w:val="fr-FR"/>
        </w:rPr>
      </w:pPr>
      <w:r>
        <w:rPr>
          <w:rFonts w:hint="eastAsia" w:ascii="宋体" w:hAnsi="宋体" w:eastAsia="宋体" w:cs="宋体"/>
          <w:b w:val="0"/>
          <w:bCs w:val="0"/>
          <w:color w:val="auto"/>
          <w:sz w:val="21"/>
          <w:szCs w:val="21"/>
          <w:highlight w:val="none"/>
          <w:lang w:val="fr-FR"/>
        </w:rPr>
        <w:t>★像素间距≤1.25mm像素密度≥640000点/㎡</w:t>
      </w:r>
      <w:r>
        <w:rPr>
          <w:rFonts w:hint="eastAsia" w:ascii="宋体" w:hAnsi="宋体" w:eastAsia="宋体" w:cs="宋体"/>
          <w:b w:val="0"/>
          <w:bCs w:val="0"/>
          <w:color w:val="auto"/>
          <w:sz w:val="21"/>
          <w:szCs w:val="21"/>
          <w:highlight w:val="none"/>
          <w:lang w:val="fr-FR" w:eastAsia="zh-CN"/>
        </w:rPr>
        <w:t>，</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b w:val="0"/>
          <w:bCs w:val="0"/>
          <w:color w:val="auto"/>
          <w:sz w:val="21"/>
          <w:szCs w:val="21"/>
          <w:highlight w:val="none"/>
          <w:lang w:val="fr-FR"/>
        </w:rPr>
      </w:pPr>
      <w:r>
        <w:rPr>
          <w:rFonts w:hint="eastAsia" w:ascii="宋体" w:hAnsi="宋体" w:eastAsia="宋体" w:cs="宋体"/>
          <w:b w:val="0"/>
          <w:bCs w:val="0"/>
          <w:color w:val="auto"/>
          <w:sz w:val="21"/>
          <w:szCs w:val="21"/>
          <w:highlight w:val="none"/>
          <w:lang w:val="fr-FR"/>
        </w:rPr>
        <w:t xml:space="preserve"> 整屏显示尺寸：宽≥9.6米，高≥2.7米；</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b w:val="0"/>
          <w:bCs w:val="0"/>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b w:val="0"/>
          <w:bCs w:val="0"/>
          <w:color w:val="auto"/>
          <w:sz w:val="21"/>
          <w:szCs w:val="21"/>
          <w:highlight w:val="none"/>
          <w:lang w:val="en-US" w:eastAsia="zh-CN"/>
        </w:rPr>
        <w:t>SMD封装（表贴三合一）的全彩显示屏，像素组成1R1G1B，须采用金线封装；为保证灯珠质量，要求采用国内优质品牌（或质量参数及标准相当于国星、宏齐、亿光等金线封装厂家产品），投标时应提供LED灯珠制造商针对本项目对LED全彩屏原厂商的授权，授权上须加盖LED灯珠制造商公章和LED全彩屏原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b w:val="0"/>
          <w:bCs w:val="0"/>
          <w:color w:val="auto"/>
          <w:sz w:val="21"/>
          <w:szCs w:val="21"/>
          <w:highlight w:val="none"/>
          <w:lang w:val="en-US" w:eastAsia="zh-CN"/>
        </w:rPr>
        <w:t>箱</w:t>
      </w:r>
      <w:r>
        <w:rPr>
          <w:rFonts w:hint="eastAsia" w:ascii="宋体" w:hAnsi="宋体" w:eastAsia="宋体" w:cs="宋体"/>
          <w:color w:val="auto"/>
          <w:sz w:val="21"/>
          <w:szCs w:val="21"/>
          <w:highlight w:val="none"/>
          <w:lang w:val="en-US" w:eastAsia="zh-CN"/>
        </w:rPr>
        <w:t>体为压铸铝合金材质，为一次性整体压铸成型，全金属自然散热结构，无风扇，防尘和静音设计，箱体尺寸为600mm*337.5mm。</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具备单点现场维修能力；</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维护方式：支持完全前维护；</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亮度(nit)校正后:≥</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fr-FR"/>
        </w:rPr>
        <w:t>00nits；</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色温:</w:t>
      </w:r>
      <w:r>
        <w:rPr>
          <w:rFonts w:hint="eastAsia" w:ascii="宋体" w:hAnsi="宋体" w:eastAsia="宋体" w:cs="宋体"/>
          <w:color w:val="auto"/>
          <w:sz w:val="21"/>
          <w:szCs w:val="21"/>
          <w:highlight w:val="none"/>
          <w:lang w:val="en-US" w:eastAsia="zh-CN"/>
        </w:rPr>
        <w:t>不小于30</w:t>
      </w:r>
      <w:r>
        <w:rPr>
          <w:rFonts w:hint="eastAsia" w:ascii="宋体" w:hAnsi="宋体" w:eastAsia="宋体" w:cs="宋体"/>
          <w:color w:val="auto"/>
          <w:sz w:val="21"/>
          <w:szCs w:val="21"/>
          <w:highlight w:val="none"/>
          <w:lang w:val="fr-FR"/>
        </w:rPr>
        <w:t>00K-</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lang w:val="fr-FR"/>
        </w:rPr>
        <w:t>K可调，色温为6500K时，100%，75%，50%，25%四档电平白场调节色温误差≤200K；</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对比度:≥</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fr-FR"/>
        </w:rPr>
        <w:t>0000：1，可视角:水平：≥1</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lang w:val="fr-FR"/>
        </w:rPr>
        <w:t>°，垂直：≥1</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lang w:val="fr-FR"/>
        </w:rPr>
        <w:t>°；</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亮度均匀性(校正后):≥99.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fr-FR"/>
        </w:rPr>
        <w:t>%，色度均匀性:±0.001Cx、Cy之内，发光点中心距偏差:＜1.5%；</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像素失控率:≤1/500000，无连续失控点、常亮点，刷新率:≥3840Hz，整屏平整度:≤0.1mm 拼缝:≤0.1mm；</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内部灰度及亮度处理位数：≥24 bit ；</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故障平均修复时间MTTR：≤3分钟，稳定性:支持7×24h连续工作，平均失效间隔工作时间(MTBF)MTBF≥100000小时；</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防火及燃烧：防火：符合UL94标准</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fr-FR"/>
        </w:rPr>
        <w:t>GBT5169.16-2008</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fr-FR"/>
        </w:rPr>
        <w:t>标准，V-0级；</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防火及燃烧：燃烧试验：产品符合GB 8624-2012建筑材及制品燃烧性能分级的B1(B)等级；</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色域覆盖率：DCI-P3色域覆盖率≥100%；NTSC色域覆盖率≥125%；</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噪音：屏前1米≤5dB(A)（实测噪音-实验室本底噪音）；</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default" w:eastAsia="宋体"/>
          <w:lang w:val="en-US" w:eastAsia="zh-CN"/>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en-US" w:eastAsia="zh-CN" w:bidi="ar-SA"/>
        </w:rPr>
        <w:t>全彩LED主显示屏投标时应</w:t>
      </w:r>
      <w:r>
        <w:rPr>
          <w:rFonts w:hint="eastAsia" w:ascii="宋体" w:hAnsi="宋体" w:eastAsia="宋体" w:cs="宋体"/>
          <w:color w:val="auto"/>
          <w:sz w:val="21"/>
          <w:szCs w:val="21"/>
          <w:highlight w:val="none"/>
          <w:lang w:val="fr-FR" w:eastAsia="en-US" w:bidi="ar-SA"/>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en-US" w:eastAsia="zh-CN"/>
        </w:rPr>
        <w:t>显示屏换帧频率：支持50/60Hz；刷新频率：＞3800Hz。</w:t>
      </w:r>
      <w:r>
        <w:rPr>
          <w:rFonts w:hint="eastAsia" w:ascii="宋体" w:hAnsi="宋体" w:eastAsia="宋体" w:cs="宋体"/>
          <w:b w:val="0"/>
          <w:bCs w:val="0"/>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en-US" w:eastAsia="zh-CN"/>
        </w:rPr>
        <w:t>显示屏支持亮、色度逐点一致化校正，投标时应</w:t>
      </w:r>
      <w:r>
        <w:rPr>
          <w:rFonts w:hint="eastAsia" w:ascii="宋体" w:hAnsi="宋体" w:eastAsia="宋体" w:cs="宋体"/>
          <w:color w:val="auto"/>
          <w:sz w:val="21"/>
          <w:szCs w:val="21"/>
          <w:highlight w:val="none"/>
          <w:lang w:val="fr-FR"/>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r>
        <w:rPr>
          <w:rFonts w:hint="eastAsia" w:ascii="宋体" w:hAnsi="宋体" w:eastAsia="宋体" w:cs="宋体"/>
          <w:color w:val="auto"/>
          <w:sz w:val="21"/>
          <w:szCs w:val="21"/>
          <w:highlight w:val="none"/>
          <w:lang w:val="fr-FR"/>
        </w:rPr>
        <w:t>提供的检测报告需符合SJ/T11141-2017 LED显示屏通用规范和SJ/T11281-2017 发光二极管（LED）显示屏测试方法</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无信号接插件技术：每个平米LED显示模块信号线触点不超过50个连接，以减少线缆接触不良等造成的显示故障，增加可靠性和使用寿命，降低维修成本；</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color w:val="auto"/>
          <w:sz w:val="21"/>
          <w:szCs w:val="21"/>
          <w:highlight w:val="none"/>
          <w:lang w:val="fr-FR"/>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r>
        <w:rPr>
          <w:rFonts w:hint="eastAsia" w:ascii="宋体" w:hAnsi="宋体" w:eastAsia="宋体" w:cs="宋体"/>
          <w:color w:val="auto"/>
          <w:sz w:val="21"/>
          <w:szCs w:val="21"/>
          <w:highlight w:val="none"/>
          <w:lang w:val="fr-FR"/>
        </w:rPr>
        <w:t>提供的检测报告需符合SJ/T11141-2017 LED显示屏通用规范和SJ/T11281-2017 发光二极管（LED）显示屏测试方法</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eastAsia="zh-CN"/>
        </w:rPr>
        <w:t>150kHz-30MHz电源端传导骚扰电压：符合GB/T 9254-2008</w:t>
      </w:r>
      <w:r>
        <w:rPr>
          <w:rFonts w:hint="eastAsia" w:ascii="宋体" w:hAnsi="宋体" w:eastAsia="宋体" w:cs="宋体"/>
          <w:color w:val="auto"/>
          <w:sz w:val="21"/>
          <w:szCs w:val="21"/>
          <w:highlight w:val="none"/>
          <w:lang w:val="en-US" w:eastAsia="zh-CN"/>
        </w:rPr>
        <w:t>或GB/T 9254.1-2021</w:t>
      </w:r>
      <w:r>
        <w:rPr>
          <w:rFonts w:hint="eastAsia" w:ascii="宋体" w:hAnsi="宋体" w:eastAsia="宋体" w:cs="宋体"/>
          <w:color w:val="auto"/>
          <w:sz w:val="21"/>
          <w:szCs w:val="21"/>
          <w:highlight w:val="none"/>
          <w:lang w:eastAsia="zh-CN"/>
        </w:rPr>
        <w:t>，classB等级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lang w:eastAsia="zh-CN"/>
        </w:rPr>
        <w:t>；30MHz-1GHz辐射骚扰场强：符合GB/T 9254-2008</w:t>
      </w:r>
      <w:r>
        <w:rPr>
          <w:rFonts w:hint="eastAsia" w:ascii="宋体" w:hAnsi="宋体" w:eastAsia="宋体" w:cs="宋体"/>
          <w:color w:val="auto"/>
          <w:sz w:val="21"/>
          <w:szCs w:val="21"/>
          <w:highlight w:val="none"/>
          <w:lang w:val="en-US" w:eastAsia="zh-CN"/>
        </w:rPr>
        <w:t>或GB/T 9254.1-2021</w:t>
      </w:r>
      <w:r>
        <w:rPr>
          <w:rFonts w:hint="eastAsia" w:ascii="宋体" w:hAnsi="宋体" w:eastAsia="宋体" w:cs="宋体"/>
          <w:color w:val="auto"/>
          <w:sz w:val="21"/>
          <w:szCs w:val="21"/>
          <w:highlight w:val="none"/>
          <w:lang w:eastAsia="zh-CN"/>
        </w:rPr>
        <w:t>，classB等级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color w:val="auto"/>
          <w:sz w:val="21"/>
          <w:szCs w:val="21"/>
          <w:highlight w:val="none"/>
          <w:lang w:eastAsia="zh-CN"/>
        </w:rPr>
        <w:t>提供具有CNAS、CMA标识的检测报告</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检测报告应加盖厂商公章。</w:t>
      </w:r>
      <w:r>
        <w:rPr>
          <w:rFonts w:hint="eastAsia" w:ascii="宋体" w:hAnsi="宋体" w:eastAsia="宋体" w:cs="宋体"/>
          <w:color w:val="auto"/>
          <w:sz w:val="21"/>
          <w:szCs w:val="21"/>
          <w:highlight w:val="none"/>
          <w:lang w:eastAsia="zh-CN"/>
        </w:rPr>
        <w:t>提供的检测报告需符合SJ/T11141-2017 LED显示屏通用规范和SJ/T11281-2017 发光二极管（LED）显示屏测试方法）。</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LED显示屏制造厂商符合商品售后服务管理体系GB/T 27922-2011标准规定的五星级要求，</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color w:val="auto"/>
          <w:sz w:val="21"/>
          <w:szCs w:val="21"/>
          <w:highlight w:val="none"/>
          <w:lang w:val="fr-FR"/>
        </w:rPr>
        <w:t>提供证书复印件</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并加盖厂商公章</w:t>
      </w:r>
      <w:r>
        <w:rPr>
          <w:rFonts w:hint="eastAsia" w:ascii="宋体" w:hAnsi="宋体" w:eastAsia="宋体" w:cs="宋体"/>
          <w:color w:val="auto"/>
          <w:sz w:val="21"/>
          <w:szCs w:val="21"/>
          <w:highlight w:val="none"/>
          <w:lang w:val="fr-FR"/>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LED显示屏厂家具有国家认可委员会颁发的CNAS实验室认可证书，</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color w:val="auto"/>
          <w:sz w:val="21"/>
          <w:szCs w:val="21"/>
          <w:highlight w:val="none"/>
          <w:lang w:val="fr-FR"/>
        </w:rPr>
        <w:t>提供证书复印件证明</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并加盖厂商公章；</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LED显示屏厂家具有国家企业技术中心认证，</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sz w:val="21"/>
          <w:szCs w:val="21"/>
        </w:rPr>
        <w:t>提供证书复印件</w:t>
      </w:r>
      <w:r>
        <w:rPr>
          <w:rFonts w:hint="eastAsia" w:ascii="宋体" w:hAnsi="宋体" w:eastAsia="宋体" w:cs="宋体"/>
          <w:color w:val="auto"/>
          <w:sz w:val="21"/>
          <w:szCs w:val="21"/>
          <w:highlight w:val="none"/>
          <w:lang w:val="fr-FR" w:eastAsia="zh-CN" w:bidi="ar-SA"/>
        </w:rPr>
        <w:t>，</w:t>
      </w:r>
      <w:r>
        <w:rPr>
          <w:rFonts w:hint="eastAsia" w:ascii="宋体" w:hAnsi="宋体" w:eastAsia="宋体" w:cs="宋体"/>
          <w:color w:val="auto"/>
          <w:sz w:val="21"/>
          <w:szCs w:val="21"/>
          <w:highlight w:val="none"/>
          <w:lang w:val="en-US" w:eastAsia="zh-CN" w:bidi="ar-SA"/>
        </w:rPr>
        <w:t>并加盖厂商公章</w:t>
      </w:r>
      <w:r>
        <w:rPr>
          <w:rFonts w:hint="eastAsia" w:ascii="宋体" w:hAnsi="宋体" w:eastAsia="宋体" w:cs="宋体"/>
          <w:sz w:val="21"/>
          <w:szCs w:val="21"/>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pPr>
      <w:r>
        <w:rPr>
          <w:rFonts w:hint="eastAsia" w:ascii="宋体" w:hAnsi="宋体" w:eastAsia="宋体" w:cs="宋体"/>
          <w:b w:val="0"/>
          <w:bCs w:val="0"/>
          <w:color w:val="auto"/>
          <w:sz w:val="21"/>
          <w:szCs w:val="21"/>
          <w:highlight w:val="none"/>
          <w:lang w:val="fr-FR"/>
        </w:rPr>
        <w:t>★</w:t>
      </w:r>
      <w:r>
        <w:rPr>
          <w:rFonts w:hint="eastAsia" w:ascii="宋体" w:hAnsi="宋体" w:eastAsia="宋体" w:cs="宋体"/>
          <w:color w:val="auto"/>
          <w:sz w:val="21"/>
          <w:szCs w:val="21"/>
          <w:highlight w:val="none"/>
          <w:lang w:val="fr-FR"/>
        </w:rPr>
        <w:t>LED显示屏厂家具有</w:t>
      </w:r>
      <w:r>
        <w:rPr>
          <w:rFonts w:hint="eastAsia" w:ascii="宋体" w:hAnsi="宋体" w:eastAsia="宋体" w:cs="宋体"/>
          <w:color w:val="auto"/>
          <w:sz w:val="21"/>
          <w:szCs w:val="21"/>
          <w:highlight w:val="none"/>
          <w:lang w:val="en-US" w:eastAsia="zh-CN"/>
        </w:rPr>
        <w:t>音视频智能系统集成工程资质</w:t>
      </w:r>
      <w:r>
        <w:rPr>
          <w:rFonts w:hint="eastAsia" w:ascii="宋体" w:hAnsi="宋体" w:eastAsia="宋体" w:cs="宋体"/>
          <w:color w:val="auto"/>
          <w:sz w:val="21"/>
          <w:szCs w:val="21"/>
          <w:highlight w:val="none"/>
          <w:lang w:val="fr-FR"/>
        </w:rPr>
        <w:t>，</w:t>
      </w:r>
      <w:r>
        <w:rPr>
          <w:rFonts w:hint="eastAsia" w:ascii="宋体" w:hAnsi="宋体" w:eastAsia="宋体" w:cs="宋体"/>
          <w:color w:val="auto"/>
          <w:sz w:val="21"/>
          <w:szCs w:val="21"/>
          <w:highlight w:val="none"/>
          <w:lang w:val="en-US" w:eastAsia="zh-CN"/>
        </w:rPr>
        <w:t>投标时应</w:t>
      </w:r>
      <w:r>
        <w:rPr>
          <w:rFonts w:hint="eastAsia" w:ascii="宋体" w:hAnsi="宋体" w:eastAsia="宋体" w:cs="宋体"/>
          <w:color w:val="auto"/>
          <w:sz w:val="21"/>
          <w:szCs w:val="21"/>
          <w:highlight w:val="none"/>
          <w:lang w:val="fr-FR"/>
        </w:rPr>
        <w:t>提供证书复印件，并加盖厂商公章。</w:t>
      </w:r>
    </w:p>
    <w:p>
      <w:pPr>
        <w:pStyle w:val="4"/>
        <w:numPr>
          <w:ilvl w:val="1"/>
          <w:numId w:val="4"/>
        </w:numPr>
        <w:spacing w:line="360" w:lineRule="auto"/>
        <w:ind w:left="1007" w:leftChars="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系统软件</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rPr>
        <w:t>控制软件与LED显示屏</w:t>
      </w:r>
      <w:r>
        <w:rPr>
          <w:rFonts w:hint="eastAsia" w:ascii="宋体" w:hAnsi="宋体" w:eastAsia="宋体" w:cs="宋体"/>
          <w:color w:val="auto"/>
          <w:sz w:val="21"/>
          <w:szCs w:val="21"/>
          <w:highlight w:val="none"/>
          <w:lang w:val="en-US" w:eastAsia="zh-CN"/>
        </w:rPr>
        <w:t>具备兼容性</w:t>
      </w:r>
      <w:r>
        <w:rPr>
          <w:rFonts w:hint="eastAsia" w:ascii="宋体" w:hAnsi="宋体" w:eastAsia="宋体" w:cs="宋体"/>
          <w:color w:val="auto"/>
          <w:sz w:val="21"/>
          <w:szCs w:val="21"/>
          <w:highlight w:val="none"/>
          <w:lang w:val="fr-FR"/>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支持播放摄像机现场直播、网站视频直播节目功能，实现各种节目的现场以及网站直播；</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支持播放MP4、AVI、MOV、MPG、DAT、VOB、RM、RMVB、FMPG、MPV、MPA、VCD、SWF、RA、RMJ、ASF等多达30种视频格式文件；</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支持查看视频播放时长，能够指定裁剪播放时长、自动计算播放时长</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rPr>
      </w:pPr>
      <w:r>
        <w:rPr>
          <w:rFonts w:hint="eastAsia" w:ascii="宋体" w:hAnsi="宋体" w:eastAsia="宋体" w:cs="宋体"/>
          <w:color w:val="auto"/>
          <w:sz w:val="21"/>
          <w:szCs w:val="21"/>
          <w:highlight w:val="none"/>
          <w:lang w:val="fr-FR"/>
        </w:rPr>
        <w:t>软件自带视频解码器，支持手动选择视频解码类型；</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default" w:eastAsia="宋体"/>
          <w:lang w:val="en-US" w:eastAsia="zh-CN"/>
        </w:rPr>
      </w:pPr>
      <w:r>
        <w:rPr>
          <w:rFonts w:hint="eastAsia" w:cs="宋体"/>
          <w:color w:val="auto"/>
          <w:sz w:val="21"/>
          <w:szCs w:val="21"/>
          <w:highlight w:val="none"/>
          <w:lang w:val="en-US" w:eastAsia="zh-CN"/>
        </w:rPr>
        <w:t>系统软件应为与主显示屏同一厂家产品。</w:t>
      </w:r>
    </w:p>
    <w:p>
      <w:pPr>
        <w:pStyle w:val="4"/>
        <w:numPr>
          <w:ilvl w:val="1"/>
          <w:numId w:val="4"/>
        </w:numPr>
        <w:spacing w:line="360" w:lineRule="auto"/>
        <w:ind w:left="1007" w:leftChars="0" w:firstLineChars="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配电系统</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30KW配电，具有过流、短路、过压、欠压保护功能</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配电系统采用分步顺序延时启动</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应具备手动/自动两种送电方式并有状态指示</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支持远程控制配电柜开关</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支持定时控制功能</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pPr>
      <w:r>
        <w:rPr>
          <w:rFonts w:hint="eastAsia" w:ascii="宋体" w:hAnsi="宋体" w:eastAsia="宋体" w:cs="宋体"/>
          <w:color w:val="auto"/>
          <w:sz w:val="21"/>
          <w:szCs w:val="21"/>
          <w:highlight w:val="none"/>
          <w:lang w:val="fr-FR"/>
        </w:rPr>
        <w:t>配电柜内安装符合国家标准的防雷设备，并可靠接地，防雷系统接地电阻≤4Ω</w:t>
      </w:r>
      <w:r>
        <w:rPr>
          <w:rFonts w:hint="eastAsia" w:ascii="宋体" w:hAnsi="宋体" w:eastAsia="宋体" w:cs="宋体"/>
          <w:color w:val="auto"/>
          <w:sz w:val="21"/>
          <w:szCs w:val="21"/>
          <w:highlight w:val="none"/>
          <w:lang w:val="fr-FR" w:eastAsia="zh-CN"/>
        </w:rPr>
        <w:t>。</w:t>
      </w:r>
    </w:p>
    <w:p>
      <w:pPr>
        <w:pStyle w:val="4"/>
        <w:numPr>
          <w:ilvl w:val="1"/>
          <w:numId w:val="4"/>
        </w:numPr>
        <w:spacing w:line="360" w:lineRule="auto"/>
        <w:ind w:left="1007" w:leftChars="0" w:firstLineChars="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钢结构</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rPr>
      </w:pPr>
      <w:r>
        <w:rPr>
          <w:rFonts w:hint="eastAsia" w:ascii="宋体" w:hAnsi="宋体" w:eastAsia="宋体" w:cs="宋体"/>
          <w:color w:val="auto"/>
          <w:sz w:val="21"/>
          <w:szCs w:val="21"/>
          <w:highlight w:val="none"/>
          <w:lang w:val="fr-FR"/>
        </w:rPr>
        <w:t>框架及支撑结构基础必须采用高强度钢材，保证安装牢固度符合国家标准</w:t>
      </w:r>
      <w:r>
        <w:rPr>
          <w:rFonts w:hint="eastAsia" w:ascii="宋体" w:hAnsi="宋体" w:eastAsia="宋体" w:cs="宋体"/>
          <w:color w:val="auto"/>
          <w:sz w:val="21"/>
          <w:szCs w:val="21"/>
          <w:highlight w:val="none"/>
          <w:lang w:val="fr-FR"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pPr>
      <w:r>
        <w:rPr>
          <w:rFonts w:hint="eastAsia" w:ascii="宋体" w:hAnsi="宋体" w:eastAsia="宋体" w:cs="宋体"/>
          <w:color w:val="auto"/>
          <w:sz w:val="21"/>
          <w:szCs w:val="21"/>
          <w:highlight w:val="none"/>
          <w:lang w:val="fr-FR"/>
        </w:rPr>
        <w:t>采用不锈包边</w:t>
      </w:r>
      <w:r>
        <w:rPr>
          <w:rFonts w:hint="eastAsia" w:ascii="宋体" w:hAnsi="宋体" w:eastAsia="宋体" w:cs="宋体"/>
          <w:color w:val="auto"/>
          <w:sz w:val="21"/>
          <w:szCs w:val="21"/>
          <w:highlight w:val="none"/>
          <w:lang w:val="fr-FR" w:eastAsia="zh-CN"/>
        </w:rPr>
        <w:t>；</w:t>
      </w:r>
    </w:p>
    <w:p>
      <w:pPr>
        <w:pStyle w:val="4"/>
        <w:numPr>
          <w:ilvl w:val="1"/>
          <w:numId w:val="4"/>
        </w:numPr>
        <w:spacing w:line="360" w:lineRule="auto"/>
        <w:ind w:left="1007" w:leftChars="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其他要求</w:t>
      </w:r>
    </w:p>
    <w:bookmarkEnd w:id="6"/>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lang w:val="fr-FR" w:eastAsia="zh-CN"/>
        </w:rPr>
      </w:pPr>
      <w:bookmarkStart w:id="7" w:name="_Hlk156308775"/>
      <w:r>
        <w:rPr>
          <w:rFonts w:hint="eastAsia" w:ascii="宋体" w:hAnsi="宋体" w:eastAsia="宋体" w:cs="宋体"/>
          <w:color w:val="auto"/>
          <w:sz w:val="21"/>
          <w:szCs w:val="21"/>
          <w:highlight w:val="none"/>
          <w:lang w:val="fr-FR"/>
        </w:rPr>
        <w:t>★</w:t>
      </w:r>
      <w:r>
        <w:rPr>
          <w:rFonts w:hint="eastAsia" w:ascii="宋体" w:hAnsi="宋体" w:eastAsia="宋体" w:cs="宋体"/>
          <w:color w:val="auto"/>
          <w:sz w:val="21"/>
          <w:szCs w:val="21"/>
          <w:highlight w:val="none"/>
          <w:lang w:val="fr-FR" w:eastAsia="en-US"/>
        </w:rPr>
        <w:t>LED显示屏非OEM厂家生产，生产企业为LED行业生产企业，全彩LED显示系统、控制软件等主要部件全部</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val="fr-FR" w:eastAsia="en-US"/>
        </w:rPr>
        <w:t>为同一品牌产品</w:t>
      </w:r>
      <w:r>
        <w:rPr>
          <w:rFonts w:hint="eastAsia" w:ascii="宋体" w:hAnsi="宋体" w:eastAsia="宋体" w:cs="宋体"/>
          <w:color w:val="auto"/>
          <w:sz w:val="21"/>
          <w:szCs w:val="21"/>
          <w:highlight w:val="none"/>
          <w:lang w:val="fr-FR" w:eastAsia="zh-CN"/>
        </w:rPr>
        <w:t>。</w:t>
      </w:r>
    </w:p>
    <w:p>
      <w:pPr>
        <w:pStyle w:val="2"/>
        <w:numPr>
          <w:ilvl w:val="0"/>
          <w:numId w:val="0"/>
        </w:numPr>
        <w:ind w:left="420" w:leftChars="0"/>
        <w:rPr>
          <w:rFonts w:hint="default"/>
          <w:lang w:val="en-US" w:eastAsia="zh-CN"/>
        </w:rPr>
      </w:pPr>
      <w:r>
        <w:rPr>
          <w:rFonts w:hint="eastAsia" w:ascii="宋体" w:hAnsi="宋体" w:eastAsia="宋体" w:cs="宋体"/>
          <w:color w:val="auto"/>
          <w:sz w:val="21"/>
          <w:szCs w:val="21"/>
          <w:highlight w:val="none"/>
          <w:lang w:val="fr-FR"/>
        </w:rPr>
        <w:t>★</w:t>
      </w:r>
      <w:r>
        <w:rPr>
          <w:rFonts w:hint="eastAsia" w:ascii="宋体" w:hAnsi="宋体" w:eastAsia="宋体" w:cs="宋体"/>
          <w:color w:val="auto"/>
          <w:sz w:val="21"/>
          <w:szCs w:val="21"/>
          <w:highlight w:val="none"/>
          <w:lang w:val="en-US" w:eastAsia="zh-CN"/>
        </w:rPr>
        <w:t>本系统上述未列明的包括但不限于水晶头、网线、HDMI线等辅材应由卖方承担，买方不再承担相关费用。</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pPr>
      <w:r>
        <w:rPr>
          <w:rFonts w:hint="eastAsia" w:ascii="宋体" w:hAnsi="宋体" w:eastAsia="宋体" w:cs="宋体"/>
          <w:color w:val="auto"/>
          <w:sz w:val="21"/>
          <w:szCs w:val="21"/>
          <w:highlight w:val="none"/>
          <w:lang w:val="en-US" w:eastAsia="zh-CN" w:bidi="ar-SA"/>
        </w:rPr>
        <w:t>需提供如上物资的安装调试等工作。</w:t>
      </w:r>
    </w:p>
    <w:p>
      <w:pPr>
        <w:pStyle w:val="33"/>
        <w:numPr>
          <w:ilvl w:val="0"/>
          <w:numId w:val="2"/>
        </w:numPr>
        <w:spacing w:before="120" w:after="120"/>
        <w:outlineLvl w:val="0"/>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规范要求与设计原则</w:t>
      </w:r>
    </w:p>
    <w:p>
      <w:pPr>
        <w:pStyle w:val="4"/>
        <w:numPr>
          <w:ilvl w:val="0"/>
          <w:numId w:val="0"/>
        </w:numPr>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4.1</w:t>
      </w:r>
      <w:r>
        <w:rPr>
          <w:rFonts w:hint="eastAsia" w:ascii="宋体" w:hAnsi="宋体" w:eastAsia="宋体" w:cs="宋体"/>
          <w:b/>
          <w:bCs/>
          <w:color w:val="auto"/>
          <w:sz w:val="21"/>
          <w:szCs w:val="21"/>
          <w:highlight w:val="none"/>
        </w:rPr>
        <w:t>设计、安装及测试均应遵循以下法律、规定、标准：</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GB50462-2015《数据中心基础设施施工及验收规范》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GB50052-2009《供配电系统设计规范》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GB4943.1-2011《信息技术设备的安全规范》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GB50311-2016《综合布线系统工程设计规范》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GB50371-2006《厅堂扩声系统设计规范》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GB50016-2014《建筑设计防火规范》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GB50395-2007《视频安防监控系统工程设计规范》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GB50198－2011《民用闭路监视电视系统工程技术规范》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GB/T50115-2019《工业电视系统工程设计标准》</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YD/T5032-2005《会议电视系统工程设计规范标准》</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JGJ16-2008《民用建筑电气设计规范》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Q／HS 5038-2011《中海油视频会议系统技术规范》</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lang w:eastAsia="zh-CN"/>
        </w:rPr>
      </w:pPr>
      <w:r>
        <w:rPr>
          <w:rFonts w:hint="eastAsia" w:ascii="宋体" w:hAnsi="宋体" w:eastAsia="宋体" w:cs="宋体"/>
          <w:color w:val="auto"/>
          <w:sz w:val="21"/>
          <w:szCs w:val="21"/>
          <w:highlight w:val="none"/>
        </w:rPr>
        <w:t>Q／HS 5026-2010《中海油视频会议室建设规范》</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Cs w:val="21"/>
          <w:highlight w:val="none"/>
          <w:lang w:val="fr-FR" w:eastAsia="zh-CN"/>
        </w:rPr>
      </w:pPr>
      <w:r>
        <w:rPr>
          <w:rFonts w:hint="eastAsia"/>
          <w:lang w:val="en-US" w:eastAsia="zh-CN"/>
        </w:rPr>
        <w:t>4.2</w:t>
      </w:r>
      <w:r>
        <w:rPr>
          <w:rFonts w:hint="eastAsia" w:ascii="宋体" w:hAnsi="宋体" w:eastAsia="宋体" w:cs="宋体"/>
          <w:b/>
          <w:bCs/>
          <w:color w:val="auto"/>
          <w:szCs w:val="21"/>
          <w:highlight w:val="none"/>
          <w:lang w:val="fr-FR" w:eastAsia="zh-CN"/>
        </w:rPr>
        <w:t>设计原则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sz w:val="21"/>
          <w:szCs w:val="21"/>
          <w:highlight w:val="none"/>
        </w:rPr>
      </w:pPr>
      <w:bookmarkStart w:id="8" w:name="_Toc5135"/>
      <w:r>
        <w:rPr>
          <w:rFonts w:hint="eastAsia" w:ascii="宋体" w:hAnsi="宋体" w:eastAsia="宋体" w:cs="宋体"/>
          <w:color w:val="auto"/>
          <w:sz w:val="21"/>
          <w:szCs w:val="21"/>
          <w:highlight w:val="none"/>
          <w:lang w:val="en-US" w:eastAsia="zh-CN"/>
        </w:rPr>
        <w:t>4.2.1一般性原则</w:t>
      </w:r>
      <w:bookmarkEnd w:id="8"/>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先进</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原则：采用的系统结构应该是先进的、开放的体系结构与系统使用当中的科学性</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用性原则：能够最大限度的满足实际工作的要求，把满足用户的业务管理作为第一要素进行考虑，采用集中管理控制的模式。按照实际需要来设计相应的系统，在满足功能要求和技术指标要求的基础上尽量简化设计，坚持实用化，充分满足实际需要</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可扩充性、可维护性原则：为系统以后的升级预留空间，系统维护是整个系统生命周期中所占比例最大的，要充分考虑结构设计的合理、规范对系统的维护可以在很短时间内完成</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经济型原则：在保证系统先进、可靠和高性能价格比的前提下，通过优化设计达到最经济性的目标</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高可靠性：采用系统集成设计方式，选用成熟可靠、性能稳定的设备和配件，系统关键部分采用冗余设计，具备一定的容错能力及抗干扰能力，在设备选型、材料采购等方面，满足了用户可靠性要求</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易操作、易管理原则：提供良好的操作界面，方便用户操作，提高系统自动化管理能力，降低劳动强度。</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sz w:val="21"/>
          <w:szCs w:val="21"/>
          <w:highlight w:val="none"/>
          <w:lang w:val="en-US" w:eastAsia="zh-CN"/>
        </w:rPr>
      </w:pPr>
      <w:bookmarkStart w:id="9" w:name="_Toc12108"/>
      <w:r>
        <w:rPr>
          <w:rFonts w:hint="eastAsia" w:ascii="宋体" w:hAnsi="宋体" w:eastAsia="宋体" w:cs="宋体"/>
          <w:color w:val="auto"/>
          <w:sz w:val="21"/>
          <w:szCs w:val="21"/>
          <w:highlight w:val="none"/>
          <w:lang w:val="en-US" w:eastAsia="zh-CN"/>
        </w:rPr>
        <w:t>4.2.2功能性原则</w:t>
      </w:r>
      <w:bookmarkEnd w:id="9"/>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系统要做到可方便快捷的管理所有视频、音频系统、系统；</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满足操作中心和会商室各路信号源任意切换到各个高清显示设备显示需求；</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保证音频扩音系统易操作、功能灵活，满足操作中心和会商室的不同功能要求；</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设计集中控制系统，使整套系统能够方便快捷的管理；</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满足召开日常办公操作、应急操作、视频会议、日常会议、多功能用途等要求；</w:t>
      </w:r>
    </w:p>
    <w:p>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640" w:leftChars="0" w:hanging="42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满足会议及现场环境录制存储需求</w:t>
      </w:r>
      <w:r>
        <w:rPr>
          <w:rFonts w:hint="eastAsia" w:ascii="宋体" w:hAnsi="宋体" w:eastAsia="宋体" w:cs="宋体"/>
          <w:color w:val="auto"/>
          <w:sz w:val="21"/>
          <w:szCs w:val="21"/>
          <w:highlight w:val="none"/>
          <w:lang w:eastAsia="zh-CN"/>
        </w:rPr>
        <w:t>。</w:t>
      </w:r>
    </w:p>
    <w:p>
      <w:pPr>
        <w:pStyle w:val="33"/>
        <w:numPr>
          <w:ilvl w:val="0"/>
          <w:numId w:val="2"/>
        </w:numPr>
        <w:spacing w:before="120" w:after="120"/>
        <w:outlineLvl w:val="0"/>
        <w:rPr>
          <w:rFonts w:hAnsi="宋体"/>
          <w:b/>
          <w:color w:val="auto"/>
          <w:sz w:val="32"/>
          <w:szCs w:val="32"/>
          <w:highlight w:val="none"/>
        </w:rPr>
      </w:pPr>
      <w:r>
        <w:rPr>
          <w:rFonts w:hint="eastAsia" w:hAnsi="宋体"/>
          <w:b/>
          <w:color w:val="auto"/>
          <w:sz w:val="32"/>
          <w:szCs w:val="32"/>
          <w:highlight w:val="none"/>
        </w:rPr>
        <w:t>技术</w:t>
      </w:r>
      <w:r>
        <w:rPr>
          <w:rFonts w:hint="eastAsia" w:hAnsi="宋体"/>
          <w:b/>
          <w:color w:val="auto"/>
          <w:sz w:val="32"/>
          <w:szCs w:val="32"/>
          <w:highlight w:val="none"/>
          <w:lang w:val="en-US" w:eastAsia="zh-CN"/>
        </w:rPr>
        <w:t>要求</w:t>
      </w:r>
      <w:r>
        <w:rPr>
          <w:rFonts w:hint="eastAsia" w:hAnsi="宋体"/>
          <w:b/>
          <w:color w:val="auto"/>
          <w:sz w:val="32"/>
          <w:szCs w:val="32"/>
          <w:highlight w:val="none"/>
        </w:rPr>
        <w:t>与售后服务</w:t>
      </w:r>
    </w:p>
    <w:p>
      <w:pPr>
        <w:pStyle w:val="4"/>
        <w:spacing w:line="360" w:lineRule="auto"/>
        <w:ind w:firstLine="42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5.1技术要求</w:t>
      </w:r>
    </w:p>
    <w:p>
      <w:pPr>
        <w:spacing w:line="360" w:lineRule="auto"/>
        <w:ind w:firstLine="699" w:firstLineChars="318"/>
        <w:jc w:val="both"/>
        <w:rPr>
          <w:rFonts w:hint="default" w:ascii="宋体" w:hAnsi="宋体" w:eastAsia="宋体" w:cs="宋体"/>
          <w:b/>
          <w:bCs/>
          <w:color w:val="auto"/>
          <w:sz w:val="21"/>
          <w:szCs w:val="21"/>
          <w:highlight w:val="none"/>
          <w:lang w:val="en-US"/>
        </w:rPr>
      </w:pPr>
      <w:r>
        <w:rPr>
          <w:rFonts w:hint="eastAsia"/>
          <w:color w:val="auto"/>
          <w:highlight w:val="none"/>
          <w:lang w:eastAsia="zh-CN"/>
        </w:rPr>
        <w:t>★</w:t>
      </w:r>
      <w:r>
        <w:rPr>
          <w:rFonts w:hint="eastAsia" w:ascii="宋体" w:hAnsi="宋体" w:eastAsia="宋体" w:cs="宋体"/>
          <w:color w:val="auto"/>
          <w:sz w:val="21"/>
          <w:szCs w:val="21"/>
          <w:highlight w:val="none"/>
          <w:lang w:val="en-US" w:eastAsia="zh-CN"/>
        </w:rPr>
        <w:t>卖方在投标时需根据上述要求提供完整的设计方案，方案应包括但不限于</w:t>
      </w:r>
      <w:r>
        <w:rPr>
          <w:rFonts w:hint="eastAsia" w:ascii="宋体" w:hAnsi="宋体" w:eastAsia="宋体" w:cs="宋体"/>
          <w:color w:val="auto"/>
          <w:sz w:val="21"/>
          <w:szCs w:val="21"/>
          <w:highlight w:val="none"/>
          <w:lang w:eastAsia="zh-CN"/>
        </w:rPr>
        <w:t>提供设备安装、调试</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lang w:eastAsia="zh-CN"/>
        </w:rPr>
        <w:t>系统图、设备接线图、系统配置、</w:t>
      </w:r>
      <w:r>
        <w:rPr>
          <w:rFonts w:hint="eastAsia" w:ascii="宋体" w:hAnsi="宋体" w:eastAsia="宋体" w:cs="宋体"/>
          <w:color w:val="auto"/>
          <w:sz w:val="21"/>
          <w:szCs w:val="21"/>
          <w:highlight w:val="none"/>
          <w:lang w:val="en-US" w:eastAsia="zh-CN"/>
        </w:rPr>
        <w:t>人员配置</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 xml:space="preserve">    </w:t>
      </w:r>
    </w:p>
    <w:p>
      <w:pPr>
        <w:pStyle w:val="4"/>
        <w:spacing w:line="360" w:lineRule="auto"/>
        <w:ind w:firstLine="42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、送货要求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到货前5天提供详细的到货清单，装箱资料供业主审核；</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★产品需提供以下技术文件：装箱清单、产品合格证、产品说明书、保修卡、设备图纸、维护保养说明书、出厂检验报告、设备测试报告或性能测试文件等原版资料，以及现场安装调试相关资料文件。</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到货需要设备生产厂家人员（厂家工程师）到场清点物资，开箱；配合我方交接设备（否则不予验收）；</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到货前1天提供送货资料、包括送货车辆人员资料（身份证、驾驶证等）、车辆资料（车牌、车辆保险）；</w:t>
      </w:r>
    </w:p>
    <w:p>
      <w:pPr>
        <w:spacing w:line="360" w:lineRule="auto"/>
        <w:ind w:firstLine="48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、人员要求</w:t>
      </w:r>
    </w:p>
    <w:p>
      <w:pPr>
        <w:pStyle w:val="24"/>
        <w:rPr>
          <w:rFonts w:hint="default" w:eastAsia="宋体"/>
          <w:lang w:val="en-US" w:eastAsia="zh-CN"/>
        </w:rPr>
      </w:pPr>
      <w:r>
        <w:rPr>
          <w:rFonts w:hint="eastAsia" w:ascii="宋体" w:hAnsi="宋体" w:eastAsia="宋体" w:cs="宋体"/>
          <w:b/>
          <w:bCs/>
          <w:color w:val="auto"/>
          <w:sz w:val="21"/>
          <w:szCs w:val="21"/>
          <w:highlight w:val="none"/>
          <w:lang w:val="en-US" w:eastAsia="zh-CN"/>
        </w:rPr>
        <w:t>投标人在投标时应提供如下文件：</w:t>
      </w:r>
    </w:p>
    <w:p>
      <w:pPr>
        <w:spacing w:line="360" w:lineRule="auto"/>
        <w:ind w:firstLine="636" w:firstLineChars="318"/>
        <w:jc w:val="both"/>
        <w:rPr>
          <w:rFonts w:hint="default" w:ascii="宋体" w:hAnsi="宋体" w:eastAsia="宋体" w:cs="宋体"/>
          <w:color w:val="auto"/>
          <w:sz w:val="21"/>
          <w:szCs w:val="21"/>
          <w:highlight w:val="none"/>
          <w:lang w:val="en-US" w:eastAsia="zh-CN"/>
        </w:rPr>
      </w:pPr>
      <w:r>
        <w:rPr>
          <w:rFonts w:hint="eastAsia"/>
          <w:color w:val="auto"/>
          <w:sz w:val="20"/>
          <w:szCs w:val="20"/>
          <w:highlight w:val="none"/>
          <w:lang w:eastAsia="zh-CN"/>
        </w:rPr>
        <w:t>★</w:t>
      </w:r>
      <w:r>
        <w:rPr>
          <w:rFonts w:hint="eastAsia" w:ascii="宋体" w:hAnsi="宋体" w:eastAsia="宋体" w:cs="宋体"/>
          <w:color w:val="auto"/>
          <w:sz w:val="21"/>
          <w:szCs w:val="21"/>
          <w:highlight w:val="none"/>
          <w:lang w:val="en-US" w:eastAsia="zh-CN"/>
        </w:rPr>
        <w:t>配备一名现场项目负责人：全日制大学本科学历、需提供不少于2个相类似项目工作经验（提供支持文件）。需为本单位员工，需提供近期3个月投标单位缴纳的社保证明，不可兼职。</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一名安全管理员：持有持有国家或省（市）级住房和城乡建设部（厅）或省（市）级建设委员会颁发的安全生产考核人员合格证书（C证），需为本单位员工，需提供近期3个月投标单位缴纳的社保证明，不可兼职。</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其他人员：涉及如高处作业、电工作业、焊工作业等特种作业人员须持有取得国家/地方应急管理部门签发的《中华人民共和国特种作业操作证》的相应准操证书。</w:t>
      </w:r>
    </w:p>
    <w:p>
      <w:pPr>
        <w:pStyle w:val="4"/>
        <w:spacing w:line="360" w:lineRule="auto"/>
        <w:ind w:firstLine="42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、QSHE要求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服从现场管理人员指挥；</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根据规定或指定的区域内作业，未经许可不得进入其他区域；</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厂区内工作地点设置显而易见的警告标识或标语；</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按时参加与安全生产有关的会议；</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违反现场管理规定根据HSE违约处理细则进行惩处。</w:t>
      </w:r>
    </w:p>
    <w:p>
      <w:pPr>
        <w:pStyle w:val="4"/>
        <w:spacing w:line="360" w:lineRule="auto"/>
        <w:ind w:firstLine="42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、工具要求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投标时需提供使用工具的详细清单、生产日期、合格证，电动工具的检测证明、合格证、自检报告；</w:t>
      </w:r>
    </w:p>
    <w:p>
      <w:pPr>
        <w:pStyle w:val="4"/>
        <w:spacing w:line="360" w:lineRule="auto"/>
        <w:ind w:firstLine="42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、培训要求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培训目标完成对系统管理人员、操作人员和技术人员的全面系统培训，完成对内部技术团队的完整知识转移，形成全套的业务、技术及推广相关的知识转移教材。</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培训对象各级管理人员、相关技术人员、相关操作人员。</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培训计划有详细的培训计划表，具体可以实际执行的。</w:t>
      </w:r>
    </w:p>
    <w:p>
      <w:pPr>
        <w:pStyle w:val="4"/>
        <w:spacing w:line="360" w:lineRule="auto"/>
        <w:ind w:firstLine="42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、验收要求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根据进度计划，按以下阶段提供验收：单元测试、集成测试，系统测试和验收测试；对卖方工作及工作成果进行验收，验收地点为项目现场，验收时间依据项目进度计划。</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技术文档应与系统相一致，技术文档应全面、完整、详细；提供的文档和资料均应以纸张和磁介质（或光盘）为载体，文件格式为文档或其他可视化文件。</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发货前，卖方应向买方准确通知货物的发运日期、发运方式以及货物的名称、数量、重量、外形尺寸等基本情况，以便买方或最终用户做好接收准备。</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交付后，卖方应在收到买方或最终用户发出验收通知后（3）日内与买方或最终用户在指定交货地点或货物使用现场进行外观、数量查验；安装调试结束后，双方按约定的标准验收；卖方未参加验收的，视为同意买方验收结果。</w:t>
      </w:r>
    </w:p>
    <w:p>
      <w:pPr>
        <w:pStyle w:val="33"/>
        <w:numPr>
          <w:ilvl w:val="0"/>
          <w:numId w:val="2"/>
        </w:numPr>
        <w:spacing w:before="120" w:after="120"/>
        <w:outlineLvl w:val="0"/>
        <w:rPr>
          <w:rFonts w:hAnsi="宋体"/>
          <w:b/>
          <w:color w:val="auto"/>
          <w:sz w:val="32"/>
          <w:szCs w:val="32"/>
          <w:highlight w:val="none"/>
        </w:rPr>
      </w:pPr>
      <w:r>
        <w:rPr>
          <w:rFonts w:hint="eastAsia" w:hAnsi="宋体"/>
          <w:b/>
          <w:color w:val="auto"/>
          <w:sz w:val="32"/>
          <w:szCs w:val="32"/>
          <w:highlight w:val="none"/>
        </w:rPr>
        <w:t>质量保证</w:t>
      </w:r>
      <w:r>
        <w:rPr>
          <w:rFonts w:hint="eastAsia" w:hAnsi="宋体"/>
          <w:b/>
          <w:color w:val="auto"/>
          <w:sz w:val="32"/>
          <w:szCs w:val="32"/>
          <w:highlight w:val="none"/>
          <w:lang w:val="en-US" w:eastAsia="zh-CN"/>
        </w:rPr>
        <w:t>及质量索赔</w:t>
      </w:r>
    </w:p>
    <w:p>
      <w:pPr>
        <w:pStyle w:val="4"/>
        <w:spacing w:line="360" w:lineRule="auto"/>
        <w:ind w:firstLine="420"/>
        <w:jc w:val="both"/>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6.1、质量保证</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为了保证系统安全、稳定、高效地运行,卖方需承诺：卖方提供试安装调试验收后7*24*12个月的免费质保期，质保期内卖方应15分钟内响应。</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卖方保证提供的系统在正确安装、正常操作情况下，运行安全、可靠。在质量保证期内，如发现卖方提供的系统有缺陷，不符合合同约定时，买方可向卖方提出要求。卖方按买方要求进行修复解决，由此产生的全部费用由卖方承担。</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卖方对项目实施的全过程严格按质量保证体系执行。在质量保证期内，除因买方使用不当，产品在质量保证期内如破损、变质或被发现存在任何质量问题，卖方应负责进行退换。由于卖方责任需要维护、开发等工作，由此产生的所有损失(包括但不限于由质量原因引起的相关检测、实验、专家咨询、运输、安装等费用)由卖方承担。如在质量保证期内出现因缺陷但不影响业务的正常运行，经修复后的质量保证期重新计算。</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如果卖方提供的系统存在缺陷，或由于技术资料有错误、卖方技术人员指导错误，造成工程返工，由此产生的费用由卖方承担。卖方修复的期限按双方约定执行，如逾期未完成的，按延迟交货处理。</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在质保期内，卖方发现系统存在潜在性缺陷或原理性故障时，会在第一时间以书面形式通知买方。如发现卖方提供的系统有缺陷，不符合本合同约定的，买方有权选择且卖方必须采取补救措施。</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买方有权对卖方已交付的产品随机抽样委托第三方检验机构检验，产品质量抽检不合格的，给予退货、对卖方供应商资格进行投诉处理，同时卖方应按以下“质量索赔”约定承担赔偿责任。</w:t>
      </w:r>
    </w:p>
    <w:p>
      <w:pPr>
        <w:spacing w:line="360" w:lineRule="auto"/>
        <w:ind w:firstLine="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6.2、质量索赔</w:t>
      </w:r>
    </w:p>
    <w:p>
      <w:pPr>
        <w:pStyle w:val="11"/>
        <w:keepNext w:val="0"/>
        <w:keepLines w:val="0"/>
        <w:pageBreakBefore w:val="0"/>
        <w:widowControl w:val="0"/>
        <w:kinsoku/>
        <w:wordWrap/>
        <w:overflowPunct/>
        <w:topLinePunct w:val="0"/>
        <w:bidi w:val="0"/>
        <w:snapToGrid/>
        <w:spacing w:before="24" w:line="288" w:lineRule="auto"/>
        <w:ind w:left="14" w:right="90" w:firstLine="5"/>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所交付产品在数量、规格、质量、性能或任何其他方面与标准、本合同、技术协议（技术规格书）等不符，</w:t>
      </w:r>
      <w:r>
        <w:rPr>
          <w:rFonts w:hint="eastAsia" w:ascii="宋体" w:hAnsi="宋体" w:eastAsia="宋体" w:cs="宋体"/>
          <w:color w:val="auto"/>
          <w:sz w:val="21"/>
          <w:szCs w:val="21"/>
          <w:highlight w:val="none"/>
          <w:lang w:val="en-US" w:eastAsia="zh-CN" w:bidi="ar-SA"/>
        </w:rPr>
        <w:t>买方</w:t>
      </w:r>
      <w:r>
        <w:rPr>
          <w:rFonts w:hint="eastAsia" w:ascii="宋体" w:hAnsi="宋体" w:eastAsia="宋体" w:cs="宋体"/>
          <w:color w:val="auto"/>
          <w:sz w:val="21"/>
          <w:szCs w:val="21"/>
          <w:highlight w:val="none"/>
          <w:lang w:val="en-US" w:eastAsia="en-US" w:bidi="ar-SA"/>
        </w:rPr>
        <w:t>有 权要求</w:t>
      </w: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按下列一种或几种方式赔付：</w:t>
      </w:r>
    </w:p>
    <w:p>
      <w:pPr>
        <w:pStyle w:val="11"/>
        <w:keepNext w:val="0"/>
        <w:keepLines w:val="0"/>
        <w:pageBreakBefore w:val="0"/>
        <w:widowControl w:val="0"/>
        <w:kinsoku/>
        <w:wordWrap/>
        <w:overflowPunct/>
        <w:topLinePunct w:val="0"/>
        <w:bidi w:val="0"/>
        <w:snapToGrid/>
        <w:spacing w:before="27" w:line="288" w:lineRule="auto"/>
        <w:ind w:left="19"/>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（1）退货并退还给</w:t>
      </w:r>
      <w:r>
        <w:rPr>
          <w:rFonts w:hint="eastAsia" w:ascii="宋体" w:hAnsi="宋体" w:eastAsia="宋体" w:cs="宋体"/>
          <w:color w:val="auto"/>
          <w:sz w:val="21"/>
          <w:szCs w:val="21"/>
          <w:highlight w:val="none"/>
          <w:lang w:val="en-US" w:eastAsia="zh-CN" w:bidi="ar-SA"/>
        </w:rPr>
        <w:t>买方</w:t>
      </w:r>
      <w:r>
        <w:rPr>
          <w:rFonts w:hint="eastAsia" w:ascii="宋体" w:hAnsi="宋体" w:eastAsia="宋体" w:cs="宋体"/>
          <w:color w:val="auto"/>
          <w:sz w:val="21"/>
          <w:szCs w:val="21"/>
          <w:highlight w:val="none"/>
          <w:lang w:val="en-US" w:eastAsia="en-US" w:bidi="ar-SA"/>
        </w:rPr>
        <w:t>已支付的退货部分货款，并承担产品质量问题而进行的第三方验证及其他相关的费用。</w:t>
      </w:r>
    </w:p>
    <w:p>
      <w:pPr>
        <w:pStyle w:val="11"/>
        <w:keepNext w:val="0"/>
        <w:keepLines w:val="0"/>
        <w:pageBreakBefore w:val="0"/>
        <w:widowControl w:val="0"/>
        <w:kinsoku/>
        <w:wordWrap/>
        <w:overflowPunct/>
        <w:topLinePunct w:val="0"/>
        <w:bidi w:val="0"/>
        <w:snapToGrid/>
        <w:spacing w:before="26" w:line="288" w:lineRule="auto"/>
        <w:ind w:left="28" w:hanging="9"/>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（2）更换整个有瑕疵的零件/部件，或用符合合同规定的规格﹑质量和性能的新零件更换，</w:t>
      </w: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承担所有直接相关费用。同时</w:t>
      </w: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应相应延长所更换产品的质保期。</w:t>
      </w:r>
    </w:p>
    <w:p>
      <w:pPr>
        <w:pStyle w:val="11"/>
        <w:keepNext w:val="0"/>
        <w:keepLines w:val="0"/>
        <w:pageBreakBefore w:val="0"/>
        <w:widowControl w:val="0"/>
        <w:kinsoku/>
        <w:wordWrap/>
        <w:overflowPunct/>
        <w:topLinePunct w:val="0"/>
        <w:bidi w:val="0"/>
        <w:snapToGrid/>
        <w:spacing w:before="26" w:line="288" w:lineRule="auto"/>
        <w:ind w:left="14" w:right="116" w:firstLine="5"/>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因产品质量问题给</w:t>
      </w:r>
      <w:r>
        <w:rPr>
          <w:rFonts w:hint="eastAsia" w:ascii="宋体" w:hAnsi="宋体" w:eastAsia="宋体" w:cs="宋体"/>
          <w:color w:val="auto"/>
          <w:sz w:val="21"/>
          <w:szCs w:val="21"/>
          <w:highlight w:val="none"/>
          <w:lang w:val="en-US" w:eastAsia="zh-CN" w:bidi="ar-SA"/>
        </w:rPr>
        <w:t>买方</w:t>
      </w:r>
      <w:r>
        <w:rPr>
          <w:rFonts w:hint="eastAsia" w:ascii="宋体" w:hAnsi="宋体" w:eastAsia="宋体" w:cs="宋体"/>
          <w:color w:val="auto"/>
          <w:sz w:val="21"/>
          <w:szCs w:val="21"/>
          <w:highlight w:val="none"/>
          <w:lang w:val="en-US" w:eastAsia="en-US" w:bidi="ar-SA"/>
        </w:rPr>
        <w:t>或第三方造成安全事故的，</w:t>
      </w: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承担全部责任和费用（包括但不限于直接损失，可得利益损失、诉讼费、差旅费、律师费及其他费用），同时</w:t>
      </w:r>
      <w:r>
        <w:rPr>
          <w:rFonts w:hint="eastAsia" w:ascii="宋体" w:hAnsi="宋体" w:eastAsia="宋体" w:cs="宋体"/>
          <w:color w:val="auto"/>
          <w:sz w:val="21"/>
          <w:szCs w:val="21"/>
          <w:highlight w:val="none"/>
          <w:lang w:val="en-US" w:eastAsia="zh-CN" w:bidi="ar-SA"/>
        </w:rPr>
        <w:t>买方</w:t>
      </w:r>
      <w:r>
        <w:rPr>
          <w:rFonts w:hint="eastAsia" w:ascii="宋体" w:hAnsi="宋体" w:eastAsia="宋体" w:cs="宋体"/>
          <w:color w:val="auto"/>
          <w:sz w:val="21"/>
          <w:szCs w:val="21"/>
          <w:highlight w:val="none"/>
          <w:lang w:val="en-US" w:eastAsia="en-US" w:bidi="ar-SA"/>
        </w:rPr>
        <w:t>有权解除合同。</w:t>
      </w:r>
    </w:p>
    <w:p>
      <w:pPr>
        <w:keepNext w:val="0"/>
        <w:keepLines w:val="0"/>
        <w:pageBreakBefore w:val="0"/>
        <w:widowControl w:val="0"/>
        <w:kinsoku/>
        <w:wordWrap/>
        <w:overflowPunct/>
        <w:topLinePunct w:val="0"/>
        <w:bidi w:val="0"/>
        <w:snapToGrid/>
        <w:spacing w:line="288" w:lineRule="auto"/>
        <w:ind w:firstLine="48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en-US" w:bidi="ar-SA"/>
        </w:rPr>
        <w:t>产品质量抽查检验不合格的，</w:t>
      </w:r>
      <w:r>
        <w:rPr>
          <w:rFonts w:hint="eastAsia" w:ascii="宋体" w:hAnsi="宋体" w:eastAsia="宋体" w:cs="宋体"/>
          <w:color w:val="auto"/>
          <w:sz w:val="21"/>
          <w:szCs w:val="21"/>
          <w:highlight w:val="none"/>
          <w:lang w:val="en-US" w:eastAsia="zh-CN" w:bidi="ar-SA"/>
        </w:rPr>
        <w:t>卖方</w:t>
      </w:r>
      <w:r>
        <w:rPr>
          <w:rFonts w:hint="eastAsia" w:ascii="宋体" w:hAnsi="宋体" w:eastAsia="宋体" w:cs="宋体"/>
          <w:color w:val="auto"/>
          <w:sz w:val="21"/>
          <w:szCs w:val="21"/>
          <w:highlight w:val="none"/>
          <w:lang w:val="en-US" w:eastAsia="en-US" w:bidi="ar-SA"/>
        </w:rPr>
        <w:t>应按以下标准向</w:t>
      </w:r>
      <w:r>
        <w:rPr>
          <w:rFonts w:hint="eastAsia" w:ascii="宋体" w:hAnsi="宋体" w:eastAsia="宋体" w:cs="宋体"/>
          <w:color w:val="auto"/>
          <w:sz w:val="21"/>
          <w:szCs w:val="21"/>
          <w:highlight w:val="none"/>
          <w:lang w:val="en-US" w:eastAsia="zh-CN" w:bidi="ar-SA"/>
        </w:rPr>
        <w:t>买方</w:t>
      </w:r>
      <w:r>
        <w:rPr>
          <w:rFonts w:hint="eastAsia" w:ascii="宋体" w:hAnsi="宋体" w:eastAsia="宋体" w:cs="宋体"/>
          <w:color w:val="auto"/>
          <w:sz w:val="21"/>
          <w:szCs w:val="21"/>
          <w:highlight w:val="none"/>
          <w:lang w:val="en-US" w:eastAsia="en-US" w:bidi="ar-SA"/>
        </w:rPr>
        <w:t>进行赔偿：主要指标一项不合格按本合同到货额的8%比例赔偿；次要指标一项不合格按本合同到货额的5%比例赔偿，两项及以上主要指标或次要指标不合格按本合同到货额的10%比例赔偿； 赔偿金额不得低于检验费，最高限额10万元。</w:t>
      </w:r>
    </w:p>
    <w:p>
      <w:pPr>
        <w:pStyle w:val="33"/>
        <w:keepNext w:val="0"/>
        <w:keepLines w:val="0"/>
        <w:pageBreakBefore w:val="0"/>
        <w:widowControl w:val="0"/>
        <w:numPr>
          <w:ilvl w:val="0"/>
          <w:numId w:val="2"/>
        </w:numPr>
        <w:kinsoku/>
        <w:wordWrap/>
        <w:overflowPunct/>
        <w:topLinePunct w:val="0"/>
        <w:bidi w:val="0"/>
        <w:snapToGrid/>
        <w:spacing w:before="120" w:after="120" w:line="288" w:lineRule="auto"/>
        <w:textAlignment w:val="auto"/>
        <w:outlineLvl w:val="0"/>
        <w:rPr>
          <w:rFonts w:hAnsi="宋体"/>
          <w:bCs/>
          <w:color w:val="auto"/>
          <w:sz w:val="21"/>
          <w:szCs w:val="21"/>
          <w:highlight w:val="none"/>
        </w:rPr>
      </w:pPr>
      <w:r>
        <w:rPr>
          <w:rFonts w:hint="eastAsia" w:hAnsi="宋体"/>
          <w:b/>
          <w:color w:val="auto"/>
          <w:sz w:val="32"/>
          <w:szCs w:val="32"/>
          <w:highlight w:val="none"/>
        </w:rPr>
        <w:t>其他要求</w:t>
      </w:r>
    </w:p>
    <w:p>
      <w:pPr>
        <w:spacing w:line="360" w:lineRule="auto"/>
        <w:ind w:firstLine="667" w:firstLineChars="318"/>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合同签订后2天内安排技术人员交流供货详细情况。合同签订后按照现场情况约定供货工作，并协助买方进行现场验收、物料编码确认、序列号登陆、图片存档等一系列入库工作；</w:t>
      </w:r>
    </w:p>
    <w:bookmarkEnd w:id="4"/>
    <w:bookmarkEnd w:id="5"/>
    <w:bookmarkEnd w:id="7"/>
    <w:p>
      <w:pPr>
        <w:spacing w:line="360" w:lineRule="auto"/>
        <w:ind w:firstLine="667" w:firstLineChars="318"/>
        <w:jc w:val="both"/>
        <w:rPr>
          <w:rFonts w:hint="eastAsia" w:ascii="宋体" w:hAnsi="宋体" w:eastAsia="宋体" w:cs="宋体"/>
          <w:color w:val="auto"/>
          <w:sz w:val="21"/>
          <w:szCs w:val="21"/>
          <w:highlight w:val="none"/>
          <w:lang w:val="en-US" w:eastAsia="zh-CN"/>
        </w:rPr>
      </w:pPr>
      <w:bookmarkStart w:id="10" w:name="_GoBack"/>
      <w:bookmarkEnd w:id="10"/>
    </w:p>
    <w:sectPr>
      <w:pgSz w:w="11906" w:h="16838"/>
      <w:pgMar w:top="1440" w:right="866" w:bottom="1440" w:left="11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27381"/>
    <w:multiLevelType w:val="singleLevel"/>
    <w:tmpl w:val="A7727381"/>
    <w:lvl w:ilvl="0" w:tentative="0">
      <w:start w:val="1"/>
      <w:numFmt w:val="bullet"/>
      <w:lvlText w:val=""/>
      <w:lvlJc w:val="left"/>
      <w:pPr>
        <w:ind w:left="640" w:hanging="420"/>
      </w:pPr>
      <w:rPr>
        <w:rFonts w:hint="default" w:ascii="Wingdings" w:hAnsi="Wingdings"/>
      </w:rPr>
    </w:lvl>
  </w:abstractNum>
  <w:abstractNum w:abstractNumId="1">
    <w:nsid w:val="2F30C299"/>
    <w:multiLevelType w:val="singleLevel"/>
    <w:tmpl w:val="2F30C299"/>
    <w:lvl w:ilvl="0" w:tentative="0">
      <w:start w:val="2"/>
      <w:numFmt w:val="decimal"/>
      <w:suff w:val="nothing"/>
      <w:lvlText w:val="%1、"/>
      <w:lvlJc w:val="left"/>
      <w:rPr>
        <w:rFonts w:hint="default"/>
        <w:b w:val="0"/>
        <w:bCs w:val="0"/>
      </w:rPr>
    </w:lvl>
  </w:abstractNum>
  <w:abstractNum w:abstractNumId="2">
    <w:nsid w:val="389AA009"/>
    <w:multiLevelType w:val="singleLevel"/>
    <w:tmpl w:val="389AA009"/>
    <w:lvl w:ilvl="0" w:tentative="0">
      <w:start w:val="1"/>
      <w:numFmt w:val="chineseCounting"/>
      <w:suff w:val="nothing"/>
      <w:lvlText w:val="%1、"/>
      <w:lvlJc w:val="left"/>
      <w:pPr>
        <w:tabs>
          <w:tab w:val="left" w:pos="3686"/>
        </w:tabs>
      </w:pPr>
      <w:rPr>
        <w:rFonts w:hint="eastAsia" w:ascii="宋体" w:hAnsi="宋体" w:eastAsia="宋体" w:cs="宋体"/>
        <w:sz w:val="32"/>
        <w:szCs w:val="32"/>
      </w:rPr>
    </w:lvl>
  </w:abstractNum>
  <w:abstractNum w:abstractNumId="3">
    <w:nsid w:val="4C69250B"/>
    <w:multiLevelType w:val="multilevel"/>
    <w:tmpl w:val="4C69250B"/>
    <w:lvl w:ilvl="0" w:tentative="0">
      <w:start w:val="1"/>
      <w:numFmt w:val="decimal"/>
      <w:lvlText w:val="%1"/>
      <w:lvlJc w:val="left"/>
      <w:pPr>
        <w:ind w:left="425" w:hanging="425"/>
      </w:pPr>
      <w:rPr>
        <w:rFonts w:hint="eastAsia"/>
      </w:rPr>
    </w:lvl>
    <w:lvl w:ilvl="1" w:tentative="0">
      <w:start w:val="1"/>
      <w:numFmt w:val="decimal"/>
      <w:lvlText w:val="3.%2"/>
      <w:lvlJc w:val="left"/>
      <w:pPr>
        <w:ind w:left="100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2BC02EB"/>
    <w:multiLevelType w:val="multilevel"/>
    <w:tmpl w:val="62BC02EB"/>
    <w:lvl w:ilvl="0" w:tentative="0">
      <w:start w:val="1"/>
      <w:numFmt w:val="decimal"/>
      <w:pStyle w:val="2"/>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3NjhlM2JlNWQyOTc4NjFiZTI1ZjNmZTM4NzFjNTAifQ=="/>
    <w:docVar w:name="KSO_WPS_MARK_KEY" w:val="f7f3a5dc-8aad-47e1-b7de-124201cd5ccd"/>
  </w:docVars>
  <w:rsids>
    <w:rsidRoot w:val="001644CF"/>
    <w:rsid w:val="0000572C"/>
    <w:rsid w:val="00015CC7"/>
    <w:rsid w:val="00027BBC"/>
    <w:rsid w:val="00030B18"/>
    <w:rsid w:val="0003159B"/>
    <w:rsid w:val="00042F0E"/>
    <w:rsid w:val="000506DE"/>
    <w:rsid w:val="000551E5"/>
    <w:rsid w:val="00055FDF"/>
    <w:rsid w:val="00061C9A"/>
    <w:rsid w:val="00064EA8"/>
    <w:rsid w:val="0009050D"/>
    <w:rsid w:val="000C31F5"/>
    <w:rsid w:val="000E7DCA"/>
    <w:rsid w:val="000F2CB9"/>
    <w:rsid w:val="000F49AD"/>
    <w:rsid w:val="00112D83"/>
    <w:rsid w:val="00113905"/>
    <w:rsid w:val="001307BA"/>
    <w:rsid w:val="001323F9"/>
    <w:rsid w:val="001644CF"/>
    <w:rsid w:val="00165E29"/>
    <w:rsid w:val="00172D8B"/>
    <w:rsid w:val="00174606"/>
    <w:rsid w:val="00175F0B"/>
    <w:rsid w:val="00183F37"/>
    <w:rsid w:val="00193102"/>
    <w:rsid w:val="001A0268"/>
    <w:rsid w:val="001A77AA"/>
    <w:rsid w:val="001B3054"/>
    <w:rsid w:val="001C0975"/>
    <w:rsid w:val="001D1B55"/>
    <w:rsid w:val="001F101E"/>
    <w:rsid w:val="002014C0"/>
    <w:rsid w:val="00206161"/>
    <w:rsid w:val="00223923"/>
    <w:rsid w:val="00235251"/>
    <w:rsid w:val="00255671"/>
    <w:rsid w:val="0028409F"/>
    <w:rsid w:val="00291AC4"/>
    <w:rsid w:val="00296D9D"/>
    <w:rsid w:val="002A2EAC"/>
    <w:rsid w:val="002B756F"/>
    <w:rsid w:val="002C129A"/>
    <w:rsid w:val="002D1943"/>
    <w:rsid w:val="002D753E"/>
    <w:rsid w:val="002E2797"/>
    <w:rsid w:val="002F4199"/>
    <w:rsid w:val="002F4A25"/>
    <w:rsid w:val="003153BC"/>
    <w:rsid w:val="00316452"/>
    <w:rsid w:val="00330269"/>
    <w:rsid w:val="00332239"/>
    <w:rsid w:val="00332B1D"/>
    <w:rsid w:val="00335848"/>
    <w:rsid w:val="003538E0"/>
    <w:rsid w:val="00367E0B"/>
    <w:rsid w:val="00373400"/>
    <w:rsid w:val="0037391E"/>
    <w:rsid w:val="00375CB0"/>
    <w:rsid w:val="003874B1"/>
    <w:rsid w:val="00390984"/>
    <w:rsid w:val="00396F21"/>
    <w:rsid w:val="00397269"/>
    <w:rsid w:val="003A5B1D"/>
    <w:rsid w:val="003C2872"/>
    <w:rsid w:val="004020A3"/>
    <w:rsid w:val="004077E1"/>
    <w:rsid w:val="00416B75"/>
    <w:rsid w:val="004236F4"/>
    <w:rsid w:val="004302D1"/>
    <w:rsid w:val="0045000C"/>
    <w:rsid w:val="00453B28"/>
    <w:rsid w:val="00461B90"/>
    <w:rsid w:val="00466BAC"/>
    <w:rsid w:val="0047394D"/>
    <w:rsid w:val="00495CA7"/>
    <w:rsid w:val="0049754F"/>
    <w:rsid w:val="004A329D"/>
    <w:rsid w:val="004B4CDD"/>
    <w:rsid w:val="004D2468"/>
    <w:rsid w:val="004D2E8A"/>
    <w:rsid w:val="004F7C8B"/>
    <w:rsid w:val="005006FF"/>
    <w:rsid w:val="005077EF"/>
    <w:rsid w:val="00537830"/>
    <w:rsid w:val="00570072"/>
    <w:rsid w:val="00571F46"/>
    <w:rsid w:val="0058148E"/>
    <w:rsid w:val="005A77E4"/>
    <w:rsid w:val="005B02F2"/>
    <w:rsid w:val="005C1CC9"/>
    <w:rsid w:val="005C6578"/>
    <w:rsid w:val="005F2E21"/>
    <w:rsid w:val="0060078E"/>
    <w:rsid w:val="00617347"/>
    <w:rsid w:val="00621657"/>
    <w:rsid w:val="00630952"/>
    <w:rsid w:val="006558B1"/>
    <w:rsid w:val="006851A0"/>
    <w:rsid w:val="0069154A"/>
    <w:rsid w:val="00694038"/>
    <w:rsid w:val="006D5366"/>
    <w:rsid w:val="007022ED"/>
    <w:rsid w:val="007066DD"/>
    <w:rsid w:val="00706FF6"/>
    <w:rsid w:val="007079E6"/>
    <w:rsid w:val="007144EA"/>
    <w:rsid w:val="00723A5A"/>
    <w:rsid w:val="00734A98"/>
    <w:rsid w:val="00753CBD"/>
    <w:rsid w:val="0076111A"/>
    <w:rsid w:val="00767FC6"/>
    <w:rsid w:val="007808EC"/>
    <w:rsid w:val="00786C16"/>
    <w:rsid w:val="0078770E"/>
    <w:rsid w:val="007B04AD"/>
    <w:rsid w:val="007E1E83"/>
    <w:rsid w:val="0080175E"/>
    <w:rsid w:val="00801CB9"/>
    <w:rsid w:val="00811F2A"/>
    <w:rsid w:val="00812EEC"/>
    <w:rsid w:val="00816A74"/>
    <w:rsid w:val="00822FE1"/>
    <w:rsid w:val="00834BD4"/>
    <w:rsid w:val="00847C2C"/>
    <w:rsid w:val="00850DAC"/>
    <w:rsid w:val="00852B10"/>
    <w:rsid w:val="00857686"/>
    <w:rsid w:val="008623F2"/>
    <w:rsid w:val="00865978"/>
    <w:rsid w:val="0087256B"/>
    <w:rsid w:val="008A1DF8"/>
    <w:rsid w:val="008A30AE"/>
    <w:rsid w:val="008A40FA"/>
    <w:rsid w:val="008C370E"/>
    <w:rsid w:val="008D107A"/>
    <w:rsid w:val="008D7999"/>
    <w:rsid w:val="008E04CB"/>
    <w:rsid w:val="008E6BAF"/>
    <w:rsid w:val="008E7773"/>
    <w:rsid w:val="008F1C83"/>
    <w:rsid w:val="008F24B4"/>
    <w:rsid w:val="00910D33"/>
    <w:rsid w:val="00930362"/>
    <w:rsid w:val="00953D17"/>
    <w:rsid w:val="009824EA"/>
    <w:rsid w:val="009A5D7C"/>
    <w:rsid w:val="009B54BE"/>
    <w:rsid w:val="009C2FD5"/>
    <w:rsid w:val="009C586A"/>
    <w:rsid w:val="009D507F"/>
    <w:rsid w:val="009E545D"/>
    <w:rsid w:val="00A070DA"/>
    <w:rsid w:val="00A23697"/>
    <w:rsid w:val="00A2514C"/>
    <w:rsid w:val="00A27235"/>
    <w:rsid w:val="00A740C6"/>
    <w:rsid w:val="00A8052C"/>
    <w:rsid w:val="00AA33C8"/>
    <w:rsid w:val="00AD34E8"/>
    <w:rsid w:val="00AF3ED6"/>
    <w:rsid w:val="00AF5B72"/>
    <w:rsid w:val="00B10F50"/>
    <w:rsid w:val="00B15418"/>
    <w:rsid w:val="00B16D45"/>
    <w:rsid w:val="00B25071"/>
    <w:rsid w:val="00B324F3"/>
    <w:rsid w:val="00B56245"/>
    <w:rsid w:val="00B56A52"/>
    <w:rsid w:val="00B651C4"/>
    <w:rsid w:val="00B936CF"/>
    <w:rsid w:val="00B954E2"/>
    <w:rsid w:val="00BA0E1D"/>
    <w:rsid w:val="00BD3D2D"/>
    <w:rsid w:val="00BE3C84"/>
    <w:rsid w:val="00BE3E29"/>
    <w:rsid w:val="00BE6F35"/>
    <w:rsid w:val="00C151FA"/>
    <w:rsid w:val="00C30A11"/>
    <w:rsid w:val="00C43A4A"/>
    <w:rsid w:val="00C55808"/>
    <w:rsid w:val="00C61DB8"/>
    <w:rsid w:val="00C74A9D"/>
    <w:rsid w:val="00CA0A4A"/>
    <w:rsid w:val="00CA3C90"/>
    <w:rsid w:val="00CB2A57"/>
    <w:rsid w:val="00CD4BBC"/>
    <w:rsid w:val="00CE0621"/>
    <w:rsid w:val="00CE1FC9"/>
    <w:rsid w:val="00CE249E"/>
    <w:rsid w:val="00CE7004"/>
    <w:rsid w:val="00CF4363"/>
    <w:rsid w:val="00CF5864"/>
    <w:rsid w:val="00CF5B3A"/>
    <w:rsid w:val="00D12560"/>
    <w:rsid w:val="00D25320"/>
    <w:rsid w:val="00D373E0"/>
    <w:rsid w:val="00D50E01"/>
    <w:rsid w:val="00D51998"/>
    <w:rsid w:val="00D57A77"/>
    <w:rsid w:val="00D71F6F"/>
    <w:rsid w:val="00D74898"/>
    <w:rsid w:val="00D86294"/>
    <w:rsid w:val="00D9126F"/>
    <w:rsid w:val="00D9253E"/>
    <w:rsid w:val="00DA4920"/>
    <w:rsid w:val="00DC694A"/>
    <w:rsid w:val="00DD663A"/>
    <w:rsid w:val="00DE7810"/>
    <w:rsid w:val="00DE7D44"/>
    <w:rsid w:val="00DF2481"/>
    <w:rsid w:val="00DF4E77"/>
    <w:rsid w:val="00E271F1"/>
    <w:rsid w:val="00E30386"/>
    <w:rsid w:val="00E46F2A"/>
    <w:rsid w:val="00E53CCA"/>
    <w:rsid w:val="00E7361E"/>
    <w:rsid w:val="00E87CFE"/>
    <w:rsid w:val="00EA01BE"/>
    <w:rsid w:val="00EC2945"/>
    <w:rsid w:val="00EE4217"/>
    <w:rsid w:val="00EE77DB"/>
    <w:rsid w:val="00EF142B"/>
    <w:rsid w:val="00F053CE"/>
    <w:rsid w:val="00F07659"/>
    <w:rsid w:val="00F22A9E"/>
    <w:rsid w:val="00F3269B"/>
    <w:rsid w:val="00F46C6C"/>
    <w:rsid w:val="00F51B73"/>
    <w:rsid w:val="00F62D8A"/>
    <w:rsid w:val="00F66352"/>
    <w:rsid w:val="00F72841"/>
    <w:rsid w:val="00FC0324"/>
    <w:rsid w:val="00FC772C"/>
    <w:rsid w:val="00FD2EA2"/>
    <w:rsid w:val="00FE3DF8"/>
    <w:rsid w:val="00FE5F3E"/>
    <w:rsid w:val="00FF09C1"/>
    <w:rsid w:val="011B1E69"/>
    <w:rsid w:val="01557671"/>
    <w:rsid w:val="0249586E"/>
    <w:rsid w:val="05777AAA"/>
    <w:rsid w:val="05A42BB6"/>
    <w:rsid w:val="0712453B"/>
    <w:rsid w:val="08C31F4D"/>
    <w:rsid w:val="0B127603"/>
    <w:rsid w:val="0BE900A8"/>
    <w:rsid w:val="0C6B3C18"/>
    <w:rsid w:val="0D6772AF"/>
    <w:rsid w:val="0E4D5158"/>
    <w:rsid w:val="0F4E4383"/>
    <w:rsid w:val="11BE7699"/>
    <w:rsid w:val="12B31008"/>
    <w:rsid w:val="131F1790"/>
    <w:rsid w:val="13332E81"/>
    <w:rsid w:val="13F964A3"/>
    <w:rsid w:val="154A3544"/>
    <w:rsid w:val="15BC1426"/>
    <w:rsid w:val="16425111"/>
    <w:rsid w:val="19071257"/>
    <w:rsid w:val="1945776E"/>
    <w:rsid w:val="197B6A57"/>
    <w:rsid w:val="1A7B0E98"/>
    <w:rsid w:val="1C4F3E85"/>
    <w:rsid w:val="1E3161AD"/>
    <w:rsid w:val="1E924542"/>
    <w:rsid w:val="1EB97C40"/>
    <w:rsid w:val="215112D1"/>
    <w:rsid w:val="22F2659C"/>
    <w:rsid w:val="24A43C1D"/>
    <w:rsid w:val="24D630E1"/>
    <w:rsid w:val="2590136A"/>
    <w:rsid w:val="26CA46FB"/>
    <w:rsid w:val="26D031BE"/>
    <w:rsid w:val="27713825"/>
    <w:rsid w:val="28BA0629"/>
    <w:rsid w:val="296E3516"/>
    <w:rsid w:val="2981634E"/>
    <w:rsid w:val="29BA33CF"/>
    <w:rsid w:val="2A257A77"/>
    <w:rsid w:val="2BAA77CA"/>
    <w:rsid w:val="2C587469"/>
    <w:rsid w:val="304D150F"/>
    <w:rsid w:val="30AC0B1A"/>
    <w:rsid w:val="315B1240"/>
    <w:rsid w:val="316A11E2"/>
    <w:rsid w:val="31CF560C"/>
    <w:rsid w:val="31EB7934"/>
    <w:rsid w:val="32D967FF"/>
    <w:rsid w:val="37A210B2"/>
    <w:rsid w:val="37C61D4C"/>
    <w:rsid w:val="383008AE"/>
    <w:rsid w:val="38D60874"/>
    <w:rsid w:val="39DE1613"/>
    <w:rsid w:val="3A410793"/>
    <w:rsid w:val="3A7F5A33"/>
    <w:rsid w:val="3B0D1B8E"/>
    <w:rsid w:val="3BBB520D"/>
    <w:rsid w:val="4018153F"/>
    <w:rsid w:val="40727E34"/>
    <w:rsid w:val="40C25689"/>
    <w:rsid w:val="416C756D"/>
    <w:rsid w:val="4334034B"/>
    <w:rsid w:val="448D44D2"/>
    <w:rsid w:val="44F345B5"/>
    <w:rsid w:val="46250C56"/>
    <w:rsid w:val="466B595D"/>
    <w:rsid w:val="46BF4E0F"/>
    <w:rsid w:val="46C74583"/>
    <w:rsid w:val="47935D64"/>
    <w:rsid w:val="48377115"/>
    <w:rsid w:val="487C202B"/>
    <w:rsid w:val="49553489"/>
    <w:rsid w:val="4A5F7808"/>
    <w:rsid w:val="4BDB0ADA"/>
    <w:rsid w:val="4CA02142"/>
    <w:rsid w:val="4DA57F0A"/>
    <w:rsid w:val="4EC21DFF"/>
    <w:rsid w:val="4FA53B12"/>
    <w:rsid w:val="4FBF128A"/>
    <w:rsid w:val="51011EE6"/>
    <w:rsid w:val="51C9766B"/>
    <w:rsid w:val="51DC5BEE"/>
    <w:rsid w:val="52773407"/>
    <w:rsid w:val="53E778CD"/>
    <w:rsid w:val="54C30791"/>
    <w:rsid w:val="570929A0"/>
    <w:rsid w:val="57C77C91"/>
    <w:rsid w:val="599A1125"/>
    <w:rsid w:val="59A776A2"/>
    <w:rsid w:val="59B24A0B"/>
    <w:rsid w:val="5B9B033F"/>
    <w:rsid w:val="5C5A5497"/>
    <w:rsid w:val="5D106F9E"/>
    <w:rsid w:val="5D683F27"/>
    <w:rsid w:val="5E127964"/>
    <w:rsid w:val="5E2204E0"/>
    <w:rsid w:val="5EA77B18"/>
    <w:rsid w:val="5EA86086"/>
    <w:rsid w:val="60A84F43"/>
    <w:rsid w:val="60A92BB4"/>
    <w:rsid w:val="6211375E"/>
    <w:rsid w:val="624A7C66"/>
    <w:rsid w:val="62CB0DBF"/>
    <w:rsid w:val="62D15C25"/>
    <w:rsid w:val="632E6EBA"/>
    <w:rsid w:val="649F0E05"/>
    <w:rsid w:val="64C26A22"/>
    <w:rsid w:val="65041F58"/>
    <w:rsid w:val="65C965AE"/>
    <w:rsid w:val="66850B7A"/>
    <w:rsid w:val="69EA1AD7"/>
    <w:rsid w:val="6A7D691E"/>
    <w:rsid w:val="6ABC6FAC"/>
    <w:rsid w:val="6B5D703D"/>
    <w:rsid w:val="6D5F0413"/>
    <w:rsid w:val="6E1D0390"/>
    <w:rsid w:val="6E540744"/>
    <w:rsid w:val="6F75502C"/>
    <w:rsid w:val="6FB72BD4"/>
    <w:rsid w:val="705B5B56"/>
    <w:rsid w:val="70B12940"/>
    <w:rsid w:val="72890C9D"/>
    <w:rsid w:val="732A3C71"/>
    <w:rsid w:val="74EB5B8D"/>
    <w:rsid w:val="74F7652D"/>
    <w:rsid w:val="751908BD"/>
    <w:rsid w:val="75BE254C"/>
    <w:rsid w:val="767B3E8C"/>
    <w:rsid w:val="77DF0F52"/>
    <w:rsid w:val="77E526D1"/>
    <w:rsid w:val="78C57BC6"/>
    <w:rsid w:val="7920620D"/>
    <w:rsid w:val="7BD62D9B"/>
    <w:rsid w:val="7CAA4913"/>
    <w:rsid w:val="7CED41A1"/>
    <w:rsid w:val="7D4D25FB"/>
    <w:rsid w:val="7D62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link w:val="34"/>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28"/>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5">
    <w:name w:val="heading 5"/>
    <w:basedOn w:val="1"/>
    <w:next w:val="1"/>
    <w:link w:val="87"/>
    <w:qFormat/>
    <w:uiPriority w:val="0"/>
    <w:pPr>
      <w:keepNext/>
      <w:keepLines/>
      <w:spacing w:before="120" w:beforeLines="50" w:after="120" w:afterLines="50"/>
      <w:jc w:val="both"/>
      <w:outlineLvl w:val="4"/>
    </w:pPr>
    <w:rPr>
      <w:rFonts w:ascii="黑体" w:hAnsi="黑体" w:eastAsia="黑体" w:cs="Times New Roman"/>
      <w:bCs/>
      <w:sz w:val="24"/>
      <w:szCs w:val="24"/>
      <w:lang w:bidi="en-US"/>
    </w:rPr>
  </w:style>
  <w:style w:type="paragraph" w:styleId="6">
    <w:name w:val="heading 6"/>
    <w:basedOn w:val="1"/>
    <w:next w:val="1"/>
    <w:link w:val="88"/>
    <w:qFormat/>
    <w:uiPriority w:val="0"/>
    <w:pPr>
      <w:keepNext/>
      <w:keepLines/>
      <w:tabs>
        <w:tab w:val="left" w:pos="1152"/>
      </w:tabs>
      <w:spacing w:before="240" w:after="64" w:line="320" w:lineRule="auto"/>
      <w:jc w:val="both"/>
      <w:outlineLvl w:val="5"/>
    </w:pPr>
    <w:rPr>
      <w:rFonts w:ascii="Arial" w:hAnsi="Arial" w:eastAsia="黑体" w:cs="Times New Roman"/>
      <w:b/>
      <w:bCs/>
      <w:kern w:val="2"/>
      <w:sz w:val="24"/>
      <w:szCs w:val="24"/>
      <w:lang w:eastAsia="zh-CN"/>
    </w:rPr>
  </w:style>
  <w:style w:type="paragraph" w:styleId="7">
    <w:name w:val="heading 7"/>
    <w:basedOn w:val="1"/>
    <w:next w:val="1"/>
    <w:link w:val="89"/>
    <w:qFormat/>
    <w:uiPriority w:val="0"/>
    <w:pPr>
      <w:keepNext/>
      <w:keepLines/>
      <w:tabs>
        <w:tab w:val="left" w:pos="1296"/>
      </w:tabs>
      <w:spacing w:before="240" w:after="64" w:line="320" w:lineRule="auto"/>
      <w:jc w:val="both"/>
      <w:outlineLvl w:val="6"/>
    </w:pPr>
    <w:rPr>
      <w:rFonts w:ascii="Times New Roman" w:hAnsi="Times New Roman" w:eastAsia="宋体" w:cs="Times New Roman"/>
      <w:b/>
      <w:bCs/>
      <w:kern w:val="2"/>
      <w:sz w:val="24"/>
      <w:szCs w:val="24"/>
      <w:lang w:eastAsia="zh-CN"/>
    </w:rPr>
  </w:style>
  <w:style w:type="paragraph" w:styleId="8">
    <w:name w:val="heading 8"/>
    <w:basedOn w:val="1"/>
    <w:next w:val="1"/>
    <w:link w:val="90"/>
    <w:qFormat/>
    <w:uiPriority w:val="0"/>
    <w:pPr>
      <w:keepNext/>
      <w:keepLines/>
      <w:tabs>
        <w:tab w:val="left" w:pos="1440"/>
      </w:tabs>
      <w:spacing w:before="240" w:after="64" w:line="320" w:lineRule="auto"/>
      <w:jc w:val="both"/>
      <w:outlineLvl w:val="7"/>
    </w:pPr>
    <w:rPr>
      <w:rFonts w:ascii="Arial" w:hAnsi="Arial" w:eastAsia="黑体" w:cs="Times New Roman"/>
      <w:kern w:val="2"/>
      <w:sz w:val="24"/>
      <w:szCs w:val="24"/>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link w:val="40"/>
    <w:qFormat/>
    <w:uiPriority w:val="34"/>
    <w:pPr>
      <w:numPr>
        <w:ilvl w:val="0"/>
        <w:numId w:val="1"/>
      </w:numPr>
      <w:spacing w:line="360" w:lineRule="auto"/>
      <w:ind w:firstLine="0" w:firstLineChars="0"/>
    </w:pPr>
    <w:rPr>
      <w:rFonts w:ascii="微软雅黑" w:hAnsi="微软雅黑" w:eastAsia="微软雅黑" w:cs="Times New Roman"/>
      <w:sz w:val="24"/>
      <w:szCs w:val="24"/>
      <w:lang w:eastAsia="zh-CN"/>
    </w:rPr>
  </w:style>
  <w:style w:type="paragraph" w:styleId="9">
    <w:name w:val="Normal Indent"/>
    <w:basedOn w:val="1"/>
    <w:semiHidden/>
    <w:unhideWhenUsed/>
    <w:qFormat/>
    <w:uiPriority w:val="99"/>
    <w:pPr>
      <w:ind w:firstLine="420" w:firstLineChars="200"/>
    </w:pPr>
  </w:style>
  <w:style w:type="paragraph" w:styleId="10">
    <w:name w:val="annotation text"/>
    <w:basedOn w:val="1"/>
    <w:semiHidden/>
    <w:unhideWhenUsed/>
    <w:qFormat/>
    <w:uiPriority w:val="99"/>
  </w:style>
  <w:style w:type="paragraph" w:styleId="11">
    <w:name w:val="Body Text"/>
    <w:basedOn w:val="1"/>
    <w:next w:val="12"/>
    <w:link w:val="30"/>
    <w:qFormat/>
    <w:uiPriority w:val="1"/>
    <w:pPr>
      <w:ind w:firstLine="200" w:firstLineChars="200"/>
      <w:jc w:val="both"/>
    </w:pPr>
    <w:rPr>
      <w:rFonts w:ascii="Microsoft YaHei UI" w:hAnsi="Microsoft YaHei UI" w:eastAsia="Microsoft YaHei UI"/>
      <w:sz w:val="21"/>
      <w:szCs w:val="21"/>
    </w:rPr>
  </w:style>
  <w:style w:type="paragraph" w:styleId="12">
    <w:name w:val="Date"/>
    <w:basedOn w:val="1"/>
    <w:next w:val="1"/>
    <w:qFormat/>
    <w:uiPriority w:val="0"/>
    <w:rPr>
      <w:rFonts w:ascii="Times New Roman" w:hAnsi="Times New Roman" w:eastAsia="楷体_GB2312" w:cs="Times New Roman"/>
      <w:sz w:val="30"/>
      <w:szCs w:val="20"/>
    </w:rPr>
  </w:style>
  <w:style w:type="paragraph" w:styleId="13">
    <w:name w:val="toc 3"/>
    <w:basedOn w:val="1"/>
    <w:next w:val="1"/>
    <w:unhideWhenUsed/>
    <w:qFormat/>
    <w:uiPriority w:val="39"/>
    <w:pPr>
      <w:widowControl/>
      <w:spacing w:after="100" w:line="259" w:lineRule="auto"/>
      <w:ind w:left="440"/>
    </w:pPr>
    <w:rPr>
      <w:rFonts w:cs="Times New Roman"/>
      <w:lang w:eastAsia="zh-CN"/>
    </w:rPr>
  </w:style>
  <w:style w:type="paragraph" w:styleId="14">
    <w:name w:val="Balloon Text"/>
    <w:basedOn w:val="1"/>
    <w:link w:val="39"/>
    <w:semiHidden/>
    <w:unhideWhenUsed/>
    <w:qFormat/>
    <w:uiPriority w:val="99"/>
    <w:rPr>
      <w:sz w:val="18"/>
      <w:szCs w:val="18"/>
    </w:rPr>
  </w:style>
  <w:style w:type="paragraph" w:styleId="15">
    <w:name w:val="footer"/>
    <w:basedOn w:val="1"/>
    <w:link w:val="38"/>
    <w:unhideWhenUsed/>
    <w:qFormat/>
    <w:uiPriority w:val="99"/>
    <w:pPr>
      <w:tabs>
        <w:tab w:val="center" w:pos="4153"/>
        <w:tab w:val="right" w:pos="8306"/>
      </w:tabs>
      <w:snapToGrid w:val="0"/>
    </w:pPr>
    <w:rPr>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pPr>
    <w:rPr>
      <w:rFonts w:cs="Times New Roman"/>
      <w:lang w:eastAsia="zh-CN"/>
    </w:rPr>
  </w:style>
  <w:style w:type="paragraph" w:styleId="18">
    <w:name w:val="Body Text First Indent"/>
    <w:basedOn w:val="11"/>
    <w:qFormat/>
    <w:uiPriority w:val="0"/>
    <w:pPr>
      <w:spacing w:line="360" w:lineRule="auto"/>
      <w:ind w:firstLine="420" w:firstLineChars="100"/>
    </w:pPr>
    <w:rPr>
      <w:rFonts w:ascii="微软雅黑" w:hAnsi="微软雅黑" w:eastAsia="微软雅黑" w:cs="微软雅黑"/>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u w:val="single"/>
    </w:rPr>
  </w:style>
  <w:style w:type="character" w:styleId="23">
    <w:name w:val="Hyperlink"/>
    <w:basedOn w:val="21"/>
    <w:unhideWhenUsed/>
    <w:qFormat/>
    <w:uiPriority w:val="99"/>
    <w:rPr>
      <w:color w:val="0000FF"/>
      <w:u w:val="single"/>
    </w:rPr>
  </w:style>
  <w:style w:type="paragraph" w:customStyle="1" w:styleId="24">
    <w:name w:val="默认段落字体 Para Char"/>
    <w:basedOn w:val="25"/>
    <w:next w:val="25"/>
    <w:qFormat/>
    <w:uiPriority w:val="0"/>
    <w:pPr>
      <w:spacing w:before="80" w:after="80" w:line="360" w:lineRule="auto"/>
    </w:pPr>
    <w:rPr>
      <w:sz w:val="24"/>
    </w:rPr>
  </w:style>
  <w:style w:type="paragraph" w:customStyle="1" w:styleId="25">
    <w:name w:val="Normal_1"/>
    <w:qFormat/>
    <w:uiPriority w:val="1"/>
    <w:pPr>
      <w:widowControl w:val="0"/>
    </w:pPr>
    <w:rPr>
      <w:rFonts w:ascii="宋体" w:hAnsi="宋体" w:eastAsia="宋体" w:cs="宋体"/>
      <w:sz w:val="22"/>
      <w:lang w:val="en-US" w:eastAsia="en-US" w:bidi="ar-SA"/>
    </w:rPr>
  </w:style>
  <w:style w:type="paragraph" w:customStyle="1" w:styleId="26">
    <w:name w:val="章节题目"/>
    <w:basedOn w:val="27"/>
    <w:next w:val="1"/>
    <w:qFormat/>
    <w:uiPriority w:val="0"/>
    <w:pPr>
      <w:spacing w:before="720" w:after="400" w:line="540" w:lineRule="atLeast"/>
      <w:ind w:right="2160"/>
    </w:pPr>
    <w:rPr>
      <w:spacing w:val="-40"/>
      <w:sz w:val="60"/>
    </w:rPr>
  </w:style>
  <w:style w:type="paragraph" w:customStyle="1" w:styleId="27">
    <w:name w:val="基准标题"/>
    <w:basedOn w:val="1"/>
    <w:next w:val="11"/>
    <w:qFormat/>
    <w:uiPriority w:val="0"/>
    <w:pPr>
      <w:keepNext/>
      <w:keepLines/>
      <w:spacing w:before="140" w:line="220" w:lineRule="atLeast"/>
    </w:pPr>
    <w:rPr>
      <w:rFonts w:ascii="Arial" w:hAnsi="Arial"/>
      <w:spacing w:val="-4"/>
      <w:kern w:val="28"/>
    </w:rPr>
  </w:style>
  <w:style w:type="character" w:customStyle="1" w:styleId="28">
    <w:name w:val="标题 2 字符"/>
    <w:basedOn w:val="21"/>
    <w:link w:val="4"/>
    <w:qFormat/>
    <w:uiPriority w:val="1"/>
    <w:rPr>
      <w:rFonts w:ascii="Microsoft YaHei UI" w:hAnsi="Microsoft YaHei UI" w:eastAsia="Microsoft YaHei UI"/>
      <w:spacing w:val="2"/>
      <w:kern w:val="0"/>
      <w:sz w:val="32"/>
      <w:szCs w:val="32"/>
    </w:rPr>
  </w:style>
  <w:style w:type="table" w:customStyle="1" w:styleId="29">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0">
    <w:name w:val="正文文本 字符"/>
    <w:basedOn w:val="21"/>
    <w:link w:val="11"/>
    <w:qFormat/>
    <w:uiPriority w:val="1"/>
    <w:rPr>
      <w:rFonts w:ascii="Microsoft YaHei UI" w:hAnsi="Microsoft YaHei UI" w:eastAsia="Microsoft YaHei UI"/>
      <w:kern w:val="0"/>
      <w:szCs w:val="21"/>
      <w:lang w:eastAsia="en-US"/>
    </w:rPr>
  </w:style>
  <w:style w:type="paragraph" w:customStyle="1" w:styleId="3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Table Paragraph"/>
    <w:basedOn w:val="1"/>
    <w:qFormat/>
    <w:uiPriority w:val="1"/>
  </w:style>
  <w:style w:type="paragraph" w:customStyle="1" w:styleId="3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4">
    <w:name w:val="标题 1 字符"/>
    <w:basedOn w:val="21"/>
    <w:link w:val="3"/>
    <w:qFormat/>
    <w:uiPriority w:val="9"/>
    <w:rPr>
      <w:rFonts w:ascii="Times New Roman" w:hAnsi="Times New Roman" w:eastAsia="宋体" w:cs="Times New Roman"/>
      <w:b/>
      <w:bCs/>
      <w:kern w:val="44"/>
      <w:sz w:val="44"/>
      <w:szCs w:val="44"/>
      <w:lang w:val="zh-CN" w:eastAsia="zh-CN"/>
    </w:rPr>
  </w:style>
  <w:style w:type="paragraph" w:customStyle="1" w:styleId="35">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6">
    <w:name w:val="设计正文2"/>
    <w:basedOn w:val="1"/>
    <w:qFormat/>
    <w:uiPriority w:val="0"/>
    <w:pPr>
      <w:snapToGrid w:val="0"/>
      <w:spacing w:before="160" w:line="320" w:lineRule="atLeast"/>
      <w:jc w:val="both"/>
    </w:pPr>
    <w:rPr>
      <w:rFonts w:ascii="Times New Roman" w:hAnsi="Times New Roman" w:eastAsia="宋体" w:cs="Times New Roman"/>
      <w:kern w:val="2"/>
      <w:sz w:val="24"/>
      <w:szCs w:val="20"/>
      <w:lang w:eastAsia="zh-CN"/>
    </w:rPr>
  </w:style>
  <w:style w:type="character" w:customStyle="1" w:styleId="37">
    <w:name w:val="页眉 字符"/>
    <w:basedOn w:val="21"/>
    <w:link w:val="16"/>
    <w:qFormat/>
    <w:uiPriority w:val="99"/>
    <w:rPr>
      <w:kern w:val="0"/>
      <w:sz w:val="18"/>
      <w:szCs w:val="18"/>
      <w:lang w:eastAsia="en-US"/>
    </w:rPr>
  </w:style>
  <w:style w:type="character" w:customStyle="1" w:styleId="38">
    <w:name w:val="页脚 字符"/>
    <w:basedOn w:val="21"/>
    <w:link w:val="15"/>
    <w:qFormat/>
    <w:uiPriority w:val="99"/>
    <w:rPr>
      <w:kern w:val="0"/>
      <w:sz w:val="18"/>
      <w:szCs w:val="18"/>
      <w:lang w:eastAsia="en-US"/>
    </w:rPr>
  </w:style>
  <w:style w:type="character" w:customStyle="1" w:styleId="39">
    <w:name w:val="批注框文本 字符"/>
    <w:basedOn w:val="21"/>
    <w:link w:val="14"/>
    <w:semiHidden/>
    <w:qFormat/>
    <w:uiPriority w:val="99"/>
    <w:rPr>
      <w:kern w:val="0"/>
      <w:sz w:val="18"/>
      <w:szCs w:val="18"/>
      <w:lang w:eastAsia="en-US"/>
    </w:rPr>
  </w:style>
  <w:style w:type="character" w:customStyle="1" w:styleId="40">
    <w:name w:val="列表段落 字符"/>
    <w:link w:val="2"/>
    <w:qFormat/>
    <w:locked/>
    <w:uiPriority w:val="34"/>
    <w:rPr>
      <w:rFonts w:ascii="微软雅黑" w:hAnsi="微软雅黑" w:eastAsia="微软雅黑"/>
      <w:sz w:val="24"/>
      <w:szCs w:val="24"/>
    </w:rPr>
  </w:style>
  <w:style w:type="character" w:customStyle="1" w:styleId="41">
    <w:name w:val="font11"/>
    <w:basedOn w:val="21"/>
    <w:qFormat/>
    <w:uiPriority w:val="0"/>
    <w:rPr>
      <w:rFonts w:hint="eastAsia" w:ascii="宋体" w:hAnsi="宋体" w:eastAsia="宋体" w:cs="宋体"/>
      <w:color w:val="000000"/>
      <w:sz w:val="22"/>
      <w:szCs w:val="22"/>
      <w:u w:val="none"/>
    </w:rPr>
  </w:style>
  <w:style w:type="character" w:customStyle="1" w:styleId="42">
    <w:name w:val="font01"/>
    <w:basedOn w:val="21"/>
    <w:qFormat/>
    <w:uiPriority w:val="0"/>
    <w:rPr>
      <w:rFonts w:hint="eastAsia" w:ascii="宋体" w:hAnsi="宋体" w:eastAsia="宋体" w:cs="宋体"/>
      <w:color w:val="000000"/>
      <w:sz w:val="18"/>
      <w:szCs w:val="18"/>
      <w:u w:val="none"/>
    </w:rPr>
  </w:style>
  <w:style w:type="character" w:customStyle="1" w:styleId="43">
    <w:name w:val="font31"/>
    <w:basedOn w:val="21"/>
    <w:qFormat/>
    <w:uiPriority w:val="0"/>
    <w:rPr>
      <w:rFonts w:ascii="Arial" w:hAnsi="Arial" w:cs="Arial"/>
      <w:color w:val="FF0000"/>
      <w:sz w:val="18"/>
      <w:szCs w:val="18"/>
      <w:u w:val="none"/>
    </w:rPr>
  </w:style>
  <w:style w:type="character" w:customStyle="1" w:styleId="44">
    <w:name w:val="font21"/>
    <w:basedOn w:val="21"/>
    <w:qFormat/>
    <w:uiPriority w:val="0"/>
    <w:rPr>
      <w:rFonts w:hint="eastAsia" w:ascii="宋体" w:hAnsi="宋体" w:eastAsia="宋体" w:cs="宋体"/>
      <w:color w:val="FF0000"/>
      <w:sz w:val="18"/>
      <w:szCs w:val="18"/>
      <w:u w:val="none"/>
    </w:rPr>
  </w:style>
  <w:style w:type="character" w:customStyle="1" w:styleId="45">
    <w:name w:val="font91"/>
    <w:basedOn w:val="21"/>
    <w:qFormat/>
    <w:uiPriority w:val="0"/>
    <w:rPr>
      <w:rFonts w:hint="eastAsia" w:ascii="宋体" w:hAnsi="宋体" w:eastAsia="宋体" w:cs="宋体"/>
      <w:color w:val="000000"/>
      <w:sz w:val="18"/>
      <w:szCs w:val="18"/>
      <w:u w:val="none"/>
    </w:rPr>
  </w:style>
  <w:style w:type="character" w:customStyle="1" w:styleId="46">
    <w:name w:val="font101"/>
    <w:basedOn w:val="21"/>
    <w:qFormat/>
    <w:uiPriority w:val="0"/>
    <w:rPr>
      <w:rFonts w:hint="eastAsia" w:ascii="宋体" w:hAnsi="宋体" w:eastAsia="宋体" w:cs="宋体"/>
      <w:color w:val="000000"/>
      <w:sz w:val="20"/>
      <w:szCs w:val="20"/>
      <w:u w:val="none"/>
    </w:rPr>
  </w:style>
  <w:style w:type="character" w:customStyle="1" w:styleId="47">
    <w:name w:val="font112"/>
    <w:basedOn w:val="21"/>
    <w:qFormat/>
    <w:uiPriority w:val="0"/>
    <w:rPr>
      <w:rFonts w:hint="eastAsia" w:ascii="宋体" w:hAnsi="宋体" w:eastAsia="宋体" w:cs="宋体"/>
      <w:color w:val="000000"/>
      <w:sz w:val="21"/>
      <w:szCs w:val="21"/>
      <w:u w:val="none"/>
    </w:rPr>
  </w:style>
  <w:style w:type="character" w:customStyle="1" w:styleId="48">
    <w:name w:val="font81"/>
    <w:basedOn w:val="21"/>
    <w:qFormat/>
    <w:uiPriority w:val="0"/>
    <w:rPr>
      <w:rFonts w:hint="eastAsia" w:ascii="宋体" w:hAnsi="宋体" w:eastAsia="宋体" w:cs="宋体"/>
      <w:color w:val="000000"/>
      <w:sz w:val="20"/>
      <w:szCs w:val="20"/>
      <w:u w:val="none"/>
    </w:rPr>
  </w:style>
  <w:style w:type="paragraph" w:customStyle="1" w:styleId="49">
    <w:name w:val="msonormal"/>
    <w:basedOn w:val="1"/>
    <w:qFormat/>
    <w:uiPriority w:val="0"/>
    <w:pPr>
      <w:widowControl/>
      <w:spacing w:before="100" w:beforeAutospacing="1" w:after="100" w:afterAutospacing="1"/>
    </w:pPr>
    <w:rPr>
      <w:rFonts w:ascii="宋体" w:hAnsi="宋体" w:eastAsia="宋体" w:cs="宋体"/>
      <w:sz w:val="24"/>
      <w:szCs w:val="24"/>
      <w:lang w:eastAsia="zh-CN"/>
    </w:rPr>
  </w:style>
  <w:style w:type="paragraph" w:customStyle="1" w:styleId="50">
    <w:name w:val="font5"/>
    <w:basedOn w:val="1"/>
    <w:qFormat/>
    <w:uiPriority w:val="0"/>
    <w:pPr>
      <w:widowControl/>
      <w:spacing w:before="100" w:beforeAutospacing="1" w:after="100" w:afterAutospacing="1"/>
    </w:pPr>
    <w:rPr>
      <w:rFonts w:ascii="等线" w:hAnsi="等线" w:eastAsia="等线" w:cs="宋体"/>
      <w:sz w:val="18"/>
      <w:szCs w:val="18"/>
      <w:lang w:eastAsia="zh-CN"/>
    </w:rPr>
  </w:style>
  <w:style w:type="paragraph" w:customStyle="1" w:styleId="51">
    <w:name w:val="font6"/>
    <w:basedOn w:val="1"/>
    <w:qFormat/>
    <w:uiPriority w:val="0"/>
    <w:pPr>
      <w:widowControl/>
      <w:spacing w:before="100" w:beforeAutospacing="1" w:after="100" w:afterAutospacing="1"/>
    </w:pPr>
    <w:rPr>
      <w:rFonts w:ascii="Arial" w:hAnsi="Arial" w:eastAsia="宋体" w:cs="Arial"/>
      <w:sz w:val="20"/>
      <w:szCs w:val="20"/>
      <w:lang w:eastAsia="zh-CN"/>
    </w:rPr>
  </w:style>
  <w:style w:type="paragraph" w:customStyle="1" w:styleId="52">
    <w:name w:val="font7"/>
    <w:basedOn w:val="1"/>
    <w:qFormat/>
    <w:uiPriority w:val="0"/>
    <w:pPr>
      <w:widowControl/>
      <w:spacing w:before="100" w:beforeAutospacing="1" w:after="100" w:afterAutospacing="1"/>
    </w:pPr>
    <w:rPr>
      <w:rFonts w:ascii="仿宋" w:hAnsi="仿宋" w:eastAsia="仿宋" w:cs="宋体"/>
      <w:color w:val="000000"/>
      <w:sz w:val="20"/>
      <w:szCs w:val="20"/>
      <w:lang w:eastAsia="zh-CN"/>
    </w:rPr>
  </w:style>
  <w:style w:type="paragraph" w:customStyle="1" w:styleId="53">
    <w:name w:val="font8"/>
    <w:basedOn w:val="1"/>
    <w:qFormat/>
    <w:uiPriority w:val="0"/>
    <w:pPr>
      <w:widowControl/>
      <w:spacing w:before="100" w:beforeAutospacing="1" w:after="100" w:afterAutospacing="1"/>
    </w:pPr>
    <w:rPr>
      <w:rFonts w:ascii="仿宋" w:hAnsi="仿宋" w:eastAsia="仿宋" w:cs="宋体"/>
      <w:sz w:val="20"/>
      <w:szCs w:val="20"/>
      <w:lang w:eastAsia="zh-CN"/>
    </w:rPr>
  </w:style>
  <w:style w:type="paragraph" w:customStyle="1" w:styleId="54">
    <w:name w:val="font9"/>
    <w:basedOn w:val="1"/>
    <w:qFormat/>
    <w:uiPriority w:val="0"/>
    <w:pPr>
      <w:widowControl/>
      <w:spacing w:before="100" w:beforeAutospacing="1" w:after="100" w:afterAutospacing="1"/>
    </w:pPr>
    <w:rPr>
      <w:rFonts w:ascii="宋体" w:hAnsi="宋体" w:eastAsia="宋体" w:cs="宋体"/>
      <w:sz w:val="20"/>
      <w:szCs w:val="20"/>
      <w:lang w:eastAsia="zh-CN"/>
    </w:rPr>
  </w:style>
  <w:style w:type="paragraph" w:customStyle="1" w:styleId="55">
    <w:name w:val="font10"/>
    <w:basedOn w:val="1"/>
    <w:qFormat/>
    <w:uiPriority w:val="0"/>
    <w:pPr>
      <w:widowControl/>
      <w:spacing w:before="100" w:beforeAutospacing="1" w:after="100" w:afterAutospacing="1"/>
    </w:pPr>
    <w:rPr>
      <w:rFonts w:ascii="仿宋" w:hAnsi="仿宋" w:eastAsia="仿宋" w:cs="宋体"/>
      <w:b/>
      <w:bCs/>
      <w:color w:val="808080"/>
      <w:sz w:val="20"/>
      <w:szCs w:val="20"/>
      <w:lang w:eastAsia="zh-CN"/>
    </w:rPr>
  </w:style>
  <w:style w:type="paragraph" w:customStyle="1" w:styleId="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59">
    <w:name w:val="xl69"/>
    <w:basedOn w:val="1"/>
    <w:qFormat/>
    <w:uiPriority w:val="0"/>
    <w:pPr>
      <w:widowControl/>
      <w:spacing w:before="100" w:beforeAutospacing="1" w:after="100" w:afterAutospacing="1"/>
    </w:pPr>
    <w:rPr>
      <w:rFonts w:ascii="宋体" w:hAnsi="宋体" w:eastAsia="宋体" w:cs="宋体"/>
      <w:sz w:val="20"/>
      <w:szCs w:val="20"/>
      <w:lang w:eastAsia="zh-CN"/>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6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6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6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6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6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7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7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sz w:val="20"/>
      <w:szCs w:val="20"/>
      <w:lang w:eastAsia="zh-CN"/>
    </w:rPr>
  </w:style>
  <w:style w:type="paragraph" w:customStyle="1" w:styleId="7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7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7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20"/>
      <w:szCs w:val="20"/>
      <w:lang w:eastAsia="zh-CN"/>
    </w:rPr>
  </w:style>
  <w:style w:type="paragraph" w:customStyle="1" w:styleId="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sz w:val="20"/>
      <w:szCs w:val="20"/>
      <w:lang w:eastAsia="zh-CN"/>
    </w:rPr>
  </w:style>
  <w:style w:type="paragraph" w:customStyle="1" w:styleId="7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sz w:val="20"/>
      <w:szCs w:val="20"/>
      <w:lang w:eastAsia="zh-CN"/>
    </w:rPr>
  </w:style>
  <w:style w:type="paragraph" w:customStyle="1" w:styleId="7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sz w:val="20"/>
      <w:szCs w:val="20"/>
      <w:lang w:eastAsia="zh-CN"/>
    </w:rPr>
  </w:style>
  <w:style w:type="paragraph" w:customStyle="1" w:styleId="8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sz w:val="20"/>
      <w:szCs w:val="20"/>
      <w:lang w:eastAsia="zh-CN"/>
    </w:rPr>
  </w:style>
  <w:style w:type="paragraph" w:customStyle="1" w:styleId="8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sz w:val="20"/>
      <w:szCs w:val="20"/>
      <w:lang w:eastAsia="zh-CN"/>
    </w:rPr>
  </w:style>
  <w:style w:type="paragraph" w:customStyle="1" w:styleId="82">
    <w:name w:val="a2"/>
    <w:basedOn w:val="1"/>
    <w:qFormat/>
    <w:uiPriority w:val="0"/>
    <w:pPr>
      <w:widowControl/>
      <w:spacing w:before="100" w:beforeAutospacing="1" w:after="100" w:afterAutospacing="1"/>
    </w:pPr>
    <w:rPr>
      <w:rFonts w:ascii="宋体" w:hAnsi="宋体" w:eastAsia="宋体" w:cs="宋体"/>
      <w:sz w:val="24"/>
      <w:szCs w:val="24"/>
      <w:lang w:eastAsia="zh-CN"/>
    </w:rPr>
  </w:style>
  <w:style w:type="character" w:customStyle="1" w:styleId="83">
    <w:name w:val="ql-font-songti"/>
    <w:basedOn w:val="21"/>
    <w:qFormat/>
    <w:uiPriority w:val="0"/>
  </w:style>
  <w:style w:type="character" w:customStyle="1" w:styleId="84">
    <w:name w:val="font41"/>
    <w:basedOn w:val="21"/>
    <w:qFormat/>
    <w:uiPriority w:val="0"/>
    <w:rPr>
      <w:rFonts w:hint="eastAsia" w:ascii="宋体" w:hAnsi="宋体" w:eastAsia="宋体" w:cs="宋体"/>
      <w:color w:val="000000"/>
      <w:sz w:val="20"/>
      <w:szCs w:val="20"/>
      <w:u w:val="none"/>
    </w:rPr>
  </w:style>
  <w:style w:type="paragraph" w:customStyle="1" w:styleId="85">
    <w:name w:val="*正文"/>
    <w:basedOn w:val="1"/>
    <w:link w:val="86"/>
    <w:qFormat/>
    <w:uiPriority w:val="0"/>
    <w:pPr>
      <w:spacing w:line="300" w:lineRule="auto"/>
      <w:ind w:firstLine="480" w:firstLineChars="200"/>
      <w:jc w:val="both"/>
    </w:pPr>
    <w:rPr>
      <w:rFonts w:ascii="宋体" w:hAnsi="宋体" w:eastAsia="宋体" w:cs="仿宋_GB2312"/>
      <w:kern w:val="2"/>
      <w:sz w:val="24"/>
      <w:szCs w:val="24"/>
      <w:lang w:eastAsia="zh-CN"/>
    </w:rPr>
  </w:style>
  <w:style w:type="character" w:customStyle="1" w:styleId="86">
    <w:name w:val="*正文 Char"/>
    <w:link w:val="85"/>
    <w:qFormat/>
    <w:uiPriority w:val="0"/>
    <w:rPr>
      <w:rFonts w:ascii="宋体" w:hAnsi="宋体" w:cs="仿宋_GB2312"/>
      <w:kern w:val="2"/>
      <w:sz w:val="24"/>
      <w:szCs w:val="24"/>
    </w:rPr>
  </w:style>
  <w:style w:type="character" w:customStyle="1" w:styleId="87">
    <w:name w:val="标题 5 字符"/>
    <w:basedOn w:val="21"/>
    <w:link w:val="5"/>
    <w:qFormat/>
    <w:uiPriority w:val="0"/>
    <w:rPr>
      <w:rFonts w:ascii="黑体" w:hAnsi="黑体" w:eastAsia="黑体"/>
      <w:bCs/>
      <w:sz w:val="24"/>
      <w:szCs w:val="24"/>
      <w:lang w:eastAsia="en-US" w:bidi="en-US"/>
    </w:rPr>
  </w:style>
  <w:style w:type="character" w:customStyle="1" w:styleId="88">
    <w:name w:val="标题 6 字符"/>
    <w:basedOn w:val="21"/>
    <w:link w:val="6"/>
    <w:qFormat/>
    <w:uiPriority w:val="0"/>
    <w:rPr>
      <w:rFonts w:ascii="Arial" w:hAnsi="Arial" w:eastAsia="黑体"/>
      <w:b/>
      <w:bCs/>
      <w:kern w:val="2"/>
      <w:sz w:val="24"/>
      <w:szCs w:val="24"/>
    </w:rPr>
  </w:style>
  <w:style w:type="character" w:customStyle="1" w:styleId="89">
    <w:name w:val="标题 7 字符"/>
    <w:basedOn w:val="21"/>
    <w:link w:val="7"/>
    <w:qFormat/>
    <w:uiPriority w:val="0"/>
    <w:rPr>
      <w:b/>
      <w:bCs/>
      <w:kern w:val="2"/>
      <w:sz w:val="24"/>
      <w:szCs w:val="24"/>
    </w:rPr>
  </w:style>
  <w:style w:type="character" w:customStyle="1" w:styleId="90">
    <w:name w:val="标题 8 字符"/>
    <w:basedOn w:val="21"/>
    <w:link w:val="8"/>
    <w:qFormat/>
    <w:uiPriority w:val="0"/>
    <w:rPr>
      <w:rFonts w:ascii="Arial" w:hAnsi="Arial" w:eastAsia="黑体"/>
      <w:kern w:val="2"/>
      <w:sz w:val="24"/>
      <w:szCs w:val="24"/>
    </w:rPr>
  </w:style>
  <w:style w:type="paragraph" w:customStyle="1" w:styleId="91">
    <w:name w:val="2级标题"/>
    <w:basedOn w:val="2"/>
    <w:qFormat/>
    <w:uiPriority w:val="0"/>
    <w:pPr>
      <w:keepLines/>
      <w:numPr>
        <w:ilvl w:val="0"/>
        <w:numId w:val="0"/>
      </w:numPr>
      <w:spacing w:before="240" w:after="120"/>
      <w:contextualSpacing/>
      <w:outlineLvl w:val="1"/>
    </w:pPr>
    <w:rPr>
      <w:rFonts w:ascii="黑体" w:hAnsi="黑体" w:eastAsia="黑体"/>
      <w:sz w:val="28"/>
      <w:szCs w:val="36"/>
      <w:lang w:eastAsia="en-US" w:bidi="en-US"/>
    </w:rPr>
  </w:style>
  <w:style w:type="paragraph" w:customStyle="1" w:styleId="92">
    <w:name w:val="3级标题"/>
    <w:basedOn w:val="2"/>
    <w:link w:val="93"/>
    <w:qFormat/>
    <w:uiPriority w:val="0"/>
    <w:pPr>
      <w:keepLines/>
      <w:numPr>
        <w:ilvl w:val="0"/>
        <w:numId w:val="0"/>
      </w:numPr>
      <w:spacing w:before="120" w:after="120"/>
      <w:contextualSpacing/>
      <w:outlineLvl w:val="2"/>
    </w:pPr>
    <w:rPr>
      <w:rFonts w:ascii="黑体" w:hAnsi="黑体" w:eastAsia="黑体"/>
      <w:sz w:val="28"/>
      <w:szCs w:val="36"/>
      <w:lang w:eastAsia="en-US" w:bidi="en-US"/>
    </w:rPr>
  </w:style>
  <w:style w:type="character" w:customStyle="1" w:styleId="93">
    <w:name w:val="3级标题 Char"/>
    <w:link w:val="92"/>
    <w:qFormat/>
    <w:uiPriority w:val="0"/>
    <w:rPr>
      <w:rFonts w:ascii="黑体" w:hAnsi="黑体" w:eastAsia="黑体"/>
      <w:sz w:val="28"/>
      <w:szCs w:val="36"/>
      <w:lang w:eastAsia="en-US" w:bidi="en-US"/>
    </w:rPr>
  </w:style>
  <w:style w:type="paragraph" w:customStyle="1" w:styleId="94">
    <w:name w:val="4级标题"/>
    <w:basedOn w:val="2"/>
    <w:qFormat/>
    <w:uiPriority w:val="0"/>
    <w:pPr>
      <w:keepLines/>
      <w:numPr>
        <w:ilvl w:val="0"/>
        <w:numId w:val="0"/>
      </w:numPr>
      <w:tabs>
        <w:tab w:val="left" w:pos="2160"/>
      </w:tabs>
      <w:contextualSpacing/>
      <w:outlineLvl w:val="3"/>
    </w:pPr>
    <w:rPr>
      <w:rFonts w:ascii="黑体" w:hAnsi="黑体" w:eastAsia="黑体"/>
      <w:lang w:eastAsia="en-US" w:bidi="en-US"/>
    </w:rPr>
  </w:style>
  <w:style w:type="paragraph" w:customStyle="1" w:styleId="95">
    <w:name w:val="样式 标题 9 +"/>
    <w:basedOn w:val="1"/>
    <w:qFormat/>
    <w:uiPriority w:val="0"/>
    <w:pPr>
      <w:keepNext/>
      <w:keepLines/>
      <w:tabs>
        <w:tab w:val="left" w:pos="1584"/>
        <w:tab w:val="left" w:pos="2424"/>
      </w:tabs>
      <w:spacing w:before="240" w:after="64" w:line="319" w:lineRule="auto"/>
      <w:ind w:left="1584"/>
      <w:jc w:val="both"/>
      <w:outlineLvl w:val="8"/>
    </w:pPr>
    <w:rPr>
      <w:rFonts w:ascii="Cambria" w:hAnsi="Cambria" w:eastAsia="宋体" w:cs="Times New Roman"/>
      <w:kern w:val="2"/>
      <w:sz w:val="21"/>
      <w:szCs w:val="21"/>
    </w:rPr>
  </w:style>
  <w:style w:type="character" w:customStyle="1" w:styleId="96">
    <w:name w:val="16"/>
    <w:qFormat/>
    <w:uiPriority w:val="0"/>
    <w:rPr>
      <w:rFonts w:hint="default" w:ascii="Times New Roman" w:hAnsi="Times New Roman" w:cs="Times New Roman"/>
      <w:b/>
      <w:bCs/>
    </w:rPr>
  </w:style>
  <w:style w:type="paragraph" w:customStyle="1" w:styleId="97">
    <w:name w:val="样式 小四"/>
    <w:qFormat/>
    <w:locked/>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98">
    <w:name w:val="1正文"/>
    <w:basedOn w:val="1"/>
    <w:qFormat/>
    <w:uiPriority w:val="0"/>
    <w:pPr>
      <w:spacing w:line="360" w:lineRule="auto"/>
      <w:ind w:firstLine="420" w:firstLineChars="200"/>
    </w:pPr>
    <w:rPr>
      <w:rFonts w:ascii="宋体" w:hAnsi="宋体" w:eastAsia="仿宋_GB2312" w:cs="宋体"/>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6621</Words>
  <Characters>7590</Characters>
  <Lines>184</Lines>
  <Paragraphs>52</Paragraphs>
  <TotalTime>15</TotalTime>
  <ScaleCrop>false</ScaleCrop>
  <LinksUpToDate>false</LinksUpToDate>
  <CharactersWithSpaces>7704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2023-05-08T08:42:00Z</dcterms:created>
  <dc:creator>王琴</dc:creator>
  <cp:lastModifiedBy>wangying1</cp:lastModifiedBy>
  <cp:lastPrinted>2019-09-24T03:20:00Z</cp:lastPrinted>
  <dcterms:modified xsi:type="dcterms:W3CDTF">2024-05-27T06:21:18Z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163E3782C2F94190A950B4894A15123D</vt:lpwstr>
  </property>
</Properties>
</file>