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Unicode MS" w:hAnsi="Arial Unicode MS" w:eastAsia="Arial Unicode MS" w:cs="Arial Unicode MS"/>
          <w:sz w:val="44"/>
          <w:szCs w:val="44"/>
        </w:rPr>
      </w:pPr>
    </w:p>
    <w:p>
      <w:pPr>
        <w:pStyle w:val="4"/>
        <w:bidi w:val="0"/>
        <w:jc w:val="center"/>
      </w:pPr>
      <w:r>
        <w:drawing>
          <wp:inline distT="0" distB="0" distL="0" distR="0">
            <wp:extent cx="1087755" cy="982345"/>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87755" cy="982345"/>
                    </a:xfrm>
                    <a:prstGeom prst="rect">
                      <a:avLst/>
                    </a:prstGeom>
                    <a:noFill/>
                  </pic:spPr>
                </pic:pic>
              </a:graphicData>
            </a:graphic>
          </wp:inline>
        </w:drawing>
      </w:r>
    </w:p>
    <w:p>
      <w:pPr>
        <w:jc w:val="center"/>
        <w:rPr>
          <w:rFonts w:hint="eastAsia" w:ascii="Arial Unicode MS" w:hAnsi="Arial Unicode MS" w:eastAsia="Arial Unicode MS" w:cs="Arial Unicode MS"/>
          <w:sz w:val="44"/>
          <w:szCs w:val="44"/>
        </w:rPr>
      </w:pPr>
    </w:p>
    <w:p>
      <w:pPr>
        <w:jc w:val="center"/>
        <w:rPr>
          <w:rFonts w:hint="eastAsia" w:ascii="方正小标宋简体" w:hAnsi="方正小标宋简体" w:eastAsia="方正小标宋简体" w:cs="方正小标宋简体"/>
          <w:b/>
          <w:sz w:val="44"/>
          <w:szCs w:val="44"/>
        </w:rPr>
      </w:pPr>
    </w:p>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深圳公司</w:t>
      </w:r>
      <w:r>
        <w:rPr>
          <w:rFonts w:hint="eastAsia" w:ascii="方正小标宋简体" w:hAnsi="方正小标宋简体" w:eastAsia="方正小标宋简体" w:cs="方正小标宋简体"/>
          <w:b/>
          <w:sz w:val="44"/>
          <w:szCs w:val="44"/>
        </w:rPr>
        <w:t>加油站2025~2028油气回收系统、环保自行监测检测技术服务项目</w:t>
      </w:r>
    </w:p>
    <w:p>
      <w:pPr>
        <w:spacing w:line="360" w:lineRule="auto"/>
        <w:jc w:val="center"/>
        <w:rPr>
          <w:rFonts w:hint="eastAsia" w:ascii="方正小标宋简体" w:hAnsi="方正小标宋简体" w:eastAsia="方正小标宋简体" w:cs="方正小标宋简体"/>
          <w:b/>
          <w:sz w:val="44"/>
          <w:szCs w:val="44"/>
          <w:lang w:val="en-US" w:eastAsia="zh-CN"/>
          <w14:shadow w14:blurRad="50800" w14:dist="38100" w14:dir="2700000" w14:sx="100000" w14:sy="100000" w14:kx="0" w14:ky="0" w14:algn="tl">
            <w14:srgbClr w14:val="000000">
              <w14:alpha w14:val="60000"/>
            </w14:srgbClr>
          </w14:shadow>
        </w:rPr>
      </w:pPr>
      <w:r>
        <w:rPr>
          <w:rFonts w:hint="eastAsia" w:ascii="方正小标宋简体" w:hAnsi="方正小标宋简体" w:eastAsia="方正小标宋简体" w:cs="方正小标宋简体"/>
          <w:b/>
          <w:sz w:val="44"/>
          <w:szCs w:val="44"/>
          <w:lang w:val="en-US" w:eastAsia="zh-CN"/>
          <w14:shadow w14:blurRad="50800" w14:dist="38100" w14:dir="2700000" w14:sx="100000" w14:sy="100000" w14:kx="0" w14:ky="0" w14:algn="tl">
            <w14:srgbClr w14:val="000000">
              <w14:alpha w14:val="60000"/>
            </w14:srgbClr>
          </w14:shadow>
        </w:rPr>
        <w:t>技术文件</w:t>
      </w:r>
    </w:p>
    <w:p>
      <w:pPr>
        <w:spacing w:line="360" w:lineRule="auto"/>
        <w:jc w:val="center"/>
        <w:rPr>
          <w:rFonts w:hint="eastAsia" w:ascii="方正小标宋简体" w:hAnsi="方正小标宋简体" w:eastAsia="方正小标宋简体" w:cs="方正小标宋简体"/>
          <w:b/>
          <w:sz w:val="44"/>
          <w:szCs w:val="44"/>
          <w14:shadow w14:blurRad="50800" w14:dist="38100" w14:dir="2700000" w14:sx="100000" w14:sy="100000" w14:kx="0" w14:ky="0" w14:algn="tl">
            <w14:srgbClr w14:val="000000">
              <w14:alpha w14:val="60000"/>
            </w14:srgbClr>
          </w14:shadow>
        </w:rPr>
      </w:pPr>
    </w:p>
    <w:p>
      <w:pPr>
        <w:spacing w:line="360" w:lineRule="auto"/>
        <w:jc w:val="center"/>
        <w:rPr>
          <w:rFonts w:hint="eastAsia" w:ascii="方正小标宋简体" w:hAnsi="方正小标宋简体" w:eastAsia="方正小标宋简体" w:cs="方正小标宋简体"/>
          <w:b/>
          <w:sz w:val="44"/>
          <w:szCs w:val="44"/>
          <w14:shadow w14:blurRad="50800" w14:dist="38100" w14:dir="2700000" w14:sx="100000" w14:sy="100000" w14:kx="0" w14:ky="0" w14:algn="tl">
            <w14:srgbClr w14:val="000000">
              <w14:alpha w14:val="60000"/>
            </w14:srgbClr>
          </w14:shadow>
        </w:rPr>
      </w:pPr>
    </w:p>
    <w:p>
      <w:pPr>
        <w:spacing w:line="360" w:lineRule="auto"/>
        <w:ind w:firstLine="1087" w:firstLineChars="246"/>
        <w:jc w:val="left"/>
        <w:rPr>
          <w:rFonts w:hint="eastAsia" w:ascii="方正小标宋简体" w:hAnsi="方正小标宋简体" w:eastAsia="方正小标宋简体" w:cs="方正小标宋简体"/>
          <w:b/>
          <w:sz w:val="44"/>
          <w:szCs w:val="44"/>
        </w:rPr>
      </w:pPr>
    </w:p>
    <w:p>
      <w:pPr>
        <w:spacing w:line="360" w:lineRule="auto"/>
        <w:ind w:firstLine="1087" w:firstLineChars="246"/>
        <w:jc w:val="left"/>
        <w:rPr>
          <w:rFonts w:hint="eastAsia" w:ascii="方正小标宋简体" w:hAnsi="方正小标宋简体" w:eastAsia="方正小标宋简体" w:cs="方正小标宋简体"/>
          <w:b/>
          <w:sz w:val="44"/>
          <w:szCs w:val="44"/>
        </w:rPr>
      </w:pPr>
    </w:p>
    <w:p>
      <w:pPr>
        <w:spacing w:line="360" w:lineRule="auto"/>
        <w:ind w:firstLine="1087" w:firstLineChars="246"/>
        <w:jc w:val="left"/>
        <w:rPr>
          <w:rFonts w:hint="eastAsia" w:ascii="方正小标宋简体" w:hAnsi="方正小标宋简体" w:eastAsia="方正小标宋简体" w:cs="方正小标宋简体"/>
          <w:b/>
          <w:sz w:val="44"/>
          <w:szCs w:val="44"/>
        </w:rPr>
      </w:pPr>
    </w:p>
    <w:p>
      <w:pPr>
        <w:spacing w:line="360" w:lineRule="auto"/>
        <w:ind w:firstLine="1087" w:firstLineChars="246"/>
        <w:jc w:val="left"/>
        <w:rPr>
          <w:rFonts w:hint="eastAsia" w:ascii="方正小标宋简体" w:hAnsi="方正小标宋简体" w:eastAsia="方正小标宋简体" w:cs="方正小标宋简体"/>
          <w:b/>
          <w:sz w:val="44"/>
          <w:szCs w:val="44"/>
        </w:rPr>
      </w:pPr>
    </w:p>
    <w:p>
      <w:pPr>
        <w:spacing w:line="360" w:lineRule="auto"/>
        <w:ind w:firstLine="1087" w:firstLineChars="246"/>
        <w:jc w:val="left"/>
        <w:rPr>
          <w:rFonts w:hint="eastAsia" w:ascii="方正小标宋简体" w:hAnsi="方正小标宋简体" w:eastAsia="方正小标宋简体" w:cs="方正小标宋简体"/>
          <w:b/>
          <w:sz w:val="44"/>
          <w:szCs w:val="44"/>
        </w:rPr>
      </w:pPr>
    </w:p>
    <w:p>
      <w:pPr>
        <w:pStyle w:val="15"/>
        <w:spacing w:line="360" w:lineRule="auto"/>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5</w:t>
      </w:r>
      <w:r>
        <w:rPr>
          <w:rFonts w:hint="eastAsia" w:ascii="方正小标宋简体" w:hAnsi="方正小标宋简体" w:eastAsia="方正小标宋简体" w:cs="方正小标宋简体"/>
          <w:b/>
          <w:bCs/>
          <w:sz w:val="44"/>
          <w:szCs w:val="44"/>
        </w:rPr>
        <w:t>年</w:t>
      </w:r>
      <w:r>
        <w:rPr>
          <w:rFonts w:hint="eastAsia" w:ascii="方正小标宋简体" w:hAnsi="方正小标宋简体" w:eastAsia="方正小标宋简体" w:cs="方正小标宋简体"/>
          <w:b/>
          <w:bCs/>
          <w:sz w:val="44"/>
          <w:szCs w:val="44"/>
          <w:lang w:val="en-US" w:eastAsia="zh-CN"/>
        </w:rPr>
        <w:t>6</w:t>
      </w:r>
      <w:r>
        <w:rPr>
          <w:rFonts w:hint="eastAsia" w:ascii="方正小标宋简体" w:hAnsi="方正小标宋简体" w:eastAsia="方正小标宋简体" w:cs="方正小标宋简体"/>
          <w:b/>
          <w:bCs/>
          <w:sz w:val="44"/>
          <w:szCs w:val="44"/>
        </w:rPr>
        <w:t>月</w:t>
      </w:r>
    </w:p>
    <w:p>
      <w:pPr>
        <w:spacing w:line="360" w:lineRule="auto"/>
        <w:jc w:val="left"/>
        <w:rPr>
          <w:rFonts w:hint="eastAsia" w:ascii="方正小标宋简体" w:hAnsi="方正小标宋简体" w:eastAsia="方正小标宋简体" w:cs="方正小标宋简体"/>
          <w:sz w:val="44"/>
          <w:szCs w:val="44"/>
        </w:rPr>
        <w:sectPr>
          <w:headerReference r:id="rId6" w:type="first"/>
          <w:footerReference r:id="rId8" w:type="first"/>
          <w:headerReference r:id="rId5" w:type="default"/>
          <w:footerReference r:id="rId7" w:type="default"/>
          <w:pgSz w:w="11906" w:h="16838"/>
          <w:pgMar w:top="1440" w:right="1800" w:bottom="1440" w:left="1800" w:header="851" w:footer="992" w:gutter="0"/>
          <w:cols w:space="425" w:num="1"/>
          <w:docGrid w:type="lines" w:linePitch="312" w:charSpace="0"/>
        </w:sectPr>
      </w:pPr>
    </w:p>
    <w:p>
      <w:pPr>
        <w:pStyle w:val="15"/>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pPr>
        <w:pStyle w:val="15"/>
        <w:spacing w:line="360" w:lineRule="auto"/>
        <w:rPr>
          <w:rFonts w:hint="eastAsia" w:ascii="仿宋_GB2312" w:hAnsi="仿宋_GB2312" w:eastAsia="仿宋_GB2312" w:cs="仿宋_GB2312"/>
          <w:sz w:val="32"/>
          <w:szCs w:val="32"/>
        </w:rPr>
      </w:pPr>
    </w:p>
    <w:p>
      <w:pPr>
        <w:pStyle w:val="3"/>
        <w:tabs>
          <w:tab w:val="right" w:leader="dot" w:pos="8306"/>
          <w:tab w:val="clear" w:pos="8303"/>
        </w:tabs>
        <w:ind w:left="0" w:leftChars="0" w:firstLine="960" w:firstLineChars="3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"_Toc31132"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一、 项目概述</w:t>
      </w:r>
      <w:r>
        <w:rPr>
          <w:rFonts w:hint="eastAsia" w:ascii="仿宋_GB2312" w:hAnsi="仿宋_GB2312" w:eastAsia="仿宋_GB2312" w:cs="仿宋_GB2312"/>
          <w:b w:val="0"/>
          <w:bCs w:val="0"/>
          <w:sz w:val="32"/>
          <w:szCs w:val="32"/>
        </w:rPr>
        <w:fldChar w:fldCharType="end"/>
      </w:r>
    </w:p>
    <w:p>
      <w:pPr>
        <w:pStyle w:val="3"/>
        <w:tabs>
          <w:tab w:val="right" w:leader="dot" w:pos="8306"/>
          <w:tab w:val="clear" w:pos="8303"/>
        </w:tabs>
        <w:ind w:left="0" w:leftChars="0" w:firstLine="960" w:firstLineChars="3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"_Toc26552"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二、 技术要求</w:t>
      </w:r>
      <w:r>
        <w:rPr>
          <w:rFonts w:hint="eastAsia" w:ascii="仿宋_GB2312" w:hAnsi="仿宋_GB2312" w:eastAsia="仿宋_GB2312" w:cs="仿宋_GB2312"/>
          <w:b w:val="0"/>
          <w:bCs w:val="0"/>
          <w:sz w:val="32"/>
          <w:szCs w:val="32"/>
        </w:rPr>
        <w:fldChar w:fldCharType="end"/>
      </w:r>
    </w:p>
    <w:p>
      <w:pPr>
        <w:pStyle w:val="3"/>
        <w:tabs>
          <w:tab w:val="right" w:leader="dot" w:pos="8306"/>
          <w:tab w:val="clear" w:pos="8303"/>
        </w:tabs>
        <w:ind w:left="0" w:leftChars="0" w:firstLine="960" w:firstLineChars="3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"_Toc29369"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 xml:space="preserve">三、 </w:t>
      </w:r>
      <w:r>
        <w:rPr>
          <w:rFonts w:hint="eastAsia" w:ascii="仿宋_GB2312" w:hAnsi="仿宋_GB2312" w:eastAsia="仿宋_GB2312" w:cs="仿宋_GB2312"/>
          <w:b w:val="0"/>
          <w:bCs w:val="0"/>
          <w:sz w:val="32"/>
          <w:szCs w:val="32"/>
          <w:lang w:val="en-US" w:eastAsia="zh-CN"/>
        </w:rPr>
        <w:t>资质要求</w:t>
      </w:r>
      <w:r>
        <w:rPr>
          <w:rFonts w:hint="eastAsia" w:ascii="仿宋_GB2312" w:hAnsi="仿宋_GB2312" w:eastAsia="仿宋_GB2312" w:cs="仿宋_GB2312"/>
          <w:b w:val="0"/>
          <w:bCs w:val="0"/>
          <w:sz w:val="32"/>
          <w:szCs w:val="32"/>
        </w:rPr>
        <w:fldChar w:fldCharType="end"/>
      </w:r>
    </w:p>
    <w:p>
      <w:pPr>
        <w:pStyle w:val="3"/>
        <w:tabs>
          <w:tab w:val="right" w:leader="dot" w:pos="8306"/>
          <w:tab w:val="clear" w:pos="8303"/>
        </w:tabs>
        <w:ind w:left="0" w:leftChars="0" w:firstLine="960" w:firstLineChars="300"/>
        <w:rPr>
          <w:rFonts w:hint="eastAsia" w:ascii="仿宋_GB2312" w:hAnsi="仿宋_GB2312" w:eastAsia="仿宋_GB2312" w:cs="仿宋_GB2312"/>
          <w:sz w:val="32"/>
          <w:szCs w:val="32"/>
        </w:rPr>
        <w:sectPr>
          <w:headerReference r:id="rId9" w:type="first"/>
          <w:footerReference r:id="rId11" w:type="first"/>
          <w:footerReference r:id="rId10"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"_Toc17547"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rPr>
        <w:t>、 验收标准</w:t>
      </w:r>
      <w:r>
        <w:rPr>
          <w:rFonts w:hint="eastAsia" w:ascii="仿宋_GB2312" w:hAnsi="仿宋_GB2312" w:eastAsia="仿宋_GB2312" w:cs="仿宋_GB2312"/>
          <w:b w:val="0"/>
          <w:bCs w:val="0"/>
          <w:sz w:val="32"/>
          <w:szCs w:val="32"/>
        </w:rPr>
        <w:fldChar w:fldCharType="end"/>
      </w:r>
    </w:p>
    <w:p>
      <w:pPr>
        <w:spacing w:line="24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1、项目概况</w:t>
      </w:r>
    </w:p>
    <w:p>
      <w:pPr>
        <w:spacing w:line="240" w:lineRule="auto"/>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依据《中华人民共和国环境保护法》《中华人民共和国水污染防治法》等法律法规要求，按照</w:t>
      </w:r>
      <w:r>
        <w:rPr>
          <w:rFonts w:hint="eastAsia" w:ascii="仿宋_GB2312" w:hAnsi="仿宋_GB2312" w:eastAsia="仿宋_GB2312" w:cs="仿宋_GB2312"/>
          <w:bCs w:val="0"/>
          <w:sz w:val="32"/>
          <w:szCs w:val="32"/>
        </w:rPr>
        <w:t>《</w:t>
      </w:r>
      <w:r>
        <w:rPr>
          <w:rFonts w:hint="eastAsia" w:ascii="仿宋_GB2312" w:hAnsi="仿宋_GB2312" w:eastAsia="仿宋_GB2312" w:cs="仿宋_GB2312"/>
          <w:bCs w:val="0"/>
          <w:sz w:val="32"/>
          <w:szCs w:val="32"/>
          <w:lang w:val="en-US" w:eastAsia="zh-CN"/>
        </w:rPr>
        <w:t>加油站大气污染物排放标准GB 20950-2020</w:t>
      </w:r>
      <w:r>
        <w:rPr>
          <w:rFonts w:hint="eastAsia" w:ascii="仿宋_GB2312" w:hAnsi="仿宋_GB2312" w:eastAsia="仿宋_GB2312" w:cs="仿宋_GB2312"/>
          <w:bCs w:val="0"/>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广东省水污染物排放限值标准DB44/26-2001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地表水环境质量标准GB 3838-2002</w:t>
      </w:r>
      <w:r>
        <w:rPr>
          <w:rFonts w:hint="eastAsia" w:ascii="仿宋_GB2312" w:hAnsi="仿宋_GB2312" w:eastAsia="仿宋_GB2312" w:cs="仿宋_GB2312"/>
          <w:sz w:val="32"/>
          <w:szCs w:val="32"/>
        </w:rPr>
        <w:t>》</w:t>
      </w:r>
      <w:r>
        <w:rPr>
          <w:rFonts w:hint="eastAsia" w:ascii="仿宋_GB2312" w:hAnsi="仿宋_GB2312" w:eastAsia="仿宋_GB2312" w:cs="仿宋_GB2312"/>
          <w:bCs w:val="0"/>
          <w:sz w:val="32"/>
          <w:szCs w:val="32"/>
        </w:rPr>
        <w:t>《</w:t>
      </w:r>
      <w:r>
        <w:rPr>
          <w:rFonts w:hint="eastAsia" w:ascii="仿宋_GB2312" w:hAnsi="仿宋_GB2312" w:eastAsia="仿宋_GB2312" w:cs="仿宋_GB2312"/>
          <w:bCs w:val="0"/>
          <w:sz w:val="32"/>
          <w:szCs w:val="32"/>
          <w:lang w:val="en-US" w:eastAsia="zh-CN"/>
        </w:rPr>
        <w:t>工业企业厂界噪声标准GB 12348-2008</w:t>
      </w:r>
      <w:r>
        <w:rPr>
          <w:rFonts w:hint="eastAsia" w:ascii="仿宋_GB2312" w:hAnsi="仿宋_GB2312" w:eastAsia="仿宋_GB2312" w:cs="仿宋_GB2312"/>
          <w:bCs w:val="0"/>
          <w:sz w:val="32"/>
          <w:szCs w:val="32"/>
        </w:rPr>
        <w:t>》</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挥发性有机物无组织排放控制标准GB 37822-2019</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rPr>
        <w:t>等</w:t>
      </w:r>
      <w:r>
        <w:rPr>
          <w:rFonts w:hint="eastAsia" w:ascii="仿宋_GB2312" w:hAnsi="仿宋_GB2312" w:eastAsia="仿宋_GB2312" w:cs="仿宋_GB2312"/>
          <w:bCs w:val="0"/>
          <w:sz w:val="32"/>
          <w:szCs w:val="32"/>
          <w:lang w:val="en-US" w:eastAsia="zh-CN"/>
        </w:rPr>
        <w:t>标准</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lang w:val="en-US" w:eastAsia="zh-CN"/>
        </w:rPr>
        <w:t>结合中国海油</w:t>
      </w:r>
      <w:r>
        <w:rPr>
          <w:rFonts w:hint="eastAsia" w:ascii="仿宋_GB2312" w:hAnsi="仿宋_GB2312" w:eastAsia="仿宋_GB2312" w:cs="仿宋_GB2312"/>
          <w:bCs w:val="0"/>
          <w:sz w:val="32"/>
          <w:szCs w:val="32"/>
        </w:rPr>
        <w:t>《</w:t>
      </w:r>
      <w:r>
        <w:rPr>
          <w:rFonts w:hint="eastAsia" w:ascii="仿宋_GB2312" w:hAnsi="仿宋_GB2312" w:eastAsia="仿宋_GB2312" w:cs="仿宋_GB2312"/>
          <w:bCs w:val="0"/>
          <w:sz w:val="32"/>
          <w:szCs w:val="32"/>
          <w:lang w:val="en-US" w:eastAsia="zh-CN"/>
        </w:rPr>
        <w:t>工业企业土壤和地下水污染隐患排查指南</w:t>
      </w:r>
      <w:r>
        <w:rPr>
          <w:rFonts w:hint="eastAsia" w:ascii="仿宋_GB2312" w:hAnsi="仿宋_GB2312" w:eastAsia="仿宋_GB2312" w:cs="仿宋_GB2312"/>
          <w:bCs w:val="0"/>
          <w:sz w:val="32"/>
          <w:szCs w:val="32"/>
        </w:rPr>
        <w:t>》</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工业企业土壤地下和地下水自行监测技术指南HJ 1209-2021</w:t>
      </w:r>
      <w:r>
        <w:rPr>
          <w:rFonts w:hint="eastAsia" w:ascii="仿宋_GB2312" w:hAnsi="仿宋_GB2312" w:eastAsia="仿宋_GB2312" w:cs="仿宋_GB2312"/>
          <w:sz w:val="32"/>
          <w:szCs w:val="32"/>
        </w:rPr>
        <w:t>》</w:t>
      </w:r>
      <w:r>
        <w:rPr>
          <w:rFonts w:hint="eastAsia" w:ascii="仿宋_GB2312" w:hAnsi="仿宋_GB2312" w:eastAsia="仿宋_GB2312" w:cs="仿宋_GB2312"/>
          <w:bCs w:val="0"/>
          <w:sz w:val="32"/>
          <w:szCs w:val="32"/>
        </w:rPr>
        <w:t>等</w:t>
      </w:r>
      <w:r>
        <w:rPr>
          <w:rFonts w:hint="eastAsia" w:ascii="仿宋_GB2312" w:hAnsi="仿宋_GB2312" w:eastAsia="仿宋_GB2312" w:cs="仿宋_GB2312"/>
          <w:bCs w:val="0"/>
          <w:sz w:val="32"/>
          <w:szCs w:val="32"/>
          <w:lang w:val="en-US" w:eastAsia="zh-CN"/>
        </w:rPr>
        <w:t>技术规范，落实</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加油站油气回收系统、挥发性有机物排放废气、废水、雨水、噪声等进行监测检测，出具相应报告，确保合规经营。</w:t>
      </w:r>
    </w:p>
    <w:p>
      <w:pPr>
        <w:numPr>
          <w:ilvl w:val="0"/>
          <w:numId w:val="1"/>
        </w:numPr>
        <w:spacing w:line="240" w:lineRule="auto"/>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技术要求</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名称：</w:t>
      </w:r>
    </w:p>
    <w:p>
      <w:pPr>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加油站油气回收</w:t>
      </w:r>
      <w:r>
        <w:rPr>
          <w:rFonts w:hint="eastAsia" w:ascii="仿宋_GB2312" w:hAnsi="仿宋_GB2312" w:eastAsia="仿宋_GB2312" w:cs="仿宋_GB2312"/>
          <w:sz w:val="32"/>
          <w:szCs w:val="32"/>
          <w:lang w:val="en-US" w:eastAsia="zh-CN"/>
        </w:rPr>
        <w:t>系统及环保自行监测</w:t>
      </w:r>
      <w:r>
        <w:rPr>
          <w:rFonts w:hint="eastAsia" w:ascii="仿宋_GB2312" w:hAnsi="仿宋_GB2312" w:eastAsia="仿宋_GB2312" w:cs="仿宋_GB2312"/>
          <w:sz w:val="32"/>
          <w:szCs w:val="32"/>
        </w:rPr>
        <w:t>检测</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服务项目</w:t>
      </w:r>
      <w:r>
        <w:rPr>
          <w:rFonts w:hint="eastAsia" w:ascii="仿宋_GB2312" w:hAnsi="仿宋_GB2312" w:eastAsia="仿宋_GB2312" w:cs="仿宋_GB2312"/>
          <w:sz w:val="32"/>
          <w:szCs w:val="32"/>
          <w:lang w:eastAsia="zh-CN"/>
        </w:rPr>
        <w:t>。</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2.2合同期限及</w:t>
      </w:r>
      <w:r>
        <w:rPr>
          <w:rFonts w:hint="eastAsia" w:ascii="仿宋_GB2312" w:hAnsi="仿宋_GB2312" w:eastAsia="仿宋_GB2312" w:cs="仿宋_GB2312"/>
          <w:sz w:val="32"/>
          <w:szCs w:val="32"/>
        </w:rPr>
        <w:t>预计服务起止时间：</w:t>
      </w:r>
    </w:p>
    <w:p>
      <w:pPr>
        <w:spacing w:line="24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w:t>
      </w:r>
      <w:r>
        <w:rPr>
          <w:rFonts w:hint="eastAsia" w:ascii="仿宋_GB2312" w:hAnsi="仿宋_GB2312" w:eastAsia="仿宋_GB2312" w:cs="仿宋_GB2312"/>
          <w:sz w:val="32"/>
          <w:szCs w:val="32"/>
        </w:rPr>
        <w:t>（以合同实际签订时间为准）。</w:t>
      </w:r>
      <w:bookmarkStart w:id="0" w:name="_GoBack"/>
      <w:bookmarkEnd w:id="0"/>
    </w:p>
    <w:p>
      <w:pPr>
        <w:keepNext w:val="0"/>
        <w:keepLines w:val="0"/>
        <w:widowControl/>
        <w:numPr>
          <w:ilvl w:val="0"/>
          <w:numId w:val="0"/>
        </w:numPr>
        <w:suppressLineNumbers w:val="0"/>
        <w:spacing w:line="24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范围：</w:t>
      </w:r>
    </w:p>
    <w:p>
      <w:pPr>
        <w:widowControl w:val="0"/>
        <w:spacing w:line="24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中海油销售</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有限公司所属加油站</w:t>
      </w:r>
      <w:r>
        <w:rPr>
          <w:rFonts w:hint="eastAsia" w:ascii="仿宋_GB2312" w:hAnsi="仿宋_GB2312" w:eastAsia="仿宋_GB2312" w:cs="仿宋_GB2312"/>
          <w:sz w:val="32"/>
          <w:szCs w:val="32"/>
          <w:lang w:val="en-US" w:eastAsia="zh-CN"/>
        </w:rPr>
        <w:t>实际需求（单站需求为准），</w:t>
      </w:r>
      <w:r>
        <w:rPr>
          <w:rFonts w:hint="eastAsia" w:ascii="仿宋_GB2312" w:hAnsi="仿宋_GB2312" w:eastAsia="仿宋_GB2312" w:cs="仿宋_GB2312"/>
          <w:sz w:val="32"/>
          <w:szCs w:val="32"/>
        </w:rPr>
        <w:t>开展油气回收系统</w:t>
      </w:r>
      <w:r>
        <w:rPr>
          <w:rFonts w:hint="eastAsia" w:ascii="仿宋_GB2312" w:hAnsi="仿宋_GB2312" w:eastAsia="仿宋_GB2312" w:cs="仿宋_GB2312"/>
          <w:sz w:val="32"/>
          <w:szCs w:val="32"/>
          <w:lang w:val="en-US" w:eastAsia="zh-CN"/>
        </w:rPr>
        <w:t>、环保自行监测</w:t>
      </w:r>
      <w:r>
        <w:rPr>
          <w:rFonts w:hint="eastAsia" w:ascii="仿宋_GB2312" w:hAnsi="仿宋_GB2312" w:eastAsia="仿宋_GB2312" w:cs="仿宋_GB2312"/>
          <w:sz w:val="32"/>
          <w:szCs w:val="32"/>
        </w:rPr>
        <w:t>检测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sz w:val="32"/>
          <w:szCs w:val="32"/>
          <w:lang w:val="en-US" w:eastAsia="zh-CN"/>
        </w:rPr>
        <w:t>检测结果经检验合格后，方可出具与实际情况相适应的</w:t>
      </w:r>
      <w:r>
        <w:rPr>
          <w:rFonts w:hint="eastAsia" w:ascii="仿宋_GB2312" w:hAnsi="仿宋_GB2312" w:eastAsia="仿宋_GB2312" w:cs="仿宋_GB2312"/>
          <w:sz w:val="32"/>
          <w:szCs w:val="32"/>
        </w:rPr>
        <w:t>含CMA认证标识的检测报告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并对检测报告真实性负责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出具正式检测报告为</w:t>
      </w:r>
      <w:r>
        <w:rPr>
          <w:rFonts w:hint="eastAsia" w:ascii="仿宋_GB2312" w:hAnsi="仿宋_GB2312" w:eastAsia="仿宋_GB2312" w:cs="仿宋_GB2312"/>
          <w:sz w:val="32"/>
          <w:szCs w:val="32"/>
          <w:lang w:eastAsia="zh-CN"/>
        </w:rPr>
        <w:t>纸版</w:t>
      </w:r>
      <w:r>
        <w:rPr>
          <w:rFonts w:hint="eastAsia" w:ascii="仿宋_GB2312" w:hAnsi="仿宋_GB2312" w:eastAsia="仿宋_GB2312" w:cs="仿宋_GB2312"/>
          <w:sz w:val="32"/>
          <w:szCs w:val="32"/>
        </w:rPr>
        <w:t>一式</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、电子版一份；</w:t>
      </w:r>
      <w:r>
        <w:rPr>
          <w:rFonts w:hint="eastAsia" w:ascii="仿宋_GB2312" w:hAnsi="仿宋_GB2312" w:eastAsia="仿宋_GB2312" w:cs="仿宋_GB2312"/>
          <w:sz w:val="32"/>
          <w:szCs w:val="32"/>
          <w:lang w:val="en-US" w:eastAsia="zh-CN"/>
        </w:rPr>
        <w:t>详见检测项目清单。</w:t>
      </w:r>
    </w:p>
    <w:tbl>
      <w:tblPr>
        <w:tblStyle w:val="20"/>
        <w:tblW w:w="9839" w:type="dxa"/>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3"/>
        <w:gridCol w:w="1715"/>
        <w:gridCol w:w="2914"/>
        <w:gridCol w:w="3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Style w:val="42"/>
                <w:rFonts w:hint="eastAsia" w:ascii="宋体" w:hAnsi="宋体" w:eastAsia="宋体" w:cs="宋体"/>
                <w:b/>
                <w:bCs/>
                <w:sz w:val="24"/>
                <w:szCs w:val="24"/>
                <w:lang w:val="en-US" w:eastAsia="zh-CN" w:bidi="ar"/>
              </w:rPr>
              <w:t>检测位置</w:t>
            </w: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Style w:val="42"/>
                <w:rFonts w:hint="eastAsia" w:ascii="宋体" w:hAnsi="宋体" w:eastAsia="宋体" w:cs="宋体"/>
                <w:b/>
                <w:bCs/>
                <w:sz w:val="24"/>
                <w:szCs w:val="24"/>
                <w:lang w:val="en-US" w:eastAsia="zh-CN" w:bidi="ar"/>
              </w:rPr>
              <w:t>检测项目</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Style w:val="42"/>
                <w:rFonts w:hint="default" w:ascii="宋体" w:hAnsi="宋体" w:eastAsia="宋体" w:cs="宋体"/>
                <w:b/>
                <w:bCs/>
                <w:sz w:val="24"/>
                <w:szCs w:val="24"/>
                <w:lang w:val="en-US" w:eastAsia="zh-CN" w:bidi="ar"/>
              </w:rPr>
            </w:pPr>
            <w:r>
              <w:rPr>
                <w:rStyle w:val="42"/>
                <w:rFonts w:hint="eastAsia" w:ascii="宋体" w:hAnsi="宋体" w:cs="宋体"/>
                <w:b/>
                <w:bCs/>
                <w:sz w:val="24"/>
                <w:szCs w:val="24"/>
                <w:lang w:val="en-US" w:eastAsia="zh-CN" w:bidi="ar"/>
              </w:rPr>
              <w:t>检测频率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密闭点位泄露</w:t>
            </w: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油气泄露（站/250-400点）</w:t>
            </w:r>
          </w:p>
        </w:tc>
        <w:tc>
          <w:tcPr>
            <w:tcW w:w="30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油气回收系统</w:t>
            </w: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密闭性（单站/项）</w:t>
            </w:r>
          </w:p>
        </w:tc>
        <w:tc>
          <w:tcPr>
            <w:tcW w:w="30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液阻（每台加油机）</w:t>
            </w:r>
          </w:p>
        </w:tc>
        <w:tc>
          <w:tcPr>
            <w:tcW w:w="30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气液比（每支抢）</w:t>
            </w:r>
          </w:p>
        </w:tc>
        <w:tc>
          <w:tcPr>
            <w:tcW w:w="30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在线监控系统校准</w:t>
            </w: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密闭性（单站/项）</w:t>
            </w:r>
          </w:p>
        </w:tc>
        <w:tc>
          <w:tcPr>
            <w:tcW w:w="30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液阻（每台加油机）</w:t>
            </w:r>
          </w:p>
        </w:tc>
        <w:tc>
          <w:tcPr>
            <w:tcW w:w="30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气液比（每支抢）</w:t>
            </w:r>
          </w:p>
        </w:tc>
        <w:tc>
          <w:tcPr>
            <w:tcW w:w="30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21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三次油气回收处理装置</w:t>
            </w: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油气回收处理装置油气排放浓度检测</w:t>
            </w:r>
          </w:p>
        </w:tc>
        <w:tc>
          <w:tcPr>
            <w:tcW w:w="30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217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油气回收处理装置漏点检测</w:t>
            </w:r>
          </w:p>
        </w:tc>
        <w:tc>
          <w:tcPr>
            <w:tcW w:w="30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217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油气回收处理装置噪声检测</w:t>
            </w:r>
          </w:p>
        </w:tc>
        <w:tc>
          <w:tcPr>
            <w:tcW w:w="30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21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油气回收处理装置密闭性检测</w:t>
            </w:r>
          </w:p>
        </w:tc>
        <w:tc>
          <w:tcPr>
            <w:tcW w:w="30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边界无组织</w:t>
            </w: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非甲烷总烃（单站测4个点）</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厂内无组织</w:t>
            </w: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非甲烷总烃（单站测4个点）</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地下水检测</w:t>
            </w: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萘、笨、甲苯、乙苯、邻二甲苯、间（对）二甲苯、甲基叔丁基醚</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三废检测</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无组织废气</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非甲烷总烃</w:t>
            </w:r>
          </w:p>
        </w:tc>
        <w:tc>
          <w:tcPr>
            <w:tcW w:w="30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1年/2次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废水</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w:t>
            </w:r>
            <w:r>
              <w:rPr>
                <w:rStyle w:val="43"/>
                <w:rFonts w:hint="eastAsia" w:ascii="宋体" w:hAnsi="宋体" w:eastAsia="宋体" w:cs="宋体"/>
                <w:sz w:val="24"/>
                <w:szCs w:val="24"/>
                <w:lang w:val="en-US" w:eastAsia="zh-CN" w:bidi="ar"/>
              </w:rPr>
              <w:t>SS</w:t>
            </w:r>
            <w:r>
              <w:rPr>
                <w:rFonts w:hint="eastAsia" w:ascii="宋体" w:hAnsi="宋体" w:eastAsia="宋体" w:cs="宋体"/>
                <w:i w:val="0"/>
                <w:iCs w:val="0"/>
                <w:color w:val="000000"/>
                <w:kern w:val="0"/>
                <w:sz w:val="24"/>
                <w:szCs w:val="24"/>
                <w:u w:val="none"/>
                <w:lang w:val="en-US" w:eastAsia="zh-CN" w:bidi="ar"/>
              </w:rPr>
              <w:t>、</w:t>
            </w:r>
            <w:r>
              <w:rPr>
                <w:rStyle w:val="43"/>
                <w:rFonts w:hint="eastAsia" w:ascii="宋体" w:hAnsi="宋体" w:eastAsia="宋体" w:cs="宋体"/>
                <w:sz w:val="24"/>
                <w:szCs w:val="24"/>
                <w:lang w:val="en-US" w:eastAsia="zh-CN" w:bidi="ar"/>
              </w:rPr>
              <w:t>BOD5</w:t>
            </w:r>
            <w:r>
              <w:rPr>
                <w:rFonts w:hint="eastAsia" w:ascii="宋体" w:hAnsi="宋体" w:eastAsia="宋体" w:cs="宋体"/>
                <w:i w:val="0"/>
                <w:iCs w:val="0"/>
                <w:color w:val="000000"/>
                <w:kern w:val="0"/>
                <w:sz w:val="24"/>
                <w:szCs w:val="24"/>
                <w:u w:val="none"/>
                <w:lang w:val="en-US" w:eastAsia="zh-CN" w:bidi="ar"/>
              </w:rPr>
              <w:t>、</w:t>
            </w:r>
            <w:r>
              <w:rPr>
                <w:rStyle w:val="43"/>
                <w:rFonts w:hint="eastAsia" w:ascii="宋体" w:hAnsi="宋体" w:eastAsia="宋体" w:cs="宋体"/>
                <w:sz w:val="24"/>
                <w:szCs w:val="24"/>
                <w:lang w:val="en-US" w:eastAsia="zh-CN" w:bidi="ar"/>
              </w:rPr>
              <w:t>COD</w:t>
            </w:r>
            <w:r>
              <w:rPr>
                <w:rFonts w:hint="eastAsia" w:ascii="宋体" w:hAnsi="宋体" w:eastAsia="宋体" w:cs="宋体"/>
                <w:i w:val="0"/>
                <w:iCs w:val="0"/>
                <w:color w:val="000000"/>
                <w:kern w:val="0"/>
                <w:sz w:val="24"/>
                <w:szCs w:val="24"/>
                <w:u w:val="none"/>
                <w:lang w:val="en-US" w:eastAsia="zh-CN" w:bidi="ar"/>
              </w:rPr>
              <w:t>、石油类、氨氮</w:t>
            </w:r>
          </w:p>
        </w:tc>
        <w:tc>
          <w:tcPr>
            <w:tcW w:w="30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厂界噪声</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昼夜间</w:t>
            </w:r>
          </w:p>
        </w:tc>
        <w:tc>
          <w:tcPr>
            <w:tcW w:w="30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bl>
    <w:p>
      <w:pPr>
        <w:keepNext w:val="0"/>
        <w:keepLines w:val="0"/>
        <w:widowControl/>
        <w:suppressLineNumbers w:val="0"/>
        <w:jc w:val="left"/>
        <w:rPr>
          <w:rFonts w:hint="eastAsia" w:ascii="仿宋_GB2312" w:hAnsi="仿宋_GB2312" w:eastAsia="仿宋_GB2312" w:cs="仿宋_GB2312"/>
          <w:b/>
          <w:sz w:val="32"/>
          <w:szCs w:val="32"/>
          <w:lang w:val="en-US" w:eastAsia="zh-CN"/>
        </w:rPr>
      </w:pP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2.4</w:t>
      </w:r>
      <w:r>
        <w:rPr>
          <w:rFonts w:hint="eastAsia" w:ascii="仿宋_GB2312" w:hAnsi="仿宋_GB2312" w:eastAsia="仿宋_GB2312" w:cs="仿宋_GB2312"/>
          <w:color w:val="000000"/>
          <w:kern w:val="0"/>
          <w:sz w:val="32"/>
          <w:szCs w:val="32"/>
          <w:lang w:val="en-US" w:eastAsia="zh-CN" w:bidi="ar"/>
        </w:rPr>
        <w:t>在线监测系统准确性校核方法</w:t>
      </w:r>
    </w:p>
    <w:p>
      <w:pPr>
        <w:keepNext w:val="0"/>
        <w:keepLines w:val="0"/>
        <w:widowControl/>
        <w:suppressLineNumbers w:val="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2.4.1压力传感器校准测试和比对程序：</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进行密闭性人工检测，在进行测试之前需确认加油站液阻达标。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同时记录手工测试和在线监控系统监测的系统压力读数。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将手工检测得到的 5min 压力平均值与在线监控系统同时段监测的 5min 压力平均值作比较。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通过：若绝对差值≤50Pa，在线监控系统压力监测准确度视为满足要求。</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再做2次密闭性检测，按照计算手工检测与在线监控系统监测的5min 压力平均值的绝对误差，再计算3次绝对误差的平均值。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通过：若3次绝对差值平均值≤50Pa，在线监控系统压力监测准确度视为满足要求。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判断：若3次绝对差值平均值＞50Pa，此项检测不合格。</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对于非连通埋地油罐的加油站，依次检测每个油罐的压力。 </w:t>
      </w:r>
    </w:p>
    <w:p>
      <w:pPr>
        <w:keepNext w:val="0"/>
        <w:keepLines w:val="0"/>
        <w:widowControl/>
        <w:suppressLineNumbers w:val="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2.4.2流量传感器校准测试和比对程序</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选择被测试的加油机并在记录表上表明加油机序列号和加油枪数目。记录油气流量传感器的序列号，进行加油枪高档加油速度下气液比的人工检测。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用手工测试值与在线监控系统显示值一对一进行比对。若在线监控系统记录加油量与加油机显示加油量的相对误差＞1%，或 1min 内在线监控系统未提供本次气液比，判定在线监控系统气液比监测性能不合格。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通过：若气液比差值在±0.15 范围内，在记录表上记录该加油枪气液比监测通过测试，若该流量传感器未监测其他加油枪，则判断该流量传感器通过测试。</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继续：若该枪气液比差值不在±0.15 范围内再进行两次气液比检测，取三次结果的平均值。</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将三次气液比检测结果平均值与在线监测显示气液比平均值进行比较。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通过：若差值在±0.15 范围内，且该流量传感器未监测其他加油枪，则此流量传感器通过测试；若差值不在±0.15 范围内，则判断该流量传感器未通过测试。</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继续：若差值在±0.15 范围内，但该流量传感器同时监测其他加油枪。</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该流量传感器监测的所有加油枪气液比监测合格则判断该流量传感器合格，若该流量传感器监测加油枪中任一条枪监测比对不合格，则判断该流量传感器监测性能不合格。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重复以上步骤进行全部油气流量传感器比对，全部流量计传感器测试结果通过则判定为该监测项目合格，否则判断为不合格。 </w:t>
      </w:r>
    </w:p>
    <w:p>
      <w:pPr>
        <w:keepNext w:val="0"/>
        <w:keepLines w:val="0"/>
        <w:widowControl/>
        <w:suppressLineNumbers w:val="0"/>
        <w:ind w:firstLine="640" w:firstLineChars="200"/>
        <w:jc w:val="left"/>
        <w:rPr>
          <w:rFonts w:hint="default" w:ascii="仿宋_GB2312" w:hAnsi="仿宋_GB2312" w:eastAsia="仿宋_GB2312" w:cs="仿宋_GB2312"/>
          <w:b/>
          <w:bCs/>
          <w:color w:val="000000"/>
          <w:kern w:val="0"/>
          <w:sz w:val="32"/>
          <w:szCs w:val="32"/>
          <w:lang w:val="en-US" w:eastAsia="zh-CN" w:bidi="ar"/>
        </w:rPr>
      </w:pPr>
    </w:p>
    <w:p>
      <w:pPr>
        <w:widowControl w:val="0"/>
        <w:spacing w:line="240" w:lineRule="auto"/>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、资质要求</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有效的营业执照。</w:t>
      </w:r>
    </w:p>
    <w:p>
      <w:pPr>
        <w:spacing w:line="24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3.2国家质量监督检验检疫总局2015年发布的《检验检测机构资质认定管理办法》(总局令第163号)，对检验检测机构的基本条件和技术能力的要求</w:t>
      </w:r>
      <w:r>
        <w:rPr>
          <w:rFonts w:hint="eastAsia" w:ascii="仿宋_GB2312" w:hAnsi="仿宋_GB2312" w:eastAsia="仿宋_GB2312" w:cs="仿宋_GB2312"/>
          <w:sz w:val="32"/>
          <w:szCs w:val="32"/>
          <w:lang w:eastAsia="zh-CN"/>
        </w:rPr>
        <w:t>。</w:t>
      </w:r>
    </w:p>
    <w:p>
      <w:pPr>
        <w:spacing w:line="240" w:lineRule="auto"/>
        <w:jc w:val="left"/>
        <w:rPr>
          <w:rFonts w:hint="eastAsia" w:ascii="仿宋_GB2312" w:hAnsi="仿宋_GB2312" w:eastAsia="仿宋_GB2312" w:cs="仿宋_GB2312"/>
          <w:i w:val="0"/>
          <w:iCs w:val="0"/>
          <w:caps w:val="0"/>
          <w:spacing w:val="0"/>
          <w:sz w:val="32"/>
          <w:szCs w:val="32"/>
          <w:shd w:val="clear"/>
          <w:lang w:val="en-US" w:eastAsia="zh-CN"/>
        </w:rPr>
      </w:pPr>
      <w:r>
        <w:rPr>
          <w:rFonts w:hint="eastAsia" w:ascii="仿宋_GB2312" w:hAnsi="仿宋_GB2312" w:eastAsia="仿宋_GB2312" w:cs="仿宋_GB2312"/>
          <w:sz w:val="32"/>
          <w:szCs w:val="32"/>
          <w:lang w:val="en-US" w:eastAsia="zh-CN"/>
        </w:rPr>
        <w:t>3.3具</w:t>
      </w:r>
      <w:r>
        <w:rPr>
          <w:rFonts w:hint="eastAsia" w:ascii="仿宋_GB2312" w:hAnsi="仿宋_GB2312" w:eastAsia="仿宋_GB2312" w:cs="仿宋_GB2312"/>
          <w:i w:val="0"/>
          <w:iCs w:val="0"/>
          <w:caps w:val="0"/>
          <w:spacing w:val="0"/>
          <w:sz w:val="32"/>
          <w:szCs w:val="32"/>
          <w:shd w:val="clear"/>
          <w:lang w:val="en-US" w:eastAsia="zh-CN"/>
        </w:rPr>
        <w:t>备从事相关环境保护检测事项的CMA/CNAS资质报告证书，资质证书范围应包含“空气与废气”类别中检测对象为“环境空气与废气”、项目/参数名称包括“油气泄露浓度”并且依据的标准为《泄漏和敞开液面排放的挥发性有机物检测技术导则》HJ 733-2014；应包含土壤和沉积物类别、水和废水类别。</w:t>
      </w:r>
    </w:p>
    <w:p>
      <w:pPr>
        <w:widowControl w:val="0"/>
        <w:spacing w:line="240" w:lineRule="auto"/>
        <w:jc w:val="both"/>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验收标准</w:t>
      </w:r>
    </w:p>
    <w:p>
      <w:pPr>
        <w:widowControl w:val="0"/>
        <w:spacing w:line="24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4.1</w:t>
      </w:r>
      <w:r>
        <w:rPr>
          <w:rFonts w:hint="eastAsia" w:ascii="仿宋_GB2312" w:hAnsi="仿宋_GB2312" w:eastAsia="仿宋_GB2312" w:cs="仿宋_GB2312"/>
          <w:b w:val="0"/>
          <w:bCs/>
          <w:sz w:val="32"/>
          <w:szCs w:val="32"/>
        </w:rPr>
        <w:t>项目工期与进度要求</w:t>
      </w:r>
      <w:r>
        <w:rPr>
          <w:rFonts w:hint="eastAsia" w:ascii="仿宋_GB2312" w:hAnsi="仿宋_GB2312" w:eastAsia="仿宋_GB2312" w:cs="仿宋_GB2312"/>
          <w:b w:val="0"/>
          <w:bCs/>
          <w:sz w:val="32"/>
          <w:szCs w:val="32"/>
          <w:lang w:eastAsia="zh-CN"/>
        </w:rPr>
        <w:t>：</w:t>
      </w:r>
    </w:p>
    <w:p>
      <w:pPr>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签订合同后根据甲方通知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对指定加油站</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指定的</w:t>
      </w:r>
      <w:r>
        <w:rPr>
          <w:rFonts w:hint="eastAsia" w:ascii="仿宋_GB2312" w:hAnsi="仿宋_GB2312" w:eastAsia="仿宋_GB2312" w:cs="仿宋_GB2312"/>
          <w:sz w:val="32"/>
          <w:szCs w:val="32"/>
        </w:rPr>
        <w:t>检测工作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乙方收到</w:t>
      </w:r>
      <w:r>
        <w:rPr>
          <w:rFonts w:hint="eastAsia" w:ascii="仿宋_GB2312" w:hAnsi="仿宋_GB2312" w:eastAsia="仿宋_GB2312" w:cs="仿宋_GB2312"/>
          <w:sz w:val="32"/>
          <w:szCs w:val="32"/>
          <w:lang w:eastAsia="zh-CN"/>
        </w:rPr>
        <w:t>到通知后30个工作日内完成检测</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20日</w:t>
      </w:r>
      <w:r>
        <w:rPr>
          <w:rFonts w:hint="eastAsia" w:ascii="仿宋_GB2312" w:hAnsi="仿宋_GB2312" w:eastAsia="仿宋_GB2312" w:cs="仿宋_GB2312"/>
          <w:sz w:val="32"/>
          <w:szCs w:val="32"/>
          <w:lang w:eastAsia="zh-CN"/>
        </w:rPr>
        <w:t>出具检测报告。</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spacing w:val="0"/>
          <w:kern w:val="2"/>
          <w:sz w:val="32"/>
          <w:szCs w:val="32"/>
          <w:shd w:val="clear"/>
          <w:lang w:val="en-US" w:eastAsia="zh-CN" w:bidi="ar-SA"/>
        </w:rPr>
        <w:t>乙方</w:t>
      </w:r>
      <w:r>
        <w:rPr>
          <w:rFonts w:hint="eastAsia" w:ascii="仿宋_GB2312" w:hAnsi="仿宋_GB2312" w:eastAsia="仿宋_GB2312" w:cs="仿宋_GB2312"/>
          <w:i w:val="0"/>
          <w:iCs w:val="0"/>
          <w:caps w:val="0"/>
          <w:spacing w:val="0"/>
          <w:kern w:val="2"/>
          <w:sz w:val="32"/>
          <w:szCs w:val="32"/>
          <w:shd w:val="clear"/>
          <w:lang w:bidi="ar-SA"/>
        </w:rPr>
        <w:t>应当按照国家标准、行业标准规定的工艺、流程开展</w:t>
      </w:r>
      <w:r>
        <w:rPr>
          <w:rFonts w:hint="eastAsia" w:ascii="仿宋_GB2312" w:hAnsi="仿宋_GB2312" w:eastAsia="仿宋_GB2312" w:cs="仿宋_GB2312"/>
          <w:i w:val="0"/>
          <w:iCs w:val="0"/>
          <w:caps w:val="0"/>
          <w:spacing w:val="0"/>
          <w:kern w:val="2"/>
          <w:sz w:val="32"/>
          <w:szCs w:val="32"/>
          <w:shd w:val="clear"/>
          <w:lang w:val="en-US" w:eastAsia="zh-CN" w:bidi="ar-SA"/>
        </w:rPr>
        <w:t>检定监测</w:t>
      </w:r>
      <w:r>
        <w:rPr>
          <w:rFonts w:hint="eastAsia" w:ascii="仿宋_GB2312" w:hAnsi="仿宋_GB2312" w:eastAsia="仿宋_GB2312" w:cs="仿宋_GB2312"/>
          <w:i w:val="0"/>
          <w:iCs w:val="0"/>
          <w:caps w:val="0"/>
          <w:spacing w:val="0"/>
          <w:kern w:val="2"/>
          <w:sz w:val="32"/>
          <w:szCs w:val="32"/>
          <w:shd w:val="clear"/>
          <w:lang w:bidi="ar-SA"/>
        </w:rPr>
        <w:t>，保证</w:t>
      </w:r>
      <w:r>
        <w:rPr>
          <w:rFonts w:hint="eastAsia" w:ascii="仿宋_GB2312" w:hAnsi="仿宋_GB2312" w:eastAsia="仿宋_GB2312" w:cs="仿宋_GB2312"/>
          <w:i w:val="0"/>
          <w:iCs w:val="0"/>
          <w:caps w:val="0"/>
          <w:spacing w:val="0"/>
          <w:kern w:val="2"/>
          <w:sz w:val="32"/>
          <w:szCs w:val="32"/>
          <w:shd w:val="clear"/>
          <w:lang w:val="en-US" w:eastAsia="zh-CN" w:bidi="ar-SA"/>
        </w:rPr>
        <w:t>加油站环境保护情况和地下水监测情况</w:t>
      </w:r>
      <w:r>
        <w:rPr>
          <w:rFonts w:hint="eastAsia" w:ascii="仿宋_GB2312" w:hAnsi="仿宋_GB2312" w:eastAsia="仿宋_GB2312" w:cs="仿宋_GB2312"/>
          <w:i w:val="0"/>
          <w:iCs w:val="0"/>
          <w:caps w:val="0"/>
          <w:spacing w:val="0"/>
          <w:kern w:val="2"/>
          <w:sz w:val="32"/>
          <w:szCs w:val="32"/>
          <w:shd w:val="clear"/>
          <w:lang w:bidi="ar-SA"/>
        </w:rPr>
        <w:t>符合国家标准、行业标准。</w:t>
      </w:r>
    </w:p>
    <w:p>
      <w:pPr>
        <w:spacing w:line="240" w:lineRule="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4.2</w:t>
      </w:r>
      <w:r>
        <w:rPr>
          <w:rFonts w:hint="eastAsia" w:ascii="仿宋_GB2312" w:hAnsi="仿宋_GB2312" w:eastAsia="仿宋_GB2312" w:cs="仿宋_GB2312"/>
          <w:b w:val="0"/>
          <w:bCs/>
          <w:sz w:val="32"/>
          <w:szCs w:val="32"/>
        </w:rPr>
        <w:t>项目验收要求（或方式）</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乙方出具</w:t>
      </w:r>
      <w:r>
        <w:rPr>
          <w:rFonts w:hint="eastAsia" w:ascii="仿宋_GB2312" w:hAnsi="仿宋_GB2312" w:eastAsia="仿宋_GB2312" w:cs="仿宋_GB2312"/>
          <w:sz w:val="32"/>
          <w:szCs w:val="32"/>
          <w:highlight w:val="none"/>
        </w:rPr>
        <w:t>符合《加油站大气污染物排放标准》（GB20952-2020）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排污单位自行监测技术指南储油库、加油站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HJ 1249-2022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等标准规范</w:t>
      </w:r>
      <w:r>
        <w:rPr>
          <w:rFonts w:hint="eastAsia" w:ascii="仿宋_GB2312" w:hAnsi="仿宋_GB2312" w:eastAsia="仿宋_GB2312" w:cs="仿宋_GB2312"/>
          <w:sz w:val="32"/>
          <w:szCs w:val="32"/>
          <w:highlight w:val="none"/>
        </w:rPr>
        <w:t>要求，包含结论和建议的检测报告为准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caps w:val="0"/>
          <w:spacing w:val="0"/>
          <w:kern w:val="2"/>
          <w:sz w:val="32"/>
          <w:szCs w:val="32"/>
          <w:shd w:val="clear"/>
          <w:lang w:bidi="ar-SA"/>
        </w:rPr>
        <w:t>结论文件，可以作为</w:t>
      </w:r>
      <w:r>
        <w:rPr>
          <w:rFonts w:hint="eastAsia" w:ascii="仿宋_GB2312" w:hAnsi="仿宋_GB2312" w:eastAsia="仿宋_GB2312" w:cs="仿宋_GB2312"/>
          <w:i w:val="0"/>
          <w:iCs w:val="0"/>
          <w:caps w:val="0"/>
          <w:spacing w:val="0"/>
          <w:kern w:val="2"/>
          <w:sz w:val="32"/>
          <w:szCs w:val="32"/>
          <w:shd w:val="clear"/>
          <w:lang w:val="en-US" w:eastAsia="zh-CN" w:bidi="ar-SA"/>
        </w:rPr>
        <w:t>政府环境管理部门及环境保护执法部门</w:t>
      </w:r>
      <w:r>
        <w:rPr>
          <w:rFonts w:hint="eastAsia" w:ascii="仿宋_GB2312" w:hAnsi="仿宋_GB2312" w:eastAsia="仿宋_GB2312" w:cs="仿宋_GB2312"/>
          <w:i w:val="0"/>
          <w:iCs w:val="0"/>
          <w:caps w:val="0"/>
          <w:spacing w:val="0"/>
          <w:kern w:val="2"/>
          <w:sz w:val="32"/>
          <w:szCs w:val="32"/>
          <w:shd w:val="clear"/>
          <w:lang w:bidi="ar-SA"/>
        </w:rPr>
        <w:t>开展</w:t>
      </w:r>
      <w:r>
        <w:rPr>
          <w:rFonts w:hint="eastAsia" w:ascii="仿宋_GB2312" w:hAnsi="仿宋_GB2312" w:eastAsia="仿宋_GB2312" w:cs="仿宋_GB2312"/>
          <w:i w:val="0"/>
          <w:iCs w:val="0"/>
          <w:caps w:val="0"/>
          <w:spacing w:val="0"/>
          <w:kern w:val="2"/>
          <w:sz w:val="32"/>
          <w:szCs w:val="32"/>
          <w:shd w:val="clear"/>
          <w:lang w:val="en-US" w:eastAsia="zh-CN" w:bidi="ar-SA"/>
        </w:rPr>
        <w:t>环境保护</w:t>
      </w:r>
      <w:r>
        <w:rPr>
          <w:rFonts w:hint="eastAsia" w:ascii="仿宋_GB2312" w:hAnsi="仿宋_GB2312" w:eastAsia="仿宋_GB2312" w:cs="仿宋_GB2312"/>
          <w:i w:val="0"/>
          <w:iCs w:val="0"/>
          <w:caps w:val="0"/>
          <w:spacing w:val="0"/>
          <w:kern w:val="2"/>
          <w:sz w:val="32"/>
          <w:szCs w:val="32"/>
          <w:shd w:val="clear"/>
          <w:lang w:bidi="ar-SA"/>
        </w:rPr>
        <w:t>管理的依据。</w:t>
      </w:r>
    </w:p>
    <w:p>
      <w:pPr>
        <w:spacing w:line="240" w:lineRule="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4.3</w:t>
      </w:r>
      <w:r>
        <w:rPr>
          <w:rFonts w:hint="eastAsia" w:ascii="仿宋_GB2312" w:hAnsi="仿宋_GB2312" w:eastAsia="仿宋_GB2312" w:cs="仿宋_GB2312"/>
          <w:b w:val="0"/>
          <w:bCs/>
          <w:sz w:val="32"/>
          <w:szCs w:val="32"/>
          <w:highlight w:val="none"/>
        </w:rPr>
        <w:t>付款条件</w:t>
      </w:r>
    </w:p>
    <w:p>
      <w:pPr>
        <w:spacing w:line="24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提供符合《加油站大气污染物排放标准》（GB20952-2020）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排污单位自行监测技术指南储油库、加油站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HJ 1249-2022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等标准规范</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并包含结论和建议的检测报告后，按照</w:t>
      </w:r>
      <w:r>
        <w:rPr>
          <w:rFonts w:hint="eastAsia" w:ascii="仿宋_GB2312" w:hAnsi="仿宋_GB2312" w:eastAsia="仿宋_GB2312" w:cs="仿宋_GB2312"/>
          <w:sz w:val="32"/>
          <w:szCs w:val="32"/>
          <w:highlight w:val="none"/>
          <w:lang w:val="en-US" w:eastAsia="zh-CN"/>
        </w:rPr>
        <w:t>加油站</w:t>
      </w:r>
      <w:r>
        <w:rPr>
          <w:rFonts w:hint="eastAsia" w:ascii="仿宋_GB2312" w:hAnsi="仿宋_GB2312" w:eastAsia="仿宋_GB2312" w:cs="仿宋_GB2312"/>
          <w:sz w:val="32"/>
          <w:szCs w:val="32"/>
          <w:highlight w:val="none"/>
        </w:rPr>
        <w:t>提供的开票信息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开具增值税专用发票，</w:t>
      </w:r>
      <w:r>
        <w:rPr>
          <w:rFonts w:hint="eastAsia" w:ascii="仿宋_GB2312" w:hAnsi="仿宋_GB2312" w:eastAsia="仿宋_GB2312" w:cs="仿宋_GB2312"/>
          <w:sz w:val="32"/>
          <w:szCs w:val="32"/>
          <w:highlight w:val="none"/>
          <w:lang w:val="en-US" w:eastAsia="zh-CN"/>
        </w:rPr>
        <w:t>由加油站</w:t>
      </w:r>
      <w:r>
        <w:rPr>
          <w:rFonts w:hint="eastAsia" w:ascii="仿宋_GB2312" w:hAnsi="仿宋_GB2312" w:eastAsia="仿宋_GB2312" w:cs="仿宋_GB2312"/>
          <w:sz w:val="32"/>
          <w:szCs w:val="32"/>
          <w:highlight w:val="none"/>
        </w:rPr>
        <w:t>付款至乙方指定账户。</w:t>
      </w:r>
    </w:p>
    <w:p>
      <w:pPr>
        <w:numPr>
          <w:ilvl w:val="0"/>
          <w:numId w:val="2"/>
        </w:numPr>
        <w:spacing w:line="24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加油站基本信息</w:t>
      </w:r>
    </w:p>
    <w:tbl>
      <w:tblPr>
        <w:tblStyle w:val="20"/>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6" w:type="dxa"/>
            <w:noWrap w:val="0"/>
            <w:vAlign w:val="center"/>
          </w:tcPr>
          <w:p>
            <w:pPr>
              <w:widowControl/>
              <w:spacing w:line="320" w:lineRule="exact"/>
              <w:jc w:val="center"/>
              <w:rPr>
                <w:rFonts w:hint="default" w:ascii="宋体" w:hAnsi="宋体" w:cs="宋体"/>
                <w:b/>
                <w:bCs/>
                <w:kern w:val="0"/>
                <w:sz w:val="20"/>
                <w:szCs w:val="20"/>
                <w:lang w:val="en-US" w:eastAsia="zh-CN"/>
              </w:rPr>
            </w:pPr>
            <w:r>
              <w:rPr>
                <w:rFonts w:hint="eastAsia" w:ascii="宋体" w:hAnsi="宋体" w:cs="宋体"/>
                <w:b/>
                <w:bCs/>
                <w:kern w:val="0"/>
                <w:sz w:val="20"/>
                <w:szCs w:val="20"/>
                <w:lang w:val="en-US" w:eastAsia="zh-CN"/>
              </w:rPr>
              <w:t>序号</w:t>
            </w:r>
          </w:p>
        </w:tc>
        <w:tc>
          <w:tcPr>
            <w:tcW w:w="7823" w:type="dxa"/>
            <w:noWrap w:val="0"/>
            <w:vAlign w:val="center"/>
          </w:tcPr>
          <w:p>
            <w:pPr>
              <w:widowControl/>
              <w:spacing w:line="320" w:lineRule="exact"/>
              <w:jc w:val="left"/>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中海油销售</w:t>
            </w:r>
            <w:r>
              <w:rPr>
                <w:rFonts w:hint="eastAsia" w:ascii="宋体" w:hAnsi="宋体" w:eastAsia="宋体" w:cs="宋体"/>
                <w:b/>
                <w:bCs/>
                <w:kern w:val="0"/>
                <w:sz w:val="21"/>
                <w:szCs w:val="21"/>
              </w:rPr>
              <w:t>深圳</w:t>
            </w:r>
            <w:r>
              <w:rPr>
                <w:rFonts w:hint="eastAsia" w:ascii="宋体" w:hAnsi="宋体" w:eastAsia="宋体" w:cs="宋体"/>
                <w:b/>
                <w:bCs/>
                <w:kern w:val="0"/>
                <w:sz w:val="21"/>
                <w:szCs w:val="21"/>
                <w:lang w:val="en-US" w:eastAsia="zh-CN"/>
              </w:rPr>
              <w:t>有限</w:t>
            </w:r>
            <w:r>
              <w:rPr>
                <w:rFonts w:hint="eastAsia" w:ascii="宋体" w:hAnsi="宋体" w:eastAsia="宋体" w:cs="宋体"/>
                <w:b/>
                <w:bCs/>
                <w:kern w:val="0"/>
                <w:sz w:val="21"/>
                <w:szCs w:val="21"/>
              </w:rPr>
              <w:t>公司</w:t>
            </w:r>
            <w:r>
              <w:rPr>
                <w:rFonts w:hint="eastAsia" w:ascii="宋体" w:hAnsi="宋体" w:eastAsia="宋体" w:cs="宋体"/>
                <w:b/>
                <w:bCs/>
                <w:kern w:val="0"/>
                <w:sz w:val="21"/>
                <w:szCs w:val="21"/>
                <w:lang w:val="en-US" w:eastAsia="zh-CN"/>
              </w:rPr>
              <w:t>所属</w:t>
            </w:r>
            <w:r>
              <w:rPr>
                <w:rFonts w:hint="eastAsia" w:ascii="宋体" w:hAnsi="宋体" w:cs="宋体"/>
                <w:b/>
                <w:bCs/>
                <w:kern w:val="0"/>
                <w:sz w:val="21"/>
                <w:szCs w:val="21"/>
                <w:lang w:val="en-US" w:eastAsia="zh-CN"/>
              </w:rPr>
              <w:t>加油站</w:t>
            </w:r>
            <w:r>
              <w:rPr>
                <w:rFonts w:hint="eastAsia" w:ascii="宋体" w:hAnsi="宋体" w:eastAsia="宋体" w:cs="宋体"/>
                <w:b/>
                <w:bCs/>
                <w:kern w:val="0"/>
                <w:sz w:val="21"/>
                <w:szCs w:val="21"/>
                <w:lang w:val="en-US" w:eastAsia="zh-CN"/>
              </w:rPr>
              <w:t>名称、地址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96"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hanging="425" w:firstLineChars="0"/>
              <w:jc w:val="right"/>
              <w:textAlignment w:val="auto"/>
              <w:rPr>
                <w:rFonts w:hint="eastAsia" w:ascii="宋体" w:hAnsi="宋体" w:cs="宋体"/>
                <w:kern w:val="0"/>
                <w:sz w:val="21"/>
                <w:szCs w:val="21"/>
              </w:rPr>
            </w:pPr>
          </w:p>
        </w:tc>
        <w:tc>
          <w:tcPr>
            <w:tcW w:w="782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中海油销售深圳有限公司四海油站(广东省深圳市南山区南海大道1084)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796"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hanging="425" w:firstLineChars="0"/>
              <w:jc w:val="right"/>
              <w:textAlignment w:val="auto"/>
              <w:rPr>
                <w:rFonts w:hint="eastAsia" w:ascii="宋体" w:hAnsi="宋体" w:cs="宋体"/>
                <w:kern w:val="0"/>
                <w:sz w:val="21"/>
                <w:szCs w:val="21"/>
              </w:rPr>
            </w:pPr>
          </w:p>
        </w:tc>
        <w:tc>
          <w:tcPr>
            <w:tcW w:w="782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深圳市华英石油联营有限公司加油站[广东省深圳市蛇口工业区工业大道（工业三路）]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6"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hanging="425" w:firstLineChars="0"/>
              <w:jc w:val="right"/>
              <w:textAlignment w:val="auto"/>
              <w:rPr>
                <w:rFonts w:hint="eastAsia" w:ascii="宋体" w:hAnsi="宋体" w:cs="宋体"/>
                <w:kern w:val="0"/>
                <w:sz w:val="21"/>
                <w:szCs w:val="21"/>
              </w:rPr>
            </w:pPr>
          </w:p>
        </w:tc>
        <w:tc>
          <w:tcPr>
            <w:tcW w:w="782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深圳市南油石化第二加油站有限公司(广东省深圳市南山区南油月亮湾大道西北侧)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96"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hanging="425" w:firstLineChars="0"/>
              <w:jc w:val="right"/>
              <w:textAlignment w:val="auto"/>
              <w:rPr>
                <w:rFonts w:hint="eastAsia" w:ascii="宋体" w:hAnsi="宋体" w:cs="宋体"/>
                <w:kern w:val="0"/>
                <w:sz w:val="21"/>
                <w:szCs w:val="21"/>
              </w:rPr>
            </w:pPr>
          </w:p>
        </w:tc>
        <w:tc>
          <w:tcPr>
            <w:tcW w:w="782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中海油销售深圳有限公司白芒加油站(广东省深圳市宝安区石岩镇应人石村)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6"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hanging="425" w:firstLineChars="0"/>
              <w:jc w:val="right"/>
              <w:textAlignment w:val="auto"/>
              <w:rPr>
                <w:rFonts w:hint="eastAsia" w:ascii="宋体" w:hAnsi="宋体" w:cs="宋体"/>
                <w:kern w:val="0"/>
                <w:sz w:val="21"/>
                <w:szCs w:val="21"/>
              </w:rPr>
            </w:pPr>
          </w:p>
        </w:tc>
        <w:tc>
          <w:tcPr>
            <w:tcW w:w="782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深圳市松湖加油站有限公司（深圳市南山区前海物流园区妈湾大道妈湾油库侧对面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6"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hanging="425" w:firstLineChars="0"/>
              <w:jc w:val="right"/>
              <w:textAlignment w:val="auto"/>
              <w:rPr>
                <w:rFonts w:hint="eastAsia" w:ascii="宋体" w:hAnsi="宋体" w:cs="宋体"/>
                <w:kern w:val="0"/>
                <w:sz w:val="21"/>
                <w:szCs w:val="21"/>
              </w:rPr>
            </w:pPr>
          </w:p>
        </w:tc>
        <w:tc>
          <w:tcPr>
            <w:tcW w:w="782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中海油销售深圳有限公司东莞大朗加油站(广东省东莞市大朗镇莞樟路凹厦段)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1" w:hRule="atLeast"/>
          <w:jc w:val="center"/>
        </w:trPr>
        <w:tc>
          <w:tcPr>
            <w:tcW w:w="796"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hanging="425" w:firstLineChars="0"/>
              <w:jc w:val="right"/>
              <w:textAlignment w:val="auto"/>
              <w:rPr>
                <w:rFonts w:hint="eastAsia" w:ascii="宋体" w:hAnsi="宋体" w:cs="宋体"/>
                <w:kern w:val="0"/>
                <w:sz w:val="21"/>
                <w:szCs w:val="21"/>
              </w:rPr>
            </w:pPr>
          </w:p>
        </w:tc>
        <w:tc>
          <w:tcPr>
            <w:tcW w:w="782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中海油销售深圳燃化有限公司石厦加油站有限公司(广东省东莞市大朗镇莞樟路石厦路段)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96"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hanging="425" w:firstLineChars="0"/>
              <w:jc w:val="right"/>
              <w:textAlignment w:val="auto"/>
              <w:rPr>
                <w:rFonts w:hint="eastAsia" w:ascii="宋体" w:hAnsi="宋体" w:cs="宋体"/>
                <w:kern w:val="0"/>
                <w:sz w:val="21"/>
                <w:szCs w:val="21"/>
              </w:rPr>
            </w:pPr>
          </w:p>
        </w:tc>
        <w:tc>
          <w:tcPr>
            <w:tcW w:w="782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中海油销售深圳有限公司东莞大岭山加油站(广东省东莞市大岭山镇莞长公路杨屋路段)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96"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hanging="425" w:firstLineChars="0"/>
              <w:jc w:val="right"/>
              <w:textAlignment w:val="auto"/>
              <w:rPr>
                <w:rFonts w:hint="eastAsia" w:ascii="宋体" w:hAnsi="宋体" w:cs="宋体"/>
                <w:kern w:val="0"/>
                <w:sz w:val="21"/>
                <w:szCs w:val="21"/>
              </w:rPr>
            </w:pPr>
          </w:p>
        </w:tc>
        <w:tc>
          <w:tcPr>
            <w:tcW w:w="782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中海油销售深圳有限公司东莞海华加油站(广东省东莞市大岭山镇莞长路梅林管理区)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96"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hanging="425" w:firstLineChars="0"/>
              <w:jc w:val="right"/>
              <w:textAlignment w:val="auto"/>
              <w:rPr>
                <w:rFonts w:hint="eastAsia" w:ascii="宋体" w:hAnsi="宋体" w:cs="宋体"/>
                <w:kern w:val="0"/>
                <w:sz w:val="21"/>
                <w:szCs w:val="21"/>
              </w:rPr>
            </w:pPr>
          </w:p>
        </w:tc>
        <w:tc>
          <w:tcPr>
            <w:tcW w:w="782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中海油销售深圳有限公司东莞中堂加油站(广东省东莞市大朗镇莞樟路凹吓段)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6"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hanging="425" w:firstLineChars="0"/>
              <w:jc w:val="right"/>
              <w:textAlignment w:val="auto"/>
              <w:rPr>
                <w:rFonts w:hint="eastAsia" w:ascii="宋体" w:hAnsi="宋体" w:cs="宋体"/>
                <w:kern w:val="0"/>
                <w:sz w:val="21"/>
                <w:szCs w:val="21"/>
              </w:rPr>
            </w:pPr>
          </w:p>
        </w:tc>
        <w:tc>
          <w:tcPr>
            <w:tcW w:w="782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中海油销售深圳有限公司东莞松山湖加油站</w:t>
            </w:r>
            <w:r>
              <w:rPr>
                <w:rFonts w:hint="eastAsia" w:ascii="宋体" w:hAnsi="宋体" w:cs="宋体"/>
                <w:kern w:val="0"/>
                <w:sz w:val="21"/>
                <w:szCs w:val="21"/>
                <w:lang w:eastAsia="zh-CN"/>
              </w:rPr>
              <w:t>（</w:t>
            </w:r>
            <w:r>
              <w:rPr>
                <w:rFonts w:hint="eastAsia" w:ascii="宋体" w:hAnsi="宋体" w:cs="宋体"/>
                <w:kern w:val="0"/>
                <w:sz w:val="21"/>
                <w:szCs w:val="21"/>
              </w:rPr>
              <w:t>东莞市松山湖园区工业南路10号</w:t>
            </w:r>
            <w:r>
              <w:rPr>
                <w:rFonts w:hint="eastAsia" w:ascii="宋体" w:hAnsi="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96"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hanging="425" w:firstLineChars="0"/>
              <w:jc w:val="right"/>
              <w:textAlignment w:val="auto"/>
              <w:rPr>
                <w:rFonts w:hint="eastAsia" w:ascii="宋体" w:hAnsi="宋体" w:cs="宋体"/>
                <w:kern w:val="0"/>
                <w:sz w:val="21"/>
                <w:szCs w:val="21"/>
              </w:rPr>
            </w:pPr>
          </w:p>
        </w:tc>
        <w:tc>
          <w:tcPr>
            <w:tcW w:w="782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中海油销售深圳有限公司</w:t>
            </w:r>
            <w:r>
              <w:rPr>
                <w:rFonts w:hint="eastAsia" w:ascii="宋体" w:hAnsi="宋体" w:eastAsia="宋体" w:cs="宋体"/>
                <w:kern w:val="0"/>
                <w:sz w:val="21"/>
                <w:szCs w:val="21"/>
                <w:lang w:val="en-US" w:eastAsia="zh-CN"/>
              </w:rPr>
              <w:t>企石东山加油站（广东省东莞市企石东山木棉路2号）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96"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hanging="425" w:firstLineChars="0"/>
              <w:jc w:val="right"/>
              <w:textAlignment w:val="auto"/>
              <w:rPr>
                <w:rFonts w:hint="eastAsia" w:ascii="宋体" w:hAnsi="宋体" w:cs="宋体"/>
                <w:kern w:val="0"/>
                <w:sz w:val="21"/>
                <w:szCs w:val="21"/>
              </w:rPr>
            </w:pPr>
          </w:p>
        </w:tc>
        <w:tc>
          <w:tcPr>
            <w:tcW w:w="782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新增油站</w:t>
            </w:r>
          </w:p>
        </w:tc>
      </w:tr>
    </w:tbl>
    <w:p>
      <w:pPr>
        <w:numPr>
          <w:ilvl w:val="0"/>
          <w:numId w:val="0"/>
        </w:numPr>
        <w:spacing w:line="240" w:lineRule="auto"/>
        <w:rPr>
          <w:rFonts w:hint="default" w:ascii="仿宋_GB2312" w:hAnsi="仿宋_GB2312" w:eastAsia="仿宋_GB2312" w:cs="仿宋_GB2312"/>
          <w:sz w:val="32"/>
          <w:szCs w:val="32"/>
          <w:highlight w:val="none"/>
          <w:lang w:val="en-US" w:eastAsia="zh-CN"/>
        </w:rPr>
      </w:pPr>
    </w:p>
    <w:p>
      <w:pPr>
        <w:snapToGrid w:val="0"/>
        <w:spacing w:line="360" w:lineRule="auto"/>
        <w:ind w:firstLine="480"/>
        <w:rPr>
          <w:rFonts w:hint="eastAsia" w:ascii="仿宋_GB2312" w:hAnsi="仿宋_GB2312" w:eastAsia="仿宋_GB2312" w:cs="仿宋_GB2312"/>
          <w:sz w:val="32"/>
          <w:szCs w:val="32"/>
        </w:rPr>
      </w:pPr>
    </w:p>
    <w:sectPr>
      <w:footerReference r:id="rId12" w:type="default"/>
      <w:pgSz w:w="11906" w:h="16838"/>
      <w:pgMar w:top="1440" w:right="1080" w:bottom="1440" w:left="1080" w:header="851" w:footer="992" w:gutter="0"/>
      <w:cols w:space="425"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AB406"/>
    <w:multiLevelType w:val="singleLevel"/>
    <w:tmpl w:val="E45AB406"/>
    <w:lvl w:ilvl="0" w:tentative="0">
      <w:start w:val="1"/>
      <w:numFmt w:val="decimal"/>
      <w:lvlText w:val="%1."/>
      <w:lvlJc w:val="left"/>
      <w:pPr>
        <w:ind w:left="425" w:hanging="425"/>
      </w:pPr>
      <w:rPr>
        <w:rFonts w:hint="default"/>
      </w:rPr>
    </w:lvl>
  </w:abstractNum>
  <w:abstractNum w:abstractNumId="1">
    <w:nsid w:val="04B8C1DF"/>
    <w:multiLevelType w:val="singleLevel"/>
    <w:tmpl w:val="04B8C1DF"/>
    <w:lvl w:ilvl="0" w:tentative="0">
      <w:start w:val="5"/>
      <w:numFmt w:val="decimal"/>
      <w:suff w:val="nothing"/>
      <w:lvlText w:val="%1、"/>
      <w:lvlJc w:val="left"/>
    </w:lvl>
  </w:abstractNum>
  <w:abstractNum w:abstractNumId="2">
    <w:nsid w:val="6859BEA7"/>
    <w:multiLevelType w:val="singleLevel"/>
    <w:tmpl w:val="6859BEA7"/>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F0"/>
    <w:rsid w:val="000025D8"/>
    <w:rsid w:val="000075D3"/>
    <w:rsid w:val="00012EA7"/>
    <w:rsid w:val="000159CE"/>
    <w:rsid w:val="00020844"/>
    <w:rsid w:val="00031B4B"/>
    <w:rsid w:val="00032F15"/>
    <w:rsid w:val="000337BB"/>
    <w:rsid w:val="0003582B"/>
    <w:rsid w:val="00035DB7"/>
    <w:rsid w:val="00044C12"/>
    <w:rsid w:val="00045579"/>
    <w:rsid w:val="000668E6"/>
    <w:rsid w:val="00067524"/>
    <w:rsid w:val="000A6A06"/>
    <w:rsid w:val="000B2552"/>
    <w:rsid w:val="000B719B"/>
    <w:rsid w:val="000C2438"/>
    <w:rsid w:val="000C3AC9"/>
    <w:rsid w:val="000C6437"/>
    <w:rsid w:val="000D000E"/>
    <w:rsid w:val="000D091B"/>
    <w:rsid w:val="000D1A09"/>
    <w:rsid w:val="000D4ED6"/>
    <w:rsid w:val="000E0F4F"/>
    <w:rsid w:val="000E5902"/>
    <w:rsid w:val="000E68D2"/>
    <w:rsid w:val="000F00CC"/>
    <w:rsid w:val="000F3EF7"/>
    <w:rsid w:val="000F4869"/>
    <w:rsid w:val="000F69CE"/>
    <w:rsid w:val="0010091B"/>
    <w:rsid w:val="001153CB"/>
    <w:rsid w:val="00127228"/>
    <w:rsid w:val="00146129"/>
    <w:rsid w:val="00160C40"/>
    <w:rsid w:val="001730C2"/>
    <w:rsid w:val="00177954"/>
    <w:rsid w:val="0018406A"/>
    <w:rsid w:val="001841DD"/>
    <w:rsid w:val="0019271E"/>
    <w:rsid w:val="001B6C8A"/>
    <w:rsid w:val="001D380D"/>
    <w:rsid w:val="001D49D4"/>
    <w:rsid w:val="001F3B0F"/>
    <w:rsid w:val="00213102"/>
    <w:rsid w:val="00216586"/>
    <w:rsid w:val="0021744E"/>
    <w:rsid w:val="00220B0D"/>
    <w:rsid w:val="00222072"/>
    <w:rsid w:val="00224495"/>
    <w:rsid w:val="002312A2"/>
    <w:rsid w:val="00235954"/>
    <w:rsid w:val="00240C6A"/>
    <w:rsid w:val="0024497D"/>
    <w:rsid w:val="00246674"/>
    <w:rsid w:val="00257DB6"/>
    <w:rsid w:val="002606DC"/>
    <w:rsid w:val="002630F7"/>
    <w:rsid w:val="0026532D"/>
    <w:rsid w:val="00275531"/>
    <w:rsid w:val="002824CC"/>
    <w:rsid w:val="00285249"/>
    <w:rsid w:val="002863CB"/>
    <w:rsid w:val="002878FC"/>
    <w:rsid w:val="00293842"/>
    <w:rsid w:val="00293CAF"/>
    <w:rsid w:val="0029720F"/>
    <w:rsid w:val="002973F2"/>
    <w:rsid w:val="002A1669"/>
    <w:rsid w:val="002A6DA3"/>
    <w:rsid w:val="002B0AC3"/>
    <w:rsid w:val="002B318B"/>
    <w:rsid w:val="002B32E1"/>
    <w:rsid w:val="002C266C"/>
    <w:rsid w:val="002C3C87"/>
    <w:rsid w:val="002C46FB"/>
    <w:rsid w:val="002D06F9"/>
    <w:rsid w:val="002D1858"/>
    <w:rsid w:val="002D3621"/>
    <w:rsid w:val="002D7AA9"/>
    <w:rsid w:val="002E1CCF"/>
    <w:rsid w:val="002E5D33"/>
    <w:rsid w:val="002E6A1A"/>
    <w:rsid w:val="003036CE"/>
    <w:rsid w:val="00305D64"/>
    <w:rsid w:val="00306A18"/>
    <w:rsid w:val="00323906"/>
    <w:rsid w:val="003240D1"/>
    <w:rsid w:val="0032678B"/>
    <w:rsid w:val="00330D3C"/>
    <w:rsid w:val="003324DA"/>
    <w:rsid w:val="00333AFB"/>
    <w:rsid w:val="0034070E"/>
    <w:rsid w:val="00344458"/>
    <w:rsid w:val="00346BB9"/>
    <w:rsid w:val="003552FA"/>
    <w:rsid w:val="00365FE1"/>
    <w:rsid w:val="00367E44"/>
    <w:rsid w:val="00370884"/>
    <w:rsid w:val="003761A2"/>
    <w:rsid w:val="00380AF5"/>
    <w:rsid w:val="00380B0F"/>
    <w:rsid w:val="003906AD"/>
    <w:rsid w:val="003A13E3"/>
    <w:rsid w:val="003A52AA"/>
    <w:rsid w:val="003B5A13"/>
    <w:rsid w:val="003B7C7D"/>
    <w:rsid w:val="003C1202"/>
    <w:rsid w:val="003D0C28"/>
    <w:rsid w:val="003D11B6"/>
    <w:rsid w:val="003D30F8"/>
    <w:rsid w:val="003E0D5D"/>
    <w:rsid w:val="003E7BA4"/>
    <w:rsid w:val="003F1049"/>
    <w:rsid w:val="003F1084"/>
    <w:rsid w:val="003F5614"/>
    <w:rsid w:val="003F5F44"/>
    <w:rsid w:val="004019C6"/>
    <w:rsid w:val="00407D54"/>
    <w:rsid w:val="004104C4"/>
    <w:rsid w:val="00411F6D"/>
    <w:rsid w:val="00414443"/>
    <w:rsid w:val="00414FF9"/>
    <w:rsid w:val="00416F81"/>
    <w:rsid w:val="0042041B"/>
    <w:rsid w:val="00434C40"/>
    <w:rsid w:val="00436020"/>
    <w:rsid w:val="00443737"/>
    <w:rsid w:val="004505ED"/>
    <w:rsid w:val="00452598"/>
    <w:rsid w:val="00453BE4"/>
    <w:rsid w:val="004550F2"/>
    <w:rsid w:val="004559AE"/>
    <w:rsid w:val="00460333"/>
    <w:rsid w:val="004660A7"/>
    <w:rsid w:val="00471A44"/>
    <w:rsid w:val="00471BDB"/>
    <w:rsid w:val="0047327C"/>
    <w:rsid w:val="00475D4C"/>
    <w:rsid w:val="00482B06"/>
    <w:rsid w:val="0048349A"/>
    <w:rsid w:val="00492828"/>
    <w:rsid w:val="004934FE"/>
    <w:rsid w:val="004958E2"/>
    <w:rsid w:val="0049596A"/>
    <w:rsid w:val="004A15F8"/>
    <w:rsid w:val="004B24CE"/>
    <w:rsid w:val="004B6BC2"/>
    <w:rsid w:val="004C1F51"/>
    <w:rsid w:val="004C6C9B"/>
    <w:rsid w:val="004D3852"/>
    <w:rsid w:val="004E78B4"/>
    <w:rsid w:val="004F144B"/>
    <w:rsid w:val="004F1A87"/>
    <w:rsid w:val="005019CD"/>
    <w:rsid w:val="00505FA1"/>
    <w:rsid w:val="00510CA1"/>
    <w:rsid w:val="00512A45"/>
    <w:rsid w:val="00516660"/>
    <w:rsid w:val="00523F13"/>
    <w:rsid w:val="005246DF"/>
    <w:rsid w:val="005251C3"/>
    <w:rsid w:val="00533007"/>
    <w:rsid w:val="00533A82"/>
    <w:rsid w:val="00533AAE"/>
    <w:rsid w:val="005379F8"/>
    <w:rsid w:val="00537BCA"/>
    <w:rsid w:val="00540EB2"/>
    <w:rsid w:val="00550F11"/>
    <w:rsid w:val="00552FCD"/>
    <w:rsid w:val="00560C2B"/>
    <w:rsid w:val="005669E5"/>
    <w:rsid w:val="00573685"/>
    <w:rsid w:val="00583B3D"/>
    <w:rsid w:val="00587547"/>
    <w:rsid w:val="00592C83"/>
    <w:rsid w:val="005A1775"/>
    <w:rsid w:val="005A2D0E"/>
    <w:rsid w:val="005A3D5F"/>
    <w:rsid w:val="005A7171"/>
    <w:rsid w:val="005A7D7A"/>
    <w:rsid w:val="005B293A"/>
    <w:rsid w:val="005B4C27"/>
    <w:rsid w:val="005B6252"/>
    <w:rsid w:val="005C0AF0"/>
    <w:rsid w:val="005D0FD6"/>
    <w:rsid w:val="005E0844"/>
    <w:rsid w:val="005E34A3"/>
    <w:rsid w:val="005E411B"/>
    <w:rsid w:val="005E4BE0"/>
    <w:rsid w:val="005E79FE"/>
    <w:rsid w:val="005F037D"/>
    <w:rsid w:val="00605A3C"/>
    <w:rsid w:val="00606382"/>
    <w:rsid w:val="00607428"/>
    <w:rsid w:val="00612228"/>
    <w:rsid w:val="0062200F"/>
    <w:rsid w:val="006236B5"/>
    <w:rsid w:val="00631AF7"/>
    <w:rsid w:val="00635712"/>
    <w:rsid w:val="00640383"/>
    <w:rsid w:val="006411D3"/>
    <w:rsid w:val="00643C85"/>
    <w:rsid w:val="00645A5B"/>
    <w:rsid w:val="00647250"/>
    <w:rsid w:val="00647811"/>
    <w:rsid w:val="00647B1B"/>
    <w:rsid w:val="00650975"/>
    <w:rsid w:val="0065232E"/>
    <w:rsid w:val="00653920"/>
    <w:rsid w:val="00673601"/>
    <w:rsid w:val="006757A5"/>
    <w:rsid w:val="00682F40"/>
    <w:rsid w:val="006A5B7D"/>
    <w:rsid w:val="006B1766"/>
    <w:rsid w:val="006B178A"/>
    <w:rsid w:val="006B3C9C"/>
    <w:rsid w:val="006C69EE"/>
    <w:rsid w:val="006D1469"/>
    <w:rsid w:val="006D701E"/>
    <w:rsid w:val="006E1122"/>
    <w:rsid w:val="006F5D6F"/>
    <w:rsid w:val="00703381"/>
    <w:rsid w:val="00711282"/>
    <w:rsid w:val="00712122"/>
    <w:rsid w:val="00714D6A"/>
    <w:rsid w:val="0071621C"/>
    <w:rsid w:val="00733176"/>
    <w:rsid w:val="0073363A"/>
    <w:rsid w:val="00737CC3"/>
    <w:rsid w:val="00737DE6"/>
    <w:rsid w:val="0074205B"/>
    <w:rsid w:val="00743DAA"/>
    <w:rsid w:val="00743FCA"/>
    <w:rsid w:val="007507DB"/>
    <w:rsid w:val="00752014"/>
    <w:rsid w:val="00753F0F"/>
    <w:rsid w:val="00754806"/>
    <w:rsid w:val="00757865"/>
    <w:rsid w:val="00767DE6"/>
    <w:rsid w:val="00770F55"/>
    <w:rsid w:val="0078006C"/>
    <w:rsid w:val="007825CE"/>
    <w:rsid w:val="00782B40"/>
    <w:rsid w:val="0078319B"/>
    <w:rsid w:val="007837CF"/>
    <w:rsid w:val="00785C4F"/>
    <w:rsid w:val="00791D21"/>
    <w:rsid w:val="00792F7C"/>
    <w:rsid w:val="007972A9"/>
    <w:rsid w:val="00797331"/>
    <w:rsid w:val="007A73BD"/>
    <w:rsid w:val="007B3158"/>
    <w:rsid w:val="007C1F40"/>
    <w:rsid w:val="007C3524"/>
    <w:rsid w:val="007D00C1"/>
    <w:rsid w:val="007D427B"/>
    <w:rsid w:val="007D4D25"/>
    <w:rsid w:val="007D63B2"/>
    <w:rsid w:val="007E057F"/>
    <w:rsid w:val="007E1983"/>
    <w:rsid w:val="007F05EF"/>
    <w:rsid w:val="007F07A5"/>
    <w:rsid w:val="007F7371"/>
    <w:rsid w:val="007F7D12"/>
    <w:rsid w:val="00811AC8"/>
    <w:rsid w:val="008148DC"/>
    <w:rsid w:val="00820414"/>
    <w:rsid w:val="0082588A"/>
    <w:rsid w:val="008332C0"/>
    <w:rsid w:val="00844FC2"/>
    <w:rsid w:val="008460CE"/>
    <w:rsid w:val="008576E4"/>
    <w:rsid w:val="008607A2"/>
    <w:rsid w:val="008647E9"/>
    <w:rsid w:val="0086737B"/>
    <w:rsid w:val="008677A1"/>
    <w:rsid w:val="00870CB9"/>
    <w:rsid w:val="00871C92"/>
    <w:rsid w:val="00874187"/>
    <w:rsid w:val="008842FD"/>
    <w:rsid w:val="00892E63"/>
    <w:rsid w:val="00892EC5"/>
    <w:rsid w:val="0089382F"/>
    <w:rsid w:val="00893E6D"/>
    <w:rsid w:val="00894D0B"/>
    <w:rsid w:val="00895223"/>
    <w:rsid w:val="00896A09"/>
    <w:rsid w:val="008A589B"/>
    <w:rsid w:val="008A7FBD"/>
    <w:rsid w:val="008B002B"/>
    <w:rsid w:val="008B1880"/>
    <w:rsid w:val="008B1B46"/>
    <w:rsid w:val="008B3243"/>
    <w:rsid w:val="008C12CD"/>
    <w:rsid w:val="008C1C7D"/>
    <w:rsid w:val="008D0893"/>
    <w:rsid w:val="008E3481"/>
    <w:rsid w:val="008E4E1C"/>
    <w:rsid w:val="008E4FF4"/>
    <w:rsid w:val="008E6A62"/>
    <w:rsid w:val="008F1301"/>
    <w:rsid w:val="008F153E"/>
    <w:rsid w:val="009014B9"/>
    <w:rsid w:val="00904D60"/>
    <w:rsid w:val="009070A9"/>
    <w:rsid w:val="00907366"/>
    <w:rsid w:val="009076C2"/>
    <w:rsid w:val="00907A2B"/>
    <w:rsid w:val="0091234A"/>
    <w:rsid w:val="009143A7"/>
    <w:rsid w:val="0091582E"/>
    <w:rsid w:val="009165DE"/>
    <w:rsid w:val="00916C63"/>
    <w:rsid w:val="009175F3"/>
    <w:rsid w:val="00917894"/>
    <w:rsid w:val="00922228"/>
    <w:rsid w:val="0092746C"/>
    <w:rsid w:val="00927EDD"/>
    <w:rsid w:val="009307B6"/>
    <w:rsid w:val="00945013"/>
    <w:rsid w:val="00952727"/>
    <w:rsid w:val="009528B7"/>
    <w:rsid w:val="00952C52"/>
    <w:rsid w:val="0095444B"/>
    <w:rsid w:val="00961A2D"/>
    <w:rsid w:val="00966740"/>
    <w:rsid w:val="00970DB8"/>
    <w:rsid w:val="00973F99"/>
    <w:rsid w:val="00984347"/>
    <w:rsid w:val="00984386"/>
    <w:rsid w:val="009852D4"/>
    <w:rsid w:val="009854B4"/>
    <w:rsid w:val="00993768"/>
    <w:rsid w:val="009A0451"/>
    <w:rsid w:val="009A0759"/>
    <w:rsid w:val="009A3F36"/>
    <w:rsid w:val="009A5632"/>
    <w:rsid w:val="009A6429"/>
    <w:rsid w:val="009A67D1"/>
    <w:rsid w:val="009A6E11"/>
    <w:rsid w:val="009B2211"/>
    <w:rsid w:val="009B4A20"/>
    <w:rsid w:val="009C393B"/>
    <w:rsid w:val="009D404E"/>
    <w:rsid w:val="009E054E"/>
    <w:rsid w:val="009E64EC"/>
    <w:rsid w:val="00A01F76"/>
    <w:rsid w:val="00A03513"/>
    <w:rsid w:val="00A0378E"/>
    <w:rsid w:val="00A0640E"/>
    <w:rsid w:val="00A07CFD"/>
    <w:rsid w:val="00A2229F"/>
    <w:rsid w:val="00A24004"/>
    <w:rsid w:val="00A2560A"/>
    <w:rsid w:val="00A26D9B"/>
    <w:rsid w:val="00A26E31"/>
    <w:rsid w:val="00A308FF"/>
    <w:rsid w:val="00A33DEE"/>
    <w:rsid w:val="00A33E99"/>
    <w:rsid w:val="00A37CC0"/>
    <w:rsid w:val="00A446D2"/>
    <w:rsid w:val="00A53FA6"/>
    <w:rsid w:val="00A55875"/>
    <w:rsid w:val="00A60A50"/>
    <w:rsid w:val="00A630C8"/>
    <w:rsid w:val="00A64662"/>
    <w:rsid w:val="00A725C8"/>
    <w:rsid w:val="00A74705"/>
    <w:rsid w:val="00A81796"/>
    <w:rsid w:val="00A83A94"/>
    <w:rsid w:val="00A86D63"/>
    <w:rsid w:val="00A8737E"/>
    <w:rsid w:val="00A93B34"/>
    <w:rsid w:val="00AA23C0"/>
    <w:rsid w:val="00AA6BA0"/>
    <w:rsid w:val="00AC7242"/>
    <w:rsid w:val="00AD04F5"/>
    <w:rsid w:val="00AD709E"/>
    <w:rsid w:val="00AE3AB4"/>
    <w:rsid w:val="00AE3EB9"/>
    <w:rsid w:val="00AE4780"/>
    <w:rsid w:val="00AE5644"/>
    <w:rsid w:val="00AF1050"/>
    <w:rsid w:val="00AF3E71"/>
    <w:rsid w:val="00B035B3"/>
    <w:rsid w:val="00B057B8"/>
    <w:rsid w:val="00B05D31"/>
    <w:rsid w:val="00B06873"/>
    <w:rsid w:val="00B07F8E"/>
    <w:rsid w:val="00B14F2B"/>
    <w:rsid w:val="00B246E9"/>
    <w:rsid w:val="00B25AB5"/>
    <w:rsid w:val="00B25EB8"/>
    <w:rsid w:val="00B26721"/>
    <w:rsid w:val="00B30B2D"/>
    <w:rsid w:val="00B32784"/>
    <w:rsid w:val="00B402F0"/>
    <w:rsid w:val="00B50D41"/>
    <w:rsid w:val="00B53ADF"/>
    <w:rsid w:val="00B54239"/>
    <w:rsid w:val="00B55AB4"/>
    <w:rsid w:val="00B61537"/>
    <w:rsid w:val="00B62491"/>
    <w:rsid w:val="00B62B1A"/>
    <w:rsid w:val="00B765A9"/>
    <w:rsid w:val="00B76653"/>
    <w:rsid w:val="00B77F3D"/>
    <w:rsid w:val="00B8036F"/>
    <w:rsid w:val="00B82831"/>
    <w:rsid w:val="00BA20BA"/>
    <w:rsid w:val="00BB0965"/>
    <w:rsid w:val="00BB31F2"/>
    <w:rsid w:val="00BB47DF"/>
    <w:rsid w:val="00BC1F51"/>
    <w:rsid w:val="00BC4481"/>
    <w:rsid w:val="00BC7E78"/>
    <w:rsid w:val="00BD2199"/>
    <w:rsid w:val="00BD76C5"/>
    <w:rsid w:val="00BE0C39"/>
    <w:rsid w:val="00BE2295"/>
    <w:rsid w:val="00BE2351"/>
    <w:rsid w:val="00BE3466"/>
    <w:rsid w:val="00BE4F05"/>
    <w:rsid w:val="00BF2A7E"/>
    <w:rsid w:val="00BF4E22"/>
    <w:rsid w:val="00C01801"/>
    <w:rsid w:val="00C07B26"/>
    <w:rsid w:val="00C239CF"/>
    <w:rsid w:val="00C254BE"/>
    <w:rsid w:val="00C26554"/>
    <w:rsid w:val="00C31130"/>
    <w:rsid w:val="00C36A30"/>
    <w:rsid w:val="00C43681"/>
    <w:rsid w:val="00C45122"/>
    <w:rsid w:val="00C453AD"/>
    <w:rsid w:val="00C4582F"/>
    <w:rsid w:val="00C4633F"/>
    <w:rsid w:val="00C4649A"/>
    <w:rsid w:val="00C5168A"/>
    <w:rsid w:val="00C55803"/>
    <w:rsid w:val="00C55BC3"/>
    <w:rsid w:val="00C60487"/>
    <w:rsid w:val="00C622A3"/>
    <w:rsid w:val="00C64F35"/>
    <w:rsid w:val="00C71E85"/>
    <w:rsid w:val="00C7569E"/>
    <w:rsid w:val="00C80CAC"/>
    <w:rsid w:val="00C80F50"/>
    <w:rsid w:val="00C8123D"/>
    <w:rsid w:val="00C81C03"/>
    <w:rsid w:val="00C8787F"/>
    <w:rsid w:val="00C91156"/>
    <w:rsid w:val="00C936ED"/>
    <w:rsid w:val="00C93A3F"/>
    <w:rsid w:val="00CB1A48"/>
    <w:rsid w:val="00CB6280"/>
    <w:rsid w:val="00CC462E"/>
    <w:rsid w:val="00CC5EEA"/>
    <w:rsid w:val="00CD07F2"/>
    <w:rsid w:val="00CD0F15"/>
    <w:rsid w:val="00CD6408"/>
    <w:rsid w:val="00CE46A2"/>
    <w:rsid w:val="00CF1DAB"/>
    <w:rsid w:val="00CF2196"/>
    <w:rsid w:val="00CF5F2B"/>
    <w:rsid w:val="00D0039E"/>
    <w:rsid w:val="00D1131A"/>
    <w:rsid w:val="00D22373"/>
    <w:rsid w:val="00D24076"/>
    <w:rsid w:val="00D244C9"/>
    <w:rsid w:val="00D375B4"/>
    <w:rsid w:val="00D37632"/>
    <w:rsid w:val="00D452F5"/>
    <w:rsid w:val="00D46A74"/>
    <w:rsid w:val="00D5138A"/>
    <w:rsid w:val="00D521F6"/>
    <w:rsid w:val="00D52FEC"/>
    <w:rsid w:val="00D5505A"/>
    <w:rsid w:val="00D66D30"/>
    <w:rsid w:val="00D71E96"/>
    <w:rsid w:val="00D72B74"/>
    <w:rsid w:val="00D85D4B"/>
    <w:rsid w:val="00D86C45"/>
    <w:rsid w:val="00D93C74"/>
    <w:rsid w:val="00D94C5C"/>
    <w:rsid w:val="00DA4AFD"/>
    <w:rsid w:val="00DB17F5"/>
    <w:rsid w:val="00DC333E"/>
    <w:rsid w:val="00DD06AE"/>
    <w:rsid w:val="00DD2F30"/>
    <w:rsid w:val="00DE152F"/>
    <w:rsid w:val="00DE203C"/>
    <w:rsid w:val="00DE6BD4"/>
    <w:rsid w:val="00DF1726"/>
    <w:rsid w:val="00DF6957"/>
    <w:rsid w:val="00E00B52"/>
    <w:rsid w:val="00E04061"/>
    <w:rsid w:val="00E07C61"/>
    <w:rsid w:val="00E14629"/>
    <w:rsid w:val="00E17A5B"/>
    <w:rsid w:val="00E2111F"/>
    <w:rsid w:val="00E27A5D"/>
    <w:rsid w:val="00E30487"/>
    <w:rsid w:val="00E32359"/>
    <w:rsid w:val="00E35CE7"/>
    <w:rsid w:val="00E40030"/>
    <w:rsid w:val="00E4188F"/>
    <w:rsid w:val="00E42749"/>
    <w:rsid w:val="00E454DE"/>
    <w:rsid w:val="00E50059"/>
    <w:rsid w:val="00E5272B"/>
    <w:rsid w:val="00E53B93"/>
    <w:rsid w:val="00E56070"/>
    <w:rsid w:val="00E57B71"/>
    <w:rsid w:val="00E62AEA"/>
    <w:rsid w:val="00E66F07"/>
    <w:rsid w:val="00E76A48"/>
    <w:rsid w:val="00E7733A"/>
    <w:rsid w:val="00E800E1"/>
    <w:rsid w:val="00E81FBA"/>
    <w:rsid w:val="00E915A5"/>
    <w:rsid w:val="00E92492"/>
    <w:rsid w:val="00E95C97"/>
    <w:rsid w:val="00E96CA8"/>
    <w:rsid w:val="00E97A50"/>
    <w:rsid w:val="00EA0316"/>
    <w:rsid w:val="00EA4480"/>
    <w:rsid w:val="00EA5F68"/>
    <w:rsid w:val="00EB015D"/>
    <w:rsid w:val="00EB09D1"/>
    <w:rsid w:val="00EB1D63"/>
    <w:rsid w:val="00EB21AE"/>
    <w:rsid w:val="00EB4717"/>
    <w:rsid w:val="00EB471E"/>
    <w:rsid w:val="00EB541F"/>
    <w:rsid w:val="00EB620F"/>
    <w:rsid w:val="00EB7419"/>
    <w:rsid w:val="00EB75B4"/>
    <w:rsid w:val="00EC0AF7"/>
    <w:rsid w:val="00EC2A85"/>
    <w:rsid w:val="00ED315B"/>
    <w:rsid w:val="00ED35A2"/>
    <w:rsid w:val="00ED3873"/>
    <w:rsid w:val="00EE232D"/>
    <w:rsid w:val="00EE6622"/>
    <w:rsid w:val="00EF2247"/>
    <w:rsid w:val="00EF26EC"/>
    <w:rsid w:val="00EF79C2"/>
    <w:rsid w:val="00F01CBC"/>
    <w:rsid w:val="00F0466F"/>
    <w:rsid w:val="00F106D9"/>
    <w:rsid w:val="00F14B11"/>
    <w:rsid w:val="00F218F5"/>
    <w:rsid w:val="00F2255C"/>
    <w:rsid w:val="00F2264F"/>
    <w:rsid w:val="00F22D36"/>
    <w:rsid w:val="00F26DF9"/>
    <w:rsid w:val="00F354EF"/>
    <w:rsid w:val="00F3782B"/>
    <w:rsid w:val="00F47C44"/>
    <w:rsid w:val="00F50F70"/>
    <w:rsid w:val="00F545A8"/>
    <w:rsid w:val="00F5486A"/>
    <w:rsid w:val="00F6107E"/>
    <w:rsid w:val="00F6150A"/>
    <w:rsid w:val="00F64DD9"/>
    <w:rsid w:val="00F72A0B"/>
    <w:rsid w:val="00F75EE6"/>
    <w:rsid w:val="00F87F59"/>
    <w:rsid w:val="00F927B7"/>
    <w:rsid w:val="00FA0ED7"/>
    <w:rsid w:val="00FB3101"/>
    <w:rsid w:val="00FB7BE5"/>
    <w:rsid w:val="00FC2617"/>
    <w:rsid w:val="00FC3668"/>
    <w:rsid w:val="00FC4F4E"/>
    <w:rsid w:val="00FD0D9A"/>
    <w:rsid w:val="00FD15C4"/>
    <w:rsid w:val="00FD1761"/>
    <w:rsid w:val="00FD7A20"/>
    <w:rsid w:val="00FE03DB"/>
    <w:rsid w:val="00FE3537"/>
    <w:rsid w:val="00FE6090"/>
    <w:rsid w:val="00FE6FE8"/>
    <w:rsid w:val="00FF5620"/>
    <w:rsid w:val="00FF7987"/>
    <w:rsid w:val="0124037B"/>
    <w:rsid w:val="0191189C"/>
    <w:rsid w:val="01A53B45"/>
    <w:rsid w:val="02EA4372"/>
    <w:rsid w:val="030F18EF"/>
    <w:rsid w:val="03726BD9"/>
    <w:rsid w:val="03C7005D"/>
    <w:rsid w:val="04380A7C"/>
    <w:rsid w:val="05B42109"/>
    <w:rsid w:val="06495646"/>
    <w:rsid w:val="06B207A6"/>
    <w:rsid w:val="06DA2F1B"/>
    <w:rsid w:val="085B12F0"/>
    <w:rsid w:val="091448A1"/>
    <w:rsid w:val="09530C59"/>
    <w:rsid w:val="0ACE6E04"/>
    <w:rsid w:val="0C8B3FFC"/>
    <w:rsid w:val="0D410F1C"/>
    <w:rsid w:val="0D474B10"/>
    <w:rsid w:val="0E6031C6"/>
    <w:rsid w:val="0EF657A6"/>
    <w:rsid w:val="0F6B190D"/>
    <w:rsid w:val="0F8E642C"/>
    <w:rsid w:val="0FD85245"/>
    <w:rsid w:val="100A42F6"/>
    <w:rsid w:val="103E7A7F"/>
    <w:rsid w:val="1166365C"/>
    <w:rsid w:val="118825DF"/>
    <w:rsid w:val="119914F9"/>
    <w:rsid w:val="11E94908"/>
    <w:rsid w:val="138161CA"/>
    <w:rsid w:val="146B6CAA"/>
    <w:rsid w:val="1482023A"/>
    <w:rsid w:val="14BE6B41"/>
    <w:rsid w:val="160010EB"/>
    <w:rsid w:val="16C121DA"/>
    <w:rsid w:val="16D31921"/>
    <w:rsid w:val="174C51CF"/>
    <w:rsid w:val="17DC07D8"/>
    <w:rsid w:val="17E71810"/>
    <w:rsid w:val="17EB33A9"/>
    <w:rsid w:val="18210F2E"/>
    <w:rsid w:val="189E7B72"/>
    <w:rsid w:val="19C60264"/>
    <w:rsid w:val="1A8B4448"/>
    <w:rsid w:val="1B135738"/>
    <w:rsid w:val="1B590D83"/>
    <w:rsid w:val="1BBA179B"/>
    <w:rsid w:val="1BFF2F07"/>
    <w:rsid w:val="1CAF5D9E"/>
    <w:rsid w:val="1D0A3F77"/>
    <w:rsid w:val="1DC16936"/>
    <w:rsid w:val="1F57571E"/>
    <w:rsid w:val="1F837DDB"/>
    <w:rsid w:val="2123508E"/>
    <w:rsid w:val="21C6276A"/>
    <w:rsid w:val="22125147"/>
    <w:rsid w:val="221F20F8"/>
    <w:rsid w:val="229F7300"/>
    <w:rsid w:val="23370C95"/>
    <w:rsid w:val="242D0CE8"/>
    <w:rsid w:val="259C7FBD"/>
    <w:rsid w:val="25EC00C3"/>
    <w:rsid w:val="266467A2"/>
    <w:rsid w:val="2700280A"/>
    <w:rsid w:val="276E0188"/>
    <w:rsid w:val="27C4579A"/>
    <w:rsid w:val="27E72D2D"/>
    <w:rsid w:val="27EA6D04"/>
    <w:rsid w:val="27EE37FC"/>
    <w:rsid w:val="28297707"/>
    <w:rsid w:val="282F3DBD"/>
    <w:rsid w:val="28DB792B"/>
    <w:rsid w:val="28FA38CA"/>
    <w:rsid w:val="29122CE5"/>
    <w:rsid w:val="29651C0F"/>
    <w:rsid w:val="29A331A2"/>
    <w:rsid w:val="2A1E46DE"/>
    <w:rsid w:val="2BC62E52"/>
    <w:rsid w:val="2C1A309C"/>
    <w:rsid w:val="2C4E5901"/>
    <w:rsid w:val="2CD445C7"/>
    <w:rsid w:val="2D325792"/>
    <w:rsid w:val="2DB22E64"/>
    <w:rsid w:val="2DF002CB"/>
    <w:rsid w:val="2E0C1844"/>
    <w:rsid w:val="2E6A50D1"/>
    <w:rsid w:val="2E84005D"/>
    <w:rsid w:val="2EE57E5B"/>
    <w:rsid w:val="2EEF4ADA"/>
    <w:rsid w:val="2FDC17DD"/>
    <w:rsid w:val="301B694E"/>
    <w:rsid w:val="30283F91"/>
    <w:rsid w:val="304117CA"/>
    <w:rsid w:val="30CA159C"/>
    <w:rsid w:val="31FA3E8C"/>
    <w:rsid w:val="32342B66"/>
    <w:rsid w:val="32AB355E"/>
    <w:rsid w:val="3317141D"/>
    <w:rsid w:val="33950033"/>
    <w:rsid w:val="34E747AD"/>
    <w:rsid w:val="34F23648"/>
    <w:rsid w:val="359C7955"/>
    <w:rsid w:val="37305E1A"/>
    <w:rsid w:val="3764160C"/>
    <w:rsid w:val="37973734"/>
    <w:rsid w:val="37E0780B"/>
    <w:rsid w:val="3804583F"/>
    <w:rsid w:val="38B42180"/>
    <w:rsid w:val="392F14B3"/>
    <w:rsid w:val="393D145E"/>
    <w:rsid w:val="39A57F35"/>
    <w:rsid w:val="39A7168B"/>
    <w:rsid w:val="3A7972A6"/>
    <w:rsid w:val="3AB939E6"/>
    <w:rsid w:val="3B6C6BD6"/>
    <w:rsid w:val="3C2B3885"/>
    <w:rsid w:val="3C464887"/>
    <w:rsid w:val="3C5420E5"/>
    <w:rsid w:val="3D2B59E9"/>
    <w:rsid w:val="3D3D1673"/>
    <w:rsid w:val="3D4321AE"/>
    <w:rsid w:val="3D5243A9"/>
    <w:rsid w:val="3D5A6610"/>
    <w:rsid w:val="3FF75D85"/>
    <w:rsid w:val="40480AB6"/>
    <w:rsid w:val="40FB31F5"/>
    <w:rsid w:val="41225245"/>
    <w:rsid w:val="41B25EA1"/>
    <w:rsid w:val="43586161"/>
    <w:rsid w:val="43B138C7"/>
    <w:rsid w:val="43E36E61"/>
    <w:rsid w:val="44554C19"/>
    <w:rsid w:val="448023D2"/>
    <w:rsid w:val="450003F4"/>
    <w:rsid w:val="451F2A5C"/>
    <w:rsid w:val="45B46945"/>
    <w:rsid w:val="45D91782"/>
    <w:rsid w:val="462E3282"/>
    <w:rsid w:val="47722AC9"/>
    <w:rsid w:val="47B83EBF"/>
    <w:rsid w:val="4B924254"/>
    <w:rsid w:val="4BC37712"/>
    <w:rsid w:val="4BF24A85"/>
    <w:rsid w:val="4BFB2701"/>
    <w:rsid w:val="4D9C74F6"/>
    <w:rsid w:val="4EF04C1A"/>
    <w:rsid w:val="4F3711FC"/>
    <w:rsid w:val="50731F91"/>
    <w:rsid w:val="51223103"/>
    <w:rsid w:val="513F2FE8"/>
    <w:rsid w:val="51A3027C"/>
    <w:rsid w:val="51B107E5"/>
    <w:rsid w:val="51E877B1"/>
    <w:rsid w:val="51F1486E"/>
    <w:rsid w:val="5278711B"/>
    <w:rsid w:val="52796176"/>
    <w:rsid w:val="52BA7541"/>
    <w:rsid w:val="53266376"/>
    <w:rsid w:val="532F14DC"/>
    <w:rsid w:val="53D5213C"/>
    <w:rsid w:val="545B4B73"/>
    <w:rsid w:val="545D0D3E"/>
    <w:rsid w:val="54E70A93"/>
    <w:rsid w:val="54FF1476"/>
    <w:rsid w:val="55677F1F"/>
    <w:rsid w:val="56456005"/>
    <w:rsid w:val="56C90BBC"/>
    <w:rsid w:val="57286348"/>
    <w:rsid w:val="576420AD"/>
    <w:rsid w:val="581D744D"/>
    <w:rsid w:val="583301A8"/>
    <w:rsid w:val="58583B03"/>
    <w:rsid w:val="58E42805"/>
    <w:rsid w:val="5AE45748"/>
    <w:rsid w:val="5B395497"/>
    <w:rsid w:val="5B8C18BC"/>
    <w:rsid w:val="5C0D10C2"/>
    <w:rsid w:val="5D2422B2"/>
    <w:rsid w:val="5DA12A48"/>
    <w:rsid w:val="5DA54336"/>
    <w:rsid w:val="5E690D38"/>
    <w:rsid w:val="5E9321BE"/>
    <w:rsid w:val="5EFD5DD7"/>
    <w:rsid w:val="5F393AB8"/>
    <w:rsid w:val="60453265"/>
    <w:rsid w:val="60552339"/>
    <w:rsid w:val="60D7039D"/>
    <w:rsid w:val="61343606"/>
    <w:rsid w:val="61E356AE"/>
    <w:rsid w:val="633A12BD"/>
    <w:rsid w:val="633C42BA"/>
    <w:rsid w:val="636C216F"/>
    <w:rsid w:val="637162AD"/>
    <w:rsid w:val="64347705"/>
    <w:rsid w:val="653120B7"/>
    <w:rsid w:val="66474FCD"/>
    <w:rsid w:val="66DD1C9F"/>
    <w:rsid w:val="67605F06"/>
    <w:rsid w:val="67A92306"/>
    <w:rsid w:val="680707EC"/>
    <w:rsid w:val="680B7AEE"/>
    <w:rsid w:val="69E017AC"/>
    <w:rsid w:val="69EA44C3"/>
    <w:rsid w:val="6A8A07F1"/>
    <w:rsid w:val="6B0533B8"/>
    <w:rsid w:val="6B2E7664"/>
    <w:rsid w:val="6B8C156E"/>
    <w:rsid w:val="6BBB255C"/>
    <w:rsid w:val="6BC54736"/>
    <w:rsid w:val="6BF70570"/>
    <w:rsid w:val="6C4B2726"/>
    <w:rsid w:val="6C972848"/>
    <w:rsid w:val="6CA34F10"/>
    <w:rsid w:val="6DC078EB"/>
    <w:rsid w:val="6DE64726"/>
    <w:rsid w:val="6F3C1883"/>
    <w:rsid w:val="6F7F4719"/>
    <w:rsid w:val="702C38FF"/>
    <w:rsid w:val="703E709E"/>
    <w:rsid w:val="7083160C"/>
    <w:rsid w:val="70971621"/>
    <w:rsid w:val="70CD3D9D"/>
    <w:rsid w:val="70EB53CE"/>
    <w:rsid w:val="713211BA"/>
    <w:rsid w:val="71454C94"/>
    <w:rsid w:val="71A45539"/>
    <w:rsid w:val="71FF225F"/>
    <w:rsid w:val="725C3623"/>
    <w:rsid w:val="72B1344C"/>
    <w:rsid w:val="731B061C"/>
    <w:rsid w:val="733A03EF"/>
    <w:rsid w:val="733A1BBC"/>
    <w:rsid w:val="7386540B"/>
    <w:rsid w:val="73CA33C3"/>
    <w:rsid w:val="74007266"/>
    <w:rsid w:val="74AE5C2D"/>
    <w:rsid w:val="74D22630"/>
    <w:rsid w:val="752A126C"/>
    <w:rsid w:val="75B73C4B"/>
    <w:rsid w:val="75BD6F78"/>
    <w:rsid w:val="76286AE8"/>
    <w:rsid w:val="766C5A94"/>
    <w:rsid w:val="76942893"/>
    <w:rsid w:val="76991944"/>
    <w:rsid w:val="76CB2756"/>
    <w:rsid w:val="77496271"/>
    <w:rsid w:val="77BB1260"/>
    <w:rsid w:val="77C8092E"/>
    <w:rsid w:val="786A0B67"/>
    <w:rsid w:val="788F0D2C"/>
    <w:rsid w:val="79291653"/>
    <w:rsid w:val="7ACB1714"/>
    <w:rsid w:val="7AD23584"/>
    <w:rsid w:val="7AE80859"/>
    <w:rsid w:val="7B0A50D0"/>
    <w:rsid w:val="7B217559"/>
    <w:rsid w:val="7B7A1726"/>
    <w:rsid w:val="7C245A02"/>
    <w:rsid w:val="7D2B7F9E"/>
    <w:rsid w:val="7D8D42EA"/>
    <w:rsid w:val="7D93563B"/>
    <w:rsid w:val="7E641002"/>
    <w:rsid w:val="7EA67DD6"/>
    <w:rsid w:val="7EB65003"/>
    <w:rsid w:val="7F271970"/>
    <w:rsid w:val="7F6D7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00" w:lineRule="exact"/>
    </w:pPr>
    <w:rPr>
      <w:rFonts w:ascii="Times New Roman" w:hAnsi="Times New Roman" w:eastAsia="宋体" w:cs="Times New Roman"/>
      <w:kern w:val="2"/>
      <w:sz w:val="28"/>
      <w:szCs w:val="28"/>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4"/>
    <w:qFormat/>
    <w:uiPriority w:val="0"/>
    <w:pPr>
      <w:keepNext/>
      <w:keepLines/>
      <w:spacing w:before="260" w:after="260" w:line="416" w:lineRule="auto"/>
      <w:outlineLvl w:val="2"/>
    </w:pPr>
    <w:rPr>
      <w:b/>
      <w:bCs/>
      <w:sz w:val="32"/>
      <w:szCs w:val="32"/>
    </w:rPr>
  </w:style>
  <w:style w:type="paragraph" w:styleId="7">
    <w:name w:val="heading 4"/>
    <w:basedOn w:val="1"/>
    <w:next w:val="1"/>
    <w:link w:val="27"/>
    <w:qFormat/>
    <w:uiPriority w:val="0"/>
    <w:pPr>
      <w:keepNext/>
      <w:keepLines/>
      <w:widowControl w:val="0"/>
      <w:spacing w:before="280" w:after="290" w:line="376" w:lineRule="auto"/>
      <w:jc w:val="both"/>
      <w:outlineLvl w:val="3"/>
    </w:pPr>
    <w:rPr>
      <w:rFonts w:ascii="Arial" w:hAnsi="Arial" w:eastAsia="黑体"/>
      <w:b/>
      <w:bCs/>
    </w:rPr>
  </w:style>
  <w:style w:type="paragraph" w:styleId="8">
    <w:name w:val="heading 5"/>
    <w:basedOn w:val="1"/>
    <w:next w:val="1"/>
    <w:link w:val="28"/>
    <w:qFormat/>
    <w:uiPriority w:val="0"/>
    <w:pPr>
      <w:keepNext/>
      <w:keepLines/>
      <w:widowControl w:val="0"/>
      <w:spacing w:before="280" w:after="290" w:line="376" w:lineRule="auto"/>
      <w:jc w:val="both"/>
      <w:outlineLvl w:val="4"/>
    </w:pPr>
    <w:rPr>
      <w:b/>
      <w:bCs/>
    </w:rPr>
  </w:style>
  <w:style w:type="paragraph" w:styleId="9">
    <w:name w:val="heading 6"/>
    <w:basedOn w:val="1"/>
    <w:next w:val="1"/>
    <w:link w:val="29"/>
    <w:qFormat/>
    <w:uiPriority w:val="0"/>
    <w:pPr>
      <w:keepNext/>
      <w:keepLines/>
      <w:widowControl w:val="0"/>
      <w:spacing w:before="240" w:after="64" w:line="320" w:lineRule="auto"/>
      <w:ind w:firstLine="113"/>
      <w:jc w:val="both"/>
      <w:outlineLvl w:val="5"/>
    </w:pPr>
    <w:rPr>
      <w:rFonts w:ascii="Arial" w:hAnsi="Arial" w:eastAsia="黑体"/>
      <w:b/>
      <w:bCs/>
      <w:sz w:val="24"/>
      <w:szCs w:val="24"/>
    </w:rPr>
  </w:style>
  <w:style w:type="paragraph" w:styleId="10">
    <w:name w:val="heading 7"/>
    <w:basedOn w:val="1"/>
    <w:next w:val="1"/>
    <w:link w:val="30"/>
    <w:qFormat/>
    <w:uiPriority w:val="0"/>
    <w:pPr>
      <w:keepNext/>
      <w:keepLines/>
      <w:widowControl w:val="0"/>
      <w:spacing w:before="240" w:after="64" w:line="320" w:lineRule="auto"/>
      <w:jc w:val="both"/>
      <w:outlineLvl w:val="6"/>
    </w:pPr>
    <w:rPr>
      <w:b/>
      <w:bCs/>
      <w:sz w:val="24"/>
      <w:szCs w:val="24"/>
    </w:rPr>
  </w:style>
  <w:style w:type="paragraph" w:styleId="11">
    <w:name w:val="heading 8"/>
    <w:basedOn w:val="1"/>
    <w:next w:val="1"/>
    <w:link w:val="31"/>
    <w:qFormat/>
    <w:uiPriority w:val="0"/>
    <w:pPr>
      <w:keepNext/>
      <w:keepLines/>
      <w:widowControl w:val="0"/>
      <w:spacing w:before="240" w:after="64" w:line="320" w:lineRule="auto"/>
      <w:jc w:val="both"/>
      <w:outlineLvl w:val="7"/>
    </w:pPr>
    <w:rPr>
      <w:rFonts w:ascii="Arial" w:hAnsi="Arial" w:eastAsia="黑体"/>
      <w:sz w:val="24"/>
      <w:szCs w:val="24"/>
    </w:rPr>
  </w:style>
  <w:style w:type="paragraph" w:styleId="12">
    <w:name w:val="heading 9"/>
    <w:basedOn w:val="1"/>
    <w:next w:val="1"/>
    <w:link w:val="32"/>
    <w:qFormat/>
    <w:uiPriority w:val="0"/>
    <w:pPr>
      <w:keepNext/>
      <w:keepLines/>
      <w:widowControl w:val="0"/>
      <w:spacing w:before="240" w:after="64" w:line="320" w:lineRule="auto"/>
      <w:jc w:val="both"/>
      <w:outlineLvl w:val="8"/>
    </w:pPr>
    <w:rPr>
      <w:rFonts w:ascii="Arial" w:hAnsi="Arial" w:eastAsia="黑体"/>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napToGrid w:val="0"/>
      <w:spacing w:line="560" w:lineRule="exact"/>
      <w:jc w:val="center"/>
    </w:pPr>
    <w:rPr>
      <w:rFonts w:ascii="黑体" w:eastAsia="黑体"/>
      <w:b/>
      <w:sz w:val="44"/>
    </w:rPr>
  </w:style>
  <w:style w:type="paragraph" w:styleId="3">
    <w:name w:val="toc 2"/>
    <w:basedOn w:val="1"/>
    <w:next w:val="1"/>
    <w:qFormat/>
    <w:uiPriority w:val="39"/>
    <w:pPr>
      <w:tabs>
        <w:tab w:val="right" w:leader="dot" w:pos="8303"/>
      </w:tabs>
      <w:ind w:left="420" w:leftChars="200"/>
    </w:pPr>
    <w:rPr>
      <w:rFonts w:ascii="宋体" w:hAnsi="宋体" w:eastAsia="宋体" w:cs="Arial"/>
      <w:szCs w:val="21"/>
    </w:rPr>
  </w:style>
  <w:style w:type="paragraph" w:styleId="13">
    <w:name w:val="Body Text 3"/>
    <w:basedOn w:val="1"/>
    <w:link w:val="40"/>
    <w:qFormat/>
    <w:uiPriority w:val="99"/>
    <w:pPr>
      <w:widowControl w:val="0"/>
      <w:spacing w:line="240" w:lineRule="auto"/>
      <w:jc w:val="both"/>
    </w:pPr>
    <w:rPr>
      <w:rFonts w:ascii="宋体"/>
      <w:sz w:val="24"/>
      <w:szCs w:val="20"/>
    </w:rPr>
  </w:style>
  <w:style w:type="paragraph" w:styleId="14">
    <w:name w:val="Plain Text"/>
    <w:basedOn w:val="1"/>
    <w:link w:val="25"/>
    <w:qFormat/>
    <w:uiPriority w:val="0"/>
    <w:pPr>
      <w:widowControl w:val="0"/>
      <w:spacing w:line="240" w:lineRule="auto"/>
      <w:jc w:val="both"/>
    </w:pPr>
    <w:rPr>
      <w:rFonts w:ascii="宋体" w:hAnsi="Courier New"/>
      <w:sz w:val="21"/>
      <w:szCs w:val="21"/>
    </w:rPr>
  </w:style>
  <w:style w:type="paragraph" w:styleId="15">
    <w:name w:val="Date"/>
    <w:basedOn w:val="1"/>
    <w:next w:val="1"/>
    <w:qFormat/>
    <w:uiPriority w:val="0"/>
    <w:rPr>
      <w:rFonts w:ascii="宋体" w:hAnsi="Courier New" w:eastAsia="宋体" w:cs="Times New Roman"/>
      <w:szCs w:val="20"/>
    </w:rPr>
  </w:style>
  <w:style w:type="paragraph" w:styleId="16">
    <w:name w:val="Balloon Text"/>
    <w:basedOn w:val="1"/>
    <w:link w:val="37"/>
    <w:qFormat/>
    <w:uiPriority w:val="0"/>
    <w:pPr>
      <w:spacing w:line="240" w:lineRule="auto"/>
    </w:pPr>
    <w:rPr>
      <w:sz w:val="18"/>
      <w:szCs w:val="18"/>
    </w:rPr>
  </w:style>
  <w:style w:type="paragraph" w:styleId="17">
    <w:name w:val="footer"/>
    <w:basedOn w:val="1"/>
    <w:link w:val="33"/>
    <w:qFormat/>
    <w:uiPriority w:val="0"/>
    <w:pPr>
      <w:tabs>
        <w:tab w:val="center" w:pos="4153"/>
        <w:tab w:val="right" w:pos="8306"/>
      </w:tabs>
      <w:snapToGrid w:val="0"/>
      <w:spacing w:line="240" w:lineRule="atLeast"/>
    </w:pPr>
    <w:rPr>
      <w:sz w:val="18"/>
      <w:szCs w:val="18"/>
    </w:rPr>
  </w:style>
  <w:style w:type="paragraph" w:styleId="18">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标题 2 字符"/>
    <w:link w:val="5"/>
    <w:qFormat/>
    <w:uiPriority w:val="0"/>
    <w:rPr>
      <w:rFonts w:ascii="Arial" w:hAnsi="Arial" w:eastAsia="黑体"/>
      <w:b/>
      <w:bCs/>
      <w:kern w:val="2"/>
      <w:sz w:val="32"/>
      <w:szCs w:val="32"/>
    </w:rPr>
  </w:style>
  <w:style w:type="character" w:customStyle="1" w:styleId="24">
    <w:name w:val="标题 3 字符"/>
    <w:link w:val="6"/>
    <w:qFormat/>
    <w:uiPriority w:val="0"/>
    <w:rPr>
      <w:b/>
      <w:bCs/>
      <w:kern w:val="2"/>
      <w:sz w:val="32"/>
      <w:szCs w:val="32"/>
    </w:rPr>
  </w:style>
  <w:style w:type="character" w:customStyle="1" w:styleId="25">
    <w:name w:val="纯文本 字符"/>
    <w:basedOn w:val="22"/>
    <w:link w:val="14"/>
    <w:qFormat/>
    <w:uiPriority w:val="0"/>
    <w:rPr>
      <w:rFonts w:ascii="宋体" w:hAnsi="Courier New"/>
      <w:kern w:val="2"/>
      <w:sz w:val="21"/>
      <w:szCs w:val="21"/>
    </w:rPr>
  </w:style>
  <w:style w:type="paragraph" w:customStyle="1" w:styleId="26">
    <w:name w:val="样式1"/>
    <w:basedOn w:val="1"/>
    <w:qFormat/>
    <w:uiPriority w:val="0"/>
    <w:pPr>
      <w:widowControl w:val="0"/>
      <w:spacing w:line="240" w:lineRule="auto"/>
      <w:ind w:firstLine="200" w:firstLineChars="200"/>
      <w:jc w:val="both"/>
    </w:pPr>
    <w:rPr>
      <w:rFonts w:eastAsia="仿宋_GB2312"/>
      <w:sz w:val="32"/>
      <w:szCs w:val="24"/>
    </w:rPr>
  </w:style>
  <w:style w:type="character" w:customStyle="1" w:styleId="27">
    <w:name w:val="标题 4 字符"/>
    <w:basedOn w:val="22"/>
    <w:link w:val="7"/>
    <w:qFormat/>
    <w:uiPriority w:val="0"/>
    <w:rPr>
      <w:rFonts w:ascii="Arial" w:hAnsi="Arial" w:eastAsia="黑体"/>
      <w:b/>
      <w:bCs/>
      <w:kern w:val="2"/>
      <w:sz w:val="28"/>
      <w:szCs w:val="28"/>
    </w:rPr>
  </w:style>
  <w:style w:type="character" w:customStyle="1" w:styleId="28">
    <w:name w:val="标题 5 字符"/>
    <w:basedOn w:val="22"/>
    <w:link w:val="8"/>
    <w:qFormat/>
    <w:uiPriority w:val="0"/>
    <w:rPr>
      <w:b/>
      <w:bCs/>
      <w:kern w:val="2"/>
      <w:sz w:val="28"/>
      <w:szCs w:val="28"/>
    </w:rPr>
  </w:style>
  <w:style w:type="character" w:customStyle="1" w:styleId="29">
    <w:name w:val="标题 6 字符"/>
    <w:basedOn w:val="22"/>
    <w:link w:val="9"/>
    <w:qFormat/>
    <w:uiPriority w:val="0"/>
    <w:rPr>
      <w:rFonts w:ascii="Arial" w:hAnsi="Arial" w:eastAsia="黑体"/>
      <w:b/>
      <w:bCs/>
      <w:kern w:val="2"/>
      <w:sz w:val="24"/>
      <w:szCs w:val="24"/>
    </w:rPr>
  </w:style>
  <w:style w:type="character" w:customStyle="1" w:styleId="30">
    <w:name w:val="标题 7 字符"/>
    <w:basedOn w:val="22"/>
    <w:link w:val="10"/>
    <w:qFormat/>
    <w:uiPriority w:val="0"/>
    <w:rPr>
      <w:b/>
      <w:bCs/>
      <w:kern w:val="2"/>
      <w:sz w:val="24"/>
      <w:szCs w:val="24"/>
    </w:rPr>
  </w:style>
  <w:style w:type="character" w:customStyle="1" w:styleId="31">
    <w:name w:val="标题 8 字符"/>
    <w:basedOn w:val="22"/>
    <w:link w:val="11"/>
    <w:qFormat/>
    <w:uiPriority w:val="0"/>
    <w:rPr>
      <w:rFonts w:ascii="Arial" w:hAnsi="Arial" w:eastAsia="黑体"/>
      <w:kern w:val="2"/>
      <w:sz w:val="24"/>
      <w:szCs w:val="24"/>
    </w:rPr>
  </w:style>
  <w:style w:type="character" w:customStyle="1" w:styleId="32">
    <w:name w:val="标题 9 字符"/>
    <w:basedOn w:val="22"/>
    <w:link w:val="12"/>
    <w:qFormat/>
    <w:uiPriority w:val="0"/>
    <w:rPr>
      <w:rFonts w:ascii="Arial" w:hAnsi="Arial" w:eastAsia="黑体"/>
      <w:kern w:val="2"/>
      <w:sz w:val="21"/>
      <w:szCs w:val="21"/>
    </w:rPr>
  </w:style>
  <w:style w:type="character" w:customStyle="1" w:styleId="33">
    <w:name w:val="页脚 字符"/>
    <w:basedOn w:val="22"/>
    <w:link w:val="17"/>
    <w:qFormat/>
    <w:uiPriority w:val="0"/>
    <w:rPr>
      <w:kern w:val="2"/>
      <w:sz w:val="18"/>
      <w:szCs w:val="18"/>
    </w:rPr>
  </w:style>
  <w:style w:type="paragraph" w:customStyle="1" w:styleId="3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CM10"/>
    <w:basedOn w:val="34"/>
    <w:next w:val="34"/>
    <w:qFormat/>
    <w:uiPriority w:val="99"/>
    <w:rPr>
      <w:color w:val="auto"/>
    </w:rPr>
  </w:style>
  <w:style w:type="paragraph" w:customStyle="1" w:styleId="36">
    <w:name w:val="CM5"/>
    <w:basedOn w:val="34"/>
    <w:next w:val="34"/>
    <w:qFormat/>
    <w:uiPriority w:val="99"/>
    <w:rPr>
      <w:color w:val="auto"/>
    </w:rPr>
  </w:style>
  <w:style w:type="character" w:customStyle="1" w:styleId="37">
    <w:name w:val="批注框文本 字符"/>
    <w:basedOn w:val="22"/>
    <w:link w:val="16"/>
    <w:qFormat/>
    <w:uiPriority w:val="0"/>
    <w:rPr>
      <w:kern w:val="2"/>
      <w:sz w:val="18"/>
      <w:szCs w:val="18"/>
    </w:rPr>
  </w:style>
  <w:style w:type="character" w:customStyle="1" w:styleId="38">
    <w:name w:val="页眉 字符"/>
    <w:basedOn w:val="22"/>
    <w:link w:val="18"/>
    <w:qFormat/>
    <w:uiPriority w:val="0"/>
    <w:rPr>
      <w:kern w:val="2"/>
      <w:sz w:val="18"/>
      <w:szCs w:val="18"/>
    </w:rPr>
  </w:style>
  <w:style w:type="paragraph" w:styleId="39">
    <w:name w:val="List Paragraph"/>
    <w:basedOn w:val="1"/>
    <w:qFormat/>
    <w:uiPriority w:val="34"/>
    <w:pPr>
      <w:ind w:firstLine="420" w:firstLineChars="200"/>
    </w:pPr>
  </w:style>
  <w:style w:type="character" w:customStyle="1" w:styleId="40">
    <w:name w:val="正文文本 3 字符"/>
    <w:basedOn w:val="22"/>
    <w:link w:val="13"/>
    <w:qFormat/>
    <w:uiPriority w:val="99"/>
    <w:rPr>
      <w:rFonts w:ascii="宋体"/>
      <w:kern w:val="2"/>
      <w:sz w:val="24"/>
    </w:rPr>
  </w:style>
  <w:style w:type="character" w:customStyle="1" w:styleId="41">
    <w:name w:val="font21"/>
    <w:basedOn w:val="22"/>
    <w:qFormat/>
    <w:uiPriority w:val="0"/>
    <w:rPr>
      <w:rFonts w:hint="eastAsia" w:ascii="宋体" w:hAnsi="宋体" w:eastAsia="宋体" w:cs="宋体"/>
      <w:color w:val="000000"/>
      <w:sz w:val="20"/>
      <w:szCs w:val="20"/>
      <w:u w:val="none"/>
    </w:rPr>
  </w:style>
  <w:style w:type="character" w:customStyle="1" w:styleId="42">
    <w:name w:val="font31"/>
    <w:basedOn w:val="22"/>
    <w:qFormat/>
    <w:uiPriority w:val="0"/>
    <w:rPr>
      <w:rFonts w:hint="eastAsia" w:ascii="宋体" w:hAnsi="宋体" w:eastAsia="宋体" w:cs="宋体"/>
      <w:color w:val="000000"/>
      <w:sz w:val="20"/>
      <w:szCs w:val="20"/>
      <w:u w:val="none"/>
    </w:rPr>
  </w:style>
  <w:style w:type="character" w:customStyle="1" w:styleId="43">
    <w:name w:val="font11"/>
    <w:basedOn w:val="2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8FBECF-7856-4796-AF0D-1C9FBD7A963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78</Words>
  <Characters>449</Characters>
  <Lines>3</Lines>
  <Paragraphs>1</Paragraphs>
  <TotalTime>5</TotalTime>
  <ScaleCrop>false</ScaleCrop>
  <LinksUpToDate>false</LinksUpToDate>
  <CharactersWithSpaces>526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2018-03-08T06:29:00Z</dcterms:created>
  <dc:creator>wy</dc:creator>
  <cp:lastModifiedBy>丘洪耀</cp:lastModifiedBy>
  <dcterms:modified xsi:type="dcterms:W3CDTF">2025-06-18T02:22:37Z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A3331E0A74064D5BBB1F3B5D01FA1312</vt:lpwstr>
  </property>
</Properties>
</file>