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公开/邀请询价文件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5"/>
          <w:szCs w:val="5"/>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highlight w:val="none"/>
        </w:rPr>
      </w:pP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lang w:val="en-US" w:eastAsia="zh-CN"/>
        </w:rPr>
        <w:t>项目名称</w:t>
      </w: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u w:val="single"/>
          <w:lang w:val="en-US" w:eastAsia="zh-CN"/>
        </w:rPr>
        <w:t>装备公司平台管线智能内腐蚀控制关键技术研究服务采购</w:t>
      </w:r>
      <w:r>
        <w:rPr>
          <w:rFonts w:asciiTheme="minorEastAsia" w:hAnsiTheme="minorEastAsia" w:eastAsiaTheme="minorEastAsia"/>
          <w:color w:val="auto"/>
          <w:spacing w:val="-3"/>
          <w:highlight w:val="none"/>
          <w:u w:val="single"/>
        </w:rPr>
        <w:tab/>
      </w:r>
      <w:r>
        <w:rPr>
          <w:rFonts w:asciiTheme="minorEastAsia" w:hAnsiTheme="minorEastAsia" w:eastAsiaTheme="minorEastAsia"/>
          <w:color w:val="auto"/>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auto"/>
          <w:spacing w:val="-3"/>
          <w:highlight w:val="none"/>
        </w:rPr>
        <w:t>（采购编号：</w:t>
      </w:r>
      <w:r>
        <w:rPr>
          <w:rFonts w:hint="eastAsia" w:asciiTheme="minorEastAsia" w:hAnsiTheme="minorEastAsia" w:eastAsiaTheme="minorEastAsia"/>
          <w:color w:val="auto"/>
          <w:spacing w:val="-3"/>
          <w:highlight w:val="none"/>
          <w:u w:val="single"/>
        </w:rPr>
        <w:t>GKXJ-2024-ZB-2916</w:t>
      </w:r>
      <w:r>
        <w:rPr>
          <w:rFonts w:asciiTheme="minorEastAsia" w:hAnsiTheme="minorEastAsia" w:eastAsiaTheme="minorEastAsia"/>
          <w:color w:val="auto"/>
          <w:spacing w:val="-3"/>
          <w:highlight w:val="none"/>
          <w:u w:val="single"/>
        </w:rPr>
        <w:tab/>
      </w:r>
      <w:r>
        <w:rPr>
          <w:rFonts w:asciiTheme="minorEastAsia" w:hAnsiTheme="minorEastAsia" w:eastAsiaTheme="minorEastAsia"/>
          <w:color w:val="auto"/>
          <w:highlight w:val="none"/>
        </w:rPr>
        <w:t>）</w:t>
      </w:r>
    </w:p>
    <w:p>
      <w:pPr>
        <w:pStyle w:val="8"/>
        <w:rPr>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1500" w:firstLineChars="600"/>
        <w:jc w:val="both"/>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spacing w:val="-15"/>
          <w:sz w:val="28"/>
          <w:szCs w:val="28"/>
          <w:highlight w:val="none"/>
          <w:u w:val="single"/>
        </w:rPr>
        <w:t>中海油能源发展股份有限公司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2520" w:firstLineChars="900"/>
        <w:jc w:val="both"/>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2024</w:t>
      </w:r>
      <w:r>
        <w:rPr>
          <w:rFonts w:cs="宋体" w:asciiTheme="minorEastAsia" w:hAnsiTheme="minorEastAsia"/>
          <w:color w:val="000000" w:themeColor="text1"/>
          <w:sz w:val="28"/>
          <w:szCs w:val="28"/>
          <w:highlight w:val="none"/>
          <w14:textFill>
            <w14:solidFill>
              <w14:schemeClr w14:val="tx1"/>
            </w14:solidFill>
          </w14:textFill>
        </w:rPr>
        <w:t>年</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11</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宋体" w:asciiTheme="minorEastAsia" w:hAnsiTheme="minorEastAsia"/>
          <w:color w:val="000000" w:themeColor="text1"/>
          <w:sz w:val="28"/>
          <w:szCs w:val="28"/>
          <w:highlight w:val="none"/>
          <w:u w:val="single"/>
          <w:lang w:val="en-US" w:eastAsia="zh-CN"/>
          <w14:textFill>
            <w14:solidFill>
              <w14:schemeClr w14:val="tx1"/>
            </w14:solidFill>
          </w14:textFill>
        </w:rPr>
        <w:t>1</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日</w:t>
      </w: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6"/>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装备公司</w:t>
      </w:r>
      <w:r>
        <w:rPr>
          <w:rFonts w:hint="eastAsia" w:asciiTheme="minorEastAsia" w:hAnsiTheme="minorEastAsia"/>
          <w:color w:val="auto"/>
          <w:spacing w:val="-3"/>
          <w:highlight w:val="none"/>
          <w:u w:val="single"/>
          <w:lang w:val="en-US" w:eastAsia="zh-CN"/>
        </w:rPr>
        <w:t>平台管线智能内腐蚀控制关键技术研究服务</w:t>
      </w:r>
      <w:r>
        <w:rPr>
          <w:rFonts w:hint="eastAsia" w:asciiTheme="minorEastAsia" w:hAnsiTheme="minorEastAsia"/>
          <w:color w:val="000000" w:themeColor="text1"/>
          <w:sz w:val="21"/>
          <w:szCs w:val="21"/>
          <w:highlight w:val="none"/>
          <w:u w:val="single"/>
          <w14:textFill>
            <w14:solidFill>
              <w14:schemeClr w14:val="tx1"/>
            </w14:solidFill>
          </w14:textFill>
        </w:rPr>
        <w:t>采购</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w:t>
      </w:r>
      <w:r>
        <w:rPr>
          <w:rFonts w:hint="eastAsia" w:asciiTheme="minorEastAsia" w:hAnsiTheme="minorEastAsia"/>
          <w:color w:val="000000" w:themeColor="text1"/>
          <w:sz w:val="21"/>
          <w:szCs w:val="21"/>
          <w:highlight w:val="none"/>
          <w:lang w:val="en-US" w:eastAsia="zh-CN"/>
          <w14:textFill>
            <w14:solidFill>
              <w14:schemeClr w14:val="tx1"/>
            </w14:solidFill>
          </w14:textFill>
        </w:rPr>
        <w:t>公开</w:t>
      </w:r>
      <w:r>
        <w:rPr>
          <w:rFonts w:hint="eastAsia" w:asciiTheme="minorEastAsia" w:hAnsiTheme="minorEastAsia"/>
          <w:color w:val="000000" w:themeColor="text1"/>
          <w:sz w:val="21"/>
          <w:szCs w:val="21"/>
          <w:highlight w:val="none"/>
          <w:lang w:eastAsia="zh-CN"/>
          <w14:textFill>
            <w14:solidFill>
              <w14:schemeClr w14:val="tx1"/>
            </w14:solidFill>
          </w14:textFill>
        </w:rPr>
        <w:t>询价</w:t>
      </w:r>
      <w:r>
        <w:rPr>
          <w:rFonts w:hint="eastAsia" w:asciiTheme="minorEastAsia" w:hAnsiTheme="minorEastAsia"/>
          <w:color w:val="000000" w:themeColor="text1"/>
          <w:sz w:val="21"/>
          <w:szCs w:val="21"/>
          <w:highlight w:val="none"/>
          <w14:textFill>
            <w14:solidFill>
              <w14:schemeClr w14:val="tx1"/>
            </w14:solidFill>
          </w14:textFill>
        </w:rPr>
        <w:t>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8</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11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1</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numPr>
          <w:ilvl w:val="0"/>
          <w:numId w:val="0"/>
        </w:num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11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8</w:t>
      </w:r>
      <w:bookmarkStart w:id="150" w:name="_GoBack"/>
      <w:bookmarkEnd w:id="150"/>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9</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6"/>
        <w:spacing w:line="360" w:lineRule="auto"/>
        <w:rPr>
          <w:rFonts w:hint="eastAsia"/>
          <w:highlight w:val="none"/>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20"/>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6"/>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6"/>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8"/>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1）、我方技术代表联系人与联系方式如下：</w:t>
      </w:r>
    </w:p>
    <w:p>
      <w:pPr>
        <w:pStyle w:val="8"/>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联系单位：装备技术公司.</w:t>
      </w:r>
      <w:r>
        <w:rPr>
          <w:rFonts w:hint="eastAsia" w:cs="宋体"/>
          <w:b w:val="0"/>
          <w:bCs w:val="0"/>
          <w:strike w:val="0"/>
          <w:dstrike w:val="0"/>
          <w:color w:val="0000FF"/>
          <w:kern w:val="0"/>
          <w:sz w:val="21"/>
          <w:szCs w:val="21"/>
          <w:highlight w:val="none"/>
          <w:lang w:val="en-US" w:eastAsia="zh-CN" w:bidi="ar-SA"/>
        </w:rPr>
        <w:t>工业防护</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中心</w:t>
      </w:r>
    </w:p>
    <w:p>
      <w:pPr>
        <w:pStyle w:val="8"/>
        <w:ind w:left="415" w:leftChars="135" w:right="10" w:hanging="132" w:hangingChars="63"/>
        <w:rPr>
          <w:rFonts w:hint="eastAsia" w:ascii="宋体" w:hAnsi="宋体" w:eastAsia="宋体" w:cs="宋体"/>
          <w:b w:val="0"/>
          <w:bCs w:val="0"/>
          <w:strike w:val="0"/>
          <w:dstrike w:val="0"/>
          <w:color w:val="0000FF"/>
          <w:kern w:val="0"/>
          <w:sz w:val="21"/>
          <w:szCs w:val="21"/>
          <w:highlight w:val="none"/>
          <w:lang w:val="en-US" w:eastAsia="zh-CN" w:bidi="ar-SA"/>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w:t>
      </w:r>
      <w:r>
        <w:rPr>
          <w:rFonts w:hint="eastAsia" w:ascii="宋体" w:hAnsi="宋体" w:eastAsia="宋体" w:cs="宋体"/>
          <w:b w:val="0"/>
          <w:bCs w:val="0"/>
          <w:strike w:val="0"/>
          <w:dstrike w:val="0"/>
          <w:color w:val="0000FF"/>
          <w:kern w:val="0"/>
          <w:sz w:val="21"/>
          <w:szCs w:val="21"/>
          <w:highlight w:val="none"/>
          <w:lang w:val="en-US" w:eastAsia="zh-CN" w:bidi="ar-SA"/>
        </w:rPr>
        <w:t>系人：刘闪敬   杨凡</w:t>
      </w:r>
    </w:p>
    <w:p>
      <w:pPr>
        <w:pStyle w:val="8"/>
        <w:ind w:left="415" w:leftChars="135" w:right="10" w:hanging="132" w:hangingChars="63"/>
        <w:rPr>
          <w:rFonts w:hint="eastAsia" w:ascii="宋体" w:hAnsi="宋体" w:eastAsia="宋体" w:cs="宋体"/>
          <w:b w:val="0"/>
          <w:bCs w:val="0"/>
          <w:strike w:val="0"/>
          <w:dstrike w:val="0"/>
          <w:color w:val="0000FF"/>
          <w:kern w:val="0"/>
          <w:sz w:val="21"/>
          <w:szCs w:val="21"/>
          <w:highlight w:val="none"/>
          <w:lang w:val="en-US" w:eastAsia="zh-CN" w:bidi="ar-SA"/>
        </w:rPr>
      </w:pPr>
      <w:r>
        <w:rPr>
          <w:rFonts w:hint="eastAsia" w:ascii="宋体" w:hAnsi="宋体" w:eastAsia="宋体" w:cs="宋体"/>
          <w:b w:val="0"/>
          <w:bCs w:val="0"/>
          <w:strike w:val="0"/>
          <w:dstrike w:val="0"/>
          <w:color w:val="0000FF"/>
          <w:kern w:val="0"/>
          <w:sz w:val="21"/>
          <w:szCs w:val="21"/>
          <w:highlight w:val="none"/>
          <w:lang w:val="en-US" w:eastAsia="zh-CN" w:bidi="ar-SA"/>
        </w:rPr>
        <w:t>联系电话： 022-66910090 、17502262824；</w:t>
      </w:r>
    </w:p>
    <w:p>
      <w:pPr>
        <w:pStyle w:val="8"/>
        <w:ind w:left="415" w:leftChars="135" w:right="10" w:hanging="132" w:hangingChars="63"/>
        <w:rPr>
          <w:rFonts w:hint="eastAsia" w:ascii="宋体" w:hAnsi="宋体" w:eastAsia="宋体" w:cs="宋体"/>
          <w:b w:val="0"/>
          <w:bCs w:val="0"/>
          <w:strike w:val="0"/>
          <w:dstrike w:val="0"/>
          <w:color w:val="0000FF"/>
          <w:kern w:val="0"/>
          <w:sz w:val="21"/>
          <w:szCs w:val="21"/>
          <w:highlight w:val="none"/>
          <w:lang w:val="en-US" w:eastAsia="zh-CN" w:bidi="ar-SA"/>
        </w:rPr>
      </w:pPr>
      <w:r>
        <w:rPr>
          <w:rFonts w:hint="eastAsia" w:ascii="宋体" w:hAnsi="宋体" w:eastAsia="宋体" w:cs="宋体"/>
          <w:b w:val="0"/>
          <w:bCs w:val="0"/>
          <w:strike w:val="0"/>
          <w:dstrike w:val="0"/>
          <w:color w:val="0000FF"/>
          <w:kern w:val="0"/>
          <w:sz w:val="21"/>
          <w:szCs w:val="21"/>
          <w:highlight w:val="none"/>
          <w:lang w:val="en-US" w:eastAsia="zh-CN" w:bidi="ar-SA"/>
        </w:rPr>
        <w:t>邮  箱：</w:t>
      </w:r>
      <w:r>
        <w:rPr>
          <w:rFonts w:hint="eastAsia" w:ascii="宋体" w:hAnsi="宋体" w:eastAsia="宋体" w:cs="宋体"/>
          <w:b w:val="0"/>
          <w:bCs w:val="0"/>
          <w:strike w:val="0"/>
          <w:dstrike w:val="0"/>
          <w:color w:val="0000FF"/>
          <w:kern w:val="0"/>
          <w:sz w:val="21"/>
          <w:szCs w:val="21"/>
          <w:highlight w:val="none"/>
          <w:lang w:val="en-US" w:eastAsia="zh-CN" w:bidi="ar-SA"/>
        </w:rPr>
        <w:fldChar w:fldCharType="begin"/>
      </w:r>
      <w:r>
        <w:rPr>
          <w:rFonts w:hint="eastAsia" w:ascii="宋体" w:hAnsi="宋体" w:eastAsia="宋体" w:cs="宋体"/>
          <w:b w:val="0"/>
          <w:bCs w:val="0"/>
          <w:strike w:val="0"/>
          <w:dstrike w:val="0"/>
          <w:color w:val="0000FF"/>
          <w:kern w:val="0"/>
          <w:sz w:val="21"/>
          <w:szCs w:val="21"/>
          <w:highlight w:val="none"/>
          <w:lang w:val="en-US" w:eastAsia="zh-CN" w:bidi="ar-SA"/>
        </w:rPr>
        <w:instrText xml:space="preserve"> HYPERLINK "mailto:liushj6@cnooc.com.cn" </w:instrText>
      </w:r>
      <w:r>
        <w:rPr>
          <w:rFonts w:hint="eastAsia" w:ascii="宋体" w:hAnsi="宋体" w:eastAsia="宋体" w:cs="宋体"/>
          <w:b w:val="0"/>
          <w:bCs w:val="0"/>
          <w:strike w:val="0"/>
          <w:dstrike w:val="0"/>
          <w:color w:val="0000FF"/>
          <w:kern w:val="0"/>
          <w:sz w:val="21"/>
          <w:szCs w:val="21"/>
          <w:highlight w:val="none"/>
          <w:lang w:val="en-US" w:eastAsia="zh-CN" w:bidi="ar-SA"/>
        </w:rPr>
        <w:fldChar w:fldCharType="separate"/>
      </w:r>
      <w:r>
        <w:rPr>
          <w:rFonts w:hint="eastAsia" w:ascii="宋体" w:hAnsi="宋体" w:eastAsia="宋体" w:cs="宋体"/>
          <w:b w:val="0"/>
          <w:bCs w:val="0"/>
          <w:strike w:val="0"/>
          <w:dstrike w:val="0"/>
          <w:color w:val="0000FF"/>
          <w:kern w:val="0"/>
          <w:sz w:val="21"/>
          <w:szCs w:val="21"/>
          <w:highlight w:val="none"/>
          <w:lang w:val="en-US" w:eastAsia="zh-CN" w:bidi="ar-SA"/>
        </w:rPr>
        <w:t>liushj6@cnooc.com.cn</w:t>
      </w:r>
      <w:r>
        <w:rPr>
          <w:rFonts w:hint="eastAsia" w:ascii="宋体" w:hAnsi="宋体" w:eastAsia="宋体" w:cs="宋体"/>
          <w:b w:val="0"/>
          <w:bCs w:val="0"/>
          <w:strike w:val="0"/>
          <w:dstrike w:val="0"/>
          <w:color w:val="0000FF"/>
          <w:kern w:val="0"/>
          <w:sz w:val="21"/>
          <w:szCs w:val="21"/>
          <w:highlight w:val="none"/>
          <w:lang w:val="en-US" w:eastAsia="zh-CN" w:bidi="ar-SA"/>
        </w:rPr>
        <w:fldChar w:fldCharType="end"/>
      </w:r>
    </w:p>
    <w:p>
      <w:pPr>
        <w:pStyle w:val="8"/>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2）、我方商务代表联系人与联系方式如下：</w:t>
      </w:r>
    </w:p>
    <w:p>
      <w:pPr>
        <w:pStyle w:val="8"/>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联系单位：中海油能源发展装备技术有限公司</w:t>
      </w:r>
    </w:p>
    <w:p>
      <w:pPr>
        <w:pStyle w:val="8"/>
        <w:ind w:left="415" w:leftChars="135" w:right="10" w:hanging="132" w:hangingChars="63"/>
        <w:rPr>
          <w:rFonts w:hint="default"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联系人：刘娜</w:t>
      </w:r>
    </w:p>
    <w:p>
      <w:pPr>
        <w:pStyle w:val="8"/>
        <w:ind w:left="415" w:leftChars="135" w:right="10" w:hanging="132" w:hangingChars="63"/>
        <w:rPr>
          <w:rFonts w:hint="default"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联系电话：022-66919032</w:t>
      </w:r>
    </w:p>
    <w:p>
      <w:pPr>
        <w:ind w:firstLine="298" w:firstLineChars="142"/>
        <w:rPr>
          <w:rFonts w:hint="eastAsia"/>
          <w:highlight w:val="none"/>
          <w:lang w:val="en-US" w:eastAsia="zh-CN"/>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邮  箱：liuna@cnooc.com.cn</w:t>
      </w:r>
    </w:p>
    <w:p>
      <w:pPr>
        <w:rPr>
          <w:rFonts w:hint="eastAsia"/>
          <w:highlight w:val="none"/>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6"/>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6"/>
        <w:tblW w:w="5571" w:type="pct"/>
        <w:jc w:val="center"/>
        <w:tblLayout w:type="autofit"/>
        <w:tblCellMar>
          <w:top w:w="0" w:type="dxa"/>
          <w:left w:w="0" w:type="dxa"/>
          <w:bottom w:w="0" w:type="dxa"/>
          <w:right w:w="0" w:type="dxa"/>
        </w:tblCellMar>
      </w:tblPr>
      <w:tblGrid>
        <w:gridCol w:w="617"/>
        <w:gridCol w:w="532"/>
        <w:gridCol w:w="2280"/>
        <w:gridCol w:w="5837"/>
      </w:tblGrid>
      <w:tr>
        <w:tblPrEx>
          <w:tblCellMar>
            <w:top w:w="0" w:type="dxa"/>
            <w:left w:w="0" w:type="dxa"/>
            <w:bottom w:w="0" w:type="dxa"/>
            <w:right w:w="0" w:type="dxa"/>
          </w:tblCellMar>
        </w:tblPrEx>
        <w:trPr>
          <w:trHeight w:val="454" w:hRule="atLeast"/>
          <w:jc w:val="center"/>
        </w:trPr>
        <w:tc>
          <w:tcPr>
            <w:tcW w:w="620" w:type="pct"/>
            <w:gridSpan w:val="2"/>
            <w:tcBorders>
              <w:top w:val="single" w:color="000000" w:sz="4" w:space="0"/>
              <w:left w:val="single" w:color="000000" w:sz="4" w:space="0"/>
              <w:bottom w:val="single" w:color="000000" w:sz="4" w:space="0"/>
              <w:right w:val="single" w:color="000000" w:sz="4" w:space="0"/>
            </w:tcBorders>
            <w:vAlign w:val="center"/>
          </w:tcPr>
          <w:p>
            <w:pPr>
              <w:pStyle w:val="2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2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49" w:type="pct"/>
            <w:tcBorders>
              <w:top w:val="single" w:color="000000" w:sz="4" w:space="0"/>
              <w:left w:val="nil"/>
              <w:bottom w:val="single" w:color="000000" w:sz="4" w:space="0"/>
              <w:right w:val="single" w:color="000000" w:sz="4" w:space="0"/>
            </w:tcBorders>
            <w:vAlign w:val="center"/>
          </w:tcPr>
          <w:p>
            <w:pPr>
              <w:pStyle w:val="2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3" w:type="pct"/>
            <w:vMerge w:val="restart"/>
            <w:tcBorders>
              <w:top w:val="nil"/>
              <w:left w:val="single" w:color="000000" w:sz="6" w:space="0"/>
              <w:right w:val="single" w:color="000000" w:sz="6" w:space="0"/>
            </w:tcBorders>
            <w:vAlign w:val="center"/>
          </w:tcPr>
          <w:p>
            <w:pPr>
              <w:pStyle w:val="2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6" w:type="pct"/>
            <w:vMerge w:val="restart"/>
            <w:tcBorders>
              <w:top w:val="nil"/>
              <w:left w:val="nil"/>
              <w:right w:val="single" w:color="000000" w:sz="6" w:space="0"/>
            </w:tcBorders>
            <w:textDirection w:val="tbRlV"/>
            <w:vAlign w:val="center"/>
          </w:tcPr>
          <w:p>
            <w:pPr>
              <w:pStyle w:val="20"/>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2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49" w:type="pct"/>
            <w:tcBorders>
              <w:top w:val="single" w:color="000000" w:sz="4" w:space="0"/>
              <w:left w:val="nil"/>
              <w:bottom w:val="single" w:color="000000" w:sz="4" w:space="0"/>
              <w:right w:val="single" w:color="000000" w:sz="4" w:space="0"/>
            </w:tcBorders>
            <w:vAlign w:val="center"/>
          </w:tcPr>
          <w:p>
            <w:pPr>
              <w:pStyle w:val="2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nil"/>
              <w:right w:val="single" w:color="000000" w:sz="4" w:space="0"/>
            </w:tcBorders>
            <w:vAlign w:val="center"/>
          </w:tcPr>
          <w:p>
            <w:pPr>
              <w:pStyle w:val="2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49" w:type="pct"/>
            <w:tcBorders>
              <w:top w:val="single" w:color="000000" w:sz="4" w:space="0"/>
              <w:left w:val="nil"/>
              <w:bottom w:val="nil"/>
              <w:right w:val="single" w:color="000000" w:sz="4" w:space="0"/>
            </w:tcBorders>
            <w:vAlign w:val="center"/>
          </w:tcPr>
          <w:p>
            <w:pPr>
              <w:pStyle w:val="2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2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49"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2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49" w:type="pct"/>
            <w:tcBorders>
              <w:top w:val="single" w:color="000000" w:sz="4" w:space="0"/>
              <w:left w:val="nil"/>
              <w:bottom w:val="single" w:color="000000" w:sz="4" w:space="0"/>
              <w:right w:val="single" w:color="000000" w:sz="4" w:space="0"/>
            </w:tcBorders>
            <w:vAlign w:val="center"/>
          </w:tcPr>
          <w:p>
            <w:pPr>
              <w:pStyle w:val="2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 xml:space="preserve">报价截止之日起【 </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 xml:space="preserve"> 】</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20"/>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20"/>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69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20"/>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20"/>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w:t>
            </w:r>
          </w:p>
        </w:tc>
        <w:tc>
          <w:tcPr>
            <w:tcW w:w="3149" w:type="pct"/>
            <w:tcBorders>
              <w:top w:val="single" w:color="000000" w:sz="4" w:space="0"/>
              <w:left w:val="nil"/>
              <w:bottom w:val="single" w:color="auto" w:sz="4" w:space="0"/>
              <w:right w:val="single" w:color="000000" w:sz="4" w:space="0"/>
            </w:tcBorders>
            <w:vAlign w:val="center"/>
          </w:tcPr>
          <w:p>
            <w:pPr>
              <w:pStyle w:val="8"/>
              <w:numPr>
                <w:ilvl w:val="0"/>
                <w:numId w:val="0"/>
              </w:numPr>
              <w:spacing w:line="257" w:lineRule="auto"/>
              <w:ind w:leftChars="-9" w:right="115" w:rightChars="55"/>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 不涉及，无具体要求。</w:t>
            </w:r>
          </w:p>
        </w:tc>
      </w:tr>
      <w:tr>
        <w:tblPrEx>
          <w:tblCellMar>
            <w:top w:w="0" w:type="dxa"/>
            <w:left w:w="0" w:type="dxa"/>
            <w:bottom w:w="0" w:type="dxa"/>
            <w:right w:w="0" w:type="dxa"/>
          </w:tblCellMar>
        </w:tblPrEx>
        <w:trPr>
          <w:trHeight w:val="69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20"/>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20"/>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p>
            <w:pPr>
              <w:pStyle w:val="20"/>
              <w:spacing w:line="300" w:lineRule="exact"/>
              <w:jc w:val="center"/>
              <w:rPr>
                <w:rFonts w:hint="default" w:ascii="仿宋" w:hAnsi="仿宋" w:eastAsia="仿宋" w:cs="仿宋"/>
                <w:color w:val="auto"/>
                <w:kern w:val="2"/>
                <w:sz w:val="21"/>
                <w:szCs w:val="21"/>
                <w:highlight w:val="none"/>
                <w:lang w:val="en-US" w:eastAsia="zh-CN" w:bidi="ar-SA"/>
              </w:rPr>
            </w:pPr>
          </w:p>
        </w:tc>
        <w:tc>
          <w:tcPr>
            <w:tcW w:w="3149" w:type="pct"/>
            <w:tcBorders>
              <w:top w:val="single" w:color="000000" w:sz="4" w:space="0"/>
              <w:left w:val="nil"/>
              <w:bottom w:val="single" w:color="auto" w:sz="4" w:space="0"/>
              <w:right w:val="single" w:color="000000" w:sz="4" w:space="0"/>
            </w:tcBorders>
            <w:vAlign w:val="center"/>
          </w:tcPr>
          <w:p>
            <w:pPr>
              <w:pStyle w:val="20"/>
              <w:jc w:val="both"/>
              <w:rPr>
                <w:rFonts w:hint="eastAsia"/>
                <w:highlight w:val="none"/>
                <w:lang w:val="en-US" w:eastAsia="zh-CN"/>
              </w:rPr>
            </w:pPr>
            <w:r>
              <w:rPr>
                <w:rFonts w:hint="eastAsia" w:ascii="仿宋" w:hAnsi="仿宋" w:eastAsia="仿宋" w:cs="仿宋"/>
                <w:color w:val="auto"/>
                <w:kern w:val="2"/>
                <w:sz w:val="21"/>
                <w:szCs w:val="21"/>
                <w:highlight w:val="none"/>
                <w:lang w:eastAsia="zh-CN"/>
              </w:rPr>
              <w:t>投标人应具备并提供有效期内的ISO9001 质量体系认证证书、ISO14001 环境管理体系认证证书、ISO45001 职业健康安全安全管理体系认证证书，且证书应在中国国家认证认可监督管理委员会网站(http://www.cnca.gov.cn)核实</w:t>
            </w:r>
          </w:p>
        </w:tc>
      </w:tr>
      <w:tr>
        <w:tblPrEx>
          <w:tblCellMar>
            <w:top w:w="0" w:type="dxa"/>
            <w:left w:w="0" w:type="dxa"/>
            <w:bottom w:w="0" w:type="dxa"/>
            <w:right w:w="0" w:type="dxa"/>
          </w:tblCellMar>
        </w:tblPrEx>
        <w:trPr>
          <w:trHeight w:val="1427"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20"/>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49"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highlight w:val="none"/>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XX</w:t>
            </w:r>
            <w:r>
              <w:rPr>
                <w:rFonts w:hint="eastAsia" w:ascii="仿宋" w:hAnsi="仿宋" w:eastAsia="仿宋" w:cs="仿宋"/>
                <w:strike w:val="0"/>
                <w:dstrike w:val="0"/>
                <w:color w:val="auto"/>
                <w:sz w:val="21"/>
                <w:szCs w:val="21"/>
                <w:highlight w:val="none"/>
                <w:lang w:eastAsia="zh-CN"/>
              </w:rPr>
              <w:t>年（20**年*月*日-报价截止日前）内应答人或其法定代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应答人应在应答文件中提供其公司章程或其他能够体现出资人、股东信息的法定文件，作为评标/评审时的依据。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上述要求应答人应提供供应商承诺书，加盖学院的公章视为有效。</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20"/>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20"/>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2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2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2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755"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2280" w:type="dxa"/>
            <w:tcBorders>
              <w:top w:val="single" w:color="000000" w:sz="4" w:space="0"/>
              <w:left w:val="single" w:color="000000" w:sz="6" w:space="0"/>
              <w:right w:val="single" w:color="000000" w:sz="4" w:space="0"/>
            </w:tcBorders>
            <w:vAlign w:val="center"/>
          </w:tcPr>
          <w:p>
            <w:pPr>
              <w:pStyle w:val="8"/>
              <w:tabs>
                <w:tab w:val="left" w:pos="770"/>
              </w:tabs>
              <w:ind w:left="0" w:leftChars="0" w:right="134"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服务商要求</w:t>
            </w:r>
          </w:p>
        </w:tc>
        <w:tc>
          <w:tcPr>
            <w:tcW w:w="5837" w:type="dxa"/>
            <w:tcBorders>
              <w:top w:val="single" w:color="000000" w:sz="4" w:space="0"/>
              <w:left w:val="nil"/>
              <w:bottom w:val="single" w:color="000000" w:sz="4" w:space="0"/>
              <w:right w:val="single" w:color="000000" w:sz="4" w:space="0"/>
            </w:tcBorders>
            <w:vAlign w:val="center"/>
          </w:tcPr>
          <w:p>
            <w:pPr>
              <w:tabs>
                <w:tab w:val="left" w:pos="770"/>
              </w:tabs>
              <w:spacing w:line="240" w:lineRule="auto"/>
              <w:ind w:left="0" w:right="134"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服务商需满足：</w:t>
            </w:r>
          </w:p>
          <w:p>
            <w:pPr>
              <w:tabs>
                <w:tab w:val="left" w:pos="770"/>
              </w:tabs>
              <w:spacing w:line="240" w:lineRule="auto"/>
              <w:ind w:left="0" w:right="134" w:firstLine="0" w:firstLineChars="0"/>
              <w:rPr>
                <w:rFonts w:hint="eastAsia" w:ascii="仿宋" w:hAnsi="仿宋" w:eastAsia="仿宋" w:cs="仿宋"/>
                <w:b w:val="0"/>
                <w:bCs w:val="0"/>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p>
          <w:p>
            <w:pPr>
              <w:tabs>
                <w:tab w:val="left" w:pos="770"/>
              </w:tabs>
              <w:spacing w:line="240" w:lineRule="auto"/>
              <w:ind w:left="0" w:right="134" w:firstLine="0" w:firstLineChars="0"/>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服务商实缴注册资金要求:</w:t>
            </w:r>
            <w:r>
              <w:rPr>
                <w:rFonts w:hint="eastAsia" w:ascii="仿宋" w:hAnsi="仿宋" w:eastAsia="仿宋" w:cs="仿宋"/>
                <w:b w:val="0"/>
                <w:bCs w:val="0"/>
                <w:color w:val="auto"/>
                <w:kern w:val="2"/>
                <w:sz w:val="21"/>
                <w:szCs w:val="21"/>
                <w:highlight w:val="none"/>
                <w:lang w:val="en-US" w:eastAsia="zh-CN" w:bidi="ar-SA"/>
              </w:rPr>
              <w:t>应答人实缴注册资本金不能为零，应答时需提供相关证明文件。</w:t>
            </w:r>
          </w:p>
        </w:tc>
      </w:tr>
      <w:tr>
        <w:tblPrEx>
          <w:tblCellMar>
            <w:top w:w="0" w:type="dxa"/>
            <w:left w:w="0" w:type="dxa"/>
            <w:bottom w:w="0" w:type="dxa"/>
            <w:right w:w="0" w:type="dxa"/>
          </w:tblCellMar>
        </w:tblPrEx>
        <w:trPr>
          <w:trHeight w:val="1372"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2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b w:val="0"/>
                <w:bCs/>
                <w:color w:val="auto"/>
                <w:sz w:val="21"/>
                <w:szCs w:val="21"/>
                <w:highlight w:val="none"/>
                <w:lang w:eastAsia="zh-CN"/>
              </w:rPr>
              <w:t>业绩要求</w:t>
            </w:r>
            <w:r>
              <w:rPr>
                <w:rFonts w:hint="eastAsia" w:ascii="仿宋" w:hAnsi="仿宋" w:eastAsia="仿宋" w:cs="仿宋"/>
                <w:b w:val="0"/>
                <w:bCs/>
                <w:color w:val="auto"/>
                <w:sz w:val="21"/>
                <w:szCs w:val="21"/>
                <w:highlight w:val="none"/>
              </w:rPr>
              <w:t>（</w:t>
            </w:r>
            <w:r>
              <w:rPr>
                <w:rFonts w:hint="eastAsia" w:ascii="仿宋" w:hAnsi="仿宋" w:eastAsia="仿宋" w:cs="仿宋"/>
                <w:b w:val="0"/>
                <w:bCs/>
                <w:color w:val="auto"/>
                <w:sz w:val="21"/>
                <w:szCs w:val="21"/>
                <w:highlight w:val="none"/>
                <w:lang w:val="en-US" w:eastAsia="zh-CN"/>
              </w:rPr>
              <w:t>科研项目涉及此项，</w:t>
            </w:r>
            <w:r>
              <w:rPr>
                <w:rFonts w:hint="eastAsia" w:ascii="仿宋" w:hAnsi="仿宋" w:eastAsia="仿宋" w:cs="仿宋"/>
                <w:b w:val="0"/>
                <w:bCs/>
                <w:color w:val="auto"/>
                <w:sz w:val="21"/>
                <w:szCs w:val="21"/>
                <w:highlight w:val="none"/>
              </w:rPr>
              <w:t>提示：提供的证明材料必须完全涵盖</w:t>
            </w:r>
            <w:r>
              <w:rPr>
                <w:rFonts w:hint="eastAsia" w:ascii="仿宋" w:hAnsi="仿宋" w:eastAsia="仿宋" w:cs="仿宋"/>
                <w:b w:val="0"/>
                <w:bCs/>
                <w:color w:val="auto"/>
                <w:sz w:val="21"/>
                <w:szCs w:val="21"/>
                <w:highlight w:val="none"/>
                <w:lang w:val="en-US" w:eastAsia="zh-CN"/>
              </w:rPr>
              <w:t>要求的</w:t>
            </w:r>
            <w:r>
              <w:rPr>
                <w:rFonts w:hint="eastAsia" w:ascii="仿宋" w:hAnsi="仿宋" w:eastAsia="仿宋" w:cs="仿宋"/>
                <w:b w:val="0"/>
                <w:bCs/>
                <w:color w:val="auto"/>
                <w:sz w:val="21"/>
                <w:szCs w:val="21"/>
                <w:highlight w:val="none"/>
              </w:rPr>
              <w:t>内容，否则视为无效业绩，缺少任何1项都将影响评审结果）</w:t>
            </w:r>
          </w:p>
        </w:tc>
        <w:tc>
          <w:tcPr>
            <w:tcW w:w="3149" w:type="pct"/>
            <w:tcBorders>
              <w:top w:val="single" w:color="000000" w:sz="4" w:space="0"/>
              <w:left w:val="nil"/>
              <w:bottom w:val="single" w:color="000000" w:sz="4" w:space="0"/>
              <w:right w:val="single" w:color="000000" w:sz="4" w:space="0"/>
            </w:tcBorders>
            <w:vAlign w:val="top"/>
          </w:tcPr>
          <w:p>
            <w:pPr>
              <w:tabs>
                <w:tab w:val="left" w:pos="770"/>
              </w:tabs>
              <w:spacing w:line="240" w:lineRule="auto"/>
              <w:ind w:left="0" w:right="134"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投标人在近三年（2022年-2024年）内至少具有两项与本招标项目（腐蚀防护或监检测）相同或类似的服务业绩，并提供相关的业绩证明文件，至少包括合同首页，合同内容和盖章页。</w:t>
            </w:r>
          </w:p>
          <w:p>
            <w:pPr>
              <w:tabs>
                <w:tab w:val="left" w:pos="770"/>
              </w:tabs>
              <w:spacing w:line="240" w:lineRule="auto"/>
              <w:ind w:left="0" w:right="134"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未提供业绩证明文件的或提供的业绩证明文件无法认定上述业绩要求的，均视为无效业绩。</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2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付款条款</w:t>
            </w:r>
          </w:p>
        </w:tc>
        <w:tc>
          <w:tcPr>
            <w:tcW w:w="3149" w:type="pct"/>
            <w:tcBorders>
              <w:top w:val="single" w:color="auto" w:sz="4" w:space="0"/>
              <w:left w:val="nil"/>
              <w:bottom w:val="nil"/>
              <w:right w:val="single" w:color="000000" w:sz="4" w:space="0"/>
            </w:tcBorders>
            <w:vAlign w:val="center"/>
          </w:tcPr>
          <w:p>
            <w:pPr>
              <w:pStyle w:val="7"/>
              <w:ind w:right="11"/>
              <w:rPr>
                <w:rFonts w:hint="eastAsia" w:ascii="仿宋" w:hAnsi="仿宋" w:eastAsia="仿宋" w:cs="仿宋"/>
                <w:bCs/>
                <w:color w:val="auto"/>
                <w:kern w:val="0"/>
                <w:sz w:val="21"/>
                <w:szCs w:val="21"/>
                <w:highlight w:val="none"/>
                <w:lang w:eastAsia="zh-CN"/>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项目完工后，甲方在收到乙方提供的增值税专用发票、开工通知、完工报告和合同复印件等相关付款资料后，如无异议，在45天内支付本</w:t>
            </w:r>
            <w:r>
              <w:rPr>
                <w:rFonts w:hint="eastAsia" w:ascii="仿宋" w:hAnsi="仿宋" w:eastAsia="仿宋" w:cs="宋体"/>
                <w:color w:val="auto"/>
                <w:kern w:val="0"/>
                <w:szCs w:val="21"/>
                <w:highlight w:val="none"/>
                <w:lang w:val="en-US" w:eastAsia="zh-CN"/>
              </w:rPr>
              <w:t>合同总价的全额价款。</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20"/>
              <w:spacing w:line="300" w:lineRule="exact"/>
              <w:jc w:val="center"/>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财务条件</w:t>
            </w:r>
          </w:p>
        </w:tc>
        <w:tc>
          <w:tcPr>
            <w:tcW w:w="3149" w:type="pct"/>
            <w:tcBorders>
              <w:top w:val="single" w:color="auto" w:sz="4" w:space="0"/>
              <w:left w:val="nil"/>
              <w:bottom w:val="nil"/>
              <w:right w:val="single" w:color="000000" w:sz="4" w:space="0"/>
            </w:tcBorders>
            <w:vAlign w:val="center"/>
          </w:tcPr>
          <w:p>
            <w:pPr>
              <w:pStyle w:val="7"/>
              <w:ind w:right="11"/>
              <w:rPr>
                <w:rFonts w:hint="eastAsia" w:ascii="仿宋" w:hAnsi="仿宋" w:eastAsia="仿宋" w:cs="仿宋"/>
                <w:bCs/>
                <w:color w:val="auto"/>
                <w:kern w:val="0"/>
                <w:szCs w:val="21"/>
                <w:highlight w:val="none"/>
              </w:rPr>
            </w:pPr>
            <w:r>
              <w:rPr>
                <w:rFonts w:hint="eastAsia" w:ascii="仿宋" w:hAnsi="仿宋" w:eastAsia="仿宋" w:cs="仿宋"/>
                <w:color w:val="auto"/>
                <w:kern w:val="2"/>
                <w:sz w:val="21"/>
                <w:szCs w:val="21"/>
                <w:highlight w:val="none"/>
                <w:lang w:val="en-US" w:eastAsia="zh-CN" w:bidi="ar-SA"/>
              </w:rPr>
              <w:t>不涉及，无具体要求。</w:t>
            </w:r>
          </w:p>
        </w:tc>
      </w:tr>
      <w:tr>
        <w:tblPrEx>
          <w:tblCellMar>
            <w:top w:w="0" w:type="dxa"/>
            <w:left w:w="0" w:type="dxa"/>
            <w:bottom w:w="0" w:type="dxa"/>
            <w:right w:w="0" w:type="dxa"/>
          </w:tblCellMar>
        </w:tblPrEx>
        <w:trPr>
          <w:trHeight w:val="684" w:hRule="atLeast"/>
          <w:jc w:val="center"/>
        </w:trPr>
        <w:tc>
          <w:tcPr>
            <w:tcW w:w="333" w:type="pct"/>
            <w:vMerge w:val="continue"/>
            <w:tcBorders>
              <w:left w:val="single" w:color="000000" w:sz="6" w:space="0"/>
              <w:right w:val="single" w:color="000000" w:sz="6" w:space="0"/>
            </w:tcBorders>
            <w:vAlign w:val="center"/>
          </w:tcPr>
          <w:p>
            <w:pPr>
              <w:rPr>
                <w:highlight w:val="none"/>
              </w:rPr>
            </w:pPr>
          </w:p>
        </w:tc>
        <w:tc>
          <w:tcPr>
            <w:tcW w:w="286" w:type="pct"/>
            <w:vMerge w:val="continue"/>
            <w:tcBorders>
              <w:left w:val="single" w:color="000000" w:sz="6" w:space="0"/>
              <w:right w:val="single" w:color="000000" w:sz="6" w:space="0"/>
            </w:tcBorders>
            <w:vAlign w:val="center"/>
          </w:tcPr>
          <w:p>
            <w:pPr>
              <w:rPr>
                <w:highlight w:val="none"/>
              </w:rPr>
            </w:p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default" w:eastAsiaTheme="minorEastAsia"/>
                <w:color w:val="auto"/>
                <w:highlight w:val="none"/>
                <w:lang w:val="en-US" w:eastAsia="zh-CN"/>
              </w:rPr>
            </w:pPr>
            <w:r>
              <w:rPr>
                <w:rFonts w:hint="eastAsia" w:ascii="仿宋" w:hAnsi="仿宋" w:eastAsia="仿宋" w:cs="仿宋"/>
                <w:bCs/>
                <w:color w:val="auto"/>
                <w:kern w:val="0"/>
                <w:sz w:val="21"/>
                <w:szCs w:val="21"/>
                <w:highlight w:val="none"/>
                <w:lang w:val="en-US" w:eastAsia="zh-CN" w:bidi="ar-SA"/>
              </w:rPr>
              <w:t>服务地址</w:t>
            </w:r>
          </w:p>
        </w:tc>
        <w:tc>
          <w:tcPr>
            <w:tcW w:w="3149" w:type="pct"/>
            <w:tcBorders>
              <w:top w:val="single" w:color="000000" w:sz="4" w:space="0"/>
              <w:left w:val="nil"/>
              <w:bottom w:val="single" w:color="000000" w:sz="4" w:space="0"/>
              <w:right w:val="single" w:color="000000" w:sz="4" w:space="0"/>
            </w:tcBorders>
            <w:vAlign w:val="center"/>
          </w:tcPr>
          <w:p>
            <w:pPr>
              <w:pStyle w:val="13"/>
              <w:keepNext w:val="0"/>
              <w:keepLines w:val="0"/>
              <w:widowControl/>
              <w:suppressLineNumbers w:val="0"/>
              <w:rPr>
                <w:color w:val="auto"/>
                <w:highlight w:val="none"/>
              </w:rPr>
            </w:pPr>
            <w:r>
              <w:rPr>
                <w:rFonts w:hint="eastAsia" w:ascii="仿宋" w:hAnsi="仿宋" w:eastAsia="仿宋" w:cs="仿宋"/>
                <w:color w:val="auto"/>
                <w:kern w:val="2"/>
                <w:sz w:val="21"/>
                <w:szCs w:val="21"/>
                <w:highlight w:val="none"/>
                <w:lang w:val="en-US" w:eastAsia="zh-CN" w:bidi="ar-SA"/>
              </w:rPr>
              <w:t>工业防护中心指定地点</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2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★商务偏离要求</w:t>
            </w:r>
          </w:p>
        </w:tc>
        <w:tc>
          <w:tcPr>
            <w:tcW w:w="3149" w:type="pct"/>
            <w:tcBorders>
              <w:top w:val="single" w:color="000000" w:sz="4" w:space="0"/>
              <w:left w:val="nil"/>
              <w:bottom w:val="single" w:color="000000" w:sz="4" w:space="0"/>
              <w:right w:val="single" w:color="000000" w:sz="4" w:space="0"/>
            </w:tcBorders>
            <w:vAlign w:val="center"/>
          </w:tcPr>
          <w:p>
            <w:pPr>
              <w:pStyle w:val="2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1.一般商务指标偏离超过2项，则评议不合格。</w:t>
            </w:r>
          </w:p>
          <w:p>
            <w:pPr>
              <w:pStyle w:val="2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2.标注“★”号的条款为关键条款，对这些关键条款的任何偏离将导致应答文件被拒绝。</w:t>
            </w:r>
          </w:p>
          <w:p>
            <w:pPr>
              <w:pStyle w:val="20"/>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3.商务偏离表，不提供视为无偏离。</w:t>
            </w:r>
          </w:p>
        </w:tc>
      </w:tr>
      <w:tr>
        <w:tblPrEx>
          <w:tblCellMar>
            <w:top w:w="0" w:type="dxa"/>
            <w:left w:w="0" w:type="dxa"/>
            <w:bottom w:w="0" w:type="dxa"/>
            <w:right w:w="0" w:type="dxa"/>
          </w:tblCellMar>
        </w:tblPrEx>
        <w:trPr>
          <w:trHeight w:val="454" w:hRule="atLeast"/>
          <w:jc w:val="center"/>
        </w:trPr>
        <w:tc>
          <w:tcPr>
            <w:tcW w:w="333" w:type="pct"/>
            <w:vMerge w:val="restar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6"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2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认证证书</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Cs w:val="21"/>
                <w:highlight w:val="none"/>
                <w:lang w:val="en-US" w:eastAsia="zh-CN"/>
              </w:rPr>
              <w:t>不涉及，</w:t>
            </w:r>
            <w:r>
              <w:rPr>
                <w:rFonts w:hint="eastAsia" w:ascii="仿宋" w:hAnsi="仿宋" w:eastAsia="仿宋" w:cs="仿宋"/>
                <w:bCs/>
                <w:color w:val="000000" w:themeColor="text1"/>
                <w:kern w:val="0"/>
                <w:szCs w:val="21"/>
                <w:highlight w:val="none"/>
                <w:lang w:val="en-US" w:eastAsia="zh-CN"/>
                <w14:textFill>
                  <w14:solidFill>
                    <w14:schemeClr w14:val="tx1"/>
                  </w14:solidFill>
                </w14:textFill>
              </w:rPr>
              <w:t>无具体要求。</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auto" w:sz="4" w:space="0"/>
              <w:right w:val="single" w:color="auto" w:sz="4"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286" w:type="pct"/>
            <w:vMerge w:val="continue"/>
            <w:tcBorders>
              <w:left w:val="single" w:color="auto" w:sz="4" w:space="0"/>
              <w:right w:val="single" w:color="auto" w:sz="4" w:space="0"/>
            </w:tcBorders>
            <w:textDirection w:val="tbRlV"/>
            <w:vAlign w:val="center"/>
          </w:tcPr>
          <w:p>
            <w:pPr>
              <w:pStyle w:val="2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★科研项目需满足此项</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8"/>
              <w:numPr>
                <w:ilvl w:val="0"/>
                <w:numId w:val="0"/>
              </w:numPr>
              <w:spacing w:line="257" w:lineRule="auto"/>
              <w:ind w:leftChars="-9" w:right="115" w:rightChars="55"/>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 乙方项目组成员需不少于5人，包括至少1名正高级职称，2名具有博士研究生学历。项目负责人需具有博士研究生学历，从事腐蚀防护研究和工作经历10年以上。</w:t>
            </w:r>
          </w:p>
          <w:p>
            <w:pPr>
              <w:pStyle w:val="8"/>
              <w:numPr>
                <w:ilvl w:val="0"/>
                <w:numId w:val="0"/>
              </w:numPr>
              <w:spacing w:line="257" w:lineRule="auto"/>
              <w:ind w:leftChars="-9" w:right="115" w:rightChars="55"/>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 乙方项目组成员需来自同一单位，不允许多家单位联合投标。</w:t>
            </w:r>
          </w:p>
          <w:p>
            <w:pPr>
              <w:ind w:left="105" w:leftChars="50"/>
              <w:jc w:val="both"/>
              <w:rPr>
                <w:rFonts w:hint="eastAsia" w:ascii="仿宋" w:hAnsi="仿宋" w:eastAsia="仿宋" w:cs="仿宋"/>
                <w:bCs/>
                <w:color w:val="auto"/>
                <w:kern w:val="0"/>
                <w:szCs w:val="21"/>
                <w:highlight w:val="none"/>
                <w:lang w:val="en-US" w:eastAsia="zh-CN"/>
              </w:rPr>
            </w:pPr>
            <w:r>
              <w:rPr>
                <w:rFonts w:hint="eastAsia" w:ascii="仿宋" w:hAnsi="仿宋" w:eastAsia="仿宋" w:cs="仿宋"/>
                <w:color w:val="auto"/>
                <w:kern w:val="2"/>
                <w:sz w:val="21"/>
                <w:szCs w:val="21"/>
                <w:highlight w:val="none"/>
                <w:lang w:val="en-US" w:eastAsia="zh-CN" w:bidi="ar-SA"/>
              </w:rPr>
              <w:t>3） 乙方项目组成员需要近5年发表过与腐蚀(corrosion)相关的SCI英文科研论文2篇以上（提供Web of Science检索证明）；近5年申请或授权与腐蚀(corrosion)相关的专利2项（提供受理通知书或发明专利证书）。</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auto" w:sz="4" w:space="0"/>
              <w:right w:val="single" w:color="auto" w:sz="4"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286" w:type="pct"/>
            <w:vMerge w:val="continue"/>
            <w:tcBorders>
              <w:left w:val="single" w:color="auto" w:sz="4" w:space="0"/>
              <w:right w:val="single" w:color="auto" w:sz="4" w:space="0"/>
            </w:tcBorders>
            <w:textDirection w:val="tbRlV"/>
            <w:vAlign w:val="center"/>
          </w:tcPr>
          <w:p>
            <w:pPr>
              <w:pStyle w:val="2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★技术文件交付规范（项目交付时应包含以下内容）</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rPr>
              <w:tab/>
            </w:r>
            <w:r>
              <w:rPr>
                <w:rFonts w:hint="eastAsia" w:ascii="仿宋" w:hAnsi="仿宋" w:eastAsia="仿宋" w:cs="仿宋"/>
                <w:szCs w:val="21"/>
              </w:rPr>
              <w:t>提交国内外工艺管线腐蚀检测/监测技术研究发展趋势分析报告1份；</w:t>
            </w:r>
          </w:p>
          <w:p>
            <w:pPr>
              <w:ind w:left="105" w:leftChars="50"/>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rPr>
              <w:tab/>
            </w:r>
            <w:r>
              <w:rPr>
                <w:rFonts w:hint="eastAsia" w:ascii="仿宋" w:hAnsi="仿宋" w:eastAsia="仿宋" w:cs="仿宋"/>
                <w:szCs w:val="21"/>
              </w:rPr>
              <w:t>提交工艺管线在线腐蚀监测用微型传感器技术研究报告1份；</w:t>
            </w:r>
          </w:p>
          <w:p>
            <w:pPr>
              <w:ind w:left="105" w:leftChars="50"/>
              <w:rPr>
                <w:rFonts w:hint="eastAsia"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rPr>
              <w:tab/>
            </w:r>
            <w:r>
              <w:rPr>
                <w:rFonts w:hint="eastAsia" w:ascii="仿宋" w:hAnsi="仿宋" w:eastAsia="仿宋" w:cs="仿宋"/>
                <w:szCs w:val="21"/>
              </w:rPr>
              <w:t>提交工艺管线腐蚀数据自动采集与传输技术研究报告1份；</w:t>
            </w:r>
          </w:p>
          <w:p>
            <w:pPr>
              <w:ind w:left="105" w:leftChars="50"/>
              <w:rPr>
                <w:rFonts w:hint="eastAsia"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rPr>
              <w:tab/>
            </w:r>
            <w:r>
              <w:rPr>
                <w:rFonts w:hint="eastAsia" w:ascii="仿宋" w:hAnsi="仿宋" w:eastAsia="仿宋" w:cs="仿宋"/>
                <w:szCs w:val="21"/>
              </w:rPr>
              <w:t>提交工艺管线腐蚀在线控制装置布置、安装工艺技术研究报告1份；</w:t>
            </w:r>
          </w:p>
          <w:p>
            <w:pPr>
              <w:ind w:left="105" w:leftChars="50"/>
              <w:rPr>
                <w:rFonts w:hint="eastAsia" w:ascii="仿宋" w:hAnsi="仿宋" w:eastAsia="仿宋" w:cs="仿宋"/>
                <w:szCs w:val="21"/>
              </w:rPr>
            </w:pPr>
            <w:r>
              <w:rPr>
                <w:rFonts w:hint="eastAsia" w:ascii="仿宋" w:hAnsi="仿宋" w:eastAsia="仿宋" w:cs="仿宋"/>
                <w:szCs w:val="21"/>
              </w:rPr>
              <w:t>（5）</w:t>
            </w:r>
            <w:r>
              <w:rPr>
                <w:rFonts w:hint="eastAsia" w:ascii="仿宋" w:hAnsi="仿宋" w:eastAsia="仿宋" w:cs="仿宋"/>
                <w:szCs w:val="21"/>
              </w:rPr>
              <w:tab/>
            </w:r>
            <w:r>
              <w:rPr>
                <w:rFonts w:hint="eastAsia" w:ascii="仿宋" w:hAnsi="仿宋" w:eastAsia="仿宋" w:cs="仿宋"/>
                <w:szCs w:val="21"/>
              </w:rPr>
              <w:t>提交工艺管线腐蚀在线监测数据分析与管理技术研究报告1份；</w:t>
            </w:r>
          </w:p>
          <w:p>
            <w:pPr>
              <w:ind w:left="105" w:leftChars="50"/>
              <w:jc w:val="both"/>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szCs w:val="21"/>
              </w:rPr>
              <w:t>（6）</w:t>
            </w:r>
            <w:r>
              <w:rPr>
                <w:rFonts w:hint="eastAsia" w:ascii="仿宋" w:hAnsi="仿宋" w:eastAsia="仿宋" w:cs="仿宋"/>
                <w:szCs w:val="21"/>
              </w:rPr>
              <w:tab/>
            </w:r>
            <w:r>
              <w:rPr>
                <w:rFonts w:hint="eastAsia" w:ascii="仿宋" w:hAnsi="仿宋" w:eastAsia="仿宋" w:cs="仿宋"/>
                <w:szCs w:val="21"/>
              </w:rPr>
              <w:t>提交基于微型传感器的工艺管线腐蚀在线监测技术演示报告1份；</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2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eastAsia" w:ascii="仿宋" w:hAnsi="仿宋" w:eastAsia="仿宋" w:cs="仿宋"/>
                <w:bCs/>
                <w:color w:val="0000FF"/>
                <w:kern w:val="0"/>
                <w:sz w:val="21"/>
                <w:szCs w:val="21"/>
                <w:highlight w:val="none"/>
                <w:lang w:val="en-US" w:eastAsia="zh-CN" w:bidi="ar-SA"/>
              </w:rPr>
            </w:pPr>
            <w:r>
              <w:rPr>
                <w:rFonts w:hint="eastAsia" w:ascii="仿宋" w:hAnsi="仿宋" w:eastAsia="仿宋" w:cs="仿宋"/>
                <w:bCs/>
                <w:color w:val="0000FF"/>
                <w:kern w:val="0"/>
                <w:sz w:val="21"/>
                <w:szCs w:val="21"/>
                <w:highlight w:val="none"/>
                <w:lang w:val="en-US" w:eastAsia="zh-CN" w:bidi="ar-SA"/>
              </w:rPr>
              <w:t>预计2024年9月至2025年6月，根据甲方进度要求调整。</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2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技术调试人员</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both"/>
              <w:rPr>
                <w:rFonts w:hint="default"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不涉及，无具体要求。</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2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质保期</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8"/>
              <w:spacing w:line="257" w:lineRule="auto"/>
              <w:ind w:left="0" w:leftChars="0" w:right="115" w:rightChars="55" w:firstLine="0" w:firstLineChars="0"/>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FF"/>
                <w:kern w:val="0"/>
                <w:sz w:val="21"/>
                <w:szCs w:val="21"/>
                <w:highlight w:val="none"/>
                <w:lang w:val="en-US" w:eastAsia="zh-CN" w:bidi="ar-SA"/>
              </w:rPr>
              <w:t>质保期为项目验收完成后6个月。</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2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2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1、一般技术指标偏离超过2项，则评议不合格。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离将导致应答文件被拒绝。</w:t>
            </w:r>
          </w:p>
          <w:p>
            <w:pPr>
              <w:pStyle w:val="6"/>
              <w:ind w:left="0" w:leftChars="0" w:firstLine="0" w:firstLineChars="0"/>
              <w:rPr>
                <w:rFonts w:hint="default"/>
                <w:highlight w:val="none"/>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2401"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6" w:type="pct"/>
            <w:tcBorders>
              <w:top w:val="single" w:color="auto" w:sz="4" w:space="0"/>
              <w:left w:val="single" w:color="auto" w:sz="4" w:space="0"/>
              <w:bottom w:val="single" w:color="auto" w:sz="4" w:space="0"/>
              <w:right w:val="single" w:color="auto" w:sz="4" w:space="0"/>
            </w:tcBorders>
            <w:vAlign w:val="center"/>
          </w:tcPr>
          <w:p>
            <w:pPr>
              <w:pStyle w:val="2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2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2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20"/>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49"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6" w:type="pct"/>
            <w:gridSpan w:val="2"/>
            <w:tcBorders>
              <w:top w:val="single" w:color="auto" w:sz="4" w:space="0"/>
              <w:left w:val="single" w:color="auto" w:sz="4" w:space="0"/>
              <w:bottom w:val="single" w:color="auto" w:sz="4" w:space="0"/>
              <w:right w:val="single" w:color="000000" w:sz="4" w:space="0"/>
            </w:tcBorders>
            <w:vAlign w:val="center"/>
          </w:tcPr>
          <w:p>
            <w:pPr>
              <w:pStyle w:val="20"/>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20"/>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auto"/>
                <w:kern w:val="2"/>
                <w:szCs w:val="21"/>
                <w:highlight w:val="none"/>
                <w:lang w:val="en-US" w:eastAsia="zh-CN"/>
              </w:rPr>
              <w:t>如有歧义或其他未尽事宜，按照附件2 ：采购内容及技术要求执行。</w:t>
            </w:r>
          </w:p>
        </w:tc>
      </w:tr>
    </w:tbl>
    <w:p>
      <w:pPr>
        <w:rPr>
          <w:highlight w:val="none"/>
        </w:rPr>
      </w:pPr>
    </w:p>
    <w:p>
      <w:pPr>
        <w:pStyle w:val="6"/>
        <w:rPr>
          <w:highlight w:val="none"/>
        </w:rPr>
      </w:pPr>
    </w:p>
    <w:p>
      <w:pPr>
        <w:rPr>
          <w:highlight w:val="none"/>
        </w:rPr>
      </w:pPr>
    </w:p>
    <w:p>
      <w:pPr>
        <w:pStyle w:val="6"/>
        <w:rPr>
          <w:highlight w:val="none"/>
        </w:rPr>
      </w:pPr>
    </w:p>
    <w:p>
      <w:pPr>
        <w:pStyle w:val="6"/>
        <w:ind w:firstLine="0" w:firstLineChars="0"/>
        <w:rPr>
          <w:highlight w:val="none"/>
          <w:lang w:val="en-US" w:eastAsia="zh-CN"/>
        </w:rPr>
      </w:pPr>
    </w:p>
    <w:p>
      <w:pPr>
        <w:rPr>
          <w:highlight w:val="none"/>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auto"/>
          <w:sz w:val="24"/>
          <w:szCs w:val="24"/>
          <w:highlight w:val="none"/>
          <w:lang w:val="en-US" w:eastAsia="zh-CN"/>
        </w:rPr>
      </w:pPr>
      <w:r>
        <w:rPr>
          <w:rFonts w:hint="eastAsia" w:ascii="黑体" w:hAnsi="黑体" w:eastAsia="黑体"/>
          <w:b/>
          <w:bCs/>
          <w:color w:val="auto"/>
          <w:sz w:val="24"/>
          <w:szCs w:val="24"/>
          <w:highlight w:val="none"/>
        </w:rPr>
        <w:t>附件</w:t>
      </w:r>
      <w:r>
        <w:rPr>
          <w:rFonts w:ascii="黑体" w:hAnsi="黑体" w:eastAsia="黑体"/>
          <w:b/>
          <w:bCs/>
          <w:color w:val="auto"/>
          <w:sz w:val="24"/>
          <w:szCs w:val="24"/>
          <w:highlight w:val="none"/>
        </w:rPr>
        <w:t>2</w:t>
      </w:r>
      <w:r>
        <w:rPr>
          <w:rFonts w:hint="eastAsia" w:ascii="黑体" w:hAnsi="黑体" w:eastAsia="黑体"/>
          <w:b/>
          <w:bCs/>
          <w:color w:val="auto"/>
          <w:sz w:val="24"/>
          <w:szCs w:val="24"/>
          <w:highlight w:val="none"/>
          <w:lang w:val="en-US" w:eastAsia="zh-CN"/>
        </w:rPr>
        <w:t xml:space="preserve"> ：</w:t>
      </w:r>
      <w:r>
        <w:rPr>
          <w:rFonts w:ascii="黑体" w:hAnsi="黑体" w:eastAsia="黑体"/>
          <w:b/>
          <w:bCs/>
          <w:color w:val="auto"/>
          <w:sz w:val="24"/>
          <w:szCs w:val="24"/>
          <w:highlight w:val="none"/>
        </w:rPr>
        <w:t>采</w:t>
      </w:r>
      <w:r>
        <w:rPr>
          <w:rFonts w:hint="eastAsia" w:ascii="黑体" w:hAnsi="黑体" w:eastAsia="黑体"/>
          <w:b/>
          <w:bCs/>
          <w:color w:val="auto"/>
          <w:sz w:val="24"/>
          <w:szCs w:val="24"/>
          <w:highlight w:val="none"/>
          <w:lang w:val="en-US" w:eastAsia="zh-CN"/>
        </w:rPr>
        <w:t>购</w:t>
      </w:r>
      <w:r>
        <w:rPr>
          <w:rFonts w:hint="eastAsia" w:ascii="黑体" w:hAnsi="黑体" w:eastAsia="黑体"/>
          <w:b/>
          <w:bCs/>
          <w:color w:val="auto"/>
          <w:sz w:val="24"/>
          <w:szCs w:val="24"/>
          <w:highlight w:val="none"/>
        </w:rPr>
        <w:t>内容及</w:t>
      </w:r>
      <w:r>
        <w:rPr>
          <w:rFonts w:ascii="黑体" w:hAnsi="黑体" w:eastAsia="黑体"/>
          <w:b/>
          <w:bCs/>
          <w:color w:val="auto"/>
          <w:sz w:val="24"/>
          <w:szCs w:val="24"/>
          <w:highlight w:val="none"/>
        </w:rPr>
        <w:t>技术要求</w:t>
      </w:r>
    </w:p>
    <w:p>
      <w:pPr>
        <w:rPr>
          <w:rFonts w:ascii="黑体" w:hAnsi="黑体" w:eastAsia="黑体"/>
          <w:color w:val="000000" w:themeColor="text1"/>
          <w:sz w:val="24"/>
          <w:szCs w:val="24"/>
          <w:highlight w:val="none"/>
          <w14:textFill>
            <w14:solidFill>
              <w14:schemeClr w14:val="tx1"/>
            </w14:solidFill>
          </w14:textFill>
        </w:rPr>
      </w:pPr>
    </w:p>
    <w:p>
      <w:pPr>
        <w:pStyle w:val="21"/>
        <w:spacing w:before="120" w:after="120"/>
        <w:ind w:left="-420" w:leftChars="-200" w:firstLine="422" w:firstLineChars="175"/>
        <w:outlineLvl w:val="0"/>
        <w:rPr>
          <w:rFonts w:hint="eastAsia" w:ascii="宋体" w:hAnsi="宋体" w:eastAsia="宋体" w:cs="宋体"/>
          <w:b/>
          <w:bCs w:val="0"/>
          <w:color w:val="auto"/>
          <w:kern w:val="0"/>
          <w:sz w:val="24"/>
          <w:szCs w:val="24"/>
          <w:lang w:val="en-US" w:eastAsia="zh-CN" w:bidi="ar-SA"/>
        </w:rPr>
      </w:pPr>
      <w:r>
        <w:rPr>
          <w:rFonts w:hint="eastAsia" w:ascii="宋体" w:hAnsi="宋体" w:eastAsia="宋体" w:cs="宋体"/>
          <w:b/>
          <w:bCs w:val="0"/>
          <w:color w:val="auto"/>
          <w:kern w:val="0"/>
          <w:sz w:val="24"/>
          <w:szCs w:val="24"/>
          <w:lang w:val="en-US" w:eastAsia="zh-CN" w:bidi="ar-SA"/>
        </w:rPr>
        <w:t>一、需求概况</w:t>
      </w:r>
    </w:p>
    <w:p>
      <w:pPr>
        <w:keepNext w:val="0"/>
        <w:keepLines w:val="0"/>
        <w:pageBreakBefore w:val="0"/>
        <w:widowControl w:val="0"/>
        <w:kinsoku/>
        <w:wordWrap/>
        <w:overflowPunct/>
        <w:topLinePunct w:val="0"/>
        <w:autoSpaceDE/>
        <w:autoSpaceDN/>
        <w:bidi w:val="0"/>
        <w:adjustRightInd/>
        <w:snapToGrid/>
        <w:spacing w:line="440" w:lineRule="exact"/>
        <w:ind w:left="-420" w:leftChars="-200" w:firstLine="420" w:firstLineChars="175"/>
        <w:textAlignment w:val="auto"/>
        <w:rPr>
          <w:rFonts w:hint="eastAsia" w:ascii="宋体" w:hAnsi="宋体" w:eastAsia="宋体" w:cs="宋体"/>
          <w:sz w:val="24"/>
          <w:szCs w:val="24"/>
          <w:lang w:eastAsia="zh-CN"/>
        </w:rPr>
      </w:pPr>
      <w:bookmarkStart w:id="0" w:name="_Toc43733218"/>
      <w:bookmarkStart w:id="1" w:name="_Toc438871369"/>
      <w:bookmarkStart w:id="2" w:name="_Toc43733059"/>
      <w:bookmarkStart w:id="3" w:name="_Toc43733018"/>
      <w:bookmarkStart w:id="4" w:name="_Toc423836282"/>
      <w:bookmarkStart w:id="5" w:name="_Toc178827148"/>
      <w:bookmarkStart w:id="6" w:name="_Toc397401130"/>
      <w:bookmarkStart w:id="7" w:name="_Toc178823374"/>
      <w:bookmarkStart w:id="8" w:name="_Toc423836230"/>
      <w:bookmarkStart w:id="9" w:name="_Toc141151115"/>
      <w:bookmarkStart w:id="10" w:name="_Toc438871406"/>
      <w:bookmarkStart w:id="11" w:name="_Toc157938464"/>
      <w:bookmarkStart w:id="12" w:name="_Toc392062473"/>
      <w:bookmarkStart w:id="13" w:name="_Toc392638807"/>
      <w:bookmarkStart w:id="14" w:name="_Toc439595229"/>
      <w:bookmarkStart w:id="15" w:name="_Toc398019642"/>
      <w:bookmarkStart w:id="16" w:name="_Toc424641174"/>
      <w:bookmarkStart w:id="17" w:name="_Toc425301748"/>
      <w:bookmarkStart w:id="18" w:name="_Toc425221908"/>
      <w:bookmarkStart w:id="19" w:name="_Toc438521109"/>
      <w:bookmarkStart w:id="20" w:name="_Toc423850060"/>
      <w:r>
        <w:rPr>
          <w:rFonts w:hint="eastAsia" w:ascii="宋体" w:hAnsi="宋体" w:eastAsia="宋体" w:cs="宋体"/>
          <w:b w:val="0"/>
          <w:bCs/>
          <w:color w:val="auto"/>
          <w:kern w:val="0"/>
          <w:sz w:val="24"/>
          <w:szCs w:val="24"/>
          <w:lang w:val="en-US" w:eastAsia="zh-CN" w:bidi="ar-SA"/>
        </w:rPr>
        <w:t>装备公司工业防护工程中心平台管线智能内腐蚀控制关键技术研究服务采购项目。</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4"/>
        <w:ind w:left="-420" w:leftChars="-200" w:firstLine="422" w:firstLineChars="175"/>
        <w:rPr>
          <w:rFonts w:hint="eastAsia" w:ascii="宋体" w:hAnsi="宋体" w:eastAsia="宋体" w:cs="宋体"/>
          <w:b/>
          <w:bCs/>
          <w:sz w:val="24"/>
          <w:szCs w:val="24"/>
        </w:rPr>
      </w:pPr>
      <w:bookmarkStart w:id="21" w:name="_Toc13248928"/>
      <w:bookmarkStart w:id="22" w:name="_Toc13249325"/>
      <w:r>
        <w:rPr>
          <w:rFonts w:hint="eastAsia" w:ascii="宋体" w:hAnsi="宋体" w:eastAsia="宋体" w:cs="宋体"/>
          <w:b/>
          <w:bCs/>
          <w:sz w:val="24"/>
          <w:szCs w:val="24"/>
        </w:rPr>
        <w:t>二、服务内容和范围</w:t>
      </w:r>
      <w:bookmarkEnd w:id="21"/>
      <w:bookmarkEnd w:id="22"/>
    </w:p>
    <w:p>
      <w:pPr>
        <w:pStyle w:val="8"/>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1、服务内容</w:t>
      </w:r>
    </w:p>
    <w:p>
      <w:pPr>
        <w:pStyle w:val="8"/>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平台管线智能内腐蚀控制关键技术研究服务，包括</w:t>
      </w:r>
      <w:bookmarkStart w:id="23" w:name="OLE_LINK1"/>
      <w:r>
        <w:rPr>
          <w:rFonts w:hint="eastAsia" w:ascii="宋体" w:hAnsi="宋体" w:eastAsia="宋体" w:cs="宋体"/>
          <w:sz w:val="24"/>
          <w:szCs w:val="24"/>
          <w:lang w:eastAsia="zh-CN"/>
        </w:rPr>
        <w:t>国内外工艺管线腐蚀检测/监测技术研究发展趋势分析</w:t>
      </w:r>
      <w:bookmarkEnd w:id="23"/>
      <w:r>
        <w:rPr>
          <w:rFonts w:hint="eastAsia" w:ascii="宋体" w:hAnsi="宋体" w:eastAsia="宋体" w:cs="宋体"/>
          <w:sz w:val="24"/>
          <w:szCs w:val="24"/>
          <w:lang w:eastAsia="zh-CN"/>
        </w:rPr>
        <w:t>，工艺管线腐蚀在线监测</w:t>
      </w:r>
      <w:bookmarkStart w:id="24" w:name="OLE_LINK6"/>
      <w:r>
        <w:rPr>
          <w:rFonts w:hint="eastAsia" w:ascii="宋体" w:hAnsi="宋体" w:eastAsia="宋体" w:cs="宋体"/>
          <w:sz w:val="24"/>
          <w:szCs w:val="24"/>
          <w:lang w:eastAsia="zh-CN"/>
        </w:rPr>
        <w:t>技术研究</w:t>
      </w:r>
      <w:bookmarkEnd w:id="24"/>
      <w:r>
        <w:rPr>
          <w:rFonts w:hint="eastAsia" w:ascii="宋体" w:hAnsi="宋体" w:eastAsia="宋体" w:cs="宋体"/>
          <w:sz w:val="24"/>
          <w:szCs w:val="24"/>
          <w:lang w:eastAsia="zh-CN"/>
        </w:rPr>
        <w:t>，工艺管线腐蚀数据自动采集技术研究，工艺管线腐蚀数据分析</w:t>
      </w:r>
      <w:bookmarkStart w:id="25" w:name="OLE_LINK5"/>
      <w:r>
        <w:rPr>
          <w:rFonts w:hint="eastAsia" w:ascii="宋体" w:hAnsi="宋体" w:eastAsia="宋体" w:cs="宋体"/>
          <w:sz w:val="24"/>
          <w:szCs w:val="24"/>
          <w:lang w:eastAsia="zh-CN"/>
        </w:rPr>
        <w:t>与管理技术研究</w:t>
      </w:r>
      <w:bookmarkEnd w:id="25"/>
      <w:r>
        <w:rPr>
          <w:rFonts w:hint="eastAsia" w:ascii="宋体" w:hAnsi="宋体" w:eastAsia="宋体" w:cs="宋体"/>
          <w:sz w:val="24"/>
          <w:szCs w:val="24"/>
          <w:lang w:eastAsia="zh-CN"/>
        </w:rPr>
        <w:t>。</w:t>
      </w:r>
    </w:p>
    <w:p>
      <w:pPr>
        <w:pStyle w:val="8"/>
        <w:numPr>
          <w:ilvl w:val="0"/>
          <w:numId w:val="5"/>
        </w:numPr>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国内外工艺管线腐蚀检测/监测技术研究发展趋势分析报告。</w:t>
      </w:r>
    </w:p>
    <w:p>
      <w:pPr>
        <w:pStyle w:val="8"/>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调研国内外≥10种管道腐蚀监测/检测新技术和新方法；提交≥50个管道腐蚀在线监测/检测案例；提出各种监测/检测技术的优缺点及管道腐蚀监测技术发展趋势。</w:t>
      </w:r>
    </w:p>
    <w:p>
      <w:pPr>
        <w:pStyle w:val="8"/>
        <w:numPr>
          <w:ilvl w:val="0"/>
          <w:numId w:val="5"/>
        </w:numPr>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工艺管线腐蚀在线监测用微型传感器技术研究。</w:t>
      </w:r>
    </w:p>
    <w:p>
      <w:pPr>
        <w:pStyle w:val="8"/>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针对弯管、缩管等异形结构区域腐蚀研究在线监测用</w:t>
      </w:r>
      <w:bookmarkStart w:id="26" w:name="_Hlk176872995"/>
      <w:r>
        <w:rPr>
          <w:rFonts w:hint="eastAsia" w:ascii="宋体" w:hAnsi="宋体" w:eastAsia="宋体" w:cs="宋体"/>
          <w:sz w:val="24"/>
          <w:szCs w:val="24"/>
          <w:lang w:eastAsia="zh-CN"/>
        </w:rPr>
        <w:t>微型腐蚀监测阵列传感器技术</w:t>
      </w:r>
      <w:bookmarkEnd w:id="26"/>
      <w:bookmarkStart w:id="27" w:name="OLE_LINK10"/>
      <w:r>
        <w:rPr>
          <w:rFonts w:hint="eastAsia" w:ascii="宋体" w:hAnsi="宋体" w:eastAsia="宋体" w:cs="宋体"/>
          <w:sz w:val="24"/>
          <w:szCs w:val="24"/>
          <w:lang w:eastAsia="zh-CN"/>
        </w:rPr>
        <w:t>，此阵列技术能够根据监测结构形状任意布置；研究工艺管线腐蚀控制组网点测厚技术，此技术采用的阵列探头尺寸不大能于25mm</w:t>
      </w:r>
      <w:r>
        <w:rPr>
          <w:rFonts w:hint="eastAsia" w:ascii="宋体" w:hAnsi="宋体" w:eastAsia="宋体" w:cs="宋体"/>
          <w:sz w:val="24"/>
          <w:szCs w:val="24"/>
          <w:vertAlign w:val="superscript"/>
          <w:lang w:eastAsia="zh-CN"/>
        </w:rPr>
        <w:t>2,</w:t>
      </w:r>
      <w:r>
        <w:rPr>
          <w:rFonts w:hint="eastAsia" w:ascii="宋体" w:hAnsi="宋体" w:eastAsia="宋体" w:cs="宋体"/>
          <w:sz w:val="24"/>
          <w:szCs w:val="24"/>
          <w:lang w:eastAsia="zh-CN"/>
        </w:rPr>
        <w:t>，能够在100cm</w:t>
      </w:r>
      <w:r>
        <w:rPr>
          <w:rFonts w:hint="eastAsia" w:ascii="宋体" w:hAnsi="宋体" w:eastAsia="宋体" w:cs="宋体"/>
          <w:sz w:val="24"/>
          <w:szCs w:val="24"/>
          <w:vertAlign w:val="superscript"/>
          <w:lang w:eastAsia="zh-CN"/>
        </w:rPr>
        <w:t>2</w:t>
      </w:r>
      <w:r>
        <w:rPr>
          <w:rFonts w:hint="eastAsia" w:ascii="宋体" w:hAnsi="宋体" w:eastAsia="宋体" w:cs="宋体"/>
          <w:sz w:val="24"/>
          <w:szCs w:val="24"/>
          <w:lang w:eastAsia="zh-CN"/>
        </w:rPr>
        <w:t>的范围内布置100个以上监测点位，此技术的准确率需达到0.01mm，其采用的安装布置工艺不能破坏结构和涂层，此技术可实现覆盖现场管线使用工况下的温度范围-20℃</w:t>
      </w:r>
      <w:bookmarkStart w:id="28" w:name="OLE_LINK9"/>
      <w:r>
        <w:rPr>
          <w:rFonts w:hint="eastAsia" w:ascii="宋体" w:hAnsi="宋体" w:eastAsia="宋体" w:cs="宋体"/>
          <w:sz w:val="24"/>
          <w:szCs w:val="24"/>
          <w:lang w:eastAsia="zh-CN"/>
        </w:rPr>
        <w:t>~</w:t>
      </w:r>
      <w:bookmarkEnd w:id="28"/>
      <w:r>
        <w:rPr>
          <w:rFonts w:hint="eastAsia" w:ascii="宋体" w:hAnsi="宋体" w:eastAsia="宋体" w:cs="宋体"/>
          <w:sz w:val="24"/>
          <w:szCs w:val="24"/>
          <w:lang w:eastAsia="zh-CN"/>
        </w:rPr>
        <w:t>120℃，且数据稳定可靠</w:t>
      </w:r>
      <w:bookmarkEnd w:id="27"/>
      <w:r>
        <w:rPr>
          <w:rFonts w:hint="eastAsia" w:ascii="宋体" w:hAnsi="宋体" w:eastAsia="宋体" w:cs="宋体"/>
          <w:sz w:val="24"/>
          <w:szCs w:val="24"/>
          <w:lang w:eastAsia="zh-CN"/>
        </w:rPr>
        <w:t>。</w:t>
      </w:r>
    </w:p>
    <w:p>
      <w:pPr>
        <w:pStyle w:val="8"/>
        <w:numPr>
          <w:ilvl w:val="0"/>
          <w:numId w:val="5"/>
        </w:numPr>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工艺管线腐蚀</w:t>
      </w:r>
      <w:bookmarkStart w:id="29" w:name="OLE_LINK8"/>
      <w:r>
        <w:rPr>
          <w:rFonts w:hint="eastAsia" w:ascii="宋体" w:hAnsi="宋体" w:eastAsia="宋体" w:cs="宋体"/>
          <w:sz w:val="24"/>
          <w:szCs w:val="24"/>
          <w:lang w:eastAsia="zh-CN"/>
        </w:rPr>
        <w:t>数据</w:t>
      </w:r>
      <w:bookmarkStart w:id="30" w:name="OLE_LINK7"/>
      <w:r>
        <w:rPr>
          <w:rFonts w:hint="eastAsia" w:ascii="宋体" w:hAnsi="宋体" w:eastAsia="宋体" w:cs="宋体"/>
          <w:sz w:val="24"/>
          <w:szCs w:val="24"/>
          <w:lang w:eastAsia="zh-CN"/>
        </w:rPr>
        <w:t>自动</w:t>
      </w:r>
      <w:bookmarkEnd w:id="30"/>
      <w:r>
        <w:rPr>
          <w:rFonts w:hint="eastAsia" w:ascii="宋体" w:hAnsi="宋体" w:eastAsia="宋体" w:cs="宋体"/>
          <w:sz w:val="24"/>
          <w:szCs w:val="24"/>
          <w:lang w:eastAsia="zh-CN"/>
        </w:rPr>
        <w:t>采集与传输技术研究</w:t>
      </w:r>
      <w:bookmarkEnd w:id="29"/>
      <w:r>
        <w:rPr>
          <w:rFonts w:hint="eastAsia" w:ascii="宋体" w:hAnsi="宋体" w:eastAsia="宋体" w:cs="宋体"/>
          <w:sz w:val="24"/>
          <w:szCs w:val="24"/>
          <w:lang w:eastAsia="zh-CN"/>
        </w:rPr>
        <w:t>。</w:t>
      </w:r>
    </w:p>
    <w:p>
      <w:pPr>
        <w:pStyle w:val="8"/>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研究一种微型腐蚀监测阵列传感器的自动数据采集和存储技术，该存储技术可实时采集、存储腐蚀传感器监测数据；采集频率1~24h可调节，数据可通过RS485信号将数据传输至服务器，亦可通过LORA无线通讯，或存储卡或USB接口与笔记本电脑连接检索读取。</w:t>
      </w:r>
    </w:p>
    <w:p>
      <w:pPr>
        <w:pStyle w:val="8"/>
        <w:numPr>
          <w:ilvl w:val="0"/>
          <w:numId w:val="5"/>
        </w:numPr>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工艺管线腐蚀在线控制装置布置、安装工艺技术研究。</w:t>
      </w:r>
    </w:p>
    <w:p>
      <w:pPr>
        <w:pStyle w:val="8"/>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选择合适的安装位置以确保腐蚀传感器能够代表性地测量管线内腐蚀情况；根据腐蚀控制的类型和管线的特点，选择合适的安装方法，确保常感器的具备可靠的密封和防碰撞设计，以防止介质泄漏或者外部腐蚀环境对传感器稳定性的影响。</w:t>
      </w:r>
    </w:p>
    <w:p>
      <w:pPr>
        <w:pStyle w:val="8"/>
        <w:numPr>
          <w:ilvl w:val="0"/>
          <w:numId w:val="5"/>
        </w:numPr>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工艺管线腐蚀在线监测</w:t>
      </w:r>
      <w:bookmarkStart w:id="31" w:name="_Hlk171625298"/>
      <w:r>
        <w:rPr>
          <w:rFonts w:hint="eastAsia" w:ascii="宋体" w:hAnsi="宋体" w:eastAsia="宋体" w:cs="宋体"/>
          <w:sz w:val="24"/>
          <w:szCs w:val="24"/>
          <w:lang w:eastAsia="zh-CN"/>
        </w:rPr>
        <w:t>数据分析与</w:t>
      </w:r>
      <w:bookmarkStart w:id="32" w:name="_Hlk171626125"/>
      <w:r>
        <w:rPr>
          <w:rFonts w:hint="eastAsia" w:ascii="宋体" w:hAnsi="宋体" w:eastAsia="宋体" w:cs="宋体"/>
          <w:sz w:val="24"/>
          <w:szCs w:val="24"/>
          <w:lang w:eastAsia="zh-CN"/>
        </w:rPr>
        <w:t>管理</w:t>
      </w:r>
      <w:bookmarkEnd w:id="31"/>
      <w:bookmarkEnd w:id="32"/>
      <w:r>
        <w:rPr>
          <w:rFonts w:hint="eastAsia" w:ascii="宋体" w:hAnsi="宋体" w:eastAsia="宋体" w:cs="宋体"/>
          <w:sz w:val="24"/>
          <w:szCs w:val="24"/>
          <w:lang w:eastAsia="zh-CN"/>
        </w:rPr>
        <w:t>技术研究。</w:t>
      </w:r>
    </w:p>
    <w:p>
      <w:pPr>
        <w:pStyle w:val="8"/>
        <w:spacing w:line="257" w:lineRule="auto"/>
        <w:ind w:left="-420" w:leftChars="-200" w:right="122" w:firstLine="420" w:firstLineChars="175"/>
        <w:rPr>
          <w:rFonts w:hint="eastAsia" w:ascii="宋体" w:hAnsi="宋体" w:eastAsia="宋体" w:cs="宋体"/>
          <w:sz w:val="24"/>
          <w:szCs w:val="24"/>
          <w:lang w:eastAsia="zh-CN"/>
        </w:rPr>
      </w:pPr>
      <w:bookmarkStart w:id="33" w:name="OLE_LINK4"/>
      <w:r>
        <w:rPr>
          <w:rFonts w:hint="eastAsia" w:ascii="宋体" w:hAnsi="宋体" w:eastAsia="宋体" w:cs="宋体"/>
          <w:sz w:val="24"/>
          <w:szCs w:val="24"/>
          <w:lang w:eastAsia="zh-CN"/>
        </w:rPr>
        <w:t>该研究实现解析采集到的腐蚀损失数据，自动分类储存；可自动识别装置布置及其数据，提供三维立体可视化腐蚀非波形图图像；且具备腐蚀壁厚损失预警</w:t>
      </w:r>
      <w:bookmarkStart w:id="34" w:name="_Hlk170236366"/>
      <w:r>
        <w:rPr>
          <w:rFonts w:hint="eastAsia" w:ascii="宋体" w:hAnsi="宋体" w:eastAsia="宋体" w:cs="宋体"/>
          <w:sz w:val="24"/>
          <w:szCs w:val="24"/>
          <w:lang w:eastAsia="zh-CN"/>
        </w:rPr>
        <w:t>功能。</w:t>
      </w:r>
    </w:p>
    <w:p>
      <w:pPr>
        <w:pStyle w:val="8"/>
        <w:numPr>
          <w:ilvl w:val="0"/>
          <w:numId w:val="5"/>
        </w:numPr>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基于微型传感器的工艺管线腐蚀在线监测演示。</w:t>
      </w:r>
    </w:p>
    <w:p>
      <w:pPr>
        <w:pStyle w:val="8"/>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提交基于微型传感器的工艺管线腐蚀在线监测技术演示报告，内容包括微型传感器的研制、传感器安装、管道腐蚀模拟、数据采集、数据通讯、数据处理、三维显示等，要求图文并茂，对关键技术点，辅助视频讲解。</w:t>
      </w:r>
    </w:p>
    <w:bookmarkEnd w:id="33"/>
    <w:bookmarkEnd w:id="34"/>
    <w:p>
      <w:pPr>
        <w:pStyle w:val="8"/>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2、工作量清单</w:t>
      </w:r>
    </w:p>
    <w:tbl>
      <w:tblPr>
        <w:tblStyle w:val="1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985"/>
        <w:gridCol w:w="709"/>
        <w:gridCol w:w="790"/>
        <w:gridCol w:w="4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pPr>
              <w:pStyle w:val="11"/>
              <w:ind w:left="-420" w:leftChars="-20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1985" w:type="dxa"/>
            <w:vAlign w:val="center"/>
          </w:tcPr>
          <w:p>
            <w:pPr>
              <w:pStyle w:val="11"/>
              <w:ind w:left="-420" w:leftChars="-200"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p>
        </w:tc>
        <w:tc>
          <w:tcPr>
            <w:tcW w:w="709" w:type="dxa"/>
            <w:vAlign w:val="center"/>
          </w:tcPr>
          <w:p>
            <w:pPr>
              <w:pStyle w:val="11"/>
              <w:ind w:left="-420" w:leftChars="-200"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单位</w:t>
            </w:r>
          </w:p>
        </w:tc>
        <w:tc>
          <w:tcPr>
            <w:tcW w:w="790" w:type="dxa"/>
            <w:vAlign w:val="center"/>
          </w:tcPr>
          <w:p>
            <w:pPr>
              <w:pStyle w:val="11"/>
              <w:ind w:left="-420" w:leftChars="-200"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数量</w:t>
            </w:r>
          </w:p>
        </w:tc>
        <w:tc>
          <w:tcPr>
            <w:tcW w:w="4626" w:type="dxa"/>
            <w:vAlign w:val="center"/>
          </w:tcPr>
          <w:p>
            <w:pPr>
              <w:pStyle w:val="11"/>
              <w:ind w:left="-420" w:leftChars="-200"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74" w:type="dxa"/>
            <w:vAlign w:val="center"/>
          </w:tcPr>
          <w:p>
            <w:pPr>
              <w:pStyle w:val="11"/>
              <w:ind w:left="-420" w:leftChars="-200"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1985" w:type="dxa"/>
            <w:vAlign w:val="center"/>
          </w:tcPr>
          <w:p>
            <w:pPr>
              <w:pStyle w:val="11"/>
              <w:ind w:left="-420" w:leftChars="-20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国内外工艺管线腐蚀检测/监测技术研究发展趋势分析</w:t>
            </w:r>
            <w:r>
              <w:rPr>
                <w:rFonts w:hint="eastAsia" w:ascii="宋体" w:hAnsi="宋体" w:eastAsia="宋体" w:cs="宋体"/>
                <w:sz w:val="24"/>
                <w:szCs w:val="24"/>
                <w:lang w:eastAsia="zh-CN"/>
              </w:rPr>
              <w:tab/>
            </w:r>
            <w:r>
              <w:rPr>
                <w:rFonts w:hint="eastAsia" w:ascii="宋体" w:hAnsi="宋体" w:eastAsia="宋体" w:cs="宋体"/>
                <w:sz w:val="24"/>
                <w:szCs w:val="24"/>
                <w:lang w:eastAsia="zh-CN"/>
              </w:rPr>
              <w:t>检测/监测技术研究发展趋势分析研究报告</w:t>
            </w:r>
          </w:p>
        </w:tc>
        <w:tc>
          <w:tcPr>
            <w:tcW w:w="709" w:type="dxa"/>
            <w:vAlign w:val="center"/>
          </w:tcPr>
          <w:p>
            <w:pPr>
              <w:pStyle w:val="11"/>
              <w:ind w:left="-420" w:leftChars="-20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项</w:t>
            </w:r>
          </w:p>
        </w:tc>
        <w:tc>
          <w:tcPr>
            <w:tcW w:w="790" w:type="dxa"/>
            <w:vAlign w:val="center"/>
          </w:tcPr>
          <w:p>
            <w:pPr>
              <w:pStyle w:val="11"/>
              <w:ind w:left="-420" w:leftChars="-200"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4626" w:type="dxa"/>
            <w:vAlign w:val="center"/>
          </w:tcPr>
          <w:p>
            <w:pPr>
              <w:pStyle w:val="11"/>
              <w:ind w:left="-420" w:leftChars="-20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调研国内外≥10种管道腐蚀监测/检测新技术和新方法；提交≥50个管道腐蚀在线监测/检测案例；提出各种监测/检测技术的优缺点及管道腐蚀监测技术发展趋势。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4" w:type="dxa"/>
            <w:vAlign w:val="center"/>
          </w:tcPr>
          <w:p>
            <w:pPr>
              <w:pStyle w:val="11"/>
              <w:ind w:left="-420" w:leftChars="-200"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1985" w:type="dxa"/>
            <w:vAlign w:val="center"/>
          </w:tcPr>
          <w:p>
            <w:pPr>
              <w:pStyle w:val="11"/>
              <w:ind w:left="-420" w:leftChars="-20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工艺管线腐蚀在线监测用微型传感器技术研究</w:t>
            </w:r>
            <w:r>
              <w:rPr>
                <w:rFonts w:hint="eastAsia" w:ascii="宋体" w:hAnsi="宋体" w:eastAsia="宋体" w:cs="宋体"/>
                <w:sz w:val="24"/>
                <w:szCs w:val="24"/>
                <w:lang w:eastAsia="zh-CN"/>
              </w:rPr>
              <w:tab/>
            </w:r>
            <w:r>
              <w:rPr>
                <w:rFonts w:hint="eastAsia" w:ascii="宋体" w:hAnsi="宋体" w:eastAsia="宋体" w:cs="宋体"/>
                <w:sz w:val="24"/>
                <w:szCs w:val="24"/>
                <w:lang w:eastAsia="zh-CN"/>
              </w:rPr>
              <w:t>工艺管线在线腐蚀监测用微型传感器技术研究</w:t>
            </w:r>
          </w:p>
        </w:tc>
        <w:tc>
          <w:tcPr>
            <w:tcW w:w="709" w:type="dxa"/>
            <w:vAlign w:val="center"/>
          </w:tcPr>
          <w:p>
            <w:pPr>
              <w:pStyle w:val="11"/>
              <w:ind w:left="-420" w:leftChars="-20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项</w:t>
            </w:r>
          </w:p>
        </w:tc>
        <w:tc>
          <w:tcPr>
            <w:tcW w:w="790" w:type="dxa"/>
            <w:vAlign w:val="center"/>
          </w:tcPr>
          <w:p>
            <w:pPr>
              <w:pStyle w:val="11"/>
              <w:ind w:left="-420" w:leftChars="-200"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4626" w:type="dxa"/>
            <w:vAlign w:val="center"/>
          </w:tcPr>
          <w:p>
            <w:pPr>
              <w:pStyle w:val="11"/>
              <w:ind w:left="-420" w:leftChars="-200" w:firstLine="420" w:firstLineChars="175"/>
              <w:jc w:val="both"/>
              <w:rPr>
                <w:rFonts w:hint="eastAsia" w:ascii="宋体" w:hAnsi="宋体" w:eastAsia="宋体" w:cs="宋体"/>
                <w:sz w:val="24"/>
                <w:szCs w:val="24"/>
                <w:highlight w:val="yellow"/>
                <w:lang w:eastAsia="zh-CN"/>
              </w:rPr>
            </w:pPr>
            <w:r>
              <w:rPr>
                <w:rFonts w:hint="eastAsia" w:ascii="宋体" w:hAnsi="宋体" w:eastAsia="宋体" w:cs="宋体"/>
                <w:sz w:val="24"/>
                <w:szCs w:val="24"/>
                <w:lang w:eastAsia="zh-CN"/>
              </w:rPr>
              <w:t>针对弯管、缩管等异形结构区域腐蚀研究在线监测用微型腐蚀监测阵列传感器技术，此阵列技术能够根据监测结构形状任意布置；研究工艺管线腐蚀控制组网点测厚技术，此技术采用的阵列探头尺寸不大能于25mm</w:t>
            </w:r>
            <w:r>
              <w:rPr>
                <w:rFonts w:hint="eastAsia" w:ascii="宋体" w:hAnsi="宋体" w:eastAsia="宋体" w:cs="宋体"/>
                <w:sz w:val="24"/>
                <w:szCs w:val="24"/>
                <w:vertAlign w:val="superscript"/>
                <w:lang w:eastAsia="zh-CN"/>
              </w:rPr>
              <w:t>2</w:t>
            </w:r>
            <w:r>
              <w:rPr>
                <w:rFonts w:hint="eastAsia" w:ascii="宋体" w:hAnsi="宋体" w:eastAsia="宋体" w:cs="宋体"/>
                <w:sz w:val="24"/>
                <w:szCs w:val="24"/>
                <w:lang w:eastAsia="zh-CN"/>
              </w:rPr>
              <w:t>,，能够在100cm</w:t>
            </w:r>
            <w:r>
              <w:rPr>
                <w:rFonts w:hint="eastAsia" w:ascii="宋体" w:hAnsi="宋体" w:eastAsia="宋体" w:cs="宋体"/>
                <w:sz w:val="24"/>
                <w:szCs w:val="24"/>
                <w:vertAlign w:val="superscript"/>
                <w:lang w:eastAsia="zh-CN"/>
              </w:rPr>
              <w:t>2</w:t>
            </w:r>
            <w:r>
              <w:rPr>
                <w:rFonts w:hint="eastAsia" w:ascii="宋体" w:hAnsi="宋体" w:eastAsia="宋体" w:cs="宋体"/>
                <w:sz w:val="24"/>
                <w:szCs w:val="24"/>
                <w:lang w:eastAsia="zh-CN"/>
              </w:rPr>
              <w:t>的范围内布置100个以上监测点位，此技术的准确率需达到0.01mm，其采用的安装布置工艺不能破坏结构和涂层，此技术可实现覆盖现场管线使用工况下的温度范围-20℃~120℃，且数据稳定可靠。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4" w:type="dxa"/>
            <w:vAlign w:val="center"/>
          </w:tcPr>
          <w:p>
            <w:pPr>
              <w:pStyle w:val="11"/>
              <w:ind w:left="-420" w:leftChars="-200"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1985" w:type="dxa"/>
            <w:vAlign w:val="center"/>
          </w:tcPr>
          <w:p>
            <w:pPr>
              <w:pStyle w:val="11"/>
              <w:ind w:left="-420" w:leftChars="-200" w:firstLine="420" w:firstLineChars="175"/>
              <w:jc w:val="both"/>
              <w:rPr>
                <w:rFonts w:hint="eastAsia" w:ascii="宋体" w:hAnsi="宋体" w:eastAsia="宋体" w:cs="宋体"/>
                <w:sz w:val="24"/>
                <w:szCs w:val="24"/>
                <w:lang w:eastAsia="zh-CN"/>
              </w:rPr>
            </w:pPr>
            <w:bookmarkStart w:id="35" w:name="_Hlk176873079"/>
            <w:r>
              <w:rPr>
                <w:rFonts w:hint="eastAsia" w:ascii="宋体" w:hAnsi="宋体" w:eastAsia="宋体" w:cs="宋体"/>
                <w:sz w:val="24"/>
                <w:szCs w:val="24"/>
                <w:lang w:eastAsia="zh-CN"/>
              </w:rPr>
              <w:t>工艺管线腐蚀数据自动采集与传输技术研究</w:t>
            </w:r>
            <w:bookmarkEnd w:id="35"/>
          </w:p>
        </w:tc>
        <w:tc>
          <w:tcPr>
            <w:tcW w:w="709" w:type="dxa"/>
            <w:vAlign w:val="center"/>
          </w:tcPr>
          <w:p>
            <w:pPr>
              <w:pStyle w:val="11"/>
              <w:ind w:left="-420" w:leftChars="-200"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项</w:t>
            </w:r>
          </w:p>
        </w:tc>
        <w:tc>
          <w:tcPr>
            <w:tcW w:w="790" w:type="dxa"/>
            <w:vAlign w:val="center"/>
          </w:tcPr>
          <w:p>
            <w:pPr>
              <w:pStyle w:val="11"/>
              <w:ind w:left="-420" w:leftChars="-200"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4626" w:type="dxa"/>
            <w:vAlign w:val="center"/>
          </w:tcPr>
          <w:p>
            <w:pPr>
              <w:pStyle w:val="11"/>
              <w:ind w:left="-420" w:leftChars="-20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研究一种微型腐蚀监测阵列传感器的自动数据采集和存储技术，该存储技术可实时采集、存储腐蚀传感器监测数据；采集频率1~24h可调节，数据可通过RS485信号将数据传输至服务器，亦可通过LORA无线通讯，或存储卡或USB接口与笔记本电脑连接检索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674" w:type="dxa"/>
            <w:vAlign w:val="center"/>
          </w:tcPr>
          <w:p>
            <w:pPr>
              <w:pStyle w:val="11"/>
              <w:ind w:left="-420" w:leftChars="-200"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1985" w:type="dxa"/>
            <w:vAlign w:val="center"/>
          </w:tcPr>
          <w:p>
            <w:pPr>
              <w:pStyle w:val="11"/>
              <w:ind w:left="-420" w:leftChars="-20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工艺管线腐蚀在线控制装置布置、安装工艺技术研究</w:t>
            </w:r>
          </w:p>
        </w:tc>
        <w:tc>
          <w:tcPr>
            <w:tcW w:w="709" w:type="dxa"/>
            <w:vAlign w:val="center"/>
          </w:tcPr>
          <w:p>
            <w:pPr>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项</w:t>
            </w:r>
          </w:p>
        </w:tc>
        <w:tc>
          <w:tcPr>
            <w:tcW w:w="790" w:type="dxa"/>
            <w:vAlign w:val="center"/>
          </w:tcPr>
          <w:p>
            <w:pPr>
              <w:ind w:left="-420" w:leftChars="-200" w:right="122"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4626" w:type="dxa"/>
            <w:vAlign w:val="center"/>
          </w:tcPr>
          <w:p>
            <w:pPr>
              <w:pStyle w:val="11"/>
              <w:ind w:left="-420" w:leftChars="-20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选择合适的安装位置以确保腐蚀传感器能够代表性地测量管线内腐蚀情况；根据腐蚀控制的类型和管线的特点，选择合适的安装方法，确保常感器的具备可靠的密封和防碰撞设计，以防止介质泄漏或者外部腐蚀环境对传感器稳定性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74" w:type="dxa"/>
            <w:vAlign w:val="center"/>
          </w:tcPr>
          <w:p>
            <w:pPr>
              <w:pStyle w:val="11"/>
              <w:ind w:left="-420" w:leftChars="-200"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1985" w:type="dxa"/>
            <w:vAlign w:val="center"/>
          </w:tcPr>
          <w:p>
            <w:pPr>
              <w:pStyle w:val="11"/>
              <w:ind w:left="-420" w:leftChars="-20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工艺管线腐蚀在线监测数据分析与管理技术研究</w:t>
            </w:r>
          </w:p>
        </w:tc>
        <w:tc>
          <w:tcPr>
            <w:tcW w:w="709" w:type="dxa"/>
            <w:vAlign w:val="center"/>
          </w:tcPr>
          <w:p>
            <w:pPr>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项</w:t>
            </w:r>
          </w:p>
        </w:tc>
        <w:tc>
          <w:tcPr>
            <w:tcW w:w="790" w:type="dxa"/>
            <w:vAlign w:val="center"/>
          </w:tcPr>
          <w:p>
            <w:pPr>
              <w:ind w:left="-420" w:leftChars="-200" w:right="122"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4626" w:type="dxa"/>
            <w:vAlign w:val="center"/>
          </w:tcPr>
          <w:p>
            <w:pPr>
              <w:pStyle w:val="11"/>
              <w:ind w:left="-420" w:leftChars="-20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该研究实现解析采集到的腐蚀损失数据，自动分类储存；可自动识别装置布置及其数据，提供三维立体可视化腐蚀非波形图图像；且具备腐蚀壁厚损失预警功能。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74" w:type="dxa"/>
            <w:vAlign w:val="center"/>
          </w:tcPr>
          <w:p>
            <w:pPr>
              <w:pStyle w:val="11"/>
              <w:ind w:left="-420" w:leftChars="-200"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1985" w:type="dxa"/>
            <w:vAlign w:val="center"/>
          </w:tcPr>
          <w:p>
            <w:pPr>
              <w:pStyle w:val="11"/>
              <w:ind w:left="-420" w:leftChars="-20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基于微型传感器的工艺管线腐蚀在线监测演示</w:t>
            </w:r>
          </w:p>
        </w:tc>
        <w:tc>
          <w:tcPr>
            <w:tcW w:w="709" w:type="dxa"/>
            <w:vAlign w:val="center"/>
          </w:tcPr>
          <w:p>
            <w:pPr>
              <w:ind w:left="-420" w:leftChars="-200" w:right="122"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项</w:t>
            </w:r>
          </w:p>
        </w:tc>
        <w:tc>
          <w:tcPr>
            <w:tcW w:w="790" w:type="dxa"/>
            <w:vAlign w:val="center"/>
          </w:tcPr>
          <w:p>
            <w:pPr>
              <w:ind w:left="-420" w:leftChars="-200" w:right="122" w:firstLine="420" w:firstLineChars="17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4626" w:type="dxa"/>
            <w:vAlign w:val="center"/>
          </w:tcPr>
          <w:p>
            <w:pPr>
              <w:pStyle w:val="11"/>
              <w:ind w:left="-420" w:leftChars="-200" w:firstLine="420" w:firstLineChars="175"/>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提交基于微型传感器的工艺管线腐蚀在线监测技术演示报告，内容包括微型传感器的研制、传感器安装、管道腐蚀模拟、数据采集、数据通讯、数据处理、腐蚀形貌三维显示等，要求图文并茂，对关键技术点，辅助视频讲解。</w:t>
            </w:r>
          </w:p>
        </w:tc>
      </w:tr>
    </w:tbl>
    <w:p>
      <w:pPr>
        <w:pStyle w:val="8"/>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3、服务地点</w:t>
      </w:r>
    </w:p>
    <w:p>
      <w:pPr>
        <w:pStyle w:val="8"/>
        <w:spacing w:line="257" w:lineRule="auto"/>
        <w:ind w:left="-420" w:leftChars="-200" w:right="122" w:firstLine="900" w:firstLineChars="375"/>
        <w:rPr>
          <w:rFonts w:hint="eastAsia" w:ascii="宋体" w:hAnsi="宋体" w:eastAsia="宋体" w:cs="宋体"/>
          <w:sz w:val="24"/>
          <w:szCs w:val="24"/>
          <w:lang w:eastAsia="zh-CN"/>
        </w:rPr>
      </w:pPr>
      <w:r>
        <w:rPr>
          <w:rFonts w:hint="eastAsia" w:ascii="宋体" w:hAnsi="宋体" w:eastAsia="宋体" w:cs="宋体"/>
          <w:sz w:val="24"/>
          <w:szCs w:val="24"/>
          <w:lang w:eastAsia="zh-CN"/>
        </w:rPr>
        <w:t>天津</w:t>
      </w:r>
    </w:p>
    <w:p>
      <w:pPr>
        <w:pStyle w:val="8"/>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4、服务期限</w:t>
      </w:r>
    </w:p>
    <w:p>
      <w:pPr>
        <w:pStyle w:val="8"/>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2024年9月至2025年6月，根据甲方进度要求调整。</w:t>
      </w:r>
    </w:p>
    <w:p>
      <w:pPr>
        <w:pStyle w:val="4"/>
        <w:ind w:left="-420" w:leftChars="-200" w:firstLine="422" w:firstLineChars="175"/>
        <w:rPr>
          <w:rFonts w:hint="eastAsia" w:ascii="宋体" w:hAnsi="宋体" w:eastAsia="宋体" w:cs="宋体"/>
          <w:b/>
          <w:bCs/>
          <w:sz w:val="24"/>
          <w:szCs w:val="24"/>
        </w:rPr>
      </w:pPr>
      <w:r>
        <w:rPr>
          <w:rFonts w:hint="eastAsia" w:ascii="宋体" w:hAnsi="宋体" w:eastAsia="宋体" w:cs="宋体"/>
          <w:b/>
          <w:bCs/>
          <w:sz w:val="24"/>
          <w:szCs w:val="24"/>
        </w:rPr>
        <w:t>三、配备资源要求</w:t>
      </w:r>
    </w:p>
    <w:p>
      <w:pPr>
        <w:spacing w:line="360" w:lineRule="auto"/>
        <w:ind w:left="-420" w:leftChars="-200" w:right="115" w:rightChars="55"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乙方负责提供全部的平台管线智能内腐蚀控制关键技术研究服务进展的来源。</w:t>
      </w:r>
    </w:p>
    <w:p>
      <w:pPr>
        <w:pStyle w:val="4"/>
        <w:ind w:left="-420" w:leftChars="-200" w:firstLine="422" w:firstLineChars="175"/>
        <w:rPr>
          <w:rFonts w:hint="eastAsia" w:ascii="宋体" w:hAnsi="宋体" w:eastAsia="宋体" w:cs="宋体"/>
          <w:b/>
          <w:bCs/>
          <w:sz w:val="24"/>
          <w:szCs w:val="24"/>
        </w:rPr>
      </w:pPr>
      <w:r>
        <w:rPr>
          <w:rFonts w:hint="eastAsia" w:ascii="宋体" w:hAnsi="宋体" w:eastAsia="宋体" w:cs="宋体"/>
          <w:b/>
          <w:bCs/>
          <w:sz w:val="24"/>
          <w:szCs w:val="24"/>
        </w:rPr>
        <w:t>四、服务进度跟踪</w:t>
      </w:r>
    </w:p>
    <w:p>
      <w:pPr>
        <w:spacing w:line="360" w:lineRule="auto"/>
        <w:ind w:left="-420" w:leftChars="-200" w:right="115" w:rightChars="55"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乙方严格履行项目实施计划要求，完成甲方交办的各项服务工作，乙方的服务人员变动必须提前通知甲方。</w:t>
      </w:r>
    </w:p>
    <w:p>
      <w:pPr>
        <w:pStyle w:val="4"/>
        <w:ind w:left="-420" w:leftChars="-200" w:firstLine="422" w:firstLineChars="175"/>
        <w:rPr>
          <w:rFonts w:hint="eastAsia" w:ascii="宋体" w:hAnsi="宋体" w:eastAsia="宋体" w:cs="宋体"/>
          <w:b/>
          <w:bCs/>
          <w:sz w:val="24"/>
          <w:szCs w:val="24"/>
        </w:rPr>
      </w:pPr>
      <w:r>
        <w:rPr>
          <w:rFonts w:hint="eastAsia" w:ascii="宋体" w:hAnsi="宋体" w:eastAsia="宋体" w:cs="宋体"/>
          <w:b/>
          <w:bCs/>
          <w:sz w:val="24"/>
          <w:szCs w:val="24"/>
        </w:rPr>
        <w:t>五、服务及验收标准</w:t>
      </w:r>
    </w:p>
    <w:p>
      <w:pPr>
        <w:pStyle w:val="4"/>
        <w:spacing w:line="240" w:lineRule="auto"/>
        <w:ind w:left="-420" w:leftChars="-200" w:firstLine="422" w:firstLineChars="175"/>
        <w:jc w:val="both"/>
        <w:rPr>
          <w:rFonts w:hint="eastAsia" w:ascii="宋体" w:hAnsi="宋体" w:eastAsia="宋体" w:cs="宋体"/>
          <w:spacing w:val="0"/>
          <w:sz w:val="24"/>
          <w:szCs w:val="24"/>
        </w:rPr>
      </w:pPr>
      <w:r>
        <w:rPr>
          <w:rFonts w:hint="eastAsia" w:ascii="宋体" w:hAnsi="宋体" w:eastAsia="宋体" w:cs="宋体"/>
          <w:spacing w:val="0"/>
          <w:sz w:val="24"/>
          <w:szCs w:val="24"/>
        </w:rPr>
        <w:t>1、服务标准：</w:t>
      </w:r>
    </w:p>
    <w:p>
      <w:pPr>
        <w:spacing w:line="360" w:lineRule="auto"/>
        <w:ind w:left="-420" w:leftChars="-200" w:right="115" w:rightChars="55"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及时响应：及时回应甲方的需求、问题和投诉，确保甲方需求得到及时的帮助和解决。服务人员应具备专业知识和技能，能够为甲方提供准确、全面的信息和建议。能有效的识别和解决问题，提供满意的解决方案。定期向甲方征求反馈意见，并根据反馈信息改进服务质量。服务过程中严格按照海油发展及装备公司安全生产要求，无事故发生。</w:t>
      </w:r>
    </w:p>
    <w:p>
      <w:pPr>
        <w:spacing w:line="360" w:lineRule="auto"/>
        <w:ind w:left="-420" w:leftChars="-200" w:right="115" w:rightChars="55"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乙方服务质量不满足服务具体内容要求的，不予确认工作量，且乙方应于2日内向甲方提供书面整改报告，否则甲方有权提前终止合同，如因服务质量问题产生损失的，乙方应赔偿甲方损失。</w:t>
      </w:r>
    </w:p>
    <w:p>
      <w:pPr>
        <w:pStyle w:val="4"/>
        <w:spacing w:line="240" w:lineRule="auto"/>
        <w:ind w:left="-420" w:leftChars="-200" w:firstLine="422" w:firstLineChars="175"/>
        <w:jc w:val="both"/>
        <w:rPr>
          <w:rFonts w:hint="eastAsia" w:ascii="宋体" w:hAnsi="宋体" w:eastAsia="宋体" w:cs="宋体"/>
          <w:spacing w:val="0"/>
          <w:sz w:val="24"/>
          <w:szCs w:val="24"/>
        </w:rPr>
      </w:pPr>
      <w:r>
        <w:rPr>
          <w:rFonts w:hint="eastAsia" w:ascii="宋体" w:hAnsi="宋体" w:eastAsia="宋体" w:cs="宋体"/>
          <w:spacing w:val="0"/>
          <w:sz w:val="24"/>
          <w:szCs w:val="24"/>
        </w:rPr>
        <w:t>2、验收标准：</w:t>
      </w:r>
    </w:p>
    <w:p>
      <w:pPr>
        <w:pStyle w:val="8"/>
        <w:numPr>
          <w:ilvl w:val="0"/>
          <w:numId w:val="6"/>
        </w:numPr>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提交国内外工艺管线腐蚀检测/监测技术研究发展趋势分析报告1份；</w:t>
      </w:r>
    </w:p>
    <w:p>
      <w:pPr>
        <w:pStyle w:val="28"/>
        <w:numPr>
          <w:ilvl w:val="0"/>
          <w:numId w:val="6"/>
        </w:numPr>
        <w:ind w:left="-420" w:leftChars="-200" w:firstLine="420" w:firstLineChars="175"/>
        <w:rPr>
          <w:rFonts w:hint="eastAsia" w:ascii="宋体" w:hAnsi="宋体" w:eastAsia="宋体" w:cs="宋体"/>
          <w:kern w:val="0"/>
          <w:sz w:val="24"/>
          <w:szCs w:val="24"/>
        </w:rPr>
      </w:pPr>
      <w:r>
        <w:rPr>
          <w:rFonts w:hint="eastAsia" w:ascii="宋体" w:hAnsi="宋体" w:eastAsia="宋体" w:cs="宋体"/>
          <w:sz w:val="24"/>
          <w:szCs w:val="24"/>
        </w:rPr>
        <w:t>提交工艺管线在线腐蚀监测用微型传感器</w:t>
      </w:r>
      <w:r>
        <w:rPr>
          <w:rFonts w:hint="eastAsia" w:ascii="宋体" w:hAnsi="宋体" w:eastAsia="宋体" w:cs="宋体"/>
          <w:sz w:val="24"/>
          <w:szCs w:val="24"/>
          <w:lang w:val="en-US" w:eastAsia="zh-CN"/>
        </w:rPr>
        <w:t>技术</w:t>
      </w:r>
      <w:r>
        <w:rPr>
          <w:rFonts w:hint="eastAsia" w:ascii="宋体" w:hAnsi="宋体" w:eastAsia="宋体" w:cs="宋体"/>
          <w:sz w:val="24"/>
          <w:szCs w:val="24"/>
        </w:rPr>
        <w:t>研究报告1份；</w:t>
      </w:r>
    </w:p>
    <w:p>
      <w:pPr>
        <w:pStyle w:val="28"/>
        <w:numPr>
          <w:ilvl w:val="0"/>
          <w:numId w:val="6"/>
        </w:numPr>
        <w:ind w:left="-420" w:leftChars="-200" w:firstLine="420" w:firstLineChars="175"/>
        <w:rPr>
          <w:rFonts w:hint="eastAsia" w:ascii="宋体" w:hAnsi="宋体" w:eastAsia="宋体" w:cs="宋体"/>
          <w:kern w:val="0"/>
          <w:sz w:val="24"/>
          <w:szCs w:val="24"/>
        </w:rPr>
      </w:pPr>
      <w:r>
        <w:rPr>
          <w:rFonts w:hint="eastAsia" w:ascii="宋体" w:hAnsi="宋体" w:eastAsia="宋体" w:cs="宋体"/>
          <w:kern w:val="0"/>
          <w:sz w:val="24"/>
          <w:szCs w:val="24"/>
        </w:rPr>
        <w:t>提交工艺管线腐蚀数据自动采集与传输技术研究报告</w:t>
      </w:r>
      <w:r>
        <w:rPr>
          <w:rFonts w:hint="eastAsia" w:ascii="宋体" w:hAnsi="宋体" w:eastAsia="宋体" w:cs="宋体"/>
          <w:sz w:val="24"/>
          <w:szCs w:val="24"/>
        </w:rPr>
        <w:t>1份；</w:t>
      </w:r>
    </w:p>
    <w:p>
      <w:pPr>
        <w:pStyle w:val="28"/>
        <w:numPr>
          <w:ilvl w:val="0"/>
          <w:numId w:val="6"/>
        </w:numPr>
        <w:ind w:left="-420" w:leftChars="-200" w:firstLine="420" w:firstLineChars="175"/>
        <w:rPr>
          <w:rFonts w:hint="eastAsia" w:ascii="宋体" w:hAnsi="宋体" w:eastAsia="宋体" w:cs="宋体"/>
          <w:kern w:val="0"/>
          <w:sz w:val="24"/>
          <w:szCs w:val="24"/>
        </w:rPr>
      </w:pPr>
      <w:r>
        <w:rPr>
          <w:rFonts w:hint="eastAsia" w:ascii="宋体" w:hAnsi="宋体" w:eastAsia="宋体" w:cs="宋体"/>
          <w:kern w:val="0"/>
          <w:sz w:val="24"/>
          <w:szCs w:val="24"/>
        </w:rPr>
        <w:t>提交工艺管线腐蚀在线控制装置布置、安装工艺技术研究报告1份；</w:t>
      </w:r>
    </w:p>
    <w:p>
      <w:pPr>
        <w:pStyle w:val="28"/>
        <w:numPr>
          <w:ilvl w:val="0"/>
          <w:numId w:val="6"/>
        </w:numPr>
        <w:ind w:left="-420" w:leftChars="-200" w:firstLine="420" w:firstLineChars="175"/>
        <w:rPr>
          <w:rFonts w:hint="eastAsia" w:ascii="宋体" w:hAnsi="宋体" w:eastAsia="宋体" w:cs="宋体"/>
          <w:kern w:val="0"/>
          <w:sz w:val="24"/>
          <w:szCs w:val="24"/>
        </w:rPr>
      </w:pPr>
      <w:r>
        <w:rPr>
          <w:rFonts w:hint="eastAsia" w:ascii="宋体" w:hAnsi="宋体" w:eastAsia="宋体" w:cs="宋体"/>
          <w:kern w:val="0"/>
          <w:sz w:val="24"/>
          <w:szCs w:val="24"/>
        </w:rPr>
        <w:t>提交工艺管线腐蚀在线监测数据分析与管理技术研究报告1份；</w:t>
      </w:r>
    </w:p>
    <w:p>
      <w:pPr>
        <w:pStyle w:val="28"/>
        <w:numPr>
          <w:ilvl w:val="0"/>
          <w:numId w:val="6"/>
        </w:numPr>
        <w:ind w:left="-420" w:leftChars="-200" w:firstLine="420" w:firstLineChars="175"/>
        <w:rPr>
          <w:rFonts w:hint="eastAsia" w:ascii="宋体" w:hAnsi="宋体" w:eastAsia="宋体" w:cs="宋体"/>
          <w:kern w:val="0"/>
          <w:sz w:val="24"/>
          <w:szCs w:val="24"/>
        </w:rPr>
      </w:pPr>
      <w:bookmarkStart w:id="36" w:name="_Hlk176873407"/>
      <w:r>
        <w:rPr>
          <w:rFonts w:hint="eastAsia" w:ascii="宋体" w:hAnsi="宋体" w:eastAsia="宋体" w:cs="宋体"/>
          <w:kern w:val="0"/>
          <w:sz w:val="24"/>
          <w:szCs w:val="24"/>
        </w:rPr>
        <w:t>提交基于微型传感器的工艺管线腐蚀在线监测技术演示报告</w:t>
      </w:r>
      <w:bookmarkEnd w:id="36"/>
      <w:r>
        <w:rPr>
          <w:rFonts w:hint="eastAsia" w:ascii="宋体" w:hAnsi="宋体" w:eastAsia="宋体" w:cs="宋体"/>
          <w:kern w:val="0"/>
          <w:sz w:val="24"/>
          <w:szCs w:val="24"/>
        </w:rPr>
        <w:t>1份；</w:t>
      </w:r>
    </w:p>
    <w:p>
      <w:pPr>
        <w:pStyle w:val="9"/>
        <w:ind w:left="-420" w:leftChars="-200" w:firstLine="420" w:firstLineChars="175"/>
        <w:outlineLvl w:val="0"/>
        <w:rPr>
          <w:rFonts w:hint="eastAsia" w:ascii="宋体" w:hAnsi="宋体" w:eastAsia="宋体" w:cs="宋体"/>
          <w:bCs/>
          <w:sz w:val="24"/>
          <w:szCs w:val="24"/>
        </w:rPr>
      </w:pPr>
      <w:r>
        <w:rPr>
          <w:rFonts w:hint="eastAsia" w:ascii="宋体" w:hAnsi="宋体" w:eastAsia="宋体" w:cs="宋体"/>
          <w:bCs/>
          <w:sz w:val="24"/>
          <w:szCs w:val="24"/>
        </w:rPr>
        <w:t>六、质量保证</w:t>
      </w:r>
    </w:p>
    <w:p>
      <w:pPr>
        <w:pStyle w:val="8"/>
        <w:spacing w:line="257" w:lineRule="auto"/>
        <w:ind w:left="-420" w:leftChars="-200" w:right="122" w:firstLine="420" w:firstLineChars="175"/>
        <w:rPr>
          <w:rFonts w:hint="eastAsia" w:ascii="宋体" w:hAnsi="宋体" w:eastAsia="宋体" w:cs="宋体"/>
          <w:sz w:val="24"/>
          <w:szCs w:val="24"/>
          <w:lang w:eastAsia="zh-CN"/>
        </w:rPr>
      </w:pPr>
      <w:r>
        <w:rPr>
          <w:rFonts w:hint="eastAsia" w:ascii="宋体" w:hAnsi="宋体" w:eastAsia="宋体" w:cs="宋体"/>
          <w:sz w:val="24"/>
          <w:szCs w:val="24"/>
          <w:lang w:eastAsia="zh-CN"/>
        </w:rPr>
        <w:t>乙方须承诺，本项目所涉及服务项目，有任何质量问题，乙方将无条件配合甲方进行整改。</w:t>
      </w:r>
    </w:p>
    <w:p>
      <w:pPr>
        <w:rPr>
          <w:rFonts w:hint="eastAsia" w:ascii="宋体" w:hAnsi="宋体" w:eastAsia="宋体" w:cs="宋体"/>
          <w:sz w:val="24"/>
          <w:szCs w:val="24"/>
          <w:lang w:eastAsia="zh-CN"/>
        </w:rPr>
      </w:pPr>
    </w:p>
    <w:p>
      <w:pPr>
        <w:pStyle w:val="2"/>
        <w:rPr>
          <w:rFonts w:hint="eastAsia" w:ascii="宋体" w:hAnsi="宋体" w:eastAsia="宋体" w:cs="宋体"/>
          <w:sz w:val="24"/>
          <w:szCs w:val="24"/>
          <w:lang w:eastAsia="zh-CN"/>
        </w:rPr>
      </w:pPr>
    </w:p>
    <w:p>
      <w:pPr>
        <w:rPr>
          <w:rFonts w:hint="eastAsia"/>
          <w:lang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spacing w:line="360" w:lineRule="auto"/>
        <w:ind w:firstLine="210" w:firstLineChars="100"/>
        <w:jc w:val="center"/>
        <w:rPr>
          <w:rFonts w:hAnsi="宋体"/>
          <w:b/>
          <w:sz w:val="36"/>
          <w:szCs w:val="36"/>
          <w:highlight w:val="none"/>
        </w:rPr>
      </w:pPr>
      <w:r>
        <w:rPr>
          <w:rFonts w:hint="eastAsia"/>
          <w:szCs w:val="21"/>
          <w:highlight w:val="none"/>
          <w:u w:val="single"/>
        </w:rPr>
        <w:t xml:space="preserve">              </w:t>
      </w:r>
      <w:r>
        <w:rPr>
          <w:rFonts w:hint="eastAsia" w:hAnsi="宋体"/>
          <w:b/>
          <w:sz w:val="36"/>
          <w:szCs w:val="36"/>
          <w:highlight w:val="none"/>
        </w:rPr>
        <w:t>服务合同</w:t>
      </w:r>
    </w:p>
    <w:p>
      <w:pPr>
        <w:spacing w:line="360" w:lineRule="auto"/>
        <w:ind w:firstLine="181" w:firstLineChars="100"/>
        <w:jc w:val="center"/>
        <w:rPr>
          <w:rFonts w:hAnsi="宋体"/>
          <w:b/>
          <w:sz w:val="18"/>
          <w:szCs w:val="18"/>
          <w:highlight w:val="none"/>
        </w:rPr>
      </w:pPr>
    </w:p>
    <w:p>
      <w:pPr>
        <w:spacing w:line="360" w:lineRule="auto"/>
        <w:ind w:right="84"/>
        <w:jc w:val="center"/>
        <w:rPr>
          <w:rFonts w:hAnsi="宋体"/>
          <w:szCs w:val="21"/>
          <w:highlight w:val="none"/>
          <w:u w:val="single"/>
        </w:rPr>
      </w:pPr>
      <w:r>
        <w:rPr>
          <w:rFonts w:hint="eastAsia" w:hAnsi="宋体"/>
          <w:szCs w:val="21"/>
          <w:highlight w:val="none"/>
        </w:rPr>
        <w:t xml:space="preserve">                                            合同编号：</w:t>
      </w:r>
      <w:r>
        <w:rPr>
          <w:szCs w:val="21"/>
          <w:highlight w:val="none"/>
          <w:u w:val="single"/>
        </w:rPr>
        <w:t xml:space="preserve">          </w:t>
      </w:r>
    </w:p>
    <w:p>
      <w:pPr>
        <w:adjustRightInd w:val="0"/>
        <w:snapToGrid w:val="0"/>
        <w:spacing w:before="93" w:beforeLines="30" w:after="93" w:afterLines="30" w:line="360" w:lineRule="auto"/>
        <w:ind w:firstLine="567"/>
        <w:rPr>
          <w:rFonts w:hAnsi="宋体"/>
          <w:szCs w:val="21"/>
          <w:highlight w:val="none"/>
        </w:rPr>
      </w:pPr>
    </w:p>
    <w:p>
      <w:pPr>
        <w:adjustRightInd w:val="0"/>
        <w:snapToGrid w:val="0"/>
        <w:spacing w:before="93" w:beforeLines="30" w:after="93" w:afterLines="30" w:line="360" w:lineRule="auto"/>
        <w:ind w:firstLine="567"/>
        <w:rPr>
          <w:rFonts w:ascii="宋体" w:hAnsi="宋体"/>
          <w:b/>
          <w:sz w:val="24"/>
          <w:highlight w:val="none"/>
        </w:rPr>
      </w:pPr>
      <w:r>
        <w:rPr>
          <w:rFonts w:ascii="宋体" w:hAnsi="宋体"/>
          <w:sz w:val="24"/>
          <w:highlight w:val="none"/>
        </w:rPr>
        <w:t>本服务合同（以下称“合同”或“本合同”）由</w:t>
      </w:r>
      <w:r>
        <w:rPr>
          <w:rFonts w:hint="eastAsia" w:ascii="宋体" w:hAnsi="宋体"/>
          <w:sz w:val="24"/>
          <w:highlight w:val="none"/>
        </w:rPr>
        <w:t>以下双方</w:t>
      </w:r>
      <w:r>
        <w:rPr>
          <w:rFonts w:ascii="宋体" w:hAnsi="宋体"/>
          <w:sz w:val="24"/>
          <w:highlight w:val="none"/>
        </w:rPr>
        <w:t>签</w:t>
      </w:r>
      <w:r>
        <w:rPr>
          <w:rFonts w:hint="eastAsia" w:ascii="宋体" w:hAnsi="宋体"/>
          <w:sz w:val="24"/>
          <w:highlight w:val="none"/>
        </w:rPr>
        <w:t>订：</w:t>
      </w:r>
    </w:p>
    <w:p>
      <w:pPr>
        <w:tabs>
          <w:tab w:val="left" w:pos="567"/>
          <w:tab w:val="left" w:pos="900"/>
        </w:tabs>
        <w:adjustRightInd w:val="0"/>
        <w:snapToGrid w:val="0"/>
        <w:spacing w:before="93" w:beforeLines="30" w:after="93" w:afterLines="30" w:line="360" w:lineRule="auto"/>
        <w:ind w:left="556" w:leftChars="265" w:right="-512" w:rightChars="-244" w:firstLine="9" w:firstLineChars="4"/>
        <w:rPr>
          <w:rFonts w:ascii="宋体" w:hAnsi="宋体"/>
          <w:sz w:val="24"/>
          <w:highlight w:val="none"/>
        </w:rPr>
      </w:pPr>
      <w:r>
        <w:rPr>
          <w:rFonts w:hint="eastAsia" w:ascii="宋体" w:hAnsi="宋体"/>
          <w:sz w:val="24"/>
          <w:highlight w:val="none"/>
        </w:rPr>
        <w:t>甲</w:t>
      </w:r>
      <w:r>
        <w:rPr>
          <w:rFonts w:ascii="宋体" w:hAnsi="宋体"/>
          <w:sz w:val="24"/>
          <w:highlight w:val="none"/>
        </w:rPr>
        <w:t xml:space="preserve">    </w:t>
      </w:r>
      <w:r>
        <w:rPr>
          <w:rFonts w:hint="eastAsia" w:ascii="宋体" w:hAnsi="宋体"/>
          <w:sz w:val="24"/>
          <w:highlight w:val="none"/>
        </w:rPr>
        <w:t>方：</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乙</w:t>
      </w:r>
      <w:r>
        <w:rPr>
          <w:rFonts w:ascii="宋体" w:hAnsi="宋体"/>
          <w:sz w:val="24"/>
          <w:highlight w:val="none"/>
        </w:rPr>
        <w:t xml:space="preserve">    </w:t>
      </w:r>
      <w:r>
        <w:rPr>
          <w:rFonts w:hint="eastAsia" w:ascii="宋体" w:hAnsi="宋体"/>
          <w:sz w:val="24"/>
          <w:highlight w:val="none"/>
        </w:rPr>
        <w:t>方：</w:t>
      </w:r>
      <w:r>
        <w:rPr>
          <w:rFonts w:ascii="宋体" w:hAnsi="宋体"/>
          <w:sz w:val="24"/>
          <w:highlight w:val="none"/>
          <w:u w:val="single"/>
        </w:rPr>
        <w:t xml:space="preserve">                        </w:t>
      </w:r>
    </w:p>
    <w:p>
      <w:pPr>
        <w:tabs>
          <w:tab w:val="left" w:pos="567"/>
          <w:tab w:val="left" w:pos="900"/>
        </w:tabs>
        <w:adjustRightInd w:val="0"/>
        <w:snapToGrid w:val="0"/>
        <w:spacing w:before="93" w:beforeLines="30" w:after="93" w:afterLines="30" w:line="360" w:lineRule="auto"/>
        <w:ind w:right="-57" w:rightChars="-27" w:firstLine="648" w:firstLineChars="270"/>
        <w:rPr>
          <w:rFonts w:ascii="宋体" w:hAnsi="宋体"/>
          <w:sz w:val="24"/>
          <w:highlight w:val="none"/>
        </w:rPr>
      </w:pPr>
      <w:r>
        <w:rPr>
          <w:rFonts w:hint="eastAsia" w:ascii="宋体" w:hAnsi="宋体"/>
          <w:sz w:val="24"/>
          <w:highlight w:val="none"/>
        </w:rPr>
        <w:t>注册地址：</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注册地址：</w:t>
      </w:r>
      <w:r>
        <w:rPr>
          <w:rFonts w:ascii="宋体" w:hAnsi="宋体"/>
          <w:sz w:val="24"/>
          <w:highlight w:val="none"/>
          <w:u w:val="single"/>
        </w:rPr>
        <w:t xml:space="preserve">                        </w:t>
      </w:r>
    </w:p>
    <w:p>
      <w:pPr>
        <w:adjustRightInd w:val="0"/>
        <w:snapToGrid w:val="0"/>
        <w:spacing w:before="93" w:beforeLines="30" w:after="93" w:afterLines="30" w:line="360" w:lineRule="auto"/>
        <w:ind w:firstLine="567"/>
        <w:rPr>
          <w:rFonts w:ascii="宋体" w:hAnsi="宋体"/>
          <w:sz w:val="24"/>
          <w:highlight w:val="none"/>
        </w:rPr>
      </w:pPr>
      <w:r>
        <w:rPr>
          <w:rFonts w:hint="eastAsia" w:ascii="宋体" w:hAnsi="宋体"/>
          <w:sz w:val="24"/>
          <w:highlight w:val="none"/>
        </w:rPr>
        <w:t>根据《中华人民共和国民法典》及中华人民共和国各级立法、行政机关颁布并生效的法律、法规、规章及其它规范性文件（“法律法规”），在遵循平等、自愿、公平和诚实信用原则的基础上，经协商一致，双方订立本合同如下：</w:t>
      </w:r>
    </w:p>
    <w:p>
      <w:pPr>
        <w:pStyle w:val="43"/>
        <w:tabs>
          <w:tab w:val="clear" w:pos="720"/>
        </w:tabs>
        <w:adjustRightInd w:val="0"/>
        <w:snapToGrid w:val="0"/>
        <w:spacing w:before="93" w:beforeLines="30" w:after="93" w:afterLines="30" w:line="360" w:lineRule="auto"/>
        <w:jc w:val="left"/>
        <w:rPr>
          <w:rFonts w:ascii="宋体" w:hAnsi="宋体"/>
          <w:bCs w:val="0"/>
          <w:szCs w:val="24"/>
          <w:highlight w:val="none"/>
        </w:rPr>
      </w:pPr>
      <w:bookmarkStart w:id="37" w:name="_Toc276842642"/>
      <w:bookmarkStart w:id="38" w:name="_Toc364839361"/>
      <w:bookmarkStart w:id="39" w:name="_Toc276888298"/>
      <w:bookmarkStart w:id="40" w:name="_Toc276842694"/>
      <w:bookmarkStart w:id="41" w:name="_Toc276888365"/>
      <w:bookmarkStart w:id="42" w:name="_Toc276828333"/>
      <w:bookmarkStart w:id="43" w:name="_Toc299915678"/>
      <w:bookmarkStart w:id="44" w:name="_Toc276578424"/>
      <w:bookmarkStart w:id="45" w:name="_Toc275096412"/>
      <w:bookmarkStart w:id="46" w:name="_Toc276825187"/>
      <w:bookmarkStart w:id="47" w:name="_Toc275173805"/>
      <w:bookmarkStart w:id="48" w:name="_Toc275096343"/>
      <w:r>
        <w:rPr>
          <w:rFonts w:hint="eastAsia" w:ascii="宋体" w:hAnsi="宋体"/>
          <w:szCs w:val="24"/>
          <w:highlight w:val="none"/>
        </w:rPr>
        <w:t xml:space="preserve"> </w:t>
      </w:r>
      <w:r>
        <w:rPr>
          <w:rFonts w:ascii="宋体" w:hAnsi="宋体"/>
          <w:szCs w:val="24"/>
          <w:highlight w:val="none"/>
        </w:rPr>
        <w:t>服务</w:t>
      </w:r>
      <w:bookmarkEnd w:id="37"/>
      <w:bookmarkEnd w:id="38"/>
      <w:bookmarkEnd w:id="39"/>
      <w:bookmarkEnd w:id="40"/>
      <w:bookmarkEnd w:id="41"/>
      <w:bookmarkEnd w:id="42"/>
      <w:bookmarkEnd w:id="43"/>
      <w:bookmarkEnd w:id="44"/>
      <w:bookmarkEnd w:id="45"/>
      <w:bookmarkEnd w:id="46"/>
      <w:bookmarkEnd w:id="47"/>
      <w:bookmarkEnd w:id="48"/>
    </w:p>
    <w:p>
      <w:pPr>
        <w:numPr>
          <w:ilvl w:val="1"/>
          <w:numId w:val="7"/>
        </w:numPr>
        <w:tabs>
          <w:tab w:val="left" w:pos="709"/>
          <w:tab w:val="clear" w:pos="540"/>
        </w:tabs>
        <w:adjustRightInd w:val="0"/>
        <w:snapToGrid w:val="0"/>
        <w:spacing w:before="93" w:beforeLines="30" w:after="93" w:afterLines="30" w:line="360" w:lineRule="auto"/>
        <w:ind w:left="709" w:hanging="709"/>
        <w:rPr>
          <w:rFonts w:ascii="宋体" w:hAnsi="宋体"/>
          <w:sz w:val="24"/>
          <w:highlight w:val="none"/>
        </w:rPr>
      </w:pPr>
      <w:r>
        <w:rPr>
          <w:rFonts w:hint="eastAsia" w:ascii="宋体" w:hAnsi="宋体"/>
          <w:color w:val="000000"/>
          <w:sz w:val="24"/>
          <w:highlight w:val="none"/>
        </w:rPr>
        <w:t>乙方应根据本合同约定为甲方提供</w:t>
      </w:r>
      <w:r>
        <w:rPr>
          <w:rFonts w:hint="eastAsia" w:ascii="宋体" w:hAnsi="宋体"/>
          <w:sz w:val="24"/>
          <w:highlight w:val="none"/>
        </w:rPr>
        <w:t>【</w:t>
      </w:r>
      <w:r>
        <w:rPr>
          <w:rFonts w:hint="eastAsia" w:ascii="宋体" w:hAnsi="宋体"/>
          <w:i/>
          <w:sz w:val="24"/>
          <w:highlight w:val="none"/>
        </w:rPr>
        <w:t>填入具体服务名称</w:t>
      </w:r>
      <w:r>
        <w:rPr>
          <w:rFonts w:hint="eastAsia" w:ascii="宋体" w:hAnsi="宋体"/>
          <w:sz w:val="24"/>
          <w:highlight w:val="none"/>
        </w:rPr>
        <w:t>】</w:t>
      </w:r>
      <w:r>
        <w:rPr>
          <w:rFonts w:hint="eastAsia" w:ascii="宋体" w:hAnsi="宋体"/>
          <w:color w:val="000000"/>
          <w:sz w:val="24"/>
          <w:highlight w:val="none"/>
        </w:rPr>
        <w:t>服务，完成合同约定的全部工作，具体</w:t>
      </w:r>
      <w:r>
        <w:rPr>
          <w:rFonts w:ascii="宋体" w:hAnsi="宋体"/>
          <w:sz w:val="24"/>
          <w:highlight w:val="none"/>
        </w:rPr>
        <w:t>服务</w:t>
      </w:r>
      <w:r>
        <w:rPr>
          <w:rFonts w:hint="eastAsia" w:ascii="宋体" w:hAnsi="宋体"/>
          <w:sz w:val="24"/>
          <w:highlight w:val="none"/>
        </w:rPr>
        <w:t>和相关工作的</w:t>
      </w:r>
      <w:r>
        <w:rPr>
          <w:rFonts w:ascii="宋体" w:hAnsi="宋体"/>
          <w:sz w:val="24"/>
          <w:highlight w:val="none"/>
        </w:rPr>
        <w:t>内容、</w:t>
      </w:r>
      <w:r>
        <w:rPr>
          <w:rFonts w:hint="eastAsia" w:ascii="宋体" w:hAnsi="宋体"/>
          <w:sz w:val="24"/>
          <w:highlight w:val="none"/>
        </w:rPr>
        <w:t>范围、地点及</w:t>
      </w:r>
      <w:r>
        <w:rPr>
          <w:rFonts w:ascii="宋体" w:hAnsi="宋体"/>
          <w:sz w:val="24"/>
          <w:highlight w:val="none"/>
        </w:rPr>
        <w:t>要求</w:t>
      </w:r>
      <w:r>
        <w:rPr>
          <w:rFonts w:hint="eastAsia" w:ascii="宋体" w:hAnsi="宋体"/>
          <w:sz w:val="24"/>
          <w:highlight w:val="none"/>
        </w:rPr>
        <w:t>【</w:t>
      </w:r>
      <w:r>
        <w:rPr>
          <w:rFonts w:hint="eastAsia" w:ascii="宋体" w:hAnsi="宋体"/>
          <w:i/>
          <w:sz w:val="24"/>
          <w:highlight w:val="none"/>
        </w:rPr>
        <w:t>详见</w:t>
      </w:r>
      <w:r>
        <w:rPr>
          <w:rFonts w:ascii="宋体" w:hAnsi="宋体"/>
          <w:i/>
          <w:sz w:val="24"/>
          <w:highlight w:val="none"/>
        </w:rPr>
        <w:t>本合同附件</w:t>
      </w:r>
      <w:r>
        <w:rPr>
          <w:rFonts w:hint="eastAsia" w:ascii="宋体" w:hAnsi="宋体"/>
          <w:i/>
          <w:sz w:val="24"/>
          <w:highlight w:val="none"/>
        </w:rPr>
        <w:t>一</w:t>
      </w:r>
      <w:r>
        <w:rPr>
          <w:rFonts w:hint="eastAsia" w:ascii="宋体" w:hAnsi="宋体"/>
          <w:sz w:val="24"/>
          <w:highlight w:val="none"/>
        </w:rPr>
        <w:t>】。</w:t>
      </w:r>
    </w:p>
    <w:p>
      <w:pPr>
        <w:numPr>
          <w:ilvl w:val="1"/>
          <w:numId w:val="7"/>
        </w:numPr>
        <w:tabs>
          <w:tab w:val="left" w:pos="709"/>
          <w:tab w:val="clear" w:pos="540"/>
        </w:tabs>
        <w:adjustRightInd w:val="0"/>
        <w:snapToGrid w:val="0"/>
        <w:spacing w:before="93" w:beforeLines="30" w:after="93" w:afterLines="30" w:line="360" w:lineRule="auto"/>
        <w:ind w:left="709" w:hanging="709"/>
        <w:rPr>
          <w:rFonts w:ascii="宋体" w:hAnsi="宋体"/>
          <w:sz w:val="24"/>
          <w:highlight w:val="none"/>
          <w:u w:val="single"/>
        </w:rPr>
      </w:pPr>
      <w:r>
        <w:rPr>
          <w:rFonts w:hint="eastAsia" w:ascii="宋体" w:hAnsi="宋体"/>
          <w:color w:val="000000"/>
          <w:sz w:val="24"/>
          <w:highlight w:val="none"/>
        </w:rPr>
        <w:t>乙方应执行良好的行业惯例提供优质、高效的服务。在提供服务过程中，乙方应维护甲方利益，不得实施任何违背甲方利益的行为。</w:t>
      </w:r>
    </w:p>
    <w:p>
      <w:pPr>
        <w:numPr>
          <w:ilvl w:val="1"/>
          <w:numId w:val="7"/>
        </w:numPr>
        <w:tabs>
          <w:tab w:val="left" w:pos="709"/>
          <w:tab w:val="clear" w:pos="540"/>
        </w:tabs>
        <w:adjustRightInd w:val="0"/>
        <w:snapToGrid w:val="0"/>
        <w:spacing w:before="93" w:beforeLines="30" w:after="93" w:afterLines="30" w:line="360" w:lineRule="auto"/>
        <w:ind w:left="709" w:hanging="709"/>
        <w:rPr>
          <w:rFonts w:ascii="宋体" w:hAnsi="宋体"/>
          <w:sz w:val="24"/>
          <w:highlight w:val="none"/>
          <w:u w:val="single"/>
        </w:rPr>
      </w:pPr>
      <w:r>
        <w:rPr>
          <w:rFonts w:hint="eastAsia" w:ascii="宋体" w:hAnsi="宋体"/>
          <w:color w:val="000000"/>
          <w:sz w:val="24"/>
          <w:highlight w:val="none"/>
        </w:rPr>
        <w:t>即使本合同未对某项工作予以明确约定，但是，如相关工作系乙方提供同类服务时，通过执行良好的行业惯例应当预见和完成的工作，或属于为实现本合同目的应当实施的工作，乙方应以符合本合同目的的方式实施该等工作，乙方无权要求调整合同总价或工作期限。</w:t>
      </w:r>
    </w:p>
    <w:p>
      <w:pPr>
        <w:numPr>
          <w:ilvl w:val="1"/>
          <w:numId w:val="7"/>
        </w:numPr>
        <w:tabs>
          <w:tab w:val="left" w:pos="709"/>
          <w:tab w:val="clear" w:pos="540"/>
        </w:tabs>
        <w:adjustRightInd w:val="0"/>
        <w:snapToGrid w:val="0"/>
        <w:spacing w:before="93" w:beforeLines="30" w:after="93" w:afterLines="30" w:line="360" w:lineRule="auto"/>
        <w:ind w:left="709" w:hanging="709"/>
        <w:rPr>
          <w:rFonts w:ascii="宋体" w:hAnsi="宋体"/>
          <w:color w:val="000000"/>
          <w:sz w:val="24"/>
          <w:highlight w:val="none"/>
        </w:rPr>
      </w:pPr>
      <w:r>
        <w:rPr>
          <w:rFonts w:hint="eastAsia" w:ascii="宋体" w:hAnsi="宋体"/>
          <w:sz w:val="24"/>
          <w:highlight w:val="none"/>
        </w:rPr>
        <w:t>乙方提供的服务将用于【</w:t>
      </w:r>
      <w:r>
        <w:rPr>
          <w:rFonts w:hint="eastAsia" w:ascii="宋体" w:hAnsi="宋体"/>
          <w:i/>
          <w:sz w:val="24"/>
          <w:highlight w:val="none"/>
        </w:rPr>
        <w:t>填入项目/工程的名称</w:t>
      </w:r>
      <w:r>
        <w:rPr>
          <w:rFonts w:hint="eastAsia" w:ascii="宋体" w:hAnsi="宋体"/>
          <w:sz w:val="24"/>
          <w:highlight w:val="none"/>
        </w:rPr>
        <w:t>】项目/工程。</w:t>
      </w:r>
    </w:p>
    <w:p>
      <w:pPr>
        <w:pStyle w:val="43"/>
        <w:tabs>
          <w:tab w:val="clear" w:pos="720"/>
        </w:tabs>
        <w:adjustRightInd w:val="0"/>
        <w:snapToGrid w:val="0"/>
        <w:spacing w:before="93" w:beforeLines="30" w:after="93" w:afterLines="30" w:line="360" w:lineRule="auto"/>
        <w:jc w:val="left"/>
        <w:rPr>
          <w:rFonts w:ascii="宋体" w:hAnsi="宋体"/>
          <w:i/>
          <w:iCs/>
          <w:szCs w:val="24"/>
          <w:highlight w:val="none"/>
        </w:rPr>
      </w:pPr>
      <w:bookmarkStart w:id="49" w:name="_Toc288479378"/>
      <w:bookmarkStart w:id="50" w:name="_Toc296955842"/>
      <w:bookmarkStart w:id="51" w:name="_Toc299915679"/>
      <w:bookmarkStart w:id="52" w:name="_Toc296959304"/>
      <w:bookmarkStart w:id="53" w:name="_Toc364839362"/>
      <w:bookmarkStart w:id="54" w:name="_Toc274343601"/>
      <w:bookmarkStart w:id="55" w:name="_Toc273451829"/>
      <w:bookmarkStart w:id="56" w:name="_Toc274754020"/>
      <w:bookmarkStart w:id="57" w:name="_Toc273451896"/>
      <w:bookmarkStart w:id="58" w:name="_Toc291435895"/>
      <w:bookmarkStart w:id="59" w:name="_Toc274668316"/>
      <w:bookmarkStart w:id="60" w:name="_Toc274474905"/>
      <w:bookmarkStart w:id="61" w:name="_Toc278889775"/>
      <w:bookmarkStart w:id="62" w:name="_Toc274076142"/>
      <w:bookmarkStart w:id="63" w:name="_Toc274075954"/>
      <w:bookmarkStart w:id="64" w:name="_Toc274403530"/>
      <w:bookmarkStart w:id="65" w:name="_Toc274669314"/>
      <w:bookmarkStart w:id="66" w:name="_Toc291435828"/>
      <w:r>
        <w:rPr>
          <w:rFonts w:hint="eastAsia" w:ascii="宋体" w:hAnsi="宋体"/>
          <w:szCs w:val="24"/>
          <w:highlight w:val="none"/>
        </w:rPr>
        <w:t xml:space="preserve"> 合同</w:t>
      </w:r>
      <w:bookmarkEnd w:id="49"/>
      <w:bookmarkEnd w:id="50"/>
      <w:r>
        <w:rPr>
          <w:rFonts w:hint="eastAsia" w:ascii="宋体" w:hAnsi="宋体"/>
          <w:szCs w:val="24"/>
          <w:highlight w:val="none"/>
        </w:rPr>
        <w:t>总价</w:t>
      </w:r>
      <w:bookmarkEnd w:id="51"/>
      <w:bookmarkEnd w:id="52"/>
      <w:r>
        <w:rPr>
          <w:rFonts w:hint="eastAsia" w:ascii="宋体" w:hAnsi="宋体"/>
          <w:szCs w:val="24"/>
          <w:highlight w:val="none"/>
        </w:rPr>
        <w:t>和付款</w:t>
      </w:r>
      <w:bookmarkEnd w:id="53"/>
    </w:p>
    <w:p>
      <w:pPr>
        <w:numPr>
          <w:ilvl w:val="1"/>
          <w:numId w:val="8"/>
        </w:numPr>
        <w:tabs>
          <w:tab w:val="left" w:pos="709"/>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本合同项下的</w:t>
      </w:r>
      <w:r>
        <w:rPr>
          <w:rFonts w:hint="eastAsia" w:ascii="宋体" w:hAnsi="宋体"/>
          <w:sz w:val="24"/>
          <w:highlight w:val="none"/>
        </w:rPr>
        <w:t>合同总价</w:t>
      </w:r>
      <w:r>
        <w:rPr>
          <w:rFonts w:ascii="宋体" w:hAnsi="宋体"/>
          <w:sz w:val="24"/>
          <w:highlight w:val="none"/>
        </w:rPr>
        <w:t>为【</w:t>
      </w:r>
      <w:r>
        <w:rPr>
          <w:rFonts w:ascii="宋体" w:hAnsi="宋体"/>
          <w:i/>
          <w:sz w:val="24"/>
          <w:highlight w:val="none"/>
        </w:rPr>
        <w:t>填入币种英文简写，如RMB</w:t>
      </w:r>
      <w:r>
        <w:rPr>
          <w:rFonts w:ascii="宋体" w:hAnsi="宋体"/>
          <w:sz w:val="24"/>
          <w:highlight w:val="none"/>
        </w:rPr>
        <w:t>】【</w:t>
      </w:r>
      <w:r>
        <w:rPr>
          <w:rFonts w:ascii="宋体" w:hAnsi="宋体"/>
          <w:i/>
          <w:sz w:val="24"/>
          <w:highlight w:val="none"/>
        </w:rPr>
        <w:t>填入小写金额</w:t>
      </w:r>
      <w:r>
        <w:rPr>
          <w:rFonts w:ascii="宋体" w:hAnsi="宋体"/>
          <w:sz w:val="24"/>
          <w:highlight w:val="none"/>
        </w:rPr>
        <w:t>】（大写：【</w:t>
      </w:r>
      <w:r>
        <w:rPr>
          <w:rFonts w:ascii="宋体" w:hAnsi="宋体"/>
          <w:i/>
          <w:sz w:val="24"/>
          <w:highlight w:val="none"/>
        </w:rPr>
        <w:t>填入币种名称，如人民币</w:t>
      </w:r>
      <w:r>
        <w:rPr>
          <w:rFonts w:ascii="宋体" w:hAnsi="宋体"/>
          <w:sz w:val="24"/>
          <w:highlight w:val="none"/>
        </w:rPr>
        <w:t>】【</w:t>
      </w:r>
      <w:r>
        <w:rPr>
          <w:rFonts w:ascii="宋体" w:hAnsi="宋体"/>
          <w:i/>
          <w:sz w:val="24"/>
          <w:highlight w:val="none"/>
        </w:rPr>
        <w:t>填入大写金额</w:t>
      </w:r>
      <w:r>
        <w:rPr>
          <w:rFonts w:ascii="宋体" w:hAnsi="宋体"/>
          <w:sz w:val="24"/>
          <w:highlight w:val="none"/>
        </w:rPr>
        <w:t>】）。合同总价</w:t>
      </w:r>
      <w:r>
        <w:rPr>
          <w:rFonts w:hint="eastAsia" w:ascii="宋体" w:hAnsi="宋体"/>
          <w:sz w:val="24"/>
          <w:highlight w:val="none"/>
        </w:rPr>
        <w:t>为含税</w:t>
      </w:r>
      <w:r>
        <w:rPr>
          <w:rFonts w:ascii="宋体" w:hAnsi="宋体"/>
          <w:sz w:val="24"/>
          <w:highlight w:val="none"/>
        </w:rPr>
        <w:t>（</w:t>
      </w:r>
      <w:r>
        <w:rPr>
          <w:rFonts w:hint="eastAsia" w:ascii="宋体" w:hAnsi="宋体"/>
          <w:sz w:val="24"/>
          <w:highlight w:val="none"/>
        </w:rPr>
        <w:t>包括</w:t>
      </w:r>
      <w:r>
        <w:rPr>
          <w:rFonts w:ascii="宋体" w:hAnsi="宋体"/>
          <w:sz w:val="24"/>
          <w:highlight w:val="none"/>
        </w:rPr>
        <w:t>增值税）</w:t>
      </w:r>
      <w:r>
        <w:rPr>
          <w:rFonts w:hint="eastAsia" w:ascii="宋体" w:hAnsi="宋体"/>
          <w:sz w:val="24"/>
          <w:highlight w:val="none"/>
        </w:rPr>
        <w:t>总金额。其中，</w:t>
      </w:r>
      <w:r>
        <w:rPr>
          <w:rFonts w:ascii="宋体" w:hAnsi="宋体"/>
          <w:sz w:val="24"/>
          <w:highlight w:val="none"/>
        </w:rPr>
        <w:t>不含增值税合同价款为人民币【</w:t>
      </w:r>
      <w:r>
        <w:rPr>
          <w:rFonts w:ascii="宋体" w:hAnsi="宋体"/>
          <w:i/>
          <w:sz w:val="24"/>
          <w:highlight w:val="none"/>
        </w:rPr>
        <w:t>填入币种英文简写，如RMB</w:t>
      </w:r>
      <w:r>
        <w:rPr>
          <w:rFonts w:ascii="宋体" w:hAnsi="宋体"/>
          <w:sz w:val="24"/>
          <w:highlight w:val="none"/>
        </w:rPr>
        <w:t>】【</w:t>
      </w:r>
      <w:r>
        <w:rPr>
          <w:rFonts w:ascii="宋体" w:hAnsi="宋体"/>
          <w:i/>
          <w:sz w:val="24"/>
          <w:highlight w:val="none"/>
        </w:rPr>
        <w:t>填入小写金额</w:t>
      </w:r>
      <w:r>
        <w:rPr>
          <w:rFonts w:ascii="宋体" w:hAnsi="宋体"/>
          <w:sz w:val="24"/>
          <w:highlight w:val="none"/>
        </w:rPr>
        <w:t>】（大写：【</w:t>
      </w:r>
      <w:r>
        <w:rPr>
          <w:rFonts w:ascii="宋体" w:hAnsi="宋体"/>
          <w:i/>
          <w:sz w:val="24"/>
          <w:highlight w:val="none"/>
        </w:rPr>
        <w:t>填入币种名称，如人民币</w:t>
      </w:r>
      <w:r>
        <w:rPr>
          <w:rFonts w:ascii="宋体" w:hAnsi="宋体"/>
          <w:sz w:val="24"/>
          <w:highlight w:val="none"/>
        </w:rPr>
        <w:t>】：【</w:t>
      </w:r>
      <w:r>
        <w:rPr>
          <w:rFonts w:ascii="宋体" w:hAnsi="宋体"/>
          <w:i/>
          <w:sz w:val="24"/>
          <w:highlight w:val="none"/>
        </w:rPr>
        <w:t>填入大写金额</w:t>
      </w:r>
      <w:r>
        <w:rPr>
          <w:rFonts w:ascii="宋体" w:hAnsi="宋体"/>
          <w:sz w:val="24"/>
          <w:highlight w:val="none"/>
        </w:rPr>
        <w:t>】），增值税税率为</w:t>
      </w:r>
      <w:r>
        <w:rPr>
          <w:rFonts w:hint="eastAsia" w:ascii="宋体" w:hAnsi="宋体"/>
          <w:sz w:val="24"/>
          <w:highlight w:val="none"/>
        </w:rPr>
        <w:t>【</w:t>
      </w:r>
      <w:r>
        <w:rPr>
          <w:rFonts w:hint="eastAsia" w:ascii="宋体" w:hAnsi="宋体"/>
          <w:i/>
          <w:sz w:val="24"/>
          <w:highlight w:val="none"/>
        </w:rPr>
        <w:t>填入增值税税率</w:t>
      </w:r>
      <w:r>
        <w:rPr>
          <w:rFonts w:hint="eastAsia" w:ascii="宋体" w:hAnsi="宋体"/>
          <w:sz w:val="24"/>
          <w:highlight w:val="none"/>
        </w:rPr>
        <w:t>】</w:t>
      </w:r>
      <w:r>
        <w:rPr>
          <w:rFonts w:ascii="宋体" w:hAnsi="宋体"/>
          <w:sz w:val="24"/>
          <w:highlight w:val="none"/>
        </w:rPr>
        <w:t>%。</w:t>
      </w:r>
      <w:r>
        <w:rPr>
          <w:rFonts w:hint="eastAsia" w:ascii="宋体" w:hAnsi="宋体"/>
          <w:i/>
          <w:sz w:val="24"/>
          <w:highlight w:val="none"/>
        </w:rPr>
        <w:t>【合同总价的各分项价格和组成详见本合同附件三】</w:t>
      </w:r>
      <w:r>
        <w:rPr>
          <w:rFonts w:hint="eastAsia" w:ascii="宋体" w:hAnsi="宋体"/>
          <w:sz w:val="24"/>
          <w:highlight w:val="none"/>
        </w:rPr>
        <w:t>。</w:t>
      </w:r>
    </w:p>
    <w:p>
      <w:pPr>
        <w:numPr>
          <w:ilvl w:val="1"/>
          <w:numId w:val="8"/>
        </w:numPr>
        <w:tabs>
          <w:tab w:val="left" w:pos="709"/>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合同总价是</w:t>
      </w:r>
      <w:r>
        <w:rPr>
          <w:rFonts w:hint="eastAsia" w:ascii="宋体" w:hAnsi="宋体"/>
          <w:sz w:val="24"/>
          <w:highlight w:val="none"/>
        </w:rPr>
        <w:t>本合同项下</w:t>
      </w:r>
      <w:r>
        <w:rPr>
          <w:rFonts w:ascii="宋体" w:hAnsi="宋体"/>
          <w:sz w:val="24"/>
          <w:highlight w:val="none"/>
        </w:rPr>
        <w:t>乙方完成工作、完整履行本合同，甲方应支付的全部</w:t>
      </w:r>
      <w:r>
        <w:rPr>
          <w:rFonts w:hint="eastAsia" w:ascii="宋体" w:hAnsi="宋体"/>
          <w:sz w:val="24"/>
          <w:highlight w:val="none"/>
        </w:rPr>
        <w:t>金额</w:t>
      </w:r>
      <w:r>
        <w:rPr>
          <w:rFonts w:ascii="宋体" w:hAnsi="宋体"/>
          <w:sz w:val="24"/>
          <w:highlight w:val="none"/>
        </w:rPr>
        <w:t>。</w:t>
      </w:r>
      <w:r>
        <w:rPr>
          <w:rFonts w:hint="eastAsia" w:hAnsi="宋体"/>
          <w:sz w:val="24"/>
          <w:highlight w:val="none"/>
        </w:rPr>
        <w:t>除非根据本合同规定或国家增值税税率调整引起合同总价调整外，</w:t>
      </w:r>
      <w:r>
        <w:rPr>
          <w:rFonts w:hint="eastAsia" w:ascii="宋体" w:hAnsi="宋体"/>
          <w:sz w:val="24"/>
          <w:highlight w:val="none"/>
        </w:rPr>
        <w:t>合同总价为固定价格，不受通货膨胀、利率、汇率、税费、成本及市场等因素变化的影响。</w:t>
      </w:r>
      <w:r>
        <w:rPr>
          <w:sz w:val="24"/>
          <w:highlight w:val="none"/>
        </w:rPr>
        <w:t>为免疑义，如果增值税税率因国家增值税税率调整而发生变化，合同总价自动调整，但不含增值税的合同价款保持不变。</w:t>
      </w:r>
      <w:r>
        <w:rPr>
          <w:rFonts w:hint="eastAsia" w:ascii="宋体" w:hAnsi="宋体"/>
          <w:sz w:val="24"/>
          <w:highlight w:val="none"/>
        </w:rPr>
        <w:t>除非合同另有约定，乙方应承担其在履行合同义务时产生的全部费用和税费。乙方确认，其同意合同总价前已经获得了所有信息并已考虑了所有可能影响成本和费用的因素。为避免歧义，</w:t>
      </w:r>
      <w:r>
        <w:rPr>
          <w:rFonts w:ascii="宋体" w:hAnsi="宋体"/>
          <w:sz w:val="24"/>
          <w:highlight w:val="none"/>
        </w:rPr>
        <w:t>合同总价包括：完成工作所需的设备、器具、材料、供应品、备品备件等的费用；</w:t>
      </w:r>
      <w:r>
        <w:rPr>
          <w:rFonts w:hint="eastAsia" w:ascii="宋体" w:hAnsi="宋体"/>
          <w:sz w:val="24"/>
          <w:highlight w:val="none"/>
        </w:rPr>
        <w:t>直接成本、间接成本、</w:t>
      </w:r>
      <w:r>
        <w:rPr>
          <w:rFonts w:ascii="宋体" w:hAnsi="宋体"/>
          <w:sz w:val="24"/>
          <w:highlight w:val="none"/>
        </w:rPr>
        <w:t>人力成本；履行质量保证责任的费用；与合同相关的所有税费；</w:t>
      </w:r>
      <w:r>
        <w:rPr>
          <w:rFonts w:hint="eastAsia" w:ascii="宋体" w:hAnsi="宋体"/>
          <w:sz w:val="24"/>
          <w:highlight w:val="none"/>
        </w:rPr>
        <w:t>或有费用及合同没有列明但系为实现合同目的所必需的工作和服务费用；乙方所有的风险、义务和责任，以及合同中明确说明由乙方承担的成本和费用等</w:t>
      </w:r>
      <w:r>
        <w:rPr>
          <w:rFonts w:ascii="宋体" w:hAnsi="宋体"/>
          <w:sz w:val="24"/>
          <w:highlight w:val="none"/>
        </w:rPr>
        <w:t>。</w:t>
      </w:r>
    </w:p>
    <w:p>
      <w:pPr>
        <w:numPr>
          <w:ilvl w:val="1"/>
          <w:numId w:val="8"/>
        </w:numPr>
        <w:tabs>
          <w:tab w:val="left" w:pos="709"/>
        </w:tabs>
        <w:adjustRightInd w:val="0"/>
        <w:snapToGrid w:val="0"/>
        <w:spacing w:before="93" w:beforeLines="30" w:after="93" w:afterLines="30" w:line="360" w:lineRule="auto"/>
        <w:ind w:left="709" w:hanging="709"/>
        <w:rPr>
          <w:rFonts w:ascii="宋体" w:hAnsi="宋体"/>
          <w:sz w:val="24"/>
          <w:highlight w:val="none"/>
        </w:rPr>
      </w:pPr>
      <w:r>
        <w:rPr>
          <w:rFonts w:hint="eastAsia" w:ascii="宋体" w:hAnsi="宋体"/>
          <w:sz w:val="24"/>
          <w:highlight w:val="none"/>
        </w:rPr>
        <w:t>双方应根据法律法规各自承担其应承担的与本合同有关的所有税费。甲方有权根据法律法规和本合同的规定从应支付给乙方的合同总价中扣除应由甲方代扣、代缴的乙方应付税费，但应向乙方提供完税证明。</w:t>
      </w:r>
    </w:p>
    <w:p>
      <w:pPr>
        <w:pStyle w:val="28"/>
        <w:numPr>
          <w:ilvl w:val="0"/>
          <w:numId w:val="9"/>
        </w:numPr>
        <w:tabs>
          <w:tab w:val="left" w:pos="851"/>
        </w:tabs>
        <w:adjustRightInd w:val="0"/>
        <w:spacing w:line="360" w:lineRule="auto"/>
        <w:ind w:firstLineChars="0"/>
        <w:contextualSpacing/>
        <w:rPr>
          <w:rFonts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支付货币：</w:t>
      </w:r>
    </w:p>
    <w:p>
      <w:pPr>
        <w:pStyle w:val="28"/>
        <w:tabs>
          <w:tab w:val="left" w:pos="567"/>
        </w:tabs>
        <w:adjustRightInd w:val="0"/>
        <w:spacing w:line="360" w:lineRule="auto"/>
        <w:ind w:left="706" w:leftChars="336" w:firstLine="2" w:firstLineChars="0"/>
        <w:contextualSpacing/>
        <w:rPr>
          <w:rFonts w:ascii="宋体" w:hAnsi="宋体"/>
          <w:sz w:val="24"/>
          <w:highlight w:val="none"/>
        </w:rPr>
      </w:pPr>
      <w:r>
        <w:rPr>
          <w:rFonts w:hint="eastAsia" w:ascii="宋体" w:hAnsi="宋体"/>
          <w:bCs/>
          <w:i/>
          <w:kern w:val="0"/>
          <w:sz w:val="24"/>
          <w:highlight w:val="none"/>
          <w:u w:val="single"/>
        </w:rPr>
        <w:t>请根据实际情况从下列选项中选择其中一项，并将不适用的删除</w:t>
      </w:r>
    </w:p>
    <w:p>
      <w:pPr>
        <w:pStyle w:val="28"/>
        <w:widowControl/>
        <w:tabs>
          <w:tab w:val="left" w:pos="567"/>
        </w:tabs>
        <w:adjustRightInd w:val="0"/>
        <w:spacing w:line="360" w:lineRule="auto"/>
        <w:ind w:left="706" w:leftChars="336" w:firstLine="2" w:firstLineChars="0"/>
        <w:contextualSpacing/>
        <w:jc w:val="left"/>
        <w:rPr>
          <w:rFonts w:ascii="宋体" w:hAnsi="宋体" w:cs="Arial"/>
          <w:bCs/>
          <w:color w:val="44546A"/>
          <w:kern w:val="0"/>
          <w:sz w:val="24"/>
          <w:highlight w:val="none"/>
        </w:rPr>
      </w:pPr>
      <w:r>
        <w:rPr>
          <w:rFonts w:hint="eastAsia" w:ascii="宋体" w:hAnsi="宋体" w:cs="Arial"/>
          <w:color w:val="44546A"/>
          <w:kern w:val="0"/>
          <w:sz w:val="24"/>
          <w:highlight w:val="none"/>
        </w:rPr>
        <w:t>选项一：</w:t>
      </w:r>
      <w:r>
        <w:rPr>
          <w:rFonts w:ascii="宋体" w:hAnsi="宋体" w:cs="Arial"/>
          <w:bCs/>
          <w:color w:val="44546A"/>
          <w:kern w:val="0"/>
          <w:sz w:val="24"/>
          <w:highlight w:val="none"/>
        </w:rPr>
        <w:t xml:space="preserve"> </w:t>
      </w:r>
    </w:p>
    <w:p>
      <w:pPr>
        <w:pStyle w:val="28"/>
        <w:widowControl/>
        <w:tabs>
          <w:tab w:val="left" w:pos="567"/>
        </w:tabs>
        <w:adjustRightInd w:val="0"/>
        <w:spacing w:line="360" w:lineRule="auto"/>
        <w:ind w:left="706" w:leftChars="336" w:firstLine="2" w:firstLineChars="0"/>
        <w:contextualSpacing/>
        <w:jc w:val="left"/>
        <w:rPr>
          <w:rFonts w:ascii="宋体" w:hAnsi="宋体" w:cs="Arial"/>
          <w:bCs/>
          <w:color w:val="44546A"/>
          <w:kern w:val="0"/>
          <w:sz w:val="24"/>
          <w:highlight w:val="none"/>
        </w:rPr>
      </w:pPr>
      <w:r>
        <w:rPr>
          <w:rFonts w:hint="eastAsia" w:ascii="宋体" w:hAnsi="宋体"/>
          <w:sz w:val="24"/>
          <w:highlight w:val="none"/>
        </w:rPr>
        <w:t>本合同项下的所有应付款项均应以</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ascii="宋体" w:hAnsi="宋体"/>
          <w:sz w:val="24"/>
          <w:highlight w:val="none"/>
        </w:rPr>
        <w:t>支付。</w:t>
      </w:r>
    </w:p>
    <w:p>
      <w:pPr>
        <w:widowControl/>
        <w:tabs>
          <w:tab w:val="left" w:pos="567"/>
        </w:tabs>
        <w:adjustRightInd w:val="0"/>
        <w:spacing w:line="360" w:lineRule="auto"/>
        <w:ind w:left="706" w:leftChars="336" w:firstLine="2"/>
        <w:contextualSpacing/>
        <w:jc w:val="left"/>
        <w:rPr>
          <w:rFonts w:ascii="宋体" w:hAnsi="宋体" w:cs="Arial"/>
          <w:bCs/>
          <w:color w:val="44546A"/>
          <w:kern w:val="0"/>
          <w:sz w:val="24"/>
          <w:highlight w:val="none"/>
        </w:rPr>
      </w:pPr>
      <w:r>
        <w:rPr>
          <w:rFonts w:hint="eastAsia" w:ascii="宋体" w:hAnsi="宋体" w:cs="Arial"/>
          <w:color w:val="44546A"/>
          <w:kern w:val="0"/>
          <w:sz w:val="24"/>
          <w:highlight w:val="none"/>
        </w:rPr>
        <w:t>选项二：</w:t>
      </w:r>
      <w:r>
        <w:rPr>
          <w:rFonts w:ascii="宋体" w:hAnsi="宋体" w:cs="Arial"/>
          <w:bCs/>
          <w:color w:val="44546A"/>
          <w:kern w:val="0"/>
          <w:sz w:val="24"/>
          <w:highlight w:val="none"/>
        </w:rPr>
        <w:t xml:space="preserve"> </w:t>
      </w:r>
    </w:p>
    <w:p>
      <w:pPr>
        <w:widowControl/>
        <w:tabs>
          <w:tab w:val="left" w:pos="567"/>
        </w:tabs>
        <w:adjustRightInd w:val="0"/>
        <w:spacing w:line="360" w:lineRule="auto"/>
        <w:ind w:left="706" w:leftChars="336" w:firstLine="2"/>
        <w:contextualSpacing/>
        <w:jc w:val="left"/>
        <w:rPr>
          <w:rFonts w:ascii="宋体" w:hAnsi="宋体" w:cs="Arial"/>
          <w:bCs/>
          <w:color w:val="44546A"/>
          <w:kern w:val="0"/>
          <w:sz w:val="24"/>
          <w:highlight w:val="none"/>
        </w:rPr>
      </w:pPr>
      <w:r>
        <w:rPr>
          <w:rFonts w:hint="eastAsia" w:ascii="宋体" w:hAnsi="宋体"/>
          <w:sz w:val="24"/>
          <w:highlight w:val="none"/>
        </w:rPr>
        <w:t>本合同项下的所有应付款项均应以美元支付，前提是如任何付款的一方受适用的法律限制而无法支付美元，则其有权以等值的</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ascii="宋体" w:hAnsi="宋体"/>
          <w:sz w:val="24"/>
          <w:highlight w:val="none"/>
        </w:rPr>
        <w:t>进行支付。</w:t>
      </w:r>
    </w:p>
    <w:p>
      <w:pPr>
        <w:numPr>
          <w:ilvl w:val="0"/>
          <w:numId w:val="10"/>
        </w:numPr>
        <w:tabs>
          <w:tab w:val="left" w:pos="709"/>
        </w:tabs>
        <w:adjustRightInd w:val="0"/>
        <w:snapToGrid w:val="0"/>
        <w:spacing w:before="93" w:beforeLines="30" w:after="93" w:afterLines="30" w:line="360" w:lineRule="auto"/>
        <w:ind w:hanging="840"/>
        <w:rPr>
          <w:rFonts w:ascii="宋体" w:hAnsi="宋体"/>
          <w:sz w:val="24"/>
          <w:highlight w:val="none"/>
        </w:rPr>
      </w:pPr>
      <w:r>
        <w:rPr>
          <w:rFonts w:hint="eastAsia" w:ascii="宋体" w:hAnsi="宋体"/>
          <w:sz w:val="24"/>
          <w:highlight w:val="none"/>
        </w:rPr>
        <w:t>本合同项下的</w:t>
      </w:r>
      <w:r>
        <w:rPr>
          <w:rFonts w:ascii="宋体" w:hAnsi="宋体"/>
          <w:color w:val="000000"/>
          <w:sz w:val="24"/>
          <w:highlight w:val="none"/>
        </w:rPr>
        <w:t>付款方式：</w:t>
      </w:r>
      <w:r>
        <w:rPr>
          <w:rFonts w:hint="eastAsia" w:ascii="宋体" w:hAnsi="宋体"/>
          <w:color w:val="000000"/>
          <w:sz w:val="24"/>
          <w:highlight w:val="none"/>
        </w:rPr>
        <w:t>【□</w:t>
      </w:r>
      <w:r>
        <w:rPr>
          <w:rFonts w:ascii="宋体" w:hAnsi="宋体"/>
          <w:color w:val="000000"/>
          <w:sz w:val="24"/>
          <w:highlight w:val="none"/>
        </w:rPr>
        <w:t>银行电汇；</w:t>
      </w:r>
      <w:r>
        <w:rPr>
          <w:rFonts w:hint="eastAsia" w:ascii="宋体" w:hAnsi="宋体"/>
          <w:color w:val="000000"/>
          <w:sz w:val="24"/>
          <w:highlight w:val="none"/>
        </w:rPr>
        <w:t>□</w:t>
      </w:r>
      <w:r>
        <w:rPr>
          <w:rFonts w:ascii="宋体" w:hAnsi="宋体"/>
          <w:color w:val="000000"/>
          <w:sz w:val="24"/>
          <w:highlight w:val="none"/>
        </w:rPr>
        <w:t>其它</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pPr>
        <w:numPr>
          <w:ilvl w:val="0"/>
          <w:numId w:val="10"/>
        </w:numPr>
        <w:tabs>
          <w:tab w:val="left" w:pos="709"/>
        </w:tabs>
        <w:adjustRightInd w:val="0"/>
        <w:snapToGrid w:val="0"/>
        <w:spacing w:before="93" w:beforeLines="30" w:after="93" w:afterLines="30" w:line="360" w:lineRule="auto"/>
        <w:ind w:hanging="840"/>
        <w:rPr>
          <w:rFonts w:ascii="宋体" w:hAnsi="宋体"/>
          <w:sz w:val="24"/>
          <w:highlight w:val="none"/>
        </w:rPr>
      </w:pPr>
      <w:r>
        <w:rPr>
          <w:rFonts w:hint="eastAsia" w:ascii="宋体" w:hAnsi="宋体"/>
          <w:sz w:val="24"/>
          <w:highlight w:val="none"/>
        </w:rPr>
        <w:t>付款进度：</w:t>
      </w:r>
    </w:p>
    <w:p>
      <w:pPr>
        <w:pStyle w:val="28"/>
        <w:numPr>
          <w:ilvl w:val="0"/>
          <w:numId w:val="11"/>
        </w:numPr>
        <w:tabs>
          <w:tab w:val="left" w:pos="1276"/>
        </w:tabs>
        <w:adjustRightInd w:val="0"/>
        <w:snapToGrid w:val="0"/>
        <w:spacing w:before="93" w:beforeLines="30" w:after="93" w:afterLines="30" w:line="360" w:lineRule="auto"/>
        <w:ind w:firstLineChars="0"/>
        <w:rPr>
          <w:color w:val="000000"/>
          <w:sz w:val="24"/>
          <w:highlight w:val="none"/>
        </w:rPr>
      </w:pPr>
      <w:r>
        <w:rPr>
          <w:rFonts w:hint="eastAsia"/>
          <w:sz w:val="24"/>
          <w:highlight w:val="none"/>
        </w:rPr>
        <w:t>第一笔付款：</w:t>
      </w:r>
    </w:p>
    <w:p>
      <w:pPr>
        <w:pStyle w:val="28"/>
        <w:tabs>
          <w:tab w:val="left" w:pos="1276"/>
        </w:tabs>
        <w:adjustRightInd w:val="0"/>
        <w:snapToGrid w:val="0"/>
        <w:spacing w:before="93" w:beforeLines="30" w:after="93" w:afterLines="30" w:line="360" w:lineRule="auto"/>
        <w:ind w:left="1128" w:firstLine="0" w:firstLineChars="0"/>
        <w:rPr>
          <w:color w:val="000000"/>
          <w:sz w:val="24"/>
          <w:highlight w:val="none"/>
        </w:rPr>
      </w:pPr>
      <w:r>
        <w:rPr>
          <w:rFonts w:hint="eastAsia"/>
          <w:sz w:val="24"/>
          <w:highlight w:val="none"/>
        </w:rPr>
        <w:t>乙方完成本合同项下的工作、提交工作成果，且验收合格后【</w:t>
      </w:r>
      <w:r>
        <w:rPr>
          <w:rFonts w:hint="eastAsia"/>
          <w:i/>
          <w:sz w:val="24"/>
          <w:highlight w:val="none"/>
        </w:rPr>
        <w:t>填入天数</w:t>
      </w:r>
      <w:r>
        <w:rPr>
          <w:rFonts w:hint="eastAsia"/>
          <w:sz w:val="24"/>
          <w:highlight w:val="none"/>
        </w:rPr>
        <w:t>】日内，甲方应向乙方支付合同总价的【</w:t>
      </w:r>
      <w:r>
        <w:rPr>
          <w:rFonts w:hint="eastAsia"/>
          <w:i/>
          <w:sz w:val="24"/>
          <w:highlight w:val="none"/>
        </w:rPr>
        <w:t>填入百分比</w:t>
      </w:r>
      <w:r>
        <w:rPr>
          <w:rFonts w:hint="eastAsia"/>
          <w:sz w:val="24"/>
          <w:highlight w:val="none"/>
        </w:rPr>
        <w:t>】，即【</w:t>
      </w:r>
      <w:r>
        <w:rPr>
          <w:rFonts w:hint="eastAsia"/>
          <w:i/>
          <w:sz w:val="24"/>
          <w:highlight w:val="none"/>
        </w:rPr>
        <w:t>填入小写金额</w:t>
      </w:r>
      <w:r>
        <w:rPr>
          <w:rFonts w:hint="eastAsia"/>
          <w:sz w:val="24"/>
          <w:highlight w:val="none"/>
        </w:rPr>
        <w:t>】（大写：【</w:t>
      </w:r>
      <w:r>
        <w:rPr>
          <w:rFonts w:hint="eastAsia"/>
          <w:i/>
          <w:sz w:val="24"/>
          <w:highlight w:val="none"/>
        </w:rPr>
        <w:t>填入大写金额</w:t>
      </w:r>
      <w:r>
        <w:rPr>
          <w:rFonts w:hint="eastAsia"/>
          <w:sz w:val="24"/>
          <w:highlight w:val="none"/>
        </w:rPr>
        <w:t>】）；</w:t>
      </w:r>
    </w:p>
    <w:p>
      <w:pPr>
        <w:pStyle w:val="28"/>
        <w:numPr>
          <w:ilvl w:val="0"/>
          <w:numId w:val="11"/>
        </w:numPr>
        <w:tabs>
          <w:tab w:val="left" w:pos="1276"/>
        </w:tabs>
        <w:adjustRightInd w:val="0"/>
        <w:snapToGrid w:val="0"/>
        <w:spacing w:before="93" w:beforeLines="30" w:after="93" w:afterLines="30" w:line="360" w:lineRule="auto"/>
        <w:ind w:firstLineChars="0"/>
        <w:rPr>
          <w:color w:val="000000"/>
          <w:sz w:val="24"/>
          <w:highlight w:val="none"/>
        </w:rPr>
      </w:pPr>
      <w:r>
        <w:rPr>
          <w:rFonts w:hint="eastAsia"/>
          <w:color w:val="000000"/>
          <w:sz w:val="24"/>
          <w:highlight w:val="none"/>
        </w:rPr>
        <w:t>第二笔付款：</w:t>
      </w:r>
    </w:p>
    <w:p>
      <w:pPr>
        <w:pStyle w:val="28"/>
        <w:tabs>
          <w:tab w:val="left" w:pos="1276"/>
        </w:tabs>
        <w:adjustRightInd w:val="0"/>
        <w:snapToGrid w:val="0"/>
        <w:spacing w:before="93" w:beforeLines="30" w:after="93" w:afterLines="30" w:line="360" w:lineRule="auto"/>
        <w:ind w:left="1128" w:firstLine="0" w:firstLineChars="0"/>
        <w:rPr>
          <w:i/>
          <w:sz w:val="24"/>
          <w:highlight w:val="none"/>
          <w:u w:val="single"/>
        </w:rPr>
      </w:pPr>
      <w:r>
        <w:rPr>
          <w:rFonts w:hint="eastAsia"/>
          <w:i/>
          <w:sz w:val="24"/>
          <w:highlight w:val="none"/>
          <w:u w:val="single"/>
        </w:rPr>
        <w:t>选项一：</w:t>
      </w:r>
    </w:p>
    <w:p>
      <w:pPr>
        <w:pStyle w:val="28"/>
        <w:tabs>
          <w:tab w:val="left" w:pos="1276"/>
        </w:tabs>
        <w:adjustRightInd w:val="0"/>
        <w:snapToGrid w:val="0"/>
        <w:spacing w:before="93" w:beforeLines="30" w:after="93" w:afterLines="30" w:line="360" w:lineRule="auto"/>
        <w:ind w:left="1128" w:firstLine="0" w:firstLineChars="0"/>
        <w:rPr>
          <w:sz w:val="24"/>
          <w:highlight w:val="none"/>
        </w:rPr>
      </w:pPr>
      <w:r>
        <w:rPr>
          <w:rFonts w:hint="eastAsia"/>
          <w:sz w:val="24"/>
          <w:highlight w:val="none"/>
        </w:rPr>
        <w:t>合同总价的【</w:t>
      </w:r>
      <w:r>
        <w:rPr>
          <w:rFonts w:hint="eastAsia"/>
          <w:i/>
          <w:sz w:val="24"/>
          <w:highlight w:val="none"/>
        </w:rPr>
        <w:t>填入百分比</w:t>
      </w:r>
      <w:r>
        <w:rPr>
          <w:rFonts w:hint="eastAsia"/>
          <w:sz w:val="24"/>
          <w:highlight w:val="none"/>
        </w:rPr>
        <w:t>】，即【</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】）作为质保金。质保期结束且乙方完整履行质量保证责任后【</w:t>
      </w:r>
      <w:r>
        <w:rPr>
          <w:rFonts w:hint="eastAsia"/>
          <w:i/>
          <w:sz w:val="24"/>
          <w:highlight w:val="none"/>
        </w:rPr>
        <w:t>填入天数</w:t>
      </w:r>
      <w:r>
        <w:rPr>
          <w:rFonts w:hint="eastAsia"/>
          <w:sz w:val="24"/>
          <w:highlight w:val="none"/>
        </w:rPr>
        <w:t>】日内，甲方应向乙方支付该等质保金。</w:t>
      </w:r>
    </w:p>
    <w:p>
      <w:pPr>
        <w:pStyle w:val="28"/>
        <w:tabs>
          <w:tab w:val="left" w:pos="1276"/>
        </w:tabs>
        <w:adjustRightInd w:val="0"/>
        <w:snapToGrid w:val="0"/>
        <w:spacing w:before="93" w:beforeLines="30" w:after="93" w:afterLines="30" w:line="360" w:lineRule="auto"/>
        <w:ind w:left="1128" w:firstLine="0" w:firstLineChars="0"/>
        <w:rPr>
          <w:i/>
          <w:sz w:val="24"/>
          <w:highlight w:val="none"/>
          <w:u w:val="single"/>
        </w:rPr>
      </w:pPr>
      <w:r>
        <w:rPr>
          <w:rFonts w:hint="eastAsia"/>
          <w:i/>
          <w:sz w:val="24"/>
          <w:highlight w:val="none"/>
          <w:u w:val="single"/>
        </w:rPr>
        <w:t>选项二：</w:t>
      </w:r>
    </w:p>
    <w:p>
      <w:pPr>
        <w:pStyle w:val="28"/>
        <w:tabs>
          <w:tab w:val="left" w:pos="1276"/>
        </w:tabs>
        <w:adjustRightInd w:val="0"/>
        <w:snapToGrid w:val="0"/>
        <w:spacing w:before="93" w:beforeLines="30" w:after="93" w:afterLines="30" w:line="360" w:lineRule="auto"/>
        <w:ind w:left="1128" w:firstLine="0" w:firstLineChars="0"/>
        <w:rPr>
          <w:color w:val="000000"/>
          <w:sz w:val="24"/>
          <w:highlight w:val="none"/>
        </w:rPr>
      </w:pPr>
      <w:r>
        <w:rPr>
          <w:rFonts w:hint="eastAsia"/>
          <w:i/>
          <w:sz w:val="24"/>
          <w:highlight w:val="none"/>
        </w:rPr>
        <w:t xml:space="preserve">【填入第二笔合同价款的支付条件和支付时间】 </w:t>
      </w:r>
      <w:r>
        <w:rPr>
          <w:rFonts w:hint="eastAsia"/>
          <w:sz w:val="24"/>
          <w:highlight w:val="none"/>
        </w:rPr>
        <w:t>，</w:t>
      </w:r>
      <w:r>
        <w:rPr>
          <w:rFonts w:hint="eastAsia"/>
          <w:i/>
          <w:sz w:val="24"/>
          <w:highlight w:val="none"/>
        </w:rPr>
        <w:t xml:space="preserve">【甲方向乙方支付合同总价的[填入百分比]即[填入小写金额]（[填入大写金额]）】 </w:t>
      </w:r>
      <w:r>
        <w:rPr>
          <w:rFonts w:hint="eastAsia"/>
          <w:sz w:val="24"/>
          <w:highlight w:val="none"/>
        </w:rPr>
        <w:t>；</w:t>
      </w:r>
    </w:p>
    <w:p>
      <w:pPr>
        <w:numPr>
          <w:ilvl w:val="0"/>
          <w:numId w:val="10"/>
        </w:numPr>
        <w:tabs>
          <w:tab w:val="left" w:pos="709"/>
        </w:tabs>
        <w:adjustRightInd w:val="0"/>
        <w:snapToGrid w:val="0"/>
        <w:spacing w:before="93" w:beforeLines="30" w:after="93" w:afterLines="30" w:line="360" w:lineRule="auto"/>
        <w:ind w:hanging="698"/>
        <w:rPr>
          <w:rFonts w:ascii="宋体" w:hAnsi="宋体"/>
          <w:sz w:val="24"/>
          <w:highlight w:val="none"/>
        </w:rPr>
      </w:pPr>
      <w:r>
        <w:rPr>
          <w:rFonts w:hint="eastAsia" w:ascii="宋体" w:hAnsi="宋体"/>
          <w:color w:val="000000"/>
          <w:sz w:val="24"/>
          <w:highlight w:val="none"/>
        </w:rPr>
        <w:t>乙方应根据合同约定的付款条件和进度，提前向甲方开具符合中国法律法规要求的发票并提供相关支持文件。如乙方提供的服务属于增值税应税范围，乙方应为甲方开具增值税专用发票。如乙方未开具上述发票或提供相关支持文件，甲方有权拒付相关合同价款。如果甲方对乙方出具的该等发票和提供的相关支持文件无异议，应于收到该等发票和相关支持文件之日起【</w:t>
      </w:r>
      <w:r>
        <w:rPr>
          <w:rFonts w:hint="eastAsia" w:ascii="宋体" w:hAnsi="宋体"/>
          <w:i/>
          <w:color w:val="000000"/>
          <w:sz w:val="24"/>
          <w:highlight w:val="none"/>
        </w:rPr>
        <w:t>填入天数</w:t>
      </w:r>
      <w:r>
        <w:rPr>
          <w:rFonts w:hint="eastAsia" w:ascii="宋体" w:hAnsi="宋体"/>
          <w:color w:val="000000"/>
          <w:sz w:val="24"/>
          <w:highlight w:val="none"/>
        </w:rPr>
        <w:t>】日内向乙方付款。</w:t>
      </w:r>
      <w:r>
        <w:rPr>
          <w:color w:val="000000"/>
          <w:sz w:val="24"/>
          <w:highlight w:val="none"/>
        </w:rPr>
        <w:t>如付款到期日非为银行工作日，则付款到期日顺延至下一个银行工作日。</w:t>
      </w:r>
      <w:r>
        <w:rPr>
          <w:rFonts w:hint="eastAsia"/>
          <w:sz w:val="24"/>
          <w:highlight w:val="none"/>
        </w:rPr>
        <w:t>如甲方对乙方开具的该等发票和相关支持文件有异议，应于收到发票及相关支持文件后【</w:t>
      </w:r>
      <w:r>
        <w:rPr>
          <w:rFonts w:hint="eastAsia"/>
          <w:i/>
          <w:sz w:val="24"/>
          <w:highlight w:val="none"/>
        </w:rPr>
        <w:t>填入日期</w:t>
      </w:r>
      <w:r>
        <w:rPr>
          <w:rFonts w:hint="eastAsia"/>
          <w:sz w:val="24"/>
          <w:highlight w:val="none"/>
        </w:rPr>
        <w:t>】日内通知乙方，乙方应重新开具发票和相关支持文件</w:t>
      </w:r>
      <w:r>
        <w:rPr>
          <w:rFonts w:hint="eastAsia" w:hAnsi="宋体"/>
          <w:sz w:val="24"/>
          <w:highlight w:val="none"/>
        </w:rPr>
        <w:t>，</w:t>
      </w:r>
      <w:r>
        <w:rPr>
          <w:color w:val="000000"/>
          <w:sz w:val="24"/>
          <w:highlight w:val="none"/>
        </w:rPr>
        <w:t>甲方应于收到乙方重新开具的发票和相关支持文件后【</w:t>
      </w:r>
      <w:r>
        <w:rPr>
          <w:i/>
          <w:color w:val="000000"/>
          <w:sz w:val="24"/>
          <w:highlight w:val="none"/>
        </w:rPr>
        <w:t>填入天数</w:t>
      </w:r>
      <w:r>
        <w:rPr>
          <w:color w:val="000000"/>
          <w:sz w:val="24"/>
          <w:highlight w:val="none"/>
        </w:rPr>
        <w:t>】日内向乙方付款</w:t>
      </w:r>
      <w:r>
        <w:rPr>
          <w:rFonts w:hint="eastAsia" w:ascii="宋体" w:hAnsi="宋体"/>
          <w:color w:val="000000"/>
          <w:sz w:val="24"/>
          <w:highlight w:val="none"/>
        </w:rPr>
        <w:t>。</w:t>
      </w:r>
    </w:p>
    <w:p>
      <w:pPr>
        <w:numPr>
          <w:ilvl w:val="0"/>
          <w:numId w:val="10"/>
        </w:numPr>
        <w:tabs>
          <w:tab w:val="left" w:pos="709"/>
        </w:tabs>
        <w:adjustRightInd w:val="0"/>
        <w:snapToGrid w:val="0"/>
        <w:spacing w:before="93" w:beforeLines="30" w:after="93" w:afterLines="30" w:line="360" w:lineRule="auto"/>
        <w:ind w:hanging="840"/>
        <w:rPr>
          <w:rFonts w:ascii="宋体" w:hAnsi="宋体"/>
          <w:sz w:val="24"/>
          <w:highlight w:val="none"/>
        </w:rPr>
      </w:pPr>
      <w:r>
        <w:rPr>
          <w:rFonts w:hint="eastAsia" w:ascii="宋体" w:hAnsi="宋体"/>
          <w:sz w:val="24"/>
          <w:highlight w:val="none"/>
        </w:rPr>
        <w:t>乙方</w:t>
      </w:r>
      <w:r>
        <w:rPr>
          <w:rFonts w:ascii="宋体" w:hAnsi="宋体"/>
          <w:sz w:val="24"/>
          <w:highlight w:val="none"/>
        </w:rPr>
        <w:t>账户</w:t>
      </w:r>
    </w:p>
    <w:p>
      <w:pPr>
        <w:tabs>
          <w:tab w:val="left" w:pos="709"/>
          <w:tab w:val="left" w:pos="1418"/>
        </w:tabs>
        <w:adjustRightInd w:val="0"/>
        <w:snapToGrid w:val="0"/>
        <w:spacing w:before="93" w:beforeLines="30" w:after="93" w:afterLines="30" w:line="360" w:lineRule="auto"/>
        <w:ind w:left="708" w:leftChars="337"/>
        <w:rPr>
          <w:rFonts w:ascii="宋体" w:hAnsi="宋体"/>
          <w:sz w:val="24"/>
          <w:highlight w:val="none"/>
        </w:rPr>
      </w:pPr>
      <w:r>
        <w:rPr>
          <w:rFonts w:ascii="宋体" w:hAnsi="宋体"/>
          <w:sz w:val="24"/>
          <w:highlight w:val="none"/>
        </w:rPr>
        <w:t>乙方应通过如下账户收取合同总价及其它款项，并通过该账户向甲方支付与合同有关的任何款项：</w:t>
      </w:r>
    </w:p>
    <w:p>
      <w:pPr>
        <w:tabs>
          <w:tab w:val="left" w:pos="709"/>
          <w:tab w:val="left" w:pos="1418"/>
        </w:tabs>
        <w:adjustRightInd w:val="0"/>
        <w:snapToGrid w:val="0"/>
        <w:spacing w:before="93" w:beforeLines="30" w:after="93" w:afterLines="30" w:line="360" w:lineRule="auto"/>
        <w:ind w:left="708" w:leftChars="337" w:right="3066" w:rightChars="1460"/>
        <w:rPr>
          <w:rFonts w:ascii="宋体" w:hAnsi="宋体"/>
          <w:sz w:val="24"/>
          <w:highlight w:val="none"/>
        </w:rPr>
      </w:pPr>
      <w:r>
        <w:rPr>
          <w:rFonts w:ascii="宋体" w:hAnsi="宋体"/>
          <w:sz w:val="24"/>
          <w:highlight w:val="none"/>
        </w:rPr>
        <w:t>乙方名称：</w:t>
      </w:r>
      <w:r>
        <w:rPr>
          <w:rFonts w:hint="eastAsia" w:ascii="宋体" w:hAnsi="宋体"/>
          <w:sz w:val="24"/>
          <w:highlight w:val="none"/>
          <w:u w:val="single"/>
        </w:rPr>
        <w:t xml:space="preserve">                            </w:t>
      </w:r>
      <w:r>
        <w:rPr>
          <w:rFonts w:ascii="宋体" w:hAnsi="宋体"/>
          <w:sz w:val="24"/>
          <w:highlight w:val="none"/>
        </w:rPr>
        <w:t xml:space="preserve"> </w:t>
      </w:r>
    </w:p>
    <w:p>
      <w:pPr>
        <w:tabs>
          <w:tab w:val="left" w:pos="709"/>
          <w:tab w:val="left" w:pos="1418"/>
        </w:tabs>
        <w:adjustRightInd w:val="0"/>
        <w:snapToGrid w:val="0"/>
        <w:spacing w:before="93" w:beforeLines="30" w:after="93" w:afterLines="30" w:line="360" w:lineRule="auto"/>
        <w:ind w:left="708" w:leftChars="337" w:right="3066" w:rightChars="1460"/>
        <w:rPr>
          <w:rFonts w:ascii="宋体" w:hAnsi="宋体"/>
          <w:sz w:val="24"/>
          <w:highlight w:val="none"/>
        </w:rPr>
      </w:pPr>
      <w:r>
        <w:rPr>
          <w:rFonts w:ascii="宋体" w:hAnsi="宋体"/>
          <w:sz w:val="24"/>
          <w:highlight w:val="none"/>
        </w:rPr>
        <w:t>账号：</w:t>
      </w:r>
      <w:r>
        <w:rPr>
          <w:rFonts w:hint="eastAsia" w:ascii="宋体" w:hAnsi="宋体"/>
          <w:sz w:val="24"/>
          <w:highlight w:val="none"/>
          <w:u w:val="single"/>
        </w:rPr>
        <w:t xml:space="preserve">                                 </w:t>
      </w:r>
    </w:p>
    <w:p>
      <w:pPr>
        <w:tabs>
          <w:tab w:val="left" w:pos="709"/>
          <w:tab w:val="left" w:pos="1418"/>
        </w:tabs>
        <w:adjustRightInd w:val="0"/>
        <w:snapToGrid w:val="0"/>
        <w:spacing w:before="93" w:beforeLines="30" w:after="93" w:afterLines="30" w:line="360" w:lineRule="auto"/>
        <w:ind w:left="708" w:leftChars="337" w:right="3066" w:rightChars="1460"/>
        <w:rPr>
          <w:rFonts w:ascii="宋体" w:hAnsi="宋体"/>
          <w:sz w:val="24"/>
          <w:highlight w:val="none"/>
        </w:rPr>
      </w:pPr>
      <w:r>
        <w:rPr>
          <w:rFonts w:ascii="宋体" w:hAnsi="宋体"/>
          <w:sz w:val="24"/>
          <w:highlight w:val="none"/>
        </w:rPr>
        <w:t>开户行名称：</w:t>
      </w:r>
      <w:bookmarkStart w:id="67" w:name="OLE_LINK44"/>
      <w:bookmarkStart w:id="68" w:name="OLE_LINK42"/>
      <w:bookmarkStart w:id="69" w:name="OLE_LINK43"/>
      <w:bookmarkStart w:id="70" w:name="OLE_LINK41"/>
      <w:bookmarkStart w:id="71" w:name="OLE_LINK40"/>
      <w:r>
        <w:rPr>
          <w:rFonts w:hint="eastAsia" w:ascii="宋体" w:hAnsi="宋体"/>
          <w:sz w:val="24"/>
          <w:highlight w:val="none"/>
          <w:u w:val="single"/>
        </w:rPr>
        <w:t xml:space="preserve">                          </w:t>
      </w:r>
      <w:r>
        <w:rPr>
          <w:rFonts w:ascii="宋体" w:hAnsi="宋体"/>
          <w:sz w:val="24"/>
          <w:highlight w:val="none"/>
        </w:rPr>
        <w:t xml:space="preserve"> </w:t>
      </w:r>
      <w:bookmarkEnd w:id="67"/>
      <w:bookmarkEnd w:id="68"/>
      <w:bookmarkEnd w:id="69"/>
    </w:p>
    <w:bookmarkEnd w:id="70"/>
    <w:bookmarkEnd w:id="71"/>
    <w:p>
      <w:pPr>
        <w:tabs>
          <w:tab w:val="left" w:pos="709"/>
          <w:tab w:val="left" w:pos="1418"/>
        </w:tabs>
        <w:adjustRightInd w:val="0"/>
        <w:snapToGrid w:val="0"/>
        <w:spacing w:before="93" w:beforeLines="30" w:after="93" w:afterLines="30" w:line="360" w:lineRule="auto"/>
        <w:ind w:left="708" w:leftChars="337" w:right="3066" w:rightChars="1460"/>
        <w:rPr>
          <w:rFonts w:ascii="宋体" w:hAnsi="宋体"/>
          <w:sz w:val="24"/>
          <w:highlight w:val="none"/>
        </w:rPr>
      </w:pPr>
      <w:r>
        <w:rPr>
          <w:rFonts w:ascii="宋体" w:hAnsi="宋体"/>
          <w:sz w:val="24"/>
          <w:highlight w:val="none"/>
        </w:rPr>
        <w:t>开户行地址：</w:t>
      </w:r>
      <w:r>
        <w:rPr>
          <w:rFonts w:hint="eastAsia" w:ascii="宋体" w:hAnsi="宋体"/>
          <w:sz w:val="24"/>
          <w:highlight w:val="none"/>
          <w:u w:val="single"/>
        </w:rPr>
        <w:t xml:space="preserve">                          </w:t>
      </w:r>
      <w:r>
        <w:rPr>
          <w:rFonts w:ascii="宋体" w:hAnsi="宋体"/>
          <w:sz w:val="24"/>
          <w:highlight w:val="none"/>
        </w:rPr>
        <w:t xml:space="preserve">  </w:t>
      </w:r>
    </w:p>
    <w:p>
      <w:pPr>
        <w:pStyle w:val="43"/>
        <w:tabs>
          <w:tab w:val="clear" w:pos="720"/>
        </w:tabs>
        <w:adjustRightInd w:val="0"/>
        <w:snapToGrid w:val="0"/>
        <w:spacing w:before="93" w:beforeLines="30" w:after="93" w:afterLines="30" w:line="360" w:lineRule="auto"/>
        <w:jc w:val="left"/>
        <w:rPr>
          <w:rFonts w:ascii="宋体" w:hAnsi="宋体"/>
          <w:szCs w:val="24"/>
          <w:highlight w:val="none"/>
        </w:rPr>
      </w:pPr>
      <w:bookmarkStart w:id="72" w:name="_Toc364839363"/>
      <w:bookmarkStart w:id="73" w:name="_Toc299912665"/>
      <w:bookmarkStart w:id="74" w:name="_Toc299915681"/>
      <w:r>
        <w:rPr>
          <w:rFonts w:hint="eastAsia" w:ascii="宋体" w:hAnsi="宋体"/>
          <w:szCs w:val="24"/>
          <w:highlight w:val="none"/>
        </w:rPr>
        <w:t xml:space="preserve"> 工作期限</w:t>
      </w:r>
      <w:bookmarkEnd w:id="72"/>
    </w:p>
    <w:p>
      <w:pPr>
        <w:pStyle w:val="10"/>
        <w:numPr>
          <w:ilvl w:val="0"/>
          <w:numId w:val="12"/>
        </w:numPr>
        <w:tabs>
          <w:tab w:val="left" w:pos="709"/>
        </w:tabs>
        <w:autoSpaceDE w:val="0"/>
        <w:autoSpaceDN w:val="0"/>
        <w:adjustRightInd w:val="0"/>
        <w:spacing w:before="93" w:beforeLines="30" w:after="93" w:afterLines="30" w:line="360" w:lineRule="auto"/>
        <w:ind w:left="709" w:hanging="709"/>
        <w:rPr>
          <w:rFonts w:ascii="宋体" w:hAnsi="宋体" w:eastAsia="宋体"/>
          <w:sz w:val="24"/>
          <w:szCs w:val="24"/>
          <w:highlight w:val="none"/>
        </w:rPr>
      </w:pPr>
      <w:r>
        <w:rPr>
          <w:rFonts w:hint="eastAsia" w:ascii="宋体" w:hAnsi="宋体" w:eastAsia="宋体"/>
          <w:sz w:val="24"/>
          <w:szCs w:val="24"/>
          <w:highlight w:val="none"/>
        </w:rPr>
        <w:t>工作期限为：【</w:t>
      </w:r>
      <w:r>
        <w:rPr>
          <w:rFonts w:hint="eastAsia" w:ascii="宋体" w:hAnsi="宋体" w:eastAsia="宋体"/>
          <w:i/>
          <w:sz w:val="24"/>
          <w:szCs w:val="24"/>
          <w:highlight w:val="none"/>
        </w:rPr>
        <w:t>[填写工作开始日]至[填写工作完成日]</w:t>
      </w:r>
      <w:r>
        <w:rPr>
          <w:rFonts w:ascii="宋体" w:hAnsi="宋体" w:eastAsia="宋体"/>
          <w:i/>
          <w:sz w:val="24"/>
          <w:szCs w:val="24"/>
          <w:highlight w:val="none"/>
        </w:rPr>
        <w:t>,</w:t>
      </w:r>
      <w:r>
        <w:rPr>
          <w:rFonts w:hint="eastAsia" w:ascii="宋体" w:hAnsi="宋体" w:eastAsia="宋体"/>
          <w:i/>
          <w:sz w:val="24"/>
          <w:szCs w:val="24"/>
          <w:highlight w:val="none"/>
        </w:rPr>
        <w:t>或填写“详见本合同附件二</w:t>
      </w:r>
      <w:r>
        <w:rPr>
          <w:rFonts w:ascii="宋体" w:hAnsi="宋体" w:eastAsia="宋体"/>
          <w:i/>
          <w:sz w:val="24"/>
          <w:szCs w:val="24"/>
          <w:highlight w:val="none"/>
        </w:rPr>
        <w:t>”</w:t>
      </w:r>
      <w:r>
        <w:rPr>
          <w:rFonts w:hint="eastAsia" w:ascii="宋体" w:hAnsi="宋体" w:eastAsia="宋体"/>
          <w:sz w:val="24"/>
          <w:szCs w:val="24"/>
          <w:highlight w:val="none"/>
        </w:rPr>
        <w:t>】 ；</w:t>
      </w:r>
    </w:p>
    <w:p>
      <w:pPr>
        <w:pStyle w:val="10"/>
        <w:numPr>
          <w:ilvl w:val="0"/>
          <w:numId w:val="12"/>
        </w:numPr>
        <w:tabs>
          <w:tab w:val="left" w:pos="709"/>
        </w:tabs>
        <w:autoSpaceDE w:val="0"/>
        <w:autoSpaceDN w:val="0"/>
        <w:adjustRightInd w:val="0"/>
        <w:spacing w:before="93" w:beforeLines="30" w:after="93" w:afterLines="30" w:line="360" w:lineRule="auto"/>
        <w:ind w:left="709" w:hanging="709"/>
        <w:rPr>
          <w:rFonts w:ascii="宋体" w:hAnsi="宋体" w:eastAsia="宋体"/>
          <w:sz w:val="24"/>
          <w:szCs w:val="24"/>
          <w:highlight w:val="none"/>
        </w:rPr>
      </w:pPr>
      <w:r>
        <w:rPr>
          <w:rFonts w:hint="eastAsia" w:ascii="宋体" w:hAnsi="宋体" w:eastAsia="宋体"/>
          <w:sz w:val="24"/>
          <w:szCs w:val="24"/>
          <w:highlight w:val="none"/>
        </w:rPr>
        <w:t>工作进度为：【</w:t>
      </w:r>
      <w:r>
        <w:rPr>
          <w:rFonts w:hint="eastAsia" w:ascii="宋体" w:hAnsi="宋体" w:eastAsia="宋体"/>
          <w:i/>
          <w:sz w:val="24"/>
          <w:szCs w:val="24"/>
          <w:highlight w:val="none"/>
        </w:rPr>
        <w:t>[填写工作进度]</w:t>
      </w:r>
      <w:r>
        <w:rPr>
          <w:rFonts w:ascii="宋体" w:hAnsi="宋体" w:eastAsia="宋体"/>
          <w:i/>
          <w:sz w:val="24"/>
          <w:szCs w:val="24"/>
          <w:highlight w:val="none"/>
        </w:rPr>
        <w:t>,</w:t>
      </w:r>
      <w:r>
        <w:rPr>
          <w:rFonts w:hint="eastAsia" w:ascii="宋体" w:hAnsi="宋体" w:eastAsia="宋体"/>
          <w:i/>
          <w:sz w:val="24"/>
          <w:szCs w:val="24"/>
          <w:highlight w:val="none"/>
        </w:rPr>
        <w:t>或填写“详见本合同附件二</w:t>
      </w:r>
      <w:r>
        <w:rPr>
          <w:rFonts w:ascii="宋体" w:hAnsi="宋体" w:eastAsia="宋体"/>
          <w:i/>
          <w:sz w:val="24"/>
          <w:szCs w:val="24"/>
          <w:highlight w:val="none"/>
        </w:rPr>
        <w:t>”</w:t>
      </w:r>
      <w:r>
        <w:rPr>
          <w:rFonts w:hint="eastAsia" w:ascii="宋体" w:hAnsi="宋体" w:eastAsia="宋体"/>
          <w:sz w:val="24"/>
          <w:szCs w:val="24"/>
          <w:highlight w:val="none"/>
        </w:rPr>
        <w:t>】</w:t>
      </w:r>
    </w:p>
    <w:p>
      <w:pPr>
        <w:pStyle w:val="10"/>
        <w:numPr>
          <w:ilvl w:val="0"/>
          <w:numId w:val="12"/>
        </w:numPr>
        <w:tabs>
          <w:tab w:val="left" w:pos="709"/>
        </w:tabs>
        <w:autoSpaceDE w:val="0"/>
        <w:autoSpaceDN w:val="0"/>
        <w:adjustRightInd w:val="0"/>
        <w:spacing w:before="93" w:beforeLines="30" w:after="93" w:afterLines="30" w:line="360" w:lineRule="auto"/>
        <w:ind w:left="709" w:hanging="709"/>
        <w:rPr>
          <w:rFonts w:ascii="宋体" w:hAnsi="宋体" w:eastAsia="宋体"/>
          <w:sz w:val="24"/>
          <w:szCs w:val="24"/>
          <w:highlight w:val="none"/>
        </w:rPr>
      </w:pPr>
      <w:r>
        <w:rPr>
          <w:rFonts w:ascii="宋体" w:hAnsi="宋体" w:eastAsia="宋体"/>
          <w:sz w:val="24"/>
          <w:szCs w:val="24"/>
          <w:highlight w:val="none"/>
        </w:rPr>
        <w:t>乙方</w:t>
      </w:r>
      <w:r>
        <w:rPr>
          <w:rFonts w:hint="eastAsia" w:ascii="宋体" w:hAnsi="宋体" w:eastAsia="宋体"/>
          <w:sz w:val="24"/>
          <w:szCs w:val="24"/>
          <w:highlight w:val="none"/>
        </w:rPr>
        <w:t>应严格根据工作进度和工作期限，提供合同项下的服务，</w:t>
      </w:r>
      <w:r>
        <w:rPr>
          <w:rFonts w:ascii="宋体" w:hAnsi="宋体" w:eastAsia="宋体"/>
          <w:sz w:val="24"/>
          <w:szCs w:val="24"/>
          <w:highlight w:val="none"/>
        </w:rPr>
        <w:t>完成合同</w:t>
      </w:r>
      <w:r>
        <w:rPr>
          <w:rFonts w:hint="eastAsia" w:ascii="宋体" w:hAnsi="宋体" w:eastAsia="宋体"/>
          <w:sz w:val="24"/>
          <w:szCs w:val="24"/>
          <w:highlight w:val="none"/>
        </w:rPr>
        <w:t>项下的全部</w:t>
      </w:r>
      <w:r>
        <w:rPr>
          <w:rFonts w:ascii="宋体" w:hAnsi="宋体" w:eastAsia="宋体"/>
          <w:sz w:val="24"/>
          <w:szCs w:val="24"/>
          <w:highlight w:val="none"/>
        </w:rPr>
        <w:t>工作，履行合同</w:t>
      </w:r>
      <w:r>
        <w:rPr>
          <w:rFonts w:hint="eastAsia" w:ascii="宋体" w:hAnsi="宋体" w:eastAsia="宋体"/>
          <w:sz w:val="24"/>
          <w:szCs w:val="24"/>
          <w:highlight w:val="none"/>
        </w:rPr>
        <w:t>约</w:t>
      </w:r>
      <w:r>
        <w:rPr>
          <w:rFonts w:ascii="宋体" w:hAnsi="宋体" w:eastAsia="宋体"/>
          <w:sz w:val="24"/>
          <w:szCs w:val="24"/>
          <w:highlight w:val="none"/>
        </w:rPr>
        <w:t>定的义务</w:t>
      </w:r>
      <w:r>
        <w:rPr>
          <w:rFonts w:hint="eastAsia" w:ascii="宋体" w:hAnsi="宋体" w:eastAsia="宋体"/>
          <w:sz w:val="24"/>
          <w:szCs w:val="24"/>
          <w:highlight w:val="none"/>
        </w:rPr>
        <w:t>，向甲方提交工作成果。</w:t>
      </w:r>
    </w:p>
    <w:p>
      <w:pPr>
        <w:pStyle w:val="10"/>
        <w:numPr>
          <w:ilvl w:val="0"/>
          <w:numId w:val="12"/>
        </w:numPr>
        <w:tabs>
          <w:tab w:val="left" w:pos="709"/>
        </w:tabs>
        <w:autoSpaceDE w:val="0"/>
        <w:autoSpaceDN w:val="0"/>
        <w:adjustRightInd w:val="0"/>
        <w:spacing w:before="93" w:beforeLines="30" w:after="93" w:afterLines="30" w:line="360" w:lineRule="auto"/>
        <w:ind w:left="709" w:hanging="709"/>
        <w:rPr>
          <w:rFonts w:ascii="宋体" w:hAnsi="宋体" w:eastAsia="宋体"/>
          <w:color w:val="000000"/>
          <w:sz w:val="24"/>
          <w:szCs w:val="24"/>
          <w:highlight w:val="none"/>
        </w:rPr>
      </w:pPr>
      <w:r>
        <w:rPr>
          <w:rFonts w:hint="eastAsia" w:ascii="宋体" w:hAnsi="宋体" w:eastAsia="宋体"/>
          <w:color w:val="000000"/>
          <w:sz w:val="24"/>
          <w:szCs w:val="24"/>
          <w:highlight w:val="none"/>
        </w:rPr>
        <w:t>乙方应提供高效、及时的服务，确保服务实际进度符合工作进度和工作期限的要求。</w:t>
      </w:r>
    </w:p>
    <w:p>
      <w:pPr>
        <w:pStyle w:val="43"/>
        <w:tabs>
          <w:tab w:val="clear" w:pos="720"/>
        </w:tabs>
        <w:adjustRightInd w:val="0"/>
        <w:snapToGrid w:val="0"/>
        <w:spacing w:before="93" w:beforeLines="30" w:after="93" w:afterLines="30" w:line="360" w:lineRule="auto"/>
        <w:jc w:val="left"/>
        <w:rPr>
          <w:rFonts w:ascii="宋体" w:hAnsi="宋体"/>
          <w:szCs w:val="24"/>
          <w:highlight w:val="none"/>
        </w:rPr>
      </w:pPr>
      <w:bookmarkStart w:id="75" w:name="_Toc299915683"/>
      <w:bookmarkStart w:id="76" w:name="_Toc364839364"/>
      <w:r>
        <w:rPr>
          <w:rFonts w:hint="eastAsia" w:ascii="宋体" w:hAnsi="宋体"/>
          <w:szCs w:val="24"/>
          <w:highlight w:val="none"/>
        </w:rPr>
        <w:t xml:space="preserve"> 乙方人员</w:t>
      </w:r>
      <w:bookmarkEnd w:id="75"/>
      <w:bookmarkEnd w:id="76"/>
    </w:p>
    <w:p>
      <w:pPr>
        <w:numPr>
          <w:ilvl w:val="1"/>
          <w:numId w:val="13"/>
        </w:numPr>
        <w:tabs>
          <w:tab w:val="left" w:pos="709"/>
          <w:tab w:val="clear" w:pos="540"/>
        </w:tabs>
        <w:adjustRightInd w:val="0"/>
        <w:snapToGrid w:val="0"/>
        <w:spacing w:before="93" w:beforeLines="30" w:after="93" w:afterLines="30" w:line="360" w:lineRule="auto"/>
        <w:ind w:left="709" w:hanging="709"/>
        <w:rPr>
          <w:rFonts w:ascii="宋体" w:hAnsi="宋体"/>
          <w:sz w:val="24"/>
          <w:highlight w:val="none"/>
        </w:rPr>
      </w:pPr>
      <w:r>
        <w:rPr>
          <w:rFonts w:hint="eastAsia" w:ascii="宋体" w:hAnsi="宋体"/>
          <w:sz w:val="24"/>
          <w:highlight w:val="none"/>
        </w:rPr>
        <w:t>一般要求：</w:t>
      </w:r>
    </w:p>
    <w:p>
      <w:pPr>
        <w:numPr>
          <w:ilvl w:val="0"/>
          <w:numId w:val="14"/>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ascii="宋体" w:hAnsi="宋体"/>
          <w:sz w:val="24"/>
          <w:highlight w:val="none"/>
        </w:rPr>
        <w:t>乙方应选聘、组织充足、适格、有经验的人员执行、完成</w:t>
      </w:r>
      <w:r>
        <w:rPr>
          <w:rFonts w:hint="eastAsia" w:ascii="宋体" w:hAnsi="宋体"/>
          <w:sz w:val="24"/>
          <w:highlight w:val="none"/>
        </w:rPr>
        <w:t>本合同项下的工作</w:t>
      </w:r>
      <w:r>
        <w:rPr>
          <w:rFonts w:ascii="宋体" w:hAnsi="宋体"/>
          <w:sz w:val="24"/>
          <w:highlight w:val="none"/>
        </w:rPr>
        <w:t>。</w:t>
      </w:r>
    </w:p>
    <w:p>
      <w:pPr>
        <w:numPr>
          <w:ilvl w:val="0"/>
          <w:numId w:val="14"/>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ascii="宋体" w:hAnsi="宋体"/>
          <w:sz w:val="24"/>
          <w:highlight w:val="none"/>
        </w:rPr>
        <w:t>本合同履行过程中，乙方应对其员工的报酬、福利、社会保险、</w:t>
      </w:r>
      <w:r>
        <w:rPr>
          <w:rFonts w:hint="eastAsia" w:ascii="宋体" w:hAnsi="宋体"/>
          <w:sz w:val="24"/>
          <w:highlight w:val="none"/>
        </w:rPr>
        <w:t>商业保险、</w:t>
      </w:r>
      <w:r>
        <w:rPr>
          <w:rFonts w:ascii="宋体" w:hAnsi="宋体"/>
          <w:sz w:val="24"/>
          <w:highlight w:val="none"/>
        </w:rPr>
        <w:t>食宿、交通负责，相关费用已包含于合同</w:t>
      </w:r>
      <w:r>
        <w:rPr>
          <w:rFonts w:hint="eastAsia" w:ascii="宋体" w:hAnsi="宋体"/>
          <w:sz w:val="24"/>
          <w:highlight w:val="none"/>
        </w:rPr>
        <w:t>总价</w:t>
      </w:r>
      <w:r>
        <w:rPr>
          <w:rFonts w:ascii="宋体" w:hAnsi="宋体"/>
          <w:sz w:val="24"/>
          <w:highlight w:val="none"/>
        </w:rPr>
        <w:t>中。</w:t>
      </w:r>
    </w:p>
    <w:p>
      <w:pPr>
        <w:numPr>
          <w:ilvl w:val="0"/>
          <w:numId w:val="14"/>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ascii="宋体" w:hAnsi="宋体"/>
          <w:sz w:val="24"/>
          <w:highlight w:val="none"/>
        </w:rPr>
        <w:t>本合同履行过程中，乙方应建立并维系合法、适当的劳动关系。</w:t>
      </w:r>
    </w:p>
    <w:p>
      <w:pPr>
        <w:numPr>
          <w:ilvl w:val="0"/>
          <w:numId w:val="14"/>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ascii="宋体" w:hAnsi="宋体"/>
          <w:sz w:val="24"/>
          <w:highlight w:val="none"/>
        </w:rPr>
        <w:t>乙方应采取措施确保其工作人员在执行工作过程中严格遵守本合同和法律法规的规定。</w:t>
      </w:r>
    </w:p>
    <w:p>
      <w:pPr>
        <w:numPr>
          <w:ilvl w:val="0"/>
          <w:numId w:val="14"/>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ascii="宋体" w:hAnsi="宋体"/>
          <w:sz w:val="24"/>
          <w:highlight w:val="none"/>
        </w:rPr>
        <w:t>甲方有权要求乙方更换其</w:t>
      </w:r>
      <w:r>
        <w:rPr>
          <w:rFonts w:hint="eastAsia" w:ascii="宋体" w:hAnsi="宋体"/>
          <w:sz w:val="24"/>
          <w:highlight w:val="none"/>
        </w:rPr>
        <w:t>工作</w:t>
      </w:r>
      <w:r>
        <w:rPr>
          <w:rFonts w:ascii="宋体" w:hAnsi="宋体"/>
          <w:sz w:val="24"/>
          <w:highlight w:val="none"/>
        </w:rPr>
        <w:t>人员，乙方应严格执行甲方的要求。</w:t>
      </w:r>
    </w:p>
    <w:p>
      <w:pPr>
        <w:numPr>
          <w:ilvl w:val="1"/>
          <w:numId w:val="13"/>
        </w:numPr>
        <w:tabs>
          <w:tab w:val="left" w:pos="709"/>
          <w:tab w:val="clear" w:pos="540"/>
        </w:tabs>
        <w:adjustRightInd w:val="0"/>
        <w:snapToGrid w:val="0"/>
        <w:spacing w:before="93" w:beforeLines="30" w:after="93" w:afterLines="30" w:line="360" w:lineRule="auto"/>
        <w:ind w:left="709" w:hanging="709"/>
        <w:rPr>
          <w:rFonts w:ascii="宋体" w:hAnsi="宋体"/>
          <w:sz w:val="24"/>
          <w:highlight w:val="none"/>
        </w:rPr>
      </w:pPr>
      <w:r>
        <w:rPr>
          <w:rFonts w:hint="eastAsia" w:ascii="宋体" w:hAnsi="宋体"/>
          <w:sz w:val="24"/>
          <w:highlight w:val="none"/>
        </w:rPr>
        <w:t>乙方代表：</w:t>
      </w:r>
    </w:p>
    <w:p>
      <w:pPr>
        <w:numPr>
          <w:ilvl w:val="1"/>
          <w:numId w:val="15"/>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hint="eastAsia" w:ascii="宋体" w:hAnsi="宋体"/>
          <w:sz w:val="24"/>
          <w:highlight w:val="none"/>
        </w:rPr>
        <w:t>乙方开始提供本合同项下的服务（“开始日”）</w:t>
      </w:r>
      <w:r>
        <w:rPr>
          <w:rFonts w:ascii="宋体" w:hAnsi="宋体"/>
          <w:sz w:val="24"/>
          <w:highlight w:val="none"/>
        </w:rPr>
        <w:t>前，乙方应以书面方式任命一名有经验、具备相应能力和资质的人员担任乙方代表，全权代表乙方履行本合同。乙方任命乙方代表应获得甲方的事先书面批准；未经甲方事先书面批准，乙方不得更换乙方代表。</w:t>
      </w:r>
    </w:p>
    <w:p>
      <w:pPr>
        <w:numPr>
          <w:ilvl w:val="1"/>
          <w:numId w:val="15"/>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ascii="宋体" w:hAnsi="宋体"/>
          <w:sz w:val="24"/>
          <w:highlight w:val="none"/>
        </w:rPr>
        <w:t>乙方代表向甲方发出的任何与本合同有关的书面通知、请示、要求、批准和确认构成对乙方有约束力的文件。</w:t>
      </w:r>
    </w:p>
    <w:p>
      <w:pPr>
        <w:numPr>
          <w:ilvl w:val="1"/>
          <w:numId w:val="15"/>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ascii="宋体" w:hAnsi="宋体"/>
          <w:sz w:val="24"/>
          <w:highlight w:val="none"/>
        </w:rPr>
        <w:t>甲方可要求乙方更换乙方代表，乙方应根据甲方的要求予以更换。</w:t>
      </w:r>
    </w:p>
    <w:p>
      <w:pPr>
        <w:numPr>
          <w:ilvl w:val="1"/>
          <w:numId w:val="13"/>
        </w:numPr>
        <w:tabs>
          <w:tab w:val="left" w:pos="709"/>
          <w:tab w:val="clear" w:pos="540"/>
        </w:tabs>
        <w:adjustRightInd w:val="0"/>
        <w:snapToGrid w:val="0"/>
        <w:spacing w:before="93" w:beforeLines="30" w:after="93" w:afterLines="30" w:line="360" w:lineRule="auto"/>
        <w:ind w:left="709" w:hanging="709"/>
        <w:rPr>
          <w:rFonts w:ascii="宋体" w:hAnsi="宋体"/>
          <w:sz w:val="24"/>
          <w:highlight w:val="none"/>
        </w:rPr>
      </w:pPr>
      <w:bookmarkStart w:id="77" w:name="_Toc299550327"/>
      <w:bookmarkStart w:id="78" w:name="_Toc299550435"/>
      <w:r>
        <w:rPr>
          <w:rFonts w:hint="eastAsia" w:ascii="宋体" w:hAnsi="宋体"/>
          <w:sz w:val="24"/>
          <w:highlight w:val="none"/>
        </w:rPr>
        <w:t>乙方关键人员：</w:t>
      </w:r>
      <w:bookmarkEnd w:id="77"/>
      <w:bookmarkEnd w:id="78"/>
      <w:r>
        <w:rPr>
          <w:rFonts w:hint="eastAsia" w:ascii="宋体" w:hAnsi="宋体"/>
          <w:sz w:val="24"/>
          <w:highlight w:val="none"/>
        </w:rPr>
        <w:t xml:space="preserve"> </w:t>
      </w:r>
    </w:p>
    <w:p>
      <w:pPr>
        <w:numPr>
          <w:ilvl w:val="2"/>
          <w:numId w:val="16"/>
        </w:numPr>
        <w:adjustRightInd w:val="0"/>
        <w:snapToGrid w:val="0"/>
        <w:spacing w:before="93" w:beforeLines="30" w:after="93" w:afterLines="30" w:line="360" w:lineRule="auto"/>
        <w:ind w:hanging="551"/>
        <w:rPr>
          <w:rFonts w:ascii="宋体" w:hAnsi="宋体"/>
          <w:sz w:val="24"/>
          <w:highlight w:val="none"/>
        </w:rPr>
      </w:pPr>
      <w:bookmarkStart w:id="79" w:name="_Toc299550436"/>
      <w:bookmarkStart w:id="80" w:name="_Toc299550328"/>
      <w:r>
        <w:rPr>
          <w:rFonts w:hint="eastAsia" w:ascii="宋体" w:hAnsi="宋体"/>
          <w:sz w:val="24"/>
          <w:highlight w:val="none"/>
        </w:rPr>
        <w:t>开始日前，甲乙双方应以书面方式确定乙方关键人员的清单【</w:t>
      </w:r>
      <w:r>
        <w:rPr>
          <w:rFonts w:hint="eastAsia" w:ascii="宋体" w:hAnsi="宋体"/>
          <w:i/>
          <w:sz w:val="24"/>
          <w:highlight w:val="none"/>
        </w:rPr>
        <w:t>详见本合同附件四</w:t>
      </w:r>
      <w:r>
        <w:rPr>
          <w:rFonts w:hint="eastAsia" w:ascii="宋体" w:hAnsi="宋体"/>
          <w:sz w:val="24"/>
          <w:highlight w:val="none"/>
        </w:rPr>
        <w:t>】，该等人员应具备其职责要求的资质和能力。</w:t>
      </w:r>
      <w:bookmarkEnd w:id="79"/>
      <w:bookmarkEnd w:id="80"/>
    </w:p>
    <w:p>
      <w:pPr>
        <w:numPr>
          <w:ilvl w:val="2"/>
          <w:numId w:val="16"/>
        </w:numPr>
        <w:tabs>
          <w:tab w:val="left" w:pos="1276"/>
        </w:tabs>
        <w:adjustRightInd w:val="0"/>
        <w:snapToGrid w:val="0"/>
        <w:spacing w:before="93" w:beforeLines="30" w:after="93" w:afterLines="30" w:line="360" w:lineRule="auto"/>
        <w:ind w:hanging="551"/>
        <w:rPr>
          <w:rFonts w:ascii="宋体" w:hAnsi="宋体"/>
          <w:sz w:val="24"/>
          <w:highlight w:val="none"/>
        </w:rPr>
      </w:pPr>
      <w:r>
        <w:rPr>
          <w:rFonts w:ascii="宋体" w:hAnsi="宋体"/>
          <w:sz w:val="24"/>
          <w:highlight w:val="none"/>
        </w:rPr>
        <w:t>乙方关键人员的变更应获得甲方的事先书面同意，任何乙方关键人员的变更不得对工作期限、工作实际进度、工作质量或工作的执行产生不利影响。被更换的乙方关键人员应与新人员工作一段时间，以确保工作顺利交接。</w:t>
      </w:r>
    </w:p>
    <w:p>
      <w:pPr>
        <w:numPr>
          <w:ilvl w:val="2"/>
          <w:numId w:val="16"/>
        </w:numPr>
        <w:tabs>
          <w:tab w:val="left" w:pos="1276"/>
        </w:tabs>
        <w:adjustRightInd w:val="0"/>
        <w:snapToGrid w:val="0"/>
        <w:spacing w:before="93" w:beforeLines="30" w:after="93" w:afterLines="30" w:line="360" w:lineRule="auto"/>
        <w:ind w:hanging="551"/>
        <w:rPr>
          <w:rFonts w:ascii="宋体" w:hAnsi="宋体"/>
          <w:sz w:val="24"/>
          <w:highlight w:val="none"/>
        </w:rPr>
      </w:pPr>
      <w:bookmarkStart w:id="81" w:name="_Toc299912668"/>
      <w:bookmarkStart w:id="82" w:name="_Toc299915684"/>
      <w:r>
        <w:rPr>
          <w:rFonts w:hint="eastAsia" w:ascii="宋体" w:hAnsi="宋体"/>
          <w:sz w:val="24"/>
          <w:highlight w:val="none"/>
        </w:rPr>
        <w:t>甲方可要求更换乙方关键人员，乙方应根据甲方的要求予以更换。</w:t>
      </w:r>
    </w:p>
    <w:bookmarkEnd w:id="81"/>
    <w:bookmarkEnd w:id="82"/>
    <w:p>
      <w:pPr>
        <w:pStyle w:val="43"/>
        <w:tabs>
          <w:tab w:val="clear" w:pos="720"/>
        </w:tabs>
        <w:adjustRightInd w:val="0"/>
        <w:snapToGrid w:val="0"/>
        <w:spacing w:before="93" w:beforeLines="30" w:after="93" w:afterLines="30" w:line="360" w:lineRule="auto"/>
        <w:jc w:val="left"/>
        <w:rPr>
          <w:rFonts w:ascii="宋体" w:hAnsi="宋体"/>
          <w:szCs w:val="24"/>
          <w:highlight w:val="none"/>
        </w:rPr>
      </w:pPr>
      <w:bookmarkStart w:id="83" w:name="_Toc364839366"/>
      <w:bookmarkStart w:id="84" w:name="_Toc299915685"/>
      <w:bookmarkStart w:id="85" w:name="_Toc276828339"/>
      <w:r>
        <w:rPr>
          <w:rFonts w:hint="eastAsia" w:ascii="宋体" w:hAnsi="宋体"/>
          <w:bCs w:val="0"/>
          <w:szCs w:val="24"/>
          <w:highlight w:val="none"/>
        </w:rPr>
        <w:t xml:space="preserve"> 工作</w:t>
      </w:r>
      <w:r>
        <w:rPr>
          <w:rFonts w:hint="eastAsia" w:ascii="宋体" w:hAnsi="宋体"/>
          <w:szCs w:val="24"/>
          <w:highlight w:val="none"/>
        </w:rPr>
        <w:t>设施</w:t>
      </w:r>
      <w:bookmarkEnd w:id="83"/>
      <w:bookmarkEnd w:id="84"/>
    </w:p>
    <w:p>
      <w:pPr>
        <w:numPr>
          <w:ilvl w:val="1"/>
          <w:numId w:val="17"/>
        </w:numPr>
        <w:tabs>
          <w:tab w:val="left" w:pos="709"/>
          <w:tab w:val="left" w:pos="1080"/>
          <w:tab w:val="clear" w:pos="540"/>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乙方应及时提供完成服务所需的全部办公场所、设施、设备、材料、器具等（“</w:t>
      </w:r>
      <w:r>
        <w:rPr>
          <w:rFonts w:hint="eastAsia" w:ascii="宋体" w:hAnsi="宋体"/>
          <w:sz w:val="24"/>
          <w:highlight w:val="none"/>
        </w:rPr>
        <w:t>工作</w:t>
      </w:r>
      <w:r>
        <w:rPr>
          <w:rFonts w:ascii="宋体" w:hAnsi="宋体"/>
          <w:sz w:val="24"/>
          <w:highlight w:val="none"/>
        </w:rPr>
        <w:t>设施”）。</w:t>
      </w:r>
    </w:p>
    <w:p>
      <w:pPr>
        <w:numPr>
          <w:ilvl w:val="1"/>
          <w:numId w:val="17"/>
        </w:numPr>
        <w:tabs>
          <w:tab w:val="left" w:pos="709"/>
          <w:tab w:val="left" w:pos="1080"/>
          <w:tab w:val="clear" w:pos="540"/>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乙方保证，其提供的工作设施应处于良好的工作状态，符合本合同和法律法规的要求，不存在影响服务提供的缺陷，具备完成相关服务及其通常的用途。</w:t>
      </w:r>
    </w:p>
    <w:p>
      <w:pPr>
        <w:numPr>
          <w:ilvl w:val="1"/>
          <w:numId w:val="17"/>
        </w:numPr>
        <w:tabs>
          <w:tab w:val="left" w:pos="709"/>
          <w:tab w:val="left" w:pos="1080"/>
          <w:tab w:val="clear" w:pos="540"/>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如甲方发现工作设施存在缺陷或不符合本合同的</w:t>
      </w:r>
      <w:r>
        <w:rPr>
          <w:rFonts w:hint="eastAsia" w:ascii="宋体" w:hAnsi="宋体"/>
          <w:sz w:val="24"/>
          <w:highlight w:val="none"/>
        </w:rPr>
        <w:t>约</w:t>
      </w:r>
      <w:r>
        <w:rPr>
          <w:rFonts w:ascii="宋体" w:hAnsi="宋体"/>
          <w:sz w:val="24"/>
          <w:highlight w:val="none"/>
        </w:rPr>
        <w:t>定，有权要求乙方进行修理和更换，乙方不得因工作设施的修理或更换要求调整合同价</w:t>
      </w:r>
      <w:r>
        <w:rPr>
          <w:rFonts w:hint="eastAsia" w:ascii="宋体" w:hAnsi="宋体"/>
          <w:sz w:val="24"/>
          <w:highlight w:val="none"/>
        </w:rPr>
        <w:t>款</w:t>
      </w:r>
      <w:r>
        <w:rPr>
          <w:rFonts w:ascii="宋体" w:hAnsi="宋体"/>
          <w:sz w:val="24"/>
          <w:highlight w:val="none"/>
        </w:rPr>
        <w:t>或延长工作期限。</w:t>
      </w:r>
    </w:p>
    <w:bookmarkEnd w:id="85"/>
    <w:p>
      <w:pPr>
        <w:pStyle w:val="43"/>
        <w:tabs>
          <w:tab w:val="clear" w:pos="720"/>
        </w:tabs>
        <w:adjustRightInd w:val="0"/>
        <w:snapToGrid w:val="0"/>
        <w:spacing w:before="93" w:beforeLines="30" w:after="93" w:afterLines="30" w:line="360" w:lineRule="auto"/>
        <w:jc w:val="left"/>
        <w:rPr>
          <w:rFonts w:ascii="宋体" w:hAnsi="宋体"/>
          <w:szCs w:val="24"/>
          <w:highlight w:val="none"/>
        </w:rPr>
      </w:pPr>
      <w:bookmarkStart w:id="86" w:name="_Toc364839367"/>
      <w:bookmarkStart w:id="87" w:name="_Toc299915686"/>
      <w:r>
        <w:rPr>
          <w:rFonts w:hint="eastAsia" w:ascii="宋体" w:hAnsi="宋体"/>
          <w:szCs w:val="24"/>
          <w:highlight w:val="none"/>
        </w:rPr>
        <w:t xml:space="preserve"> 监督检查</w:t>
      </w:r>
      <w:bookmarkEnd w:id="86"/>
      <w:bookmarkEnd w:id="87"/>
    </w:p>
    <w:p>
      <w:pPr>
        <w:numPr>
          <w:ilvl w:val="1"/>
          <w:numId w:val="18"/>
        </w:numPr>
        <w:tabs>
          <w:tab w:val="clear" w:pos="540"/>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甲方或其聘任的第三方有权（包括进入乙方工作场地）对乙方工作进度、质量、安全等进行监督和检查。</w:t>
      </w:r>
    </w:p>
    <w:p>
      <w:pPr>
        <w:numPr>
          <w:ilvl w:val="1"/>
          <w:numId w:val="18"/>
        </w:numPr>
        <w:tabs>
          <w:tab w:val="left" w:pos="709"/>
          <w:tab w:val="clear" w:pos="540"/>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乙方应</w:t>
      </w:r>
      <w:r>
        <w:rPr>
          <w:rFonts w:hint="eastAsia" w:ascii="宋体" w:hAnsi="宋体"/>
          <w:sz w:val="24"/>
          <w:highlight w:val="none"/>
        </w:rPr>
        <w:t>积极</w:t>
      </w:r>
      <w:r>
        <w:rPr>
          <w:rFonts w:ascii="宋体" w:hAnsi="宋体"/>
          <w:sz w:val="24"/>
          <w:highlight w:val="none"/>
        </w:rPr>
        <w:t>配合甲方</w:t>
      </w:r>
      <w:r>
        <w:rPr>
          <w:rFonts w:hint="eastAsia" w:ascii="宋体" w:hAnsi="宋体"/>
          <w:sz w:val="24"/>
          <w:highlight w:val="none"/>
        </w:rPr>
        <w:t>或其聘任的第三方</w:t>
      </w:r>
      <w:r>
        <w:rPr>
          <w:rFonts w:ascii="宋体" w:hAnsi="宋体"/>
          <w:sz w:val="24"/>
          <w:highlight w:val="none"/>
        </w:rPr>
        <w:t>的</w:t>
      </w:r>
      <w:r>
        <w:rPr>
          <w:rFonts w:hint="eastAsia" w:ascii="宋体" w:hAnsi="宋体"/>
          <w:sz w:val="24"/>
          <w:highlight w:val="none"/>
        </w:rPr>
        <w:t>监督检查，确保甲方及其聘任的第三方人员有权及时进入相关场地，并</w:t>
      </w:r>
      <w:r>
        <w:rPr>
          <w:rFonts w:ascii="宋体" w:hAnsi="宋体"/>
          <w:sz w:val="24"/>
          <w:highlight w:val="none"/>
        </w:rPr>
        <w:t>为</w:t>
      </w:r>
      <w:r>
        <w:rPr>
          <w:rFonts w:hint="eastAsia" w:ascii="宋体" w:hAnsi="宋体"/>
          <w:sz w:val="24"/>
          <w:highlight w:val="none"/>
        </w:rPr>
        <w:t>该等人员</w:t>
      </w:r>
      <w:r>
        <w:rPr>
          <w:rFonts w:ascii="宋体" w:hAnsi="宋体"/>
          <w:sz w:val="24"/>
          <w:highlight w:val="none"/>
        </w:rPr>
        <w:t>提供足够的</w:t>
      </w:r>
      <w:r>
        <w:rPr>
          <w:rFonts w:hint="eastAsia" w:ascii="宋体" w:hAnsi="宋体"/>
          <w:sz w:val="24"/>
          <w:highlight w:val="none"/>
        </w:rPr>
        <w:t>支持和便利。乙方应</w:t>
      </w:r>
      <w:r>
        <w:rPr>
          <w:rFonts w:ascii="宋体" w:hAnsi="宋体"/>
          <w:sz w:val="24"/>
          <w:highlight w:val="none"/>
        </w:rPr>
        <w:t>指</w:t>
      </w:r>
      <w:r>
        <w:rPr>
          <w:rFonts w:hint="eastAsia" w:ascii="宋体" w:hAnsi="宋体"/>
          <w:sz w:val="24"/>
          <w:highlight w:val="none"/>
        </w:rPr>
        <w:t>派</w:t>
      </w:r>
      <w:r>
        <w:rPr>
          <w:rFonts w:ascii="宋体" w:hAnsi="宋体"/>
          <w:sz w:val="24"/>
          <w:highlight w:val="none"/>
        </w:rPr>
        <w:t>专人</w:t>
      </w:r>
      <w:r>
        <w:rPr>
          <w:rFonts w:hint="eastAsia" w:ascii="宋体" w:hAnsi="宋体"/>
          <w:sz w:val="24"/>
          <w:highlight w:val="none"/>
        </w:rPr>
        <w:t>负责与甲方或其聘任的第三方</w:t>
      </w:r>
      <w:r>
        <w:rPr>
          <w:rFonts w:ascii="宋体" w:hAnsi="宋体"/>
          <w:sz w:val="24"/>
          <w:highlight w:val="none"/>
        </w:rPr>
        <w:t>联系，</w:t>
      </w:r>
      <w:r>
        <w:rPr>
          <w:rFonts w:hint="eastAsia" w:ascii="宋体" w:hAnsi="宋体"/>
          <w:sz w:val="24"/>
          <w:highlight w:val="none"/>
        </w:rPr>
        <w:t>根据甲方要求，</w:t>
      </w:r>
      <w:r>
        <w:rPr>
          <w:rFonts w:ascii="宋体" w:hAnsi="宋体"/>
          <w:sz w:val="24"/>
          <w:highlight w:val="none"/>
        </w:rPr>
        <w:t>提供</w:t>
      </w:r>
      <w:r>
        <w:rPr>
          <w:rFonts w:hint="eastAsia" w:ascii="宋体" w:hAnsi="宋体"/>
          <w:sz w:val="24"/>
          <w:highlight w:val="none"/>
        </w:rPr>
        <w:t>服务</w:t>
      </w:r>
      <w:r>
        <w:rPr>
          <w:rFonts w:ascii="宋体" w:hAnsi="宋体"/>
          <w:sz w:val="24"/>
          <w:highlight w:val="none"/>
        </w:rPr>
        <w:t>进度、</w:t>
      </w:r>
      <w:r>
        <w:rPr>
          <w:rFonts w:hint="eastAsia" w:ascii="宋体" w:hAnsi="宋体"/>
          <w:sz w:val="24"/>
          <w:highlight w:val="none"/>
        </w:rPr>
        <w:t>计划、</w:t>
      </w:r>
      <w:r>
        <w:rPr>
          <w:rFonts w:ascii="宋体" w:hAnsi="宋体"/>
          <w:sz w:val="24"/>
          <w:highlight w:val="none"/>
        </w:rPr>
        <w:t>质量、存在</w:t>
      </w:r>
      <w:r>
        <w:rPr>
          <w:rFonts w:hint="eastAsia" w:ascii="宋体" w:hAnsi="宋体"/>
          <w:sz w:val="24"/>
          <w:highlight w:val="none"/>
        </w:rPr>
        <w:t>的</w:t>
      </w:r>
      <w:r>
        <w:rPr>
          <w:rFonts w:ascii="宋体" w:hAnsi="宋体"/>
          <w:sz w:val="24"/>
          <w:highlight w:val="none"/>
        </w:rPr>
        <w:t>问题、预防及整改措施</w:t>
      </w:r>
      <w:r>
        <w:rPr>
          <w:rFonts w:hint="eastAsia" w:ascii="宋体" w:hAnsi="宋体"/>
          <w:sz w:val="24"/>
          <w:highlight w:val="none"/>
        </w:rPr>
        <w:t>及其它</w:t>
      </w:r>
      <w:r>
        <w:rPr>
          <w:rFonts w:ascii="宋体" w:hAnsi="宋体"/>
          <w:sz w:val="24"/>
          <w:highlight w:val="none"/>
        </w:rPr>
        <w:t>服务</w:t>
      </w:r>
      <w:r>
        <w:rPr>
          <w:rFonts w:hint="eastAsia" w:ascii="宋体" w:hAnsi="宋体"/>
          <w:sz w:val="24"/>
          <w:highlight w:val="none"/>
        </w:rPr>
        <w:t>信息。</w:t>
      </w:r>
    </w:p>
    <w:p>
      <w:pPr>
        <w:numPr>
          <w:ilvl w:val="1"/>
          <w:numId w:val="18"/>
        </w:numPr>
        <w:tabs>
          <w:tab w:val="left" w:pos="709"/>
          <w:tab w:val="clear" w:pos="540"/>
        </w:tabs>
        <w:adjustRightInd w:val="0"/>
        <w:snapToGrid w:val="0"/>
        <w:spacing w:before="93" w:beforeLines="30" w:after="93" w:afterLines="30" w:line="360" w:lineRule="auto"/>
        <w:ind w:left="709" w:hanging="709"/>
        <w:rPr>
          <w:rFonts w:ascii="宋体" w:hAnsi="宋体"/>
          <w:color w:val="000000"/>
          <w:sz w:val="24"/>
          <w:highlight w:val="none"/>
        </w:rPr>
      </w:pPr>
      <w:r>
        <w:rPr>
          <w:rFonts w:hint="eastAsia" w:ascii="宋体" w:hAnsi="宋体"/>
          <w:sz w:val="24"/>
          <w:highlight w:val="none"/>
        </w:rPr>
        <w:t>在监督检查过程中，</w:t>
      </w:r>
      <w:r>
        <w:rPr>
          <w:rFonts w:hint="eastAsia" w:ascii="宋体" w:hAnsi="宋体"/>
          <w:color w:val="000000"/>
          <w:sz w:val="24"/>
          <w:highlight w:val="none"/>
        </w:rPr>
        <w:t>如发现乙方的工作实际进度无法达到工作期限的要求，或乙方的工作存在任何缺陷、瑕疵、疏漏或不符合本合同的约定，乙方应按甲方要求提出和实施改进和补救措施（包括但不限于增加人员、设备、倒班次数、服务时间等），乙方应承担因此产生的全部责任和费用，乙方无权就改进和补救措施要求调整工作期限或增加费用。</w:t>
      </w:r>
      <w:r>
        <w:rPr>
          <w:rFonts w:ascii="宋体" w:hAnsi="宋体"/>
          <w:color w:val="000000"/>
          <w:sz w:val="24"/>
          <w:highlight w:val="none"/>
        </w:rPr>
        <w:t>如甲方认为乙方</w:t>
      </w:r>
      <w:r>
        <w:rPr>
          <w:rFonts w:hint="eastAsia" w:ascii="宋体" w:hAnsi="宋体"/>
          <w:color w:val="000000"/>
          <w:sz w:val="24"/>
          <w:highlight w:val="none"/>
        </w:rPr>
        <w:t>采取改进或补救措施后仍不能确保按时</w:t>
      </w:r>
      <w:r>
        <w:rPr>
          <w:rFonts w:ascii="宋体" w:hAnsi="宋体"/>
          <w:color w:val="000000"/>
          <w:sz w:val="24"/>
          <w:highlight w:val="none"/>
        </w:rPr>
        <w:t>完成某项</w:t>
      </w:r>
      <w:r>
        <w:rPr>
          <w:rFonts w:hint="eastAsia" w:ascii="宋体" w:hAnsi="宋体"/>
          <w:color w:val="000000"/>
          <w:sz w:val="24"/>
          <w:highlight w:val="none"/>
        </w:rPr>
        <w:t>服务</w:t>
      </w:r>
      <w:r>
        <w:rPr>
          <w:rFonts w:ascii="宋体" w:hAnsi="宋体"/>
          <w:color w:val="000000"/>
          <w:sz w:val="24"/>
          <w:highlight w:val="none"/>
        </w:rPr>
        <w:t>且将影响</w:t>
      </w:r>
      <w:r>
        <w:rPr>
          <w:rFonts w:hint="eastAsia" w:ascii="宋体" w:hAnsi="宋体"/>
          <w:color w:val="000000"/>
          <w:sz w:val="24"/>
          <w:highlight w:val="none"/>
        </w:rPr>
        <w:t>整体工作期限</w:t>
      </w:r>
      <w:r>
        <w:rPr>
          <w:rFonts w:ascii="宋体" w:hAnsi="宋体"/>
          <w:color w:val="000000"/>
          <w:sz w:val="24"/>
          <w:highlight w:val="none"/>
        </w:rPr>
        <w:t>，甲方有权委托第三方</w:t>
      </w:r>
      <w:r>
        <w:rPr>
          <w:rFonts w:hint="eastAsia" w:ascii="宋体" w:hAnsi="宋体"/>
          <w:color w:val="000000"/>
          <w:sz w:val="24"/>
          <w:highlight w:val="none"/>
        </w:rPr>
        <w:t>完成相关服务</w:t>
      </w:r>
      <w:r>
        <w:rPr>
          <w:rFonts w:ascii="宋体" w:hAnsi="宋体"/>
          <w:color w:val="000000"/>
          <w:sz w:val="24"/>
          <w:highlight w:val="none"/>
        </w:rPr>
        <w:t>，</w:t>
      </w:r>
      <w:r>
        <w:rPr>
          <w:rFonts w:hint="eastAsia" w:ascii="宋体" w:hAnsi="宋体"/>
          <w:color w:val="000000"/>
          <w:sz w:val="24"/>
          <w:highlight w:val="none"/>
        </w:rPr>
        <w:t>因此</w:t>
      </w:r>
      <w:r>
        <w:rPr>
          <w:rFonts w:ascii="宋体" w:hAnsi="宋体"/>
          <w:color w:val="000000"/>
          <w:sz w:val="24"/>
          <w:highlight w:val="none"/>
        </w:rPr>
        <w:t>发生的费用由乙方</w:t>
      </w:r>
      <w:r>
        <w:rPr>
          <w:rFonts w:hint="eastAsia" w:ascii="宋体" w:hAnsi="宋体"/>
          <w:color w:val="000000"/>
          <w:sz w:val="24"/>
          <w:highlight w:val="none"/>
        </w:rPr>
        <w:t>承担</w:t>
      </w:r>
      <w:r>
        <w:rPr>
          <w:rFonts w:ascii="宋体" w:hAnsi="宋体"/>
          <w:color w:val="000000"/>
          <w:sz w:val="24"/>
          <w:highlight w:val="none"/>
        </w:rPr>
        <w:t>，甲方有权</w:t>
      </w:r>
      <w:r>
        <w:rPr>
          <w:rFonts w:hint="eastAsia" w:ascii="宋体" w:hAnsi="宋体"/>
          <w:color w:val="000000"/>
          <w:sz w:val="24"/>
          <w:highlight w:val="none"/>
        </w:rPr>
        <w:t>直接</w:t>
      </w:r>
      <w:r>
        <w:rPr>
          <w:rFonts w:ascii="宋体" w:hAnsi="宋体"/>
          <w:color w:val="000000"/>
          <w:sz w:val="24"/>
          <w:highlight w:val="none"/>
        </w:rPr>
        <w:t>从</w:t>
      </w:r>
      <w:r>
        <w:rPr>
          <w:rFonts w:hint="eastAsia" w:ascii="宋体" w:hAnsi="宋体"/>
          <w:color w:val="000000"/>
          <w:sz w:val="24"/>
          <w:highlight w:val="none"/>
        </w:rPr>
        <w:t>合同总价</w:t>
      </w:r>
      <w:r>
        <w:rPr>
          <w:rFonts w:ascii="宋体" w:hAnsi="宋体"/>
          <w:color w:val="000000"/>
          <w:sz w:val="24"/>
          <w:highlight w:val="none"/>
        </w:rPr>
        <w:t>中扣除该等费用</w:t>
      </w:r>
      <w:r>
        <w:rPr>
          <w:rFonts w:hint="eastAsia" w:ascii="宋体" w:hAnsi="宋体"/>
          <w:color w:val="000000"/>
          <w:sz w:val="24"/>
          <w:highlight w:val="none"/>
        </w:rPr>
        <w:t>。</w:t>
      </w:r>
      <w:bookmarkStart w:id="88" w:name="_Toc276761482"/>
      <w:bookmarkStart w:id="89" w:name="_Toc276842701"/>
      <w:bookmarkStart w:id="90" w:name="_Toc276888372"/>
      <w:bookmarkStart w:id="91" w:name="_Toc276760527"/>
      <w:bookmarkStart w:id="92" w:name="_Toc276888305"/>
    </w:p>
    <w:bookmarkEnd w:id="88"/>
    <w:bookmarkEnd w:id="89"/>
    <w:bookmarkEnd w:id="90"/>
    <w:bookmarkEnd w:id="91"/>
    <w:bookmarkEnd w:id="92"/>
    <w:p>
      <w:pPr>
        <w:pStyle w:val="43"/>
        <w:tabs>
          <w:tab w:val="clear" w:pos="720"/>
        </w:tabs>
        <w:adjustRightInd w:val="0"/>
        <w:snapToGrid w:val="0"/>
        <w:spacing w:before="93" w:beforeLines="30" w:after="93" w:afterLines="30" w:line="360" w:lineRule="auto"/>
        <w:jc w:val="left"/>
        <w:rPr>
          <w:rFonts w:ascii="宋体" w:hAnsi="宋体"/>
          <w:szCs w:val="24"/>
          <w:highlight w:val="none"/>
        </w:rPr>
      </w:pPr>
      <w:bookmarkStart w:id="93" w:name="_Toc299915687"/>
      <w:bookmarkStart w:id="94" w:name="_Toc364839368"/>
      <w:r>
        <w:rPr>
          <w:rFonts w:hint="eastAsia" w:ascii="宋体" w:hAnsi="宋体"/>
          <w:szCs w:val="24"/>
          <w:highlight w:val="none"/>
        </w:rPr>
        <w:t xml:space="preserve"> 工作成果及验收</w:t>
      </w:r>
      <w:bookmarkEnd w:id="93"/>
      <w:bookmarkEnd w:id="94"/>
    </w:p>
    <w:p>
      <w:pPr>
        <w:numPr>
          <w:ilvl w:val="1"/>
          <w:numId w:val="19"/>
        </w:numPr>
        <w:tabs>
          <w:tab w:val="left" w:pos="709"/>
        </w:tabs>
        <w:adjustRightInd w:val="0"/>
        <w:snapToGrid w:val="0"/>
        <w:spacing w:before="93" w:beforeLines="30" w:after="93" w:afterLines="30" w:line="360" w:lineRule="auto"/>
        <w:ind w:left="709" w:hanging="709"/>
        <w:rPr>
          <w:rFonts w:ascii="宋体" w:hAnsi="宋体"/>
          <w:bCs/>
          <w:sz w:val="24"/>
          <w:highlight w:val="none"/>
        </w:rPr>
      </w:pPr>
      <w:r>
        <w:rPr>
          <w:rFonts w:hint="eastAsia" w:ascii="宋体" w:hAnsi="宋体"/>
          <w:color w:val="000000"/>
          <w:sz w:val="24"/>
          <w:highlight w:val="none"/>
        </w:rPr>
        <w:t>乙方于工作期限结束前应提供符合本合同要求的工作成果，并对工作</w:t>
      </w:r>
      <w:r>
        <w:rPr>
          <w:rFonts w:ascii="宋体" w:hAnsi="宋体"/>
          <w:color w:val="000000"/>
          <w:sz w:val="24"/>
          <w:highlight w:val="none"/>
        </w:rPr>
        <w:t>成果的</w:t>
      </w:r>
      <w:r>
        <w:rPr>
          <w:rFonts w:hint="eastAsia" w:ascii="宋体" w:hAnsi="宋体"/>
          <w:color w:val="000000"/>
          <w:sz w:val="24"/>
          <w:highlight w:val="none"/>
        </w:rPr>
        <w:t>准确</w:t>
      </w:r>
      <w:r>
        <w:rPr>
          <w:rFonts w:ascii="宋体" w:hAnsi="宋体"/>
          <w:color w:val="000000"/>
          <w:sz w:val="24"/>
          <w:highlight w:val="none"/>
        </w:rPr>
        <w:t>性、完整性负责。</w:t>
      </w:r>
      <w:r>
        <w:rPr>
          <w:rFonts w:hint="eastAsia" w:ascii="宋体" w:hAnsi="宋体"/>
          <w:sz w:val="24"/>
          <w:highlight w:val="none"/>
        </w:rPr>
        <w:t>双方应根据合同约定对乙方工作及工作成果进行验收，</w:t>
      </w:r>
      <w:r>
        <w:rPr>
          <w:rFonts w:hint="eastAsia" w:ascii="宋体" w:hAnsi="宋体"/>
          <w:bCs/>
          <w:sz w:val="24"/>
          <w:highlight w:val="none"/>
        </w:rPr>
        <w:t>验收的时间、地点、方式、验收标准、条件及双方的责任和义务【</w:t>
      </w:r>
      <w:r>
        <w:rPr>
          <w:rFonts w:hint="eastAsia" w:ascii="宋体" w:hAnsi="宋体"/>
          <w:bCs/>
          <w:i/>
          <w:sz w:val="24"/>
          <w:highlight w:val="none"/>
        </w:rPr>
        <w:t>详见本合同附件五</w:t>
      </w:r>
      <w:r>
        <w:rPr>
          <w:rFonts w:hint="eastAsia" w:ascii="宋体" w:hAnsi="宋体"/>
          <w:bCs/>
          <w:sz w:val="24"/>
          <w:highlight w:val="none"/>
        </w:rPr>
        <w:t>】。</w:t>
      </w:r>
    </w:p>
    <w:p>
      <w:pPr>
        <w:numPr>
          <w:ilvl w:val="1"/>
          <w:numId w:val="19"/>
        </w:numPr>
        <w:tabs>
          <w:tab w:val="left" w:pos="709"/>
        </w:tabs>
        <w:adjustRightInd w:val="0"/>
        <w:snapToGrid w:val="0"/>
        <w:spacing w:before="93" w:beforeLines="30" w:after="93" w:afterLines="30" w:line="360" w:lineRule="auto"/>
        <w:ind w:left="709" w:hanging="709"/>
        <w:rPr>
          <w:rFonts w:ascii="宋体" w:hAnsi="宋体"/>
          <w:bCs/>
          <w:sz w:val="24"/>
          <w:highlight w:val="none"/>
        </w:rPr>
      </w:pPr>
      <w:r>
        <w:rPr>
          <w:rFonts w:ascii="宋体" w:hAnsi="宋体"/>
          <w:bCs/>
          <w:sz w:val="24"/>
          <w:highlight w:val="none"/>
        </w:rPr>
        <w:t>如验收过程发现工作存在</w:t>
      </w:r>
      <w:r>
        <w:rPr>
          <w:rFonts w:ascii="宋体" w:hAnsi="宋体"/>
          <w:sz w:val="24"/>
          <w:highlight w:val="none"/>
        </w:rPr>
        <w:t>任何缺陷、瑕疵、疏漏或不符合本合同的</w:t>
      </w:r>
      <w:r>
        <w:rPr>
          <w:rFonts w:hint="eastAsia" w:ascii="宋体" w:hAnsi="宋体"/>
          <w:sz w:val="24"/>
          <w:highlight w:val="none"/>
        </w:rPr>
        <w:t>约</w:t>
      </w:r>
      <w:r>
        <w:rPr>
          <w:rFonts w:ascii="宋体" w:hAnsi="宋体"/>
          <w:sz w:val="24"/>
          <w:highlight w:val="none"/>
        </w:rPr>
        <w:t>定，乙方应根据甲方的要求，立即采取一切必要、合理的</w:t>
      </w:r>
      <w:r>
        <w:rPr>
          <w:rFonts w:ascii="宋体" w:hAnsi="宋体"/>
          <w:color w:val="000000"/>
          <w:sz w:val="24"/>
          <w:highlight w:val="none"/>
        </w:rPr>
        <w:t>补救</w:t>
      </w:r>
      <w:r>
        <w:rPr>
          <w:rFonts w:ascii="宋体" w:hAnsi="宋体"/>
          <w:sz w:val="24"/>
          <w:highlight w:val="none"/>
        </w:rPr>
        <w:t>措施排除该等缺陷、瑕疵和疏漏。乙方应承担因此发生的一切费用。</w:t>
      </w:r>
    </w:p>
    <w:p>
      <w:pPr>
        <w:numPr>
          <w:ilvl w:val="1"/>
          <w:numId w:val="19"/>
        </w:numPr>
        <w:tabs>
          <w:tab w:val="left" w:pos="709"/>
        </w:tabs>
        <w:adjustRightInd w:val="0"/>
        <w:snapToGrid w:val="0"/>
        <w:spacing w:before="93" w:beforeLines="30" w:after="93" w:afterLines="30" w:line="360" w:lineRule="auto"/>
        <w:ind w:left="709" w:hanging="709"/>
        <w:rPr>
          <w:rFonts w:ascii="宋体" w:hAnsi="宋体"/>
          <w:sz w:val="24"/>
          <w:highlight w:val="none"/>
        </w:rPr>
      </w:pPr>
      <w:r>
        <w:rPr>
          <w:rFonts w:hint="eastAsia" w:ascii="宋体" w:hAnsi="宋体"/>
          <w:bCs/>
          <w:sz w:val="24"/>
          <w:highlight w:val="none"/>
        </w:rPr>
        <w:t>甲方验收乙方工作并不减少、免除乙方本合同项下的任何义务</w:t>
      </w:r>
      <w:r>
        <w:rPr>
          <w:rFonts w:hint="eastAsia" w:ascii="宋体" w:hAnsi="宋体"/>
          <w:sz w:val="24"/>
          <w:highlight w:val="none"/>
        </w:rPr>
        <w:t>（包括乙方对工作达到合同要求应承担的责任）。</w:t>
      </w:r>
    </w:p>
    <w:p>
      <w:pPr>
        <w:pStyle w:val="43"/>
        <w:tabs>
          <w:tab w:val="clear" w:pos="720"/>
        </w:tabs>
        <w:adjustRightInd w:val="0"/>
        <w:snapToGrid w:val="0"/>
        <w:spacing w:before="93" w:beforeLines="30" w:after="93" w:afterLines="30" w:line="360" w:lineRule="auto"/>
        <w:jc w:val="left"/>
        <w:rPr>
          <w:rFonts w:ascii="宋体" w:hAnsi="宋体"/>
          <w:szCs w:val="24"/>
          <w:highlight w:val="none"/>
        </w:rPr>
      </w:pPr>
      <w:bookmarkStart w:id="95" w:name="_Toc364839369"/>
      <w:bookmarkStart w:id="96" w:name="_Toc299915688"/>
      <w:r>
        <w:rPr>
          <w:rFonts w:hint="eastAsia" w:ascii="宋体" w:hAnsi="宋体"/>
          <w:szCs w:val="24"/>
          <w:highlight w:val="none"/>
        </w:rPr>
        <w:t xml:space="preserve"> 质量保证</w:t>
      </w:r>
      <w:bookmarkEnd w:id="95"/>
      <w:bookmarkEnd w:id="96"/>
    </w:p>
    <w:p>
      <w:pPr>
        <w:numPr>
          <w:ilvl w:val="0"/>
          <w:numId w:val="20"/>
        </w:numPr>
        <w:tabs>
          <w:tab w:val="left" w:pos="709"/>
        </w:tabs>
        <w:adjustRightInd w:val="0"/>
        <w:snapToGrid w:val="0"/>
        <w:spacing w:before="93" w:beforeLines="30" w:after="93" w:afterLines="30" w:line="360" w:lineRule="auto"/>
        <w:ind w:left="709" w:hanging="709"/>
        <w:rPr>
          <w:rFonts w:ascii="宋体" w:hAnsi="宋体"/>
          <w:sz w:val="24"/>
          <w:highlight w:val="none"/>
        </w:rPr>
      </w:pPr>
      <w:r>
        <w:rPr>
          <w:rFonts w:ascii="宋体" w:hAnsi="宋体"/>
          <w:color w:val="000000"/>
          <w:sz w:val="24"/>
          <w:highlight w:val="none"/>
        </w:rPr>
        <w:t>乙方</w:t>
      </w:r>
      <w:r>
        <w:rPr>
          <w:rFonts w:hint="eastAsia" w:ascii="宋体" w:hAnsi="宋体"/>
          <w:color w:val="000000"/>
          <w:sz w:val="24"/>
          <w:highlight w:val="none"/>
        </w:rPr>
        <w:t>承诺</w:t>
      </w:r>
      <w:r>
        <w:rPr>
          <w:rFonts w:ascii="宋体" w:hAnsi="宋体"/>
          <w:color w:val="000000"/>
          <w:sz w:val="24"/>
          <w:highlight w:val="none"/>
        </w:rPr>
        <w:t>，其</w:t>
      </w:r>
      <w:r>
        <w:rPr>
          <w:rFonts w:hint="eastAsia" w:ascii="宋体" w:hAnsi="宋体"/>
          <w:color w:val="000000"/>
          <w:sz w:val="24"/>
          <w:highlight w:val="none"/>
        </w:rPr>
        <w:t>任何</w:t>
      </w:r>
      <w:r>
        <w:rPr>
          <w:rFonts w:ascii="宋体" w:hAnsi="宋体"/>
          <w:color w:val="000000"/>
          <w:sz w:val="24"/>
          <w:highlight w:val="none"/>
        </w:rPr>
        <w:t>工作和交付的</w:t>
      </w:r>
      <w:r>
        <w:rPr>
          <w:rFonts w:hint="eastAsia" w:ascii="宋体" w:hAnsi="宋体"/>
          <w:sz w:val="24"/>
          <w:highlight w:val="none"/>
        </w:rPr>
        <w:t>工作成果</w:t>
      </w:r>
      <w:r>
        <w:rPr>
          <w:rFonts w:ascii="宋体" w:hAnsi="宋体"/>
          <w:color w:val="000000"/>
          <w:sz w:val="24"/>
          <w:highlight w:val="none"/>
        </w:rPr>
        <w:t>符合</w:t>
      </w:r>
      <w:r>
        <w:rPr>
          <w:rFonts w:hint="eastAsia" w:ascii="宋体" w:hAnsi="宋体"/>
          <w:color w:val="000000"/>
          <w:sz w:val="24"/>
          <w:highlight w:val="none"/>
        </w:rPr>
        <w:t>本合同、法律法规、行业规范、标准和良好的行业惯例的要求</w:t>
      </w:r>
      <w:r>
        <w:rPr>
          <w:rFonts w:ascii="宋体" w:hAnsi="宋体"/>
          <w:color w:val="000000"/>
          <w:sz w:val="24"/>
          <w:highlight w:val="none"/>
        </w:rPr>
        <w:t>，不存在任何缺陷。</w:t>
      </w:r>
    </w:p>
    <w:p>
      <w:pPr>
        <w:numPr>
          <w:ilvl w:val="0"/>
          <w:numId w:val="20"/>
        </w:numPr>
        <w:tabs>
          <w:tab w:val="left" w:pos="709"/>
        </w:tabs>
        <w:adjustRightInd w:val="0"/>
        <w:snapToGrid w:val="0"/>
        <w:spacing w:before="93" w:beforeLines="30" w:after="93" w:afterLines="30" w:line="360" w:lineRule="auto"/>
        <w:ind w:left="709" w:hanging="709"/>
        <w:rPr>
          <w:rFonts w:ascii="宋体" w:hAnsi="宋体"/>
          <w:color w:val="000000"/>
          <w:sz w:val="24"/>
          <w:highlight w:val="none"/>
        </w:rPr>
      </w:pPr>
      <w:r>
        <w:rPr>
          <w:rFonts w:ascii="宋体" w:hAnsi="宋体"/>
          <w:sz w:val="24"/>
          <w:highlight w:val="none"/>
        </w:rPr>
        <w:t>质保期</w:t>
      </w:r>
      <w:r>
        <w:rPr>
          <w:rFonts w:hint="eastAsia" w:ascii="宋体" w:hAnsi="宋体"/>
          <w:sz w:val="24"/>
          <w:highlight w:val="none"/>
        </w:rPr>
        <w:t>为自乙方工作和工作成果验收合格</w:t>
      </w:r>
      <w:r>
        <w:rPr>
          <w:rFonts w:hint="eastAsia" w:ascii="宋体" w:hAnsi="宋体"/>
          <w:color w:val="000000"/>
          <w:sz w:val="24"/>
          <w:highlight w:val="none"/>
        </w:rPr>
        <w:t>之日</w:t>
      </w:r>
      <w:r>
        <w:rPr>
          <w:rFonts w:ascii="宋体" w:hAnsi="宋体"/>
          <w:color w:val="000000"/>
          <w:sz w:val="24"/>
          <w:highlight w:val="none"/>
        </w:rPr>
        <w:t>起</w:t>
      </w:r>
      <w:r>
        <w:rPr>
          <w:rFonts w:hint="eastAsia" w:ascii="宋体" w:hAnsi="宋体"/>
          <w:color w:val="000000"/>
          <w:sz w:val="24"/>
          <w:highlight w:val="none"/>
        </w:rPr>
        <w:t>【</w:t>
      </w:r>
      <w:r>
        <w:rPr>
          <w:rFonts w:hint="eastAsia" w:ascii="宋体" w:hAnsi="宋体"/>
          <w:i/>
          <w:color w:val="000000"/>
          <w:sz w:val="24"/>
          <w:highlight w:val="none"/>
        </w:rPr>
        <w:t>填入月数</w:t>
      </w:r>
      <w:r>
        <w:rPr>
          <w:rFonts w:hint="eastAsia" w:ascii="宋体" w:hAnsi="宋体"/>
          <w:color w:val="000000"/>
          <w:sz w:val="24"/>
          <w:highlight w:val="none"/>
        </w:rPr>
        <w:t>】</w:t>
      </w:r>
      <w:r>
        <w:rPr>
          <w:rFonts w:ascii="宋体" w:hAnsi="宋体"/>
          <w:color w:val="000000"/>
          <w:sz w:val="24"/>
          <w:highlight w:val="none"/>
        </w:rPr>
        <w:t>个月。</w:t>
      </w:r>
    </w:p>
    <w:p>
      <w:pPr>
        <w:numPr>
          <w:ilvl w:val="0"/>
          <w:numId w:val="20"/>
        </w:numPr>
        <w:tabs>
          <w:tab w:val="left" w:pos="709"/>
        </w:tabs>
        <w:adjustRightInd w:val="0"/>
        <w:snapToGrid w:val="0"/>
        <w:spacing w:before="93" w:beforeLines="30" w:after="93" w:afterLines="30" w:line="360" w:lineRule="auto"/>
        <w:ind w:left="709" w:hanging="709"/>
        <w:rPr>
          <w:rFonts w:ascii="宋体" w:hAnsi="宋体"/>
          <w:color w:val="000000"/>
          <w:sz w:val="24"/>
          <w:highlight w:val="none"/>
        </w:rPr>
      </w:pPr>
      <w:r>
        <w:rPr>
          <w:rFonts w:ascii="宋体" w:hAnsi="宋体"/>
          <w:color w:val="000000"/>
          <w:sz w:val="24"/>
          <w:highlight w:val="none"/>
        </w:rPr>
        <w:t>如果</w:t>
      </w:r>
      <w:r>
        <w:rPr>
          <w:rFonts w:hint="eastAsia" w:ascii="宋体" w:hAnsi="宋体"/>
          <w:color w:val="000000"/>
          <w:sz w:val="24"/>
          <w:highlight w:val="none"/>
        </w:rPr>
        <w:t>乙方完成的工作或提交的工作成果在</w:t>
      </w:r>
      <w:r>
        <w:rPr>
          <w:rFonts w:ascii="宋体" w:hAnsi="宋体"/>
          <w:color w:val="000000"/>
          <w:sz w:val="24"/>
          <w:highlight w:val="none"/>
        </w:rPr>
        <w:t>质保期内出现任何属于</w:t>
      </w:r>
      <w:r>
        <w:rPr>
          <w:rFonts w:hint="eastAsia" w:ascii="宋体" w:hAnsi="宋体"/>
          <w:color w:val="000000"/>
          <w:sz w:val="24"/>
          <w:highlight w:val="none"/>
        </w:rPr>
        <w:t>本合同</w:t>
      </w:r>
      <w:r>
        <w:rPr>
          <w:rFonts w:ascii="宋体" w:hAnsi="宋体"/>
          <w:color w:val="000000"/>
          <w:sz w:val="24"/>
          <w:highlight w:val="none"/>
        </w:rPr>
        <w:t>第</w:t>
      </w:r>
      <w:r>
        <w:rPr>
          <w:color w:val="000000"/>
          <w:sz w:val="24"/>
          <w:highlight w:val="none"/>
        </w:rPr>
        <w:t>8.1</w:t>
      </w:r>
      <w:r>
        <w:rPr>
          <w:rFonts w:ascii="宋体" w:hAnsi="宋体"/>
          <w:color w:val="000000"/>
          <w:sz w:val="24"/>
          <w:highlight w:val="none"/>
        </w:rPr>
        <w:t>款规定的质量保证范围内的问题，甲方应及时通知乙方，乙方应在</w:t>
      </w:r>
      <w:r>
        <w:rPr>
          <w:rFonts w:hint="eastAsia" w:ascii="宋体" w:hAnsi="宋体"/>
          <w:color w:val="000000"/>
          <w:sz w:val="24"/>
          <w:highlight w:val="none"/>
        </w:rPr>
        <w:t>收到该等通知后【</w:t>
      </w:r>
      <w:r>
        <w:rPr>
          <w:rFonts w:ascii="宋体" w:hAnsi="宋体"/>
          <w:i/>
          <w:color w:val="000000"/>
          <w:sz w:val="24"/>
          <w:highlight w:val="none"/>
        </w:rPr>
        <w:t>二（2）</w:t>
      </w:r>
      <w:r>
        <w:rPr>
          <w:rFonts w:hint="eastAsia" w:ascii="宋体" w:hAnsi="宋体"/>
          <w:color w:val="000000"/>
          <w:sz w:val="24"/>
          <w:highlight w:val="none"/>
        </w:rPr>
        <w:t>】</w:t>
      </w:r>
      <w:r>
        <w:rPr>
          <w:rFonts w:ascii="宋体" w:hAnsi="宋体"/>
          <w:color w:val="000000"/>
          <w:sz w:val="24"/>
          <w:highlight w:val="none"/>
        </w:rPr>
        <w:t>日内予以回复，并在甲方要求的合理时间内委派人员进行修复或重新实施相关工作（“整改”） ，直至消除该等缺陷。</w:t>
      </w:r>
      <w:r>
        <w:rPr>
          <w:rFonts w:hint="eastAsia" w:ascii="宋体" w:hAnsi="宋体"/>
          <w:color w:val="000000"/>
          <w:sz w:val="24"/>
          <w:highlight w:val="none"/>
        </w:rPr>
        <w:t>整改相关工作的实施方案应获得甲方认可。整改</w:t>
      </w:r>
      <w:r>
        <w:rPr>
          <w:rFonts w:ascii="宋体" w:hAnsi="宋体"/>
          <w:color w:val="000000"/>
          <w:sz w:val="24"/>
          <w:highlight w:val="none"/>
        </w:rPr>
        <w:t>相关工作完成后，乙方应进行检验</w:t>
      </w:r>
      <w:r>
        <w:rPr>
          <w:rFonts w:hint="eastAsia" w:ascii="宋体" w:hAnsi="宋体"/>
          <w:color w:val="000000"/>
          <w:sz w:val="24"/>
          <w:highlight w:val="none"/>
        </w:rPr>
        <w:t>，并出具修复、检验报告。整改后的工作的质保期自修复或重新实施之日起重新计算。</w:t>
      </w:r>
    </w:p>
    <w:p>
      <w:pPr>
        <w:pStyle w:val="43"/>
        <w:tabs>
          <w:tab w:val="clear" w:pos="720"/>
        </w:tabs>
        <w:adjustRightInd w:val="0"/>
        <w:snapToGrid w:val="0"/>
        <w:spacing w:before="93" w:beforeLines="30" w:after="93" w:afterLines="30" w:line="360" w:lineRule="auto"/>
        <w:jc w:val="left"/>
        <w:rPr>
          <w:rFonts w:ascii="宋体" w:hAnsi="宋体"/>
          <w:szCs w:val="24"/>
          <w:highlight w:val="none"/>
        </w:rPr>
      </w:pPr>
      <w:bookmarkStart w:id="97" w:name="_Toc299915691"/>
      <w:bookmarkStart w:id="98" w:name="_Toc364839370"/>
      <w:bookmarkStart w:id="99" w:name="_Toc299912675"/>
      <w:r>
        <w:rPr>
          <w:rFonts w:ascii="宋体" w:hAnsi="宋体"/>
          <w:bCs w:val="0"/>
          <w:szCs w:val="24"/>
          <w:highlight w:val="none"/>
        </w:rPr>
        <w:t xml:space="preserve"> </w:t>
      </w:r>
      <w:r>
        <w:rPr>
          <w:rFonts w:hint="eastAsia" w:ascii="宋体" w:hAnsi="宋体"/>
          <w:bCs w:val="0"/>
          <w:szCs w:val="24"/>
          <w:highlight w:val="none"/>
        </w:rPr>
        <w:t>工作</w:t>
      </w:r>
      <w:r>
        <w:rPr>
          <w:rFonts w:ascii="宋体" w:hAnsi="宋体"/>
          <w:szCs w:val="24"/>
          <w:highlight w:val="none"/>
        </w:rPr>
        <w:t>变更</w:t>
      </w:r>
      <w:bookmarkEnd w:id="97"/>
      <w:bookmarkEnd w:id="98"/>
      <w:bookmarkEnd w:id="99"/>
    </w:p>
    <w:p>
      <w:pPr>
        <w:numPr>
          <w:ilvl w:val="0"/>
          <w:numId w:val="21"/>
        </w:numPr>
        <w:tabs>
          <w:tab w:val="left" w:pos="709"/>
          <w:tab w:val="clear" w:pos="1260"/>
        </w:tabs>
        <w:adjustRightInd w:val="0"/>
        <w:snapToGrid w:val="0"/>
        <w:spacing w:before="93" w:beforeLines="30" w:after="93" w:afterLines="30" w:line="360" w:lineRule="auto"/>
        <w:ind w:left="709" w:hanging="709"/>
        <w:rPr>
          <w:rFonts w:ascii="宋体" w:hAnsi="宋体"/>
          <w:spacing w:val="-2"/>
          <w:sz w:val="24"/>
          <w:highlight w:val="none"/>
        </w:rPr>
      </w:pPr>
      <w:r>
        <w:rPr>
          <w:rFonts w:ascii="宋体" w:hAnsi="宋体"/>
          <w:bCs/>
          <w:sz w:val="24"/>
          <w:highlight w:val="none"/>
        </w:rPr>
        <w:t>无论基于何种原因，甲方</w:t>
      </w:r>
      <w:r>
        <w:rPr>
          <w:rFonts w:ascii="宋体" w:hAnsi="宋体"/>
          <w:spacing w:val="-2"/>
          <w:sz w:val="24"/>
          <w:highlight w:val="none"/>
        </w:rPr>
        <w:t>有权随时向乙方发出工作变更通知，要求进行工作变更。</w:t>
      </w:r>
    </w:p>
    <w:p>
      <w:pPr>
        <w:numPr>
          <w:ilvl w:val="0"/>
          <w:numId w:val="21"/>
        </w:numPr>
        <w:tabs>
          <w:tab w:val="left" w:pos="709"/>
        </w:tabs>
        <w:adjustRightInd w:val="0"/>
        <w:snapToGrid w:val="0"/>
        <w:spacing w:before="93" w:beforeLines="30" w:after="93" w:afterLines="30" w:line="360" w:lineRule="auto"/>
        <w:ind w:left="709" w:hanging="709"/>
        <w:rPr>
          <w:rFonts w:ascii="宋体" w:hAnsi="宋体"/>
          <w:color w:val="000000"/>
          <w:sz w:val="24"/>
          <w:highlight w:val="none"/>
        </w:rPr>
      </w:pPr>
      <w:r>
        <w:rPr>
          <w:rFonts w:ascii="宋体" w:hAnsi="宋体"/>
          <w:color w:val="000000"/>
          <w:sz w:val="24"/>
          <w:highlight w:val="none"/>
        </w:rPr>
        <w:t>收到变更通知后</w:t>
      </w:r>
      <w:r>
        <w:rPr>
          <w:rFonts w:hint="eastAsia" w:ascii="宋体" w:hAnsi="宋体"/>
          <w:color w:val="000000"/>
          <w:sz w:val="24"/>
          <w:highlight w:val="none"/>
        </w:rPr>
        <w:t>【</w:t>
      </w:r>
      <w:r>
        <w:rPr>
          <w:rFonts w:hint="eastAsia" w:ascii="宋体" w:hAnsi="宋体"/>
          <w:i/>
          <w:color w:val="000000"/>
          <w:sz w:val="24"/>
          <w:highlight w:val="none"/>
        </w:rPr>
        <w:t>二（2）</w:t>
      </w:r>
      <w:r>
        <w:rPr>
          <w:rFonts w:hint="eastAsia" w:ascii="宋体" w:hAnsi="宋体"/>
          <w:color w:val="000000"/>
          <w:sz w:val="24"/>
          <w:highlight w:val="none"/>
        </w:rPr>
        <w:t>】</w:t>
      </w:r>
      <w:r>
        <w:rPr>
          <w:rFonts w:ascii="宋体" w:hAnsi="宋体"/>
          <w:color w:val="000000"/>
          <w:sz w:val="24"/>
          <w:highlight w:val="none"/>
        </w:rPr>
        <w:t>日内，乙方应向甲方提交</w:t>
      </w:r>
      <w:r>
        <w:rPr>
          <w:rFonts w:hint="eastAsia" w:ascii="宋体" w:hAnsi="宋体"/>
          <w:color w:val="000000"/>
          <w:sz w:val="24"/>
          <w:highlight w:val="none"/>
        </w:rPr>
        <w:t>变更的实施方案以及变更的影响</w:t>
      </w:r>
      <w:r>
        <w:rPr>
          <w:rFonts w:ascii="宋体" w:hAnsi="宋体"/>
          <w:color w:val="000000"/>
          <w:sz w:val="24"/>
          <w:highlight w:val="none"/>
        </w:rPr>
        <w:t>：</w:t>
      </w:r>
    </w:p>
    <w:p>
      <w:pPr>
        <w:numPr>
          <w:ilvl w:val="2"/>
          <w:numId w:val="22"/>
        </w:numPr>
        <w:tabs>
          <w:tab w:val="left" w:pos="1276"/>
          <w:tab w:val="clear" w:pos="280"/>
        </w:tabs>
        <w:adjustRightInd w:val="0"/>
        <w:snapToGrid w:val="0"/>
        <w:spacing w:before="93" w:beforeLines="30" w:after="93" w:afterLines="30" w:line="360" w:lineRule="auto"/>
        <w:ind w:left="1276" w:leftChars="338" w:hanging="566" w:hangingChars="236"/>
        <w:rPr>
          <w:rFonts w:ascii="宋体" w:hAnsi="宋体"/>
          <w:color w:val="000000"/>
          <w:sz w:val="24"/>
          <w:highlight w:val="none"/>
        </w:rPr>
      </w:pPr>
      <w:r>
        <w:rPr>
          <w:rFonts w:ascii="宋体" w:hAnsi="宋体"/>
          <w:color w:val="000000"/>
          <w:sz w:val="24"/>
          <w:highlight w:val="none"/>
        </w:rPr>
        <w:t>变更对工作的影响；</w:t>
      </w:r>
    </w:p>
    <w:p>
      <w:pPr>
        <w:numPr>
          <w:ilvl w:val="2"/>
          <w:numId w:val="22"/>
        </w:numPr>
        <w:tabs>
          <w:tab w:val="left" w:pos="1276"/>
          <w:tab w:val="clear" w:pos="280"/>
        </w:tabs>
        <w:adjustRightInd w:val="0"/>
        <w:snapToGrid w:val="0"/>
        <w:spacing w:before="93" w:beforeLines="30" w:after="93" w:afterLines="30" w:line="360" w:lineRule="auto"/>
        <w:ind w:left="1276" w:leftChars="338" w:hanging="566" w:hangingChars="236"/>
        <w:rPr>
          <w:rFonts w:ascii="宋体" w:hAnsi="宋体"/>
          <w:color w:val="000000"/>
          <w:sz w:val="24"/>
          <w:highlight w:val="none"/>
        </w:rPr>
      </w:pPr>
      <w:r>
        <w:rPr>
          <w:rFonts w:ascii="宋体" w:hAnsi="宋体"/>
          <w:color w:val="000000"/>
          <w:sz w:val="24"/>
          <w:highlight w:val="none"/>
        </w:rPr>
        <w:t>变更对工作期限的影响；</w:t>
      </w:r>
    </w:p>
    <w:p>
      <w:pPr>
        <w:numPr>
          <w:ilvl w:val="2"/>
          <w:numId w:val="22"/>
        </w:numPr>
        <w:tabs>
          <w:tab w:val="left" w:pos="1276"/>
          <w:tab w:val="clear" w:pos="280"/>
        </w:tabs>
        <w:adjustRightInd w:val="0"/>
        <w:snapToGrid w:val="0"/>
        <w:spacing w:before="93" w:beforeLines="30" w:after="93" w:afterLines="30" w:line="360" w:lineRule="auto"/>
        <w:ind w:left="1276" w:leftChars="338" w:hanging="566" w:hangingChars="236"/>
        <w:rPr>
          <w:rFonts w:ascii="宋体" w:hAnsi="宋体"/>
          <w:color w:val="000000"/>
          <w:sz w:val="24"/>
          <w:highlight w:val="none"/>
        </w:rPr>
      </w:pPr>
      <w:r>
        <w:rPr>
          <w:rFonts w:ascii="宋体" w:hAnsi="宋体"/>
          <w:color w:val="000000"/>
          <w:sz w:val="24"/>
          <w:highlight w:val="none"/>
        </w:rPr>
        <w:t>变更对合同价款的影响；</w:t>
      </w:r>
    </w:p>
    <w:p>
      <w:pPr>
        <w:numPr>
          <w:ilvl w:val="2"/>
          <w:numId w:val="22"/>
        </w:numPr>
        <w:tabs>
          <w:tab w:val="left" w:pos="1276"/>
          <w:tab w:val="clear" w:pos="280"/>
        </w:tabs>
        <w:adjustRightInd w:val="0"/>
        <w:snapToGrid w:val="0"/>
        <w:spacing w:before="93" w:beforeLines="30" w:after="93" w:afterLines="30" w:line="360" w:lineRule="auto"/>
        <w:ind w:left="1276" w:leftChars="338" w:hanging="566" w:hangingChars="236"/>
        <w:rPr>
          <w:rFonts w:ascii="宋体" w:hAnsi="宋体"/>
          <w:color w:val="000000"/>
          <w:sz w:val="24"/>
          <w:highlight w:val="none"/>
        </w:rPr>
      </w:pPr>
      <w:r>
        <w:rPr>
          <w:rFonts w:ascii="宋体" w:hAnsi="宋体"/>
          <w:color w:val="000000"/>
          <w:sz w:val="24"/>
          <w:highlight w:val="none"/>
        </w:rPr>
        <w:t>实施变更的要求和方案。</w:t>
      </w:r>
    </w:p>
    <w:p>
      <w:pPr>
        <w:tabs>
          <w:tab w:val="left" w:pos="709"/>
        </w:tabs>
        <w:adjustRightInd w:val="0"/>
        <w:snapToGrid w:val="0"/>
        <w:spacing w:before="93" w:beforeLines="30" w:after="93" w:afterLines="30" w:line="360" w:lineRule="auto"/>
        <w:ind w:left="709"/>
        <w:rPr>
          <w:rFonts w:ascii="宋体" w:hAnsi="宋体"/>
          <w:color w:val="000000"/>
          <w:sz w:val="24"/>
          <w:highlight w:val="none"/>
        </w:rPr>
      </w:pPr>
      <w:r>
        <w:rPr>
          <w:rFonts w:ascii="宋体" w:hAnsi="宋体"/>
          <w:color w:val="000000"/>
          <w:sz w:val="24"/>
          <w:highlight w:val="none"/>
        </w:rPr>
        <w:t>对于上述事项，乙方应提供适当的证明文件。</w:t>
      </w:r>
    </w:p>
    <w:p>
      <w:pPr>
        <w:numPr>
          <w:ilvl w:val="0"/>
          <w:numId w:val="21"/>
        </w:numPr>
        <w:tabs>
          <w:tab w:val="left" w:pos="709"/>
        </w:tabs>
        <w:adjustRightInd w:val="0"/>
        <w:snapToGrid w:val="0"/>
        <w:spacing w:before="93" w:beforeLines="30" w:after="93" w:afterLines="30" w:line="360" w:lineRule="auto"/>
        <w:ind w:left="709" w:hanging="709"/>
        <w:rPr>
          <w:rFonts w:ascii="宋体" w:hAnsi="宋体"/>
          <w:spacing w:val="-2"/>
          <w:sz w:val="24"/>
          <w:highlight w:val="none"/>
        </w:rPr>
      </w:pPr>
      <w:r>
        <w:rPr>
          <w:rFonts w:ascii="宋体" w:hAnsi="宋体"/>
          <w:color w:val="000000"/>
          <w:sz w:val="24"/>
          <w:highlight w:val="none"/>
        </w:rPr>
        <w:t>乙方提交变更</w:t>
      </w:r>
      <w:r>
        <w:rPr>
          <w:rFonts w:hint="eastAsia" w:ascii="宋体" w:hAnsi="宋体"/>
          <w:color w:val="000000"/>
          <w:sz w:val="24"/>
          <w:highlight w:val="none"/>
        </w:rPr>
        <w:t>影响并经甲方评估后</w:t>
      </w:r>
      <w:r>
        <w:rPr>
          <w:rFonts w:ascii="宋体" w:hAnsi="宋体"/>
          <w:color w:val="000000"/>
          <w:sz w:val="24"/>
          <w:highlight w:val="none"/>
        </w:rPr>
        <w:t>，双方应就工作变更及其影响进行协商。如双方就相关事项达成一致，且甲方决定实施工作变更，双方将共同签署变更确认单</w:t>
      </w:r>
      <w:r>
        <w:rPr>
          <w:rFonts w:hint="eastAsia" w:ascii="宋体" w:hAnsi="宋体"/>
          <w:color w:val="000000"/>
          <w:sz w:val="24"/>
          <w:highlight w:val="none"/>
        </w:rPr>
        <w:t>或另行签署合同对本合同进行变更</w:t>
      </w:r>
      <w:r>
        <w:rPr>
          <w:rFonts w:ascii="宋体" w:hAnsi="宋体"/>
          <w:color w:val="000000"/>
          <w:sz w:val="24"/>
          <w:highlight w:val="none"/>
        </w:rPr>
        <w:t>，乙方应立即执行。如双方未能就工作变更事项达成一致，甲方有权单方面发出工作变更指令。乙方收到工作变更指令后，应立即实施相关工作</w:t>
      </w:r>
      <w:r>
        <w:rPr>
          <w:rFonts w:hint="eastAsia" w:ascii="宋体" w:hAnsi="宋体"/>
          <w:color w:val="000000"/>
          <w:sz w:val="24"/>
          <w:highlight w:val="none"/>
        </w:rPr>
        <w:t>。</w:t>
      </w:r>
    </w:p>
    <w:p>
      <w:pPr>
        <w:numPr>
          <w:ilvl w:val="0"/>
          <w:numId w:val="21"/>
        </w:numPr>
        <w:tabs>
          <w:tab w:val="left" w:pos="709"/>
        </w:tabs>
        <w:adjustRightInd w:val="0"/>
        <w:snapToGrid w:val="0"/>
        <w:spacing w:before="93" w:beforeLines="30" w:after="93" w:afterLines="30" w:line="360" w:lineRule="auto"/>
        <w:ind w:left="709" w:hanging="709"/>
        <w:rPr>
          <w:rFonts w:ascii="宋体" w:hAnsi="宋体"/>
          <w:spacing w:val="-2"/>
          <w:sz w:val="24"/>
          <w:highlight w:val="none"/>
        </w:rPr>
      </w:pPr>
      <w:r>
        <w:rPr>
          <w:rFonts w:ascii="宋体" w:hAnsi="宋体"/>
          <w:spacing w:val="-2"/>
          <w:sz w:val="24"/>
          <w:highlight w:val="none"/>
        </w:rPr>
        <w:t>未经甲方同意，乙方不得进行任何工作变更。</w:t>
      </w:r>
    </w:p>
    <w:p>
      <w:pPr>
        <w:pStyle w:val="43"/>
        <w:tabs>
          <w:tab w:val="clear" w:pos="720"/>
        </w:tabs>
        <w:adjustRightInd w:val="0"/>
        <w:snapToGrid w:val="0"/>
        <w:spacing w:before="93" w:beforeLines="30" w:after="93" w:afterLines="30" w:line="360" w:lineRule="auto"/>
        <w:jc w:val="left"/>
        <w:rPr>
          <w:rFonts w:ascii="宋体" w:hAnsi="宋体"/>
          <w:bCs w:val="0"/>
          <w:szCs w:val="24"/>
          <w:highlight w:val="none"/>
        </w:rPr>
      </w:pPr>
      <w:bookmarkStart w:id="100" w:name="_Toc364839371"/>
      <w:bookmarkStart w:id="101" w:name="_Toc299915693"/>
      <w:r>
        <w:rPr>
          <w:rFonts w:hint="eastAsia" w:ascii="宋体" w:hAnsi="宋体"/>
          <w:bCs w:val="0"/>
          <w:szCs w:val="24"/>
          <w:highlight w:val="none"/>
        </w:rPr>
        <w:t xml:space="preserve"> 工作暂停</w:t>
      </w:r>
      <w:bookmarkEnd w:id="100"/>
      <w:bookmarkEnd w:id="101"/>
    </w:p>
    <w:p>
      <w:pPr>
        <w:numPr>
          <w:ilvl w:val="1"/>
          <w:numId w:val="23"/>
        </w:numPr>
        <w:tabs>
          <w:tab w:val="left" w:pos="709"/>
          <w:tab w:val="clear" w:pos="540"/>
        </w:tabs>
        <w:adjustRightInd w:val="0"/>
        <w:snapToGrid w:val="0"/>
        <w:spacing w:before="93" w:beforeLines="30" w:after="93" w:afterLines="30" w:line="360" w:lineRule="auto"/>
        <w:ind w:left="709" w:hanging="709"/>
        <w:rPr>
          <w:rFonts w:ascii="宋体" w:hAnsi="宋体"/>
          <w:bCs/>
          <w:sz w:val="24"/>
          <w:highlight w:val="none"/>
        </w:rPr>
      </w:pPr>
      <w:r>
        <w:rPr>
          <w:rFonts w:ascii="宋体" w:hAnsi="宋体"/>
          <w:kern w:val="0"/>
          <w:sz w:val="24"/>
          <w:highlight w:val="none"/>
        </w:rPr>
        <w:t>乙方造成的暂停</w:t>
      </w:r>
      <w:r>
        <w:rPr>
          <w:rFonts w:hint="eastAsia" w:ascii="宋体" w:hAnsi="宋体"/>
          <w:bCs/>
          <w:sz w:val="24"/>
          <w:highlight w:val="none"/>
        </w:rPr>
        <w:t>：</w:t>
      </w:r>
    </w:p>
    <w:p>
      <w:pPr>
        <w:tabs>
          <w:tab w:val="left" w:pos="709"/>
        </w:tabs>
        <w:adjustRightInd w:val="0"/>
        <w:snapToGrid w:val="0"/>
        <w:spacing w:before="93" w:beforeLines="30" w:after="93" w:afterLines="30" w:line="360" w:lineRule="auto"/>
        <w:ind w:left="708" w:leftChars="337"/>
        <w:rPr>
          <w:rFonts w:ascii="宋体" w:hAnsi="宋体"/>
          <w:bCs/>
          <w:sz w:val="24"/>
          <w:highlight w:val="none"/>
        </w:rPr>
      </w:pPr>
      <w:r>
        <w:rPr>
          <w:rFonts w:hint="eastAsia" w:ascii="宋体" w:hAnsi="宋体"/>
          <w:bCs/>
          <w:sz w:val="24"/>
          <w:highlight w:val="none"/>
        </w:rPr>
        <w:t>如甲方认为乙方的工作存在重大缺陷或与本合同约定不符，甲方有权要求乙方暂停全部或部分工作，直至乙方采取措施消除该等缺陷。乙方消除相关缺陷并经甲方同意后，方可恢复工作。甲方对该等停工造成的损失不承担任何责任，乙方无权要求调整合同总价或工作期限。</w:t>
      </w:r>
    </w:p>
    <w:p>
      <w:pPr>
        <w:numPr>
          <w:ilvl w:val="1"/>
          <w:numId w:val="23"/>
        </w:numPr>
        <w:tabs>
          <w:tab w:val="left" w:pos="709"/>
          <w:tab w:val="clear" w:pos="540"/>
        </w:tabs>
        <w:adjustRightInd w:val="0"/>
        <w:snapToGrid w:val="0"/>
        <w:spacing w:before="93" w:beforeLines="30" w:after="93" w:afterLines="30" w:line="360" w:lineRule="auto"/>
        <w:ind w:left="709" w:hanging="709"/>
        <w:rPr>
          <w:rFonts w:ascii="宋体" w:hAnsi="宋体"/>
          <w:sz w:val="24"/>
          <w:highlight w:val="none"/>
        </w:rPr>
      </w:pPr>
      <w:r>
        <w:rPr>
          <w:rFonts w:ascii="宋体" w:hAnsi="宋体"/>
          <w:kern w:val="0"/>
          <w:sz w:val="24"/>
          <w:highlight w:val="none"/>
        </w:rPr>
        <w:t>甲方造成的暂停</w:t>
      </w:r>
      <w:r>
        <w:rPr>
          <w:rFonts w:hint="eastAsia" w:ascii="宋体" w:hAnsi="宋体"/>
          <w:sz w:val="24"/>
          <w:highlight w:val="none"/>
        </w:rPr>
        <w:t>：</w:t>
      </w:r>
    </w:p>
    <w:p>
      <w:pPr>
        <w:numPr>
          <w:ilvl w:val="0"/>
          <w:numId w:val="24"/>
        </w:numPr>
        <w:tabs>
          <w:tab w:val="left" w:pos="1276"/>
          <w:tab w:val="clear" w:pos="420"/>
        </w:tabs>
        <w:adjustRightInd w:val="0"/>
        <w:snapToGrid w:val="0"/>
        <w:spacing w:before="93" w:beforeLines="30" w:after="93" w:afterLines="30" w:line="360" w:lineRule="auto"/>
        <w:ind w:left="1276" w:hanging="567"/>
        <w:rPr>
          <w:rFonts w:ascii="宋体" w:hAnsi="宋体"/>
          <w:kern w:val="0"/>
          <w:sz w:val="24"/>
          <w:highlight w:val="none"/>
        </w:rPr>
      </w:pPr>
      <w:r>
        <w:rPr>
          <w:rFonts w:ascii="宋体" w:hAnsi="宋体"/>
          <w:kern w:val="0"/>
          <w:sz w:val="24"/>
          <w:highlight w:val="none"/>
        </w:rPr>
        <w:t>无论基于</w:t>
      </w:r>
      <w:r>
        <w:rPr>
          <w:rFonts w:hint="eastAsia" w:ascii="宋体" w:hAnsi="宋体"/>
          <w:kern w:val="0"/>
          <w:sz w:val="24"/>
          <w:highlight w:val="none"/>
        </w:rPr>
        <w:t>任何</w:t>
      </w:r>
      <w:r>
        <w:rPr>
          <w:rFonts w:ascii="宋体" w:hAnsi="宋体"/>
          <w:kern w:val="0"/>
          <w:sz w:val="24"/>
          <w:highlight w:val="none"/>
        </w:rPr>
        <w:t>原因，甲方有权</w:t>
      </w:r>
      <w:r>
        <w:rPr>
          <w:rFonts w:hint="eastAsia" w:ascii="宋体" w:hAnsi="宋体"/>
          <w:kern w:val="0"/>
          <w:sz w:val="24"/>
          <w:highlight w:val="none"/>
        </w:rPr>
        <w:t>随时向乙方发出暂停通知，要求</w:t>
      </w:r>
      <w:r>
        <w:rPr>
          <w:rFonts w:ascii="宋体" w:hAnsi="宋体"/>
          <w:kern w:val="0"/>
          <w:sz w:val="24"/>
          <w:highlight w:val="none"/>
        </w:rPr>
        <w:t>乙方暂停全部或部分</w:t>
      </w:r>
      <w:r>
        <w:rPr>
          <w:rFonts w:hint="eastAsia" w:ascii="宋体" w:hAnsi="宋体"/>
          <w:kern w:val="0"/>
          <w:sz w:val="24"/>
          <w:highlight w:val="none"/>
        </w:rPr>
        <w:t>工作</w:t>
      </w:r>
      <w:r>
        <w:rPr>
          <w:rFonts w:ascii="宋体" w:hAnsi="宋体"/>
          <w:kern w:val="0"/>
          <w:sz w:val="24"/>
          <w:highlight w:val="none"/>
        </w:rPr>
        <w:t>。</w:t>
      </w:r>
    </w:p>
    <w:p>
      <w:pPr>
        <w:numPr>
          <w:ilvl w:val="0"/>
          <w:numId w:val="24"/>
        </w:numPr>
        <w:tabs>
          <w:tab w:val="left" w:pos="1276"/>
          <w:tab w:val="clear" w:pos="420"/>
        </w:tabs>
        <w:adjustRightInd w:val="0"/>
        <w:snapToGrid w:val="0"/>
        <w:spacing w:before="93" w:beforeLines="30" w:after="93" w:afterLines="30" w:line="360" w:lineRule="auto"/>
        <w:ind w:left="1276" w:hanging="567"/>
        <w:rPr>
          <w:rFonts w:ascii="宋体" w:hAnsi="宋体"/>
          <w:kern w:val="0"/>
          <w:sz w:val="24"/>
          <w:highlight w:val="none"/>
        </w:rPr>
      </w:pPr>
      <w:r>
        <w:rPr>
          <w:rFonts w:hint="eastAsia" w:ascii="宋体" w:hAnsi="宋体"/>
          <w:kern w:val="0"/>
          <w:sz w:val="24"/>
          <w:highlight w:val="none"/>
        </w:rPr>
        <w:t>乙方</w:t>
      </w:r>
      <w:r>
        <w:rPr>
          <w:rFonts w:ascii="宋体" w:hAnsi="宋体"/>
          <w:kern w:val="0"/>
          <w:sz w:val="24"/>
          <w:highlight w:val="none"/>
        </w:rPr>
        <w:t>接到</w:t>
      </w:r>
      <w:r>
        <w:rPr>
          <w:rFonts w:hint="eastAsia" w:ascii="宋体" w:hAnsi="宋体"/>
          <w:kern w:val="0"/>
          <w:sz w:val="24"/>
          <w:highlight w:val="none"/>
        </w:rPr>
        <w:t>暂停</w:t>
      </w:r>
      <w:r>
        <w:rPr>
          <w:rFonts w:ascii="宋体" w:hAnsi="宋体"/>
          <w:kern w:val="0"/>
          <w:sz w:val="24"/>
          <w:highlight w:val="none"/>
        </w:rPr>
        <w:t>通知后，</w:t>
      </w:r>
      <w:r>
        <w:rPr>
          <w:rFonts w:hint="eastAsia" w:ascii="宋体" w:hAnsi="宋体"/>
          <w:kern w:val="0"/>
          <w:sz w:val="24"/>
          <w:highlight w:val="none"/>
        </w:rPr>
        <w:t>应根据暂停</w:t>
      </w:r>
      <w:r>
        <w:rPr>
          <w:rFonts w:ascii="宋体" w:hAnsi="宋体"/>
          <w:kern w:val="0"/>
          <w:sz w:val="24"/>
          <w:highlight w:val="none"/>
        </w:rPr>
        <w:t>通知规定的时间及范围暂停</w:t>
      </w:r>
      <w:r>
        <w:rPr>
          <w:rFonts w:hint="eastAsia" w:ascii="宋体" w:hAnsi="宋体"/>
          <w:kern w:val="0"/>
          <w:sz w:val="24"/>
          <w:highlight w:val="none"/>
        </w:rPr>
        <w:t>工作，</w:t>
      </w:r>
      <w:r>
        <w:rPr>
          <w:rFonts w:hint="eastAsia" w:ascii="宋体" w:hAnsi="宋体"/>
          <w:sz w:val="24"/>
          <w:highlight w:val="none"/>
        </w:rPr>
        <w:t>妥善保护已完成的工作，</w:t>
      </w:r>
      <w:r>
        <w:rPr>
          <w:rFonts w:ascii="宋体" w:hAnsi="宋体"/>
          <w:kern w:val="0"/>
          <w:sz w:val="24"/>
          <w:highlight w:val="none"/>
        </w:rPr>
        <w:t>继续执行未暂停的</w:t>
      </w:r>
      <w:r>
        <w:rPr>
          <w:rFonts w:hint="eastAsia" w:ascii="宋体" w:hAnsi="宋体"/>
          <w:kern w:val="0"/>
          <w:sz w:val="24"/>
          <w:highlight w:val="none"/>
        </w:rPr>
        <w:t>工作。</w:t>
      </w:r>
    </w:p>
    <w:p>
      <w:pPr>
        <w:numPr>
          <w:ilvl w:val="0"/>
          <w:numId w:val="24"/>
        </w:numPr>
        <w:tabs>
          <w:tab w:val="left" w:pos="1276"/>
          <w:tab w:val="clear" w:pos="420"/>
        </w:tabs>
        <w:adjustRightInd w:val="0"/>
        <w:snapToGrid w:val="0"/>
        <w:spacing w:before="93" w:beforeLines="30" w:after="93" w:afterLines="30" w:line="360" w:lineRule="auto"/>
        <w:ind w:left="1276" w:hanging="567"/>
        <w:rPr>
          <w:rFonts w:ascii="宋体" w:hAnsi="宋体"/>
          <w:kern w:val="0"/>
          <w:sz w:val="24"/>
          <w:highlight w:val="none"/>
        </w:rPr>
      </w:pPr>
      <w:r>
        <w:rPr>
          <w:rFonts w:ascii="宋体" w:hAnsi="宋体"/>
          <w:kern w:val="0"/>
          <w:sz w:val="24"/>
          <w:highlight w:val="none"/>
        </w:rPr>
        <w:t>乙方收到甲方复工通知后应立即恢复执行</w:t>
      </w:r>
      <w:r>
        <w:rPr>
          <w:rFonts w:hint="eastAsia" w:ascii="宋体" w:hAnsi="宋体"/>
          <w:kern w:val="0"/>
          <w:sz w:val="24"/>
          <w:highlight w:val="none"/>
        </w:rPr>
        <w:t>工作</w:t>
      </w:r>
      <w:r>
        <w:rPr>
          <w:rFonts w:ascii="宋体" w:hAnsi="宋体"/>
          <w:kern w:val="0"/>
          <w:sz w:val="24"/>
          <w:highlight w:val="none"/>
        </w:rPr>
        <w:t>。</w:t>
      </w:r>
    </w:p>
    <w:p>
      <w:pPr>
        <w:numPr>
          <w:ilvl w:val="0"/>
          <w:numId w:val="24"/>
        </w:numPr>
        <w:tabs>
          <w:tab w:val="left" w:pos="1276"/>
          <w:tab w:val="clear" w:pos="420"/>
        </w:tabs>
        <w:adjustRightInd w:val="0"/>
        <w:snapToGrid w:val="0"/>
        <w:spacing w:before="93" w:beforeLines="30" w:after="93" w:afterLines="30" w:line="360" w:lineRule="auto"/>
        <w:ind w:left="1276" w:hanging="567"/>
        <w:rPr>
          <w:rFonts w:ascii="宋体" w:hAnsi="宋体"/>
          <w:sz w:val="24"/>
          <w:highlight w:val="none"/>
        </w:rPr>
      </w:pPr>
      <w:r>
        <w:rPr>
          <w:rFonts w:hint="eastAsia" w:ascii="宋体" w:hAnsi="宋体"/>
          <w:sz w:val="24"/>
          <w:highlight w:val="none"/>
        </w:rPr>
        <w:t>对于甲方要求的停工（因本合同第11.1原因导致的暂停除外），乙方有权根据暂停工作期限，要求对工作期限进行调整，乙方应尽量减少停工对工作期限的影响。</w:t>
      </w:r>
    </w:p>
    <w:p>
      <w:pPr>
        <w:pStyle w:val="43"/>
        <w:tabs>
          <w:tab w:val="clear" w:pos="720"/>
        </w:tabs>
        <w:adjustRightInd w:val="0"/>
        <w:snapToGrid w:val="0"/>
        <w:spacing w:before="93" w:beforeLines="30" w:after="93" w:afterLines="30" w:line="360" w:lineRule="auto"/>
        <w:jc w:val="left"/>
        <w:rPr>
          <w:rFonts w:ascii="宋体" w:hAnsi="宋体"/>
          <w:szCs w:val="24"/>
          <w:highlight w:val="none"/>
        </w:rPr>
      </w:pPr>
      <w:bookmarkStart w:id="102" w:name="_Toc364839372"/>
      <w:r>
        <w:rPr>
          <w:rFonts w:hint="eastAsia" w:ascii="宋体" w:hAnsi="宋体"/>
          <w:szCs w:val="24"/>
          <w:highlight w:val="none"/>
        </w:rPr>
        <w:t>权利保证</w:t>
      </w:r>
      <w:bookmarkEnd w:id="73"/>
      <w:bookmarkEnd w:id="74"/>
      <w:bookmarkEnd w:id="102"/>
    </w:p>
    <w:bookmarkEnd w:id="54"/>
    <w:bookmarkEnd w:id="55"/>
    <w:bookmarkEnd w:id="56"/>
    <w:bookmarkEnd w:id="57"/>
    <w:bookmarkEnd w:id="58"/>
    <w:bookmarkEnd w:id="59"/>
    <w:bookmarkEnd w:id="60"/>
    <w:bookmarkEnd w:id="61"/>
    <w:bookmarkEnd w:id="62"/>
    <w:bookmarkEnd w:id="63"/>
    <w:bookmarkEnd w:id="64"/>
    <w:bookmarkEnd w:id="65"/>
    <w:bookmarkEnd w:id="66"/>
    <w:p>
      <w:pPr>
        <w:widowControl/>
        <w:numPr>
          <w:ilvl w:val="0"/>
          <w:numId w:val="25"/>
        </w:numPr>
        <w:tabs>
          <w:tab w:val="left" w:pos="709"/>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乙方保证，</w:t>
      </w:r>
      <w:r>
        <w:rPr>
          <w:rFonts w:hint="eastAsia" w:ascii="宋体" w:hAnsi="宋体"/>
          <w:sz w:val="24"/>
          <w:highlight w:val="none"/>
        </w:rPr>
        <w:t>其执行工作未侵犯任何第三方的权利，其执行工作、提供的工作成果未侵</w:t>
      </w:r>
      <w:r>
        <w:rPr>
          <w:rFonts w:ascii="宋体" w:hAnsi="宋体"/>
          <w:sz w:val="24"/>
          <w:highlight w:val="none"/>
        </w:rPr>
        <w:t>犯任何第三方的专利权、商标权</w:t>
      </w:r>
      <w:r>
        <w:rPr>
          <w:rFonts w:hint="eastAsia" w:ascii="宋体" w:hAnsi="宋体"/>
          <w:sz w:val="24"/>
          <w:highlight w:val="none"/>
        </w:rPr>
        <w:t>或其它知识产</w:t>
      </w:r>
      <w:r>
        <w:rPr>
          <w:rFonts w:ascii="宋体" w:hAnsi="宋体"/>
          <w:sz w:val="24"/>
          <w:highlight w:val="none"/>
        </w:rPr>
        <w:t>权</w:t>
      </w:r>
      <w:r>
        <w:rPr>
          <w:rFonts w:hint="eastAsia" w:ascii="宋体" w:hAnsi="宋体"/>
          <w:sz w:val="24"/>
          <w:highlight w:val="none"/>
        </w:rPr>
        <w:t>，工作成果的所有权及</w:t>
      </w:r>
      <w:r>
        <w:rPr>
          <w:rFonts w:ascii="宋体" w:hAnsi="宋体"/>
          <w:sz w:val="24"/>
          <w:highlight w:val="none"/>
        </w:rPr>
        <w:t>包含的全部专利、商标</w:t>
      </w:r>
      <w:r>
        <w:rPr>
          <w:rFonts w:hint="eastAsia" w:ascii="宋体" w:hAnsi="宋体"/>
          <w:sz w:val="24"/>
          <w:highlight w:val="none"/>
        </w:rPr>
        <w:t>及其它知识产权</w:t>
      </w:r>
      <w:r>
        <w:rPr>
          <w:rFonts w:ascii="宋体" w:hAnsi="宋体"/>
          <w:sz w:val="24"/>
          <w:highlight w:val="none"/>
        </w:rPr>
        <w:t>均为乙方</w:t>
      </w:r>
      <w:r>
        <w:rPr>
          <w:rFonts w:hint="eastAsia" w:ascii="宋体" w:hAnsi="宋体"/>
          <w:sz w:val="24"/>
          <w:highlight w:val="none"/>
        </w:rPr>
        <w:t>合法</w:t>
      </w:r>
      <w:r>
        <w:rPr>
          <w:rFonts w:ascii="宋体" w:hAnsi="宋体"/>
          <w:sz w:val="24"/>
          <w:highlight w:val="none"/>
        </w:rPr>
        <w:t>拥有或已获得</w:t>
      </w:r>
      <w:r>
        <w:rPr>
          <w:rFonts w:hint="eastAsia" w:ascii="宋体" w:hAnsi="宋体"/>
          <w:sz w:val="24"/>
          <w:highlight w:val="none"/>
        </w:rPr>
        <w:t>第三方</w:t>
      </w:r>
      <w:r>
        <w:rPr>
          <w:rFonts w:ascii="宋体" w:hAnsi="宋体"/>
          <w:sz w:val="24"/>
          <w:highlight w:val="none"/>
        </w:rPr>
        <w:t>的</w:t>
      </w:r>
      <w:r>
        <w:rPr>
          <w:rFonts w:hint="eastAsia" w:ascii="宋体" w:hAnsi="宋体"/>
          <w:sz w:val="24"/>
          <w:highlight w:val="none"/>
        </w:rPr>
        <w:t>有效</w:t>
      </w:r>
      <w:r>
        <w:rPr>
          <w:rFonts w:ascii="宋体" w:hAnsi="宋体"/>
          <w:sz w:val="24"/>
          <w:highlight w:val="none"/>
        </w:rPr>
        <w:t>授权。</w:t>
      </w:r>
    </w:p>
    <w:p>
      <w:pPr>
        <w:widowControl/>
        <w:numPr>
          <w:ilvl w:val="0"/>
          <w:numId w:val="25"/>
        </w:numPr>
        <w:tabs>
          <w:tab w:val="left" w:pos="709"/>
        </w:tabs>
        <w:adjustRightInd w:val="0"/>
        <w:snapToGrid w:val="0"/>
        <w:spacing w:before="93" w:beforeLines="30" w:after="93" w:afterLines="30" w:line="360" w:lineRule="auto"/>
        <w:ind w:left="709" w:hanging="709"/>
        <w:rPr>
          <w:rFonts w:ascii="宋体" w:hAnsi="宋体"/>
          <w:color w:val="000000"/>
          <w:sz w:val="24"/>
          <w:highlight w:val="none"/>
        </w:rPr>
      </w:pPr>
      <w:r>
        <w:rPr>
          <w:rFonts w:hint="eastAsia" w:ascii="宋体" w:hAnsi="宋体"/>
          <w:sz w:val="24"/>
          <w:highlight w:val="none"/>
        </w:rPr>
        <w:t>如乙方执行工作及提供的工作成果侵犯任何第三方的权利（包括</w:t>
      </w:r>
      <w:r>
        <w:rPr>
          <w:rFonts w:ascii="宋体" w:hAnsi="宋体"/>
          <w:sz w:val="24"/>
          <w:highlight w:val="none"/>
        </w:rPr>
        <w:t>知识产权</w:t>
      </w:r>
      <w:r>
        <w:rPr>
          <w:rFonts w:hint="eastAsia" w:ascii="宋体" w:hAnsi="宋体"/>
          <w:sz w:val="24"/>
          <w:highlight w:val="none"/>
        </w:rPr>
        <w:t>）</w:t>
      </w:r>
      <w:r>
        <w:rPr>
          <w:rFonts w:ascii="宋体" w:hAnsi="宋体"/>
          <w:sz w:val="24"/>
          <w:highlight w:val="none"/>
        </w:rPr>
        <w:t>，</w:t>
      </w:r>
      <w:r>
        <w:rPr>
          <w:rFonts w:ascii="宋体" w:hAnsi="宋体"/>
          <w:color w:val="000000"/>
          <w:sz w:val="24"/>
          <w:highlight w:val="none"/>
        </w:rPr>
        <w:t>乙方应根据甲方的要求，在确保工作符合本合同的</w:t>
      </w:r>
      <w:r>
        <w:rPr>
          <w:rFonts w:hint="eastAsia" w:ascii="宋体" w:hAnsi="宋体"/>
          <w:color w:val="000000"/>
          <w:sz w:val="24"/>
          <w:highlight w:val="none"/>
        </w:rPr>
        <w:t>约</w:t>
      </w:r>
      <w:r>
        <w:rPr>
          <w:rFonts w:ascii="宋体" w:hAnsi="宋体"/>
          <w:color w:val="000000"/>
          <w:sz w:val="24"/>
          <w:highlight w:val="none"/>
        </w:rPr>
        <w:t>定和要求的前提下，采取必要的措施获得相关的权利或对工作和工作成果进行必要的调整，确保其履行本合同和工作成果不侵犯</w:t>
      </w:r>
      <w:r>
        <w:rPr>
          <w:rFonts w:hint="eastAsia" w:ascii="宋体" w:hAnsi="宋体"/>
          <w:color w:val="000000"/>
          <w:sz w:val="24"/>
          <w:highlight w:val="none"/>
        </w:rPr>
        <w:t>任何</w:t>
      </w:r>
      <w:r>
        <w:rPr>
          <w:rFonts w:hint="eastAsia" w:ascii="宋体" w:hAnsi="宋体"/>
          <w:sz w:val="24"/>
          <w:highlight w:val="none"/>
        </w:rPr>
        <w:t>第三方的权利（包括</w:t>
      </w:r>
      <w:r>
        <w:rPr>
          <w:rFonts w:ascii="宋体" w:hAnsi="宋体"/>
          <w:color w:val="000000"/>
          <w:sz w:val="24"/>
          <w:highlight w:val="none"/>
        </w:rPr>
        <w:t>知识产权</w:t>
      </w:r>
      <w:r>
        <w:rPr>
          <w:rFonts w:hint="eastAsia" w:ascii="宋体" w:hAnsi="宋体"/>
          <w:color w:val="000000"/>
          <w:sz w:val="24"/>
          <w:highlight w:val="none"/>
        </w:rPr>
        <w:t>）</w:t>
      </w:r>
      <w:r>
        <w:rPr>
          <w:rFonts w:ascii="宋体" w:hAnsi="宋体"/>
          <w:color w:val="000000"/>
          <w:sz w:val="24"/>
          <w:highlight w:val="none"/>
        </w:rPr>
        <w:t>。</w:t>
      </w:r>
      <w:r>
        <w:rPr>
          <w:rFonts w:hint="eastAsia" w:ascii="宋体" w:hAnsi="宋体"/>
          <w:color w:val="000000"/>
          <w:sz w:val="24"/>
          <w:highlight w:val="none"/>
        </w:rPr>
        <w:t>乙方根据本款采取的措施不影响甲方的任何其它权利或补救措施。</w:t>
      </w:r>
      <w:r>
        <w:rPr>
          <w:rFonts w:hint="eastAsia"/>
          <w:bCs/>
          <w:color w:val="000000" w:themeColor="text1"/>
          <w:sz w:val="24"/>
          <w:highlight w:val="none"/>
          <w14:textFill>
            <w14:solidFill>
              <w14:schemeClr w14:val="tx1"/>
            </w14:solidFill>
          </w14:textFill>
        </w:rPr>
        <w:t>如因使用乙方提供的服务而使甲方遭受任何第三方提出诉讼、索赔、指控等，乙方应负责与第三方交涉，并承担甲方因此产生的任何损失。</w:t>
      </w:r>
    </w:p>
    <w:p>
      <w:pPr>
        <w:widowControl/>
        <w:numPr>
          <w:ilvl w:val="0"/>
          <w:numId w:val="25"/>
        </w:numPr>
        <w:tabs>
          <w:tab w:val="left" w:pos="709"/>
        </w:tabs>
        <w:adjustRightInd w:val="0"/>
        <w:snapToGrid w:val="0"/>
        <w:spacing w:before="93" w:beforeLines="30" w:after="93" w:afterLines="30" w:line="360" w:lineRule="auto"/>
        <w:ind w:left="709" w:hanging="709"/>
        <w:rPr>
          <w:rFonts w:ascii="宋体" w:hAnsi="宋体"/>
          <w:color w:val="000000"/>
          <w:sz w:val="24"/>
          <w:highlight w:val="none"/>
        </w:rPr>
      </w:pPr>
      <w:r>
        <w:rPr>
          <w:bCs/>
          <w:color w:val="000000" w:themeColor="text1"/>
          <w:sz w:val="24"/>
          <w:highlight w:val="none"/>
          <w14:textFill>
            <w14:solidFill>
              <w14:schemeClr w14:val="tx1"/>
            </w14:solidFill>
          </w14:textFill>
        </w:rPr>
        <w:t>与工作和工作成果有关的所有资料、文件</w:t>
      </w:r>
      <w:r>
        <w:rPr>
          <w:rFonts w:hint="eastAsia"/>
          <w:bCs/>
          <w:color w:val="000000" w:themeColor="text1"/>
          <w:sz w:val="24"/>
          <w:highlight w:val="none"/>
          <w14:textFill>
            <w14:solidFill>
              <w14:schemeClr w14:val="tx1"/>
            </w14:solidFill>
          </w14:textFill>
        </w:rPr>
        <w:t>及其包含的知识产权，包括因履行本合同产生的所有新的知识产权均</w:t>
      </w:r>
      <w:r>
        <w:rPr>
          <w:bCs/>
          <w:color w:val="000000" w:themeColor="text1"/>
          <w:sz w:val="24"/>
          <w:highlight w:val="none"/>
          <w14:textFill>
            <w14:solidFill>
              <w14:schemeClr w14:val="tx1"/>
            </w14:solidFill>
          </w14:textFill>
        </w:rPr>
        <w:t>为甲方所有，甲方享有全部权益，工作完成时应全部移交甲方，未经甲方允许，乙方不得使用和转让。</w:t>
      </w:r>
    </w:p>
    <w:p>
      <w:pPr>
        <w:widowControl/>
        <w:numPr>
          <w:ilvl w:val="0"/>
          <w:numId w:val="25"/>
        </w:numPr>
        <w:tabs>
          <w:tab w:val="left" w:pos="709"/>
        </w:tabs>
        <w:adjustRightInd w:val="0"/>
        <w:snapToGrid w:val="0"/>
        <w:spacing w:before="93" w:beforeLines="30" w:after="93" w:afterLines="30" w:line="360" w:lineRule="auto"/>
        <w:ind w:left="709" w:hanging="709"/>
        <w:rPr>
          <w:rFonts w:ascii="宋体" w:hAnsi="宋体"/>
          <w:color w:val="000000"/>
          <w:sz w:val="24"/>
          <w:highlight w:val="none"/>
        </w:rPr>
      </w:pPr>
      <w:r>
        <w:rPr>
          <w:rFonts w:hint="eastAsia" w:ascii="宋体" w:hAnsi="宋体"/>
          <w:color w:val="000000"/>
          <w:sz w:val="24"/>
          <w:highlight w:val="none"/>
        </w:rPr>
        <w:t>乙方无权因本条的适用而延长工作期限或调整合同总价。</w:t>
      </w:r>
    </w:p>
    <w:p>
      <w:pPr>
        <w:pStyle w:val="43"/>
        <w:tabs>
          <w:tab w:val="clear" w:pos="720"/>
        </w:tabs>
        <w:adjustRightInd w:val="0"/>
        <w:snapToGrid w:val="0"/>
        <w:spacing w:before="93" w:beforeLines="30" w:after="93" w:afterLines="30" w:line="360" w:lineRule="auto"/>
        <w:jc w:val="left"/>
        <w:rPr>
          <w:rFonts w:ascii="宋体" w:hAnsi="宋体"/>
          <w:szCs w:val="24"/>
          <w:highlight w:val="none"/>
        </w:rPr>
      </w:pPr>
      <w:bookmarkStart w:id="103" w:name="_Toc299915689"/>
      <w:bookmarkStart w:id="104" w:name="_Toc364839373"/>
      <w:r>
        <w:rPr>
          <w:rFonts w:hint="eastAsia" w:ascii="宋体" w:hAnsi="宋体"/>
          <w:szCs w:val="24"/>
          <w:highlight w:val="none"/>
        </w:rPr>
        <w:t>违约责任</w:t>
      </w:r>
      <w:bookmarkEnd w:id="103"/>
      <w:bookmarkEnd w:id="104"/>
    </w:p>
    <w:p>
      <w:pPr>
        <w:numPr>
          <w:ilvl w:val="1"/>
          <w:numId w:val="26"/>
        </w:numPr>
        <w:tabs>
          <w:tab w:val="left" w:pos="709"/>
          <w:tab w:val="clear" w:pos="840"/>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乙方</w:t>
      </w:r>
      <w:r>
        <w:rPr>
          <w:rFonts w:hint="eastAsia" w:ascii="宋体" w:hAnsi="宋体"/>
          <w:sz w:val="24"/>
          <w:highlight w:val="none"/>
        </w:rPr>
        <w:t>发生下列任一违约行为时</w:t>
      </w:r>
      <w:r>
        <w:rPr>
          <w:rFonts w:ascii="宋体" w:hAnsi="宋体"/>
          <w:sz w:val="24"/>
          <w:highlight w:val="none"/>
        </w:rPr>
        <w:t>，应向甲方支付合同总价</w:t>
      </w:r>
      <w:r>
        <w:rPr>
          <w:rFonts w:ascii="宋体" w:hAnsi="宋体"/>
          <w:bCs/>
          <w:sz w:val="24"/>
          <w:highlight w:val="none"/>
        </w:rPr>
        <w:t>【</w:t>
      </w:r>
      <w:r>
        <w:rPr>
          <w:rFonts w:hint="eastAsia" w:ascii="宋体" w:hAnsi="宋体"/>
          <w:bCs/>
          <w:i/>
          <w:sz w:val="24"/>
          <w:highlight w:val="none"/>
        </w:rPr>
        <w:t>填入百分比</w:t>
      </w:r>
      <w:r>
        <w:rPr>
          <w:rFonts w:ascii="宋体" w:hAnsi="宋体"/>
          <w:bCs/>
          <w:sz w:val="24"/>
          <w:highlight w:val="none"/>
        </w:rPr>
        <w:t>】</w:t>
      </w:r>
      <w:r>
        <w:rPr>
          <w:rFonts w:ascii="宋体" w:hAnsi="宋体"/>
          <w:sz w:val="24"/>
          <w:highlight w:val="none"/>
        </w:rPr>
        <w:t>的违约金，并赔偿甲方因</w:t>
      </w:r>
      <w:r>
        <w:rPr>
          <w:rFonts w:hint="eastAsia" w:ascii="宋体" w:hAnsi="宋体"/>
          <w:sz w:val="24"/>
          <w:highlight w:val="none"/>
        </w:rPr>
        <w:t>此</w:t>
      </w:r>
      <w:r>
        <w:rPr>
          <w:rFonts w:ascii="宋体" w:hAnsi="宋体"/>
          <w:sz w:val="24"/>
          <w:highlight w:val="none"/>
        </w:rPr>
        <w:t>遭受的</w:t>
      </w:r>
      <w:r>
        <w:rPr>
          <w:rFonts w:hint="eastAsia"/>
          <w:bCs/>
          <w:sz w:val="24"/>
          <w:highlight w:val="none"/>
        </w:rPr>
        <w:t>超出违约金数额的</w:t>
      </w:r>
      <w:r>
        <w:rPr>
          <w:rFonts w:ascii="宋体" w:hAnsi="宋体"/>
          <w:sz w:val="24"/>
          <w:highlight w:val="none"/>
        </w:rPr>
        <w:t>全部损失</w:t>
      </w:r>
      <w:r>
        <w:rPr>
          <w:rFonts w:hint="eastAsia" w:ascii="宋体" w:hAnsi="宋体"/>
          <w:sz w:val="24"/>
          <w:highlight w:val="none"/>
        </w:rPr>
        <w:t>：</w:t>
      </w:r>
    </w:p>
    <w:p>
      <w:pPr>
        <w:numPr>
          <w:ilvl w:val="2"/>
          <w:numId w:val="27"/>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ascii="宋体" w:hAnsi="宋体"/>
          <w:sz w:val="24"/>
          <w:highlight w:val="none"/>
        </w:rPr>
        <w:t>乙方提供的服务</w:t>
      </w:r>
      <w:r>
        <w:rPr>
          <w:rFonts w:hint="eastAsia" w:ascii="宋体" w:hAnsi="宋体"/>
          <w:sz w:val="24"/>
          <w:highlight w:val="none"/>
        </w:rPr>
        <w:t>、工作成果</w:t>
      </w:r>
      <w:r>
        <w:rPr>
          <w:rFonts w:ascii="宋体" w:hAnsi="宋体"/>
          <w:sz w:val="24"/>
          <w:highlight w:val="none"/>
        </w:rPr>
        <w:t>等</w:t>
      </w:r>
      <w:r>
        <w:rPr>
          <w:rFonts w:hint="eastAsia" w:ascii="宋体" w:hAnsi="宋体"/>
          <w:sz w:val="24"/>
          <w:highlight w:val="none"/>
        </w:rPr>
        <w:t>不符合本</w:t>
      </w:r>
      <w:r>
        <w:rPr>
          <w:rFonts w:ascii="宋体" w:hAnsi="宋体"/>
          <w:sz w:val="24"/>
          <w:highlight w:val="none"/>
        </w:rPr>
        <w:t>合同</w:t>
      </w:r>
      <w:r>
        <w:rPr>
          <w:rFonts w:hint="eastAsia" w:ascii="宋体" w:hAnsi="宋体"/>
          <w:sz w:val="24"/>
          <w:highlight w:val="none"/>
        </w:rPr>
        <w:t>的</w:t>
      </w:r>
      <w:r>
        <w:rPr>
          <w:rFonts w:ascii="宋体" w:hAnsi="宋体"/>
          <w:sz w:val="24"/>
          <w:highlight w:val="none"/>
        </w:rPr>
        <w:t>要求</w:t>
      </w:r>
      <w:r>
        <w:rPr>
          <w:rFonts w:hint="eastAsia" w:ascii="宋体" w:hAnsi="宋体"/>
          <w:sz w:val="24"/>
          <w:highlight w:val="none"/>
        </w:rPr>
        <w:t>；</w:t>
      </w:r>
    </w:p>
    <w:p>
      <w:pPr>
        <w:numPr>
          <w:ilvl w:val="2"/>
          <w:numId w:val="27"/>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ascii="宋体" w:hAnsi="宋体"/>
          <w:sz w:val="24"/>
          <w:highlight w:val="none"/>
        </w:rPr>
        <w:t>拒绝</w:t>
      </w:r>
      <w:r>
        <w:rPr>
          <w:rFonts w:hint="eastAsia" w:ascii="宋体" w:hAnsi="宋体"/>
          <w:sz w:val="24"/>
          <w:highlight w:val="none"/>
        </w:rPr>
        <w:t>对不符合本合同要求的服务或工作成果进行修复、更换或调整；</w:t>
      </w:r>
    </w:p>
    <w:p>
      <w:pPr>
        <w:numPr>
          <w:ilvl w:val="2"/>
          <w:numId w:val="27"/>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hint="eastAsia" w:ascii="宋体" w:hAnsi="宋体"/>
          <w:sz w:val="24"/>
          <w:highlight w:val="none"/>
        </w:rPr>
        <w:t>拒绝更换</w:t>
      </w:r>
      <w:r>
        <w:rPr>
          <w:rFonts w:ascii="宋体" w:hAnsi="宋体"/>
          <w:sz w:val="24"/>
          <w:highlight w:val="none"/>
        </w:rPr>
        <w:t>不</w:t>
      </w:r>
      <w:r>
        <w:rPr>
          <w:rFonts w:hint="eastAsia" w:ascii="宋体" w:hAnsi="宋体"/>
          <w:sz w:val="24"/>
          <w:highlight w:val="none"/>
        </w:rPr>
        <w:t>适格</w:t>
      </w:r>
      <w:r>
        <w:rPr>
          <w:rFonts w:ascii="宋体" w:hAnsi="宋体"/>
          <w:sz w:val="24"/>
          <w:highlight w:val="none"/>
        </w:rPr>
        <w:t>的</w:t>
      </w:r>
      <w:r>
        <w:rPr>
          <w:rFonts w:hint="eastAsia" w:ascii="宋体" w:hAnsi="宋体"/>
          <w:sz w:val="24"/>
          <w:highlight w:val="none"/>
        </w:rPr>
        <w:t>工作</w:t>
      </w:r>
      <w:r>
        <w:rPr>
          <w:rFonts w:ascii="宋体" w:hAnsi="宋体"/>
          <w:sz w:val="24"/>
          <w:highlight w:val="none"/>
        </w:rPr>
        <w:t>人员</w:t>
      </w:r>
      <w:r>
        <w:rPr>
          <w:rFonts w:hint="eastAsia" w:ascii="宋体" w:hAnsi="宋体"/>
          <w:sz w:val="24"/>
          <w:highlight w:val="none"/>
        </w:rPr>
        <w:t>；</w:t>
      </w:r>
    </w:p>
    <w:p>
      <w:pPr>
        <w:numPr>
          <w:ilvl w:val="2"/>
          <w:numId w:val="27"/>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hint="eastAsia" w:ascii="宋体" w:hAnsi="宋体"/>
          <w:sz w:val="24"/>
          <w:highlight w:val="none"/>
        </w:rPr>
        <w:t>未经甲方许可，擅自更换其关键工作人员；</w:t>
      </w:r>
    </w:p>
    <w:p>
      <w:pPr>
        <w:numPr>
          <w:ilvl w:val="2"/>
          <w:numId w:val="27"/>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hint="eastAsia" w:ascii="宋体" w:hAnsi="宋体"/>
          <w:sz w:val="24"/>
          <w:highlight w:val="none"/>
        </w:rPr>
        <w:t>未经甲方同意擅自进行分包；</w:t>
      </w:r>
    </w:p>
    <w:p>
      <w:pPr>
        <w:numPr>
          <w:ilvl w:val="2"/>
          <w:numId w:val="27"/>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hint="eastAsia" w:ascii="宋体" w:hAnsi="宋体"/>
          <w:sz w:val="24"/>
          <w:highlight w:val="none"/>
        </w:rPr>
        <w:t>转包；</w:t>
      </w:r>
    </w:p>
    <w:p>
      <w:pPr>
        <w:numPr>
          <w:ilvl w:val="2"/>
          <w:numId w:val="27"/>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ascii="宋体" w:hAnsi="宋体"/>
          <w:sz w:val="24"/>
          <w:highlight w:val="none"/>
        </w:rPr>
        <w:t>不遵守甲方关于健康、安全和环保</w:t>
      </w:r>
      <w:r>
        <w:rPr>
          <w:rFonts w:hint="eastAsia" w:ascii="宋体" w:hAnsi="宋体"/>
          <w:sz w:val="24"/>
          <w:highlight w:val="none"/>
        </w:rPr>
        <w:t>的</w:t>
      </w:r>
      <w:r>
        <w:rPr>
          <w:rFonts w:ascii="宋体" w:hAnsi="宋体"/>
          <w:sz w:val="24"/>
          <w:highlight w:val="none"/>
        </w:rPr>
        <w:t>规定</w:t>
      </w:r>
      <w:r>
        <w:rPr>
          <w:rFonts w:hint="eastAsia" w:ascii="宋体" w:hAnsi="宋体"/>
          <w:sz w:val="24"/>
          <w:highlight w:val="none"/>
        </w:rPr>
        <w:t>；</w:t>
      </w:r>
    </w:p>
    <w:p>
      <w:pPr>
        <w:numPr>
          <w:ilvl w:val="2"/>
          <w:numId w:val="27"/>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ascii="宋体" w:hAnsi="宋体"/>
          <w:sz w:val="24"/>
          <w:highlight w:val="none"/>
        </w:rPr>
        <w:t>乙方或其雇员对甲方实施欺诈行为</w:t>
      </w:r>
      <w:r>
        <w:rPr>
          <w:rFonts w:hint="eastAsia" w:ascii="宋体" w:hAnsi="宋体"/>
          <w:sz w:val="24"/>
          <w:highlight w:val="none"/>
        </w:rPr>
        <w:t>；</w:t>
      </w:r>
    </w:p>
    <w:p>
      <w:pPr>
        <w:numPr>
          <w:ilvl w:val="2"/>
          <w:numId w:val="27"/>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ascii="宋体" w:hAnsi="宋体"/>
          <w:sz w:val="24"/>
          <w:highlight w:val="none"/>
        </w:rPr>
        <w:t>乙方或其雇员的行为损害了甲方的利益</w:t>
      </w:r>
      <w:r>
        <w:rPr>
          <w:rFonts w:hint="eastAsia" w:ascii="宋体" w:hAnsi="宋体"/>
          <w:sz w:val="24"/>
          <w:highlight w:val="none"/>
        </w:rPr>
        <w:t>或</w:t>
      </w:r>
      <w:r>
        <w:rPr>
          <w:rFonts w:ascii="宋体" w:hAnsi="宋体"/>
          <w:sz w:val="24"/>
          <w:highlight w:val="none"/>
        </w:rPr>
        <w:t>声誉</w:t>
      </w:r>
      <w:r>
        <w:rPr>
          <w:rFonts w:hint="eastAsia" w:ascii="宋体" w:hAnsi="宋体"/>
          <w:sz w:val="24"/>
          <w:highlight w:val="none"/>
        </w:rPr>
        <w:t>；</w:t>
      </w:r>
    </w:p>
    <w:p>
      <w:pPr>
        <w:numPr>
          <w:ilvl w:val="2"/>
          <w:numId w:val="27"/>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hint="eastAsia" w:ascii="宋体" w:hAnsi="宋体"/>
          <w:sz w:val="24"/>
          <w:highlight w:val="none"/>
        </w:rPr>
        <w:t>乙方违反第11.1条约定的权利保证</w:t>
      </w:r>
      <w:r>
        <w:rPr>
          <w:rFonts w:ascii="宋体" w:hAnsi="宋体"/>
          <w:sz w:val="24"/>
          <w:highlight w:val="none"/>
        </w:rPr>
        <w:t>。</w:t>
      </w:r>
    </w:p>
    <w:p>
      <w:pPr>
        <w:numPr>
          <w:ilvl w:val="1"/>
          <w:numId w:val="26"/>
        </w:numPr>
        <w:tabs>
          <w:tab w:val="left" w:pos="709"/>
          <w:tab w:val="clear" w:pos="840"/>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就乙方的上述违约行为</w:t>
      </w:r>
      <w:r>
        <w:rPr>
          <w:rFonts w:hint="eastAsia" w:ascii="宋体" w:hAnsi="宋体"/>
          <w:sz w:val="24"/>
          <w:highlight w:val="none"/>
        </w:rPr>
        <w:t>，甲方除有权依据本合同第</w:t>
      </w:r>
      <w:r>
        <w:rPr>
          <w:sz w:val="24"/>
          <w:highlight w:val="none"/>
        </w:rPr>
        <w:t>12.1</w:t>
      </w:r>
      <w:r>
        <w:rPr>
          <w:rFonts w:hint="eastAsia" w:ascii="宋体" w:hAnsi="宋体"/>
          <w:sz w:val="24"/>
          <w:highlight w:val="none"/>
        </w:rPr>
        <w:t>款要求乙方承担违约责任外，有权</w:t>
      </w:r>
      <w:r>
        <w:rPr>
          <w:rFonts w:ascii="宋体" w:hAnsi="宋体"/>
          <w:sz w:val="24"/>
          <w:highlight w:val="none"/>
        </w:rPr>
        <w:t>向乙方出具书面通知，要求乙方进行更正或整改</w:t>
      </w:r>
      <w:r>
        <w:rPr>
          <w:rFonts w:hint="eastAsia" w:ascii="宋体" w:hAnsi="宋体"/>
          <w:sz w:val="24"/>
          <w:highlight w:val="none"/>
        </w:rPr>
        <w:t>。如</w:t>
      </w:r>
      <w:r>
        <w:rPr>
          <w:rFonts w:ascii="宋体" w:hAnsi="宋体"/>
          <w:sz w:val="24"/>
          <w:highlight w:val="none"/>
        </w:rPr>
        <w:t>乙方</w:t>
      </w:r>
      <w:r>
        <w:rPr>
          <w:rFonts w:hint="eastAsia" w:ascii="宋体" w:hAnsi="宋体"/>
          <w:sz w:val="24"/>
          <w:highlight w:val="none"/>
        </w:rPr>
        <w:t>收到该等通知后【</w:t>
      </w:r>
      <w:r>
        <w:rPr>
          <w:rFonts w:hint="eastAsia"/>
          <w:i/>
          <w:sz w:val="24"/>
          <w:highlight w:val="none"/>
        </w:rPr>
        <w:t>填入天数，如十（</w:t>
      </w:r>
      <w:r>
        <w:rPr>
          <w:i/>
          <w:sz w:val="24"/>
          <w:highlight w:val="none"/>
        </w:rPr>
        <w:t>10</w:t>
      </w:r>
      <w:r>
        <w:rPr>
          <w:rFonts w:hint="eastAsia"/>
          <w:i/>
          <w:sz w:val="24"/>
          <w:highlight w:val="none"/>
        </w:rPr>
        <w:t>）</w:t>
      </w:r>
      <w:r>
        <w:rPr>
          <w:rFonts w:hint="eastAsia" w:ascii="宋体" w:hAnsi="宋体"/>
          <w:sz w:val="24"/>
          <w:highlight w:val="none"/>
        </w:rPr>
        <w:t>】</w:t>
      </w:r>
      <w:r>
        <w:rPr>
          <w:rFonts w:ascii="宋体" w:hAnsi="宋体"/>
          <w:sz w:val="24"/>
          <w:highlight w:val="none"/>
        </w:rPr>
        <w:t>个工作日内未按照甲方要求</w:t>
      </w:r>
      <w:r>
        <w:rPr>
          <w:rFonts w:hint="eastAsia" w:ascii="宋体" w:hAnsi="宋体"/>
          <w:sz w:val="24"/>
          <w:highlight w:val="none"/>
        </w:rPr>
        <w:t>作出</w:t>
      </w:r>
      <w:r>
        <w:rPr>
          <w:rFonts w:ascii="宋体" w:hAnsi="宋体"/>
          <w:sz w:val="24"/>
          <w:highlight w:val="none"/>
        </w:rPr>
        <w:t>更正或进行整改的，甲方有权立即</w:t>
      </w:r>
      <w:r>
        <w:rPr>
          <w:rFonts w:hint="eastAsia" w:ascii="宋体" w:hAnsi="宋体"/>
          <w:sz w:val="24"/>
          <w:highlight w:val="none"/>
        </w:rPr>
        <w:t>解除</w:t>
      </w:r>
      <w:r>
        <w:rPr>
          <w:rFonts w:ascii="宋体" w:hAnsi="宋体"/>
          <w:sz w:val="24"/>
          <w:highlight w:val="none"/>
        </w:rPr>
        <w:t>本合同，乙方应赔偿甲方</w:t>
      </w:r>
      <w:r>
        <w:rPr>
          <w:rFonts w:hint="eastAsia" w:ascii="宋体" w:hAnsi="宋体"/>
          <w:sz w:val="24"/>
          <w:highlight w:val="none"/>
        </w:rPr>
        <w:t>因此</w:t>
      </w:r>
      <w:r>
        <w:rPr>
          <w:rFonts w:ascii="宋体" w:hAnsi="宋体"/>
          <w:sz w:val="24"/>
          <w:highlight w:val="none"/>
        </w:rPr>
        <w:t>而遭受的</w:t>
      </w:r>
      <w:r>
        <w:rPr>
          <w:rFonts w:hint="eastAsia"/>
          <w:bCs/>
          <w:sz w:val="24"/>
          <w:highlight w:val="none"/>
        </w:rPr>
        <w:t>超出违约金数额的</w:t>
      </w:r>
      <w:r>
        <w:rPr>
          <w:rFonts w:ascii="宋体" w:hAnsi="宋体"/>
          <w:sz w:val="24"/>
          <w:highlight w:val="none"/>
        </w:rPr>
        <w:t>全部损失。</w:t>
      </w:r>
    </w:p>
    <w:p>
      <w:pPr>
        <w:numPr>
          <w:ilvl w:val="1"/>
          <w:numId w:val="26"/>
        </w:numPr>
        <w:tabs>
          <w:tab w:val="left" w:pos="709"/>
          <w:tab w:val="clear" w:pos="840"/>
        </w:tabs>
        <w:adjustRightInd w:val="0"/>
        <w:snapToGrid w:val="0"/>
        <w:spacing w:before="93" w:beforeLines="30" w:after="93" w:afterLines="30" w:line="360" w:lineRule="auto"/>
        <w:ind w:left="709" w:hanging="709"/>
        <w:rPr>
          <w:rFonts w:ascii="宋体" w:hAnsi="宋体"/>
          <w:sz w:val="24"/>
          <w:highlight w:val="none"/>
        </w:rPr>
      </w:pPr>
      <w:r>
        <w:rPr>
          <w:rFonts w:hint="eastAsia" w:ascii="宋体" w:hAnsi="宋体"/>
          <w:sz w:val="24"/>
          <w:highlight w:val="none"/>
        </w:rPr>
        <w:t>如乙方未能在合同规定的工作期限内完成全部工作，每延期一日，乙方应向甲方支付合同总价的</w:t>
      </w:r>
      <w:r>
        <w:rPr>
          <w:rFonts w:ascii="宋体" w:hAnsi="宋体"/>
          <w:bCs/>
          <w:sz w:val="24"/>
          <w:highlight w:val="none"/>
        </w:rPr>
        <w:t>【</w:t>
      </w:r>
      <w:r>
        <w:rPr>
          <w:rFonts w:hint="eastAsia" w:ascii="宋体" w:hAnsi="宋体"/>
          <w:bCs/>
          <w:i/>
          <w:sz w:val="24"/>
          <w:highlight w:val="none"/>
        </w:rPr>
        <w:t>填入百分比</w:t>
      </w:r>
      <w:r>
        <w:rPr>
          <w:rFonts w:ascii="宋体" w:hAnsi="宋体"/>
          <w:bCs/>
          <w:sz w:val="24"/>
          <w:highlight w:val="none"/>
        </w:rPr>
        <w:t>】</w:t>
      </w:r>
      <w:r>
        <w:rPr>
          <w:rFonts w:hint="eastAsia" w:ascii="宋体" w:hAnsi="宋体"/>
          <w:sz w:val="24"/>
          <w:highlight w:val="none"/>
        </w:rPr>
        <w:t>作为延期违约金。如延期超过</w:t>
      </w:r>
      <w:r>
        <w:rPr>
          <w:rFonts w:ascii="宋体" w:hAnsi="宋体"/>
          <w:bCs/>
          <w:sz w:val="24"/>
          <w:highlight w:val="none"/>
        </w:rPr>
        <w:t>【</w:t>
      </w:r>
      <w:r>
        <w:rPr>
          <w:rFonts w:hint="eastAsia" w:ascii="宋体" w:hAnsi="宋体"/>
          <w:bCs/>
          <w:i/>
          <w:sz w:val="24"/>
          <w:highlight w:val="none"/>
        </w:rPr>
        <w:t>填入天数</w:t>
      </w:r>
      <w:r>
        <w:rPr>
          <w:rFonts w:ascii="宋体" w:hAnsi="宋体"/>
          <w:bCs/>
          <w:sz w:val="24"/>
          <w:highlight w:val="none"/>
        </w:rPr>
        <w:t>】</w:t>
      </w:r>
      <w:r>
        <w:rPr>
          <w:rFonts w:hint="eastAsia" w:ascii="宋体" w:hAnsi="宋体"/>
          <w:sz w:val="24"/>
          <w:highlight w:val="none"/>
        </w:rPr>
        <w:t>日，除要求乙方支付违约金外，甲方有权解除本合同，并有权要求乙方赔偿甲方因此遭受的</w:t>
      </w:r>
      <w:r>
        <w:rPr>
          <w:rFonts w:hint="eastAsia"/>
          <w:bCs/>
          <w:sz w:val="24"/>
          <w:highlight w:val="none"/>
        </w:rPr>
        <w:t>超出违约金数额的</w:t>
      </w:r>
      <w:r>
        <w:rPr>
          <w:rFonts w:hint="eastAsia" w:ascii="宋体" w:hAnsi="宋体"/>
          <w:sz w:val="24"/>
          <w:highlight w:val="none"/>
        </w:rPr>
        <w:t>全部损失。</w:t>
      </w:r>
    </w:p>
    <w:p>
      <w:pPr>
        <w:numPr>
          <w:ilvl w:val="1"/>
          <w:numId w:val="26"/>
        </w:numPr>
        <w:tabs>
          <w:tab w:val="left" w:pos="709"/>
          <w:tab w:val="clear" w:pos="840"/>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乙方根据本合同的</w:t>
      </w:r>
      <w:r>
        <w:rPr>
          <w:rFonts w:hint="eastAsia" w:ascii="宋体" w:hAnsi="宋体"/>
          <w:sz w:val="24"/>
          <w:highlight w:val="none"/>
        </w:rPr>
        <w:t>约</w:t>
      </w:r>
      <w:r>
        <w:rPr>
          <w:rFonts w:ascii="宋体" w:hAnsi="宋体"/>
          <w:sz w:val="24"/>
          <w:highlight w:val="none"/>
        </w:rPr>
        <w:t>定应承担违约金或赔偿责任的，甲方有权从合同</w:t>
      </w:r>
      <w:r>
        <w:rPr>
          <w:rFonts w:hint="eastAsia" w:ascii="宋体" w:hAnsi="宋体"/>
          <w:sz w:val="24"/>
          <w:highlight w:val="none"/>
        </w:rPr>
        <w:t>总价</w:t>
      </w:r>
      <w:r>
        <w:rPr>
          <w:rFonts w:ascii="宋体" w:hAnsi="宋体"/>
          <w:sz w:val="24"/>
          <w:highlight w:val="none"/>
        </w:rPr>
        <w:t>余额</w:t>
      </w:r>
      <w:r>
        <w:rPr>
          <w:rFonts w:hint="eastAsia" w:ascii="宋体" w:hAnsi="宋体"/>
          <w:sz w:val="24"/>
          <w:highlight w:val="none"/>
        </w:rPr>
        <w:t>中直接扣除</w:t>
      </w:r>
      <w:r>
        <w:rPr>
          <w:rFonts w:ascii="宋体" w:hAnsi="宋体"/>
          <w:sz w:val="24"/>
          <w:highlight w:val="none"/>
        </w:rPr>
        <w:t>。</w:t>
      </w:r>
    </w:p>
    <w:p>
      <w:pPr>
        <w:numPr>
          <w:ilvl w:val="1"/>
          <w:numId w:val="26"/>
        </w:numPr>
        <w:tabs>
          <w:tab w:val="left" w:pos="709"/>
          <w:tab w:val="clear" w:pos="840"/>
        </w:tabs>
        <w:adjustRightInd w:val="0"/>
        <w:snapToGrid w:val="0"/>
        <w:spacing w:before="93" w:beforeLines="30" w:after="93" w:afterLines="30" w:line="360" w:lineRule="auto"/>
        <w:ind w:left="709" w:hanging="709"/>
        <w:rPr>
          <w:rFonts w:ascii="宋体" w:hAnsi="宋体"/>
          <w:sz w:val="24"/>
          <w:highlight w:val="none"/>
        </w:rPr>
      </w:pPr>
      <w:r>
        <w:rPr>
          <w:rFonts w:hint="eastAsia" w:ascii="宋体" w:hAnsi="宋体"/>
          <w:sz w:val="24"/>
          <w:highlight w:val="none"/>
        </w:rPr>
        <w:t>如仅因甲方原因，甲方逾期向乙方付款，乙方应向甲方发出书面催款通知，甲方应在收到该等通知后【</w:t>
      </w:r>
      <w:r>
        <w:rPr>
          <w:rFonts w:hint="eastAsia" w:ascii="宋体" w:hAnsi="宋体"/>
          <w:i/>
          <w:sz w:val="24"/>
          <w:highlight w:val="none"/>
        </w:rPr>
        <w:t>填入天数，如三十（30）</w:t>
      </w:r>
      <w:r>
        <w:rPr>
          <w:rFonts w:hint="eastAsia" w:ascii="宋体" w:hAnsi="宋体"/>
          <w:sz w:val="24"/>
          <w:highlight w:val="none"/>
        </w:rPr>
        <w:t>】日内付款，否则，即应自该等【</w:t>
      </w:r>
      <w:r>
        <w:rPr>
          <w:rFonts w:hint="eastAsia" w:ascii="宋体" w:hAnsi="宋体"/>
          <w:i/>
          <w:sz w:val="24"/>
          <w:highlight w:val="none"/>
        </w:rPr>
        <w:t>填入天数，如三十（30）</w:t>
      </w:r>
      <w:r>
        <w:rPr>
          <w:rFonts w:hint="eastAsia" w:ascii="宋体" w:hAnsi="宋体"/>
          <w:sz w:val="24"/>
          <w:highlight w:val="none"/>
        </w:rPr>
        <w:t>】日期间结束之日起，按合同订立时1年期贷款市场报价利率计算并支付应付未付合同价款的利息，最高不超过相关应付未付合同价款的【</w:t>
      </w:r>
      <w:r>
        <w:rPr>
          <w:rFonts w:hint="eastAsia" w:hAnsi="宋体"/>
          <w:bCs/>
          <w:i/>
          <w:sz w:val="24"/>
          <w:highlight w:val="none"/>
        </w:rPr>
        <w:t>填入百分比</w:t>
      </w:r>
      <w:r>
        <w:rPr>
          <w:rFonts w:hint="eastAsia" w:ascii="宋体" w:hAnsi="宋体"/>
          <w:sz w:val="24"/>
          <w:highlight w:val="none"/>
        </w:rPr>
        <w:t>】。双方同意，该等利息的支付是甲方就未能如期支付相关合同价款所需承担的全部责任。</w:t>
      </w:r>
    </w:p>
    <w:p>
      <w:pPr>
        <w:pStyle w:val="43"/>
        <w:tabs>
          <w:tab w:val="clear" w:pos="720"/>
        </w:tabs>
        <w:adjustRightInd w:val="0"/>
        <w:snapToGrid w:val="0"/>
        <w:spacing w:before="93" w:beforeLines="30" w:after="93" w:afterLines="30" w:line="360" w:lineRule="auto"/>
        <w:jc w:val="left"/>
        <w:rPr>
          <w:rFonts w:ascii="宋体" w:hAnsi="宋体"/>
          <w:szCs w:val="24"/>
          <w:highlight w:val="none"/>
        </w:rPr>
      </w:pPr>
      <w:bookmarkStart w:id="105" w:name="_Toc364839374"/>
      <w:bookmarkStart w:id="106" w:name="_Toc299912679"/>
      <w:bookmarkStart w:id="107" w:name="_Toc299915694"/>
      <w:r>
        <w:rPr>
          <w:rFonts w:ascii="宋体" w:hAnsi="宋体"/>
          <w:bCs w:val="0"/>
          <w:szCs w:val="24"/>
          <w:highlight w:val="none"/>
        </w:rPr>
        <w:t>合同</w:t>
      </w:r>
      <w:bookmarkStart w:id="108" w:name="OLE_LINK3"/>
      <w:r>
        <w:rPr>
          <w:rFonts w:hint="eastAsia" w:ascii="宋体" w:hAnsi="宋体"/>
          <w:szCs w:val="24"/>
          <w:highlight w:val="none"/>
        </w:rPr>
        <w:t>的解除和</w:t>
      </w:r>
      <w:r>
        <w:rPr>
          <w:rFonts w:ascii="宋体" w:hAnsi="宋体"/>
          <w:szCs w:val="24"/>
          <w:highlight w:val="none"/>
        </w:rPr>
        <w:t>终</w:t>
      </w:r>
      <w:bookmarkEnd w:id="108"/>
      <w:r>
        <w:rPr>
          <w:rFonts w:ascii="宋体" w:hAnsi="宋体"/>
          <w:szCs w:val="24"/>
          <w:highlight w:val="none"/>
        </w:rPr>
        <w:t>止</w:t>
      </w:r>
      <w:bookmarkEnd w:id="105"/>
      <w:bookmarkEnd w:id="106"/>
      <w:bookmarkEnd w:id="107"/>
    </w:p>
    <w:p>
      <w:pPr>
        <w:numPr>
          <w:ilvl w:val="0"/>
          <w:numId w:val="28"/>
        </w:numPr>
        <w:tabs>
          <w:tab w:val="left" w:pos="709"/>
          <w:tab w:val="clear" w:pos="1260"/>
        </w:tabs>
        <w:autoSpaceDE w:val="0"/>
        <w:autoSpaceDN w:val="0"/>
        <w:adjustRightInd w:val="0"/>
        <w:snapToGrid w:val="0"/>
        <w:spacing w:before="93" w:beforeLines="30" w:after="93" w:afterLines="30" w:line="360" w:lineRule="auto"/>
        <w:ind w:left="709" w:hanging="709"/>
        <w:rPr>
          <w:rFonts w:ascii="宋体" w:hAnsi="宋体"/>
          <w:kern w:val="0"/>
          <w:sz w:val="24"/>
          <w:highlight w:val="none"/>
        </w:rPr>
      </w:pPr>
      <w:r>
        <w:rPr>
          <w:rFonts w:hint="eastAsia" w:ascii="宋体" w:hAnsi="宋体"/>
          <w:kern w:val="0"/>
          <w:sz w:val="24"/>
          <w:highlight w:val="none"/>
        </w:rPr>
        <w:t>如发生以下任一情形，经书面通知乙方，甲方有权解除本合同：</w:t>
      </w:r>
    </w:p>
    <w:p>
      <w:pPr>
        <w:widowControl/>
        <w:numPr>
          <w:ilvl w:val="0"/>
          <w:numId w:val="29"/>
        </w:numPr>
        <w:adjustRightInd w:val="0"/>
        <w:snapToGrid w:val="0"/>
        <w:spacing w:before="93" w:beforeLines="30" w:after="93" w:afterLines="30" w:line="360" w:lineRule="auto"/>
        <w:ind w:left="1276" w:hanging="567"/>
        <w:jc w:val="left"/>
        <w:rPr>
          <w:rFonts w:ascii="宋体" w:hAnsi="宋体"/>
          <w:sz w:val="24"/>
          <w:highlight w:val="none"/>
        </w:rPr>
      </w:pPr>
      <w:r>
        <w:rPr>
          <w:rFonts w:hint="eastAsia" w:ascii="宋体" w:hAnsi="宋体"/>
          <w:sz w:val="24"/>
          <w:highlight w:val="none"/>
        </w:rPr>
        <w:t>本合同明确规定甲方有权解除合同的情形；</w:t>
      </w:r>
    </w:p>
    <w:p>
      <w:pPr>
        <w:widowControl/>
        <w:numPr>
          <w:ilvl w:val="0"/>
          <w:numId w:val="29"/>
        </w:numPr>
        <w:adjustRightInd w:val="0"/>
        <w:snapToGrid w:val="0"/>
        <w:spacing w:before="93" w:beforeLines="30" w:after="93" w:afterLines="30" w:line="360" w:lineRule="auto"/>
        <w:ind w:left="1276" w:hanging="567"/>
        <w:jc w:val="left"/>
        <w:rPr>
          <w:rFonts w:ascii="宋体" w:hAnsi="宋体"/>
          <w:sz w:val="24"/>
          <w:highlight w:val="none"/>
        </w:rPr>
      </w:pPr>
      <w:r>
        <w:rPr>
          <w:rFonts w:ascii="宋体" w:hAnsi="宋体"/>
          <w:sz w:val="24"/>
          <w:highlight w:val="none"/>
        </w:rPr>
        <w:t>乙方破产、资不抵债、停业清理、解散、被兼并、被查封</w:t>
      </w:r>
      <w:r>
        <w:rPr>
          <w:rFonts w:hint="eastAsia" w:ascii="宋体" w:hAnsi="宋体"/>
          <w:sz w:val="24"/>
          <w:highlight w:val="none"/>
        </w:rPr>
        <w:t>；</w:t>
      </w:r>
    </w:p>
    <w:p>
      <w:pPr>
        <w:widowControl/>
        <w:numPr>
          <w:ilvl w:val="0"/>
          <w:numId w:val="29"/>
        </w:numPr>
        <w:adjustRightInd w:val="0"/>
        <w:snapToGrid w:val="0"/>
        <w:spacing w:before="93" w:beforeLines="30" w:after="93" w:afterLines="30" w:line="360" w:lineRule="auto"/>
        <w:ind w:left="1276" w:hanging="567"/>
        <w:jc w:val="left"/>
        <w:rPr>
          <w:rFonts w:ascii="宋体" w:hAnsi="宋体"/>
          <w:sz w:val="24"/>
          <w:highlight w:val="none"/>
        </w:rPr>
      </w:pPr>
      <w:r>
        <w:rPr>
          <w:rFonts w:ascii="宋体" w:hAnsi="宋体"/>
          <w:sz w:val="24"/>
          <w:highlight w:val="none"/>
        </w:rPr>
        <w:t>乙方</w:t>
      </w:r>
      <w:r>
        <w:rPr>
          <w:rFonts w:hint="eastAsia" w:ascii="宋体" w:hAnsi="宋体"/>
          <w:sz w:val="24"/>
          <w:highlight w:val="none"/>
        </w:rPr>
        <w:t>有其它严重违约行为</w:t>
      </w:r>
      <w:r>
        <w:rPr>
          <w:rFonts w:ascii="宋体" w:hAnsi="宋体"/>
          <w:sz w:val="24"/>
          <w:highlight w:val="none"/>
        </w:rPr>
        <w:t>，</w:t>
      </w:r>
      <w:r>
        <w:rPr>
          <w:rFonts w:hint="eastAsia" w:ascii="宋体" w:hAnsi="宋体"/>
          <w:sz w:val="24"/>
          <w:highlight w:val="none"/>
        </w:rPr>
        <w:t>且未在甲方要求的合理期限内纠正；</w:t>
      </w:r>
    </w:p>
    <w:p>
      <w:pPr>
        <w:widowControl/>
        <w:numPr>
          <w:ilvl w:val="0"/>
          <w:numId w:val="29"/>
        </w:numPr>
        <w:adjustRightInd w:val="0"/>
        <w:snapToGrid w:val="0"/>
        <w:spacing w:before="93" w:beforeLines="30" w:after="93" w:afterLines="30" w:line="360" w:lineRule="auto"/>
        <w:ind w:left="1276" w:hanging="567"/>
        <w:jc w:val="left"/>
        <w:rPr>
          <w:rFonts w:ascii="宋体" w:hAnsi="宋体"/>
          <w:sz w:val="24"/>
          <w:highlight w:val="none"/>
        </w:rPr>
      </w:pPr>
      <w:r>
        <w:rPr>
          <w:rFonts w:hint="eastAsia" w:ascii="宋体" w:hAnsi="宋体"/>
          <w:sz w:val="24"/>
          <w:highlight w:val="none"/>
        </w:rPr>
        <w:t>不可抗力</w:t>
      </w:r>
      <w:r>
        <w:rPr>
          <w:rFonts w:ascii="宋体" w:hAnsi="宋体"/>
          <w:sz w:val="24"/>
          <w:highlight w:val="none"/>
        </w:rPr>
        <w:t>持续超过【</w:t>
      </w:r>
      <w:r>
        <w:rPr>
          <w:rFonts w:hint="eastAsia" w:ascii="宋体" w:hAnsi="宋体"/>
          <w:i/>
          <w:sz w:val="24"/>
          <w:highlight w:val="none"/>
        </w:rPr>
        <w:t>填入天数，如六十（60）</w:t>
      </w:r>
      <w:r>
        <w:rPr>
          <w:rFonts w:ascii="宋体" w:hAnsi="宋体"/>
          <w:sz w:val="24"/>
          <w:highlight w:val="none"/>
        </w:rPr>
        <w:t>】</w:t>
      </w:r>
      <w:r>
        <w:rPr>
          <w:rFonts w:hint="eastAsia" w:ascii="宋体" w:hAnsi="宋体"/>
          <w:sz w:val="24"/>
          <w:highlight w:val="none"/>
        </w:rPr>
        <w:t>日。</w:t>
      </w:r>
    </w:p>
    <w:p>
      <w:pPr>
        <w:numPr>
          <w:ilvl w:val="0"/>
          <w:numId w:val="28"/>
        </w:numPr>
        <w:tabs>
          <w:tab w:val="left" w:pos="709"/>
          <w:tab w:val="clear" w:pos="1260"/>
        </w:tabs>
        <w:autoSpaceDE w:val="0"/>
        <w:autoSpaceDN w:val="0"/>
        <w:adjustRightInd w:val="0"/>
        <w:snapToGrid w:val="0"/>
        <w:spacing w:before="93" w:beforeLines="30" w:after="93" w:afterLines="30" w:line="360" w:lineRule="auto"/>
        <w:ind w:left="709" w:hanging="709"/>
        <w:rPr>
          <w:rFonts w:ascii="宋体" w:hAnsi="宋体"/>
          <w:sz w:val="24"/>
          <w:highlight w:val="none"/>
        </w:rPr>
      </w:pPr>
      <w:r>
        <w:rPr>
          <w:rFonts w:hint="eastAsia" w:ascii="宋体" w:hAnsi="宋体"/>
          <w:sz w:val="24"/>
          <w:highlight w:val="none"/>
        </w:rPr>
        <w:t>如因乙方违约甲方解除本合同的，乙</w:t>
      </w:r>
      <w:r>
        <w:rPr>
          <w:rFonts w:ascii="宋体" w:hAnsi="宋体"/>
          <w:sz w:val="24"/>
          <w:highlight w:val="none"/>
        </w:rPr>
        <w:t>方应退回甲方已经支付的</w:t>
      </w:r>
      <w:r>
        <w:rPr>
          <w:rFonts w:hint="eastAsia" w:ascii="宋体" w:hAnsi="宋体"/>
          <w:sz w:val="24"/>
          <w:highlight w:val="none"/>
        </w:rPr>
        <w:t>全部款项，并根据本合同约定支付违约金，并且甲方有权要求乙方赔偿其因此遭受的</w:t>
      </w:r>
      <w:r>
        <w:rPr>
          <w:rFonts w:hint="eastAsia"/>
          <w:bCs/>
          <w:sz w:val="24"/>
          <w:highlight w:val="none"/>
        </w:rPr>
        <w:t>超出违约金数额的</w:t>
      </w:r>
      <w:r>
        <w:rPr>
          <w:rFonts w:hint="eastAsia" w:ascii="宋体" w:hAnsi="宋体"/>
          <w:sz w:val="24"/>
          <w:highlight w:val="none"/>
        </w:rPr>
        <w:t>全部损失。</w:t>
      </w:r>
      <w:r>
        <w:rPr>
          <w:rFonts w:ascii="宋体" w:hAnsi="宋体"/>
          <w:sz w:val="24"/>
          <w:highlight w:val="none"/>
        </w:rPr>
        <w:t>甲方</w:t>
      </w:r>
      <w:r>
        <w:rPr>
          <w:rFonts w:hint="eastAsia" w:ascii="宋体" w:hAnsi="宋体"/>
          <w:sz w:val="24"/>
          <w:highlight w:val="none"/>
        </w:rPr>
        <w:t>有权以</w:t>
      </w:r>
      <w:r>
        <w:rPr>
          <w:rFonts w:ascii="宋体" w:hAnsi="宋体"/>
          <w:sz w:val="24"/>
          <w:highlight w:val="none"/>
        </w:rPr>
        <w:t>适当的条件和方式</w:t>
      </w:r>
      <w:r>
        <w:rPr>
          <w:rFonts w:hint="eastAsia" w:ascii="宋体" w:hAnsi="宋体"/>
          <w:sz w:val="24"/>
          <w:highlight w:val="none"/>
        </w:rPr>
        <w:t>购买</w:t>
      </w:r>
      <w:r>
        <w:rPr>
          <w:rFonts w:ascii="宋体" w:hAnsi="宋体"/>
          <w:sz w:val="24"/>
          <w:highlight w:val="none"/>
        </w:rPr>
        <w:t>与</w:t>
      </w:r>
      <w:r>
        <w:rPr>
          <w:rFonts w:hint="eastAsia" w:ascii="宋体" w:hAnsi="宋体"/>
          <w:sz w:val="24"/>
          <w:highlight w:val="none"/>
        </w:rPr>
        <w:t>本合同项下同等服务</w:t>
      </w:r>
      <w:r>
        <w:rPr>
          <w:rFonts w:ascii="宋体" w:hAnsi="宋体"/>
          <w:sz w:val="24"/>
          <w:highlight w:val="none"/>
        </w:rPr>
        <w:t>，</w:t>
      </w:r>
      <w:r>
        <w:rPr>
          <w:rFonts w:hint="eastAsia" w:ascii="宋体" w:hAnsi="宋体"/>
          <w:sz w:val="24"/>
          <w:highlight w:val="none"/>
        </w:rPr>
        <w:t>甲方</w:t>
      </w:r>
      <w:r>
        <w:rPr>
          <w:rFonts w:ascii="宋体" w:hAnsi="宋体"/>
          <w:sz w:val="24"/>
          <w:highlight w:val="none"/>
        </w:rPr>
        <w:t>购买</w:t>
      </w:r>
      <w:r>
        <w:rPr>
          <w:rFonts w:hint="eastAsia" w:ascii="宋体" w:hAnsi="宋体"/>
          <w:sz w:val="24"/>
          <w:highlight w:val="none"/>
        </w:rPr>
        <w:t>同等服务的差额费用包含在甲方损失范围内</w:t>
      </w:r>
      <w:r>
        <w:rPr>
          <w:rFonts w:ascii="宋体" w:hAnsi="宋体"/>
          <w:sz w:val="24"/>
          <w:highlight w:val="none"/>
        </w:rPr>
        <w:t>。</w:t>
      </w:r>
    </w:p>
    <w:p>
      <w:pPr>
        <w:numPr>
          <w:ilvl w:val="0"/>
          <w:numId w:val="28"/>
        </w:numPr>
        <w:tabs>
          <w:tab w:val="left" w:pos="709"/>
          <w:tab w:val="clear" w:pos="1260"/>
        </w:tabs>
        <w:autoSpaceDE w:val="0"/>
        <w:autoSpaceDN w:val="0"/>
        <w:adjustRightInd w:val="0"/>
        <w:snapToGrid w:val="0"/>
        <w:spacing w:before="93" w:beforeLines="30" w:after="93" w:afterLines="30" w:line="360" w:lineRule="auto"/>
        <w:ind w:left="709" w:hanging="709"/>
        <w:rPr>
          <w:rFonts w:ascii="宋体" w:hAnsi="宋体"/>
          <w:sz w:val="24"/>
          <w:highlight w:val="none"/>
        </w:rPr>
      </w:pPr>
      <w:r>
        <w:rPr>
          <w:rFonts w:hint="eastAsia" w:ascii="宋体" w:hAnsi="宋体"/>
          <w:sz w:val="24"/>
          <w:highlight w:val="none"/>
        </w:rPr>
        <w:t>无论基于何种原因，经</w:t>
      </w:r>
      <w:r>
        <w:rPr>
          <w:rFonts w:ascii="宋体" w:hAnsi="宋体"/>
          <w:sz w:val="24"/>
          <w:highlight w:val="none"/>
        </w:rPr>
        <w:t>提前【</w:t>
      </w:r>
      <w:r>
        <w:rPr>
          <w:rFonts w:hint="eastAsia" w:ascii="宋体" w:hAnsi="宋体"/>
          <w:i/>
          <w:sz w:val="24"/>
          <w:highlight w:val="none"/>
        </w:rPr>
        <w:t>填入天数，如十五（15）</w:t>
      </w:r>
      <w:r>
        <w:rPr>
          <w:rFonts w:ascii="宋体" w:hAnsi="宋体"/>
          <w:sz w:val="24"/>
          <w:highlight w:val="none"/>
        </w:rPr>
        <w:t>】</w:t>
      </w:r>
      <w:r>
        <w:rPr>
          <w:rFonts w:hint="eastAsia" w:ascii="宋体" w:hAnsi="宋体"/>
          <w:sz w:val="24"/>
          <w:highlight w:val="none"/>
        </w:rPr>
        <w:t>日</w:t>
      </w:r>
      <w:r>
        <w:rPr>
          <w:rFonts w:ascii="宋体" w:hAnsi="宋体"/>
          <w:sz w:val="24"/>
          <w:highlight w:val="none"/>
        </w:rPr>
        <w:t>书面通知</w:t>
      </w:r>
      <w:r>
        <w:rPr>
          <w:rFonts w:hint="eastAsia" w:ascii="宋体" w:hAnsi="宋体"/>
          <w:sz w:val="24"/>
          <w:highlight w:val="none"/>
        </w:rPr>
        <w:t>乙方</w:t>
      </w:r>
      <w:r>
        <w:rPr>
          <w:rFonts w:ascii="宋体" w:hAnsi="宋体"/>
          <w:sz w:val="24"/>
          <w:highlight w:val="none"/>
        </w:rPr>
        <w:t>，甲方有权随时</w:t>
      </w:r>
      <w:r>
        <w:rPr>
          <w:rFonts w:hint="eastAsia" w:ascii="宋体" w:hAnsi="宋体"/>
          <w:sz w:val="24"/>
          <w:highlight w:val="none"/>
        </w:rPr>
        <w:t>终止本</w:t>
      </w:r>
      <w:r>
        <w:rPr>
          <w:rFonts w:ascii="宋体" w:hAnsi="宋体"/>
          <w:sz w:val="24"/>
          <w:highlight w:val="none"/>
        </w:rPr>
        <w:t>合同。乙方</w:t>
      </w:r>
      <w:r>
        <w:rPr>
          <w:rFonts w:hint="eastAsia" w:ascii="宋体" w:hAnsi="宋体"/>
          <w:sz w:val="24"/>
          <w:highlight w:val="none"/>
        </w:rPr>
        <w:t>收到</w:t>
      </w:r>
      <w:r>
        <w:rPr>
          <w:rFonts w:ascii="宋体" w:hAnsi="宋体"/>
          <w:sz w:val="24"/>
          <w:highlight w:val="none"/>
        </w:rPr>
        <w:t>甲方</w:t>
      </w:r>
      <w:r>
        <w:rPr>
          <w:rFonts w:hint="eastAsia" w:ascii="宋体" w:hAnsi="宋体"/>
          <w:sz w:val="24"/>
          <w:highlight w:val="none"/>
        </w:rPr>
        <w:t>终止</w:t>
      </w:r>
      <w:r>
        <w:rPr>
          <w:rFonts w:ascii="宋体" w:hAnsi="宋体"/>
          <w:sz w:val="24"/>
          <w:highlight w:val="none"/>
        </w:rPr>
        <w:t>合同的</w:t>
      </w:r>
      <w:r>
        <w:rPr>
          <w:rFonts w:hint="eastAsia" w:ascii="宋体" w:hAnsi="宋体"/>
          <w:sz w:val="24"/>
          <w:highlight w:val="none"/>
        </w:rPr>
        <w:t>书面</w:t>
      </w:r>
      <w:r>
        <w:rPr>
          <w:rFonts w:ascii="宋体" w:hAnsi="宋体"/>
          <w:sz w:val="24"/>
          <w:highlight w:val="none"/>
        </w:rPr>
        <w:t>通知</w:t>
      </w:r>
      <w:r>
        <w:rPr>
          <w:rFonts w:hint="eastAsia" w:ascii="宋体" w:hAnsi="宋体"/>
          <w:sz w:val="24"/>
          <w:highlight w:val="none"/>
        </w:rPr>
        <w:t>后，</w:t>
      </w:r>
      <w:r>
        <w:rPr>
          <w:rFonts w:ascii="宋体" w:hAnsi="宋体"/>
          <w:sz w:val="24"/>
          <w:highlight w:val="none"/>
        </w:rPr>
        <w:t>应立即停止</w:t>
      </w:r>
      <w:r>
        <w:rPr>
          <w:rFonts w:hint="eastAsia" w:ascii="宋体" w:hAnsi="宋体"/>
          <w:sz w:val="24"/>
          <w:highlight w:val="none"/>
        </w:rPr>
        <w:t>实施与</w:t>
      </w:r>
      <w:r>
        <w:rPr>
          <w:rFonts w:ascii="宋体" w:hAnsi="宋体"/>
          <w:sz w:val="24"/>
          <w:highlight w:val="none"/>
        </w:rPr>
        <w:t>本合同</w:t>
      </w:r>
      <w:r>
        <w:rPr>
          <w:rFonts w:hint="eastAsia" w:ascii="宋体" w:hAnsi="宋体"/>
          <w:sz w:val="24"/>
          <w:highlight w:val="none"/>
        </w:rPr>
        <w:t>有</w:t>
      </w:r>
      <w:r>
        <w:rPr>
          <w:rFonts w:ascii="宋体" w:hAnsi="宋体"/>
          <w:sz w:val="24"/>
          <w:highlight w:val="none"/>
        </w:rPr>
        <w:t>关的工作</w:t>
      </w:r>
      <w:r>
        <w:rPr>
          <w:rFonts w:hint="eastAsia" w:ascii="宋体" w:hAnsi="宋体"/>
          <w:sz w:val="24"/>
          <w:highlight w:val="none"/>
        </w:rPr>
        <w:t>，</w:t>
      </w:r>
      <w:r>
        <w:rPr>
          <w:rFonts w:ascii="宋体" w:hAnsi="宋体"/>
          <w:sz w:val="24"/>
          <w:highlight w:val="none"/>
        </w:rPr>
        <w:t>并对</w:t>
      </w:r>
      <w:r>
        <w:rPr>
          <w:rFonts w:hint="eastAsia" w:ascii="宋体" w:hAnsi="宋体"/>
          <w:sz w:val="24"/>
          <w:highlight w:val="none"/>
        </w:rPr>
        <w:t>已履行</w:t>
      </w:r>
      <w:r>
        <w:rPr>
          <w:rFonts w:ascii="宋体" w:hAnsi="宋体"/>
          <w:sz w:val="24"/>
          <w:highlight w:val="none"/>
        </w:rPr>
        <w:t>的</w:t>
      </w:r>
      <w:r>
        <w:rPr>
          <w:rFonts w:hint="eastAsia" w:ascii="宋体" w:hAnsi="宋体"/>
          <w:sz w:val="24"/>
          <w:highlight w:val="none"/>
        </w:rPr>
        <w:t>部分</w:t>
      </w:r>
      <w:r>
        <w:rPr>
          <w:rFonts w:ascii="宋体" w:hAnsi="宋体"/>
          <w:sz w:val="24"/>
          <w:highlight w:val="none"/>
        </w:rPr>
        <w:t>进行结算。甲方收到乙方的结算</w:t>
      </w:r>
      <w:r>
        <w:rPr>
          <w:rFonts w:hint="eastAsia" w:ascii="宋体" w:hAnsi="宋体"/>
          <w:sz w:val="24"/>
          <w:highlight w:val="none"/>
        </w:rPr>
        <w:t>要求</w:t>
      </w:r>
      <w:r>
        <w:rPr>
          <w:rFonts w:ascii="宋体" w:hAnsi="宋体"/>
          <w:sz w:val="24"/>
          <w:highlight w:val="none"/>
        </w:rPr>
        <w:t>后，</w:t>
      </w:r>
      <w:r>
        <w:rPr>
          <w:rFonts w:hint="eastAsia" w:ascii="宋体" w:hAnsi="宋体"/>
          <w:sz w:val="24"/>
          <w:highlight w:val="none"/>
        </w:rPr>
        <w:t>应</w:t>
      </w:r>
      <w:r>
        <w:rPr>
          <w:rFonts w:ascii="宋体" w:hAnsi="宋体"/>
          <w:sz w:val="24"/>
          <w:highlight w:val="none"/>
        </w:rPr>
        <w:t>与乙方协商结算</w:t>
      </w:r>
      <w:r>
        <w:rPr>
          <w:rFonts w:hint="eastAsia" w:ascii="宋体" w:hAnsi="宋体"/>
          <w:sz w:val="24"/>
          <w:highlight w:val="none"/>
        </w:rPr>
        <w:t>数额、</w:t>
      </w:r>
      <w:r>
        <w:rPr>
          <w:rFonts w:ascii="宋体" w:hAnsi="宋体"/>
          <w:sz w:val="24"/>
          <w:highlight w:val="none"/>
        </w:rPr>
        <w:t>因甲方终止合同</w:t>
      </w:r>
      <w:r>
        <w:rPr>
          <w:rFonts w:hint="eastAsia" w:ascii="宋体" w:hAnsi="宋体"/>
          <w:sz w:val="24"/>
          <w:highlight w:val="none"/>
        </w:rPr>
        <w:t>需向</w:t>
      </w:r>
      <w:r>
        <w:rPr>
          <w:rFonts w:ascii="宋体" w:hAnsi="宋体"/>
          <w:sz w:val="24"/>
          <w:highlight w:val="none"/>
        </w:rPr>
        <w:t>乙方</w:t>
      </w:r>
      <w:r>
        <w:rPr>
          <w:rFonts w:hint="eastAsia" w:ascii="宋体" w:hAnsi="宋体"/>
          <w:sz w:val="24"/>
          <w:highlight w:val="none"/>
        </w:rPr>
        <w:t>支付</w:t>
      </w:r>
      <w:r>
        <w:rPr>
          <w:rFonts w:ascii="宋体" w:hAnsi="宋体"/>
          <w:sz w:val="24"/>
          <w:highlight w:val="none"/>
        </w:rPr>
        <w:t>的补偿</w:t>
      </w:r>
      <w:r>
        <w:rPr>
          <w:rFonts w:hint="eastAsia" w:ascii="宋体" w:hAnsi="宋体"/>
          <w:sz w:val="24"/>
          <w:highlight w:val="none"/>
        </w:rPr>
        <w:t>款等事项</w:t>
      </w:r>
      <w:r>
        <w:rPr>
          <w:rFonts w:ascii="宋体" w:hAnsi="宋体"/>
          <w:sz w:val="24"/>
          <w:highlight w:val="none"/>
        </w:rPr>
        <w:t>。</w:t>
      </w:r>
      <w:r>
        <w:rPr>
          <w:rFonts w:hint="eastAsia" w:ascii="宋体" w:hAnsi="宋体"/>
          <w:sz w:val="24"/>
          <w:highlight w:val="none"/>
        </w:rPr>
        <w:t>甲方因终止合同向</w:t>
      </w:r>
      <w:r>
        <w:rPr>
          <w:rFonts w:ascii="宋体" w:hAnsi="宋体"/>
          <w:sz w:val="24"/>
          <w:highlight w:val="none"/>
        </w:rPr>
        <w:t>乙方</w:t>
      </w:r>
      <w:r>
        <w:rPr>
          <w:rFonts w:hint="eastAsia" w:ascii="宋体" w:hAnsi="宋体"/>
          <w:sz w:val="24"/>
          <w:highlight w:val="none"/>
        </w:rPr>
        <w:t>支付的补偿款以乙方为</w:t>
      </w:r>
      <w:r>
        <w:rPr>
          <w:rFonts w:ascii="宋体" w:hAnsi="宋体"/>
          <w:sz w:val="24"/>
          <w:highlight w:val="none"/>
        </w:rPr>
        <w:t>履行合同已</w:t>
      </w:r>
      <w:r>
        <w:rPr>
          <w:rFonts w:hint="eastAsia" w:ascii="宋体" w:hAnsi="宋体"/>
          <w:sz w:val="24"/>
          <w:highlight w:val="none"/>
        </w:rPr>
        <w:t>实际</w:t>
      </w:r>
      <w:r>
        <w:rPr>
          <w:rFonts w:ascii="宋体" w:hAnsi="宋体"/>
          <w:sz w:val="24"/>
          <w:highlight w:val="none"/>
        </w:rPr>
        <w:t>发生</w:t>
      </w:r>
      <w:r>
        <w:rPr>
          <w:rFonts w:hint="eastAsia" w:ascii="宋体" w:hAnsi="宋体"/>
          <w:sz w:val="24"/>
          <w:highlight w:val="none"/>
        </w:rPr>
        <w:t>的</w:t>
      </w:r>
      <w:r>
        <w:rPr>
          <w:rFonts w:ascii="宋体" w:hAnsi="宋体"/>
          <w:sz w:val="24"/>
          <w:highlight w:val="none"/>
        </w:rPr>
        <w:t>直接、合理费用</w:t>
      </w:r>
      <w:r>
        <w:rPr>
          <w:rFonts w:hint="eastAsia" w:ascii="宋体" w:hAnsi="宋体"/>
          <w:sz w:val="24"/>
          <w:highlight w:val="none"/>
        </w:rPr>
        <w:t>为限。如甲方</w:t>
      </w:r>
      <w:r>
        <w:rPr>
          <w:rFonts w:ascii="宋体" w:hAnsi="宋体"/>
          <w:sz w:val="24"/>
          <w:highlight w:val="none"/>
        </w:rPr>
        <w:t>已支付的合同</w:t>
      </w:r>
      <w:r>
        <w:rPr>
          <w:rFonts w:hint="eastAsia" w:ascii="宋体" w:hAnsi="宋体"/>
          <w:sz w:val="24"/>
          <w:highlight w:val="none"/>
        </w:rPr>
        <w:t>价款</w:t>
      </w:r>
      <w:r>
        <w:rPr>
          <w:rFonts w:ascii="宋体" w:hAnsi="宋体"/>
          <w:sz w:val="24"/>
          <w:highlight w:val="none"/>
        </w:rPr>
        <w:t>不足以涵盖该等费用，经乙方提供证明文件</w:t>
      </w:r>
      <w:r>
        <w:rPr>
          <w:rFonts w:hint="eastAsia" w:ascii="宋体" w:hAnsi="宋体"/>
          <w:sz w:val="24"/>
          <w:highlight w:val="none"/>
        </w:rPr>
        <w:t>后</w:t>
      </w:r>
      <w:r>
        <w:rPr>
          <w:rFonts w:ascii="宋体" w:hAnsi="宋体"/>
          <w:sz w:val="24"/>
          <w:highlight w:val="none"/>
        </w:rPr>
        <w:t>，甲方应向乙方支付差额部分</w:t>
      </w:r>
      <w:r>
        <w:rPr>
          <w:rFonts w:hint="eastAsia" w:ascii="宋体" w:hAnsi="宋体"/>
          <w:sz w:val="24"/>
          <w:highlight w:val="none"/>
        </w:rPr>
        <w:t>。</w:t>
      </w:r>
      <w:r>
        <w:rPr>
          <w:rFonts w:ascii="宋体" w:hAnsi="宋体"/>
          <w:sz w:val="24"/>
          <w:highlight w:val="none"/>
        </w:rPr>
        <w:t>但是，如甲方已支付的合同</w:t>
      </w:r>
      <w:r>
        <w:rPr>
          <w:rFonts w:hint="eastAsia" w:ascii="宋体" w:hAnsi="宋体"/>
          <w:sz w:val="24"/>
          <w:highlight w:val="none"/>
        </w:rPr>
        <w:t>价款</w:t>
      </w:r>
      <w:r>
        <w:rPr>
          <w:rFonts w:ascii="宋体" w:hAnsi="宋体"/>
          <w:sz w:val="24"/>
          <w:highlight w:val="none"/>
        </w:rPr>
        <w:t>超过该等费用，乙方应向甲方</w:t>
      </w:r>
      <w:r>
        <w:rPr>
          <w:rFonts w:hint="eastAsia" w:ascii="宋体" w:hAnsi="宋体"/>
          <w:sz w:val="24"/>
          <w:highlight w:val="none"/>
        </w:rPr>
        <w:t>返还超</w:t>
      </w:r>
      <w:r>
        <w:rPr>
          <w:rFonts w:ascii="宋体" w:hAnsi="宋体"/>
          <w:sz w:val="24"/>
          <w:highlight w:val="none"/>
        </w:rPr>
        <w:t>额部分</w:t>
      </w:r>
      <w:r>
        <w:rPr>
          <w:rFonts w:hint="eastAsia" w:ascii="宋体" w:hAnsi="宋体"/>
          <w:sz w:val="24"/>
          <w:highlight w:val="none"/>
        </w:rPr>
        <w:t>。</w:t>
      </w:r>
      <w:r>
        <w:rPr>
          <w:rFonts w:ascii="宋体" w:hAnsi="宋体"/>
          <w:sz w:val="24"/>
          <w:highlight w:val="none"/>
        </w:rPr>
        <w:t>甲方向乙方支付的</w:t>
      </w:r>
      <w:r>
        <w:rPr>
          <w:rFonts w:hint="eastAsia" w:ascii="宋体" w:hAnsi="宋体"/>
          <w:sz w:val="24"/>
          <w:highlight w:val="none"/>
        </w:rPr>
        <w:t>该等补偿款</w:t>
      </w:r>
      <w:r>
        <w:rPr>
          <w:rFonts w:ascii="宋体" w:hAnsi="宋体"/>
          <w:sz w:val="24"/>
          <w:highlight w:val="none"/>
        </w:rPr>
        <w:t>系甲方</w:t>
      </w:r>
      <w:r>
        <w:rPr>
          <w:rFonts w:hint="eastAsia" w:ascii="宋体" w:hAnsi="宋体"/>
          <w:sz w:val="24"/>
          <w:highlight w:val="none"/>
        </w:rPr>
        <w:t>根据本款规定</w:t>
      </w:r>
      <w:r>
        <w:rPr>
          <w:rFonts w:ascii="宋体" w:hAnsi="宋体"/>
          <w:sz w:val="24"/>
          <w:highlight w:val="none"/>
        </w:rPr>
        <w:t>终止合同时</w:t>
      </w:r>
      <w:r>
        <w:rPr>
          <w:rFonts w:hint="eastAsia" w:ascii="宋体" w:hAnsi="宋体"/>
          <w:sz w:val="24"/>
          <w:highlight w:val="none"/>
        </w:rPr>
        <w:t>，</w:t>
      </w:r>
      <w:r>
        <w:rPr>
          <w:rFonts w:ascii="宋体" w:hAnsi="宋体"/>
          <w:sz w:val="24"/>
          <w:highlight w:val="none"/>
        </w:rPr>
        <w:t>乙方可获得的</w:t>
      </w:r>
      <w:r>
        <w:rPr>
          <w:rFonts w:hint="eastAsia" w:ascii="宋体" w:hAnsi="宋体"/>
          <w:sz w:val="24"/>
          <w:highlight w:val="none"/>
        </w:rPr>
        <w:t>全部赔偿。任何时候乙方均无权要求甲方赔偿因合同终止而引起的预期利润的损失或损害。</w:t>
      </w:r>
    </w:p>
    <w:p>
      <w:pPr>
        <w:numPr>
          <w:ilvl w:val="0"/>
          <w:numId w:val="28"/>
        </w:numPr>
        <w:tabs>
          <w:tab w:val="left" w:pos="709"/>
        </w:tabs>
        <w:autoSpaceDE w:val="0"/>
        <w:autoSpaceDN w:val="0"/>
        <w:adjustRightInd w:val="0"/>
        <w:snapToGrid w:val="0"/>
        <w:spacing w:before="93" w:beforeLines="30" w:after="93" w:afterLines="30" w:line="360" w:lineRule="auto"/>
        <w:ind w:left="709" w:hanging="709"/>
        <w:rPr>
          <w:rFonts w:ascii="宋体" w:hAnsi="宋体"/>
          <w:kern w:val="0"/>
          <w:sz w:val="24"/>
          <w:highlight w:val="none"/>
        </w:rPr>
      </w:pPr>
      <w:r>
        <w:rPr>
          <w:rFonts w:ascii="宋体" w:hAnsi="宋体"/>
          <w:kern w:val="0"/>
          <w:sz w:val="24"/>
          <w:highlight w:val="none"/>
        </w:rPr>
        <w:t>如本合同根据</w:t>
      </w:r>
      <w:r>
        <w:rPr>
          <w:rFonts w:hint="eastAsia" w:ascii="宋体" w:hAnsi="宋体"/>
          <w:kern w:val="0"/>
          <w:sz w:val="24"/>
          <w:highlight w:val="none"/>
        </w:rPr>
        <w:t>本条第</w:t>
      </w:r>
      <w:r>
        <w:rPr>
          <w:kern w:val="0"/>
          <w:sz w:val="24"/>
          <w:highlight w:val="none"/>
        </w:rPr>
        <w:t>13.2</w:t>
      </w:r>
      <w:r>
        <w:rPr>
          <w:rFonts w:hint="eastAsia" w:ascii="宋体" w:hAnsi="宋体"/>
          <w:kern w:val="0"/>
          <w:sz w:val="24"/>
          <w:highlight w:val="none"/>
        </w:rPr>
        <w:t>款</w:t>
      </w:r>
      <w:r>
        <w:rPr>
          <w:rFonts w:ascii="宋体" w:hAnsi="宋体"/>
          <w:kern w:val="0"/>
          <w:sz w:val="24"/>
          <w:highlight w:val="none"/>
        </w:rPr>
        <w:t>终止，对于合同终止前乙方完成的工作成果，乙方应立即移交给甲方，甲方拥有相关工作成果的全部权益；如甲方已付合同价款超过乙方已完成工作的价值，乙方应向甲方返还差额部分。</w:t>
      </w:r>
    </w:p>
    <w:p>
      <w:pPr>
        <w:pStyle w:val="43"/>
        <w:tabs>
          <w:tab w:val="clear" w:pos="720"/>
        </w:tabs>
        <w:adjustRightInd w:val="0"/>
        <w:snapToGrid w:val="0"/>
        <w:spacing w:before="93" w:beforeLines="30" w:after="93" w:afterLines="30" w:line="360" w:lineRule="auto"/>
        <w:jc w:val="left"/>
        <w:rPr>
          <w:rFonts w:ascii="宋体" w:hAnsi="宋体"/>
          <w:szCs w:val="24"/>
          <w:highlight w:val="none"/>
        </w:rPr>
      </w:pPr>
      <w:bookmarkStart w:id="109" w:name="_Toc299915690"/>
      <w:bookmarkStart w:id="110" w:name="_Toc364839375"/>
      <w:r>
        <w:rPr>
          <w:rFonts w:ascii="宋体" w:hAnsi="宋体"/>
          <w:szCs w:val="24"/>
          <w:highlight w:val="none"/>
        </w:rPr>
        <w:t>健康、安全</w:t>
      </w:r>
      <w:r>
        <w:rPr>
          <w:rFonts w:hint="eastAsia" w:ascii="宋体" w:hAnsi="宋体"/>
          <w:szCs w:val="24"/>
          <w:highlight w:val="none"/>
        </w:rPr>
        <w:t>和</w:t>
      </w:r>
      <w:r>
        <w:rPr>
          <w:rFonts w:ascii="宋体" w:hAnsi="宋体"/>
          <w:szCs w:val="24"/>
          <w:highlight w:val="none"/>
        </w:rPr>
        <w:t>环保</w:t>
      </w:r>
      <w:bookmarkEnd w:id="109"/>
      <w:bookmarkEnd w:id="110"/>
    </w:p>
    <w:p>
      <w:pPr>
        <w:numPr>
          <w:ilvl w:val="0"/>
          <w:numId w:val="30"/>
        </w:numPr>
        <w:tabs>
          <w:tab w:val="left" w:pos="709"/>
          <w:tab w:val="clear" w:pos="0"/>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乙方在</w:t>
      </w:r>
      <w:r>
        <w:rPr>
          <w:rFonts w:hint="eastAsia" w:ascii="宋体" w:hAnsi="宋体"/>
          <w:sz w:val="24"/>
          <w:highlight w:val="none"/>
        </w:rPr>
        <w:t>履行</w:t>
      </w:r>
      <w:r>
        <w:rPr>
          <w:rFonts w:ascii="宋体" w:hAnsi="宋体"/>
          <w:sz w:val="24"/>
          <w:highlight w:val="none"/>
        </w:rPr>
        <w:t>合同时，应遵守</w:t>
      </w:r>
      <w:r>
        <w:rPr>
          <w:rFonts w:hint="eastAsia" w:ascii="宋体" w:hAnsi="宋体"/>
          <w:sz w:val="24"/>
          <w:highlight w:val="none"/>
        </w:rPr>
        <w:t>中国相关</w:t>
      </w:r>
      <w:r>
        <w:rPr>
          <w:rFonts w:ascii="宋体" w:hAnsi="宋体"/>
          <w:sz w:val="24"/>
          <w:highlight w:val="none"/>
        </w:rPr>
        <w:t>法律法规及甲方关于健康、安全及环保的规定</w:t>
      </w:r>
      <w:r>
        <w:rPr>
          <w:rFonts w:hint="eastAsia" w:ascii="宋体" w:hAnsi="宋体"/>
          <w:sz w:val="24"/>
          <w:highlight w:val="none"/>
        </w:rPr>
        <w:t>：</w:t>
      </w:r>
    </w:p>
    <w:p>
      <w:pPr>
        <w:numPr>
          <w:ilvl w:val="0"/>
          <w:numId w:val="31"/>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ascii="宋体" w:hAnsi="宋体"/>
          <w:sz w:val="24"/>
          <w:highlight w:val="none"/>
        </w:rPr>
        <w:t>乙方应为有机会出差或驻场的</w:t>
      </w:r>
      <w:r>
        <w:rPr>
          <w:rFonts w:hint="eastAsia" w:ascii="宋体" w:hAnsi="宋体"/>
          <w:sz w:val="24"/>
          <w:highlight w:val="none"/>
        </w:rPr>
        <w:t>人员</w:t>
      </w:r>
      <w:r>
        <w:rPr>
          <w:rFonts w:ascii="宋体" w:hAnsi="宋体"/>
          <w:sz w:val="24"/>
          <w:highlight w:val="none"/>
        </w:rPr>
        <w:t>购买人身意外保险或其它相关项目的保险</w:t>
      </w:r>
      <w:r>
        <w:rPr>
          <w:rFonts w:hint="eastAsia" w:ascii="宋体" w:hAnsi="宋体"/>
          <w:sz w:val="24"/>
          <w:highlight w:val="none"/>
        </w:rPr>
        <w:t>；</w:t>
      </w:r>
    </w:p>
    <w:p>
      <w:pPr>
        <w:numPr>
          <w:ilvl w:val="0"/>
          <w:numId w:val="31"/>
        </w:numPr>
        <w:tabs>
          <w:tab w:val="left" w:pos="1276"/>
        </w:tabs>
        <w:adjustRightInd w:val="0"/>
        <w:snapToGrid w:val="0"/>
        <w:spacing w:before="93" w:beforeLines="30" w:after="93" w:afterLines="30" w:line="360" w:lineRule="auto"/>
        <w:ind w:left="1276" w:hanging="567"/>
        <w:rPr>
          <w:rFonts w:ascii="宋体" w:hAnsi="宋体"/>
          <w:sz w:val="24"/>
          <w:highlight w:val="none"/>
        </w:rPr>
      </w:pPr>
      <w:r>
        <w:rPr>
          <w:rFonts w:ascii="宋体" w:hAnsi="宋体"/>
          <w:sz w:val="24"/>
          <w:highlight w:val="none"/>
        </w:rPr>
        <w:t>甲方有权根据需要修订其健康、安全及环保政策并将最新文件发给乙方以</w:t>
      </w:r>
      <w:r>
        <w:rPr>
          <w:rFonts w:hint="eastAsia" w:ascii="宋体" w:hAnsi="宋体"/>
          <w:sz w:val="24"/>
          <w:highlight w:val="none"/>
        </w:rPr>
        <w:t>便</w:t>
      </w:r>
      <w:r>
        <w:rPr>
          <w:rFonts w:ascii="宋体" w:hAnsi="宋体"/>
          <w:sz w:val="24"/>
          <w:highlight w:val="none"/>
        </w:rPr>
        <w:t>遵照执行。</w:t>
      </w:r>
    </w:p>
    <w:p>
      <w:pPr>
        <w:numPr>
          <w:ilvl w:val="0"/>
          <w:numId w:val="30"/>
        </w:numPr>
        <w:tabs>
          <w:tab w:val="left" w:pos="709"/>
          <w:tab w:val="clear" w:pos="0"/>
        </w:tabs>
        <w:adjustRightInd w:val="0"/>
        <w:snapToGrid w:val="0"/>
        <w:spacing w:before="93" w:beforeLines="30" w:after="93" w:afterLines="30" w:line="360" w:lineRule="auto"/>
        <w:ind w:left="709" w:hanging="709"/>
        <w:rPr>
          <w:rFonts w:ascii="宋体" w:hAnsi="宋体"/>
          <w:kern w:val="0"/>
          <w:sz w:val="24"/>
          <w:highlight w:val="none"/>
        </w:rPr>
      </w:pPr>
      <w:r>
        <w:rPr>
          <w:rFonts w:hint="eastAsia" w:ascii="宋体" w:hAnsi="宋体"/>
          <w:sz w:val="24"/>
          <w:highlight w:val="none"/>
        </w:rPr>
        <w:t>乙方应保证其完成工作和工作成果符合国家要求的健康、安全及环保标准。因乙方未能按国家相关规定和甲方的要求，而在健康、安全、环保方面给甲方造成的任何损失由乙方全额承担。</w:t>
      </w:r>
    </w:p>
    <w:p>
      <w:pPr>
        <w:pStyle w:val="43"/>
        <w:tabs>
          <w:tab w:val="clear" w:pos="720"/>
        </w:tabs>
        <w:adjustRightInd w:val="0"/>
        <w:snapToGrid w:val="0"/>
        <w:spacing w:before="93" w:beforeLines="30" w:after="93" w:afterLines="30" w:line="360" w:lineRule="auto"/>
        <w:jc w:val="left"/>
        <w:rPr>
          <w:rFonts w:ascii="宋体" w:hAnsi="宋体"/>
          <w:szCs w:val="24"/>
          <w:highlight w:val="none"/>
        </w:rPr>
      </w:pPr>
      <w:bookmarkStart w:id="111" w:name="_Toc364839376"/>
      <w:bookmarkStart w:id="112" w:name="_Toc300147855"/>
      <w:r>
        <w:rPr>
          <w:rFonts w:hint="eastAsia" w:ascii="宋体" w:hAnsi="宋体"/>
          <w:szCs w:val="24"/>
          <w:highlight w:val="none"/>
        </w:rPr>
        <w:t>转让和分包</w:t>
      </w:r>
      <w:bookmarkEnd w:id="111"/>
      <w:bookmarkEnd w:id="112"/>
    </w:p>
    <w:p>
      <w:pPr>
        <w:widowControl/>
        <w:numPr>
          <w:ilvl w:val="0"/>
          <w:numId w:val="32"/>
        </w:numPr>
        <w:tabs>
          <w:tab w:val="left" w:pos="709"/>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未经甲方</w:t>
      </w:r>
      <w:r>
        <w:rPr>
          <w:rFonts w:hint="eastAsia" w:ascii="宋体" w:hAnsi="宋体"/>
          <w:sz w:val="24"/>
          <w:highlight w:val="none"/>
        </w:rPr>
        <w:t>事先</w:t>
      </w:r>
      <w:r>
        <w:rPr>
          <w:rFonts w:ascii="宋体" w:hAnsi="宋体"/>
          <w:sz w:val="24"/>
          <w:highlight w:val="none"/>
        </w:rPr>
        <w:t>书面同意，乙方不得</w:t>
      </w:r>
      <w:r>
        <w:rPr>
          <w:rFonts w:hint="eastAsia" w:ascii="宋体" w:hAnsi="宋体"/>
          <w:sz w:val="24"/>
          <w:highlight w:val="none"/>
        </w:rPr>
        <w:t>将</w:t>
      </w:r>
      <w:r>
        <w:rPr>
          <w:rFonts w:ascii="宋体" w:hAnsi="宋体"/>
          <w:sz w:val="24"/>
          <w:highlight w:val="none"/>
        </w:rPr>
        <w:t>其</w:t>
      </w:r>
      <w:r>
        <w:rPr>
          <w:rFonts w:hint="eastAsia" w:ascii="宋体" w:hAnsi="宋体"/>
          <w:sz w:val="24"/>
          <w:highlight w:val="none"/>
        </w:rPr>
        <w:t>在本</w:t>
      </w:r>
      <w:r>
        <w:rPr>
          <w:rFonts w:ascii="宋体" w:hAnsi="宋体"/>
          <w:sz w:val="24"/>
          <w:highlight w:val="none"/>
        </w:rPr>
        <w:t>合同</w:t>
      </w:r>
      <w:r>
        <w:rPr>
          <w:rFonts w:hint="eastAsia" w:ascii="宋体" w:hAnsi="宋体"/>
          <w:sz w:val="24"/>
          <w:highlight w:val="none"/>
        </w:rPr>
        <w:t>项下</w:t>
      </w:r>
      <w:r>
        <w:rPr>
          <w:rFonts w:ascii="宋体" w:hAnsi="宋体"/>
          <w:sz w:val="24"/>
          <w:highlight w:val="none"/>
        </w:rPr>
        <w:t>的</w:t>
      </w:r>
      <w:r>
        <w:rPr>
          <w:rFonts w:hint="eastAsia" w:ascii="宋体" w:hAnsi="宋体"/>
          <w:sz w:val="24"/>
          <w:highlight w:val="none"/>
        </w:rPr>
        <w:t>任何权利和</w:t>
      </w:r>
      <w:r>
        <w:rPr>
          <w:rFonts w:ascii="宋体" w:hAnsi="宋体"/>
          <w:sz w:val="24"/>
          <w:highlight w:val="none"/>
        </w:rPr>
        <w:t>义务</w:t>
      </w:r>
      <w:r>
        <w:rPr>
          <w:rFonts w:hint="eastAsia" w:ascii="宋体" w:hAnsi="宋体"/>
          <w:sz w:val="24"/>
          <w:highlight w:val="none"/>
        </w:rPr>
        <w:t>全部或部分转让给任何第三方，包括乙方的关联企业</w:t>
      </w:r>
      <w:r>
        <w:rPr>
          <w:rFonts w:ascii="宋体" w:hAnsi="宋体"/>
          <w:sz w:val="24"/>
          <w:highlight w:val="none"/>
        </w:rPr>
        <w:t>。</w:t>
      </w:r>
      <w:r>
        <w:rPr>
          <w:rFonts w:hint="eastAsia" w:ascii="宋体" w:hAnsi="宋体"/>
          <w:sz w:val="24"/>
          <w:highlight w:val="none"/>
        </w:rPr>
        <w:t>甲方</w:t>
      </w:r>
      <w:r>
        <w:rPr>
          <w:rFonts w:ascii="宋体" w:hAnsi="宋体"/>
          <w:sz w:val="24"/>
          <w:highlight w:val="none"/>
        </w:rPr>
        <w:t>可以</w:t>
      </w:r>
      <w:r>
        <w:rPr>
          <w:rFonts w:hint="eastAsia" w:ascii="宋体" w:hAnsi="宋体"/>
          <w:sz w:val="24"/>
          <w:highlight w:val="none"/>
        </w:rPr>
        <w:t>将其在</w:t>
      </w:r>
      <w:r>
        <w:rPr>
          <w:rFonts w:ascii="宋体" w:hAnsi="宋体"/>
          <w:sz w:val="24"/>
          <w:highlight w:val="none"/>
        </w:rPr>
        <w:t>本合同</w:t>
      </w:r>
      <w:r>
        <w:rPr>
          <w:rFonts w:hint="eastAsia" w:ascii="宋体" w:hAnsi="宋体"/>
          <w:sz w:val="24"/>
          <w:highlight w:val="none"/>
        </w:rPr>
        <w:t>项下的</w:t>
      </w:r>
      <w:r>
        <w:rPr>
          <w:rFonts w:ascii="宋体" w:hAnsi="宋体"/>
          <w:sz w:val="24"/>
          <w:highlight w:val="none"/>
        </w:rPr>
        <w:t>权利和义务</w:t>
      </w:r>
      <w:r>
        <w:rPr>
          <w:rFonts w:hint="eastAsia" w:ascii="宋体" w:hAnsi="宋体"/>
          <w:sz w:val="24"/>
          <w:highlight w:val="none"/>
        </w:rPr>
        <w:t>全部或部分</w:t>
      </w:r>
      <w:r>
        <w:rPr>
          <w:rFonts w:ascii="宋体" w:hAnsi="宋体"/>
          <w:sz w:val="24"/>
          <w:highlight w:val="none"/>
        </w:rPr>
        <w:t>转让给</w:t>
      </w:r>
      <w:r>
        <w:rPr>
          <w:rFonts w:hint="eastAsia" w:ascii="宋体" w:hAnsi="宋体"/>
          <w:sz w:val="24"/>
          <w:highlight w:val="none"/>
        </w:rPr>
        <w:t>其关联企业</w:t>
      </w:r>
      <w:r>
        <w:rPr>
          <w:rFonts w:ascii="宋体" w:hAnsi="宋体"/>
          <w:sz w:val="24"/>
          <w:highlight w:val="none"/>
        </w:rPr>
        <w:t>，</w:t>
      </w:r>
      <w:r>
        <w:rPr>
          <w:rFonts w:hint="eastAsia" w:ascii="宋体" w:hAnsi="宋体"/>
          <w:sz w:val="24"/>
          <w:highlight w:val="none"/>
        </w:rPr>
        <w:t>且无需</w:t>
      </w:r>
      <w:r>
        <w:rPr>
          <w:rFonts w:ascii="宋体" w:hAnsi="宋体"/>
          <w:sz w:val="24"/>
          <w:highlight w:val="none"/>
        </w:rPr>
        <w:t>事先征得</w:t>
      </w:r>
      <w:r>
        <w:rPr>
          <w:rFonts w:hint="eastAsia" w:ascii="宋体" w:hAnsi="宋体"/>
          <w:sz w:val="24"/>
          <w:highlight w:val="none"/>
        </w:rPr>
        <w:t>乙方</w:t>
      </w:r>
      <w:r>
        <w:rPr>
          <w:rFonts w:ascii="宋体" w:hAnsi="宋体"/>
          <w:sz w:val="24"/>
          <w:highlight w:val="none"/>
        </w:rPr>
        <w:t>的同意，但应书面通知</w:t>
      </w:r>
      <w:r>
        <w:rPr>
          <w:rFonts w:hint="eastAsia" w:ascii="宋体" w:hAnsi="宋体"/>
          <w:sz w:val="24"/>
          <w:highlight w:val="none"/>
        </w:rPr>
        <w:t>乙方</w:t>
      </w:r>
      <w:r>
        <w:rPr>
          <w:rFonts w:ascii="宋体" w:hAnsi="宋体"/>
          <w:sz w:val="24"/>
          <w:highlight w:val="none"/>
        </w:rPr>
        <w:t>。</w:t>
      </w:r>
    </w:p>
    <w:p>
      <w:pPr>
        <w:widowControl/>
        <w:numPr>
          <w:ilvl w:val="0"/>
          <w:numId w:val="32"/>
        </w:numPr>
        <w:tabs>
          <w:tab w:val="left" w:pos="709"/>
        </w:tabs>
        <w:adjustRightInd w:val="0"/>
        <w:snapToGrid w:val="0"/>
        <w:spacing w:before="93" w:beforeLines="30" w:after="93" w:afterLines="30" w:line="360" w:lineRule="auto"/>
        <w:ind w:left="709" w:hanging="709"/>
        <w:rPr>
          <w:rFonts w:ascii="宋体" w:hAnsi="宋体"/>
          <w:sz w:val="24"/>
          <w:highlight w:val="none"/>
        </w:rPr>
      </w:pPr>
      <w:r>
        <w:rPr>
          <w:rFonts w:hint="eastAsia" w:ascii="宋体" w:hAnsi="宋体"/>
          <w:sz w:val="24"/>
          <w:highlight w:val="none"/>
        </w:rPr>
        <w:t>未经甲方事先书面同意，乙方不得将其在本合同项下的任何义务分包给任何第三方，包括乙方的关联企业。</w:t>
      </w:r>
      <w:bookmarkStart w:id="113" w:name="_DV_C867"/>
      <w:r>
        <w:rPr>
          <w:rFonts w:hint="eastAsia" w:ascii="宋体" w:hAnsi="宋体"/>
          <w:sz w:val="24"/>
          <w:highlight w:val="none"/>
        </w:rPr>
        <w:t>乙方不得将本合同转包给任何第三方，包括其关联企业。</w:t>
      </w:r>
      <w:bookmarkEnd w:id="113"/>
    </w:p>
    <w:p>
      <w:pPr>
        <w:pStyle w:val="43"/>
        <w:tabs>
          <w:tab w:val="clear" w:pos="720"/>
        </w:tabs>
        <w:adjustRightInd w:val="0"/>
        <w:snapToGrid w:val="0"/>
        <w:spacing w:before="93" w:beforeLines="30" w:after="93" w:afterLines="30" w:line="360" w:lineRule="auto"/>
        <w:jc w:val="left"/>
        <w:rPr>
          <w:rFonts w:ascii="宋体" w:hAnsi="宋体"/>
          <w:szCs w:val="24"/>
          <w:highlight w:val="none"/>
        </w:rPr>
      </w:pPr>
      <w:bookmarkStart w:id="114" w:name="_Toc299915695"/>
      <w:bookmarkStart w:id="115" w:name="_Toc364839377"/>
      <w:bookmarkStart w:id="116" w:name="_Toc299912680"/>
      <w:r>
        <w:rPr>
          <w:rFonts w:hint="eastAsia" w:ascii="宋体" w:hAnsi="宋体"/>
          <w:szCs w:val="24"/>
          <w:highlight w:val="none"/>
        </w:rPr>
        <w:t>不可抗力</w:t>
      </w:r>
      <w:bookmarkEnd w:id="114"/>
      <w:bookmarkEnd w:id="115"/>
      <w:bookmarkEnd w:id="116"/>
    </w:p>
    <w:p>
      <w:pPr>
        <w:pStyle w:val="8"/>
        <w:widowControl/>
        <w:numPr>
          <w:ilvl w:val="0"/>
          <w:numId w:val="33"/>
        </w:numPr>
        <w:tabs>
          <w:tab w:val="left" w:pos="1175"/>
        </w:tabs>
        <w:autoSpaceDE/>
        <w:autoSpaceDN/>
        <w:snapToGrid w:val="0"/>
        <w:spacing w:before="93" w:beforeLines="30" w:after="93" w:afterLines="30"/>
        <w:ind w:left="709" w:hanging="709"/>
        <w:rPr>
          <w:rFonts w:ascii="宋体" w:hAnsi="宋体" w:eastAsia="宋体"/>
          <w:sz w:val="24"/>
          <w:highlight w:val="none"/>
        </w:rPr>
      </w:pPr>
      <w:bookmarkStart w:id="117" w:name="_Toc299915696"/>
      <w:bookmarkStart w:id="118" w:name="_Toc299912681"/>
      <w:bookmarkStart w:id="119" w:name="_Toc299550771"/>
      <w:r>
        <w:rPr>
          <w:rFonts w:hint="eastAsia" w:ascii="宋体" w:hAnsi="宋体" w:eastAsia="宋体"/>
          <w:sz w:val="24"/>
          <w:highlight w:val="none"/>
        </w:rPr>
        <w:t>不可抗力系指阻止或妨碍一方履行其在本合同项下义务的事件或情况；受障碍影响的一方除了应证明该事件已经达到阻止或妨碍其履行合同项下义务的后果，还应证明：</w:t>
      </w:r>
    </w:p>
    <w:p>
      <w:pPr>
        <w:pStyle w:val="8"/>
        <w:widowControl/>
        <w:numPr>
          <w:ilvl w:val="0"/>
          <w:numId w:val="34"/>
        </w:numPr>
        <w:tabs>
          <w:tab w:val="left" w:pos="1175"/>
        </w:tabs>
        <w:autoSpaceDE/>
        <w:autoSpaceDN/>
        <w:snapToGrid w:val="0"/>
        <w:spacing w:before="93" w:beforeLines="30" w:after="93" w:afterLines="30"/>
        <w:rPr>
          <w:rFonts w:ascii="宋体" w:hAnsi="宋体" w:eastAsia="宋体"/>
          <w:sz w:val="24"/>
          <w:highlight w:val="none"/>
        </w:rPr>
      </w:pPr>
      <w:r>
        <w:rPr>
          <w:rFonts w:hint="eastAsia" w:ascii="宋体" w:hAnsi="宋体" w:eastAsia="宋体"/>
          <w:sz w:val="24"/>
          <w:highlight w:val="none"/>
        </w:rPr>
        <w:t>该障碍在订立合同时无法被合理预见；和</w:t>
      </w:r>
    </w:p>
    <w:p>
      <w:pPr>
        <w:pStyle w:val="8"/>
        <w:widowControl/>
        <w:numPr>
          <w:ilvl w:val="0"/>
          <w:numId w:val="34"/>
        </w:numPr>
        <w:tabs>
          <w:tab w:val="left" w:pos="1175"/>
        </w:tabs>
        <w:autoSpaceDE/>
        <w:autoSpaceDN/>
        <w:snapToGrid w:val="0"/>
        <w:spacing w:before="93" w:beforeLines="30" w:after="93" w:afterLines="30"/>
        <w:rPr>
          <w:rFonts w:ascii="宋体" w:hAnsi="宋体" w:eastAsia="宋体"/>
          <w:sz w:val="24"/>
          <w:highlight w:val="none"/>
        </w:rPr>
      </w:pPr>
      <w:r>
        <w:rPr>
          <w:rFonts w:hint="eastAsia" w:ascii="宋体" w:hAnsi="宋体" w:eastAsia="宋体"/>
          <w:sz w:val="24"/>
          <w:highlight w:val="none"/>
        </w:rPr>
        <w:t>该障碍超出其合理控制范围；同时</w:t>
      </w:r>
    </w:p>
    <w:p>
      <w:pPr>
        <w:pStyle w:val="8"/>
        <w:widowControl/>
        <w:numPr>
          <w:ilvl w:val="0"/>
          <w:numId w:val="34"/>
        </w:numPr>
        <w:tabs>
          <w:tab w:val="left" w:pos="1175"/>
        </w:tabs>
        <w:autoSpaceDE/>
        <w:autoSpaceDN/>
        <w:snapToGrid w:val="0"/>
        <w:spacing w:before="93" w:beforeLines="30" w:after="93" w:afterLines="30"/>
        <w:rPr>
          <w:rFonts w:ascii="宋体" w:hAnsi="宋体" w:eastAsia="宋体"/>
          <w:sz w:val="24"/>
          <w:highlight w:val="none"/>
        </w:rPr>
      </w:pPr>
      <w:r>
        <w:rPr>
          <w:rFonts w:hint="eastAsia" w:ascii="宋体" w:hAnsi="宋体" w:eastAsia="宋体"/>
          <w:sz w:val="24"/>
          <w:highlight w:val="none"/>
        </w:rPr>
        <w:t>障碍的后果无法被受影响的一方合理避免或克服。</w:t>
      </w:r>
    </w:p>
    <w:p>
      <w:pPr>
        <w:pStyle w:val="8"/>
        <w:widowControl/>
        <w:numPr>
          <w:ilvl w:val="0"/>
          <w:numId w:val="33"/>
        </w:numPr>
        <w:tabs>
          <w:tab w:val="left" w:pos="1175"/>
        </w:tabs>
        <w:autoSpaceDE/>
        <w:autoSpaceDN/>
        <w:snapToGrid w:val="0"/>
        <w:spacing w:before="93" w:beforeLines="30" w:after="93" w:afterLines="30"/>
        <w:ind w:left="709" w:hanging="709"/>
        <w:rPr>
          <w:rFonts w:ascii="宋体" w:hAnsi="宋体" w:eastAsia="宋体"/>
          <w:sz w:val="24"/>
          <w:highlight w:val="none"/>
        </w:rPr>
      </w:pPr>
      <w:r>
        <w:rPr>
          <w:rFonts w:ascii="宋体" w:hAnsi="宋体" w:eastAsia="宋体"/>
          <w:sz w:val="24"/>
          <w:highlight w:val="none"/>
        </w:rPr>
        <w:t>如果一方遭受不可抗力，应立即（不迟于24小时内）通知另一方，并采取一切合理、必要的措施减少损失及不可抗力的影响，恢复合同的履行。不可抗力结束后48小时内，遭受不可抗力的一方应向另一方通报不可抗力的情况，包括不可抗力造成的损害</w:t>
      </w:r>
      <w:r>
        <w:rPr>
          <w:rFonts w:hint="eastAsia" w:ascii="宋体" w:hAnsi="宋体" w:eastAsia="宋体"/>
          <w:sz w:val="24"/>
          <w:highlight w:val="none"/>
        </w:rPr>
        <w:t>、延续时间、合同设备受影响的范围、补救措施等，如不可抗力持续发生，遭受不可抗力的一方应及时更新该等信息。</w:t>
      </w:r>
    </w:p>
    <w:p>
      <w:pPr>
        <w:pStyle w:val="8"/>
        <w:widowControl/>
        <w:numPr>
          <w:ilvl w:val="0"/>
          <w:numId w:val="33"/>
        </w:numPr>
        <w:tabs>
          <w:tab w:val="left" w:pos="1175"/>
        </w:tabs>
        <w:autoSpaceDE/>
        <w:autoSpaceDN/>
        <w:snapToGrid w:val="0"/>
        <w:spacing w:before="93" w:beforeLines="30" w:after="93" w:afterLines="30"/>
        <w:ind w:left="709" w:hanging="709"/>
        <w:rPr>
          <w:rFonts w:ascii="宋体" w:hAnsi="宋体" w:eastAsia="宋体"/>
          <w:sz w:val="24"/>
          <w:highlight w:val="none"/>
        </w:rPr>
      </w:pPr>
      <w:r>
        <w:rPr>
          <w:rFonts w:ascii="宋体" w:hAnsi="宋体" w:eastAsia="宋体"/>
          <w:sz w:val="24"/>
          <w:highlight w:val="none"/>
        </w:rPr>
        <w:t>不可抗力发生后，</w:t>
      </w:r>
      <w:r>
        <w:rPr>
          <w:rFonts w:hint="eastAsia" w:ascii="宋体" w:hAnsi="宋体" w:eastAsia="宋体"/>
          <w:sz w:val="24"/>
          <w:highlight w:val="none"/>
        </w:rPr>
        <w:t>遭受不可抗力一方</w:t>
      </w:r>
      <w:r>
        <w:rPr>
          <w:rFonts w:ascii="宋体" w:hAnsi="宋体" w:eastAsia="宋体"/>
          <w:sz w:val="24"/>
          <w:highlight w:val="none"/>
        </w:rPr>
        <w:t>应采取措施尽量避免和减少损失的扩大，</w:t>
      </w:r>
      <w:r>
        <w:rPr>
          <w:rFonts w:hint="eastAsia" w:ascii="宋体" w:hAnsi="宋体" w:eastAsia="宋体"/>
          <w:sz w:val="24"/>
          <w:highlight w:val="none"/>
        </w:rPr>
        <w:t>该方</w:t>
      </w:r>
      <w:r>
        <w:rPr>
          <w:rFonts w:ascii="宋体" w:hAnsi="宋体" w:eastAsia="宋体"/>
          <w:sz w:val="24"/>
          <w:highlight w:val="none"/>
        </w:rPr>
        <w:t>没有采取有效措施导致损失扩大的，应对扩大的损失承担责任</w:t>
      </w:r>
      <w:r>
        <w:rPr>
          <w:rFonts w:hint="eastAsia" w:ascii="宋体" w:hAnsi="宋体" w:eastAsia="宋体"/>
          <w:sz w:val="24"/>
          <w:highlight w:val="none"/>
        </w:rPr>
        <w:t>。</w:t>
      </w:r>
    </w:p>
    <w:p>
      <w:pPr>
        <w:pStyle w:val="8"/>
        <w:widowControl/>
        <w:numPr>
          <w:ilvl w:val="0"/>
          <w:numId w:val="33"/>
        </w:numPr>
        <w:tabs>
          <w:tab w:val="left" w:pos="1175"/>
        </w:tabs>
        <w:autoSpaceDE/>
        <w:autoSpaceDN/>
        <w:snapToGrid w:val="0"/>
        <w:spacing w:before="93" w:beforeLines="30" w:after="93" w:afterLines="30"/>
        <w:ind w:left="709" w:hanging="709"/>
        <w:rPr>
          <w:rFonts w:ascii="宋体" w:hAnsi="宋体" w:eastAsia="宋体"/>
          <w:sz w:val="24"/>
          <w:highlight w:val="none"/>
        </w:rPr>
      </w:pPr>
      <w:r>
        <w:rPr>
          <w:rFonts w:hint="eastAsia" w:ascii="宋体" w:hAnsi="宋体" w:eastAsia="宋体"/>
          <w:sz w:val="24"/>
          <w:highlight w:val="none"/>
        </w:rPr>
        <w:t>如发生不可抗力，双方各自承担其人员和财产损失。一旦不可抗力停止或者影响消除，双方应立即履行其义务，合同的期限应该相应顺延。如果不可抗力的影响持续超过【</w:t>
      </w:r>
      <w:r>
        <w:rPr>
          <w:rFonts w:hint="eastAsia" w:ascii="宋体" w:hAnsi="宋体" w:eastAsia="宋体"/>
          <w:i/>
          <w:sz w:val="24"/>
          <w:highlight w:val="none"/>
        </w:rPr>
        <w:t>填入天数</w:t>
      </w:r>
      <w:r>
        <w:rPr>
          <w:rFonts w:hint="eastAsia" w:ascii="宋体" w:hAnsi="宋体" w:eastAsia="宋体"/>
          <w:sz w:val="24"/>
          <w:highlight w:val="none"/>
        </w:rPr>
        <w:t>】日，双方应该共同商议应对措施。</w:t>
      </w:r>
    </w:p>
    <w:p>
      <w:pPr>
        <w:pStyle w:val="8"/>
        <w:widowControl/>
        <w:numPr>
          <w:ilvl w:val="0"/>
          <w:numId w:val="33"/>
        </w:numPr>
        <w:tabs>
          <w:tab w:val="left" w:pos="1175"/>
        </w:tabs>
        <w:autoSpaceDE/>
        <w:autoSpaceDN/>
        <w:snapToGrid w:val="0"/>
        <w:spacing w:before="93" w:beforeLines="30" w:after="93" w:afterLines="30"/>
        <w:ind w:left="709" w:hanging="709"/>
        <w:rPr>
          <w:rFonts w:ascii="宋体" w:hAnsi="宋体" w:eastAsia="宋体"/>
          <w:sz w:val="24"/>
          <w:highlight w:val="none"/>
        </w:rPr>
      </w:pPr>
      <w:r>
        <w:rPr>
          <w:rFonts w:hint="eastAsia" w:ascii="宋体" w:hAnsi="宋体" w:eastAsia="宋体"/>
          <w:sz w:val="24"/>
          <w:highlight w:val="none"/>
        </w:rPr>
        <w:t>任何一方迟延履行合同后遭受不可抗力的，不得减少、免除该方在本合同项下的任何义务和责任。</w:t>
      </w:r>
    </w:p>
    <w:p>
      <w:pPr>
        <w:pStyle w:val="8"/>
        <w:widowControl/>
        <w:numPr>
          <w:ilvl w:val="0"/>
          <w:numId w:val="33"/>
        </w:numPr>
        <w:tabs>
          <w:tab w:val="left" w:pos="1175"/>
        </w:tabs>
        <w:autoSpaceDE/>
        <w:autoSpaceDN/>
        <w:snapToGrid w:val="0"/>
        <w:spacing w:before="93" w:beforeLines="30" w:after="93" w:afterLines="30"/>
        <w:ind w:left="709" w:hanging="709"/>
        <w:rPr>
          <w:rFonts w:ascii="宋体" w:hAnsi="宋体" w:eastAsia="宋体"/>
          <w:sz w:val="24"/>
          <w:highlight w:val="none"/>
        </w:rPr>
      </w:pPr>
      <w:r>
        <w:rPr>
          <w:rFonts w:hint="eastAsia" w:ascii="宋体" w:hAnsi="宋体" w:eastAsia="宋体"/>
          <w:sz w:val="24"/>
          <w:highlight w:val="none"/>
        </w:rPr>
        <w:t>任何一方因不可抗力不能或迟延履行本合同，在不可抗力的所涉范围内不承担违约责任。不可抗力的发生不能造成任何一方支付额外款项、赔偿或其它救济方式，双方放弃对不可抗力事项进行索赔的权利。</w:t>
      </w:r>
    </w:p>
    <w:p>
      <w:pPr>
        <w:pStyle w:val="43"/>
        <w:tabs>
          <w:tab w:val="clear" w:pos="720"/>
        </w:tabs>
        <w:adjustRightInd w:val="0"/>
        <w:snapToGrid w:val="0"/>
        <w:spacing w:before="93" w:beforeLines="30" w:after="93" w:afterLines="30" w:line="360" w:lineRule="auto"/>
        <w:jc w:val="left"/>
        <w:rPr>
          <w:rStyle w:val="44"/>
          <w:rFonts w:ascii="宋体" w:hAnsi="宋体"/>
          <w:b w:val="0"/>
          <w:bCs w:val="0"/>
          <w:szCs w:val="24"/>
          <w:highlight w:val="none"/>
        </w:rPr>
      </w:pPr>
      <w:bookmarkStart w:id="120" w:name="_Toc364839378"/>
      <w:r>
        <w:rPr>
          <w:rFonts w:hint="eastAsia" w:ascii="宋体" w:hAnsi="宋体"/>
          <w:szCs w:val="24"/>
          <w:highlight w:val="none"/>
        </w:rPr>
        <w:t>保障</w:t>
      </w:r>
      <w:bookmarkEnd w:id="117"/>
      <w:bookmarkEnd w:id="118"/>
      <w:bookmarkEnd w:id="119"/>
      <w:bookmarkEnd w:id="120"/>
      <w:bookmarkStart w:id="121" w:name="_Toc298158360"/>
      <w:bookmarkStart w:id="122" w:name="_Toc300147858"/>
    </w:p>
    <w:p>
      <w:pPr>
        <w:numPr>
          <w:ilvl w:val="0"/>
          <w:numId w:val="35"/>
        </w:numPr>
        <w:adjustRightInd w:val="0"/>
        <w:snapToGrid w:val="0"/>
        <w:spacing w:before="93" w:beforeLines="30" w:after="93" w:afterLines="30" w:line="360" w:lineRule="auto"/>
        <w:ind w:left="709" w:hanging="709"/>
        <w:rPr>
          <w:highlight w:val="none"/>
        </w:rPr>
      </w:pPr>
      <w:r>
        <w:rPr>
          <w:rFonts w:ascii="宋体" w:hAnsi="宋体"/>
          <w:sz w:val="24"/>
          <w:highlight w:val="none"/>
        </w:rPr>
        <w:t>乙方</w:t>
      </w:r>
      <w:r>
        <w:rPr>
          <w:rFonts w:hint="eastAsia" w:ascii="宋体" w:hAnsi="宋体"/>
          <w:sz w:val="24"/>
          <w:highlight w:val="none"/>
        </w:rPr>
        <w:t>、乙方代理或分包商（如有）</w:t>
      </w:r>
      <w:r>
        <w:rPr>
          <w:rFonts w:ascii="宋体" w:hAnsi="宋体"/>
          <w:sz w:val="24"/>
          <w:highlight w:val="none"/>
        </w:rPr>
        <w:t>因履行合同造成任何第三方财产损失、</w:t>
      </w:r>
      <w:r>
        <w:rPr>
          <w:rFonts w:hint="eastAsia" w:ascii="宋体" w:hAnsi="宋体"/>
          <w:sz w:val="24"/>
          <w:highlight w:val="none"/>
        </w:rPr>
        <w:t>损坏、</w:t>
      </w:r>
      <w:r>
        <w:rPr>
          <w:rFonts w:ascii="宋体" w:hAnsi="宋体"/>
          <w:sz w:val="24"/>
          <w:highlight w:val="none"/>
        </w:rPr>
        <w:t>人身伤亡</w:t>
      </w:r>
      <w:r>
        <w:rPr>
          <w:rFonts w:hint="eastAsia" w:ascii="宋体" w:hAnsi="宋体"/>
          <w:sz w:val="24"/>
          <w:highlight w:val="none"/>
        </w:rPr>
        <w:t>或疾病</w:t>
      </w:r>
      <w:r>
        <w:rPr>
          <w:rFonts w:ascii="宋体" w:hAnsi="宋体"/>
          <w:sz w:val="24"/>
          <w:highlight w:val="none"/>
        </w:rPr>
        <w:t>，乙方应承担全部责任，</w:t>
      </w:r>
      <w:r>
        <w:rPr>
          <w:rFonts w:hint="eastAsia"/>
          <w:highlight w:val="none"/>
        </w:rPr>
        <w:t>并</w:t>
      </w:r>
      <w:r>
        <w:rPr>
          <w:rFonts w:hint="eastAsia" w:ascii="宋体" w:hAnsi="宋体"/>
          <w:sz w:val="24"/>
          <w:highlight w:val="none"/>
        </w:rPr>
        <w:t>应确保甲方免于所有相关的索赔、损失、损害、费用和责任，包括但不限于在</w:t>
      </w:r>
      <w:r>
        <w:rPr>
          <w:rFonts w:hint="eastAsia"/>
          <w:highlight w:val="none"/>
        </w:rPr>
        <w:t>甲方因此需向第三方支付任何赔偿时，乙方均应全额予以补偿。</w:t>
      </w:r>
    </w:p>
    <w:p>
      <w:pPr>
        <w:numPr>
          <w:ilvl w:val="0"/>
          <w:numId w:val="35"/>
        </w:numPr>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如因履行本合同，乙方</w:t>
      </w:r>
      <w:r>
        <w:rPr>
          <w:rFonts w:hint="eastAsia" w:ascii="宋体" w:hAnsi="宋体"/>
          <w:sz w:val="24"/>
          <w:highlight w:val="none"/>
        </w:rPr>
        <w:t>及其人员、乙方代理、分包商及其人员（如有）的任何财产（包括但不限于</w:t>
      </w:r>
      <w:r>
        <w:rPr>
          <w:rFonts w:ascii="宋体" w:hAnsi="宋体"/>
          <w:sz w:val="24"/>
          <w:highlight w:val="none"/>
        </w:rPr>
        <w:t>设备、装置、器材等</w:t>
      </w:r>
      <w:r>
        <w:rPr>
          <w:rFonts w:hint="eastAsia" w:ascii="宋体" w:hAnsi="宋体"/>
          <w:sz w:val="24"/>
          <w:highlight w:val="none"/>
        </w:rPr>
        <w:t>，且无论该等财产属于自有、租用、租赁或以其它方式提供）</w:t>
      </w:r>
      <w:r>
        <w:rPr>
          <w:rFonts w:ascii="宋体" w:hAnsi="宋体"/>
          <w:sz w:val="24"/>
          <w:highlight w:val="none"/>
        </w:rPr>
        <w:t>发生毁损、灭失或其它损失，除非该等损失系因甲方故意或重大过失</w:t>
      </w:r>
      <w:r>
        <w:rPr>
          <w:rFonts w:hint="eastAsia" w:ascii="宋体" w:hAnsi="宋体"/>
          <w:sz w:val="24"/>
          <w:highlight w:val="none"/>
        </w:rPr>
        <w:t>所致，乙方</w:t>
      </w:r>
      <w:r>
        <w:rPr>
          <w:rFonts w:ascii="宋体" w:hAnsi="宋体"/>
          <w:sz w:val="24"/>
          <w:highlight w:val="none"/>
        </w:rPr>
        <w:t>应自行承担全部损失，</w:t>
      </w:r>
      <w:r>
        <w:rPr>
          <w:rFonts w:hint="eastAsia" w:ascii="宋体" w:hAnsi="宋体"/>
          <w:sz w:val="24"/>
          <w:highlight w:val="none"/>
        </w:rPr>
        <w:t xml:space="preserve">并应确保甲方免于所有相关的索赔、损失、损害、费用和责任。 </w:t>
      </w:r>
    </w:p>
    <w:p>
      <w:pPr>
        <w:numPr>
          <w:ilvl w:val="0"/>
          <w:numId w:val="35"/>
        </w:numPr>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如因履行本合同</w:t>
      </w:r>
      <w:r>
        <w:rPr>
          <w:rFonts w:hint="eastAsia" w:ascii="宋体" w:hAnsi="宋体"/>
          <w:sz w:val="24"/>
          <w:highlight w:val="none"/>
        </w:rPr>
        <w:t>而发生的或与履行本合同有关的乙方、乙方代理及分包商（如有）的</w:t>
      </w:r>
      <w:r>
        <w:rPr>
          <w:rFonts w:ascii="宋体" w:hAnsi="宋体"/>
          <w:sz w:val="24"/>
          <w:highlight w:val="none"/>
        </w:rPr>
        <w:t>人员发生人身伤亡或</w:t>
      </w:r>
      <w:r>
        <w:rPr>
          <w:rFonts w:hint="eastAsia" w:ascii="宋体" w:hAnsi="宋体"/>
          <w:sz w:val="24"/>
          <w:highlight w:val="none"/>
        </w:rPr>
        <w:t>疾病</w:t>
      </w:r>
      <w:r>
        <w:rPr>
          <w:rFonts w:ascii="宋体" w:hAnsi="宋体"/>
          <w:sz w:val="24"/>
          <w:highlight w:val="none"/>
        </w:rPr>
        <w:t>，除非该等人身伤</w:t>
      </w:r>
      <w:r>
        <w:rPr>
          <w:rFonts w:hint="eastAsia" w:ascii="宋体" w:hAnsi="宋体"/>
          <w:sz w:val="24"/>
          <w:highlight w:val="none"/>
        </w:rPr>
        <w:t>亡</w:t>
      </w:r>
      <w:r>
        <w:rPr>
          <w:rFonts w:ascii="宋体" w:hAnsi="宋体"/>
          <w:sz w:val="24"/>
          <w:highlight w:val="none"/>
        </w:rPr>
        <w:t>或</w:t>
      </w:r>
      <w:r>
        <w:rPr>
          <w:rFonts w:hint="eastAsia" w:ascii="宋体" w:hAnsi="宋体"/>
          <w:sz w:val="24"/>
          <w:highlight w:val="none"/>
        </w:rPr>
        <w:t>疾病</w:t>
      </w:r>
      <w:r>
        <w:rPr>
          <w:rFonts w:ascii="宋体" w:hAnsi="宋体"/>
          <w:sz w:val="24"/>
          <w:highlight w:val="none"/>
        </w:rPr>
        <w:t>系因甲方故意或重大过失</w:t>
      </w:r>
      <w:r>
        <w:rPr>
          <w:rFonts w:hint="eastAsia" w:ascii="宋体" w:hAnsi="宋体"/>
          <w:sz w:val="24"/>
          <w:highlight w:val="none"/>
        </w:rPr>
        <w:t>所致，</w:t>
      </w:r>
      <w:r>
        <w:rPr>
          <w:rFonts w:ascii="宋体" w:hAnsi="宋体"/>
          <w:sz w:val="24"/>
          <w:highlight w:val="none"/>
        </w:rPr>
        <w:t>乙方应对</w:t>
      </w:r>
      <w:r>
        <w:rPr>
          <w:rFonts w:hint="eastAsia" w:ascii="宋体" w:hAnsi="宋体"/>
          <w:sz w:val="24"/>
          <w:highlight w:val="none"/>
        </w:rPr>
        <w:t>上述</w:t>
      </w:r>
      <w:r>
        <w:rPr>
          <w:rFonts w:ascii="宋体" w:hAnsi="宋体"/>
          <w:sz w:val="24"/>
          <w:highlight w:val="none"/>
        </w:rPr>
        <w:t>人员的人身伤亡或</w:t>
      </w:r>
      <w:r>
        <w:rPr>
          <w:rFonts w:hint="eastAsia" w:ascii="宋体" w:hAnsi="宋体"/>
          <w:sz w:val="24"/>
          <w:highlight w:val="none"/>
        </w:rPr>
        <w:t>疾病</w:t>
      </w:r>
      <w:r>
        <w:rPr>
          <w:rFonts w:ascii="宋体" w:hAnsi="宋体"/>
          <w:sz w:val="24"/>
          <w:highlight w:val="none"/>
        </w:rPr>
        <w:t>负责，</w:t>
      </w:r>
      <w:r>
        <w:rPr>
          <w:rFonts w:hint="eastAsia" w:ascii="宋体" w:hAnsi="宋体"/>
          <w:sz w:val="24"/>
          <w:highlight w:val="none"/>
        </w:rPr>
        <w:t>并确保甲方免于所有相关的索赔、损失、损害、费用和责任，包括但不限于甲方因此需要支付任何赔偿时，乙方均应全额予以补偿。</w:t>
      </w:r>
    </w:p>
    <w:p>
      <w:pPr>
        <w:numPr>
          <w:ilvl w:val="0"/>
          <w:numId w:val="35"/>
        </w:numPr>
        <w:adjustRightInd w:val="0"/>
        <w:snapToGrid w:val="0"/>
        <w:spacing w:before="93" w:beforeLines="30" w:after="93" w:afterLines="30" w:line="360" w:lineRule="auto"/>
        <w:ind w:left="709" w:hanging="709"/>
        <w:rPr>
          <w:rFonts w:ascii="宋体" w:hAnsi="宋体"/>
          <w:sz w:val="24"/>
          <w:highlight w:val="none"/>
        </w:rPr>
      </w:pPr>
      <w:r>
        <w:rPr>
          <w:rFonts w:hint="eastAsia" w:ascii="宋体" w:hAnsi="宋体"/>
          <w:sz w:val="24"/>
          <w:highlight w:val="none"/>
        </w:rPr>
        <w:t>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pStyle w:val="43"/>
        <w:tabs>
          <w:tab w:val="clear" w:pos="720"/>
        </w:tabs>
        <w:adjustRightInd w:val="0"/>
        <w:snapToGrid w:val="0"/>
        <w:spacing w:before="93" w:beforeLines="30" w:after="93" w:afterLines="30" w:line="360" w:lineRule="auto"/>
        <w:jc w:val="left"/>
        <w:rPr>
          <w:rFonts w:ascii="宋体" w:hAnsi="宋体"/>
          <w:szCs w:val="24"/>
          <w:highlight w:val="none"/>
        </w:rPr>
      </w:pPr>
      <w:bookmarkStart w:id="123" w:name="_Toc364839379"/>
      <w:r>
        <w:rPr>
          <w:rFonts w:hint="eastAsia" w:ascii="宋体" w:hAnsi="宋体"/>
          <w:szCs w:val="24"/>
          <w:highlight w:val="none"/>
        </w:rPr>
        <w:t>保密</w:t>
      </w:r>
      <w:bookmarkEnd w:id="121"/>
      <w:bookmarkEnd w:id="122"/>
      <w:bookmarkEnd w:id="123"/>
    </w:p>
    <w:p>
      <w:pPr>
        <w:numPr>
          <w:ilvl w:val="0"/>
          <w:numId w:val="36"/>
        </w:numPr>
        <w:tabs>
          <w:tab w:val="left" w:pos="709"/>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除非法律法规、政府机关另行强制要求，未经</w:t>
      </w:r>
      <w:r>
        <w:rPr>
          <w:rFonts w:hint="eastAsia" w:ascii="宋体" w:hAnsi="宋体"/>
          <w:sz w:val="24"/>
          <w:highlight w:val="none"/>
        </w:rPr>
        <w:t>甲方事先书面</w:t>
      </w:r>
      <w:r>
        <w:rPr>
          <w:rFonts w:ascii="宋体" w:hAnsi="宋体"/>
          <w:sz w:val="24"/>
          <w:highlight w:val="none"/>
        </w:rPr>
        <w:t>同意，</w:t>
      </w:r>
      <w:r>
        <w:rPr>
          <w:rFonts w:hint="eastAsia" w:ascii="宋体" w:hAnsi="宋体"/>
          <w:sz w:val="24"/>
          <w:highlight w:val="none"/>
        </w:rPr>
        <w:t>乙方</w:t>
      </w:r>
      <w:r>
        <w:rPr>
          <w:rFonts w:ascii="宋体" w:hAnsi="宋体"/>
          <w:sz w:val="24"/>
          <w:highlight w:val="none"/>
        </w:rPr>
        <w:t>不得将</w:t>
      </w:r>
      <w:r>
        <w:rPr>
          <w:rFonts w:hint="eastAsia" w:ascii="宋体" w:hAnsi="宋体"/>
          <w:sz w:val="24"/>
          <w:highlight w:val="none"/>
        </w:rPr>
        <w:t>甲方</w:t>
      </w:r>
      <w:r>
        <w:rPr>
          <w:rFonts w:ascii="宋体" w:hAnsi="宋体"/>
          <w:sz w:val="24"/>
          <w:highlight w:val="none"/>
        </w:rPr>
        <w:t>保密信息披露给任何第三方（包括与合同无关的</w:t>
      </w:r>
      <w:r>
        <w:rPr>
          <w:rFonts w:hint="eastAsia" w:ascii="宋体" w:hAnsi="宋体"/>
          <w:sz w:val="24"/>
          <w:highlight w:val="none"/>
        </w:rPr>
        <w:t>乙方</w:t>
      </w:r>
      <w:r>
        <w:rPr>
          <w:rFonts w:ascii="宋体" w:hAnsi="宋体"/>
          <w:sz w:val="24"/>
          <w:highlight w:val="none"/>
        </w:rPr>
        <w:t>员工和政府部门），亦不得将该等信息用于与本合同无关的用途。保密信息包括但不限于：</w:t>
      </w:r>
      <w:r>
        <w:rPr>
          <w:rFonts w:hint="eastAsia" w:ascii="宋体" w:hAnsi="宋体"/>
          <w:sz w:val="24"/>
          <w:highlight w:val="none"/>
        </w:rPr>
        <w:t>本</w:t>
      </w:r>
      <w:r>
        <w:rPr>
          <w:rFonts w:ascii="宋体" w:hAnsi="宋体"/>
          <w:sz w:val="24"/>
          <w:highlight w:val="none"/>
        </w:rPr>
        <w:t>合同内容；</w:t>
      </w:r>
      <w:r>
        <w:rPr>
          <w:rFonts w:hint="eastAsia" w:ascii="宋体" w:hAnsi="宋体"/>
          <w:sz w:val="24"/>
          <w:highlight w:val="none"/>
        </w:rPr>
        <w:t>甲方提供的</w:t>
      </w:r>
      <w:r>
        <w:rPr>
          <w:rFonts w:ascii="宋体" w:hAnsi="宋体"/>
          <w:sz w:val="24"/>
          <w:highlight w:val="none"/>
        </w:rPr>
        <w:t>与本合同有关的任何技术信息、图纸、样本、资料等；</w:t>
      </w:r>
      <w:r>
        <w:rPr>
          <w:rFonts w:hint="eastAsia" w:ascii="宋体" w:hAnsi="宋体"/>
          <w:sz w:val="24"/>
          <w:highlight w:val="none"/>
        </w:rPr>
        <w:t>甲方</w:t>
      </w:r>
      <w:r>
        <w:rPr>
          <w:rFonts w:ascii="宋体" w:hAnsi="宋体"/>
          <w:sz w:val="24"/>
          <w:highlight w:val="none"/>
        </w:rPr>
        <w:t>提供的或</w:t>
      </w:r>
      <w:r>
        <w:rPr>
          <w:rFonts w:hint="eastAsia" w:ascii="宋体" w:hAnsi="宋体"/>
          <w:sz w:val="24"/>
          <w:highlight w:val="none"/>
        </w:rPr>
        <w:t>乙方</w:t>
      </w:r>
      <w:r>
        <w:rPr>
          <w:rFonts w:ascii="宋体" w:hAnsi="宋体"/>
          <w:sz w:val="24"/>
          <w:highlight w:val="none"/>
        </w:rPr>
        <w:t>获得的与项目或甲方有关的任何技术和商务信息。</w:t>
      </w:r>
    </w:p>
    <w:p>
      <w:pPr>
        <w:numPr>
          <w:ilvl w:val="0"/>
          <w:numId w:val="36"/>
        </w:numPr>
        <w:tabs>
          <w:tab w:val="left" w:pos="709"/>
        </w:tabs>
        <w:adjustRightInd w:val="0"/>
        <w:snapToGrid w:val="0"/>
        <w:spacing w:before="93" w:beforeLines="30" w:after="93" w:afterLines="30" w:line="360" w:lineRule="auto"/>
        <w:ind w:left="709" w:hanging="709"/>
        <w:rPr>
          <w:rFonts w:ascii="宋体" w:hAnsi="宋体"/>
          <w:sz w:val="24"/>
          <w:highlight w:val="none"/>
        </w:rPr>
      </w:pPr>
      <w:r>
        <w:rPr>
          <w:rFonts w:hint="eastAsia" w:ascii="宋体" w:hAnsi="宋体"/>
          <w:sz w:val="24"/>
          <w:highlight w:val="none"/>
        </w:rPr>
        <w:t>一方违反保密义务时，另一方有权要求该方停止侵害、消除影响或采取其他合理的救济措施，该方还应赔偿因违约行为而给对方造成的全部损失。</w:t>
      </w:r>
    </w:p>
    <w:p>
      <w:pPr>
        <w:tabs>
          <w:tab w:val="left" w:pos="709"/>
        </w:tabs>
        <w:adjustRightInd w:val="0"/>
        <w:snapToGrid w:val="0"/>
        <w:spacing w:before="93" w:beforeLines="30" w:after="93" w:afterLines="30" w:line="360" w:lineRule="auto"/>
        <w:rPr>
          <w:rFonts w:ascii="宋体" w:hAnsi="宋体"/>
          <w:i/>
          <w:sz w:val="24"/>
          <w:highlight w:val="none"/>
          <w:u w:val="single"/>
        </w:rPr>
      </w:pPr>
      <w:r>
        <w:rPr>
          <w:rFonts w:hint="eastAsia" w:ascii="宋体" w:hAnsi="宋体"/>
          <w:i/>
          <w:sz w:val="24"/>
          <w:highlight w:val="none"/>
          <w:u w:val="single"/>
        </w:rPr>
        <w:t>可选择条款—第十九条责任限制</w:t>
      </w:r>
    </w:p>
    <w:p>
      <w:pPr>
        <w:pStyle w:val="43"/>
        <w:tabs>
          <w:tab w:val="clear" w:pos="720"/>
        </w:tabs>
        <w:adjustRightInd w:val="0"/>
        <w:snapToGrid w:val="0"/>
        <w:spacing w:before="93" w:beforeLines="30" w:after="93" w:afterLines="30" w:line="360" w:lineRule="auto"/>
        <w:jc w:val="left"/>
        <w:rPr>
          <w:rFonts w:ascii="宋体" w:hAnsi="宋体"/>
          <w:i/>
          <w:szCs w:val="24"/>
          <w:highlight w:val="none"/>
        </w:rPr>
      </w:pPr>
      <w:bookmarkStart w:id="124" w:name="_Toc364839380"/>
      <w:bookmarkStart w:id="125" w:name="_Toc296959348"/>
      <w:bookmarkStart w:id="126" w:name="_Toc296955886"/>
      <w:bookmarkStart w:id="127" w:name="_Toc287977559"/>
      <w:bookmarkStart w:id="128" w:name="_Toc299912683"/>
      <w:bookmarkStart w:id="129" w:name="_Toc299550775"/>
      <w:bookmarkStart w:id="130" w:name="_Toc299915698"/>
      <w:bookmarkStart w:id="131" w:name="_Toc288479437"/>
      <w:r>
        <w:rPr>
          <w:rFonts w:hint="eastAsia" w:ascii="宋体" w:hAnsi="宋体"/>
          <w:i/>
          <w:szCs w:val="24"/>
          <w:highlight w:val="none"/>
        </w:rPr>
        <w:t>责任限制</w:t>
      </w:r>
    </w:p>
    <w:p>
      <w:pPr>
        <w:widowControl/>
        <w:numPr>
          <w:ilvl w:val="1"/>
          <w:numId w:val="37"/>
        </w:numPr>
        <w:tabs>
          <w:tab w:val="left" w:pos="709"/>
          <w:tab w:val="clear" w:pos="420"/>
        </w:tabs>
        <w:adjustRightInd w:val="0"/>
        <w:snapToGrid w:val="0"/>
        <w:spacing w:line="360" w:lineRule="auto"/>
        <w:ind w:left="709" w:hanging="709"/>
        <w:rPr>
          <w:rFonts w:ascii="宋体" w:hAnsi="宋体"/>
          <w:i/>
          <w:sz w:val="24"/>
          <w:highlight w:val="none"/>
        </w:rPr>
      </w:pPr>
      <w:r>
        <w:rPr>
          <w:rFonts w:hint="eastAsia" w:ascii="宋体" w:hAnsi="宋体"/>
          <w:i/>
          <w:sz w:val="24"/>
          <w:highlight w:val="none"/>
        </w:rPr>
        <w:t>乙方在履行合同过程中承担的总体责任限制为合同总价的【填入百分比，如150%】。然而，该责任限制在任何情况下均不包括下述责任：</w:t>
      </w:r>
    </w:p>
    <w:p>
      <w:pPr>
        <w:widowControl/>
        <w:numPr>
          <w:ilvl w:val="0"/>
          <w:numId w:val="38"/>
        </w:numPr>
        <w:tabs>
          <w:tab w:val="left" w:pos="1134"/>
        </w:tabs>
        <w:adjustRightInd w:val="0"/>
        <w:snapToGrid w:val="0"/>
        <w:spacing w:line="360" w:lineRule="auto"/>
        <w:ind w:left="1134" w:hanging="425"/>
        <w:rPr>
          <w:rFonts w:ascii="宋体" w:hAnsi="宋体"/>
          <w:i/>
          <w:sz w:val="24"/>
          <w:highlight w:val="none"/>
        </w:rPr>
      </w:pPr>
      <w:r>
        <w:rPr>
          <w:rFonts w:hint="eastAsia" w:ascii="宋体" w:hAnsi="宋体"/>
          <w:i/>
          <w:sz w:val="24"/>
          <w:highlight w:val="none"/>
        </w:rPr>
        <w:t>乙方在合同第八条（质量保证）、第十一条（权利保证）、第十七条（保障）、第2.3款（税费）项下所应承担的责任；</w:t>
      </w:r>
    </w:p>
    <w:p>
      <w:pPr>
        <w:widowControl/>
        <w:numPr>
          <w:ilvl w:val="0"/>
          <w:numId w:val="38"/>
        </w:numPr>
        <w:tabs>
          <w:tab w:val="left" w:pos="1134"/>
        </w:tabs>
        <w:adjustRightInd w:val="0"/>
        <w:snapToGrid w:val="0"/>
        <w:spacing w:line="360" w:lineRule="auto"/>
        <w:ind w:left="1134" w:hanging="425"/>
        <w:rPr>
          <w:rFonts w:ascii="宋体" w:hAnsi="宋体"/>
          <w:i/>
          <w:sz w:val="24"/>
          <w:highlight w:val="none"/>
        </w:rPr>
      </w:pPr>
      <w:r>
        <w:rPr>
          <w:rFonts w:hint="eastAsia" w:ascii="宋体" w:hAnsi="宋体"/>
          <w:i/>
          <w:sz w:val="24"/>
          <w:highlight w:val="none"/>
        </w:rPr>
        <w:t>乙方根据法律法规及本合同的约定所应承担的税费；</w:t>
      </w:r>
    </w:p>
    <w:p>
      <w:pPr>
        <w:widowControl/>
        <w:numPr>
          <w:ilvl w:val="0"/>
          <w:numId w:val="38"/>
        </w:numPr>
        <w:tabs>
          <w:tab w:val="left" w:pos="1134"/>
        </w:tabs>
        <w:adjustRightInd w:val="0"/>
        <w:snapToGrid w:val="0"/>
        <w:spacing w:line="360" w:lineRule="auto"/>
        <w:ind w:left="1134" w:hanging="425"/>
        <w:rPr>
          <w:rFonts w:ascii="宋体" w:hAnsi="宋体"/>
          <w:i/>
          <w:sz w:val="24"/>
          <w:highlight w:val="none"/>
        </w:rPr>
      </w:pPr>
      <w:r>
        <w:rPr>
          <w:rFonts w:hint="eastAsia" w:ascii="宋体" w:hAnsi="宋体"/>
          <w:i/>
          <w:sz w:val="24"/>
          <w:highlight w:val="none"/>
        </w:rPr>
        <w:t>乙方从保险公司获得或可以获得的赔偿部分的违约责任；</w:t>
      </w:r>
    </w:p>
    <w:p>
      <w:pPr>
        <w:widowControl/>
        <w:numPr>
          <w:ilvl w:val="0"/>
          <w:numId w:val="38"/>
        </w:numPr>
        <w:tabs>
          <w:tab w:val="left" w:pos="1134"/>
        </w:tabs>
        <w:adjustRightInd w:val="0"/>
        <w:snapToGrid w:val="0"/>
        <w:spacing w:line="360" w:lineRule="auto"/>
        <w:ind w:left="1134" w:hanging="425"/>
        <w:rPr>
          <w:rFonts w:ascii="宋体" w:hAnsi="宋体"/>
          <w:i/>
          <w:sz w:val="24"/>
          <w:highlight w:val="none"/>
        </w:rPr>
      </w:pPr>
      <w:r>
        <w:rPr>
          <w:rFonts w:hint="eastAsia" w:ascii="宋体" w:hAnsi="宋体"/>
          <w:i/>
          <w:sz w:val="24"/>
          <w:highlight w:val="none"/>
        </w:rPr>
        <w:t>乙方违反法律法规引起的责任；</w:t>
      </w:r>
    </w:p>
    <w:p>
      <w:pPr>
        <w:widowControl/>
        <w:numPr>
          <w:ilvl w:val="0"/>
          <w:numId w:val="38"/>
        </w:numPr>
        <w:tabs>
          <w:tab w:val="left" w:pos="1134"/>
        </w:tabs>
        <w:adjustRightInd w:val="0"/>
        <w:snapToGrid w:val="0"/>
        <w:spacing w:line="360" w:lineRule="auto"/>
        <w:ind w:left="1134" w:hanging="425"/>
        <w:rPr>
          <w:rFonts w:ascii="宋体" w:hAnsi="宋体"/>
          <w:i/>
          <w:sz w:val="24"/>
          <w:highlight w:val="none"/>
        </w:rPr>
      </w:pPr>
      <w:r>
        <w:rPr>
          <w:rFonts w:hint="eastAsia" w:ascii="宋体" w:hAnsi="宋体"/>
          <w:i/>
          <w:sz w:val="24"/>
          <w:highlight w:val="none"/>
        </w:rPr>
        <w:t>乙方及其人员、乙方代理、乙方的分包商及其人员因欺诈、故意、重大过失引起的责任；</w:t>
      </w:r>
    </w:p>
    <w:p>
      <w:pPr>
        <w:widowControl/>
        <w:numPr>
          <w:ilvl w:val="0"/>
          <w:numId w:val="38"/>
        </w:numPr>
        <w:tabs>
          <w:tab w:val="left" w:pos="1134"/>
        </w:tabs>
        <w:adjustRightInd w:val="0"/>
        <w:snapToGrid w:val="0"/>
        <w:spacing w:line="360" w:lineRule="auto"/>
        <w:ind w:left="1134" w:hanging="425"/>
        <w:rPr>
          <w:rFonts w:ascii="宋体" w:hAnsi="宋体"/>
          <w:sz w:val="24"/>
          <w:highlight w:val="none"/>
        </w:rPr>
      </w:pPr>
      <w:r>
        <w:rPr>
          <w:rFonts w:hint="eastAsia" w:ascii="宋体" w:hAnsi="宋体"/>
          <w:i/>
          <w:sz w:val="24"/>
          <w:highlight w:val="none"/>
          <w:u w:val="single"/>
        </w:rPr>
        <w:t xml:space="preserve">              </w:t>
      </w:r>
      <w:r>
        <w:rPr>
          <w:rFonts w:hint="eastAsia" w:ascii="宋体" w:hAnsi="宋体"/>
          <w:i/>
          <w:sz w:val="24"/>
          <w:highlight w:val="none"/>
        </w:rPr>
        <w:t>。</w:t>
      </w:r>
    </w:p>
    <w:p>
      <w:pPr>
        <w:pStyle w:val="43"/>
        <w:tabs>
          <w:tab w:val="clear" w:pos="720"/>
        </w:tabs>
        <w:adjustRightInd w:val="0"/>
        <w:snapToGrid w:val="0"/>
        <w:spacing w:before="93" w:beforeLines="30" w:after="93" w:afterLines="30" w:line="360" w:lineRule="auto"/>
        <w:jc w:val="left"/>
        <w:rPr>
          <w:rFonts w:ascii="宋体" w:hAnsi="宋体"/>
          <w:szCs w:val="24"/>
          <w:highlight w:val="none"/>
        </w:rPr>
      </w:pPr>
      <w:r>
        <w:rPr>
          <w:rFonts w:hint="eastAsia" w:ascii="宋体" w:hAnsi="宋体"/>
          <w:bCs w:val="0"/>
          <w:szCs w:val="24"/>
          <w:highlight w:val="none"/>
        </w:rPr>
        <w:t>审计</w:t>
      </w:r>
      <w:bookmarkEnd w:id="124"/>
      <w:bookmarkEnd w:id="125"/>
      <w:bookmarkEnd w:id="126"/>
      <w:bookmarkEnd w:id="127"/>
      <w:bookmarkEnd w:id="128"/>
      <w:bookmarkEnd w:id="129"/>
      <w:bookmarkEnd w:id="130"/>
      <w:bookmarkEnd w:id="131"/>
      <w:r>
        <w:rPr>
          <w:rFonts w:hint="eastAsia"/>
          <w:szCs w:val="24"/>
          <w:highlight w:val="none"/>
        </w:rPr>
        <w:t>、禁止商业贿赂和反腐败</w:t>
      </w:r>
    </w:p>
    <w:p>
      <w:pPr>
        <w:numPr>
          <w:ilvl w:val="0"/>
          <w:numId w:val="39"/>
        </w:numPr>
        <w:tabs>
          <w:tab w:val="clear" w:pos="0"/>
        </w:tabs>
        <w:adjustRightInd w:val="0"/>
        <w:snapToGrid w:val="0"/>
        <w:spacing w:before="93" w:beforeLines="30" w:after="93" w:afterLines="30" w:line="360" w:lineRule="auto"/>
        <w:ind w:left="708" w:hanging="708" w:hangingChars="295"/>
        <w:rPr>
          <w:rFonts w:ascii="宋体" w:hAnsi="宋体"/>
          <w:sz w:val="24"/>
          <w:highlight w:val="none"/>
        </w:rPr>
      </w:pPr>
      <w:r>
        <w:rPr>
          <w:rFonts w:hint="eastAsia" w:ascii="宋体" w:hAnsi="宋体"/>
          <w:kern w:val="0"/>
          <w:sz w:val="24"/>
          <w:highlight w:val="none"/>
        </w:rPr>
        <w:t>乙方应根据甲方要求，接受和配合甲方或甲方委</w:t>
      </w:r>
      <w:r>
        <w:rPr>
          <w:rFonts w:hint="eastAsia" w:ascii="宋体" w:hAnsi="宋体"/>
          <w:sz w:val="24"/>
          <w:highlight w:val="none"/>
        </w:rPr>
        <w:t>托的会计师事务所进行的与本合同相关的审计，包括配合甲方或甲方委托的会计师事务所对分包商进行的与分包合同相关的审计。乙方应在分包合同中要求其分包商接受与本合同</w:t>
      </w:r>
      <w:r>
        <w:rPr>
          <w:rFonts w:hint="eastAsia" w:ascii="宋体" w:hAnsi="宋体"/>
          <w:kern w:val="0"/>
          <w:sz w:val="24"/>
          <w:highlight w:val="none"/>
        </w:rPr>
        <w:t>相同</w:t>
      </w:r>
      <w:r>
        <w:rPr>
          <w:rFonts w:hint="eastAsia" w:ascii="宋体" w:hAnsi="宋体"/>
          <w:sz w:val="24"/>
          <w:highlight w:val="none"/>
        </w:rPr>
        <w:t>的审计要求，包括分包商应无条件接受和配合甲方或甲方委托的会计师事务所对分包商进行的与分包合同相关的审计。</w:t>
      </w:r>
    </w:p>
    <w:p>
      <w:pPr>
        <w:numPr>
          <w:ilvl w:val="0"/>
          <w:numId w:val="39"/>
        </w:numPr>
        <w:tabs>
          <w:tab w:val="clear" w:pos="0"/>
        </w:tabs>
        <w:adjustRightInd w:val="0"/>
        <w:snapToGrid w:val="0"/>
        <w:spacing w:before="93" w:beforeLines="30" w:after="93" w:afterLines="30" w:line="360" w:lineRule="auto"/>
        <w:ind w:left="708" w:hanging="708" w:hangingChars="295"/>
        <w:rPr>
          <w:rFonts w:ascii="宋体" w:hAnsi="宋体"/>
          <w:sz w:val="24"/>
          <w:highlight w:val="none"/>
        </w:rPr>
      </w:pPr>
      <w:r>
        <w:rPr>
          <w:rFonts w:hint="eastAsia" w:ascii="宋体" w:hAnsi="宋体"/>
          <w:kern w:val="0"/>
          <w:sz w:val="24"/>
          <w:highlight w:val="none"/>
        </w:rPr>
        <w:t>乙方应保存与本合同相关的记录和账目，保存期限为本合同终止后【</w:t>
      </w:r>
      <w:r>
        <w:rPr>
          <w:rFonts w:hint="eastAsia" w:ascii="宋体" w:hAnsi="宋体"/>
          <w:i/>
          <w:kern w:val="0"/>
          <w:sz w:val="24"/>
          <w:highlight w:val="none"/>
        </w:rPr>
        <w:t>填入年数，如十（</w:t>
      </w:r>
      <w:r>
        <w:rPr>
          <w:rFonts w:ascii="宋体" w:hAnsi="宋体"/>
          <w:i/>
          <w:kern w:val="0"/>
          <w:sz w:val="24"/>
          <w:highlight w:val="none"/>
        </w:rPr>
        <w:t>10</w:t>
      </w:r>
      <w:r>
        <w:rPr>
          <w:rFonts w:hint="eastAsia" w:ascii="宋体" w:hAnsi="宋体"/>
          <w:i/>
          <w:kern w:val="0"/>
          <w:sz w:val="24"/>
          <w:highlight w:val="none"/>
        </w:rPr>
        <w:t>）</w:t>
      </w:r>
      <w:r>
        <w:rPr>
          <w:rFonts w:hint="eastAsia" w:ascii="宋体" w:hAnsi="宋体"/>
          <w:kern w:val="0"/>
          <w:sz w:val="24"/>
          <w:highlight w:val="none"/>
        </w:rPr>
        <w:t>】年或遵从所在国相关规定。经提前通知，甲方或甲方委托的会计师事务所有权检查并复制该等记录和账目。</w:t>
      </w:r>
    </w:p>
    <w:p>
      <w:pPr>
        <w:numPr>
          <w:ilvl w:val="0"/>
          <w:numId w:val="39"/>
        </w:numPr>
        <w:tabs>
          <w:tab w:val="clear" w:pos="0"/>
        </w:tabs>
        <w:adjustRightInd w:val="0"/>
        <w:snapToGrid w:val="0"/>
        <w:spacing w:before="93" w:beforeLines="30" w:after="93" w:afterLines="30" w:line="360" w:lineRule="auto"/>
        <w:ind w:left="708" w:hanging="708" w:hangingChars="295"/>
        <w:rPr>
          <w:rFonts w:ascii="宋体" w:hAnsi="宋体"/>
          <w:sz w:val="24"/>
          <w:highlight w:val="none"/>
        </w:rPr>
      </w:pPr>
      <w:r>
        <w:rPr>
          <w:rFonts w:hint="eastAsia"/>
          <w:sz w:val="24"/>
          <w:highlight w:val="none"/>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43"/>
        <w:tabs>
          <w:tab w:val="left" w:pos="1276"/>
          <w:tab w:val="clear" w:pos="720"/>
        </w:tabs>
        <w:adjustRightInd w:val="0"/>
        <w:snapToGrid w:val="0"/>
        <w:spacing w:before="93" w:beforeLines="30" w:after="93" w:afterLines="30" w:line="360" w:lineRule="auto"/>
        <w:jc w:val="left"/>
        <w:rPr>
          <w:rFonts w:ascii="宋体" w:hAnsi="宋体"/>
          <w:szCs w:val="24"/>
          <w:highlight w:val="none"/>
        </w:rPr>
      </w:pPr>
      <w:bookmarkStart w:id="132" w:name="_Toc299915699"/>
      <w:bookmarkStart w:id="133" w:name="_Toc297822760"/>
      <w:bookmarkStart w:id="134" w:name="_Toc364839381"/>
      <w:r>
        <w:rPr>
          <w:rFonts w:hint="eastAsia" w:ascii="宋体" w:hAnsi="宋体"/>
          <w:szCs w:val="24"/>
          <w:highlight w:val="none"/>
        </w:rPr>
        <w:t>通知</w:t>
      </w:r>
      <w:bookmarkEnd w:id="132"/>
      <w:bookmarkEnd w:id="133"/>
      <w:bookmarkEnd w:id="134"/>
    </w:p>
    <w:p>
      <w:pPr>
        <w:widowControl/>
        <w:numPr>
          <w:ilvl w:val="0"/>
          <w:numId w:val="40"/>
        </w:numPr>
        <w:tabs>
          <w:tab w:val="left" w:pos="709"/>
        </w:tabs>
        <w:autoSpaceDE w:val="0"/>
        <w:autoSpaceDN w:val="0"/>
        <w:adjustRightInd w:val="0"/>
        <w:snapToGrid w:val="0"/>
        <w:spacing w:before="93" w:beforeLines="30" w:after="93" w:afterLines="30" w:line="360" w:lineRule="auto"/>
        <w:ind w:left="709" w:hanging="709"/>
        <w:jc w:val="left"/>
        <w:textAlignment w:val="bottom"/>
        <w:rPr>
          <w:rFonts w:ascii="宋体" w:hAnsi="宋体"/>
          <w:sz w:val="24"/>
          <w:highlight w:val="none"/>
        </w:rPr>
      </w:pPr>
      <w:r>
        <w:rPr>
          <w:rFonts w:hint="eastAsia" w:ascii="宋体" w:hAnsi="宋体"/>
          <w:sz w:val="24"/>
          <w:highlight w:val="none"/>
        </w:rPr>
        <w:t>通知应根据本合同约定以亲自递送、特快专递、传真等方式送达。</w:t>
      </w:r>
      <w:r>
        <w:rPr>
          <w:rFonts w:ascii="宋体" w:hAnsi="宋体"/>
          <w:sz w:val="24"/>
          <w:highlight w:val="none"/>
        </w:rPr>
        <w:t>通知在下列情况视为</w:t>
      </w:r>
      <w:r>
        <w:rPr>
          <w:rFonts w:hint="eastAsia" w:ascii="宋体" w:hAnsi="宋体"/>
          <w:sz w:val="24"/>
          <w:highlight w:val="none"/>
        </w:rPr>
        <w:t>送达</w:t>
      </w:r>
      <w:r>
        <w:rPr>
          <w:rFonts w:ascii="宋体" w:hAnsi="宋体"/>
          <w:sz w:val="24"/>
          <w:highlight w:val="none"/>
        </w:rPr>
        <w:t>：</w:t>
      </w:r>
    </w:p>
    <w:p>
      <w:pPr>
        <w:widowControl/>
        <w:numPr>
          <w:ilvl w:val="1"/>
          <w:numId w:val="41"/>
        </w:numPr>
        <w:adjustRightInd w:val="0"/>
        <w:snapToGrid w:val="0"/>
        <w:spacing w:before="93" w:beforeLines="30" w:after="93" w:afterLines="30" w:line="360" w:lineRule="auto"/>
        <w:ind w:left="1276" w:hanging="567"/>
        <w:jc w:val="left"/>
        <w:rPr>
          <w:rFonts w:ascii="宋体" w:hAnsi="宋体"/>
          <w:sz w:val="24"/>
          <w:highlight w:val="none"/>
        </w:rPr>
      </w:pPr>
      <w:r>
        <w:rPr>
          <w:rFonts w:ascii="宋体" w:hAnsi="宋体"/>
          <w:sz w:val="24"/>
          <w:highlight w:val="none"/>
        </w:rPr>
        <w:t>如采</w:t>
      </w:r>
      <w:r>
        <w:rPr>
          <w:rFonts w:hint="eastAsia" w:ascii="宋体" w:hAnsi="宋体"/>
          <w:sz w:val="24"/>
          <w:highlight w:val="none"/>
        </w:rPr>
        <w:t>用</w:t>
      </w:r>
      <w:r>
        <w:rPr>
          <w:rFonts w:ascii="宋体" w:hAnsi="宋体"/>
          <w:sz w:val="24"/>
          <w:highlight w:val="none"/>
        </w:rPr>
        <w:t>亲自递送方式，于</w:t>
      </w:r>
      <w:r>
        <w:rPr>
          <w:rFonts w:hint="eastAsia" w:ascii="宋体" w:hAnsi="宋体"/>
          <w:sz w:val="24"/>
          <w:highlight w:val="none"/>
        </w:rPr>
        <w:t>签收确认</w:t>
      </w:r>
      <w:r>
        <w:rPr>
          <w:rFonts w:ascii="宋体" w:hAnsi="宋体"/>
          <w:sz w:val="24"/>
          <w:highlight w:val="none"/>
        </w:rPr>
        <w:t>之时；</w:t>
      </w:r>
    </w:p>
    <w:p>
      <w:pPr>
        <w:widowControl/>
        <w:numPr>
          <w:ilvl w:val="1"/>
          <w:numId w:val="41"/>
        </w:numPr>
        <w:adjustRightInd w:val="0"/>
        <w:snapToGrid w:val="0"/>
        <w:spacing w:before="93" w:beforeLines="30" w:after="93" w:afterLines="30" w:line="360" w:lineRule="auto"/>
        <w:ind w:left="1276" w:hanging="567"/>
        <w:jc w:val="left"/>
        <w:rPr>
          <w:rFonts w:ascii="宋体" w:hAnsi="宋体"/>
          <w:sz w:val="24"/>
          <w:highlight w:val="none"/>
        </w:rPr>
      </w:pPr>
      <w:r>
        <w:rPr>
          <w:rFonts w:ascii="宋体" w:hAnsi="宋体"/>
          <w:sz w:val="24"/>
          <w:highlight w:val="none"/>
        </w:rPr>
        <w:t>如采</w:t>
      </w:r>
      <w:r>
        <w:rPr>
          <w:rFonts w:hint="eastAsia" w:ascii="宋体" w:hAnsi="宋体"/>
          <w:sz w:val="24"/>
          <w:highlight w:val="none"/>
        </w:rPr>
        <w:t>用特快专递</w:t>
      </w:r>
      <w:r>
        <w:rPr>
          <w:rFonts w:ascii="宋体" w:hAnsi="宋体"/>
          <w:sz w:val="24"/>
          <w:highlight w:val="none"/>
        </w:rPr>
        <w:t>方式，于</w:t>
      </w:r>
      <w:r>
        <w:rPr>
          <w:rFonts w:hint="eastAsia" w:ascii="宋体" w:hAnsi="宋体"/>
          <w:sz w:val="24"/>
          <w:highlight w:val="none"/>
        </w:rPr>
        <w:t>收件人签收</w:t>
      </w:r>
      <w:r>
        <w:rPr>
          <w:rFonts w:ascii="宋体" w:hAnsi="宋体"/>
          <w:sz w:val="24"/>
          <w:highlight w:val="none"/>
        </w:rPr>
        <w:t>之时</w:t>
      </w:r>
      <w:r>
        <w:rPr>
          <w:rFonts w:hint="eastAsia" w:ascii="宋体" w:hAnsi="宋体"/>
          <w:sz w:val="24"/>
          <w:highlight w:val="none"/>
        </w:rPr>
        <w:t>；</w:t>
      </w:r>
    </w:p>
    <w:p>
      <w:pPr>
        <w:widowControl/>
        <w:numPr>
          <w:ilvl w:val="1"/>
          <w:numId w:val="41"/>
        </w:numPr>
        <w:adjustRightInd w:val="0"/>
        <w:snapToGrid w:val="0"/>
        <w:spacing w:before="93" w:beforeLines="30" w:after="93" w:afterLines="30" w:line="360" w:lineRule="auto"/>
        <w:ind w:left="1276" w:hanging="567"/>
        <w:jc w:val="left"/>
        <w:rPr>
          <w:rFonts w:ascii="宋体" w:hAnsi="宋体"/>
          <w:sz w:val="24"/>
          <w:highlight w:val="none"/>
        </w:rPr>
      </w:pPr>
      <w:r>
        <w:rPr>
          <w:rFonts w:ascii="宋体" w:hAnsi="宋体"/>
          <w:sz w:val="24"/>
          <w:highlight w:val="none"/>
        </w:rPr>
        <w:t>如采</w:t>
      </w:r>
      <w:r>
        <w:rPr>
          <w:rFonts w:hint="eastAsia" w:ascii="宋体" w:hAnsi="宋体"/>
          <w:sz w:val="24"/>
          <w:highlight w:val="none"/>
        </w:rPr>
        <w:t>用</w:t>
      </w:r>
      <w:r>
        <w:rPr>
          <w:rFonts w:ascii="宋体" w:hAnsi="宋体"/>
          <w:sz w:val="24"/>
          <w:highlight w:val="none"/>
        </w:rPr>
        <w:t>传真方式，于确认传输之时</w:t>
      </w:r>
      <w:r>
        <w:rPr>
          <w:rFonts w:hint="eastAsia" w:ascii="宋体" w:hAnsi="宋体"/>
          <w:sz w:val="24"/>
          <w:highlight w:val="none"/>
        </w:rPr>
        <w:t>。</w:t>
      </w:r>
    </w:p>
    <w:p>
      <w:pPr>
        <w:widowControl/>
        <w:numPr>
          <w:ilvl w:val="0"/>
          <w:numId w:val="40"/>
        </w:numPr>
        <w:tabs>
          <w:tab w:val="left" w:pos="709"/>
        </w:tabs>
        <w:autoSpaceDE w:val="0"/>
        <w:autoSpaceDN w:val="0"/>
        <w:adjustRightInd w:val="0"/>
        <w:snapToGrid w:val="0"/>
        <w:spacing w:before="93" w:beforeLines="30" w:after="93" w:afterLines="30" w:line="360" w:lineRule="auto"/>
        <w:ind w:left="709" w:hanging="709"/>
        <w:jc w:val="left"/>
        <w:textAlignment w:val="bottom"/>
        <w:rPr>
          <w:rFonts w:ascii="宋体" w:hAnsi="宋体"/>
          <w:sz w:val="24"/>
          <w:highlight w:val="none"/>
        </w:rPr>
      </w:pPr>
      <w:r>
        <w:rPr>
          <w:rFonts w:ascii="宋体" w:hAnsi="宋体"/>
          <w:sz w:val="24"/>
          <w:highlight w:val="none"/>
        </w:rPr>
        <w:t>除非一方另行</w:t>
      </w:r>
      <w:r>
        <w:rPr>
          <w:rFonts w:hint="eastAsia" w:ascii="宋体" w:hAnsi="宋体"/>
          <w:sz w:val="24"/>
          <w:highlight w:val="none"/>
        </w:rPr>
        <w:t>明确</w:t>
      </w:r>
      <w:r>
        <w:rPr>
          <w:rFonts w:ascii="宋体" w:hAnsi="宋体"/>
          <w:sz w:val="24"/>
          <w:highlight w:val="none"/>
        </w:rPr>
        <w:t>要求，双方可通过互联网电子邮件进行通讯联系或传送文件。因不能合理控制的原因导致任何互联网电子邮件遗失、延误、被截取、破坏或修改的，</w:t>
      </w:r>
      <w:r>
        <w:rPr>
          <w:rFonts w:hint="eastAsia" w:ascii="宋体" w:hAnsi="宋体"/>
          <w:sz w:val="24"/>
          <w:highlight w:val="none"/>
        </w:rPr>
        <w:t>通知发出方不承担</w:t>
      </w:r>
      <w:r>
        <w:rPr>
          <w:rFonts w:ascii="宋体" w:hAnsi="宋体"/>
          <w:sz w:val="24"/>
          <w:highlight w:val="none"/>
        </w:rPr>
        <w:t>因此造成的任何损失、损害、费用、伤害或不便。</w:t>
      </w:r>
    </w:p>
    <w:p>
      <w:pPr>
        <w:numPr>
          <w:ilvl w:val="0"/>
          <w:numId w:val="40"/>
        </w:numPr>
        <w:adjustRightInd w:val="0"/>
        <w:snapToGrid w:val="0"/>
        <w:spacing w:line="360" w:lineRule="auto"/>
        <w:ind w:left="709" w:hanging="709"/>
        <w:textAlignment w:val="baseline"/>
        <w:rPr>
          <w:bCs/>
          <w:kern w:val="0"/>
          <w:sz w:val="24"/>
          <w:highlight w:val="none"/>
        </w:rPr>
      </w:pPr>
      <w:r>
        <w:rPr>
          <w:rFonts w:hint="eastAsia"/>
          <w:bCs/>
          <w:kern w:val="0"/>
          <w:sz w:val="24"/>
          <w:highlight w:val="none"/>
        </w:rPr>
        <w:t>本合同送达地址适用范围包括就本合同发生争议时相关文件和法律文书的 送达（包括争议进入仲裁、民事诉讼程序后的一审、二审、再审和执行程序）。</w:t>
      </w:r>
    </w:p>
    <w:p>
      <w:pPr>
        <w:pStyle w:val="43"/>
        <w:tabs>
          <w:tab w:val="left" w:pos="1276"/>
          <w:tab w:val="clear" w:pos="720"/>
        </w:tabs>
        <w:adjustRightInd w:val="0"/>
        <w:snapToGrid w:val="0"/>
        <w:spacing w:before="93" w:beforeLines="30" w:after="93" w:afterLines="30" w:line="360" w:lineRule="auto"/>
        <w:jc w:val="left"/>
        <w:rPr>
          <w:rFonts w:ascii="宋体" w:hAnsi="宋体"/>
          <w:kern w:val="0"/>
          <w:szCs w:val="24"/>
          <w:highlight w:val="none"/>
        </w:rPr>
      </w:pPr>
      <w:bookmarkStart w:id="135" w:name="_Toc364839382"/>
      <w:bookmarkStart w:id="136" w:name="_Toc299915700"/>
      <w:r>
        <w:rPr>
          <w:rFonts w:hint="eastAsia" w:ascii="宋体" w:hAnsi="宋体"/>
          <w:kern w:val="0"/>
          <w:szCs w:val="24"/>
          <w:highlight w:val="none"/>
        </w:rPr>
        <w:t>法律适用和争议解决</w:t>
      </w:r>
      <w:bookmarkEnd w:id="135"/>
      <w:bookmarkEnd w:id="136"/>
    </w:p>
    <w:p>
      <w:pPr>
        <w:widowControl/>
        <w:numPr>
          <w:ilvl w:val="0"/>
          <w:numId w:val="42"/>
        </w:numPr>
        <w:tabs>
          <w:tab w:val="left" w:pos="709"/>
        </w:tabs>
        <w:autoSpaceDE w:val="0"/>
        <w:autoSpaceDN w:val="0"/>
        <w:adjustRightInd w:val="0"/>
        <w:snapToGrid w:val="0"/>
        <w:spacing w:before="93" w:beforeLines="30" w:after="93" w:afterLines="30" w:line="360" w:lineRule="auto"/>
        <w:ind w:left="709" w:hanging="709"/>
        <w:jc w:val="left"/>
        <w:textAlignment w:val="bottom"/>
        <w:rPr>
          <w:rFonts w:ascii="宋体" w:hAnsi="宋体"/>
          <w:sz w:val="24"/>
          <w:highlight w:val="none"/>
        </w:rPr>
      </w:pPr>
      <w:r>
        <w:rPr>
          <w:rFonts w:hint="eastAsia" w:ascii="宋体" w:hAnsi="宋体"/>
          <w:sz w:val="24"/>
          <w:highlight w:val="none"/>
        </w:rPr>
        <w:t>本合同适用中华人民共和国（不含香港特别行政区、澳门特别行政区和台湾地区）法律。</w:t>
      </w:r>
    </w:p>
    <w:p>
      <w:pPr>
        <w:widowControl/>
        <w:numPr>
          <w:ilvl w:val="0"/>
          <w:numId w:val="42"/>
        </w:numPr>
        <w:tabs>
          <w:tab w:val="left" w:pos="709"/>
        </w:tabs>
        <w:autoSpaceDE w:val="0"/>
        <w:autoSpaceDN w:val="0"/>
        <w:adjustRightInd w:val="0"/>
        <w:snapToGrid w:val="0"/>
        <w:spacing w:before="93" w:beforeLines="30" w:after="93" w:afterLines="30" w:line="360" w:lineRule="auto"/>
        <w:ind w:left="709" w:hanging="709"/>
        <w:jc w:val="left"/>
        <w:textAlignment w:val="bottom"/>
        <w:rPr>
          <w:rFonts w:ascii="宋体" w:hAnsi="宋体"/>
          <w:sz w:val="24"/>
          <w:highlight w:val="none"/>
        </w:rPr>
      </w:pPr>
      <w:r>
        <w:rPr>
          <w:rFonts w:ascii="宋体" w:hAnsi="宋体"/>
          <w:sz w:val="24"/>
          <w:highlight w:val="none"/>
        </w:rPr>
        <w:t>因履行</w:t>
      </w:r>
      <w:r>
        <w:rPr>
          <w:rFonts w:hint="eastAsia" w:ascii="宋体" w:hAnsi="宋体"/>
          <w:sz w:val="24"/>
          <w:highlight w:val="none"/>
        </w:rPr>
        <w:t>本</w:t>
      </w:r>
      <w:r>
        <w:rPr>
          <w:rFonts w:ascii="宋体" w:hAnsi="宋体"/>
          <w:sz w:val="24"/>
          <w:highlight w:val="none"/>
        </w:rPr>
        <w:t>合同发生的或与本合同有关的一切争议，双方</w:t>
      </w:r>
      <w:r>
        <w:rPr>
          <w:rFonts w:hint="eastAsia" w:ascii="宋体" w:hAnsi="宋体"/>
          <w:sz w:val="24"/>
          <w:highlight w:val="none"/>
        </w:rPr>
        <w:t>首先应</w:t>
      </w:r>
      <w:r>
        <w:rPr>
          <w:rFonts w:ascii="宋体" w:hAnsi="宋体"/>
          <w:sz w:val="24"/>
          <w:highlight w:val="none"/>
        </w:rPr>
        <w:t>友好协商解决，</w:t>
      </w:r>
      <w:r>
        <w:rPr>
          <w:rFonts w:hint="eastAsia" w:ascii="宋体" w:hAnsi="宋体"/>
          <w:sz w:val="24"/>
          <w:highlight w:val="none"/>
        </w:rPr>
        <w:t>如</w:t>
      </w:r>
      <w:r>
        <w:rPr>
          <w:rFonts w:ascii="宋体" w:hAnsi="宋体"/>
          <w:sz w:val="24"/>
          <w:highlight w:val="none"/>
        </w:rPr>
        <w:t>经协商</w:t>
      </w:r>
      <w:r>
        <w:rPr>
          <w:rFonts w:hint="eastAsia" w:ascii="宋体" w:hAnsi="宋体"/>
          <w:sz w:val="24"/>
          <w:highlight w:val="none"/>
        </w:rPr>
        <w:t>【</w:t>
      </w:r>
      <w:r>
        <w:rPr>
          <w:rFonts w:hint="eastAsia" w:ascii="宋体" w:hAnsi="宋体"/>
          <w:i/>
          <w:sz w:val="24"/>
          <w:highlight w:val="none"/>
        </w:rPr>
        <w:t>填入天数，如六十（60）</w:t>
      </w:r>
      <w:r>
        <w:rPr>
          <w:rFonts w:hint="eastAsia" w:ascii="宋体" w:hAnsi="宋体"/>
          <w:sz w:val="24"/>
          <w:highlight w:val="none"/>
        </w:rPr>
        <w:t>】日内</w:t>
      </w:r>
      <w:r>
        <w:rPr>
          <w:rFonts w:ascii="宋体" w:hAnsi="宋体"/>
          <w:sz w:val="24"/>
          <w:highlight w:val="none"/>
        </w:rPr>
        <w:t>仍不能解决</w:t>
      </w:r>
      <w:r>
        <w:rPr>
          <w:rFonts w:hint="eastAsia" w:ascii="宋体" w:hAnsi="宋体"/>
          <w:sz w:val="24"/>
          <w:highlight w:val="none"/>
        </w:rPr>
        <w:t>，</w:t>
      </w:r>
      <w:r>
        <w:rPr>
          <w:rFonts w:ascii="宋体" w:hAnsi="宋体"/>
          <w:sz w:val="24"/>
          <w:highlight w:val="none"/>
        </w:rPr>
        <w:t>双方同意：</w:t>
      </w:r>
    </w:p>
    <w:p>
      <w:pPr>
        <w:adjustRightInd w:val="0"/>
        <w:snapToGrid w:val="0"/>
        <w:spacing w:before="93" w:beforeLines="30" w:after="93" w:afterLines="30" w:line="360" w:lineRule="auto"/>
        <w:ind w:left="709"/>
        <w:rPr>
          <w:rFonts w:ascii="宋体" w:hAnsi="宋体"/>
          <w:sz w:val="24"/>
          <w:highlight w:val="none"/>
        </w:rPr>
      </w:pPr>
      <w:r>
        <w:rPr>
          <w:rFonts w:hint="eastAsia" w:ascii="宋体" w:hAnsi="宋体"/>
          <w:bCs/>
          <w:i/>
          <w:kern w:val="0"/>
          <w:sz w:val="24"/>
          <w:highlight w:val="none"/>
          <w:u w:val="single"/>
        </w:rPr>
        <w:t>请根据实际情况从下列选项中选择其中一项，并将不适用的删除</w:t>
      </w:r>
    </w:p>
    <w:p>
      <w:pPr>
        <w:adjustRightInd w:val="0"/>
        <w:snapToGrid w:val="0"/>
        <w:spacing w:before="93" w:beforeLines="30" w:after="93" w:afterLines="30" w:line="360" w:lineRule="auto"/>
        <w:ind w:left="708" w:leftChars="337"/>
        <w:rPr>
          <w:rFonts w:ascii="宋体" w:hAnsi="宋体"/>
          <w:i/>
          <w:sz w:val="24"/>
          <w:highlight w:val="none"/>
          <w:u w:val="single"/>
        </w:rPr>
      </w:pPr>
      <w:r>
        <w:rPr>
          <w:rFonts w:hint="eastAsia" w:ascii="宋体" w:hAnsi="宋体"/>
          <w:i/>
          <w:sz w:val="24"/>
          <w:highlight w:val="none"/>
          <w:u w:val="single"/>
        </w:rPr>
        <w:t>选项一：诉讼</w:t>
      </w:r>
    </w:p>
    <w:p>
      <w:pPr>
        <w:adjustRightInd w:val="0"/>
        <w:snapToGrid w:val="0"/>
        <w:spacing w:before="93" w:beforeLines="30" w:after="93" w:afterLines="30" w:line="360" w:lineRule="auto"/>
        <w:ind w:left="708" w:leftChars="337"/>
        <w:rPr>
          <w:rFonts w:ascii="宋体" w:hAnsi="宋体"/>
          <w:sz w:val="24"/>
          <w:highlight w:val="none"/>
        </w:rPr>
      </w:pPr>
      <w:r>
        <w:rPr>
          <w:rFonts w:ascii="宋体" w:hAnsi="宋体"/>
          <w:sz w:val="24"/>
          <w:highlight w:val="none"/>
        </w:rPr>
        <w:t>向甲方所在地人民法院起诉。</w:t>
      </w:r>
    </w:p>
    <w:p>
      <w:pPr>
        <w:adjustRightInd w:val="0"/>
        <w:snapToGrid w:val="0"/>
        <w:spacing w:before="93" w:beforeLines="30" w:after="93" w:afterLines="30" w:line="360" w:lineRule="auto"/>
        <w:ind w:left="708" w:leftChars="337"/>
        <w:rPr>
          <w:rFonts w:ascii="宋体" w:hAnsi="宋体"/>
          <w:i/>
          <w:sz w:val="24"/>
          <w:highlight w:val="none"/>
          <w:u w:val="single"/>
        </w:rPr>
      </w:pPr>
      <w:r>
        <w:rPr>
          <w:rFonts w:hint="eastAsia" w:ascii="宋体" w:hAnsi="宋体"/>
          <w:i/>
          <w:sz w:val="24"/>
          <w:highlight w:val="none"/>
          <w:u w:val="single"/>
        </w:rPr>
        <w:t>选项二：仲裁</w:t>
      </w:r>
    </w:p>
    <w:p>
      <w:pPr>
        <w:adjustRightInd w:val="0"/>
        <w:snapToGrid w:val="0"/>
        <w:spacing w:before="93" w:beforeLines="30" w:after="93" w:afterLines="30" w:line="360" w:lineRule="auto"/>
        <w:ind w:left="708" w:leftChars="337"/>
        <w:rPr>
          <w:rFonts w:ascii="宋体" w:hAnsi="宋体"/>
          <w:sz w:val="24"/>
          <w:highlight w:val="none"/>
        </w:rPr>
      </w:pPr>
      <w:r>
        <w:rPr>
          <w:rFonts w:ascii="宋体" w:hAnsi="宋体"/>
          <w:sz w:val="24"/>
          <w:highlight w:val="none"/>
        </w:rPr>
        <w:t>提交</w:t>
      </w:r>
      <w:r>
        <w:rPr>
          <w:rFonts w:hint="eastAsia" w:ascii="宋体" w:hAnsi="宋体"/>
          <w:sz w:val="24"/>
          <w:highlight w:val="none"/>
        </w:rPr>
        <w:t>【□中国国际经济贸易仲裁委员会；□北京仲裁委员会；□天津仲裁委员会】</w:t>
      </w:r>
      <w:r>
        <w:rPr>
          <w:rFonts w:ascii="宋体" w:hAnsi="宋体"/>
          <w:sz w:val="24"/>
          <w:highlight w:val="none"/>
        </w:rPr>
        <w:t>进行仲裁。</w:t>
      </w:r>
      <w:r>
        <w:rPr>
          <w:rFonts w:ascii="宋体" w:hAnsi="宋体"/>
          <w:bCs/>
          <w:sz w:val="24"/>
          <w:highlight w:val="none"/>
        </w:rPr>
        <w:t>仲裁</w:t>
      </w:r>
      <w:r>
        <w:rPr>
          <w:rFonts w:hint="eastAsia" w:ascii="宋体" w:hAnsi="宋体"/>
          <w:bCs/>
          <w:sz w:val="24"/>
          <w:highlight w:val="none"/>
        </w:rPr>
        <w:t>应根据申请仲裁时</w:t>
      </w:r>
      <w:r>
        <w:rPr>
          <w:rFonts w:ascii="宋体" w:hAnsi="宋体"/>
          <w:bCs/>
          <w:sz w:val="24"/>
          <w:highlight w:val="none"/>
        </w:rPr>
        <w:t>该仲裁委员会现行有效的仲裁规则进行。</w:t>
      </w:r>
      <w:r>
        <w:rPr>
          <w:rFonts w:hint="eastAsia" w:ascii="宋体" w:hAnsi="宋体"/>
          <w:bCs/>
          <w:sz w:val="24"/>
          <w:highlight w:val="none"/>
        </w:rPr>
        <w:t>仲裁员人数为【</w:t>
      </w:r>
      <w:r>
        <w:rPr>
          <w:rFonts w:hint="eastAsia" w:ascii="宋体" w:hAnsi="宋体"/>
          <w:bCs/>
          <w:i/>
          <w:sz w:val="24"/>
          <w:highlight w:val="none"/>
        </w:rPr>
        <w:t>请根据选择的仲裁机构现行有效的规定填写，简单合同可选择独任仲裁员</w:t>
      </w:r>
      <w:r>
        <w:rPr>
          <w:rFonts w:hint="eastAsia" w:ascii="宋体" w:hAnsi="宋体"/>
          <w:bCs/>
          <w:sz w:val="24"/>
          <w:highlight w:val="none"/>
        </w:rPr>
        <w:t>】名。庭审地为【</w:t>
      </w:r>
      <w:r>
        <w:rPr>
          <w:rFonts w:hint="eastAsia" w:ascii="宋体" w:hAnsi="宋体"/>
          <w:bCs/>
          <w:i/>
          <w:sz w:val="24"/>
          <w:highlight w:val="none"/>
        </w:rPr>
        <w:t>根据委托方所在地，从委托方便利的角度填入庭审地</w:t>
      </w:r>
      <w:r>
        <w:rPr>
          <w:rFonts w:hint="eastAsia" w:ascii="宋体" w:hAnsi="宋体"/>
          <w:bCs/>
          <w:sz w:val="24"/>
          <w:highlight w:val="none"/>
        </w:rPr>
        <w:t>】</w:t>
      </w:r>
      <w:r>
        <w:rPr>
          <w:rFonts w:ascii="宋体" w:hAnsi="宋体"/>
          <w:bCs/>
          <w:sz w:val="24"/>
          <w:highlight w:val="none"/>
        </w:rPr>
        <w:t>。</w:t>
      </w:r>
      <w:r>
        <w:rPr>
          <w:rFonts w:hint="eastAsia" w:ascii="宋体" w:hAnsi="宋体"/>
          <w:bCs/>
          <w:sz w:val="24"/>
          <w:highlight w:val="none"/>
        </w:rPr>
        <w:t>仲裁裁决是终局的，对双方均有约束力。</w:t>
      </w:r>
    </w:p>
    <w:p>
      <w:pPr>
        <w:widowControl/>
        <w:numPr>
          <w:ilvl w:val="0"/>
          <w:numId w:val="42"/>
        </w:numPr>
        <w:tabs>
          <w:tab w:val="left" w:pos="709"/>
        </w:tabs>
        <w:autoSpaceDE w:val="0"/>
        <w:autoSpaceDN w:val="0"/>
        <w:adjustRightInd w:val="0"/>
        <w:snapToGrid w:val="0"/>
        <w:spacing w:before="93" w:beforeLines="30" w:after="93" w:afterLines="30" w:line="360" w:lineRule="auto"/>
        <w:ind w:left="709" w:hanging="709"/>
        <w:jc w:val="left"/>
        <w:textAlignment w:val="bottom"/>
        <w:rPr>
          <w:rFonts w:ascii="宋体" w:hAnsi="宋体"/>
          <w:b/>
          <w:sz w:val="24"/>
          <w:highlight w:val="none"/>
        </w:rPr>
      </w:pPr>
      <w:r>
        <w:rPr>
          <w:rFonts w:hint="eastAsia" w:ascii="宋体" w:hAnsi="宋体"/>
          <w:sz w:val="24"/>
          <w:highlight w:val="none"/>
        </w:rPr>
        <w:t>争议解决期间</w:t>
      </w:r>
      <w:r>
        <w:rPr>
          <w:rFonts w:ascii="宋体" w:hAnsi="宋体"/>
          <w:sz w:val="24"/>
          <w:highlight w:val="none"/>
        </w:rPr>
        <w:t>，除争议事项外，双方应继续履行本合同。</w:t>
      </w:r>
    </w:p>
    <w:p>
      <w:pPr>
        <w:pStyle w:val="43"/>
        <w:tabs>
          <w:tab w:val="clear" w:pos="720"/>
        </w:tabs>
        <w:adjustRightInd w:val="0"/>
        <w:snapToGrid w:val="0"/>
        <w:spacing w:before="93" w:beforeLines="30" w:after="93" w:afterLines="30" w:line="360" w:lineRule="auto"/>
        <w:jc w:val="left"/>
        <w:rPr>
          <w:rFonts w:ascii="宋体" w:hAnsi="宋体"/>
          <w:szCs w:val="24"/>
          <w:highlight w:val="none"/>
        </w:rPr>
      </w:pPr>
      <w:bookmarkStart w:id="137" w:name="_Toc364839383"/>
      <w:r>
        <w:rPr>
          <w:rFonts w:ascii="宋体" w:hAnsi="宋体"/>
          <w:szCs w:val="24"/>
          <w:highlight w:val="none"/>
        </w:rPr>
        <w:t>其它</w:t>
      </w:r>
      <w:bookmarkEnd w:id="137"/>
    </w:p>
    <w:p>
      <w:pPr>
        <w:numPr>
          <w:ilvl w:val="1"/>
          <w:numId w:val="43"/>
        </w:numPr>
        <w:tabs>
          <w:tab w:val="left" w:pos="709"/>
          <w:tab w:val="clear" w:pos="0"/>
        </w:tabs>
        <w:adjustRightInd w:val="0"/>
        <w:snapToGrid w:val="0"/>
        <w:spacing w:before="93" w:beforeLines="30" w:after="93" w:afterLines="30" w:line="360" w:lineRule="auto"/>
        <w:ind w:left="709" w:hanging="709"/>
        <w:rPr>
          <w:rFonts w:ascii="宋体" w:hAnsi="宋体"/>
          <w:sz w:val="24"/>
          <w:highlight w:val="none"/>
        </w:rPr>
      </w:pPr>
      <w:r>
        <w:rPr>
          <w:rFonts w:hint="eastAsia"/>
          <w:sz w:val="24"/>
          <w:highlight w:val="none"/>
        </w:rPr>
        <w:t>在本合同签订时如乙方属于《保障中小企业款项支付条例》（“条例”）规定的中小企业，本合同所约定的付款期限、方式、条件和违约责任等交易条件应遵守该条例的规定。如本合同约定的任何交易条件违反该条例，甲方应按照符合该条例规定的交易条件履行合同，并应按照条例的规定与乙方协商变更本合同的该等交易条件，以保障乙方享有条例规定的合法权益。</w:t>
      </w:r>
    </w:p>
    <w:p>
      <w:pPr>
        <w:numPr>
          <w:ilvl w:val="1"/>
          <w:numId w:val="43"/>
        </w:numPr>
        <w:tabs>
          <w:tab w:val="left" w:pos="709"/>
          <w:tab w:val="clear" w:pos="0"/>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本合同自甲乙双方</w:t>
      </w:r>
      <w:r>
        <w:rPr>
          <w:rFonts w:hint="eastAsia" w:ascii="宋体" w:hAnsi="宋体"/>
          <w:sz w:val="24"/>
          <w:highlight w:val="none"/>
        </w:rPr>
        <w:t>法定代表人或授权代表</w:t>
      </w:r>
      <w:r>
        <w:rPr>
          <w:rFonts w:ascii="宋体" w:hAnsi="宋体"/>
          <w:sz w:val="24"/>
          <w:highlight w:val="none"/>
        </w:rPr>
        <w:t>签</w:t>
      </w:r>
      <w:r>
        <w:rPr>
          <w:rFonts w:hint="eastAsia" w:ascii="宋体" w:hAnsi="宋体"/>
          <w:sz w:val="24"/>
          <w:highlight w:val="none"/>
        </w:rPr>
        <w:t>字并盖章</w:t>
      </w:r>
      <w:r>
        <w:rPr>
          <w:rFonts w:ascii="宋体" w:hAnsi="宋体"/>
          <w:sz w:val="24"/>
          <w:highlight w:val="none"/>
        </w:rPr>
        <w:t>之日起生效</w:t>
      </w:r>
      <w:r>
        <w:rPr>
          <w:rFonts w:hint="eastAsia" w:ascii="宋体" w:hAnsi="宋体"/>
          <w:sz w:val="24"/>
          <w:highlight w:val="none"/>
        </w:rPr>
        <w:t>，</w:t>
      </w:r>
      <w:bookmarkStart w:id="138" w:name="OLE_LINK12"/>
      <w:bookmarkStart w:id="139" w:name="OLE_LINK11"/>
      <w:r>
        <w:rPr>
          <w:rFonts w:hint="eastAsia" w:ascii="宋体" w:hAnsi="宋体"/>
          <w:sz w:val="24"/>
          <w:highlight w:val="none"/>
        </w:rPr>
        <w:t>自双方履行完本合同项下全部权利和义务后终止</w:t>
      </w:r>
      <w:bookmarkEnd w:id="138"/>
      <w:bookmarkEnd w:id="139"/>
      <w:r>
        <w:rPr>
          <w:rFonts w:ascii="宋体" w:hAnsi="宋体"/>
          <w:sz w:val="24"/>
          <w:highlight w:val="none"/>
        </w:rPr>
        <w:t>。</w:t>
      </w:r>
    </w:p>
    <w:p>
      <w:pPr>
        <w:numPr>
          <w:ilvl w:val="1"/>
          <w:numId w:val="43"/>
        </w:numPr>
        <w:tabs>
          <w:tab w:val="left" w:pos="709"/>
          <w:tab w:val="clear" w:pos="0"/>
        </w:tabs>
        <w:adjustRightInd w:val="0"/>
        <w:snapToGrid w:val="0"/>
        <w:spacing w:before="93" w:beforeLines="30" w:after="93" w:afterLines="30" w:line="360" w:lineRule="auto"/>
        <w:ind w:left="709" w:hanging="709"/>
        <w:rPr>
          <w:rFonts w:ascii="宋体" w:hAnsi="宋体"/>
          <w:sz w:val="24"/>
          <w:highlight w:val="none"/>
        </w:rPr>
      </w:pPr>
      <w:r>
        <w:rPr>
          <w:rFonts w:hint="eastAsia" w:ascii="宋体" w:hAnsi="宋体"/>
          <w:sz w:val="24"/>
          <w:highlight w:val="none"/>
        </w:rPr>
        <w:t>本合同签署以前双方就本合同约定的服务的提供和接受及</w:t>
      </w:r>
      <w:r>
        <w:rPr>
          <w:rFonts w:ascii="宋体" w:hAnsi="宋体"/>
          <w:sz w:val="24"/>
          <w:highlight w:val="none"/>
        </w:rPr>
        <w:t>相关事宜</w:t>
      </w:r>
      <w:r>
        <w:rPr>
          <w:rFonts w:hint="eastAsia" w:ascii="宋体" w:hAnsi="宋体"/>
          <w:sz w:val="24"/>
          <w:highlight w:val="none"/>
        </w:rPr>
        <w:t>达成的所有口头和</w:t>
      </w:r>
      <w:r>
        <w:rPr>
          <w:rFonts w:ascii="宋体" w:hAnsi="宋体"/>
          <w:sz w:val="24"/>
          <w:highlight w:val="none"/>
        </w:rPr>
        <w:t>/</w:t>
      </w:r>
      <w:r>
        <w:rPr>
          <w:rFonts w:hint="eastAsia" w:ascii="宋体" w:hAnsi="宋体"/>
          <w:sz w:val="24"/>
          <w:highlight w:val="none"/>
        </w:rPr>
        <w:t>或书面的声明、文件、信件及双方其它形式的通信在本合同生效后自动失效。</w:t>
      </w:r>
    </w:p>
    <w:p>
      <w:pPr>
        <w:numPr>
          <w:ilvl w:val="1"/>
          <w:numId w:val="43"/>
        </w:numPr>
        <w:tabs>
          <w:tab w:val="left" w:pos="709"/>
          <w:tab w:val="clear" w:pos="0"/>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未经另一方事先书面同意，任何一方不得以任何方式使用另一方的名称、商品商标、服务商标、企业标志、商号或品牌。</w:t>
      </w:r>
    </w:p>
    <w:p>
      <w:pPr>
        <w:numPr>
          <w:ilvl w:val="1"/>
          <w:numId w:val="43"/>
        </w:numPr>
        <w:tabs>
          <w:tab w:val="left" w:pos="709"/>
          <w:tab w:val="clear" w:pos="0"/>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如</w:t>
      </w:r>
      <w:r>
        <w:rPr>
          <w:rFonts w:hint="eastAsia" w:ascii="宋体" w:hAnsi="宋体"/>
          <w:sz w:val="24"/>
          <w:highlight w:val="none"/>
        </w:rPr>
        <w:t>果</w:t>
      </w:r>
      <w:r>
        <w:rPr>
          <w:rFonts w:ascii="宋体" w:hAnsi="宋体"/>
          <w:sz w:val="24"/>
          <w:highlight w:val="none"/>
        </w:rPr>
        <w:t>本合同</w:t>
      </w:r>
      <w:r>
        <w:rPr>
          <w:rFonts w:hint="eastAsia" w:ascii="宋体" w:hAnsi="宋体"/>
          <w:sz w:val="24"/>
          <w:highlight w:val="none"/>
        </w:rPr>
        <w:t>的</w:t>
      </w:r>
      <w:r>
        <w:rPr>
          <w:rFonts w:ascii="宋体" w:hAnsi="宋体"/>
          <w:sz w:val="24"/>
          <w:highlight w:val="none"/>
        </w:rPr>
        <w:t>任何条款</w:t>
      </w:r>
      <w:r>
        <w:rPr>
          <w:rFonts w:hint="eastAsia" w:ascii="宋体" w:hAnsi="宋体"/>
          <w:sz w:val="24"/>
          <w:highlight w:val="none"/>
        </w:rPr>
        <w:t>或规定</w:t>
      </w:r>
      <w:r>
        <w:rPr>
          <w:rFonts w:ascii="宋体" w:hAnsi="宋体"/>
          <w:sz w:val="24"/>
          <w:highlight w:val="none"/>
        </w:rPr>
        <w:t>被裁定</w:t>
      </w:r>
      <w:r>
        <w:rPr>
          <w:rFonts w:hint="eastAsia" w:ascii="宋体" w:hAnsi="宋体"/>
          <w:sz w:val="24"/>
          <w:highlight w:val="none"/>
        </w:rPr>
        <w:t>为</w:t>
      </w:r>
      <w:r>
        <w:rPr>
          <w:rFonts w:ascii="宋体" w:hAnsi="宋体"/>
          <w:sz w:val="24"/>
          <w:highlight w:val="none"/>
        </w:rPr>
        <w:t>无效、不合法或不可</w:t>
      </w:r>
      <w:r>
        <w:rPr>
          <w:rFonts w:hint="eastAsia" w:ascii="宋体" w:hAnsi="宋体"/>
          <w:sz w:val="24"/>
          <w:highlight w:val="none"/>
        </w:rPr>
        <w:t>强制</w:t>
      </w:r>
      <w:r>
        <w:rPr>
          <w:rFonts w:ascii="宋体" w:hAnsi="宋体"/>
          <w:sz w:val="24"/>
          <w:highlight w:val="none"/>
        </w:rPr>
        <w:t>执行，</w:t>
      </w:r>
      <w:r>
        <w:rPr>
          <w:rFonts w:hint="eastAsia" w:ascii="宋体" w:hAnsi="宋体"/>
          <w:sz w:val="24"/>
          <w:highlight w:val="none"/>
        </w:rPr>
        <w:t>该条款或规定应视为被删除，本合同</w:t>
      </w:r>
      <w:r>
        <w:rPr>
          <w:rFonts w:ascii="宋体" w:hAnsi="宋体"/>
          <w:sz w:val="24"/>
          <w:highlight w:val="none"/>
        </w:rPr>
        <w:t>其它条款</w:t>
      </w:r>
      <w:r>
        <w:rPr>
          <w:rFonts w:hint="eastAsia" w:ascii="宋体" w:hAnsi="宋体"/>
          <w:sz w:val="24"/>
          <w:highlight w:val="none"/>
        </w:rPr>
        <w:t>不受影响，</w:t>
      </w:r>
      <w:r>
        <w:rPr>
          <w:rFonts w:ascii="宋体" w:hAnsi="宋体"/>
          <w:sz w:val="24"/>
          <w:highlight w:val="none"/>
        </w:rPr>
        <w:t>仍</w:t>
      </w:r>
      <w:r>
        <w:rPr>
          <w:rFonts w:hint="eastAsia" w:ascii="宋体" w:hAnsi="宋体"/>
          <w:sz w:val="24"/>
          <w:highlight w:val="none"/>
        </w:rPr>
        <w:t>继续</w:t>
      </w:r>
      <w:r>
        <w:rPr>
          <w:rFonts w:ascii="宋体" w:hAnsi="宋体"/>
          <w:sz w:val="24"/>
          <w:highlight w:val="none"/>
        </w:rPr>
        <w:t>有效。</w:t>
      </w:r>
    </w:p>
    <w:p>
      <w:pPr>
        <w:numPr>
          <w:ilvl w:val="1"/>
          <w:numId w:val="43"/>
        </w:numPr>
        <w:tabs>
          <w:tab w:val="left" w:pos="709"/>
          <w:tab w:val="clear" w:pos="0"/>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本合同履行过程中，</w:t>
      </w:r>
      <w:r>
        <w:rPr>
          <w:rFonts w:hint="eastAsia" w:ascii="宋体" w:hAnsi="宋体"/>
          <w:sz w:val="24"/>
          <w:highlight w:val="none"/>
        </w:rPr>
        <w:t>如</w:t>
      </w:r>
      <w:r>
        <w:rPr>
          <w:rFonts w:ascii="宋体" w:hAnsi="宋体"/>
          <w:sz w:val="24"/>
          <w:highlight w:val="none"/>
        </w:rPr>
        <w:t>乙方</w:t>
      </w:r>
      <w:r>
        <w:rPr>
          <w:rFonts w:hint="eastAsia" w:ascii="宋体" w:hAnsi="宋体"/>
          <w:sz w:val="24"/>
          <w:highlight w:val="none"/>
        </w:rPr>
        <w:t>发生重组、</w:t>
      </w:r>
      <w:r>
        <w:rPr>
          <w:rFonts w:ascii="宋体" w:hAnsi="宋体"/>
          <w:sz w:val="24"/>
          <w:highlight w:val="none"/>
        </w:rPr>
        <w:t>合并、</w:t>
      </w:r>
      <w:r>
        <w:rPr>
          <w:rFonts w:hint="eastAsia" w:ascii="宋体" w:hAnsi="宋体"/>
          <w:sz w:val="24"/>
          <w:highlight w:val="none"/>
        </w:rPr>
        <w:t>分立、重大股权或资产转让，应及时通知甲方。经甲方事先书面同意，乙方应安排具有相应资质的主体继续履行本合同，否则乙方不得执行前述重组、合并、分立或转让。乙方应根据甲方的要求，为继续履行本合同的主体安排履约担保。</w:t>
      </w:r>
    </w:p>
    <w:p>
      <w:pPr>
        <w:numPr>
          <w:ilvl w:val="1"/>
          <w:numId w:val="43"/>
        </w:numPr>
        <w:tabs>
          <w:tab w:val="left" w:pos="709"/>
          <w:tab w:val="clear" w:pos="0"/>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本合同</w:t>
      </w:r>
      <w:r>
        <w:rPr>
          <w:rFonts w:hint="eastAsia" w:ascii="宋体" w:hAnsi="宋体"/>
          <w:sz w:val="24"/>
          <w:highlight w:val="none"/>
        </w:rPr>
        <w:t>解除或终止</w:t>
      </w:r>
      <w:r>
        <w:rPr>
          <w:rFonts w:ascii="宋体" w:hAnsi="宋体"/>
          <w:sz w:val="24"/>
          <w:highlight w:val="none"/>
        </w:rPr>
        <w:t>后</w:t>
      </w:r>
      <w:r>
        <w:rPr>
          <w:rFonts w:hint="eastAsia" w:ascii="宋体" w:hAnsi="宋体"/>
          <w:sz w:val="24"/>
          <w:highlight w:val="none"/>
        </w:rPr>
        <w:t>，本合同项下关于知识产权、保密、保障、责任、适用法律、争议解决和其它具有持续性效力的条款继续</w:t>
      </w:r>
      <w:r>
        <w:rPr>
          <w:rFonts w:ascii="宋体" w:hAnsi="宋体"/>
          <w:sz w:val="24"/>
          <w:highlight w:val="none"/>
        </w:rPr>
        <w:t>有效。</w:t>
      </w:r>
    </w:p>
    <w:p>
      <w:pPr>
        <w:numPr>
          <w:ilvl w:val="1"/>
          <w:numId w:val="43"/>
        </w:numPr>
        <w:tabs>
          <w:tab w:val="left" w:pos="709"/>
          <w:tab w:val="clear" w:pos="0"/>
        </w:tabs>
        <w:adjustRightInd w:val="0"/>
        <w:snapToGrid w:val="0"/>
        <w:spacing w:before="93" w:beforeLines="30" w:after="93" w:afterLines="30" w:line="360" w:lineRule="auto"/>
        <w:ind w:left="709" w:hanging="709"/>
        <w:rPr>
          <w:rFonts w:ascii="宋体" w:hAnsi="宋体"/>
          <w:sz w:val="24"/>
          <w:highlight w:val="none"/>
        </w:rPr>
      </w:pPr>
      <w:r>
        <w:rPr>
          <w:rFonts w:hint="eastAsia" w:ascii="宋体" w:hAnsi="宋体"/>
          <w:sz w:val="24"/>
          <w:highlight w:val="none"/>
        </w:rPr>
        <w:t>本</w:t>
      </w:r>
      <w:r>
        <w:rPr>
          <w:rFonts w:ascii="宋体" w:hAnsi="宋体"/>
          <w:sz w:val="24"/>
          <w:highlight w:val="none"/>
        </w:rPr>
        <w:t>合同未尽事宜，应由双方协商</w:t>
      </w:r>
      <w:r>
        <w:rPr>
          <w:rFonts w:hint="eastAsia" w:ascii="宋体" w:hAnsi="宋体"/>
          <w:sz w:val="24"/>
          <w:highlight w:val="none"/>
        </w:rPr>
        <w:t>确定</w:t>
      </w:r>
      <w:r>
        <w:rPr>
          <w:rFonts w:ascii="宋体" w:hAnsi="宋体"/>
          <w:sz w:val="24"/>
          <w:highlight w:val="none"/>
        </w:rPr>
        <w:t>，并签订补充协议，补充协议与本合同具有同等法律效力。</w:t>
      </w:r>
    </w:p>
    <w:p>
      <w:pPr>
        <w:numPr>
          <w:ilvl w:val="1"/>
          <w:numId w:val="43"/>
        </w:numPr>
        <w:tabs>
          <w:tab w:val="left" w:pos="709"/>
          <w:tab w:val="clear" w:pos="0"/>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本合同的任何变更、修改或增减，须经双方协商</w:t>
      </w:r>
      <w:r>
        <w:rPr>
          <w:rFonts w:hint="eastAsia" w:ascii="宋体" w:hAnsi="宋体"/>
          <w:sz w:val="24"/>
          <w:highlight w:val="none"/>
        </w:rPr>
        <w:t>一致、法定代表人或</w:t>
      </w:r>
      <w:r>
        <w:rPr>
          <w:rFonts w:ascii="宋体" w:hAnsi="宋体"/>
          <w:sz w:val="24"/>
          <w:highlight w:val="none"/>
        </w:rPr>
        <w:t>授权代表签署书面文件</w:t>
      </w:r>
      <w:r>
        <w:rPr>
          <w:rFonts w:hint="eastAsia" w:ascii="宋体" w:hAnsi="宋体"/>
          <w:sz w:val="24"/>
          <w:highlight w:val="none"/>
        </w:rPr>
        <w:t>或盖章</w:t>
      </w:r>
      <w:r>
        <w:rPr>
          <w:rFonts w:ascii="宋体" w:hAnsi="宋体"/>
          <w:sz w:val="24"/>
          <w:highlight w:val="none"/>
        </w:rPr>
        <w:t>后</w:t>
      </w:r>
      <w:r>
        <w:rPr>
          <w:rFonts w:hint="eastAsia" w:ascii="宋体" w:hAnsi="宋体"/>
          <w:sz w:val="24"/>
          <w:highlight w:val="none"/>
        </w:rPr>
        <w:t>生</w:t>
      </w:r>
      <w:r>
        <w:rPr>
          <w:rFonts w:ascii="宋体" w:hAnsi="宋体"/>
          <w:sz w:val="24"/>
          <w:highlight w:val="none"/>
        </w:rPr>
        <w:t>效。</w:t>
      </w:r>
    </w:p>
    <w:p>
      <w:pPr>
        <w:numPr>
          <w:ilvl w:val="1"/>
          <w:numId w:val="43"/>
        </w:numPr>
        <w:tabs>
          <w:tab w:val="left" w:pos="709"/>
          <w:tab w:val="clear" w:pos="0"/>
        </w:tabs>
        <w:adjustRightInd w:val="0"/>
        <w:snapToGrid w:val="0"/>
        <w:spacing w:before="93" w:beforeLines="30" w:after="93" w:afterLines="30" w:line="360" w:lineRule="auto"/>
        <w:ind w:left="709" w:hanging="709"/>
        <w:rPr>
          <w:rFonts w:ascii="宋体" w:hAnsi="宋体"/>
          <w:sz w:val="24"/>
          <w:highlight w:val="none"/>
        </w:rPr>
      </w:pPr>
      <w:r>
        <w:rPr>
          <w:rFonts w:hint="eastAsia" w:ascii="宋体" w:hAnsi="宋体"/>
          <w:sz w:val="24"/>
          <w:highlight w:val="none"/>
        </w:rPr>
        <w:t>本合同系双方协商、讨论的结果，合同内容非一方当事人单方拟定。本合同不属于格式合同，条款内容不属于格式条款。</w:t>
      </w:r>
    </w:p>
    <w:p>
      <w:pPr>
        <w:numPr>
          <w:ilvl w:val="1"/>
          <w:numId w:val="43"/>
        </w:numPr>
        <w:tabs>
          <w:tab w:val="left" w:pos="709"/>
          <w:tab w:val="clear" w:pos="0"/>
        </w:tabs>
        <w:adjustRightInd w:val="0"/>
        <w:snapToGrid w:val="0"/>
        <w:spacing w:before="93" w:beforeLines="30" w:after="93" w:afterLines="30" w:line="360" w:lineRule="auto"/>
        <w:ind w:left="709" w:hanging="709"/>
        <w:rPr>
          <w:rFonts w:ascii="宋体" w:hAnsi="宋体"/>
          <w:sz w:val="24"/>
          <w:highlight w:val="none"/>
        </w:rPr>
      </w:pPr>
      <w:r>
        <w:rPr>
          <w:rFonts w:hint="eastAsia" w:ascii="宋体" w:hAnsi="宋体"/>
          <w:sz w:val="24"/>
          <w:highlight w:val="none"/>
        </w:rPr>
        <w:t>本合同正文、附件及其后的修改文件和补充文件均应采用中文书写。附件及其后的修改文件和补充文件作为本合同不可分割的组成部分，与本合同正文具有同等法律效力。</w:t>
      </w:r>
    </w:p>
    <w:p>
      <w:pPr>
        <w:numPr>
          <w:ilvl w:val="1"/>
          <w:numId w:val="43"/>
        </w:numPr>
        <w:tabs>
          <w:tab w:val="left" w:pos="709"/>
          <w:tab w:val="clear" w:pos="0"/>
        </w:tabs>
        <w:adjustRightInd w:val="0"/>
        <w:snapToGrid w:val="0"/>
        <w:spacing w:before="93" w:beforeLines="30" w:after="93" w:afterLines="30" w:line="360" w:lineRule="auto"/>
        <w:ind w:left="709" w:hanging="709"/>
        <w:rPr>
          <w:rFonts w:ascii="宋体" w:hAnsi="宋体"/>
          <w:sz w:val="24"/>
          <w:highlight w:val="none"/>
        </w:rPr>
      </w:pPr>
      <w:r>
        <w:rPr>
          <w:rFonts w:ascii="宋体" w:hAnsi="宋体"/>
          <w:sz w:val="24"/>
          <w:highlight w:val="none"/>
        </w:rPr>
        <w:t>本合同一式</w:t>
      </w:r>
      <w:r>
        <w:rPr>
          <w:rFonts w:hint="eastAsia" w:ascii="宋体" w:hAnsi="宋体"/>
          <w:sz w:val="24"/>
          <w:highlight w:val="none"/>
        </w:rPr>
        <w:t>【</w:t>
      </w:r>
      <w:r>
        <w:rPr>
          <w:rFonts w:hint="eastAsia" w:ascii="宋体" w:hAnsi="宋体"/>
          <w:i/>
          <w:sz w:val="24"/>
          <w:highlight w:val="none"/>
        </w:rPr>
        <w:t>填入合同份数</w:t>
      </w:r>
      <w:r>
        <w:rPr>
          <w:rFonts w:hint="eastAsia" w:ascii="宋体" w:hAnsi="宋体"/>
          <w:sz w:val="24"/>
          <w:highlight w:val="none"/>
        </w:rPr>
        <w:t>】</w:t>
      </w:r>
      <w:r>
        <w:rPr>
          <w:rFonts w:ascii="宋体" w:hAnsi="宋体"/>
          <w:sz w:val="24"/>
          <w:highlight w:val="none"/>
        </w:rPr>
        <w:t>份，</w:t>
      </w:r>
      <w:r>
        <w:rPr>
          <w:rFonts w:hint="eastAsia" w:ascii="宋体" w:hAnsi="宋体"/>
          <w:sz w:val="24"/>
          <w:highlight w:val="none"/>
        </w:rPr>
        <w:t>甲乙双方各持【</w:t>
      </w:r>
      <w:r>
        <w:rPr>
          <w:rFonts w:hint="eastAsia" w:ascii="宋体" w:hAnsi="宋体"/>
          <w:i/>
          <w:sz w:val="24"/>
          <w:highlight w:val="none"/>
        </w:rPr>
        <w:t>填入合同份数</w:t>
      </w:r>
      <w:r>
        <w:rPr>
          <w:rFonts w:hint="eastAsia" w:ascii="宋体" w:hAnsi="宋体"/>
          <w:sz w:val="24"/>
          <w:highlight w:val="none"/>
        </w:rPr>
        <w:t>】份</w:t>
      </w:r>
      <w:r>
        <w:rPr>
          <w:rFonts w:ascii="宋体" w:hAnsi="宋体"/>
          <w:sz w:val="24"/>
          <w:highlight w:val="none"/>
        </w:rPr>
        <w:t>，具有同等效力。</w:t>
      </w:r>
    </w:p>
    <w:p>
      <w:pPr>
        <w:tabs>
          <w:tab w:val="left" w:pos="850"/>
        </w:tabs>
        <w:autoSpaceDE w:val="0"/>
        <w:autoSpaceDN w:val="0"/>
        <w:spacing w:line="360" w:lineRule="auto"/>
        <w:jc w:val="center"/>
        <w:textAlignment w:val="bottom"/>
        <w:rPr>
          <w:rFonts w:ascii="宋体" w:hAnsi="宋体"/>
          <w:b/>
          <w:sz w:val="24"/>
          <w:highlight w:val="none"/>
        </w:rPr>
      </w:pPr>
      <w:r>
        <w:rPr>
          <w:rFonts w:ascii="宋体" w:hAnsi="宋体"/>
          <w:sz w:val="24"/>
          <w:highlight w:val="none"/>
        </w:rPr>
        <w:br w:type="page"/>
      </w:r>
      <w:r>
        <w:rPr>
          <w:rFonts w:hint="eastAsia" w:ascii="宋体" w:hAnsi="宋体"/>
          <w:b/>
          <w:sz w:val="24"/>
          <w:highlight w:val="none"/>
        </w:rPr>
        <w:t>（本页无正文，为签章页）</w:t>
      </w:r>
    </w:p>
    <w:p>
      <w:pPr>
        <w:tabs>
          <w:tab w:val="left" w:pos="850"/>
        </w:tabs>
        <w:autoSpaceDE w:val="0"/>
        <w:autoSpaceDN w:val="0"/>
        <w:spacing w:line="360" w:lineRule="auto"/>
        <w:ind w:firstLine="600"/>
        <w:textAlignment w:val="bottom"/>
        <w:rPr>
          <w:rFonts w:ascii="宋体" w:hAnsi="宋体"/>
          <w:sz w:val="24"/>
          <w:highlight w:val="none"/>
        </w:rPr>
      </w:pPr>
    </w:p>
    <w:tbl>
      <w:tblPr>
        <w:tblStyle w:val="16"/>
        <w:tblW w:w="5000" w:type="pct"/>
        <w:tblInd w:w="0"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line="360" w:lineRule="auto"/>
              <w:textAlignment w:val="bottom"/>
              <w:rPr>
                <w:rFonts w:ascii="宋体" w:hAnsi="宋体"/>
                <w:sz w:val="24"/>
                <w:highlight w:val="none"/>
              </w:rPr>
            </w:pPr>
          </w:p>
          <w:p>
            <w:pPr>
              <w:tabs>
                <w:tab w:val="left" w:pos="850"/>
              </w:tabs>
              <w:autoSpaceDE w:val="0"/>
              <w:autoSpaceDN w:val="0"/>
              <w:spacing w:line="360" w:lineRule="auto"/>
              <w:textAlignment w:val="bottom"/>
              <w:rPr>
                <w:rFonts w:ascii="宋体" w:hAnsi="宋体"/>
                <w:sz w:val="24"/>
                <w:highlight w:val="none"/>
              </w:rPr>
            </w:pPr>
          </w:p>
          <w:p>
            <w:pPr>
              <w:tabs>
                <w:tab w:val="left" w:pos="850"/>
              </w:tabs>
              <w:autoSpaceDE w:val="0"/>
              <w:autoSpaceDN w:val="0"/>
              <w:spacing w:line="360" w:lineRule="auto"/>
              <w:textAlignment w:val="bottom"/>
              <w:rPr>
                <w:rFonts w:ascii="宋体" w:hAnsi="宋体"/>
                <w:sz w:val="24"/>
                <w:highlight w:val="none"/>
              </w:rPr>
            </w:pPr>
            <w:r>
              <w:rPr>
                <w:rFonts w:ascii="宋体" w:hAnsi="宋体"/>
                <w:sz w:val="24"/>
                <w:highlight w:val="none"/>
              </w:rPr>
              <w:t>甲方</w:t>
            </w:r>
            <w:r>
              <w:rPr>
                <w:rFonts w:hint="eastAsia" w:ascii="宋体" w:hAnsi="宋体"/>
                <w:sz w:val="24"/>
                <w:highlight w:val="none"/>
              </w:rPr>
              <w:t>（盖章）</w:t>
            </w:r>
          </w:p>
        </w:tc>
        <w:tc>
          <w:tcPr>
            <w:tcW w:w="2397" w:type="pct"/>
          </w:tcPr>
          <w:p>
            <w:pPr>
              <w:tabs>
                <w:tab w:val="left" w:pos="850"/>
              </w:tabs>
              <w:autoSpaceDE w:val="0"/>
              <w:autoSpaceDN w:val="0"/>
              <w:spacing w:line="360" w:lineRule="auto"/>
              <w:textAlignment w:val="bottom"/>
              <w:rPr>
                <w:rFonts w:ascii="宋体" w:hAnsi="宋体"/>
                <w:sz w:val="24"/>
                <w:highlight w:val="none"/>
              </w:rPr>
            </w:pPr>
          </w:p>
          <w:p>
            <w:pPr>
              <w:tabs>
                <w:tab w:val="left" w:pos="850"/>
              </w:tabs>
              <w:autoSpaceDE w:val="0"/>
              <w:autoSpaceDN w:val="0"/>
              <w:spacing w:line="360" w:lineRule="auto"/>
              <w:textAlignment w:val="bottom"/>
              <w:rPr>
                <w:rFonts w:ascii="宋体" w:hAnsi="宋体"/>
                <w:sz w:val="24"/>
                <w:highlight w:val="none"/>
              </w:rPr>
            </w:pPr>
          </w:p>
          <w:p>
            <w:pPr>
              <w:tabs>
                <w:tab w:val="left" w:pos="850"/>
              </w:tabs>
              <w:autoSpaceDE w:val="0"/>
              <w:autoSpaceDN w:val="0"/>
              <w:spacing w:line="360" w:lineRule="auto"/>
              <w:textAlignment w:val="bottom"/>
              <w:rPr>
                <w:rFonts w:ascii="宋体" w:hAnsi="宋体"/>
                <w:sz w:val="24"/>
                <w:highlight w:val="none"/>
              </w:rPr>
            </w:pPr>
            <w:r>
              <w:rPr>
                <w:rFonts w:ascii="宋体" w:hAnsi="宋体"/>
                <w:sz w:val="24"/>
                <w:highlight w:val="none"/>
              </w:rPr>
              <w:t>乙方</w:t>
            </w:r>
            <w:r>
              <w:rPr>
                <w:rFonts w:hint="eastAsia" w:ascii="宋体" w:hAnsi="宋体"/>
                <w:sz w:val="24"/>
                <w:highlight w:val="none"/>
              </w:rPr>
              <w:t>（盖章）</w:t>
            </w:r>
          </w:p>
          <w:p>
            <w:pPr>
              <w:tabs>
                <w:tab w:val="left" w:pos="850"/>
              </w:tabs>
              <w:autoSpaceDE w:val="0"/>
              <w:autoSpaceDN w:val="0"/>
              <w:spacing w:line="360" w:lineRule="auto"/>
              <w:textAlignment w:val="bottom"/>
              <w:rPr>
                <w:rFonts w:ascii="宋体" w:hAnsi="宋体"/>
                <w:sz w:val="24"/>
                <w:highlight w:val="none"/>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line="360" w:lineRule="auto"/>
              <w:textAlignment w:val="bottom"/>
              <w:rPr>
                <w:rFonts w:ascii="宋体" w:hAnsi="宋体"/>
                <w:sz w:val="24"/>
                <w:highlight w:val="none"/>
              </w:rPr>
            </w:pPr>
            <w:r>
              <w:rPr>
                <w:rFonts w:ascii="宋体" w:hAnsi="宋体"/>
                <w:sz w:val="24"/>
                <w:highlight w:val="none"/>
              </w:rPr>
              <w:t>法定代表人或授权代表签字：</w:t>
            </w:r>
          </w:p>
          <w:p>
            <w:pPr>
              <w:tabs>
                <w:tab w:val="left" w:pos="850"/>
              </w:tabs>
              <w:autoSpaceDE w:val="0"/>
              <w:autoSpaceDN w:val="0"/>
              <w:spacing w:line="360" w:lineRule="auto"/>
              <w:textAlignment w:val="bottom"/>
              <w:rPr>
                <w:rFonts w:ascii="宋体" w:hAnsi="宋体"/>
                <w:sz w:val="24"/>
                <w:highlight w:val="none"/>
              </w:rPr>
            </w:pPr>
          </w:p>
          <w:p>
            <w:pPr>
              <w:tabs>
                <w:tab w:val="left" w:pos="850"/>
              </w:tabs>
              <w:autoSpaceDE w:val="0"/>
              <w:autoSpaceDN w:val="0"/>
              <w:spacing w:line="360" w:lineRule="auto"/>
              <w:textAlignment w:val="bottom"/>
              <w:rPr>
                <w:rFonts w:ascii="宋体" w:hAnsi="宋体"/>
                <w:sz w:val="24"/>
                <w:highlight w:val="none"/>
              </w:rPr>
            </w:pPr>
          </w:p>
          <w:p>
            <w:pPr>
              <w:tabs>
                <w:tab w:val="left" w:pos="850"/>
              </w:tabs>
              <w:autoSpaceDE w:val="0"/>
              <w:autoSpaceDN w:val="0"/>
              <w:spacing w:line="360" w:lineRule="auto"/>
              <w:textAlignment w:val="bottom"/>
              <w:rPr>
                <w:rFonts w:ascii="宋体" w:hAnsi="宋体"/>
                <w:sz w:val="24"/>
                <w:highlight w:val="none"/>
              </w:rPr>
            </w:pPr>
          </w:p>
          <w:p>
            <w:pPr>
              <w:tabs>
                <w:tab w:val="left" w:pos="850"/>
              </w:tabs>
              <w:autoSpaceDE w:val="0"/>
              <w:autoSpaceDN w:val="0"/>
              <w:spacing w:line="360" w:lineRule="auto"/>
              <w:textAlignment w:val="bottom"/>
              <w:rPr>
                <w:rFonts w:ascii="宋体" w:hAnsi="宋体"/>
                <w:sz w:val="24"/>
                <w:highlight w:val="none"/>
              </w:rPr>
            </w:pP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tc>
        <w:tc>
          <w:tcPr>
            <w:tcW w:w="2397" w:type="pct"/>
            <w:vAlign w:val="center"/>
          </w:tcPr>
          <w:p>
            <w:pPr>
              <w:tabs>
                <w:tab w:val="left" w:pos="850"/>
              </w:tabs>
              <w:autoSpaceDE w:val="0"/>
              <w:autoSpaceDN w:val="0"/>
              <w:spacing w:line="360" w:lineRule="auto"/>
              <w:textAlignment w:val="bottom"/>
              <w:rPr>
                <w:rFonts w:ascii="宋体" w:hAnsi="宋体"/>
                <w:sz w:val="24"/>
                <w:highlight w:val="none"/>
              </w:rPr>
            </w:pPr>
            <w:r>
              <w:rPr>
                <w:rFonts w:ascii="宋体" w:hAnsi="宋体"/>
                <w:sz w:val="24"/>
                <w:highlight w:val="none"/>
              </w:rPr>
              <w:t>法定代表人或授权代表签字：</w:t>
            </w:r>
          </w:p>
          <w:p>
            <w:pPr>
              <w:tabs>
                <w:tab w:val="left" w:pos="850"/>
              </w:tabs>
              <w:autoSpaceDE w:val="0"/>
              <w:autoSpaceDN w:val="0"/>
              <w:spacing w:line="360" w:lineRule="auto"/>
              <w:textAlignment w:val="bottom"/>
              <w:rPr>
                <w:rFonts w:ascii="宋体" w:hAnsi="宋体"/>
                <w:sz w:val="24"/>
                <w:highlight w:val="none"/>
              </w:rPr>
            </w:pPr>
          </w:p>
          <w:p>
            <w:pPr>
              <w:tabs>
                <w:tab w:val="left" w:pos="850"/>
              </w:tabs>
              <w:autoSpaceDE w:val="0"/>
              <w:autoSpaceDN w:val="0"/>
              <w:spacing w:line="360" w:lineRule="auto"/>
              <w:textAlignment w:val="bottom"/>
              <w:rPr>
                <w:rFonts w:ascii="宋体" w:hAnsi="宋体"/>
                <w:sz w:val="24"/>
                <w:highlight w:val="none"/>
              </w:rPr>
            </w:pPr>
          </w:p>
          <w:p>
            <w:pPr>
              <w:tabs>
                <w:tab w:val="left" w:pos="850"/>
              </w:tabs>
              <w:autoSpaceDE w:val="0"/>
              <w:autoSpaceDN w:val="0"/>
              <w:spacing w:line="360" w:lineRule="auto"/>
              <w:textAlignment w:val="bottom"/>
              <w:rPr>
                <w:rFonts w:ascii="宋体" w:hAnsi="宋体"/>
                <w:sz w:val="24"/>
                <w:highlight w:val="none"/>
              </w:rPr>
            </w:pPr>
          </w:p>
          <w:p>
            <w:pPr>
              <w:tabs>
                <w:tab w:val="left" w:pos="850"/>
              </w:tabs>
              <w:autoSpaceDE w:val="0"/>
              <w:autoSpaceDN w:val="0"/>
              <w:spacing w:line="360" w:lineRule="auto"/>
              <w:textAlignment w:val="bottom"/>
              <w:rPr>
                <w:rFonts w:ascii="宋体" w:hAnsi="宋体"/>
                <w:sz w:val="24"/>
                <w:highlight w:val="none"/>
              </w:rPr>
            </w:pP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tc>
      </w:tr>
    </w:tbl>
    <w:p>
      <w:pPr>
        <w:tabs>
          <w:tab w:val="left" w:pos="850"/>
        </w:tabs>
        <w:autoSpaceDE w:val="0"/>
        <w:autoSpaceDN w:val="0"/>
        <w:adjustRightInd w:val="0"/>
        <w:snapToGrid w:val="0"/>
        <w:spacing w:line="360" w:lineRule="auto"/>
        <w:textAlignment w:val="bottom"/>
        <w:rPr>
          <w:rFonts w:hint="default" w:ascii="宋体" w:hAnsi="宋体" w:eastAsiaTheme="minorEastAsia"/>
          <w:sz w:val="24"/>
          <w:highlight w:val="none"/>
          <w:u w:val="single"/>
          <w:lang w:val="en-US" w:eastAsia="zh-CN"/>
        </w:rPr>
      </w:pPr>
      <w:r>
        <w:rPr>
          <w:rFonts w:hint="eastAsia" w:ascii="宋体" w:hAnsi="宋体"/>
          <w:sz w:val="24"/>
          <w:highlight w:val="none"/>
        </w:rPr>
        <w:t>姓名：</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姓名：</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p>
    <w:p>
      <w:pPr>
        <w:widowControl/>
        <w:spacing w:before="72" w:beforeLines="30" w:after="72" w:afterLines="30" w:line="360" w:lineRule="auto"/>
        <w:jc w:val="left"/>
        <w:rPr>
          <w:rFonts w:hint="default" w:eastAsiaTheme="minorEastAsia"/>
          <w:sz w:val="24"/>
          <w:highlight w:val="none"/>
          <w:lang w:val="en-US" w:eastAsia="zh-CN"/>
        </w:rPr>
      </w:pPr>
      <w:r>
        <w:rPr>
          <w:rFonts w:hint="eastAsia" w:ascii="宋体" w:hAnsi="宋体"/>
          <w:sz w:val="24"/>
          <w:highlight w:val="none"/>
        </w:rPr>
        <w:t>职务：</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职务：</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p>
    <w:p>
      <w:pPr>
        <w:widowControl/>
        <w:spacing w:before="72" w:beforeLines="30" w:after="72" w:afterLines="30" w:line="360" w:lineRule="auto"/>
        <w:jc w:val="left"/>
        <w:rPr>
          <w:sz w:val="24"/>
          <w:highlight w:val="none"/>
        </w:rPr>
      </w:pPr>
    </w:p>
    <w:p>
      <w:pPr>
        <w:pStyle w:val="43"/>
        <w:pageBreakBefore w:val="0"/>
        <w:numPr>
          <w:ilvl w:val="0"/>
          <w:numId w:val="0"/>
        </w:numPr>
        <w:kinsoku/>
        <w:wordWrap/>
        <w:overflowPunct/>
        <w:topLinePunct w:val="0"/>
        <w:autoSpaceDE/>
        <w:autoSpaceDN/>
        <w:bidi w:val="0"/>
        <w:adjustRightInd/>
        <w:snapToGrid/>
        <w:spacing w:line="120" w:lineRule="auto"/>
        <w:ind w:left="720" w:hanging="720"/>
        <w:jc w:val="left"/>
        <w:textAlignment w:val="auto"/>
        <w:rPr>
          <w:rFonts w:ascii="宋体" w:hAnsi="宋体"/>
          <w:szCs w:val="24"/>
          <w:highlight w:val="none"/>
        </w:rPr>
      </w:pPr>
      <w:bookmarkStart w:id="140" w:name="_Toc299915704"/>
      <w:bookmarkStart w:id="141" w:name="_Toc364839384"/>
      <w:r>
        <w:rPr>
          <w:rFonts w:ascii="宋体" w:hAnsi="宋体"/>
          <w:szCs w:val="24"/>
          <w:highlight w:val="none"/>
        </w:rPr>
        <w:t>附件一：工作内容</w:t>
      </w:r>
      <w:r>
        <w:rPr>
          <w:rFonts w:hint="eastAsia" w:ascii="宋体" w:hAnsi="宋体"/>
          <w:szCs w:val="24"/>
          <w:highlight w:val="none"/>
        </w:rPr>
        <w:t>、范围及地点</w:t>
      </w:r>
      <w:bookmarkEnd w:id="140"/>
      <w:bookmarkEnd w:id="141"/>
    </w:p>
    <w:p>
      <w:pPr>
        <w:pStyle w:val="43"/>
        <w:pageBreakBefore w:val="0"/>
        <w:numPr>
          <w:ilvl w:val="0"/>
          <w:numId w:val="0"/>
        </w:numPr>
        <w:kinsoku/>
        <w:wordWrap/>
        <w:overflowPunct/>
        <w:topLinePunct w:val="0"/>
        <w:autoSpaceDE/>
        <w:autoSpaceDN/>
        <w:bidi w:val="0"/>
        <w:adjustRightInd/>
        <w:snapToGrid/>
        <w:spacing w:line="120" w:lineRule="auto"/>
        <w:ind w:left="720" w:hanging="720"/>
        <w:jc w:val="left"/>
        <w:textAlignment w:val="auto"/>
        <w:rPr>
          <w:rFonts w:ascii="宋体" w:hAnsi="宋体"/>
          <w:szCs w:val="24"/>
          <w:highlight w:val="none"/>
        </w:rPr>
      </w:pPr>
      <w:bookmarkStart w:id="142" w:name="_Toc299915705"/>
      <w:bookmarkStart w:id="143" w:name="_Toc364839385"/>
      <w:r>
        <w:rPr>
          <w:rFonts w:ascii="宋体" w:hAnsi="宋体"/>
          <w:szCs w:val="24"/>
          <w:highlight w:val="none"/>
        </w:rPr>
        <w:t>附件二：</w:t>
      </w:r>
      <w:r>
        <w:rPr>
          <w:rFonts w:hint="eastAsia" w:ascii="宋体" w:hAnsi="宋体"/>
          <w:szCs w:val="24"/>
          <w:highlight w:val="none"/>
        </w:rPr>
        <w:t>工作进度</w:t>
      </w:r>
      <w:bookmarkEnd w:id="142"/>
      <w:r>
        <w:rPr>
          <w:rFonts w:hint="eastAsia" w:ascii="宋体" w:hAnsi="宋体"/>
          <w:szCs w:val="24"/>
          <w:highlight w:val="none"/>
        </w:rPr>
        <w:t>和工作期限</w:t>
      </w:r>
      <w:bookmarkEnd w:id="143"/>
    </w:p>
    <w:p>
      <w:pPr>
        <w:pStyle w:val="43"/>
        <w:pageBreakBefore w:val="0"/>
        <w:numPr>
          <w:ilvl w:val="0"/>
          <w:numId w:val="0"/>
        </w:numPr>
        <w:kinsoku/>
        <w:wordWrap/>
        <w:overflowPunct/>
        <w:topLinePunct w:val="0"/>
        <w:autoSpaceDE/>
        <w:autoSpaceDN/>
        <w:bidi w:val="0"/>
        <w:adjustRightInd/>
        <w:snapToGrid/>
        <w:spacing w:line="120" w:lineRule="auto"/>
        <w:ind w:left="720" w:hanging="720"/>
        <w:jc w:val="left"/>
        <w:textAlignment w:val="auto"/>
        <w:rPr>
          <w:rFonts w:ascii="宋体" w:hAnsi="宋体"/>
          <w:szCs w:val="24"/>
          <w:highlight w:val="none"/>
        </w:rPr>
      </w:pPr>
      <w:bookmarkStart w:id="144" w:name="_Toc299915706"/>
      <w:bookmarkStart w:id="145" w:name="_Toc364839386"/>
      <w:r>
        <w:rPr>
          <w:rFonts w:hint="eastAsia" w:ascii="宋体" w:hAnsi="宋体"/>
          <w:szCs w:val="24"/>
          <w:highlight w:val="none"/>
        </w:rPr>
        <w:t>附件三：价格表</w:t>
      </w:r>
      <w:bookmarkEnd w:id="144"/>
      <w:bookmarkEnd w:id="145"/>
    </w:p>
    <w:p>
      <w:pPr>
        <w:pStyle w:val="43"/>
        <w:pageBreakBefore w:val="0"/>
        <w:numPr>
          <w:ilvl w:val="0"/>
          <w:numId w:val="0"/>
        </w:numPr>
        <w:kinsoku/>
        <w:wordWrap/>
        <w:overflowPunct/>
        <w:topLinePunct w:val="0"/>
        <w:autoSpaceDE/>
        <w:autoSpaceDN/>
        <w:bidi w:val="0"/>
        <w:adjustRightInd/>
        <w:snapToGrid/>
        <w:spacing w:line="120" w:lineRule="auto"/>
        <w:ind w:left="720" w:hanging="720"/>
        <w:jc w:val="left"/>
        <w:textAlignment w:val="auto"/>
        <w:rPr>
          <w:rFonts w:hint="eastAsia" w:ascii="宋体" w:hAnsi="宋体"/>
          <w:szCs w:val="24"/>
          <w:highlight w:val="none"/>
        </w:rPr>
      </w:pPr>
      <w:bookmarkStart w:id="146" w:name="_Toc299915707"/>
      <w:bookmarkStart w:id="147" w:name="_Toc364839387"/>
      <w:r>
        <w:rPr>
          <w:rFonts w:hint="eastAsia" w:ascii="宋体" w:hAnsi="宋体"/>
          <w:szCs w:val="24"/>
          <w:highlight w:val="none"/>
        </w:rPr>
        <w:t>附件四：乙方关键人员</w:t>
      </w:r>
      <w:bookmarkEnd w:id="146"/>
      <w:bookmarkEnd w:id="147"/>
    </w:p>
    <w:p>
      <w:pPr>
        <w:pStyle w:val="43"/>
        <w:pageBreakBefore w:val="0"/>
        <w:numPr>
          <w:ilvl w:val="0"/>
          <w:numId w:val="0"/>
        </w:numPr>
        <w:kinsoku/>
        <w:wordWrap/>
        <w:overflowPunct/>
        <w:topLinePunct w:val="0"/>
        <w:autoSpaceDE/>
        <w:autoSpaceDN/>
        <w:bidi w:val="0"/>
        <w:adjustRightInd/>
        <w:snapToGrid/>
        <w:spacing w:line="120" w:lineRule="auto"/>
        <w:ind w:left="720" w:hanging="720"/>
        <w:jc w:val="left"/>
        <w:textAlignment w:val="auto"/>
        <w:rPr>
          <w:rFonts w:ascii="宋体" w:hAnsi="宋体"/>
          <w:szCs w:val="24"/>
          <w:highlight w:val="none"/>
        </w:rPr>
      </w:pPr>
      <w:bookmarkStart w:id="148" w:name="_Toc299915708"/>
      <w:bookmarkStart w:id="149" w:name="_Toc364839388"/>
      <w:r>
        <w:rPr>
          <w:rFonts w:hint="eastAsia" w:ascii="宋体" w:hAnsi="宋体"/>
          <w:szCs w:val="24"/>
          <w:highlight w:val="none"/>
        </w:rPr>
        <w:t>附件五：验收</w:t>
      </w:r>
      <w:bookmarkEnd w:id="148"/>
      <w:bookmarkEnd w:id="149"/>
    </w:p>
    <w:p>
      <w:pPr>
        <w:pStyle w:val="43"/>
        <w:pageBreakBefore w:val="0"/>
        <w:numPr>
          <w:ilvl w:val="0"/>
          <w:numId w:val="0"/>
        </w:numPr>
        <w:kinsoku/>
        <w:wordWrap/>
        <w:overflowPunct/>
        <w:topLinePunct w:val="0"/>
        <w:autoSpaceDE/>
        <w:autoSpaceDN/>
        <w:bidi w:val="0"/>
        <w:adjustRightInd/>
        <w:snapToGrid/>
        <w:spacing w:line="120" w:lineRule="auto"/>
        <w:ind w:left="720" w:hanging="720"/>
        <w:jc w:val="left"/>
        <w:textAlignment w:val="auto"/>
        <w:rPr>
          <w:rFonts w:hint="eastAsia" w:ascii="宋体" w:hAnsi="宋体"/>
          <w:szCs w:val="24"/>
          <w:highlight w:val="none"/>
        </w:rPr>
      </w:pPr>
    </w:p>
    <w:p>
      <w:pPr>
        <w:pStyle w:val="6"/>
        <w:pageBreakBefore w:val="0"/>
        <w:kinsoku/>
        <w:wordWrap/>
        <w:overflowPunct/>
        <w:topLinePunct w:val="0"/>
        <w:autoSpaceDE/>
        <w:autoSpaceDN/>
        <w:bidi w:val="0"/>
        <w:adjustRightInd/>
        <w:snapToGrid/>
        <w:spacing w:line="120" w:lineRule="auto"/>
        <w:textAlignment w:val="auto"/>
        <w:rPr>
          <w:highlight w:val="none"/>
          <w:lang w:val="en-US" w:eastAsia="zh-CN"/>
        </w:rPr>
      </w:pPr>
    </w:p>
    <w:p>
      <w:pPr>
        <w:pStyle w:val="6"/>
        <w:pageBreakBefore w:val="0"/>
        <w:kinsoku/>
        <w:wordWrap/>
        <w:overflowPunct/>
        <w:topLinePunct w:val="0"/>
        <w:autoSpaceDE/>
        <w:autoSpaceDN/>
        <w:bidi w:val="0"/>
        <w:adjustRightInd/>
        <w:snapToGrid/>
        <w:spacing w:line="120" w:lineRule="auto"/>
        <w:textAlignment w:val="auto"/>
        <w:rPr>
          <w:highlight w:val="none"/>
          <w:lang w:val="en-US" w:eastAsia="zh-CN"/>
        </w:rPr>
      </w:pPr>
    </w:p>
    <w:p>
      <w:pPr>
        <w:pageBreakBefore w:val="0"/>
        <w:kinsoku/>
        <w:wordWrap/>
        <w:overflowPunct/>
        <w:topLinePunct w:val="0"/>
        <w:autoSpaceDE/>
        <w:autoSpaceDN/>
        <w:bidi w:val="0"/>
        <w:adjustRightInd/>
        <w:snapToGrid/>
        <w:spacing w:line="120" w:lineRule="auto"/>
        <w:textAlignment w:val="auto"/>
        <w:rPr>
          <w:rFonts w:hint="eastAsia"/>
          <w:b/>
          <w:strike w:val="0"/>
          <w:dstrike w:val="0"/>
          <w:sz w:val="24"/>
          <w:highlight w:val="none"/>
          <w:lang w:val="en-US" w:eastAsia="zh-CN"/>
        </w:rPr>
      </w:pPr>
      <w:r>
        <w:rPr>
          <w:rFonts w:hint="eastAsia"/>
          <w:b/>
          <w:strike w:val="0"/>
          <w:dstrike w:val="0"/>
          <w:sz w:val="24"/>
          <w:highlight w:val="none"/>
          <w:lang w:val="en-US" w:eastAsia="zh-CN"/>
        </w:rPr>
        <w:br w:type="page"/>
      </w:r>
    </w:p>
    <w:p>
      <w:pPr>
        <w:pStyle w:val="28"/>
        <w:keepNext w:val="0"/>
        <w:keepLines w:val="0"/>
        <w:pageBreakBefore w:val="0"/>
        <w:widowControl/>
        <w:kinsoku/>
        <w:wordWrap/>
        <w:overflowPunct/>
        <w:topLinePunct w:val="0"/>
        <w:autoSpaceDE/>
        <w:autoSpaceDN/>
        <w:bidi w:val="0"/>
        <w:adjustRightInd/>
        <w:snapToGrid/>
        <w:spacing w:before="240" w:after="240" w:line="120" w:lineRule="auto"/>
        <w:jc w:val="left"/>
        <w:textAlignment w:val="auto"/>
        <w:outlineLvl w:val="0"/>
        <w:rPr>
          <w:rFonts w:hint="eastAsia"/>
          <w:b/>
          <w:strike w:val="0"/>
          <w:dstrike w:val="0"/>
          <w:sz w:val="24"/>
          <w:highlight w:val="none"/>
        </w:rPr>
      </w:pPr>
      <w:r>
        <w:rPr>
          <w:rFonts w:hint="eastAsia"/>
          <w:b/>
          <w:strike w:val="0"/>
          <w:dstrike w:val="0"/>
          <w:sz w:val="24"/>
          <w:highlight w:val="none"/>
          <w:lang w:val="en-US" w:eastAsia="zh-CN"/>
        </w:rPr>
        <w:t xml:space="preserve">附件4： </w:t>
      </w:r>
      <w:r>
        <w:rPr>
          <w:rFonts w:hint="eastAsia"/>
          <w:b/>
          <w:strike w:val="0"/>
          <w:dstrike w:val="0"/>
          <w:sz w:val="24"/>
          <w:highlight w:val="none"/>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highlight w:val="none"/>
          <w:lang w:eastAsia="zh-CN"/>
        </w:rPr>
      </w:pPr>
      <w:r>
        <w:rPr>
          <w:rFonts w:hint="eastAsia"/>
          <w:b/>
          <w:strike w:val="0"/>
          <w:dstrike w:val="0"/>
          <w:sz w:val="24"/>
          <w:highlight w:val="none"/>
          <w:lang w:val="en-US" w:eastAsia="zh-CN"/>
        </w:rPr>
        <w:t>4.1海油发展供应商处理情形和处理标准</w:t>
      </w:r>
    </w:p>
    <w:tbl>
      <w:tblPr>
        <w:tblStyle w:val="16"/>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序号</w:t>
            </w:r>
          </w:p>
        </w:tc>
        <w:tc>
          <w:tcPr>
            <w:tcW w:w="1266"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违规类型</w:t>
            </w:r>
          </w:p>
        </w:tc>
        <w:tc>
          <w:tcPr>
            <w:tcW w:w="5484" w:type="dxa"/>
            <w:shd w:val="clear" w:color="auto" w:fill="auto"/>
            <w:vAlign w:val="center"/>
          </w:tcPr>
          <w:p>
            <w:pPr>
              <w:jc w:val="center"/>
              <w:textAlignment w:val="center"/>
              <w:rPr>
                <w:b/>
                <w:bCs/>
                <w:color w:val="000000"/>
                <w:sz w:val="22"/>
                <w:szCs w:val="22"/>
                <w:highlight w:val="none"/>
              </w:rPr>
            </w:pPr>
            <w:r>
              <w:rPr>
                <w:rFonts w:hint="eastAsia"/>
                <w:b/>
                <w:bCs/>
                <w:color w:val="000000"/>
                <w:sz w:val="22"/>
                <w:szCs w:val="22"/>
                <w:highlight w:val="none"/>
                <w:lang w:bidi="ar"/>
              </w:rPr>
              <w:t>违规情形说明</w:t>
            </w:r>
          </w:p>
        </w:tc>
        <w:tc>
          <w:tcPr>
            <w:tcW w:w="1281" w:type="dxa"/>
            <w:shd w:val="clear" w:color="auto" w:fill="auto"/>
            <w:vAlign w:val="center"/>
          </w:tcPr>
          <w:p>
            <w:pPr>
              <w:textAlignment w:val="center"/>
              <w:rPr>
                <w:b/>
                <w:bCs/>
                <w:color w:val="000000"/>
                <w:sz w:val="22"/>
                <w:szCs w:val="22"/>
                <w:highlight w:val="none"/>
              </w:rPr>
            </w:pPr>
            <w:r>
              <w:rPr>
                <w:rFonts w:hint="eastAsia"/>
                <w:b/>
                <w:bCs/>
                <w:color w:val="000000"/>
                <w:sz w:val="22"/>
                <w:szCs w:val="22"/>
                <w:highlight w:val="none"/>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提供虚假资料</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rFonts w:hint="default" w:eastAsia="宋体"/>
                <w:color w:val="000000"/>
                <w:sz w:val="20"/>
                <w:szCs w:val="20"/>
                <w:highlight w:val="none"/>
                <w:lang w:val="en-US" w:eastAsia="zh-CN"/>
              </w:rPr>
            </w:pPr>
            <w:r>
              <w:rPr>
                <w:rFonts w:hint="eastAsia"/>
                <w:b/>
                <w:bCs/>
                <w:color w:val="000000"/>
                <w:sz w:val="20"/>
                <w:szCs w:val="20"/>
                <w:highlight w:val="none"/>
                <w:lang w:bidi="ar"/>
              </w:rPr>
              <w:t>提供虚假材料</w:t>
            </w:r>
            <w:r>
              <w:rPr>
                <w:rFonts w:hint="eastAsia"/>
                <w:color w:val="000000"/>
                <w:sz w:val="20"/>
                <w:szCs w:val="20"/>
                <w:highlight w:val="none"/>
                <w:lang w:bidi="ar"/>
              </w:rPr>
              <w:t>（</w:t>
            </w:r>
            <w:r>
              <w:rPr>
                <w:rFonts w:hint="eastAsia"/>
                <w:b/>
                <w:bCs/>
                <w:color w:val="000000"/>
                <w:sz w:val="20"/>
                <w:szCs w:val="20"/>
                <w:highlight w:val="none"/>
                <w:lang w:bidi="ar"/>
              </w:rPr>
              <w:t>资质文件、业绩、财务状况、书面承诺</w:t>
            </w:r>
            <w:r>
              <w:rPr>
                <w:rFonts w:hint="eastAsia"/>
                <w:color w:val="000000"/>
                <w:sz w:val="20"/>
                <w:szCs w:val="20"/>
                <w:highlight w:val="none"/>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恶意串通</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为达到不正当目的</w:t>
            </w:r>
            <w:r>
              <w:rPr>
                <w:rFonts w:hint="eastAsia"/>
                <w:b/>
                <w:bCs/>
                <w:color w:val="000000"/>
                <w:sz w:val="20"/>
                <w:szCs w:val="20"/>
                <w:highlight w:val="none"/>
                <w:lang w:bidi="ar"/>
              </w:rPr>
              <w:t>相互恶意串通</w:t>
            </w:r>
            <w:r>
              <w:rPr>
                <w:rFonts w:hint="eastAsia"/>
                <w:color w:val="000000"/>
                <w:sz w:val="20"/>
                <w:szCs w:val="20"/>
                <w:highlight w:val="none"/>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中途撤销投标</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7</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8</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开标后在有效期内中途撤销投标的</w:t>
            </w:r>
            <w:r>
              <w:rPr>
                <w:rFonts w:hint="eastAsia"/>
                <w:color w:val="000000"/>
                <w:sz w:val="20"/>
                <w:szCs w:val="20"/>
                <w:highlight w:val="none"/>
                <w:lang w:bidi="ar"/>
              </w:rPr>
              <w:t>，且对采办过程造成影响的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9</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投标文件质量差</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highlight w:val="none"/>
              </w:rPr>
            </w:pPr>
            <w:r>
              <w:rPr>
                <w:rFonts w:hint="eastAsia"/>
                <w:color w:val="000000"/>
                <w:sz w:val="20"/>
                <w:szCs w:val="20"/>
                <w:highlight w:val="none"/>
                <w:lang w:bidi="ar"/>
              </w:rPr>
              <w:t>初次出现对供应商进行“约谈”，一年内出现两次给予</w:t>
            </w:r>
            <w:r>
              <w:rPr>
                <w:rFonts w:hint="eastAsia"/>
                <w:b/>
                <w:bCs/>
                <w:color w:val="000000"/>
                <w:sz w:val="20"/>
                <w:szCs w:val="20"/>
                <w:highlight w:val="none"/>
                <w:lang w:bidi="ar"/>
              </w:rPr>
              <w:t>“警告”</w:t>
            </w:r>
            <w:r>
              <w:rPr>
                <w:rFonts w:hint="eastAsia"/>
                <w:color w:val="000000"/>
                <w:sz w:val="20"/>
                <w:szCs w:val="20"/>
                <w:highlight w:val="none"/>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10</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11</w:t>
            </w:r>
          </w:p>
        </w:tc>
        <w:tc>
          <w:tcPr>
            <w:tcW w:w="1266"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排挤其他供应商</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12</w:t>
            </w:r>
          </w:p>
        </w:tc>
        <w:tc>
          <w:tcPr>
            <w:tcW w:w="1266"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不遵守招投标纪律</w:t>
            </w:r>
          </w:p>
        </w:tc>
        <w:tc>
          <w:tcPr>
            <w:tcW w:w="5484" w:type="dxa"/>
            <w:shd w:val="clear" w:color="auto" w:fill="auto"/>
            <w:vAlign w:val="center"/>
          </w:tcPr>
          <w:p>
            <w:pPr>
              <w:textAlignment w:val="center"/>
              <w:rPr>
                <w:color w:val="000000"/>
                <w:sz w:val="20"/>
                <w:szCs w:val="20"/>
                <w:highlight w:val="none"/>
              </w:rPr>
            </w:pPr>
            <w:r>
              <w:rPr>
                <w:rStyle w:val="29"/>
                <w:rFonts w:hint="default"/>
                <w:highlight w:val="none"/>
                <w:lang w:bidi="ar"/>
              </w:rPr>
              <w:t>不遵守招投标相关纪律：如在开标、评标现场无理取闹，违反招投标程序</w:t>
            </w:r>
            <w:r>
              <w:rPr>
                <w:rFonts w:ascii="Times New Roman" w:hAnsi="Times New Roman" w:cs="Times New Roman"/>
                <w:color w:val="000000"/>
                <w:sz w:val="20"/>
                <w:szCs w:val="20"/>
                <w:highlight w:val="none"/>
                <w:lang w:bidi="ar"/>
              </w:rPr>
              <w:t>,</w:t>
            </w:r>
            <w:r>
              <w:rPr>
                <w:rStyle w:val="29"/>
                <w:rFonts w:hint="default"/>
                <w:highlight w:val="none"/>
                <w:lang w:bidi="ar"/>
              </w:rPr>
              <w:t>破坏招投标秩序等情形的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13</w:t>
            </w:r>
          </w:p>
        </w:tc>
        <w:tc>
          <w:tcPr>
            <w:tcW w:w="1266" w:type="dxa"/>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拒不签订合同</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获取中标资格或成交资格拒绝签订合同的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14</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供应商对评标结果提出异议</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15</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采取邀请招标/竞争性谈判/邀请询价采办方式，评标结束后，供应商提出异议并要求复议（如对中标供应商的投标文件提出异议），</w:t>
            </w:r>
            <w:r>
              <w:rPr>
                <w:rFonts w:hint="eastAsia"/>
                <w:b/>
                <w:bCs/>
                <w:color w:val="000000"/>
                <w:sz w:val="20"/>
                <w:szCs w:val="20"/>
                <w:highlight w:val="none"/>
                <w:lang w:bidi="ar"/>
              </w:rPr>
              <w:t>经核查后异议不实的或提出异议却无法提供证明文件的</w:t>
            </w:r>
            <w:r>
              <w:rPr>
                <w:rFonts w:hint="eastAsia"/>
                <w:color w:val="000000"/>
                <w:sz w:val="20"/>
                <w:szCs w:val="20"/>
                <w:highlight w:val="none"/>
                <w:lang w:bidi="ar"/>
              </w:rPr>
              <w:t>。造成影响的。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16</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无事实依据对采购过程或采购结果进行乱投诉、举报的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情节较轻的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17</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恶意投诉、举报的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18</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19</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擅自变更、</w:t>
            </w:r>
            <w:r>
              <w:rPr>
                <w:rFonts w:hint="eastAsia"/>
                <w:b/>
                <w:bCs/>
                <w:color w:val="000000"/>
                <w:sz w:val="20"/>
                <w:szCs w:val="20"/>
                <w:highlight w:val="none"/>
                <w:lang w:bidi="ar"/>
              </w:rPr>
              <w:t>不按照合同规定履行或者擅自终止合同的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损失较轻或对安全生产影响较小的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20</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损失较大或对安全生产影响较大的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21</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b/>
                <w:bCs/>
                <w:color w:val="000000"/>
                <w:sz w:val="20"/>
                <w:szCs w:val="20"/>
                <w:highlight w:val="none"/>
                <w:lang w:bidi="ar"/>
              </w:rPr>
              <w:t>擅自降低标的功能标准或改变功能结构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及时整改未造成影响的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22</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损失较大或对安全生产影响较大的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23</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及时整改但造成一定影响的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24</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及时整改但影响较重的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25</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拒不整改的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26</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假冒其他厂家品牌，</w:t>
            </w:r>
            <w:r>
              <w:rPr>
                <w:rFonts w:hint="eastAsia"/>
                <w:b/>
                <w:bCs/>
                <w:color w:val="000000"/>
                <w:sz w:val="20"/>
                <w:szCs w:val="20"/>
                <w:highlight w:val="none"/>
                <w:lang w:bidi="ar"/>
              </w:rPr>
              <w:t>提供伪劣商品</w:t>
            </w:r>
            <w:r>
              <w:rPr>
                <w:rFonts w:hint="eastAsia"/>
                <w:color w:val="000000"/>
                <w:sz w:val="20"/>
                <w:szCs w:val="20"/>
                <w:highlight w:val="none"/>
                <w:lang w:bidi="ar"/>
              </w:rPr>
              <w:t>、以假乱真弄虚作假的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对生产经营造成影响较小</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27</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28</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出现供给不足（即“</w:t>
            </w:r>
            <w:r>
              <w:rPr>
                <w:rFonts w:hint="eastAsia"/>
                <w:b/>
                <w:bCs/>
                <w:color w:val="000000"/>
                <w:sz w:val="20"/>
                <w:szCs w:val="20"/>
                <w:highlight w:val="none"/>
                <w:lang w:bidi="ar"/>
              </w:rPr>
              <w:t>短斤少两</w:t>
            </w:r>
            <w:r>
              <w:rPr>
                <w:rFonts w:hint="eastAsia"/>
                <w:color w:val="000000"/>
                <w:sz w:val="20"/>
                <w:szCs w:val="20"/>
                <w:highlight w:val="none"/>
                <w:lang w:bidi="ar"/>
              </w:rPr>
              <w:t>”行为）</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及时整改未产生影响的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29</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整改但产生影响的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拒不更正的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31</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所提供的产品</w:t>
            </w:r>
            <w:r>
              <w:rPr>
                <w:rFonts w:hint="eastAsia"/>
                <w:b/>
                <w:bCs/>
                <w:color w:val="000000"/>
                <w:sz w:val="20"/>
                <w:szCs w:val="20"/>
                <w:highlight w:val="none"/>
                <w:lang w:bidi="ar"/>
              </w:rPr>
              <w:t>存在严重质量问题</w:t>
            </w:r>
            <w:r>
              <w:rPr>
                <w:rFonts w:hint="eastAsia"/>
                <w:color w:val="000000"/>
                <w:sz w:val="20"/>
                <w:szCs w:val="20"/>
                <w:highlight w:val="none"/>
                <w:lang w:bidi="ar"/>
              </w:rPr>
              <w:t>，影响安全生产或对工程建设造成实质性影响的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对安全生产或工程建设影响较轻的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32</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对安全生产或工程建设影响较重的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33</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提供的产品/服务出现</w:t>
            </w:r>
            <w:r>
              <w:rPr>
                <w:rFonts w:hint="eastAsia"/>
                <w:b/>
                <w:bCs/>
                <w:color w:val="000000"/>
                <w:sz w:val="20"/>
                <w:szCs w:val="20"/>
                <w:highlight w:val="none"/>
                <w:lang w:bidi="ar"/>
              </w:rPr>
              <w:t>严重安全隐患</w:t>
            </w:r>
            <w:r>
              <w:rPr>
                <w:rFonts w:hint="eastAsia"/>
                <w:color w:val="000000"/>
                <w:sz w:val="20"/>
                <w:szCs w:val="20"/>
                <w:highlight w:val="none"/>
                <w:lang w:bidi="ar"/>
              </w:rPr>
              <w:t>，且拒绝整改或整改不及时、不到位的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34</w:t>
            </w:r>
          </w:p>
        </w:tc>
        <w:tc>
          <w:tcPr>
            <w:tcW w:w="1266" w:type="dxa"/>
            <w:vMerge w:val="restart"/>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提供虚假进度报告</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未造成实质影响的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35</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造成实质性影响的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36</w:t>
            </w:r>
          </w:p>
        </w:tc>
        <w:tc>
          <w:tcPr>
            <w:tcW w:w="1266" w:type="dxa"/>
            <w:vMerge w:val="restart"/>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在允许分包项目中，违反分包承诺进行</w:t>
            </w:r>
            <w:r>
              <w:rPr>
                <w:rFonts w:hint="eastAsia"/>
                <w:b/>
                <w:bCs/>
                <w:color w:val="000000"/>
                <w:sz w:val="20"/>
                <w:szCs w:val="20"/>
                <w:highlight w:val="none"/>
                <w:lang w:bidi="ar"/>
              </w:rPr>
              <w:t>分包</w:t>
            </w:r>
            <w:r>
              <w:rPr>
                <w:rFonts w:hint="eastAsia"/>
                <w:color w:val="000000"/>
                <w:sz w:val="20"/>
                <w:szCs w:val="20"/>
                <w:highlight w:val="none"/>
                <w:lang w:bidi="ar"/>
              </w:rPr>
              <w:t>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37</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未及时更正其违规行为的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38</w:t>
            </w:r>
          </w:p>
        </w:tc>
        <w:tc>
          <w:tcPr>
            <w:tcW w:w="1266" w:type="dxa"/>
            <w:vMerge w:val="continue"/>
            <w:shd w:val="clear" w:color="auto" w:fill="auto"/>
            <w:vAlign w:val="center"/>
          </w:tcPr>
          <w:p>
            <w:pPr>
              <w:jc w:val="cente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39</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违反规定</w:t>
            </w:r>
            <w:r>
              <w:rPr>
                <w:rFonts w:hint="eastAsia"/>
                <w:b/>
                <w:bCs/>
                <w:color w:val="000000"/>
                <w:sz w:val="20"/>
                <w:szCs w:val="20"/>
                <w:highlight w:val="none"/>
                <w:lang w:bidi="ar"/>
              </w:rPr>
              <w:t>擅自把中标项目或合同转让、转包、分包</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及时更正其违规行为的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未及时更正其违规行为的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41</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拒绝更正其违规行为的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42</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未经同意拖延交工、交货日期，</w:t>
            </w:r>
            <w:r>
              <w:rPr>
                <w:rFonts w:hint="eastAsia"/>
                <w:b/>
                <w:bCs/>
                <w:color w:val="000000"/>
                <w:sz w:val="20"/>
                <w:szCs w:val="20"/>
                <w:highlight w:val="none"/>
                <w:lang w:bidi="ar"/>
              </w:rPr>
              <w:t>延缓执行合同的期限</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未造成严重影响且愿意协商解决或</w:t>
            </w:r>
            <w:r>
              <w:rPr>
                <w:rFonts w:hint="eastAsia"/>
                <w:b/>
                <w:bCs/>
                <w:color w:val="000000"/>
                <w:sz w:val="20"/>
                <w:szCs w:val="20"/>
                <w:highlight w:val="none"/>
                <w:lang w:bidi="ar"/>
              </w:rPr>
              <w:t>承担赔偿责任的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43</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造成实质影响但愿意协商解决的，根据影响程度</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对供应商给予</w:t>
            </w:r>
            <w:r>
              <w:rPr>
                <w:rFonts w:hint="eastAsia"/>
                <w:b/>
                <w:bCs/>
                <w:color w:val="000000"/>
                <w:sz w:val="20"/>
                <w:szCs w:val="20"/>
                <w:highlight w:val="none"/>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44</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造成较重或严重影响且拒绝协商解决的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45</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拒绝履行售后义务</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46</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拒不配合</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47</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行贿</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1"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48</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使用禁用供应商</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49</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未经许可，对外</w:t>
            </w:r>
            <w:r>
              <w:rPr>
                <w:rFonts w:hint="eastAsia"/>
                <w:b/>
                <w:bCs/>
                <w:color w:val="000000"/>
                <w:sz w:val="20"/>
                <w:szCs w:val="20"/>
                <w:highlight w:val="none"/>
                <w:lang w:bidi="ar"/>
              </w:rPr>
              <w:t>披露中国海油商业秘密</w:t>
            </w:r>
            <w:r>
              <w:rPr>
                <w:rFonts w:hint="eastAsia"/>
                <w:color w:val="000000"/>
                <w:sz w:val="20"/>
                <w:szCs w:val="20"/>
                <w:highlight w:val="none"/>
                <w:lang w:bidi="ar"/>
              </w:rPr>
              <w:t>信息的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未造成经济损失或名誉损失的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造成经济损失或名誉损失的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51</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由于供应商的过失，与</w:t>
            </w:r>
            <w:r>
              <w:rPr>
                <w:rFonts w:hint="eastAsia"/>
                <w:b/>
                <w:bCs/>
                <w:color w:val="000000"/>
                <w:sz w:val="20"/>
                <w:szCs w:val="20"/>
                <w:highlight w:val="none"/>
                <w:lang w:bidi="ar"/>
              </w:rPr>
              <w:t>中国海油及所属单位产生法律诉讼的</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52</w:t>
            </w:r>
          </w:p>
        </w:tc>
        <w:tc>
          <w:tcPr>
            <w:tcW w:w="1266"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对供应商给予“禁用三年”</w:t>
            </w:r>
            <w:r>
              <w:rPr>
                <w:rFonts w:hint="eastAsia"/>
                <w:color w:val="000000"/>
                <w:sz w:val="20"/>
                <w:szCs w:val="20"/>
                <w:highlight w:val="none"/>
                <w:lang w:val="en-US" w:eastAsia="zh-CN" w:bidi="ar"/>
              </w:rPr>
              <w:t>处理</w:t>
            </w:r>
            <w:r>
              <w:rPr>
                <w:rFonts w:hint="eastAsia"/>
                <w:color w:val="000000"/>
                <w:sz w:val="20"/>
                <w:szCs w:val="20"/>
                <w:highlight w:val="none"/>
                <w:lang w:bidi="ar"/>
              </w:rPr>
              <w:t>；情节严重的，</w:t>
            </w: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53</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供应商在提报中国海油员工、</w:t>
            </w:r>
            <w:r>
              <w:rPr>
                <w:rFonts w:hint="eastAsia"/>
                <w:b/>
                <w:bCs/>
                <w:color w:val="000000"/>
                <w:sz w:val="20"/>
                <w:szCs w:val="20"/>
                <w:highlight w:val="none"/>
                <w:lang w:bidi="ar"/>
              </w:rPr>
              <w:t>员工亲属、离职退休的领导人员在本单位的任职</w:t>
            </w:r>
            <w:r>
              <w:rPr>
                <w:rFonts w:hint="eastAsia"/>
                <w:color w:val="000000"/>
                <w:sz w:val="20"/>
                <w:szCs w:val="20"/>
                <w:highlight w:val="none"/>
                <w:lang w:bidi="ar"/>
              </w:rPr>
              <w:t>和持股情况时</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存在瞒报相关情况的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54</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55</w:t>
            </w:r>
          </w:p>
        </w:tc>
        <w:tc>
          <w:tcPr>
            <w:tcW w:w="1266"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经营状况异常</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56</w:t>
            </w:r>
          </w:p>
        </w:tc>
        <w:tc>
          <w:tcPr>
            <w:tcW w:w="1266" w:type="dxa"/>
            <w:vMerge w:val="restart"/>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其它违反国家、集团公司及海油发展规章制度的行为</w:t>
            </w: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违反国家政策、法律法规，存在不与农民工签订合同，或</w:t>
            </w:r>
            <w:r>
              <w:rPr>
                <w:rFonts w:hint="eastAsia"/>
                <w:b/>
                <w:bCs/>
                <w:color w:val="000000"/>
                <w:sz w:val="20"/>
                <w:szCs w:val="20"/>
                <w:highlight w:val="none"/>
                <w:lang w:bidi="ar"/>
              </w:rPr>
              <w:t>存在拖欠农民工工资问题</w:t>
            </w:r>
            <w:r>
              <w:rPr>
                <w:rFonts w:hint="eastAsia"/>
                <w:color w:val="000000"/>
                <w:sz w:val="20"/>
                <w:szCs w:val="20"/>
                <w:highlight w:val="none"/>
                <w:lang w:bidi="ar"/>
              </w:rPr>
              <w:t>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57</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违反国家政策、法律法规，对破坏生态环境，</w:t>
            </w:r>
            <w:r>
              <w:rPr>
                <w:rFonts w:hint="eastAsia"/>
                <w:b/>
                <w:bCs/>
                <w:color w:val="000000"/>
                <w:sz w:val="20"/>
                <w:szCs w:val="20"/>
                <w:highlight w:val="none"/>
                <w:lang w:bidi="ar"/>
              </w:rPr>
              <w:t>对环境造成污染的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58</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违反劳动法</w:t>
            </w:r>
            <w:r>
              <w:rPr>
                <w:rFonts w:hint="eastAsia"/>
                <w:color w:val="000000"/>
                <w:sz w:val="20"/>
                <w:szCs w:val="20"/>
                <w:highlight w:val="none"/>
                <w:lang w:bidi="ar"/>
              </w:rPr>
              <w:t>等法规，引起员工仲裁并对中国海油造成不良影响的</w:t>
            </w:r>
          </w:p>
        </w:tc>
        <w:tc>
          <w:tcPr>
            <w:tcW w:w="1281"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59</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b/>
                <w:bCs/>
                <w:color w:val="000000"/>
                <w:sz w:val="20"/>
                <w:szCs w:val="20"/>
                <w:highlight w:val="none"/>
                <w:lang w:bidi="ar"/>
              </w:rPr>
              <w:t>对存在其它不当行为可能给中国海油带来风险的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60</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对存在其它不当行为已经给中国海油带来风险的</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3" w:hRule="atLeast"/>
        </w:trPr>
        <w:tc>
          <w:tcPr>
            <w:tcW w:w="658" w:type="dxa"/>
            <w:shd w:val="clear" w:color="auto" w:fill="auto"/>
            <w:vAlign w:val="center"/>
          </w:tcPr>
          <w:p>
            <w:pPr>
              <w:jc w:val="center"/>
              <w:textAlignment w:val="center"/>
              <w:rPr>
                <w:color w:val="000000"/>
                <w:sz w:val="20"/>
                <w:szCs w:val="20"/>
                <w:highlight w:val="none"/>
              </w:rPr>
            </w:pPr>
            <w:r>
              <w:rPr>
                <w:rFonts w:hint="eastAsia"/>
                <w:color w:val="000000"/>
                <w:sz w:val="20"/>
                <w:szCs w:val="20"/>
                <w:highlight w:val="none"/>
                <w:lang w:bidi="ar"/>
              </w:rPr>
              <w:t>61</w:t>
            </w:r>
          </w:p>
        </w:tc>
        <w:tc>
          <w:tcPr>
            <w:tcW w:w="1266" w:type="dxa"/>
            <w:vMerge w:val="continue"/>
            <w:shd w:val="clear" w:color="auto" w:fill="auto"/>
            <w:vAlign w:val="center"/>
          </w:tcPr>
          <w:p>
            <w:pPr>
              <w:rPr>
                <w:color w:val="000000"/>
                <w:sz w:val="20"/>
                <w:szCs w:val="20"/>
                <w:highlight w:val="none"/>
              </w:rPr>
            </w:pPr>
          </w:p>
        </w:tc>
        <w:tc>
          <w:tcPr>
            <w:tcW w:w="5484"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其它</w:t>
            </w:r>
            <w:r>
              <w:rPr>
                <w:rFonts w:hint="eastAsia"/>
                <w:b/>
                <w:bCs/>
                <w:color w:val="000000"/>
                <w:sz w:val="20"/>
                <w:szCs w:val="20"/>
                <w:highlight w:val="none"/>
                <w:lang w:bidi="ar"/>
              </w:rPr>
              <w:t>违反国家法律法规及集团公司规章制度</w:t>
            </w:r>
            <w:r>
              <w:rPr>
                <w:rFonts w:hint="eastAsia"/>
                <w:color w:val="000000"/>
                <w:sz w:val="20"/>
                <w:szCs w:val="20"/>
                <w:highlight w:val="none"/>
                <w:lang w:bidi="ar"/>
              </w:rPr>
              <w:t>的行为，包括国家、审计、纪检监察、巡视等函件反映问题等</w:t>
            </w:r>
          </w:p>
        </w:tc>
        <w:tc>
          <w:tcPr>
            <w:tcW w:w="1281" w:type="dxa"/>
            <w:shd w:val="clear" w:color="auto" w:fill="auto"/>
            <w:vAlign w:val="center"/>
          </w:tcPr>
          <w:p>
            <w:pPr>
              <w:textAlignment w:val="center"/>
              <w:rPr>
                <w:color w:val="000000"/>
                <w:sz w:val="20"/>
                <w:szCs w:val="20"/>
                <w:highlight w:val="none"/>
              </w:rPr>
            </w:pPr>
            <w:r>
              <w:rPr>
                <w:rFonts w:hint="eastAsia"/>
                <w:color w:val="000000"/>
                <w:sz w:val="20"/>
                <w:szCs w:val="20"/>
                <w:highlight w:val="none"/>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highlight w:val="none"/>
        </w:rPr>
      </w:pPr>
    </w:p>
    <w:p>
      <w:pPr>
        <w:pStyle w:val="6"/>
        <w:rPr>
          <w:rFonts w:asciiTheme="minorEastAsia" w:hAnsiTheme="minorEastAsia"/>
          <w:sz w:val="24"/>
          <w:szCs w:val="24"/>
          <w:highlight w:val="none"/>
        </w:rPr>
      </w:pPr>
    </w:p>
    <w:p>
      <w:pPr>
        <w:rPr>
          <w:rFonts w:hint="eastAsia" w:asciiTheme="minorEastAsia" w:hAnsiTheme="minorEastAsia"/>
          <w:sz w:val="24"/>
          <w:szCs w:val="24"/>
          <w:highlight w:val="none"/>
          <w:lang w:val="en-US" w:eastAsia="zh-CN"/>
        </w:rPr>
      </w:pPr>
    </w:p>
    <w:p>
      <w:pPr>
        <w:rPr>
          <w:rFonts w:hint="eastAsia" w:asciiTheme="minorEastAsia" w:hAnsiTheme="minorEastAsia"/>
          <w:sz w:val="24"/>
          <w:szCs w:val="24"/>
          <w:highlight w:val="none"/>
          <w:lang w:val="en-US" w:eastAsia="zh-CN"/>
        </w:rPr>
      </w:pPr>
    </w:p>
    <w:p>
      <w:pPr>
        <w:rPr>
          <w:rFonts w:hint="eastAsia" w:asciiTheme="minorEastAsia" w:hAnsiTheme="minorEastAsia"/>
          <w:sz w:val="24"/>
          <w:szCs w:val="24"/>
          <w:highlight w:val="none"/>
          <w:lang w:val="en-US" w:eastAsia="zh-CN"/>
        </w:rPr>
      </w:pPr>
    </w:p>
    <w:p>
      <w:pPr>
        <w:outlineLvl w:val="9"/>
        <w:rPr>
          <w:rFonts w:hint="eastAsia" w:ascii="黑体" w:hAnsi="黑体" w:eastAsia="黑体"/>
          <w:sz w:val="24"/>
          <w:szCs w:val="22"/>
          <w:highlight w:val="none"/>
          <w:lang w:val="en-US" w:eastAsia="zh-CN"/>
        </w:rPr>
      </w:pPr>
      <w:r>
        <w:rPr>
          <w:rFonts w:hint="eastAsia" w:ascii="黑体" w:hAnsi="黑体" w:eastAsia="黑体"/>
          <w:sz w:val="24"/>
          <w:szCs w:val="22"/>
          <w:highlight w:val="none"/>
          <w:lang w:val="en-US" w:eastAsia="zh-CN"/>
        </w:rPr>
        <w:br w:type="page"/>
      </w:r>
    </w:p>
    <w:p>
      <w:pPr>
        <w:outlineLvl w:val="1"/>
        <w:rPr>
          <w:rFonts w:hint="default" w:asciiTheme="minorEastAsia" w:hAnsiTheme="minorEastAsia" w:eastAsiaTheme="minorEastAsia"/>
          <w:sz w:val="24"/>
          <w:szCs w:val="24"/>
          <w:highlight w:val="none"/>
          <w:lang w:val="en-US" w:eastAsia="zh-CN"/>
        </w:rPr>
      </w:pPr>
      <w:r>
        <w:rPr>
          <w:rFonts w:hint="eastAsia" w:ascii="黑体" w:hAnsi="黑体" w:eastAsia="黑体"/>
          <w:sz w:val="24"/>
          <w:szCs w:val="22"/>
          <w:highlight w:val="none"/>
          <w:lang w:val="en-US" w:eastAsia="zh-CN"/>
        </w:rPr>
        <w:t>4.2集团公司</w:t>
      </w:r>
      <w:r>
        <w:rPr>
          <w:rFonts w:hint="eastAsia" w:ascii="黑体" w:hAnsi="黑体" w:eastAsia="黑体"/>
          <w:sz w:val="24"/>
          <w:highlight w:val="none"/>
        </w:rPr>
        <w:t>供应商处理情形和处理标准</w:t>
      </w:r>
    </w:p>
    <w:p>
      <w:pPr>
        <w:pStyle w:val="6"/>
        <w:rPr>
          <w:rFonts w:asciiTheme="minorEastAsia" w:hAnsiTheme="minorEastAsia"/>
          <w:sz w:val="24"/>
          <w:szCs w:val="24"/>
          <w:highlight w:val="none"/>
        </w:rPr>
      </w:pPr>
    </w:p>
    <w:tbl>
      <w:tblPr>
        <w:tblStyle w:val="16"/>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softHyphen/>
            </w:r>
            <w:r>
              <w:rPr>
                <w:rFonts w:hint="eastAsia" w:ascii="宋体" w:hAnsi="宋体" w:eastAsia="宋体" w:cs="宋体"/>
                <w:color w:val="000000" w:themeColor="text1"/>
                <w:kern w:val="0"/>
                <w:sz w:val="20"/>
                <w:szCs w:val="20"/>
                <w:highlight w:val="none"/>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根据专业机构调查结论，对供应商</w:t>
            </w:r>
            <w:r>
              <w:rPr>
                <w:rFonts w:hint="eastAsia" w:ascii="宋体" w:hAnsi="宋体" w:eastAsia="宋体" w:cs="宋体"/>
                <w:sz w:val="20"/>
                <w:szCs w:val="20"/>
                <w:highlight w:val="none"/>
              </w:rPr>
              <w:t>或相关品类</w:t>
            </w:r>
            <w:r>
              <w:rPr>
                <w:rFonts w:hint="eastAsia" w:ascii="宋体" w:hAnsi="宋体" w:eastAsia="宋体" w:cs="宋体"/>
                <w:color w:val="000000" w:themeColor="text1"/>
                <w:kern w:val="0"/>
                <w:sz w:val="20"/>
                <w:szCs w:val="20"/>
                <w:highlight w:val="none"/>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由工程与物装部组织相关管理部门及所属单位，对供应商问题性质及业务实际情况判定，进行相应处理。</w:t>
            </w:r>
          </w:p>
        </w:tc>
      </w:tr>
    </w:tbl>
    <w:p>
      <w:pPr>
        <w:pStyle w:val="8"/>
        <w:ind w:left="0" w:leftChars="0" w:firstLine="0" w:firstLineChars="0"/>
        <w:rPr>
          <w:rFonts w:hint="eastAsia" w:ascii="宋体" w:hAnsi="宋体" w:cs="宋体"/>
          <w:sz w:val="20"/>
          <w:szCs w:val="20"/>
          <w:highlight w:val="none"/>
          <w:lang w:eastAsia="zh-CN"/>
        </w:rPr>
      </w:pPr>
    </w:p>
    <w:p>
      <w:pPr>
        <w:pStyle w:val="6"/>
        <w:ind w:firstLine="0" w:firstLineChars="0"/>
        <w:rPr>
          <w:rFonts w:hint="default" w:eastAsia="宋体"/>
          <w:highlight w:val="none"/>
          <w:lang w:val="en-US" w:eastAsia="zh-CN"/>
        </w:rPr>
      </w:pPr>
      <w:r>
        <w:rPr>
          <w:rFonts w:hint="eastAsia" w:eastAsia="宋体"/>
          <w:highlight w:val="none"/>
          <w:lang w:val="en-US" w:eastAsia="zh-CN"/>
        </w:rPr>
        <w:t>供应商处理结果以集团公司审批为准，本附件仅作为风险提示。</w:t>
      </w: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t>附件5：商务文件</w:t>
      </w:r>
    </w:p>
    <w:p>
      <w:pPr>
        <w:pStyle w:val="30"/>
        <w:rPr>
          <w:rFonts w:hint="eastAsia"/>
          <w:highlight w:val="none"/>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highlight w:val="none"/>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highlight w:val="none"/>
          <w:lang w:val="en-US" w:eastAsia="zh-CN"/>
        </w:rPr>
        <w:t>5.9： 制造商承诺书及相关支持文件</w:t>
      </w:r>
      <w:r>
        <w:rPr>
          <w:rFonts w:hint="eastAsia" w:ascii="宋体" w:hAnsi="宋体" w:cstheme="minorBidi"/>
          <w:color w:val="000000"/>
          <w:kern w:val="2"/>
          <w:sz w:val="21"/>
          <w:szCs w:val="22"/>
          <w:highlight w:val="none"/>
          <w:lang w:val="en-US" w:eastAsia="zh-CN" w:bidi="ar-SA"/>
        </w:rPr>
        <w:t>——详见附件</w:t>
      </w:r>
    </w:p>
    <w:p>
      <w:pPr>
        <w:adjustRightInd/>
        <w:jc w:val="both"/>
        <w:outlineLvl w:val="0"/>
        <w:rPr>
          <w:rFonts w:hint="eastAsia" w:ascii="宋体" w:hAnsi="宋体" w:eastAsiaTheme="minorEastAsia"/>
          <w:color w:val="000000"/>
          <w:sz w:val="21"/>
          <w:szCs w:val="22"/>
          <w:highlight w:val="none"/>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highlight w:val="none"/>
          <w:lang w:val="en-US" w:eastAsia="zh-CN" w:bidi="ar-SA"/>
        </w:rPr>
      </w:pPr>
      <w:r>
        <w:rPr>
          <w:rFonts w:hint="eastAsia" w:ascii="宋体" w:hAnsi="宋体" w:eastAsiaTheme="minorEastAsia"/>
          <w:color w:val="000000"/>
          <w:sz w:val="21"/>
          <w:szCs w:val="22"/>
          <w:highlight w:val="none"/>
          <w:lang w:val="en-US" w:eastAsia="zh-CN"/>
        </w:rPr>
        <w:t>5.</w:t>
      </w:r>
      <w:r>
        <w:rPr>
          <w:rFonts w:hint="eastAsia" w:ascii="宋体" w:hAnsi="宋体"/>
          <w:color w:val="000000"/>
          <w:sz w:val="21"/>
          <w:szCs w:val="22"/>
          <w:highlight w:val="none"/>
          <w:lang w:val="en-US" w:eastAsia="zh-CN"/>
        </w:rPr>
        <w:t>11</w:t>
      </w:r>
      <w:r>
        <w:rPr>
          <w:rFonts w:hint="eastAsia" w:ascii="宋体" w:hAnsi="宋体" w:eastAsiaTheme="minorEastAsia"/>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highlight w:val="none"/>
          <w:lang w:val="en-US" w:eastAsia="zh-CN" w:bidi="ar-SA"/>
        </w:rPr>
        <w:t>——详见附件</w:t>
      </w:r>
    </w:p>
    <w:p>
      <w:pPr>
        <w:pStyle w:val="30"/>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highlight w:val="none"/>
          <w:lang w:val="en-US" w:eastAsia="zh-CN" w:bidi="ar-SA"/>
        </w:rPr>
        <w:t>5.12：其他补充</w:t>
      </w:r>
    </w:p>
    <w:p>
      <w:pPr>
        <w:rPr>
          <w:rFonts w:hint="eastAsia"/>
          <w:highlight w:val="none"/>
          <w:lang w:val="en-US" w:eastAsia="zh-CN"/>
        </w:rPr>
      </w:pPr>
    </w:p>
    <w:p>
      <w:pPr>
        <w:pStyle w:val="30"/>
        <w:rPr>
          <w:rFonts w:hint="eastAsia"/>
          <w:highlight w:val="none"/>
          <w:lang w:val="en-US" w:eastAsia="zh-CN"/>
        </w:rPr>
      </w:pPr>
    </w:p>
    <w:p>
      <w:pPr>
        <w:rPr>
          <w:rFonts w:hint="eastAsia"/>
          <w:highlight w:val="none"/>
          <w:lang w:val="en-US" w:eastAsia="zh-CN"/>
        </w:rPr>
      </w:pPr>
    </w:p>
    <w:p>
      <w:pPr>
        <w:pStyle w:val="30"/>
        <w:rPr>
          <w:rFonts w:hint="eastAsia"/>
          <w:highlight w:val="none"/>
          <w:lang w:val="en-US" w:eastAsia="zh-CN"/>
        </w:rPr>
      </w:pPr>
    </w:p>
    <w:p>
      <w:pPr>
        <w:rPr>
          <w:rFonts w:hint="eastAsia"/>
          <w:highlight w:val="none"/>
          <w:lang w:val="en-US" w:eastAsia="zh-CN"/>
        </w:rPr>
      </w:pPr>
    </w:p>
    <w:p>
      <w:pPr>
        <w:pStyle w:val="30"/>
        <w:rPr>
          <w:rFonts w:hint="eastAsia"/>
          <w:highlight w:val="none"/>
          <w:lang w:val="en-US" w:eastAsia="zh-CN"/>
        </w:rPr>
      </w:pPr>
    </w:p>
    <w:p>
      <w:pPr>
        <w:rPr>
          <w:rFonts w:hint="eastAsia"/>
          <w:highlight w:val="none"/>
          <w:lang w:val="en-US" w:eastAsia="zh-CN"/>
        </w:rPr>
      </w:pPr>
    </w:p>
    <w:p>
      <w:pPr>
        <w:pStyle w:val="30"/>
        <w:rPr>
          <w:rFonts w:hint="eastAsia"/>
          <w:highlight w:val="none"/>
          <w:lang w:val="en-US" w:eastAsia="zh-CN"/>
        </w:rPr>
      </w:pPr>
    </w:p>
    <w:p>
      <w:pPr>
        <w:rPr>
          <w:rFonts w:hint="eastAsia"/>
          <w:highlight w:val="none"/>
          <w:lang w:val="en-US" w:eastAsia="zh-CN"/>
        </w:rPr>
      </w:pPr>
    </w:p>
    <w:p>
      <w:pPr>
        <w:pStyle w:val="30"/>
        <w:rPr>
          <w:rFonts w:hint="eastAsia"/>
          <w:highlight w:val="none"/>
          <w:lang w:val="en-US" w:eastAsia="zh-CN"/>
        </w:rPr>
      </w:pPr>
    </w:p>
    <w:p>
      <w:pPr>
        <w:rPr>
          <w:rFonts w:hint="eastAsia"/>
          <w:highlight w:val="none"/>
          <w:lang w:val="en-US" w:eastAsia="zh-CN"/>
        </w:rPr>
      </w:pPr>
    </w:p>
    <w:p>
      <w:pPr>
        <w:pStyle w:val="30"/>
        <w:rPr>
          <w:rFonts w:hint="eastAsia"/>
          <w:highlight w:val="none"/>
          <w:lang w:val="en-US" w:eastAsia="zh-CN"/>
        </w:rPr>
      </w:pPr>
    </w:p>
    <w:p>
      <w:pPr>
        <w:rPr>
          <w:rFonts w:hint="eastAsia"/>
          <w:highlight w:val="none"/>
          <w:lang w:val="en-US" w:eastAsia="zh-CN"/>
        </w:rPr>
      </w:pPr>
    </w:p>
    <w:p>
      <w:pPr>
        <w:pStyle w:val="30"/>
        <w:rPr>
          <w:rFonts w:hint="eastAsia"/>
          <w:highlight w:val="none"/>
          <w:lang w:val="en-US" w:eastAsia="zh-CN"/>
        </w:rPr>
      </w:pPr>
    </w:p>
    <w:p>
      <w:pPr>
        <w:rPr>
          <w:rFonts w:hint="eastAsia"/>
          <w:highlight w:val="none"/>
          <w:lang w:val="en-US" w:eastAsia="zh-CN"/>
        </w:rPr>
      </w:pPr>
    </w:p>
    <w:p>
      <w:pPr>
        <w:pStyle w:val="30"/>
        <w:rPr>
          <w:rFonts w:hint="eastAsia"/>
          <w:highlight w:val="none"/>
          <w:lang w:val="en-US" w:eastAsia="zh-CN"/>
        </w:rPr>
      </w:pPr>
    </w:p>
    <w:p>
      <w:pPr>
        <w:rPr>
          <w:rFonts w:hint="eastAsia"/>
          <w:highlight w:val="none"/>
          <w:lang w:val="en-US" w:eastAsia="zh-CN"/>
        </w:rPr>
      </w:pPr>
    </w:p>
    <w:p>
      <w:pPr>
        <w:pStyle w:val="30"/>
        <w:rPr>
          <w:rFonts w:hint="eastAsia"/>
          <w:highlight w:val="none"/>
          <w:lang w:val="en-US" w:eastAsia="zh-CN"/>
        </w:rPr>
      </w:pPr>
    </w:p>
    <w:p>
      <w:pPr>
        <w:rPr>
          <w:rFonts w:hint="eastAsia"/>
          <w:highlight w:val="none"/>
          <w:lang w:val="en-US" w:eastAsia="zh-CN"/>
        </w:rPr>
      </w:pPr>
    </w:p>
    <w:p>
      <w:pPr>
        <w:pStyle w:val="30"/>
        <w:rPr>
          <w:rFonts w:hint="eastAsia"/>
          <w:highlight w:val="none"/>
          <w:lang w:val="en-US" w:eastAsia="zh-CN"/>
        </w:rPr>
      </w:pPr>
    </w:p>
    <w:p>
      <w:pPr>
        <w:rPr>
          <w:rFonts w:hint="eastAsia"/>
          <w:highlight w:val="none"/>
          <w:lang w:val="en-US" w:eastAsia="zh-CN"/>
        </w:rPr>
      </w:pPr>
    </w:p>
    <w:p>
      <w:pPr>
        <w:pStyle w:val="30"/>
        <w:rPr>
          <w:rFonts w:hint="eastAsia"/>
          <w:highlight w:val="none"/>
          <w:lang w:val="en-US" w:eastAsia="zh-CN"/>
        </w:rPr>
      </w:pPr>
    </w:p>
    <w:p>
      <w:pPr>
        <w:rPr>
          <w:rFonts w:hint="eastAsia"/>
          <w:highlight w:val="none"/>
          <w:lang w:val="en-US" w:eastAsia="zh-CN"/>
        </w:rPr>
      </w:pPr>
    </w:p>
    <w:p>
      <w:pPr>
        <w:pStyle w:val="30"/>
        <w:rPr>
          <w:rFonts w:hint="eastAsia"/>
          <w:highlight w:val="none"/>
          <w:lang w:val="en-US" w:eastAsia="zh-CN"/>
        </w:rPr>
      </w:pPr>
    </w:p>
    <w:p>
      <w:pPr>
        <w:rPr>
          <w:rFonts w:hint="eastAsia"/>
          <w:highlight w:val="none"/>
          <w:lang w:val="en-US" w:eastAsia="zh-CN"/>
        </w:rPr>
      </w:pPr>
    </w:p>
    <w:p>
      <w:pPr>
        <w:pStyle w:val="30"/>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highlight w:val="none"/>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highlight w:val="none"/>
          <w:lang w:val="en-US" w:eastAsia="zh-CN"/>
        </w:rPr>
        <w:t>：法定代表人（单位负责人）身份证明</w:t>
      </w:r>
    </w:p>
    <w:p>
      <w:pPr>
        <w:pStyle w:val="8"/>
        <w:keepNext w:val="0"/>
        <w:keepLines w:val="0"/>
        <w:pageBreakBefore w:val="0"/>
        <w:widowControl w:val="0"/>
        <w:kinsoku/>
        <w:wordWrap/>
        <w:overflowPunct/>
        <w:topLinePunct w:val="0"/>
        <w:autoSpaceDE/>
        <w:autoSpaceDN/>
        <w:bidi w:val="0"/>
        <w:adjustRightInd/>
        <w:snapToGrid/>
        <w:ind w:left="782"/>
        <w:textAlignment w:val="auto"/>
        <w:rPr>
          <w:rFonts w:hint="eastAsia"/>
          <w:highlight w:val="none"/>
          <w:lang w:val="en-US" w:eastAsia="zh-CN"/>
        </w:rPr>
      </w:pPr>
    </w:p>
    <w:p>
      <w:pPr>
        <w:pStyle w:val="6"/>
        <w:rPr>
          <w:rFonts w:ascii="微软雅黑" w:hAnsi="微软雅黑" w:eastAsia="微软雅黑"/>
          <w:b/>
          <w:spacing w:val="2"/>
          <w:sz w:val="32"/>
          <w:szCs w:val="32"/>
          <w:highlight w:val="none"/>
        </w:rPr>
      </w:pPr>
    </w:p>
    <w:p>
      <w:pPr>
        <w:pStyle w:val="6"/>
        <w:rPr>
          <w:rFonts w:ascii="微软雅黑" w:hAnsi="微软雅黑" w:eastAsia="微软雅黑"/>
          <w:b/>
          <w:spacing w:val="2"/>
          <w:sz w:val="32"/>
          <w:szCs w:val="32"/>
          <w:highlight w:val="none"/>
        </w:rPr>
      </w:pPr>
    </w:p>
    <w:p>
      <w:pPr>
        <w:spacing w:before="120" w:beforeLines="50" w:after="120" w:afterLines="50"/>
        <w:ind w:right="11"/>
        <w:jc w:val="center"/>
        <w:rPr>
          <w:rFonts w:ascii="微软雅黑" w:hAnsi="微软雅黑" w:eastAsia="微软雅黑"/>
          <w:b/>
          <w:sz w:val="32"/>
          <w:szCs w:val="32"/>
          <w:highlight w:val="none"/>
        </w:rPr>
      </w:pPr>
      <w:r>
        <w:rPr>
          <w:rFonts w:ascii="微软雅黑" w:hAnsi="微软雅黑" w:eastAsia="微软雅黑"/>
          <w:b/>
          <w:spacing w:val="2"/>
          <w:sz w:val="32"/>
          <w:szCs w:val="32"/>
          <w:highlight w:val="none"/>
        </w:rPr>
        <w:t>法定代表</w:t>
      </w:r>
      <w:r>
        <w:rPr>
          <w:rFonts w:ascii="微软雅黑" w:hAnsi="微软雅黑" w:eastAsia="微软雅黑"/>
          <w:b/>
          <w:sz w:val="32"/>
          <w:szCs w:val="32"/>
          <w:highlight w:val="none"/>
        </w:rPr>
        <w:t>人</w:t>
      </w:r>
      <w:r>
        <w:rPr>
          <w:rFonts w:ascii="微软雅黑" w:hAnsi="微软雅黑" w:eastAsia="微软雅黑"/>
          <w:b/>
          <w:spacing w:val="2"/>
          <w:sz w:val="32"/>
          <w:szCs w:val="32"/>
          <w:highlight w:val="none"/>
        </w:rPr>
        <w:t>（单位负责人</w:t>
      </w:r>
      <w:r>
        <w:rPr>
          <w:rFonts w:ascii="微软雅黑" w:hAnsi="微软雅黑" w:eastAsia="微软雅黑"/>
          <w:b/>
          <w:sz w:val="32"/>
          <w:szCs w:val="32"/>
          <w:highlight w:val="none"/>
        </w:rPr>
        <w:t>）</w:t>
      </w:r>
      <w:r>
        <w:rPr>
          <w:rFonts w:ascii="微软雅黑" w:hAnsi="微软雅黑" w:eastAsia="微软雅黑"/>
          <w:b/>
          <w:spacing w:val="2"/>
          <w:sz w:val="32"/>
          <w:szCs w:val="32"/>
          <w:highlight w:val="none"/>
        </w:rPr>
        <w:t>身份证</w:t>
      </w:r>
      <w:r>
        <w:rPr>
          <w:rFonts w:ascii="微软雅黑" w:hAnsi="微软雅黑" w:eastAsia="微软雅黑"/>
          <w:b/>
          <w:sz w:val="32"/>
          <w:szCs w:val="32"/>
          <w:highlight w:val="none"/>
        </w:rPr>
        <w:t>明</w:t>
      </w:r>
    </w:p>
    <w:p>
      <w:pPr>
        <w:tabs>
          <w:tab w:val="left" w:pos="142"/>
        </w:tabs>
        <w:spacing w:line="200" w:lineRule="exact"/>
        <w:ind w:right="11"/>
        <w:jc w:val="center"/>
        <w:rPr>
          <w:rFonts w:ascii="微软雅黑" w:hAnsi="微软雅黑" w:eastAsia="微软雅黑"/>
          <w:sz w:val="20"/>
          <w:szCs w:val="20"/>
          <w:highlight w:val="none"/>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highlight w:val="none"/>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highlight w:val="none"/>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名</w:t>
      </w:r>
      <w:r>
        <w:rPr>
          <w:rFonts w:ascii="微软雅黑" w:hAnsi="微软雅黑" w:eastAsia="微软雅黑" w:cstheme="minorBidi"/>
          <w:spacing w:val="-3"/>
          <w:kern w:val="0"/>
          <w:sz w:val="24"/>
          <w:szCs w:val="24"/>
          <w:highlight w:val="none"/>
          <w:lang w:val="en-US" w:eastAsia="zh-CN" w:bidi="ar-SA"/>
        </w:rPr>
        <w:t>称</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w w:val="225"/>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姓名</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性别</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年</w:t>
      </w:r>
      <w:r>
        <w:rPr>
          <w:rFonts w:ascii="微软雅黑" w:hAnsi="微软雅黑" w:eastAsia="微软雅黑" w:cstheme="minorBidi"/>
          <w:spacing w:val="-3"/>
          <w:kern w:val="0"/>
          <w:sz w:val="24"/>
          <w:szCs w:val="24"/>
          <w:highlight w:val="none"/>
          <w:lang w:val="en-US" w:eastAsia="zh-CN" w:bidi="ar-SA"/>
        </w:rPr>
        <w:t>龄</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职</w:t>
      </w:r>
      <w:r>
        <w:rPr>
          <w:rFonts w:ascii="微软雅黑" w:hAnsi="微软雅黑" w:eastAsia="微软雅黑" w:cstheme="minorBidi"/>
          <w:spacing w:val="-3"/>
          <w:kern w:val="0"/>
          <w:sz w:val="24"/>
          <w:szCs w:val="24"/>
          <w:highlight w:val="none"/>
          <w:lang w:val="en-US" w:eastAsia="zh-CN" w:bidi="ar-SA"/>
        </w:rPr>
        <w:t>务</w:t>
      </w:r>
      <w:r>
        <w:rPr>
          <w:rFonts w:ascii="微软雅黑" w:hAnsi="微软雅黑" w:eastAsia="微软雅黑" w:cstheme="minorBidi"/>
          <w:spacing w:val="-1"/>
          <w:kern w:val="0"/>
          <w:sz w:val="24"/>
          <w:szCs w:val="24"/>
          <w:highlight w:val="none"/>
          <w:lang w:val="en-US" w:eastAsia="zh-CN" w:bidi="ar-SA"/>
        </w:rPr>
        <w:t>：</w:t>
      </w:r>
      <w:r>
        <w:rPr>
          <w:rFonts w:ascii="微软雅黑" w:hAnsi="微软雅黑" w:eastAsia="微软雅黑" w:cstheme="minorBidi"/>
          <w:w w:val="225"/>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spacing w:val="-1"/>
          <w:kern w:val="0"/>
          <w:sz w:val="24"/>
          <w:szCs w:val="24"/>
          <w:highlight w:val="none"/>
          <w:lang w:val="en-US" w:eastAsia="zh-CN" w:bidi="ar-SA"/>
        </w:rPr>
        <w:t>系</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spacing w:val="-3"/>
          <w:kern w:val="0"/>
          <w:sz w:val="24"/>
          <w:szCs w:val="24"/>
          <w:highlight w:val="none"/>
          <w:lang w:val="en-US" w:eastAsia="zh-CN" w:bidi="ar-SA"/>
        </w:rPr>
        <w:t>（</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名</w:t>
      </w:r>
      <w:r>
        <w:rPr>
          <w:rFonts w:ascii="微软雅黑" w:hAnsi="微软雅黑" w:eastAsia="微软雅黑" w:cstheme="minorBidi"/>
          <w:kern w:val="0"/>
          <w:sz w:val="24"/>
          <w:szCs w:val="24"/>
          <w:highlight w:val="none"/>
          <w:lang w:val="en-US" w:eastAsia="zh-CN" w:bidi="ar-SA"/>
        </w:rPr>
        <w:t>称</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的</w:t>
      </w:r>
      <w:r>
        <w:rPr>
          <w:rFonts w:ascii="微软雅黑" w:hAnsi="微软雅黑" w:eastAsia="微软雅黑" w:cstheme="minorBidi"/>
          <w:spacing w:val="-3"/>
          <w:kern w:val="0"/>
          <w:sz w:val="24"/>
          <w:szCs w:val="24"/>
          <w:highlight w:val="none"/>
          <w:lang w:val="en-US" w:eastAsia="zh-CN" w:bidi="ar-SA"/>
        </w:rPr>
        <w:t>法定</w:t>
      </w:r>
      <w:r>
        <w:rPr>
          <w:rFonts w:ascii="微软雅黑" w:hAnsi="微软雅黑" w:eastAsia="微软雅黑" w:cstheme="minorBidi"/>
          <w:kern w:val="0"/>
          <w:sz w:val="24"/>
          <w:szCs w:val="24"/>
          <w:highlight w:val="none"/>
          <w:lang w:val="en-US" w:eastAsia="zh-CN" w:bidi="ar-SA"/>
        </w:rPr>
        <w:t>代表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6"/>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特此</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w:t>
      </w:r>
      <w:r>
        <w:rPr>
          <w:rFonts w:ascii="微软雅黑" w:hAnsi="微软雅黑" w:eastAsia="微软雅黑" w:cstheme="minorBidi"/>
          <w:spacing w:val="-3"/>
          <w:kern w:val="0"/>
          <w:sz w:val="24"/>
          <w:szCs w:val="24"/>
          <w:highlight w:val="none"/>
          <w:lang w:val="en-US" w:eastAsia="zh-CN" w:bidi="ar-SA"/>
        </w:rPr>
        <w:t>本</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明</w:t>
      </w:r>
      <w:r>
        <w:rPr>
          <w:rFonts w:ascii="微软雅黑" w:hAnsi="微软雅黑" w:eastAsia="微软雅黑" w:cstheme="minorBidi"/>
          <w:kern w:val="0"/>
          <w:sz w:val="24"/>
          <w:szCs w:val="24"/>
          <w:highlight w:val="none"/>
          <w:lang w:val="en-US" w:eastAsia="zh-CN" w:bidi="ar-SA"/>
        </w:rPr>
        <w:t>需</w:t>
      </w:r>
      <w:r>
        <w:rPr>
          <w:rFonts w:ascii="微软雅黑" w:hAnsi="微软雅黑" w:eastAsia="微软雅黑" w:cstheme="minorBidi"/>
          <w:spacing w:val="-3"/>
          <w:kern w:val="0"/>
          <w:sz w:val="24"/>
          <w:szCs w:val="24"/>
          <w:highlight w:val="none"/>
          <w:lang w:val="en-US" w:eastAsia="zh-CN" w:bidi="ar-SA"/>
        </w:rPr>
        <w:t>由</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w:t>
      </w:r>
      <w:r>
        <w:rPr>
          <w:rFonts w:ascii="微软雅黑" w:hAnsi="微软雅黑" w:eastAsia="微软雅黑" w:cstheme="minorBidi"/>
          <w:spacing w:val="-3"/>
          <w:kern w:val="0"/>
          <w:sz w:val="24"/>
          <w:szCs w:val="24"/>
          <w:highlight w:val="none"/>
          <w:lang w:val="en-US" w:eastAsia="zh-CN" w:bidi="ar-SA"/>
        </w:rPr>
        <w:t>盖</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tabs>
          <w:tab w:val="left" w:pos="142"/>
        </w:tabs>
        <w:ind w:right="11"/>
        <w:rPr>
          <w:rFonts w:ascii="微软雅黑" w:hAnsi="微软雅黑" w:eastAsia="微软雅黑"/>
          <w:sz w:val="24"/>
          <w:szCs w:val="24"/>
          <w:highlight w:val="none"/>
        </w:rPr>
      </w:pPr>
    </w:p>
    <w:p>
      <w:pPr>
        <w:tabs>
          <w:tab w:val="left" w:pos="142"/>
        </w:tabs>
        <w:ind w:right="11"/>
        <w:rPr>
          <w:rFonts w:ascii="微软雅黑" w:hAnsi="微软雅黑" w:eastAsia="微软雅黑"/>
          <w:sz w:val="24"/>
          <w:szCs w:val="24"/>
          <w:highlight w:val="none"/>
        </w:rPr>
      </w:pPr>
    </w:p>
    <w:p>
      <w:pPr>
        <w:tabs>
          <w:tab w:val="left" w:pos="142"/>
        </w:tabs>
        <w:ind w:right="11"/>
        <w:rPr>
          <w:rFonts w:ascii="微软雅黑" w:hAnsi="微软雅黑" w:eastAsia="微软雅黑"/>
          <w:sz w:val="24"/>
          <w:szCs w:val="24"/>
          <w:highlight w:val="none"/>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spacing w:val="-1"/>
          <w:kern w:val="0"/>
          <w:sz w:val="24"/>
          <w:szCs w:val="24"/>
          <w:highlight w:val="none"/>
          <w:lang w:val="en-US" w:eastAsia="zh-CN" w:bidi="ar-SA"/>
        </w:rPr>
        <w:t>：</w:t>
      </w:r>
      <w:r>
        <w:rPr>
          <w:rFonts w:hint="eastAsia" w:ascii="微软雅黑" w:hAnsi="微软雅黑" w:eastAsia="微软雅黑" w:cstheme="minorBidi"/>
          <w:spacing w:val="-1"/>
          <w:kern w:val="0"/>
          <w:sz w:val="24"/>
          <w:szCs w:val="24"/>
          <w:highlight w:val="none"/>
          <w:u w:val="single"/>
          <w:lang w:val="en-US" w:eastAsia="zh-CN" w:bidi="ar-SA"/>
        </w:rPr>
        <w:t xml:space="preserve">                   </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rPr>
          <w:highlight w:val="none"/>
        </w:rPr>
      </w:pPr>
      <w:r>
        <w:rPr>
          <w:rFonts w:hint="eastAsia" w:ascii="微软雅黑" w:hAnsi="微软雅黑" w:eastAsia="微软雅黑" w:cstheme="minorBidi"/>
          <w:w w:val="225"/>
          <w:kern w:val="0"/>
          <w:sz w:val="24"/>
          <w:szCs w:val="24"/>
          <w:highlight w:val="none"/>
          <w:lang w:val="en-US" w:eastAsia="zh-CN" w:bidi="ar-SA"/>
        </w:rPr>
        <w:t>____</w:t>
      </w:r>
      <w:r>
        <w:rPr>
          <w:rFonts w:ascii="微软雅黑" w:hAnsi="微软雅黑" w:eastAsia="微软雅黑" w:cstheme="minorBidi"/>
          <w:kern w:val="0"/>
          <w:sz w:val="24"/>
          <w:szCs w:val="24"/>
          <w:highlight w:val="none"/>
          <w:lang w:val="en-US" w:eastAsia="zh-CN" w:bidi="ar-SA"/>
        </w:rPr>
        <w:t>年</w:t>
      </w:r>
      <w:r>
        <w:rPr>
          <w:rFonts w:hint="eastAsia" w:ascii="微软雅黑" w:hAnsi="微软雅黑" w:eastAsia="微软雅黑" w:cstheme="minorBidi"/>
          <w:kern w:val="0"/>
          <w:sz w:val="24"/>
          <w:szCs w:val="24"/>
          <w:highlight w:val="none"/>
          <w:lang w:val="en-US" w:eastAsia="zh-CN" w:bidi="ar-SA"/>
        </w:rPr>
        <w:t>_______</w:t>
      </w:r>
      <w:r>
        <w:rPr>
          <w:rFonts w:ascii="微软雅黑" w:hAnsi="微软雅黑" w:eastAsia="微软雅黑" w:cstheme="minorBidi"/>
          <w:kern w:val="0"/>
          <w:sz w:val="24"/>
          <w:szCs w:val="24"/>
          <w:highlight w:val="none"/>
          <w:lang w:val="en-US" w:eastAsia="zh-CN" w:bidi="ar-SA"/>
        </w:rPr>
        <w:t>月</w:t>
      </w:r>
      <w:r>
        <w:rPr>
          <w:rFonts w:hint="eastAsia" w:ascii="微软雅黑" w:hAnsi="微软雅黑" w:eastAsia="微软雅黑" w:cstheme="minorBidi"/>
          <w:kern w:val="0"/>
          <w:sz w:val="24"/>
          <w:szCs w:val="24"/>
          <w:highlight w:val="none"/>
          <w:lang w:val="en-US" w:eastAsia="zh-CN" w:bidi="ar-SA"/>
        </w:rPr>
        <w:t>______</w:t>
      </w:r>
      <w:r>
        <w:rPr>
          <w:rFonts w:ascii="微软雅黑" w:hAnsi="微软雅黑" w:eastAsia="微软雅黑" w:cstheme="minorBidi"/>
          <w:kern w:val="0"/>
          <w:sz w:val="24"/>
          <w:szCs w:val="24"/>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t>5.3：授权委托书</w:t>
      </w:r>
    </w:p>
    <w:p>
      <w:pPr>
        <w:pStyle w:val="31"/>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highlight w:val="none"/>
          <w:lang w:eastAsia="zh-CN"/>
        </w:rPr>
      </w:pPr>
    </w:p>
    <w:p>
      <w:pPr>
        <w:pStyle w:val="31"/>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highlight w:val="none"/>
          <w:lang w:eastAsia="zh-CN"/>
        </w:rPr>
      </w:pPr>
      <w:r>
        <w:rPr>
          <w:rFonts w:ascii="微软雅黑" w:hAnsi="微软雅黑" w:eastAsia="微软雅黑"/>
          <w:b/>
          <w:spacing w:val="2"/>
          <w:highlight w:val="none"/>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本人</w:t>
      </w:r>
      <w:r>
        <w:rPr>
          <w:rFonts w:ascii="微软雅黑" w:hAnsi="微软雅黑" w:eastAsia="微软雅黑" w:cstheme="minorBidi"/>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姓</w:t>
      </w:r>
      <w:r>
        <w:rPr>
          <w:rFonts w:ascii="微软雅黑" w:hAnsi="微软雅黑" w:eastAsia="微软雅黑" w:cstheme="minorBidi"/>
          <w:kern w:val="0"/>
          <w:sz w:val="24"/>
          <w:szCs w:val="24"/>
          <w:highlight w:val="none"/>
          <w:lang w:val="en-US" w:eastAsia="zh-CN" w:bidi="ar-SA"/>
        </w:rPr>
        <w:t>名）</w:t>
      </w:r>
      <w:r>
        <w:rPr>
          <w:rFonts w:ascii="微软雅黑" w:hAnsi="微软雅黑" w:eastAsia="微软雅黑" w:cstheme="minorBidi"/>
          <w:spacing w:val="-1"/>
          <w:kern w:val="0"/>
          <w:sz w:val="24"/>
          <w:szCs w:val="24"/>
          <w:highlight w:val="none"/>
          <w:lang w:val="en-US" w:eastAsia="zh-CN" w:bidi="ar-SA"/>
        </w:rPr>
        <w:t>系</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名</w:t>
      </w:r>
      <w:r>
        <w:rPr>
          <w:rFonts w:ascii="微软雅黑" w:hAnsi="微软雅黑" w:eastAsia="微软雅黑" w:cstheme="minorBidi"/>
          <w:kern w:val="0"/>
          <w:sz w:val="24"/>
          <w:szCs w:val="24"/>
          <w:highlight w:val="none"/>
          <w:lang w:val="en-US" w:eastAsia="zh-CN" w:bidi="ar-SA"/>
        </w:rPr>
        <w:t>称）的</w:t>
      </w:r>
      <w:r>
        <w:rPr>
          <w:rFonts w:ascii="微软雅黑" w:hAnsi="微软雅黑" w:eastAsia="微软雅黑" w:cstheme="minorBidi"/>
          <w:spacing w:val="-3"/>
          <w:kern w:val="0"/>
          <w:sz w:val="24"/>
          <w:szCs w:val="24"/>
          <w:highlight w:val="none"/>
          <w:lang w:val="en-US" w:eastAsia="zh-CN" w:bidi="ar-SA"/>
        </w:rPr>
        <w:t>法定</w:t>
      </w:r>
      <w:r>
        <w:rPr>
          <w:rFonts w:ascii="微软雅黑" w:hAnsi="微软雅黑" w:eastAsia="微软雅黑" w:cstheme="minorBidi"/>
          <w:kern w:val="0"/>
          <w:sz w:val="24"/>
          <w:szCs w:val="24"/>
          <w:highlight w:val="none"/>
          <w:lang w:val="en-US" w:eastAsia="zh-CN" w:bidi="ar-SA"/>
        </w:rPr>
        <w:t>代表人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单位负责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4"/>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现</w:t>
      </w:r>
      <w:r>
        <w:rPr>
          <w:rFonts w:ascii="微软雅黑" w:hAnsi="微软雅黑" w:eastAsia="微软雅黑" w:cstheme="minorBidi"/>
          <w:kern w:val="0"/>
          <w:sz w:val="24"/>
          <w:szCs w:val="24"/>
          <w:highlight w:val="none"/>
          <w:lang w:val="en-US" w:eastAsia="zh-CN" w:bidi="ar-SA"/>
        </w:rPr>
        <w:t>委</w:t>
      </w:r>
      <w:r>
        <w:rPr>
          <w:rFonts w:ascii="微软雅黑" w:hAnsi="微软雅黑" w:eastAsia="微软雅黑" w:cstheme="minorBidi"/>
          <w:spacing w:val="-1"/>
          <w:kern w:val="0"/>
          <w:sz w:val="24"/>
          <w:szCs w:val="24"/>
          <w:highlight w:val="none"/>
          <w:lang w:val="en-US" w:eastAsia="zh-CN" w:bidi="ar-SA"/>
        </w:rPr>
        <w:t>托</w:t>
      </w:r>
      <w:r>
        <w:rPr>
          <w:rFonts w:ascii="微软雅黑" w:hAnsi="微软雅黑" w:eastAsia="微软雅黑" w:cstheme="minorBidi"/>
          <w:spacing w:val="-1"/>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（姓名）为我</w:t>
      </w:r>
      <w:r>
        <w:rPr>
          <w:rFonts w:ascii="微软雅黑" w:hAnsi="微软雅黑" w:eastAsia="微软雅黑" w:cstheme="minorBidi"/>
          <w:spacing w:val="-3"/>
          <w:kern w:val="0"/>
          <w:sz w:val="24"/>
          <w:szCs w:val="24"/>
          <w:highlight w:val="none"/>
          <w:lang w:val="en-US" w:eastAsia="zh-CN" w:bidi="ar-SA"/>
        </w:rPr>
        <w:t>方代</w:t>
      </w:r>
      <w:r>
        <w:rPr>
          <w:rFonts w:ascii="微软雅黑" w:hAnsi="微软雅黑" w:eastAsia="微软雅黑" w:cstheme="minorBidi"/>
          <w:kern w:val="0"/>
          <w:sz w:val="24"/>
          <w:szCs w:val="24"/>
          <w:highlight w:val="none"/>
          <w:lang w:val="en-US" w:eastAsia="zh-CN" w:bidi="ar-SA"/>
        </w:rPr>
        <w:t>理人。代理</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根据授</w:t>
      </w:r>
      <w:r>
        <w:rPr>
          <w:rFonts w:ascii="微软雅黑" w:hAnsi="微软雅黑" w:eastAsia="微软雅黑" w:cstheme="minorBidi"/>
          <w:spacing w:val="-3"/>
          <w:kern w:val="0"/>
          <w:sz w:val="24"/>
          <w:szCs w:val="24"/>
          <w:highlight w:val="none"/>
          <w:lang w:val="en-US" w:eastAsia="zh-CN" w:bidi="ar-SA"/>
        </w:rPr>
        <w:t>权，</w:t>
      </w:r>
      <w:r>
        <w:rPr>
          <w:rFonts w:ascii="微软雅黑" w:hAnsi="微软雅黑" w:eastAsia="微软雅黑" w:cstheme="minorBidi"/>
          <w:kern w:val="0"/>
          <w:sz w:val="24"/>
          <w:szCs w:val="24"/>
          <w:highlight w:val="none"/>
          <w:lang w:val="en-US" w:eastAsia="zh-CN" w:bidi="ar-SA"/>
        </w:rPr>
        <w:t>以我方名义</w:t>
      </w:r>
      <w:r>
        <w:rPr>
          <w:rFonts w:ascii="微软雅黑" w:hAnsi="微软雅黑" w:eastAsia="微软雅黑" w:cstheme="minorBidi"/>
          <w:spacing w:val="-3"/>
          <w:kern w:val="0"/>
          <w:sz w:val="24"/>
          <w:szCs w:val="24"/>
          <w:highlight w:val="none"/>
          <w:lang w:val="en-US" w:eastAsia="zh-CN" w:bidi="ar-SA"/>
        </w:rPr>
        <w:t>签</w:t>
      </w:r>
      <w:r>
        <w:rPr>
          <w:rFonts w:ascii="微软雅黑" w:hAnsi="微软雅黑" w:eastAsia="微软雅黑" w:cstheme="minorBidi"/>
          <w:kern w:val="0"/>
          <w:sz w:val="24"/>
          <w:szCs w:val="24"/>
          <w:highlight w:val="none"/>
          <w:lang w:val="en-US" w:eastAsia="zh-CN" w:bidi="ar-SA"/>
        </w:rPr>
        <w:t>署、澄清</w:t>
      </w:r>
      <w:r>
        <w:rPr>
          <w:rFonts w:hint="eastAsia"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确认、递交</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撤回</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修改</w:t>
      </w:r>
      <w:r>
        <w:rPr>
          <w:rFonts w:hint="eastAsia" w:ascii="微软雅黑" w:hAnsi="微软雅黑" w:eastAsia="微软雅黑" w:cstheme="minorBidi"/>
          <w:kern w:val="0"/>
          <w:sz w:val="24"/>
          <w:szCs w:val="24"/>
          <w:highlight w:val="none"/>
          <w:lang w:val="en-US" w:eastAsia="zh-CN" w:bidi="ar-SA"/>
        </w:rPr>
        <w:t>服务</w:t>
      </w:r>
      <w:r>
        <w:rPr>
          <w:rFonts w:ascii="微软雅黑" w:hAnsi="微软雅黑" w:eastAsia="微软雅黑" w:cstheme="minorBidi"/>
          <w:kern w:val="0"/>
          <w:sz w:val="24"/>
          <w:szCs w:val="24"/>
          <w:highlight w:val="none"/>
          <w:lang w:val="en-US" w:eastAsia="zh-CN" w:bidi="ar-SA"/>
        </w:rPr>
        <w:t>采购询价项目</w:t>
      </w:r>
      <w:r>
        <w:rPr>
          <w:rFonts w:hint="eastAsia" w:ascii="微软雅黑" w:hAnsi="微软雅黑" w:eastAsia="微软雅黑" w:cstheme="minorBidi"/>
          <w:kern w:val="0"/>
          <w:sz w:val="24"/>
          <w:szCs w:val="24"/>
          <w:highlight w:val="none"/>
          <w:lang w:val="en-US" w:eastAsia="zh-CN" w:bidi="ar-SA"/>
        </w:rPr>
        <w:t>报价</w:t>
      </w:r>
      <w:r>
        <w:rPr>
          <w:rFonts w:ascii="微软雅黑" w:hAnsi="微软雅黑" w:eastAsia="微软雅黑" w:cstheme="minorBidi"/>
          <w:kern w:val="0"/>
          <w:sz w:val="24"/>
          <w:szCs w:val="24"/>
          <w:highlight w:val="none"/>
          <w:lang w:val="en-US" w:eastAsia="zh-CN" w:bidi="ar-SA"/>
        </w:rPr>
        <w:t>文件、签订合</w:t>
      </w:r>
      <w:r>
        <w:rPr>
          <w:rFonts w:ascii="微软雅黑" w:hAnsi="微软雅黑" w:eastAsia="微软雅黑" w:cstheme="minorBidi"/>
          <w:spacing w:val="-3"/>
          <w:kern w:val="0"/>
          <w:sz w:val="24"/>
          <w:szCs w:val="24"/>
          <w:highlight w:val="none"/>
          <w:lang w:val="en-US" w:eastAsia="zh-CN" w:bidi="ar-SA"/>
        </w:rPr>
        <w:t>同</w:t>
      </w:r>
      <w:r>
        <w:rPr>
          <w:rFonts w:ascii="微软雅黑" w:hAnsi="微软雅黑" w:eastAsia="微软雅黑" w:cstheme="minorBidi"/>
          <w:kern w:val="0"/>
          <w:sz w:val="24"/>
          <w:szCs w:val="24"/>
          <w:highlight w:val="none"/>
          <w:lang w:val="en-US" w:eastAsia="zh-CN" w:bidi="ar-SA"/>
        </w:rPr>
        <w:t>和处</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有关事宜，其</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律后果</w:t>
      </w:r>
      <w:r>
        <w:rPr>
          <w:rFonts w:ascii="微软雅黑" w:hAnsi="微软雅黑" w:eastAsia="微软雅黑" w:cstheme="minorBidi"/>
          <w:spacing w:val="-3"/>
          <w:kern w:val="0"/>
          <w:sz w:val="24"/>
          <w:szCs w:val="24"/>
          <w:highlight w:val="none"/>
          <w:lang w:val="en-US" w:eastAsia="zh-CN" w:bidi="ar-SA"/>
        </w:rPr>
        <w:t>由</w:t>
      </w:r>
      <w:r>
        <w:rPr>
          <w:rFonts w:ascii="微软雅黑" w:hAnsi="微软雅黑" w:eastAsia="微软雅黑" w:cstheme="minorBidi"/>
          <w:kern w:val="0"/>
          <w:sz w:val="24"/>
          <w:szCs w:val="24"/>
          <w:highlight w:val="none"/>
          <w:lang w:val="en-US" w:eastAsia="zh-CN" w:bidi="ar-SA"/>
        </w:rPr>
        <w:t>我</w:t>
      </w:r>
      <w:r>
        <w:rPr>
          <w:rFonts w:ascii="微软雅黑" w:hAnsi="微软雅黑" w:eastAsia="微软雅黑" w:cstheme="minorBidi"/>
          <w:spacing w:val="-3"/>
          <w:kern w:val="0"/>
          <w:sz w:val="24"/>
          <w:szCs w:val="24"/>
          <w:highlight w:val="none"/>
          <w:lang w:val="en-US" w:eastAsia="zh-CN" w:bidi="ar-SA"/>
        </w:rPr>
        <w:t>方</w:t>
      </w:r>
      <w:r>
        <w:rPr>
          <w:rFonts w:ascii="微软雅黑" w:hAnsi="微软雅黑" w:eastAsia="微软雅黑" w:cstheme="minorBidi"/>
          <w:kern w:val="0"/>
          <w:sz w:val="24"/>
          <w:szCs w:val="24"/>
          <w:highlight w:val="none"/>
          <w:lang w:val="en-US" w:eastAsia="zh-CN" w:bidi="ar-SA"/>
        </w:rPr>
        <w:t>承</w:t>
      </w:r>
      <w:r>
        <w:rPr>
          <w:rFonts w:ascii="微软雅黑" w:hAnsi="微软雅黑" w:eastAsia="微软雅黑" w:cstheme="minorBidi"/>
          <w:spacing w:val="-3"/>
          <w:kern w:val="0"/>
          <w:sz w:val="24"/>
          <w:szCs w:val="24"/>
          <w:highlight w:val="none"/>
          <w:lang w:val="en-US" w:eastAsia="zh-CN" w:bidi="ar-SA"/>
        </w:rPr>
        <w:t>担</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委托</w:t>
      </w:r>
      <w:r>
        <w:rPr>
          <w:rFonts w:ascii="微软雅黑" w:hAnsi="微软雅黑" w:eastAsia="微软雅黑" w:cstheme="minorBidi"/>
          <w:spacing w:val="-3"/>
          <w:kern w:val="0"/>
          <w:sz w:val="24"/>
          <w:szCs w:val="24"/>
          <w:highlight w:val="none"/>
          <w:lang w:val="en-US" w:eastAsia="zh-CN" w:bidi="ar-SA"/>
        </w:rPr>
        <w:t>期</w:t>
      </w:r>
      <w:r>
        <w:rPr>
          <w:rFonts w:ascii="微软雅黑" w:hAnsi="微软雅黑" w:eastAsia="微软雅黑" w:cstheme="minorBidi"/>
          <w:kern w:val="0"/>
          <w:sz w:val="24"/>
          <w:szCs w:val="24"/>
          <w:highlight w:val="none"/>
          <w:lang w:val="en-US" w:eastAsia="zh-CN" w:bidi="ar-SA"/>
        </w:rPr>
        <w:t>限</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spacing w:val="-3"/>
          <w:kern w:val="0"/>
          <w:sz w:val="24"/>
          <w:szCs w:val="24"/>
          <w:highlight w:val="none"/>
          <w:u w:val="single" w:color="000000"/>
          <w:lang w:val="en-US" w:eastAsia="zh-CN" w:bidi="ar-SA"/>
        </w:rPr>
        <w:tab/>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代理</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无</w:t>
      </w:r>
      <w:r>
        <w:rPr>
          <w:rFonts w:ascii="微软雅黑" w:hAnsi="微软雅黑" w:eastAsia="微软雅黑" w:cstheme="minorBidi"/>
          <w:spacing w:val="-3"/>
          <w:kern w:val="0"/>
          <w:sz w:val="24"/>
          <w:szCs w:val="24"/>
          <w:highlight w:val="none"/>
          <w:lang w:val="en-US" w:eastAsia="zh-CN" w:bidi="ar-SA"/>
        </w:rPr>
        <w:t>转</w:t>
      </w:r>
      <w:r>
        <w:rPr>
          <w:rFonts w:ascii="微软雅黑" w:hAnsi="微软雅黑" w:eastAsia="微软雅黑" w:cstheme="minorBidi"/>
          <w:kern w:val="0"/>
          <w:sz w:val="24"/>
          <w:szCs w:val="24"/>
          <w:highlight w:val="none"/>
          <w:lang w:val="en-US" w:eastAsia="zh-CN" w:bidi="ar-SA"/>
        </w:rPr>
        <w:t>委</w:t>
      </w:r>
      <w:r>
        <w:rPr>
          <w:rFonts w:ascii="微软雅黑" w:hAnsi="微软雅黑" w:eastAsia="微软雅黑" w:cstheme="minorBidi"/>
          <w:spacing w:val="-3"/>
          <w:kern w:val="0"/>
          <w:sz w:val="24"/>
          <w:szCs w:val="24"/>
          <w:highlight w:val="none"/>
          <w:lang w:val="en-US" w:eastAsia="zh-CN" w:bidi="ar-SA"/>
        </w:rPr>
        <w:t>托</w:t>
      </w:r>
      <w:r>
        <w:rPr>
          <w:rFonts w:ascii="微软雅黑" w:hAnsi="微软雅黑" w:eastAsia="微软雅黑" w:cstheme="minorBidi"/>
          <w:kern w:val="0"/>
          <w:sz w:val="24"/>
          <w:szCs w:val="24"/>
          <w:highlight w:val="none"/>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highlight w:val="none"/>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highlight w:val="none"/>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spacing w:val="-3"/>
          <w:kern w:val="0"/>
          <w:sz w:val="24"/>
          <w:szCs w:val="24"/>
          <w:highlight w:val="none"/>
          <w:lang w:val="en-US" w:eastAsia="zh-CN" w:bidi="ar-SA"/>
        </w:rPr>
        <w:t>：</w:t>
      </w:r>
      <w:r>
        <w:rPr>
          <w:rFonts w:hint="eastAsia" w:ascii="微软雅黑" w:hAnsi="微软雅黑" w:eastAsia="微软雅黑" w:cstheme="minorBidi"/>
          <w:spacing w:val="-3"/>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法定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spacing w:val="-108"/>
          <w:kern w:val="0"/>
          <w:sz w:val="24"/>
          <w:szCs w:val="24"/>
          <w:highlight w:val="none"/>
          <w:lang w:val="en-US" w:eastAsia="zh-CN" w:bidi="ar-SA"/>
        </w:rPr>
        <w:t>）</w:t>
      </w:r>
      <w:r>
        <w:rPr>
          <w:rFonts w:ascii="微软雅黑" w:hAnsi="微软雅黑" w:eastAsia="微软雅黑" w:cstheme="minorBidi"/>
          <w:spacing w:val="-1"/>
          <w:kern w:val="0"/>
          <w:sz w:val="24"/>
          <w:szCs w:val="24"/>
          <w:highlight w:val="none"/>
          <w:lang w:val="en-US" w:eastAsia="zh-CN" w:bidi="ar-SA"/>
        </w:rPr>
        <w:t>：</w:t>
      </w:r>
      <w:r>
        <w:rPr>
          <w:rFonts w:hint="eastAsia" w:ascii="微软雅黑" w:hAnsi="微软雅黑" w:eastAsia="微软雅黑" w:cstheme="minorBidi"/>
          <w:spacing w:val="-1"/>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（签</w:t>
      </w:r>
      <w:r>
        <w:rPr>
          <w:rFonts w:ascii="微软雅黑" w:hAnsi="微软雅黑" w:eastAsia="微软雅黑" w:cstheme="minorBidi"/>
          <w:spacing w:val="-3"/>
          <w:kern w:val="0"/>
          <w:sz w:val="24"/>
          <w:szCs w:val="24"/>
          <w:highlight w:val="none"/>
          <w:lang w:val="en-US" w:eastAsia="zh-CN" w:bidi="ar-SA"/>
        </w:rPr>
        <w:t>字</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hint="eastAsia" w:ascii="微软雅黑" w:hAnsi="微软雅黑" w:eastAsia="微软雅黑" w:cstheme="minorBidi"/>
          <w:kern w:val="0"/>
          <w:sz w:val="24"/>
          <w:szCs w:val="24"/>
          <w:highlight w:val="none"/>
          <w:lang w:val="en-US" w:eastAsia="zh-CN" w:bidi="ar-SA"/>
        </w:rPr>
        <w:t xml:space="preserve"> </w:t>
      </w:r>
      <w:r>
        <w:rPr>
          <w:rFonts w:ascii="微软雅黑" w:hAnsi="微软雅黑" w:eastAsia="微软雅黑" w:cstheme="minorBidi"/>
          <w:kern w:val="0"/>
          <w:sz w:val="24"/>
          <w:szCs w:val="24"/>
          <w:highlight w:val="none"/>
          <w:lang w:val="en-US" w:eastAsia="zh-CN" w:bidi="ar-SA"/>
        </w:rPr>
        <w:t>身份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号</w:t>
      </w:r>
      <w:r>
        <w:rPr>
          <w:rFonts w:ascii="微软雅黑" w:hAnsi="微软雅黑" w:eastAsia="微软雅黑" w:cstheme="minorBidi"/>
          <w:spacing w:val="-3"/>
          <w:kern w:val="0"/>
          <w:sz w:val="24"/>
          <w:szCs w:val="24"/>
          <w:highlight w:val="none"/>
          <w:lang w:val="en-US" w:eastAsia="zh-CN" w:bidi="ar-SA"/>
        </w:rPr>
        <w:t>码：</w:t>
      </w:r>
      <w:r>
        <w:rPr>
          <w:rFonts w:hint="eastAsia" w:ascii="微软雅黑" w:hAnsi="微软雅黑" w:eastAsia="微软雅黑" w:cstheme="minorBidi"/>
          <w:w w:val="225"/>
          <w:kern w:val="0"/>
          <w:sz w:val="24"/>
          <w:szCs w:val="24"/>
          <w:highlight w:val="none"/>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委托</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理</w:t>
      </w:r>
      <w:r>
        <w:rPr>
          <w:rFonts w:ascii="微软雅黑" w:hAnsi="微软雅黑" w:eastAsia="微软雅黑" w:cstheme="minorBidi"/>
          <w:spacing w:val="-3"/>
          <w:kern w:val="0"/>
          <w:sz w:val="24"/>
          <w:szCs w:val="24"/>
          <w:highlight w:val="none"/>
          <w:lang w:val="en-US" w:eastAsia="zh-CN" w:bidi="ar-SA"/>
        </w:rPr>
        <w:t>人：</w:t>
      </w:r>
      <w:r>
        <w:rPr>
          <w:rFonts w:hint="eastAsia" w:ascii="微软雅黑" w:hAnsi="微软雅黑" w:eastAsia="微软雅黑" w:cstheme="minorBidi"/>
          <w:spacing w:val="-3"/>
          <w:kern w:val="0"/>
          <w:sz w:val="24"/>
          <w:szCs w:val="24"/>
          <w:highlight w:val="none"/>
          <w:u w:val="single"/>
          <w:lang w:val="en-US" w:eastAsia="zh-CN" w:bidi="ar-SA"/>
        </w:rPr>
        <w:t xml:space="preserve">                                      </w:t>
      </w:r>
      <w:r>
        <w:rPr>
          <w:rFonts w:ascii="微软雅黑" w:hAnsi="微软雅黑" w:eastAsia="微软雅黑" w:cstheme="minorBidi"/>
          <w:kern w:val="0"/>
          <w:sz w:val="24"/>
          <w:szCs w:val="24"/>
          <w:highlight w:val="none"/>
          <w:lang w:val="en-US" w:eastAsia="zh-CN" w:bidi="ar-SA"/>
        </w:rPr>
        <w:t>（签</w:t>
      </w:r>
      <w:r>
        <w:rPr>
          <w:rFonts w:ascii="微软雅黑" w:hAnsi="微软雅黑" w:eastAsia="微软雅黑" w:cstheme="minorBidi"/>
          <w:spacing w:val="-3"/>
          <w:kern w:val="0"/>
          <w:sz w:val="24"/>
          <w:szCs w:val="24"/>
          <w:highlight w:val="none"/>
          <w:lang w:val="en-US" w:eastAsia="zh-CN" w:bidi="ar-SA"/>
        </w:rPr>
        <w:t>字</w:t>
      </w:r>
      <w:r>
        <w:rPr>
          <w:rFonts w:ascii="微软雅黑" w:hAnsi="微软雅黑" w:eastAsia="微软雅黑" w:cstheme="minorBidi"/>
          <w:kern w:val="0"/>
          <w:sz w:val="24"/>
          <w:szCs w:val="24"/>
          <w:highlight w:val="none"/>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 xml:space="preserve">  身份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号</w:t>
      </w:r>
      <w:r>
        <w:rPr>
          <w:rFonts w:ascii="微软雅黑" w:hAnsi="微软雅黑" w:eastAsia="微软雅黑" w:cstheme="minorBidi"/>
          <w:spacing w:val="-3"/>
          <w:kern w:val="0"/>
          <w:sz w:val="24"/>
          <w:szCs w:val="24"/>
          <w:highlight w:val="none"/>
          <w:lang w:val="en-US" w:eastAsia="zh-CN" w:bidi="ar-SA"/>
        </w:rPr>
        <w:t>码：</w:t>
      </w:r>
      <w:r>
        <w:rPr>
          <w:rFonts w:hint="eastAsia" w:ascii="微软雅黑" w:hAnsi="微软雅黑" w:eastAsia="微软雅黑" w:cstheme="minorBidi"/>
          <w:spacing w:val="-3"/>
          <w:kern w:val="0"/>
          <w:sz w:val="24"/>
          <w:szCs w:val="24"/>
          <w:highlight w:val="none"/>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rPr>
          <w:highlight w:val="none"/>
        </w:rPr>
      </w:pP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hint="eastAsia" w:ascii="微软雅黑" w:hAnsi="微软雅黑" w:eastAsia="微软雅黑" w:cstheme="minorBidi"/>
          <w:kern w:val="0"/>
          <w:sz w:val="24"/>
          <w:szCs w:val="24"/>
          <w:highlight w:val="none"/>
          <w:lang w:val="en-US" w:eastAsia="zh-CN" w:bidi="ar-SA"/>
        </w:rPr>
        <w:t>年</w:t>
      </w: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ascii="微软雅黑" w:hAnsi="微软雅黑" w:eastAsia="微软雅黑" w:cstheme="minorBidi"/>
          <w:spacing w:val="-3"/>
          <w:kern w:val="0"/>
          <w:sz w:val="24"/>
          <w:szCs w:val="24"/>
          <w:highlight w:val="none"/>
          <w:lang w:val="en-US" w:eastAsia="zh-CN" w:bidi="ar-SA"/>
        </w:rPr>
        <w:t>月</w:t>
      </w:r>
      <w:r>
        <w:rPr>
          <w:rFonts w:hint="eastAsia" w:ascii="微软雅黑" w:hAnsi="微软雅黑" w:eastAsia="微软雅黑" w:cstheme="minorBidi"/>
          <w:kern w:val="0"/>
          <w:sz w:val="24"/>
          <w:szCs w:val="24"/>
          <w:highlight w:val="none"/>
          <w:u w:val="single" w:color="000000"/>
          <w:lang w:val="en-US" w:eastAsia="zh-CN" w:bidi="ar-SA"/>
        </w:rPr>
        <w:t xml:space="preserve">        </w:t>
      </w:r>
      <w:r>
        <w:rPr>
          <w:rFonts w:ascii="微软雅黑" w:hAnsi="微软雅黑" w:eastAsia="微软雅黑" w:cstheme="minorBidi"/>
          <w:kern w:val="0"/>
          <w:sz w:val="24"/>
          <w:szCs w:val="24"/>
          <w:highlight w:val="none"/>
          <w:lang w:val="en-US" w:eastAsia="zh-CN" w:bidi="ar-SA"/>
        </w:rPr>
        <w:t>日</w:t>
      </w:r>
    </w:p>
    <w:p>
      <w:pPr>
        <w:rPr>
          <w:rFonts w:hint="eastAsia"/>
          <w:highlight w:val="none"/>
          <w:lang w:val="en-US" w:eastAsia="zh-CN"/>
        </w:rPr>
      </w:pPr>
    </w:p>
    <w:p>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highlight w:val="none"/>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highlight w:val="none"/>
          <w:lang w:val="en-US" w:eastAsia="zh-CN"/>
        </w:rPr>
      </w:pPr>
    </w:p>
    <w:p>
      <w:pPr>
        <w:rPr>
          <w:rFonts w:hint="eastAsia"/>
          <w:highlight w:val="none"/>
          <w:lang w:val="en-US" w:eastAsia="zh-CN"/>
        </w:rPr>
      </w:pPr>
    </w:p>
    <w:p>
      <w:pPr>
        <w:rPr>
          <w:highlight w:val="none"/>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w:t>
      </w:r>
    </w:p>
    <w:p>
      <w:pPr>
        <w:pStyle w:val="8"/>
        <w:ind w:left="0" w:firstLine="420" w:firstLineChars="200"/>
        <w:rPr>
          <w:rFonts w:hint="default" w:eastAsia="宋体"/>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highlight w:val="none"/>
          <w:lang w:eastAsia="zh-CN"/>
        </w:rPr>
        <w:t>积极响应国家节能减排和绿色环保政策，切实推进绿色供应链建设</w:t>
      </w:r>
      <w:r>
        <w:rPr>
          <w:rFonts w:hint="eastAsia" w:cs="宋体"/>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7"/>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7"/>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8"/>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rPr>
          <w:highlight w:val="none"/>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highlight w:val="none"/>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highlight w:val="none"/>
          <w:lang w:val="en-US" w:eastAsia="zh-CN"/>
        </w:rPr>
      </w:pPr>
      <w:r>
        <w:rPr>
          <w:rFonts w:hint="eastAsia" w:ascii="黑体" w:hAnsi="黑体" w:eastAsia="黑体" w:cstheme="minorBidi"/>
          <w:b/>
          <w:bCs/>
          <w:color w:val="auto"/>
          <w:kern w:val="2"/>
          <w:sz w:val="24"/>
          <w:szCs w:val="24"/>
          <w:highlight w:val="none"/>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highlight w:val="none"/>
          <w:lang w:val="en-US" w:eastAsia="zh-CN"/>
        </w:rPr>
      </w:pPr>
    </w:p>
    <w:p>
      <w:pPr>
        <w:keepNext w:val="0"/>
        <w:keepLines w:val="0"/>
        <w:widowControl/>
        <w:suppressLineNumbers w:val="0"/>
        <w:jc w:val="center"/>
        <w:rPr>
          <w:rFonts w:hint="eastAsia" w:ascii="仿宋" w:hAnsi="仿宋" w:eastAsia="仿宋" w:cs="仿宋"/>
          <w:sz w:val="28"/>
          <w:szCs w:val="28"/>
          <w:highlight w:val="none"/>
          <w:lang w:val="en-US" w:eastAsia="zh-CN"/>
        </w:rPr>
      </w:pPr>
      <w:r>
        <w:rPr>
          <w:rFonts w:hint="eastAsia" w:ascii="仿宋" w:hAnsi="仿宋" w:eastAsia="仿宋" w:cs="仿宋"/>
          <w:b/>
          <w:bCs/>
          <w:sz w:val="44"/>
          <w:szCs w:val="44"/>
          <w:highlight w:val="none"/>
          <w:lang w:val="en-US" w:eastAsia="zh-CN"/>
        </w:rPr>
        <w:t>制造商承诺书</w:t>
      </w:r>
    </w:p>
    <w:p>
      <w:pPr>
        <w:keepNext w:val="0"/>
        <w:keepLines w:val="0"/>
        <w:widowControl/>
        <w:suppressLineNumbers w:val="0"/>
        <w:jc w:val="center"/>
        <w:rPr>
          <w:rFonts w:hint="eastAsia" w:ascii="仿宋" w:hAnsi="仿宋" w:eastAsia="仿宋" w:cs="仿宋"/>
          <w:sz w:val="28"/>
          <w:szCs w:val="28"/>
          <w:highlight w:val="none"/>
          <w:lang w:val="en-US" w:eastAsia="zh-CN"/>
        </w:rPr>
      </w:pPr>
    </w:p>
    <w:p>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致：</w:t>
      </w:r>
      <w:r>
        <w:rPr>
          <w:rFonts w:hint="eastAsia" w:ascii="仿宋" w:hAnsi="仿宋" w:eastAsia="仿宋" w:cs="仿宋"/>
          <w:sz w:val="28"/>
          <w:szCs w:val="28"/>
          <w:highlight w:val="none"/>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我们</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lang w:val="en-US" w:eastAsia="zh-CN"/>
        </w:rPr>
        <w:t>公司名称）</w:t>
      </w:r>
      <w:r>
        <w:rPr>
          <w:rFonts w:hint="eastAsia" w:ascii="仿宋" w:hAnsi="仿宋" w:eastAsia="仿宋" w:cs="仿宋"/>
          <w:sz w:val="28"/>
          <w:szCs w:val="28"/>
          <w:highlight w:val="none"/>
          <w:lang w:val="en-US" w:eastAsia="zh-CN"/>
        </w:rPr>
        <w:t>是按中华人民共和国法律于</w:t>
      </w:r>
      <w:r>
        <w:rPr>
          <w:rFonts w:hint="eastAsia" w:ascii="仿宋" w:hAnsi="仿宋" w:eastAsia="仿宋" w:cs="仿宋"/>
          <w:sz w:val="28"/>
          <w:szCs w:val="28"/>
          <w:highlight w:val="none"/>
          <w:u w:val="single"/>
          <w:lang w:val="en-US" w:eastAsia="zh-CN"/>
        </w:rPr>
        <w:t xml:space="preserve">    年 月 日</w:t>
      </w:r>
      <w:r>
        <w:rPr>
          <w:rFonts w:hint="eastAsia" w:ascii="仿宋" w:hAnsi="仿宋" w:eastAsia="仿宋" w:cs="仿宋"/>
          <w:sz w:val="28"/>
          <w:szCs w:val="28"/>
          <w:highlight w:val="none"/>
          <w:lang w:val="en-US" w:eastAsia="zh-CN"/>
        </w:rPr>
        <w:t>成立的一家制造商，主要营业地点设在</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。兹声明我司就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项目(招标编号：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）使用我公司 □自行生产制造/ □</w:t>
      </w:r>
      <w:r>
        <w:rPr>
          <w:rFonts w:hint="eastAsia" w:ascii="仿宋" w:hAnsi="仿宋" w:eastAsia="仿宋" w:cs="仿宋"/>
          <w:sz w:val="28"/>
          <w:szCs w:val="28"/>
          <w:highlight w:val="none"/>
          <w:lang w:val="en-US" w:eastAsia="zh-Hans"/>
        </w:rPr>
        <w:t>代工方式</w:t>
      </w:r>
      <w:r>
        <w:rPr>
          <w:rFonts w:hint="eastAsia" w:ascii="仿宋" w:hAnsi="仿宋" w:eastAsia="仿宋" w:cs="仿宋"/>
          <w:sz w:val="28"/>
          <w:szCs w:val="28"/>
          <w:highlight w:val="none"/>
          <w:lang w:val="en-US" w:eastAsia="zh-CN"/>
        </w:rPr>
        <w:t>/□集成方式</w:t>
      </w:r>
      <w:r>
        <w:rPr>
          <w:rFonts w:hint="eastAsia" w:ascii="仿宋" w:hAnsi="仿宋" w:eastAsia="仿宋" w:cs="仿宋"/>
          <w:sz w:val="28"/>
          <w:szCs w:val="28"/>
          <w:highlight w:val="none"/>
          <w:lang w:val="en-US" w:eastAsia="zh-Hans"/>
        </w:rPr>
        <w:t>生产</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u w:val="none"/>
          <w:lang w:val="en-US" w:eastAsia="zh-CN"/>
        </w:rPr>
        <w:t>产品</w:t>
      </w:r>
      <w:r>
        <w:rPr>
          <w:rFonts w:hint="eastAsia" w:ascii="仿宋" w:hAnsi="仿宋" w:eastAsia="仿宋" w:cs="仿宋"/>
          <w:sz w:val="28"/>
          <w:szCs w:val="28"/>
          <w:highlight w:val="none"/>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我公司就项目承诺如下：</w:t>
      </w:r>
    </w:p>
    <w:p>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 我公司为</w:t>
      </w:r>
      <w:r>
        <w:rPr>
          <w:rFonts w:hint="eastAsia" w:ascii="仿宋" w:hAnsi="仿宋" w:eastAsia="仿宋" w:cs="仿宋"/>
          <w:b/>
          <w:bCs/>
          <w:sz w:val="28"/>
          <w:szCs w:val="28"/>
          <w:highlight w:val="none"/>
          <w:lang w:val="en-US" w:eastAsia="zh-CN"/>
        </w:rPr>
        <w:t>传统型制造商，</w:t>
      </w:r>
      <w:r>
        <w:rPr>
          <w:rFonts w:hint="eastAsia" w:ascii="仿宋" w:hAnsi="仿宋" w:eastAsia="仿宋" w:cs="仿宋"/>
          <w:sz w:val="28"/>
          <w:szCs w:val="28"/>
          <w:highlight w:val="none"/>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 xml:space="preserve"> 我公司为</w:t>
      </w:r>
      <w:r>
        <w:rPr>
          <w:rFonts w:hint="eastAsia" w:ascii="仿宋" w:hAnsi="仿宋" w:eastAsia="仿宋" w:cs="仿宋"/>
          <w:b/>
          <w:bCs/>
          <w:sz w:val="28"/>
          <w:szCs w:val="28"/>
          <w:highlight w:val="none"/>
          <w:lang w:val="en-US" w:eastAsia="zh-CN"/>
        </w:rPr>
        <w:t>OEM型制造商，</w:t>
      </w:r>
      <w:r>
        <w:rPr>
          <w:rFonts w:hint="eastAsia" w:ascii="仿宋" w:hAnsi="仿宋" w:eastAsia="仿宋" w:cs="仿宋"/>
          <w:sz w:val="28"/>
          <w:szCs w:val="28"/>
          <w:highlight w:val="none"/>
          <w:lang w:val="en-US" w:eastAsia="zh-CN"/>
        </w:rPr>
        <w:t>投标产品系我公司以</w:t>
      </w:r>
      <w:r>
        <w:rPr>
          <w:rFonts w:hint="eastAsia" w:ascii="仿宋" w:hAnsi="仿宋" w:eastAsia="仿宋" w:cs="仿宋"/>
          <w:sz w:val="28"/>
          <w:szCs w:val="28"/>
          <w:highlight w:val="none"/>
          <w:lang w:val="en-US" w:eastAsia="zh-Hans"/>
        </w:rPr>
        <w:t>代工方式生产</w:t>
      </w:r>
      <w:r>
        <w:rPr>
          <w:rFonts w:hint="eastAsia" w:ascii="仿宋" w:hAnsi="仿宋" w:eastAsia="仿宋" w:cs="仿宋"/>
          <w:sz w:val="28"/>
          <w:szCs w:val="28"/>
          <w:highlight w:val="none"/>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sym w:font="Wingdings 2" w:char="00A3"/>
      </w:r>
      <w:r>
        <w:rPr>
          <w:rFonts w:hint="eastAsia" w:ascii="仿宋" w:hAnsi="仿宋" w:eastAsia="仿宋" w:cs="仿宋"/>
          <w:sz w:val="28"/>
          <w:szCs w:val="28"/>
          <w:highlight w:val="none"/>
          <w:lang w:val="en-US" w:eastAsia="zh-CN"/>
        </w:rPr>
        <w:t xml:space="preserve"> 我公司为</w:t>
      </w:r>
      <w:r>
        <w:rPr>
          <w:rFonts w:hint="eastAsia" w:ascii="仿宋" w:hAnsi="仿宋" w:eastAsia="仿宋" w:cs="仿宋"/>
          <w:b/>
          <w:bCs/>
          <w:sz w:val="28"/>
          <w:szCs w:val="28"/>
          <w:highlight w:val="none"/>
          <w:lang w:val="en-US" w:eastAsia="zh-CN"/>
        </w:rPr>
        <w:t>集成型制造商，</w:t>
      </w:r>
      <w:r>
        <w:rPr>
          <w:rFonts w:hint="eastAsia" w:ascii="仿宋" w:hAnsi="仿宋" w:eastAsia="仿宋" w:cs="仿宋"/>
          <w:sz w:val="28"/>
          <w:szCs w:val="28"/>
          <w:highlight w:val="none"/>
          <w:lang w:val="en-US" w:eastAsia="zh-CN"/>
        </w:rPr>
        <w:t>投标产品系我公司集成</w:t>
      </w:r>
      <w:r>
        <w:rPr>
          <w:rFonts w:hint="eastAsia" w:ascii="仿宋" w:hAnsi="仿宋" w:eastAsia="仿宋" w:cs="仿宋"/>
          <w:sz w:val="28"/>
          <w:szCs w:val="28"/>
          <w:highlight w:val="none"/>
          <w:lang w:val="en-US" w:eastAsia="zh-Hans"/>
        </w:rPr>
        <w:t>方式生产</w:t>
      </w:r>
      <w:r>
        <w:rPr>
          <w:rFonts w:hint="eastAsia" w:ascii="仿宋" w:hAnsi="仿宋" w:eastAsia="仿宋" w:cs="仿宋"/>
          <w:sz w:val="28"/>
          <w:szCs w:val="28"/>
          <w:highlight w:val="none"/>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投标人名称（盖章）：</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highlight w:val="none"/>
          <w:u w:val="single"/>
          <w:lang w:val="en-US" w:eastAsia="zh-CN"/>
        </w:rPr>
      </w:pPr>
      <w:r>
        <w:rPr>
          <w:rFonts w:hint="eastAsia" w:ascii="仿宋" w:hAnsi="仿宋" w:eastAsia="仿宋" w:cs="仿宋"/>
          <w:sz w:val="28"/>
          <w:szCs w:val="28"/>
          <w:highlight w:val="none"/>
          <w:lang w:val="en-US" w:eastAsia="zh-CN"/>
        </w:rPr>
        <w:t>法定代表人或授权人签章：</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highlight w:val="none"/>
          <w:u w:val="single"/>
          <w:lang w:val="en-US" w:eastAsia="zh-CN"/>
        </w:rPr>
      </w:pPr>
      <w:r>
        <w:rPr>
          <w:rFonts w:hint="eastAsia" w:ascii="仿宋" w:hAnsi="仿宋" w:eastAsia="仿宋" w:cs="仿宋"/>
          <w:sz w:val="28"/>
          <w:szCs w:val="28"/>
          <w:highlight w:val="none"/>
          <w:u w:val="none"/>
          <w:lang w:val="en-US" w:eastAsia="zh-CN"/>
        </w:rPr>
        <w:t>日   期：</w:t>
      </w:r>
      <w:r>
        <w:rPr>
          <w:rFonts w:hint="eastAsia" w:ascii="仿宋" w:hAnsi="仿宋" w:eastAsia="仿宋" w:cs="仿宋"/>
          <w:sz w:val="28"/>
          <w:szCs w:val="28"/>
          <w:highlight w:val="none"/>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highlight w:val="none"/>
          <w:lang w:val="en-US" w:eastAsia="zh-CN"/>
        </w:rPr>
      </w:pPr>
      <w:r>
        <w:rPr>
          <w:rFonts w:hint="eastAsia" w:ascii="仿宋" w:hAnsi="仿宋" w:eastAsia="仿宋" w:cs="仿宋"/>
          <w:b w:val="0"/>
          <w:bCs w:val="0"/>
          <w:sz w:val="44"/>
          <w:szCs w:val="44"/>
          <w:highlight w:val="none"/>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4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pPr>
        <w:keepNext w:val="0"/>
        <w:keepLines w:val="0"/>
        <w:widowControl/>
        <w:numPr>
          <w:ilvl w:val="0"/>
          <w:numId w:val="4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pPr>
        <w:keepNext w:val="0"/>
        <w:keepLines w:val="0"/>
        <w:widowControl/>
        <w:numPr>
          <w:ilvl w:val="0"/>
          <w:numId w:val="4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pPr>
        <w:keepNext w:val="0"/>
        <w:keepLines w:val="0"/>
        <w:widowControl/>
        <w:numPr>
          <w:ilvl w:val="0"/>
          <w:numId w:val="4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pPr>
        <w:keepNext w:val="0"/>
        <w:keepLines w:val="0"/>
        <w:widowControl/>
        <w:numPr>
          <w:ilvl w:val="0"/>
          <w:numId w:val="4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生产工艺（需提供****工艺介绍和供流程图）：</w:t>
      </w:r>
    </w:p>
    <w:p>
      <w:pPr>
        <w:keepNext w:val="0"/>
        <w:keepLines w:val="0"/>
        <w:widowControl/>
        <w:numPr>
          <w:ilvl w:val="0"/>
          <w:numId w:val="4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pPr>
        <w:keepNext w:val="0"/>
        <w:keepLines w:val="0"/>
        <w:widowControl/>
        <w:numPr>
          <w:ilvl w:val="0"/>
          <w:numId w:val="44"/>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pPr>
        <w:keepNext w:val="0"/>
        <w:keepLines w:val="0"/>
        <w:widowControl/>
        <w:numPr>
          <w:ilvl w:val="0"/>
          <w:numId w:val="44"/>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pPr>
        <w:keepNext w:val="0"/>
        <w:keepLines w:val="0"/>
        <w:widowControl/>
        <w:numPr>
          <w:ilvl w:val="0"/>
          <w:numId w:val="44"/>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45"/>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pPr>
        <w:keepNext w:val="0"/>
        <w:keepLines w:val="0"/>
        <w:widowControl/>
        <w:numPr>
          <w:ilvl w:val="0"/>
          <w:numId w:val="45"/>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pPr>
        <w:keepNext w:val="0"/>
        <w:keepLines w:val="0"/>
        <w:widowControl/>
        <w:numPr>
          <w:ilvl w:val="0"/>
          <w:numId w:val="45"/>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代工协议：</w:t>
      </w:r>
    </w:p>
    <w:p>
      <w:pPr>
        <w:keepNext w:val="0"/>
        <w:keepLines w:val="0"/>
        <w:widowControl/>
        <w:numPr>
          <w:ilvl w:val="0"/>
          <w:numId w:val="45"/>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pPr>
        <w:keepNext w:val="0"/>
        <w:keepLines w:val="0"/>
        <w:widowControl/>
        <w:numPr>
          <w:ilvl w:val="0"/>
          <w:numId w:val="45"/>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pPr>
        <w:keepNext w:val="0"/>
        <w:keepLines w:val="0"/>
        <w:widowControl/>
        <w:numPr>
          <w:ilvl w:val="0"/>
          <w:numId w:val="45"/>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pPr>
        <w:keepNext w:val="0"/>
        <w:keepLines w:val="0"/>
        <w:widowControl/>
        <w:numPr>
          <w:ilvl w:val="0"/>
          <w:numId w:val="45"/>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生产工艺（需提供****工艺介绍和流程图）：</w:t>
      </w:r>
    </w:p>
    <w:p>
      <w:pPr>
        <w:keepNext w:val="0"/>
        <w:keepLines w:val="0"/>
        <w:widowControl/>
        <w:numPr>
          <w:ilvl w:val="0"/>
          <w:numId w:val="45"/>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pPr>
        <w:keepNext w:val="0"/>
        <w:keepLines w:val="0"/>
        <w:widowControl/>
        <w:numPr>
          <w:ilvl w:val="0"/>
          <w:numId w:val="45"/>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pPr>
        <w:keepNext w:val="0"/>
        <w:keepLines w:val="0"/>
        <w:widowControl/>
        <w:numPr>
          <w:ilvl w:val="0"/>
          <w:numId w:val="45"/>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46"/>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生产/销售资质证书（如安全生产许可证、特种设备生产/制造许可证、经营许可证等）：</w:t>
      </w:r>
    </w:p>
    <w:p>
      <w:pPr>
        <w:keepNext w:val="0"/>
        <w:keepLines w:val="0"/>
        <w:widowControl/>
        <w:numPr>
          <w:ilvl w:val="0"/>
          <w:numId w:val="46"/>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三体系管理认证证书（质量管理体系认证，环境管理体系认证，职业健康安全管理体系认证）：</w:t>
      </w:r>
    </w:p>
    <w:p>
      <w:pPr>
        <w:keepNext w:val="0"/>
        <w:keepLines w:val="0"/>
        <w:widowControl/>
        <w:numPr>
          <w:ilvl w:val="0"/>
          <w:numId w:val="46"/>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组装或加工设备证明（需提供****设备购买证明或租赁证明、实物照片等）：</w:t>
      </w:r>
    </w:p>
    <w:p>
      <w:pPr>
        <w:keepNext w:val="0"/>
        <w:keepLines w:val="0"/>
        <w:widowControl/>
        <w:numPr>
          <w:ilvl w:val="0"/>
          <w:numId w:val="46"/>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厂房、库房证明（需提供房产证明或租赁证明、实物照片等）：</w:t>
      </w:r>
    </w:p>
    <w:p>
      <w:pPr>
        <w:keepNext w:val="0"/>
        <w:keepLines w:val="0"/>
        <w:widowControl/>
        <w:numPr>
          <w:ilvl w:val="0"/>
          <w:numId w:val="46"/>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与标的物相关的生产设备证明（需提供****设备购买证明或租赁证明、实物照片等）：</w:t>
      </w:r>
    </w:p>
    <w:p>
      <w:pPr>
        <w:keepNext w:val="0"/>
        <w:keepLines w:val="0"/>
        <w:widowControl/>
        <w:numPr>
          <w:ilvl w:val="0"/>
          <w:numId w:val="46"/>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生产工艺（需提供****工艺介绍和流程图）：</w:t>
      </w:r>
    </w:p>
    <w:p>
      <w:pPr>
        <w:keepNext w:val="0"/>
        <w:keepLines w:val="0"/>
        <w:widowControl/>
        <w:numPr>
          <w:ilvl w:val="0"/>
          <w:numId w:val="46"/>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检测仪器证明（需提供****仪器购买证明或租赁证明、实物照片等）：</w:t>
      </w:r>
    </w:p>
    <w:p>
      <w:pPr>
        <w:keepNext w:val="0"/>
        <w:keepLines w:val="0"/>
        <w:widowControl/>
        <w:numPr>
          <w:ilvl w:val="0"/>
          <w:numId w:val="46"/>
        </w:numPr>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相关知识产权或专利：</w:t>
      </w:r>
    </w:p>
    <w:p>
      <w:pPr>
        <w:keepNext w:val="0"/>
        <w:keepLines w:val="0"/>
        <w:widowControl/>
        <w:numPr>
          <w:ilvl w:val="0"/>
          <w:numId w:val="46"/>
        </w:numPr>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21"/>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21"/>
        <w:adjustRightInd/>
        <w:jc w:val="center"/>
        <w:rPr>
          <w:rFonts w:hint="eastAsia" w:hAnsi="宋体" w:eastAsiaTheme="minorEastAsia" w:cstheme="minorBidi"/>
          <w:b w:val="0"/>
          <w:kern w:val="2"/>
          <w:sz w:val="21"/>
          <w:szCs w:val="22"/>
          <w:highlight w:val="none"/>
          <w:lang w:eastAsia="zh-CN"/>
        </w:rPr>
      </w:pPr>
      <w:r>
        <w:rPr>
          <w:rFonts w:hint="eastAsia" w:hAnsi="宋体"/>
          <w:b/>
          <w:sz w:val="21"/>
          <w:szCs w:val="21"/>
          <w:highlight w:val="none"/>
        </w:rPr>
        <w:t>商务偏离条款</w:t>
      </w:r>
      <w:r>
        <w:rPr>
          <w:rFonts w:hint="eastAsia" w:hAnsi="宋体" w:eastAsiaTheme="minorEastAsia" w:cstheme="minorBidi"/>
          <w:kern w:val="2"/>
          <w:sz w:val="21"/>
          <w:szCs w:val="22"/>
          <w:highlight w:val="none"/>
          <w:lang w:eastAsia="zh-CN"/>
        </w:rPr>
        <w:t>（</w:t>
      </w:r>
      <w:r>
        <w:rPr>
          <w:rFonts w:hint="eastAsia" w:hAnsi="宋体" w:eastAsiaTheme="minorEastAsia" w:cstheme="minorBidi"/>
          <w:kern w:val="2"/>
          <w:sz w:val="21"/>
          <w:szCs w:val="22"/>
          <w:highlight w:val="none"/>
          <w:lang w:val="en-US" w:eastAsia="zh-CN"/>
        </w:rPr>
        <w:t>内容仅供参考，具体业务具体编制</w:t>
      </w:r>
      <w:r>
        <w:rPr>
          <w:rFonts w:hint="eastAsia" w:hAnsi="宋体" w:eastAsiaTheme="minorEastAsia" w:cstheme="minorBidi"/>
          <w:kern w:val="2"/>
          <w:sz w:val="21"/>
          <w:szCs w:val="22"/>
          <w:highlight w:val="none"/>
          <w:lang w:eastAsia="zh-CN"/>
        </w:rPr>
        <w:t>）</w:t>
      </w:r>
    </w:p>
    <w:p>
      <w:pPr>
        <w:pStyle w:val="21"/>
        <w:adjustRightInd/>
        <w:jc w:val="center"/>
        <w:rPr>
          <w:rFonts w:hAnsi="宋体"/>
          <w:b/>
          <w:sz w:val="21"/>
          <w:szCs w:val="21"/>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序号</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商务参数</w:t>
            </w:r>
          </w:p>
        </w:tc>
        <w:tc>
          <w:tcPr>
            <w:tcW w:w="1560" w:type="dxa"/>
            <w:vAlign w:val="center"/>
          </w:tcPr>
          <w:p>
            <w:pPr>
              <w:spacing w:line="360" w:lineRule="auto"/>
              <w:jc w:val="center"/>
              <w:rPr>
                <w:rFonts w:ascii="宋体" w:hAnsi="宋体"/>
                <w:color w:val="000000"/>
                <w:highlight w:val="none"/>
              </w:rPr>
            </w:pPr>
            <w:r>
              <w:rPr>
                <w:rFonts w:hint="eastAsia" w:ascii="宋体" w:hAnsi="宋体"/>
                <w:color w:val="000000"/>
                <w:highlight w:val="none"/>
              </w:rPr>
              <w:t>是否存在异议</w:t>
            </w:r>
          </w:p>
        </w:tc>
        <w:tc>
          <w:tcPr>
            <w:tcW w:w="2979" w:type="dxa"/>
            <w:vAlign w:val="center"/>
          </w:tcPr>
          <w:p>
            <w:pPr>
              <w:spacing w:line="360" w:lineRule="auto"/>
              <w:jc w:val="center"/>
              <w:rPr>
                <w:rFonts w:ascii="宋体" w:hAnsi="宋体"/>
                <w:color w:val="000000"/>
                <w:highlight w:val="none"/>
              </w:rPr>
            </w:pPr>
            <w:r>
              <w:rPr>
                <w:rFonts w:hint="eastAsia" w:ascii="宋体" w:hAnsi="宋体"/>
                <w:color w:val="000000"/>
                <w:highlight w:val="none"/>
              </w:rPr>
              <w:t>解决方法</w:t>
            </w:r>
          </w:p>
          <w:p>
            <w:pPr>
              <w:spacing w:line="360" w:lineRule="auto"/>
              <w:jc w:val="center"/>
              <w:rPr>
                <w:rFonts w:ascii="宋体" w:hAnsi="宋体"/>
                <w:color w:val="000000"/>
                <w:highlight w:val="none"/>
              </w:rPr>
            </w:pPr>
            <w:r>
              <w:rPr>
                <w:rFonts w:hint="eastAsia" w:ascii="宋体" w:hAnsi="宋体"/>
                <w:color w:val="000000"/>
                <w:highlight w:val="none"/>
              </w:rPr>
              <w:t>（不接受/协商/接受询价方条件）</w:t>
            </w:r>
          </w:p>
        </w:tc>
        <w:tc>
          <w:tcPr>
            <w:tcW w:w="1242" w:type="dxa"/>
            <w:vAlign w:val="center"/>
          </w:tcPr>
          <w:p>
            <w:pPr>
              <w:spacing w:line="360" w:lineRule="auto"/>
              <w:jc w:val="center"/>
              <w:rPr>
                <w:rFonts w:ascii="宋体" w:hAnsi="宋体"/>
                <w:color w:val="000000"/>
                <w:highlight w:val="none"/>
              </w:rPr>
            </w:pPr>
            <w:r>
              <w:rPr>
                <w:rFonts w:hint="eastAsia" w:ascii="宋体" w:hAnsi="宋体"/>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1</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违约条款</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2</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付款方式</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3</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服务期</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4</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报价有效期</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5</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合同条款</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highlight w:val="none"/>
              </w:rPr>
            </w:pPr>
            <w:r>
              <w:rPr>
                <w:rFonts w:hint="eastAsia" w:ascii="宋体" w:hAnsi="宋体"/>
                <w:color w:val="000000"/>
                <w:highlight w:val="none"/>
              </w:rPr>
              <w:t>6</w:t>
            </w:r>
          </w:p>
        </w:tc>
        <w:tc>
          <w:tcPr>
            <w:tcW w:w="1792" w:type="dxa"/>
            <w:vAlign w:val="center"/>
          </w:tcPr>
          <w:p>
            <w:pPr>
              <w:spacing w:line="360" w:lineRule="auto"/>
              <w:jc w:val="center"/>
              <w:rPr>
                <w:rFonts w:ascii="宋体" w:hAnsi="宋体"/>
                <w:color w:val="000000"/>
                <w:highlight w:val="none"/>
              </w:rPr>
            </w:pPr>
            <w:r>
              <w:rPr>
                <w:rFonts w:hint="eastAsia" w:ascii="宋体" w:hAnsi="宋体"/>
                <w:color w:val="000000"/>
                <w:highlight w:val="none"/>
              </w:rPr>
              <w:t>其他</w:t>
            </w:r>
          </w:p>
        </w:tc>
        <w:tc>
          <w:tcPr>
            <w:tcW w:w="1560" w:type="dxa"/>
            <w:vAlign w:val="center"/>
          </w:tcPr>
          <w:p>
            <w:pPr>
              <w:spacing w:line="360" w:lineRule="auto"/>
              <w:jc w:val="center"/>
              <w:rPr>
                <w:rFonts w:ascii="宋体" w:hAnsi="宋体"/>
                <w:color w:val="000000"/>
                <w:highlight w:val="none"/>
              </w:rPr>
            </w:pPr>
          </w:p>
        </w:tc>
        <w:tc>
          <w:tcPr>
            <w:tcW w:w="2979" w:type="dxa"/>
            <w:vAlign w:val="center"/>
          </w:tcPr>
          <w:p>
            <w:pPr>
              <w:spacing w:line="360" w:lineRule="auto"/>
              <w:jc w:val="center"/>
              <w:rPr>
                <w:rFonts w:ascii="宋体" w:hAnsi="宋体"/>
                <w:color w:val="000000"/>
                <w:highlight w:val="none"/>
              </w:rPr>
            </w:pPr>
          </w:p>
        </w:tc>
        <w:tc>
          <w:tcPr>
            <w:tcW w:w="1242" w:type="dxa"/>
            <w:vAlign w:val="center"/>
          </w:tcPr>
          <w:p>
            <w:pPr>
              <w:spacing w:line="360" w:lineRule="auto"/>
              <w:jc w:val="center"/>
              <w:rPr>
                <w:rFonts w:ascii="宋体" w:hAnsi="宋体"/>
                <w:color w:val="000000"/>
                <w:highlight w:val="none"/>
              </w:rPr>
            </w:pPr>
          </w:p>
        </w:tc>
      </w:tr>
    </w:tbl>
    <w:p>
      <w:pPr>
        <w:spacing w:line="360" w:lineRule="auto"/>
        <w:rPr>
          <w:rFonts w:ascii="宋体" w:hAnsi="宋体"/>
          <w:color w:val="000000"/>
          <w:szCs w:val="21"/>
          <w:highlight w:val="none"/>
        </w:rPr>
      </w:pPr>
    </w:p>
    <w:p>
      <w:pPr>
        <w:spacing w:line="360" w:lineRule="auto"/>
        <w:rPr>
          <w:rFonts w:ascii="宋体" w:hAnsi="宋体"/>
          <w:color w:val="000000"/>
          <w:szCs w:val="21"/>
          <w:highlight w:val="none"/>
        </w:rPr>
      </w:pPr>
      <w:r>
        <w:rPr>
          <w:rFonts w:hint="eastAsia" w:ascii="宋体" w:hAnsi="宋体"/>
          <w:color w:val="000000"/>
          <w:szCs w:val="21"/>
          <w:highlight w:val="none"/>
        </w:rPr>
        <w:t>注：如果</w:t>
      </w:r>
      <w:r>
        <w:rPr>
          <w:rFonts w:hint="eastAsia" w:ascii="宋体" w:hAnsi="宋体"/>
          <w:color w:val="000000"/>
          <w:szCs w:val="21"/>
          <w:highlight w:val="none"/>
          <w:lang w:val="en-US" w:eastAsia="zh-CN"/>
        </w:rPr>
        <w:t>应答</w:t>
      </w:r>
      <w:r>
        <w:rPr>
          <w:rFonts w:hint="eastAsia" w:ascii="宋体" w:hAnsi="宋体"/>
          <w:color w:val="000000"/>
          <w:szCs w:val="21"/>
          <w:highlight w:val="none"/>
        </w:rPr>
        <w:t>人对询价文件的商务条款有异议，请在此处一一列出，</w:t>
      </w:r>
      <w:r>
        <w:rPr>
          <w:rFonts w:hint="eastAsia" w:ascii="宋体" w:hAnsi="宋体"/>
          <w:color w:val="000000"/>
          <w:szCs w:val="21"/>
          <w:highlight w:val="none"/>
          <w:lang w:val="en-US" w:eastAsia="zh-CN"/>
        </w:rPr>
        <w:t>应答</w:t>
      </w:r>
      <w:r>
        <w:rPr>
          <w:rFonts w:hint="eastAsia" w:ascii="宋体" w:hAnsi="宋体"/>
          <w:color w:val="000000"/>
          <w:szCs w:val="21"/>
          <w:highlight w:val="none"/>
        </w:rPr>
        <w:t>人的商务偏离条款将作为评标的依据之一；如若没有异议请标明“无”，否则视为放弃。</w:t>
      </w:r>
    </w:p>
    <w:p>
      <w:pPr>
        <w:spacing w:before="120" w:line="360" w:lineRule="auto"/>
        <w:rPr>
          <w:rFonts w:ascii="宋体" w:hAnsi="宋体"/>
          <w:b/>
          <w:bCs/>
          <w:color w:val="000000"/>
          <w:szCs w:val="21"/>
          <w:highlight w:val="none"/>
        </w:rPr>
      </w:pPr>
    </w:p>
    <w:p>
      <w:pPr>
        <w:spacing w:line="360" w:lineRule="auto"/>
        <w:rPr>
          <w:rFonts w:ascii="宋体" w:hAnsi="宋体"/>
          <w:color w:val="000000"/>
          <w:szCs w:val="21"/>
          <w:highlight w:val="none"/>
        </w:rPr>
      </w:pPr>
    </w:p>
    <w:p>
      <w:pPr>
        <w:spacing w:line="360" w:lineRule="auto"/>
        <w:ind w:right="840"/>
        <w:jc w:val="center"/>
        <w:rPr>
          <w:rFonts w:ascii="宋体" w:hAnsi="宋体"/>
          <w:color w:val="000000"/>
          <w:szCs w:val="21"/>
          <w:highlight w:val="none"/>
        </w:rPr>
      </w:pPr>
      <w:r>
        <w:rPr>
          <w:rFonts w:hint="eastAsia" w:ascii="宋体" w:hAnsi="宋体"/>
          <w:color w:val="000000"/>
          <w:szCs w:val="21"/>
          <w:highlight w:val="none"/>
        </w:rPr>
        <w:t xml:space="preserve">                 </w:t>
      </w:r>
      <w:r>
        <w:rPr>
          <w:rFonts w:hint="eastAsia" w:ascii="宋体" w:hAnsi="宋体"/>
          <w:color w:val="000000"/>
          <w:szCs w:val="21"/>
          <w:highlight w:val="none"/>
          <w:lang w:eastAsia="zh-CN"/>
        </w:rPr>
        <w:t>应答人</w:t>
      </w:r>
      <w:r>
        <w:rPr>
          <w:rFonts w:ascii="宋体" w:hAnsi="宋体"/>
          <w:color w:val="000000"/>
          <w:szCs w:val="21"/>
          <w:highlight w:val="none"/>
        </w:rPr>
        <w:t>：（盖章）</w:t>
      </w:r>
    </w:p>
    <w:p>
      <w:pPr>
        <w:spacing w:line="360" w:lineRule="auto"/>
        <w:jc w:val="right"/>
        <w:rPr>
          <w:rFonts w:ascii="宋体" w:hAnsi="宋体"/>
          <w:color w:val="000000"/>
          <w:szCs w:val="21"/>
          <w:highlight w:val="none"/>
        </w:rPr>
      </w:pPr>
    </w:p>
    <w:p>
      <w:pPr>
        <w:spacing w:line="360" w:lineRule="auto"/>
        <w:ind w:right="1680"/>
        <w:jc w:val="center"/>
        <w:rPr>
          <w:rFonts w:ascii="宋体" w:hAnsi="宋体"/>
          <w:color w:val="000000"/>
          <w:szCs w:val="21"/>
          <w:highlight w:val="none"/>
        </w:rPr>
      </w:pPr>
      <w:r>
        <w:rPr>
          <w:rFonts w:hint="eastAsia" w:ascii="宋体" w:hAnsi="宋体"/>
          <w:color w:val="000000"/>
          <w:szCs w:val="21"/>
          <w:highlight w:val="none"/>
        </w:rPr>
        <w:t xml:space="preserve">                               </w:t>
      </w:r>
      <w:r>
        <w:rPr>
          <w:rFonts w:ascii="宋体" w:hAnsi="宋体"/>
          <w:color w:val="000000"/>
          <w:szCs w:val="21"/>
          <w:highlight w:val="none"/>
        </w:rPr>
        <w:t>法定代表人或委托代理人：（签字）</w:t>
      </w:r>
    </w:p>
    <w:p>
      <w:pPr>
        <w:rPr>
          <w:highlight w:val="none"/>
        </w:rPr>
      </w:pPr>
    </w:p>
    <w:p>
      <w:pPr>
        <w:pStyle w:val="6"/>
        <w:rPr>
          <w:highlight w:val="none"/>
          <w:lang w:val="en-US" w:eastAsia="zh-CN"/>
        </w:rPr>
      </w:pPr>
    </w:p>
    <w:p>
      <w:pPr>
        <w:rPr>
          <w:highlight w:val="none"/>
          <w:lang w:val="en-US" w:eastAsia="zh-CN"/>
        </w:rPr>
      </w:pPr>
    </w:p>
    <w:p>
      <w:pPr>
        <w:pStyle w:val="6"/>
        <w:rPr>
          <w:highlight w:val="none"/>
          <w:lang w:val="en-US" w:eastAsia="zh-CN"/>
        </w:rPr>
      </w:pPr>
    </w:p>
    <w:p>
      <w:pPr>
        <w:rPr>
          <w:highlight w:val="none"/>
          <w:lang w:val="en-US" w:eastAsia="zh-CN"/>
        </w:rPr>
      </w:pPr>
    </w:p>
    <w:p>
      <w:pPr>
        <w:pStyle w:val="6"/>
        <w:rPr>
          <w:highlight w:val="none"/>
          <w:lang w:val="en-US" w:eastAsia="zh-CN"/>
        </w:rPr>
      </w:pPr>
    </w:p>
    <w:p>
      <w:pPr>
        <w:rPr>
          <w:highlight w:val="none"/>
          <w:lang w:val="en-US" w:eastAsia="zh-CN"/>
        </w:rPr>
      </w:pPr>
    </w:p>
    <w:p>
      <w:pPr>
        <w:pStyle w:val="6"/>
        <w:rPr>
          <w:highlight w:val="none"/>
          <w:lang w:val="en-US" w:eastAsia="zh-CN"/>
        </w:rPr>
      </w:pPr>
    </w:p>
    <w:p>
      <w:pPr>
        <w:rPr>
          <w:highlight w:val="none"/>
          <w:lang w:val="en-US" w:eastAsia="zh-CN"/>
        </w:rPr>
      </w:pPr>
    </w:p>
    <w:p>
      <w:pPr>
        <w:pStyle w:val="6"/>
        <w:rPr>
          <w:highlight w:val="none"/>
          <w:lang w:val="en-US" w:eastAsia="zh-CN"/>
        </w:rPr>
      </w:pPr>
    </w:p>
    <w:p>
      <w:pPr>
        <w:rPr>
          <w:highlight w:val="none"/>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rPr>
          <w:highlight w:val="none"/>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highlight w:val="none"/>
          <w:lang w:val="en-US" w:eastAsia="zh-CN"/>
        </w:rPr>
      </w:pPr>
      <w:r>
        <w:rPr>
          <w:rFonts w:hint="eastAsia" w:ascii="黑体" w:hAnsi="黑体" w:eastAsia="黑体"/>
          <w:b/>
          <w:bCs/>
          <w:sz w:val="24"/>
          <w:szCs w:val="24"/>
          <w:highlight w:val="none"/>
        </w:rPr>
        <w:t>附件</w:t>
      </w:r>
      <w:r>
        <w:rPr>
          <w:rFonts w:hint="eastAsia" w:ascii="黑体" w:hAnsi="黑体" w:eastAsia="黑体"/>
          <w:b/>
          <w:bCs/>
          <w:sz w:val="24"/>
          <w:szCs w:val="24"/>
          <w:highlight w:val="none"/>
          <w:lang w:val="en-US" w:eastAsia="zh-CN"/>
        </w:rPr>
        <w:t>6：</w:t>
      </w:r>
      <w:r>
        <w:rPr>
          <w:rFonts w:hint="eastAsia" w:ascii="黑体" w:hAnsi="黑体" w:eastAsia="黑体"/>
          <w:b/>
          <w:bCs/>
          <w:sz w:val="24"/>
          <w:szCs w:val="24"/>
          <w:highlight w:val="none"/>
        </w:rPr>
        <w:t xml:space="preserve"> </w:t>
      </w:r>
      <w:r>
        <w:rPr>
          <w:rFonts w:hint="eastAsia" w:ascii="黑体" w:hAnsi="黑体" w:eastAsia="黑体"/>
          <w:b/>
          <w:bCs/>
          <w:sz w:val="24"/>
          <w:szCs w:val="24"/>
          <w:highlight w:val="none"/>
          <w:lang w:val="en-US" w:eastAsia="zh-CN"/>
        </w:rPr>
        <w:t>技术文件</w:t>
      </w:r>
    </w:p>
    <w:p>
      <w:pPr>
        <w:rPr>
          <w:rFonts w:hint="eastAsia" w:ascii="黑体" w:hAnsi="黑体" w:eastAsia="黑体"/>
          <w:sz w:val="24"/>
          <w:szCs w:val="24"/>
          <w:highlight w:val="none"/>
          <w:lang w:val="en-US" w:eastAsia="zh-CN"/>
        </w:rPr>
      </w:pPr>
    </w:p>
    <w:p>
      <w:pPr>
        <w:widowControl w:val="0"/>
        <w:numPr>
          <w:ilvl w:val="0"/>
          <w:numId w:val="0"/>
        </w:numPr>
        <w:jc w:val="both"/>
        <w:rPr>
          <w:rFonts w:hint="default"/>
          <w:highlight w:val="none"/>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highlight w:val="none"/>
        </w:rPr>
      </w:pPr>
      <w:r>
        <w:rPr>
          <w:rFonts w:hint="eastAsia" w:ascii="宋体" w:hAnsi="宋体"/>
          <w:b/>
          <w:color w:val="000000"/>
          <w:szCs w:val="21"/>
          <w:highlight w:val="none"/>
        </w:rPr>
        <w:t>技术</w:t>
      </w:r>
      <w:r>
        <w:rPr>
          <w:rFonts w:hint="eastAsia" w:ascii="宋体" w:hAnsi="宋体"/>
          <w:b/>
          <w:color w:val="000000"/>
          <w:szCs w:val="21"/>
          <w:highlight w:val="none"/>
          <w:lang w:val="en-US" w:eastAsia="zh-CN"/>
        </w:rPr>
        <w:t>偏离</w:t>
      </w:r>
      <w:r>
        <w:rPr>
          <w:rFonts w:hint="eastAsia" w:ascii="宋体" w:hAnsi="宋体"/>
          <w:b/>
          <w:color w:val="000000"/>
          <w:szCs w:val="21"/>
          <w:highlight w:val="none"/>
        </w:rPr>
        <w:t>表</w:t>
      </w:r>
    </w:p>
    <w:tbl>
      <w:tblPr>
        <w:tblStyle w:val="16"/>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9" w:type="dxa"/>
            <w:vAlign w:val="center"/>
          </w:tcPr>
          <w:p>
            <w:pPr>
              <w:pStyle w:val="3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3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3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3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9" w:type="dxa"/>
            <w:vAlign w:val="center"/>
          </w:tcPr>
          <w:p>
            <w:pPr>
              <w:pStyle w:val="3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3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3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32"/>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bl>
    <w:p>
      <w:pPr>
        <w:spacing w:before="50" w:line="360" w:lineRule="auto"/>
        <w:ind w:firstLine="3885" w:firstLineChars="1850"/>
        <w:rPr>
          <w:rFonts w:ascii="宋体" w:hAnsi="宋体"/>
          <w:color w:val="000000"/>
          <w:szCs w:val="21"/>
          <w:highlight w:val="none"/>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highlight w:val="none"/>
        </w:rPr>
      </w:pPr>
      <w:r>
        <w:rPr>
          <w:rFonts w:hint="eastAsia" w:ascii="宋体" w:hAnsi="宋体"/>
          <w:color w:val="000000"/>
          <w:szCs w:val="21"/>
          <w:highlight w:val="none"/>
        </w:rPr>
        <w:t>说明：</w:t>
      </w:r>
    </w:p>
    <w:p>
      <w:pPr>
        <w:keepNext w:val="0"/>
        <w:keepLines w:val="0"/>
        <w:pageBreakBefore w:val="0"/>
        <w:widowControl w:val="0"/>
        <w:numPr>
          <w:ilvl w:val="0"/>
          <w:numId w:val="47"/>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以上技术如无偏差，则都填“无”字。</w:t>
      </w:r>
    </w:p>
    <w:p>
      <w:pPr>
        <w:keepNext w:val="0"/>
        <w:keepLines w:val="0"/>
        <w:pageBreakBefore w:val="0"/>
        <w:widowControl w:val="0"/>
        <w:numPr>
          <w:ilvl w:val="0"/>
          <w:numId w:val="47"/>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技术标准以技术要求为基准。</w:t>
      </w:r>
    </w:p>
    <w:p>
      <w:pPr>
        <w:keepNext w:val="0"/>
        <w:keepLines w:val="0"/>
        <w:pageBreakBefore w:val="0"/>
        <w:widowControl w:val="0"/>
        <w:numPr>
          <w:ilvl w:val="0"/>
          <w:numId w:val="47"/>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highlight w:val="none"/>
        </w:rPr>
      </w:pPr>
      <w:r>
        <w:rPr>
          <w:rFonts w:hint="eastAsia" w:ascii="宋体" w:hAnsi="宋体"/>
          <w:color w:val="000000"/>
          <w:szCs w:val="21"/>
          <w:highlight w:val="none"/>
        </w:rPr>
        <w:t>以上技术偏差将作为</w:t>
      </w:r>
      <w:r>
        <w:rPr>
          <w:rFonts w:hint="eastAsia" w:ascii="宋体" w:hAnsi="宋体"/>
          <w:color w:val="000000"/>
          <w:szCs w:val="21"/>
          <w:highlight w:val="none"/>
          <w:lang w:val="en-US" w:eastAsia="zh-CN"/>
        </w:rPr>
        <w:t>采购</w:t>
      </w:r>
      <w:r>
        <w:rPr>
          <w:rFonts w:hint="eastAsia" w:ascii="宋体" w:hAnsi="宋体"/>
          <w:color w:val="000000"/>
          <w:szCs w:val="21"/>
          <w:highlight w:val="none"/>
        </w:rPr>
        <w:t>人判断应答人报价的重要依据，请慎重考虑、酌情填写。</w:t>
      </w:r>
    </w:p>
    <w:p>
      <w:pPr>
        <w:spacing w:line="360" w:lineRule="auto"/>
        <w:rPr>
          <w:rFonts w:ascii="宋体" w:hAnsi="宋体"/>
          <w:color w:val="000000"/>
          <w:szCs w:val="21"/>
          <w:highlight w:val="none"/>
        </w:rPr>
      </w:pPr>
    </w:p>
    <w:p>
      <w:pPr>
        <w:tabs>
          <w:tab w:val="left" w:pos="0"/>
        </w:tabs>
        <w:spacing w:line="360" w:lineRule="auto"/>
        <w:ind w:firstLine="3570" w:firstLineChars="1700"/>
        <w:rPr>
          <w:rFonts w:ascii="宋体" w:hAnsi="宋体"/>
          <w:color w:val="000000"/>
          <w:szCs w:val="21"/>
          <w:highlight w:val="none"/>
          <w:u w:val="single"/>
        </w:rPr>
      </w:pPr>
      <w:r>
        <w:rPr>
          <w:rFonts w:hint="eastAsia" w:ascii="宋体" w:hAnsi="宋体"/>
          <w:color w:val="000000"/>
          <w:szCs w:val="21"/>
          <w:highlight w:val="none"/>
          <w:lang w:eastAsia="zh-CN"/>
        </w:rPr>
        <w:t>应答人</w:t>
      </w:r>
      <w:r>
        <w:rPr>
          <w:rFonts w:hint="eastAsia" w:ascii="宋体" w:hAnsi="宋体"/>
          <w:color w:val="000000"/>
          <w:szCs w:val="21"/>
          <w:highlight w:val="none"/>
        </w:rPr>
        <w:t>：（盖章）</w:t>
      </w:r>
    </w:p>
    <w:p>
      <w:pPr>
        <w:tabs>
          <w:tab w:val="left" w:pos="4320"/>
        </w:tabs>
        <w:spacing w:line="360" w:lineRule="auto"/>
        <w:ind w:firstLine="3465" w:firstLineChars="1650"/>
        <w:jc w:val="center"/>
        <w:rPr>
          <w:rFonts w:ascii="宋体" w:hAnsi="宋体"/>
          <w:color w:val="000000"/>
          <w:szCs w:val="21"/>
          <w:highlight w:val="none"/>
        </w:rPr>
      </w:pPr>
    </w:p>
    <w:p>
      <w:pPr>
        <w:tabs>
          <w:tab w:val="left" w:pos="4320"/>
        </w:tabs>
        <w:spacing w:line="360" w:lineRule="auto"/>
        <w:ind w:firstLine="3570" w:firstLineChars="1700"/>
        <w:rPr>
          <w:rFonts w:hint="eastAsia" w:ascii="宋体" w:hAnsi="宋体"/>
          <w:color w:val="000000"/>
          <w:szCs w:val="21"/>
          <w:highlight w:val="none"/>
        </w:rPr>
      </w:pPr>
      <w:r>
        <w:rPr>
          <w:rFonts w:ascii="宋体" w:hAnsi="宋体"/>
          <w:color w:val="000000"/>
          <w:szCs w:val="21"/>
          <w:highlight w:val="none"/>
        </w:rPr>
        <w:t>法定代表人或委托代理人：（签字</w:t>
      </w:r>
      <w:r>
        <w:rPr>
          <w:rFonts w:hint="eastAsia" w:ascii="宋体" w:hAnsi="宋体"/>
          <w:color w:val="000000"/>
          <w:szCs w:val="21"/>
          <w:highlight w:val="none"/>
        </w:rPr>
        <w:t>）</w:t>
      </w:r>
    </w:p>
    <w:p>
      <w:pPr>
        <w:rPr>
          <w:highlight w:val="none"/>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pStyle w:val="6"/>
        <w:ind w:firstLine="0" w:firstLineChars="0"/>
        <w:rPr>
          <w:highlight w:val="none"/>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28"/>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28"/>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28"/>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6"/>
        <w:tblW w:w="968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
        <w:gridCol w:w="3098"/>
        <w:gridCol w:w="738"/>
        <w:gridCol w:w="1221"/>
        <w:gridCol w:w="693"/>
        <w:gridCol w:w="1176"/>
        <w:gridCol w:w="1094"/>
        <w:gridCol w:w="1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费用明细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不含税单价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税率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含税单价</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不含税小计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含税小计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trPr>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highlight w:val="none"/>
                <w:u w:val="none"/>
                <w:lang w:val="en-US" w:eastAsia="zh-CN"/>
              </w:rPr>
            </w:pPr>
            <w:r>
              <w:rPr>
                <w:rFonts w:hint="eastAsia" w:asciiTheme="minorEastAsia" w:hAnsiTheme="minorEastAsia"/>
                <w:color w:val="auto"/>
                <w:spacing w:val="-3"/>
                <w:highlight w:val="none"/>
                <w:u w:val="none"/>
                <w:lang w:val="en-US" w:eastAsia="zh-CN"/>
              </w:rPr>
              <w:t>平台管线智能内腐蚀控制关键技术研究（报价文件应包含但不限于以上内容）</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不含增值税总价</w:t>
            </w: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增值税 </w:t>
            </w:r>
            <w:r>
              <w:rPr>
                <w:rFonts w:hint="eastAsia" w:ascii="宋体" w:hAnsi="宋体" w:eastAsia="宋体" w:cs="宋体"/>
                <w:i w:val="0"/>
                <w:iCs w:val="0"/>
                <w:color w:val="000000"/>
                <w:kern w:val="0"/>
                <w:sz w:val="21"/>
                <w:szCs w:val="21"/>
                <w:highlight w:val="none"/>
                <w:u w:val="none"/>
                <w:lang w:val="en-US" w:eastAsia="zh-CN" w:bidi="ar"/>
              </w:rPr>
              <w:t xml:space="preserve">  %</w:t>
            </w: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含增值税总价</w:t>
            </w: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6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小写：</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p>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服务类）服务期：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工程类）服务期：合同签订之日起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天内完成，具体开工时间以甲方通知为准。</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28"/>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8"/>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8"/>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28"/>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28"/>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C00000"/>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8"/>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28"/>
        <w:spacing w:line="360" w:lineRule="auto"/>
        <w:ind w:right="560" w:firstLine="4830" w:firstLineChars="23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pPr>
        <w:pStyle w:val="6"/>
        <w:ind w:firstLine="0" w:firstLineChars="0"/>
        <w:rPr>
          <w:highlight w:val="none"/>
          <w:lang w:val="en-US" w:eastAsia="zh-CN"/>
        </w:rPr>
      </w:pPr>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oto Sans CJK DemiLight">
    <w:altName w:val="宋体"/>
    <w:panose1 w:val="00000000000000000000"/>
    <w:charset w:val="86"/>
    <w:family w:val="swiss"/>
    <w:pitch w:val="default"/>
    <w:sig w:usb0="00000000" w:usb1="00000000" w:usb2="00000016" w:usb3="00000000" w:csb0="002E0107" w:csb1="00000000"/>
  </w:font>
  <w:font w:name="Courier">
    <w:altName w:val="Courier New"/>
    <w:panose1 w:val="02070409020205020404"/>
    <w:charset w:val="00"/>
    <w:family w:val="moder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
    <w:nsid w:val="0EDB1D4E"/>
    <w:multiLevelType w:val="multilevel"/>
    <w:tmpl w:val="0EDB1D4E"/>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12.%2"/>
      <w:lvlJc w:val="left"/>
      <w:pPr>
        <w:tabs>
          <w:tab w:val="left" w:pos="840"/>
        </w:tabs>
        <w:ind w:left="840" w:hanging="420"/>
      </w:pPr>
      <w:rPr>
        <w:rFonts w:hint="default" w:ascii="Times New Roman" w:hAnsi="Times New Roman" w:cs="Times New Roman"/>
        <w:b w:val="0"/>
        <w:i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119287E"/>
    <w:multiLevelType w:val="multilevel"/>
    <w:tmpl w:val="1119287E"/>
    <w:lvl w:ilvl="0" w:tentative="0">
      <w:start w:val="1"/>
      <w:numFmt w:val="decimal"/>
      <w:lvlText w:val="9.%1"/>
      <w:lvlJc w:val="left"/>
      <w:pPr>
        <w:tabs>
          <w:tab w:val="left" w:pos="1260"/>
        </w:tabs>
        <w:ind w:left="1260"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1DC4E30"/>
    <w:multiLevelType w:val="multilevel"/>
    <w:tmpl w:val="11DC4E30"/>
    <w:lvl w:ilvl="0" w:tentative="0">
      <w:start w:val="5"/>
      <w:numFmt w:val="decimal"/>
      <w:lvlText w:val="%1"/>
      <w:lvlJc w:val="left"/>
      <w:pPr>
        <w:tabs>
          <w:tab w:val="left" w:pos="540"/>
        </w:tabs>
        <w:ind w:left="540" w:hanging="540"/>
      </w:pPr>
      <w:rPr>
        <w:rFonts w:hint="default"/>
        <w:color w:val="auto"/>
      </w:rPr>
    </w:lvl>
    <w:lvl w:ilvl="1" w:tentative="0">
      <w:start w:val="1"/>
      <w:numFmt w:val="decimal"/>
      <w:lvlText w:val="5.%2"/>
      <w:lvlJc w:val="left"/>
      <w:pPr>
        <w:tabs>
          <w:tab w:val="left" w:pos="540"/>
        </w:tabs>
        <w:ind w:left="540" w:hanging="540"/>
      </w:pPr>
      <w:rPr>
        <w:rFonts w:hint="default" w:ascii="Times New Roman" w:hAnsi="Times New Roman" w:cs="Times New Roman"/>
        <w:b w:val="0"/>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4">
    <w:nsid w:val="14606C9A"/>
    <w:multiLevelType w:val="multilevel"/>
    <w:tmpl w:val="14606C9A"/>
    <w:lvl w:ilvl="0" w:tentative="0">
      <w:start w:val="1"/>
      <w:numFmt w:val="decimal"/>
      <w:lvlText w:val="8.%1"/>
      <w:lvlJc w:val="left"/>
      <w:pPr>
        <w:ind w:left="420" w:hanging="420"/>
      </w:pPr>
      <w:rPr>
        <w:rFonts w:hint="default" w:ascii="Times New Roman" w:hAnsi="Times New Roman" w:cs="Times New Roman"/>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0F63DD"/>
    <w:multiLevelType w:val="multilevel"/>
    <w:tmpl w:val="160F63DD"/>
    <w:lvl w:ilvl="0" w:tentative="0">
      <w:start w:val="1"/>
      <w:numFmt w:val="decimal"/>
      <w:lvlText w:val="16.%1"/>
      <w:lvlJc w:val="left"/>
      <w:pPr>
        <w:tabs>
          <w:tab w:val="left" w:pos="840"/>
        </w:tabs>
        <w:ind w:left="840" w:hanging="420"/>
      </w:pPr>
      <w:rPr>
        <w:rFonts w:hint="eastAsia"/>
      </w:rPr>
    </w:lvl>
    <w:lvl w:ilvl="1" w:tentative="0">
      <w:start w:val="1"/>
      <w:numFmt w:val="decimal"/>
      <w:lvlText w:val="17.%2"/>
      <w:lvlJc w:val="left"/>
      <w:pPr>
        <w:tabs>
          <w:tab w:val="left" w:pos="840"/>
        </w:tabs>
        <w:ind w:left="840" w:hanging="420"/>
      </w:pPr>
      <w:rPr>
        <w:rFonts w:hint="default" w:ascii="Times New Roman" w:hAnsi="Times New Roman" w:cs="Times New Roman"/>
      </w:rPr>
    </w:lvl>
    <w:lvl w:ilvl="2" w:tentative="0">
      <w:start w:val="1"/>
      <w:numFmt w:val="decimal"/>
      <w:lvlText w:val="(%3)"/>
      <w:lvlJc w:val="left"/>
      <w:pPr>
        <w:tabs>
          <w:tab w:val="left" w:pos="280"/>
        </w:tabs>
        <w:ind w:left="1965" w:hanging="112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8324A0E"/>
    <w:multiLevelType w:val="singleLevel"/>
    <w:tmpl w:val="18324A0E"/>
    <w:lvl w:ilvl="0" w:tentative="0">
      <w:start w:val="1"/>
      <w:numFmt w:val="decimal"/>
      <w:suff w:val="nothing"/>
      <w:lvlText w:val="%1、"/>
      <w:lvlJc w:val="left"/>
    </w:lvl>
  </w:abstractNum>
  <w:abstractNum w:abstractNumId="7">
    <w:nsid w:val="1B0668AC"/>
    <w:multiLevelType w:val="multilevel"/>
    <w:tmpl w:val="1B0668AC"/>
    <w:lvl w:ilvl="0" w:tentative="0">
      <w:start w:val="1"/>
      <w:numFmt w:val="decimal"/>
      <w:lvlText w:val="(%1)"/>
      <w:lvlJc w:val="left"/>
      <w:pPr>
        <w:tabs>
          <w:tab w:val="left" w:pos="420"/>
        </w:tabs>
        <w:ind w:left="420" w:hanging="420"/>
      </w:pPr>
      <w:rPr>
        <w:rFonts w:hint="default" w:ascii="Times New Roman" w:hAnsi="Times New Roman" w:cs="Times New Roman"/>
        <w:sz w:val="24"/>
        <w:szCs w:val="24"/>
      </w:rPr>
    </w:lvl>
    <w:lvl w:ilvl="1" w:tentative="0">
      <w:start w:val="1"/>
      <w:numFmt w:val="decimal"/>
      <w:lvlText w:val="12.%2"/>
      <w:lvlJc w:val="left"/>
      <w:pPr>
        <w:tabs>
          <w:tab w:val="left" w:pos="840"/>
        </w:tabs>
        <w:ind w:left="840" w:hanging="420"/>
      </w:pPr>
      <w:rPr>
        <w:rFonts w:hint="eastAsia"/>
        <w:b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C3D776C"/>
    <w:multiLevelType w:val="multilevel"/>
    <w:tmpl w:val="1C3D776C"/>
    <w:lvl w:ilvl="0" w:tentative="0">
      <w:start w:val="1"/>
      <w:numFmt w:val="decimal"/>
      <w:lvlText w:val="21.%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0006202"/>
    <w:multiLevelType w:val="multilevel"/>
    <w:tmpl w:val="20006202"/>
    <w:lvl w:ilvl="0" w:tentative="0">
      <w:start w:val="1"/>
      <w:numFmt w:val="decimal"/>
      <w:lvlText w:val="(%1)"/>
      <w:lvlJc w:val="left"/>
      <w:pPr>
        <w:ind w:left="1128" w:hanging="420"/>
      </w:pPr>
      <w:rPr>
        <w:rFonts w:hint="default" w:ascii="Times New Roman" w:hAnsi="Times New Roman" w:cs="Times New Roman"/>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0">
    <w:nsid w:val="209C26D6"/>
    <w:multiLevelType w:val="multilevel"/>
    <w:tmpl w:val="209C26D6"/>
    <w:lvl w:ilvl="0" w:tentative="0">
      <w:start w:val="8"/>
      <w:numFmt w:val="decimal"/>
      <w:lvlText w:val="%1"/>
      <w:lvlJc w:val="left"/>
      <w:pPr>
        <w:tabs>
          <w:tab w:val="left" w:pos="540"/>
        </w:tabs>
        <w:ind w:left="540" w:hanging="540"/>
      </w:pPr>
      <w:rPr>
        <w:rFonts w:hint="default"/>
        <w:color w:val="auto"/>
      </w:rPr>
    </w:lvl>
    <w:lvl w:ilvl="1" w:tentative="0">
      <w:start w:val="1"/>
      <w:numFmt w:val="decimal"/>
      <w:lvlText w:val="10.%2"/>
      <w:lvlJc w:val="left"/>
      <w:pPr>
        <w:tabs>
          <w:tab w:val="left" w:pos="540"/>
        </w:tabs>
        <w:ind w:left="540" w:hanging="540"/>
      </w:pPr>
      <w:rPr>
        <w:rFonts w:hint="default" w:ascii="Times New Roman" w:hAnsi="Times New Roman" w:cs="Times New Roman"/>
        <w:b w:val="0"/>
        <w:i w:val="0"/>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1">
    <w:nsid w:val="250D29F4"/>
    <w:multiLevelType w:val="multilevel"/>
    <w:tmpl w:val="250D29F4"/>
    <w:lvl w:ilvl="0" w:tentative="0">
      <w:start w:val="1"/>
      <w:numFmt w:val="decimal"/>
      <w:lvlText w:val="8.%1"/>
      <w:lvlJc w:val="left"/>
      <w:pPr>
        <w:ind w:left="420" w:hanging="420"/>
      </w:pPr>
      <w:rPr>
        <w:rFonts w:hint="eastAsia"/>
      </w:rPr>
    </w:lvl>
    <w:lvl w:ilvl="1" w:tentative="0">
      <w:start w:val="1"/>
      <w:numFmt w:val="decimal"/>
      <w:lvlText w:val="7.%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7DF551A"/>
    <w:multiLevelType w:val="multilevel"/>
    <w:tmpl w:val="27DF551A"/>
    <w:lvl w:ilvl="0" w:tentative="0">
      <w:start w:val="5"/>
      <w:numFmt w:val="decimal"/>
      <w:lvlText w:val="2.%1"/>
      <w:lvlJc w:val="left"/>
      <w:pPr>
        <w:ind w:left="840" w:hanging="420"/>
      </w:pPr>
      <w:rPr>
        <w:rFonts w:hint="default" w:ascii="Times New Roman" w:hAnsi="Times New Roman" w:cs="Times New Roman"/>
        <w:b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A4432F0"/>
    <w:multiLevelType w:val="multilevel"/>
    <w:tmpl w:val="2A4432F0"/>
    <w:lvl w:ilvl="0" w:tentative="0">
      <w:start w:val="1"/>
      <w:numFmt w:val="decimal"/>
      <w:lvlText w:val="(%1)"/>
      <w:lvlJc w:val="left"/>
      <w:pPr>
        <w:ind w:left="1129" w:hanging="420"/>
      </w:pPr>
      <w:rPr>
        <w:rFonts w:hint="default" w:ascii="Times New Roman" w:hAnsi="Times New Roman" w:cs="Times New Roman"/>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4">
    <w:nsid w:val="2DF54DF2"/>
    <w:multiLevelType w:val="multilevel"/>
    <w:tmpl w:val="2DF54DF2"/>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decimal"/>
      <w:lvlText w:val="(%3)"/>
      <w:lvlJc w:val="left"/>
      <w:pPr>
        <w:ind w:left="1969" w:hanging="420"/>
      </w:pPr>
      <w:rPr>
        <w:rFonts w:hint="eastAsia"/>
      </w:r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5">
    <w:nsid w:val="305728CA"/>
    <w:multiLevelType w:val="multilevel"/>
    <w:tmpl w:val="305728CA"/>
    <w:lvl w:ilvl="0" w:tentative="0">
      <w:start w:val="4"/>
      <w:numFmt w:val="decimal"/>
      <w:lvlText w:val="%1"/>
      <w:lvlJc w:val="left"/>
      <w:pPr>
        <w:tabs>
          <w:tab w:val="left" w:pos="540"/>
        </w:tabs>
        <w:ind w:left="540" w:hanging="540"/>
      </w:pPr>
      <w:rPr>
        <w:rFonts w:hint="default"/>
        <w:color w:val="auto"/>
      </w:rPr>
    </w:lvl>
    <w:lvl w:ilvl="1" w:tentative="0">
      <w:start w:val="1"/>
      <w:numFmt w:val="decimal"/>
      <w:lvlText w:val="4.%2"/>
      <w:lvlJc w:val="left"/>
      <w:pPr>
        <w:tabs>
          <w:tab w:val="left" w:pos="540"/>
        </w:tabs>
        <w:ind w:left="540" w:hanging="540"/>
      </w:pPr>
      <w:rPr>
        <w:rFonts w:hint="default" w:ascii="Times New Roman" w:hAnsi="Times New Roman" w:cs="Times New Roman"/>
        <w:b w:val="0"/>
        <w:color w:val="000000"/>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6">
    <w:nsid w:val="325F36FB"/>
    <w:multiLevelType w:val="multilevel"/>
    <w:tmpl w:val="325F36FB"/>
    <w:lvl w:ilvl="0" w:tentative="0">
      <w:start w:val="1"/>
      <w:numFmt w:val="decimal"/>
      <w:lvlText w:val="2.%1"/>
      <w:lvlJc w:val="left"/>
      <w:pPr>
        <w:ind w:left="420" w:hanging="420"/>
      </w:pPr>
      <w:rPr>
        <w:rFonts w:hint="eastAsia"/>
      </w:rPr>
    </w:lvl>
    <w:lvl w:ilvl="1" w:tentative="0">
      <w:start w:val="1"/>
      <w:numFmt w:val="decimal"/>
      <w:lvlText w:val="2.%2"/>
      <w:lvlJc w:val="left"/>
      <w:pPr>
        <w:ind w:left="840" w:hanging="420"/>
      </w:pPr>
      <w:rPr>
        <w:rFonts w:hint="default" w:ascii="Times New Roman" w:hAnsi="Times New Roman" w:cs="Times New Roman"/>
        <w:b w:val="0"/>
        <w:sz w:val="21"/>
        <w:szCs w:val="21"/>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8">
    <w:nsid w:val="39E24E0E"/>
    <w:multiLevelType w:val="multilevel"/>
    <w:tmpl w:val="39E24E0E"/>
    <w:lvl w:ilvl="0" w:tentative="0">
      <w:start w:val="1"/>
      <w:numFmt w:val="decimal"/>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9">
    <w:nsid w:val="3B2C3E48"/>
    <w:multiLevelType w:val="multilevel"/>
    <w:tmpl w:val="3B2C3E48"/>
    <w:lvl w:ilvl="0" w:tentative="0">
      <w:start w:val="1"/>
      <w:numFmt w:val="chineseCountingThousand"/>
      <w:pStyle w:val="43"/>
      <w:lvlText w:val="第%1条"/>
      <w:lvlJc w:val="left"/>
      <w:pPr>
        <w:tabs>
          <w:tab w:val="left" w:pos="2564"/>
        </w:tabs>
        <w:ind w:left="2564"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lang w:val="en-US"/>
        <w14:shadow w14:blurRad="0" w14:dist="0" w14:dir="0" w14:sx="0" w14:sy="0" w14:kx="0" w14:ky="0" w14:algn="none">
          <w14:srgbClr w14:val="000000"/>
        </w14:shadow>
      </w:rPr>
    </w:lvl>
    <w:lvl w:ilvl="1" w:tentative="0">
      <w:start w:val="1"/>
      <w:numFmt w:val="decimal"/>
      <w:lvlText w:val="(%2)"/>
      <w:lvlJc w:val="left"/>
      <w:pPr>
        <w:ind w:left="93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3C4F5E8D"/>
    <w:multiLevelType w:val="multilevel"/>
    <w:tmpl w:val="3C4F5E8D"/>
    <w:lvl w:ilvl="0" w:tentative="0">
      <w:start w:val="4"/>
      <w:numFmt w:val="decimal"/>
      <w:lvlText w:val="2.%1"/>
      <w:lvlJc w:val="left"/>
      <w:pPr>
        <w:ind w:left="420" w:hanging="420"/>
      </w:pPr>
      <w:rPr>
        <w:rFonts w:hint="default" w:ascii="Times New Roman" w:hAnsi="Times New Roman"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F5726EE"/>
    <w:multiLevelType w:val="multilevel"/>
    <w:tmpl w:val="3F5726E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default" w:ascii="Times New Roman" w:hAnsi="Times New Roman" w:eastAsia="宋体"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FE20C88"/>
    <w:multiLevelType w:val="multilevel"/>
    <w:tmpl w:val="3FE20C88"/>
    <w:lvl w:ilvl="0" w:tentative="0">
      <w:start w:val="10"/>
      <w:numFmt w:val="decimal"/>
      <w:lvlText w:val="%1"/>
      <w:lvlJc w:val="left"/>
      <w:pPr>
        <w:tabs>
          <w:tab w:val="left" w:pos="420"/>
        </w:tabs>
        <w:ind w:left="420" w:hanging="420"/>
      </w:pPr>
      <w:rPr>
        <w:rFonts w:hint="default"/>
      </w:rPr>
    </w:lvl>
    <w:lvl w:ilvl="1" w:tentative="0">
      <w:start w:val="1"/>
      <w:numFmt w:val="decimal"/>
      <w:lvlText w:val="19.%2"/>
      <w:lvlJc w:val="left"/>
      <w:pPr>
        <w:tabs>
          <w:tab w:val="left" w:pos="420"/>
        </w:tabs>
        <w:ind w:left="420" w:hanging="420"/>
      </w:pPr>
      <w:rPr>
        <w:rFonts w:hint="default" w:ascii="Times New Roman" w:hAnsi="Times New Roman" w:cs="Times New Roman"/>
        <w:b w:val="0"/>
        <w:i w:val="0"/>
        <w:color w:val="auto"/>
        <w:sz w:val="24"/>
        <w:szCs w:val="21"/>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4060754E"/>
    <w:multiLevelType w:val="multilevel"/>
    <w:tmpl w:val="4060754E"/>
    <w:lvl w:ilvl="0" w:tentative="0">
      <w:start w:val="1"/>
      <w:numFmt w:val="decimal"/>
      <w:lvlText w:val="13.%1"/>
      <w:lvlJc w:val="left"/>
      <w:pPr>
        <w:tabs>
          <w:tab w:val="left" w:pos="1260"/>
        </w:tabs>
        <w:ind w:left="1260"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40B6C9A8"/>
    <w:multiLevelType w:val="singleLevel"/>
    <w:tmpl w:val="40B6C9A8"/>
    <w:lvl w:ilvl="0" w:tentative="0">
      <w:start w:val="1"/>
      <w:numFmt w:val="decimal"/>
      <w:suff w:val="nothing"/>
      <w:lvlText w:val="%1、"/>
      <w:lvlJc w:val="left"/>
    </w:lvl>
  </w:abstractNum>
  <w:abstractNum w:abstractNumId="26">
    <w:nsid w:val="475F5AFA"/>
    <w:multiLevelType w:val="multilevel"/>
    <w:tmpl w:val="475F5AF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F2A4C79"/>
    <w:multiLevelType w:val="multilevel"/>
    <w:tmpl w:val="4F2A4C79"/>
    <w:lvl w:ilvl="0" w:tentative="0">
      <w:start w:val="1"/>
      <w:numFmt w:val="decimal"/>
      <w:lvlText w:val="17.%1"/>
      <w:lvlJc w:val="left"/>
      <w:pPr>
        <w:ind w:left="1126" w:hanging="420"/>
      </w:pPr>
      <w:rPr>
        <w:rFonts w:hint="eastAsia" w:cs="Times New Roman"/>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9">
    <w:nsid w:val="5124085E"/>
    <w:multiLevelType w:val="multilevel"/>
    <w:tmpl w:val="5124085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3D0282A"/>
    <w:multiLevelType w:val="multilevel"/>
    <w:tmpl w:val="53D0282A"/>
    <w:lvl w:ilvl="0" w:tentative="0">
      <w:start w:val="1"/>
      <w:numFmt w:val="decimal"/>
      <w:lvlText w:val="（%1）"/>
      <w:lvlJc w:val="left"/>
      <w:pPr>
        <w:ind w:left="156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6DE59D5"/>
    <w:multiLevelType w:val="multilevel"/>
    <w:tmpl w:val="56DE59D5"/>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7B20D51"/>
    <w:multiLevelType w:val="multilevel"/>
    <w:tmpl w:val="57B20D51"/>
    <w:lvl w:ilvl="0" w:tentative="0">
      <w:start w:val="6"/>
      <w:numFmt w:val="decimal"/>
      <w:lvlText w:val="%1"/>
      <w:lvlJc w:val="left"/>
      <w:pPr>
        <w:tabs>
          <w:tab w:val="left" w:pos="540"/>
        </w:tabs>
        <w:ind w:left="540" w:hanging="540"/>
      </w:pPr>
      <w:rPr>
        <w:rFonts w:hint="default"/>
        <w:color w:val="auto"/>
      </w:rPr>
    </w:lvl>
    <w:lvl w:ilvl="1" w:tentative="0">
      <w:start w:val="1"/>
      <w:numFmt w:val="decimal"/>
      <w:lvlText w:val="6.%2"/>
      <w:lvlJc w:val="left"/>
      <w:pPr>
        <w:tabs>
          <w:tab w:val="left" w:pos="540"/>
        </w:tabs>
        <w:ind w:left="540" w:hanging="540"/>
      </w:pPr>
      <w:rPr>
        <w:rFonts w:hint="default" w:ascii="Times New Roman" w:hAnsi="Times New Roman" w:cs="Times New Roman"/>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33">
    <w:nsid w:val="587C444D"/>
    <w:multiLevelType w:val="multilevel"/>
    <w:tmpl w:val="587C444D"/>
    <w:lvl w:ilvl="0" w:tentative="0">
      <w:start w:val="1"/>
      <w:numFmt w:val="decimal"/>
      <w:lvlText w:val="22.%1"/>
      <w:lvlJc w:val="left"/>
      <w:pPr>
        <w:ind w:left="420" w:hanging="420"/>
      </w:pPr>
      <w:rPr>
        <w:rFonts w:hint="default" w:ascii="Times New Roman" w:hAnsi="Times New Roman" w:eastAsia="宋体"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DA2558A"/>
    <w:multiLevelType w:val="multilevel"/>
    <w:tmpl w:val="5DA2558A"/>
    <w:lvl w:ilvl="0" w:tentative="0">
      <w:start w:val="0"/>
      <w:numFmt w:val="bullet"/>
      <w:pStyle w:val="22"/>
      <w:lvlText w:val=""/>
      <w:lvlJc w:val="left"/>
      <w:pPr>
        <w:ind w:left="898" w:hanging="420"/>
      </w:pPr>
      <w:rPr>
        <w:rFonts w:hint="default" w:ascii="Wingdings" w:hAnsi="Wingdings" w:eastAsia="Wingdings" w:cs="Wingdings"/>
        <w:w w:val="100"/>
        <w:sz w:val="24"/>
        <w:szCs w:val="24"/>
        <w:lang w:val="zh-CN" w:eastAsia="zh-CN" w:bidi="zh-CN"/>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5">
    <w:nsid w:val="5E9845A6"/>
    <w:multiLevelType w:val="multilevel"/>
    <w:tmpl w:val="5E9845A6"/>
    <w:lvl w:ilvl="0" w:tentative="0">
      <w:start w:val="1"/>
      <w:numFmt w:val="decimal"/>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6">
    <w:nsid w:val="612E6536"/>
    <w:multiLevelType w:val="multilevel"/>
    <w:tmpl w:val="612E6536"/>
    <w:lvl w:ilvl="0" w:tentative="0">
      <w:start w:val="1"/>
      <w:numFmt w:val="decimal"/>
      <w:lvlText w:val="14.%1"/>
      <w:lvlJc w:val="left"/>
      <w:pPr>
        <w:tabs>
          <w:tab w:val="left" w:pos="0"/>
        </w:tabs>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1694D6C"/>
    <w:multiLevelType w:val="singleLevel"/>
    <w:tmpl w:val="61694D6C"/>
    <w:lvl w:ilvl="0" w:tentative="0">
      <w:start w:val="1"/>
      <w:numFmt w:val="decimal"/>
      <w:suff w:val="nothing"/>
      <w:lvlText w:val="%1、"/>
      <w:lvlJc w:val="left"/>
    </w:lvl>
  </w:abstractNum>
  <w:abstractNum w:abstractNumId="38">
    <w:nsid w:val="65CE644A"/>
    <w:multiLevelType w:val="multilevel"/>
    <w:tmpl w:val="65CE644A"/>
    <w:lvl w:ilvl="0" w:tentative="0">
      <w:start w:val="1"/>
      <w:numFmt w:val="decimal"/>
      <w:lvlText w:val="20.%1"/>
      <w:lvlJc w:val="left"/>
      <w:pPr>
        <w:tabs>
          <w:tab w:val="left" w:pos="0"/>
        </w:tabs>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6EE643E7"/>
    <w:multiLevelType w:val="multilevel"/>
    <w:tmpl w:val="6EE643E7"/>
    <w:lvl w:ilvl="0" w:tentative="0">
      <w:start w:val="3"/>
      <w:numFmt w:val="bullet"/>
      <w:pStyle w:val="45"/>
      <w:lvlText w:val="-"/>
      <w:lvlJc w:val="left"/>
      <w:pPr>
        <w:tabs>
          <w:tab w:val="left" w:pos="780"/>
        </w:tabs>
        <w:ind w:left="780" w:hanging="360"/>
      </w:pPr>
      <w:rPr>
        <w:rFonts w:hint="default"/>
      </w:rPr>
    </w:lvl>
    <w:lvl w:ilvl="1" w:tentative="0">
      <w:start w:val="1"/>
      <w:numFmt w:val="bullet"/>
      <w:lvlText w:val=""/>
      <w:lvlJc w:val="left"/>
      <w:pPr>
        <w:tabs>
          <w:tab w:val="left" w:pos="-1830"/>
        </w:tabs>
        <w:ind w:left="-1830" w:hanging="420"/>
      </w:pPr>
      <w:rPr>
        <w:rFonts w:hint="default" w:ascii="Wingdings" w:hAnsi="Wingdings"/>
      </w:rPr>
    </w:lvl>
    <w:lvl w:ilvl="2" w:tentative="0">
      <w:start w:val="1"/>
      <w:numFmt w:val="bullet"/>
      <w:lvlText w:val=""/>
      <w:lvlJc w:val="left"/>
      <w:pPr>
        <w:tabs>
          <w:tab w:val="left" w:pos="-1410"/>
        </w:tabs>
        <w:ind w:left="-1410" w:hanging="420"/>
      </w:pPr>
      <w:rPr>
        <w:rFonts w:hint="default" w:ascii="Wingdings" w:hAnsi="Wingdings"/>
      </w:rPr>
    </w:lvl>
    <w:lvl w:ilvl="3" w:tentative="0">
      <w:start w:val="1"/>
      <w:numFmt w:val="bullet"/>
      <w:lvlText w:val=""/>
      <w:lvlJc w:val="left"/>
      <w:pPr>
        <w:tabs>
          <w:tab w:val="left" w:pos="-990"/>
        </w:tabs>
        <w:ind w:left="-990" w:hanging="420"/>
      </w:pPr>
      <w:rPr>
        <w:rFonts w:hint="default" w:ascii="Wingdings" w:hAnsi="Wingdings"/>
      </w:rPr>
    </w:lvl>
    <w:lvl w:ilvl="4" w:tentative="0">
      <w:start w:val="1"/>
      <w:numFmt w:val="bullet"/>
      <w:lvlText w:val=""/>
      <w:lvlJc w:val="left"/>
      <w:pPr>
        <w:tabs>
          <w:tab w:val="left" w:pos="-570"/>
        </w:tabs>
        <w:ind w:left="-570" w:hanging="420"/>
      </w:pPr>
      <w:rPr>
        <w:rFonts w:hint="default" w:ascii="Wingdings" w:hAnsi="Wingdings"/>
      </w:rPr>
    </w:lvl>
    <w:lvl w:ilvl="5" w:tentative="0">
      <w:start w:val="1"/>
      <w:numFmt w:val="bullet"/>
      <w:lvlText w:val=""/>
      <w:lvlJc w:val="left"/>
      <w:pPr>
        <w:tabs>
          <w:tab w:val="left" w:pos="-150"/>
        </w:tabs>
        <w:ind w:left="-150" w:hanging="420"/>
      </w:pPr>
      <w:rPr>
        <w:rFonts w:hint="default" w:ascii="Wingdings" w:hAnsi="Wingdings"/>
      </w:rPr>
    </w:lvl>
    <w:lvl w:ilvl="6" w:tentative="0">
      <w:start w:val="1"/>
      <w:numFmt w:val="bullet"/>
      <w:lvlText w:val=""/>
      <w:lvlJc w:val="left"/>
      <w:pPr>
        <w:tabs>
          <w:tab w:val="left" w:pos="270"/>
        </w:tabs>
        <w:ind w:left="270" w:hanging="420"/>
      </w:pPr>
      <w:rPr>
        <w:rFonts w:hint="default" w:ascii="Wingdings" w:hAnsi="Wingdings"/>
      </w:rPr>
    </w:lvl>
    <w:lvl w:ilvl="7" w:tentative="0">
      <w:start w:val="1"/>
      <w:numFmt w:val="bullet"/>
      <w:lvlText w:val=""/>
      <w:lvlJc w:val="left"/>
      <w:pPr>
        <w:tabs>
          <w:tab w:val="left" w:pos="690"/>
        </w:tabs>
        <w:ind w:left="690" w:hanging="420"/>
      </w:pPr>
      <w:rPr>
        <w:rFonts w:hint="default" w:ascii="Wingdings" w:hAnsi="Wingdings"/>
      </w:rPr>
    </w:lvl>
    <w:lvl w:ilvl="8" w:tentative="0">
      <w:start w:val="1"/>
      <w:numFmt w:val="bullet"/>
      <w:lvlText w:val=""/>
      <w:lvlJc w:val="left"/>
      <w:pPr>
        <w:tabs>
          <w:tab w:val="left" w:pos="1110"/>
        </w:tabs>
        <w:ind w:left="1110" w:hanging="420"/>
      </w:pPr>
      <w:rPr>
        <w:rFonts w:hint="default" w:ascii="Wingdings" w:hAnsi="Wingdings"/>
      </w:rPr>
    </w:lvl>
  </w:abstractNum>
  <w:abstractNum w:abstractNumId="41">
    <w:nsid w:val="6F281FD0"/>
    <w:multiLevelType w:val="multilevel"/>
    <w:tmpl w:val="6F281FD0"/>
    <w:lvl w:ilvl="0" w:tentative="0">
      <w:start w:val="2"/>
      <w:numFmt w:val="bullet"/>
      <w:pStyle w:val="25"/>
      <w:lvlText w:val="★"/>
      <w:lvlJc w:val="left"/>
      <w:pPr>
        <w:ind w:left="840" w:hanging="360"/>
      </w:pPr>
      <w:rPr>
        <w:rFonts w:hint="eastAsia" w:ascii="宋体" w:hAnsi="宋体" w:eastAsia="宋体" w:cs="宋体"/>
        <w:b w:val="0"/>
        <w:color w:val="auto"/>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2">
    <w:nsid w:val="75A16CED"/>
    <w:multiLevelType w:val="multilevel"/>
    <w:tmpl w:val="75A16CED"/>
    <w:lvl w:ilvl="0" w:tentative="0">
      <w:start w:val="1"/>
      <w:numFmt w:val="decimal"/>
      <w:lvlText w:val="%1"/>
      <w:lvlJc w:val="left"/>
      <w:pPr>
        <w:tabs>
          <w:tab w:val="left" w:pos="540"/>
        </w:tabs>
        <w:ind w:left="540" w:hanging="540"/>
      </w:pPr>
      <w:rPr>
        <w:rFonts w:hint="default"/>
        <w:color w:val="auto"/>
      </w:rPr>
    </w:lvl>
    <w:lvl w:ilvl="1" w:tentative="0">
      <w:start w:val="1"/>
      <w:numFmt w:val="decimal"/>
      <w:lvlText w:val="%1.%2"/>
      <w:lvlJc w:val="left"/>
      <w:pPr>
        <w:tabs>
          <w:tab w:val="left" w:pos="540"/>
        </w:tabs>
        <w:ind w:left="540" w:hanging="540"/>
      </w:pPr>
      <w:rPr>
        <w:rFonts w:hint="default" w:ascii="Times New Roman" w:hAnsi="Times New Roman" w:cs="Times New Roman"/>
        <w:color w:val="auto"/>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43">
    <w:nsid w:val="779C61AE"/>
    <w:multiLevelType w:val="multilevel"/>
    <w:tmpl w:val="779C61AE"/>
    <w:lvl w:ilvl="0" w:tentative="0">
      <w:start w:val="1"/>
      <w:numFmt w:val="decimal"/>
      <w:lvlText w:val="18.%1"/>
      <w:lvlJc w:val="left"/>
      <w:pPr>
        <w:ind w:left="113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8AB0270"/>
    <w:multiLevelType w:val="multilevel"/>
    <w:tmpl w:val="78AB0270"/>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46">
    <w:nsid w:val="7981242F"/>
    <w:multiLevelType w:val="multilevel"/>
    <w:tmpl w:val="7981242F"/>
    <w:lvl w:ilvl="0" w:tentative="0">
      <w:start w:val="1"/>
      <w:numFmt w:val="decimal"/>
      <w:lvlText w:val="3.%1"/>
      <w:lvlJc w:val="left"/>
      <w:pPr>
        <w:ind w:left="1140"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34"/>
  </w:num>
  <w:num w:numId="2">
    <w:abstractNumId w:val="41"/>
  </w:num>
  <w:num w:numId="3">
    <w:abstractNumId w:val="19"/>
  </w:num>
  <w:num w:numId="4">
    <w:abstractNumId w:val="40"/>
  </w:num>
  <w:num w:numId="5">
    <w:abstractNumId w:val="18"/>
  </w:num>
  <w:num w:numId="6">
    <w:abstractNumId w:val="35"/>
  </w:num>
  <w:num w:numId="7">
    <w:abstractNumId w:val="42"/>
  </w:num>
  <w:num w:numId="8">
    <w:abstractNumId w:val="16"/>
  </w:num>
  <w:num w:numId="9">
    <w:abstractNumId w:val="21"/>
  </w:num>
  <w:num w:numId="10">
    <w:abstractNumId w:val="12"/>
  </w:num>
  <w:num w:numId="11">
    <w:abstractNumId w:val="9"/>
  </w:num>
  <w:num w:numId="12">
    <w:abstractNumId w:val="46"/>
  </w:num>
  <w:num w:numId="13">
    <w:abstractNumId w:val="15"/>
  </w:num>
  <w:num w:numId="14">
    <w:abstractNumId w:val="29"/>
  </w:num>
  <w:num w:numId="15">
    <w:abstractNumId w:val="44"/>
  </w:num>
  <w:num w:numId="16">
    <w:abstractNumId w:val="22"/>
  </w:num>
  <w:num w:numId="17">
    <w:abstractNumId w:val="3"/>
  </w:num>
  <w:num w:numId="18">
    <w:abstractNumId w:val="32"/>
  </w:num>
  <w:num w:numId="19">
    <w:abstractNumId w:val="11"/>
  </w:num>
  <w:num w:numId="20">
    <w:abstractNumId w:val="4"/>
  </w:num>
  <w:num w:numId="21">
    <w:abstractNumId w:val="2"/>
  </w:num>
  <w:num w:numId="22">
    <w:abstractNumId w:val="5"/>
  </w:num>
  <w:num w:numId="23">
    <w:abstractNumId w:val="10"/>
  </w:num>
  <w:num w:numId="24">
    <w:abstractNumId w:val="7"/>
  </w:num>
  <w:num w:numId="25">
    <w:abstractNumId w:val="0"/>
  </w:num>
  <w:num w:numId="26">
    <w:abstractNumId w:val="1"/>
  </w:num>
  <w:num w:numId="27">
    <w:abstractNumId w:val="14"/>
  </w:num>
  <w:num w:numId="28">
    <w:abstractNumId w:val="24"/>
  </w:num>
  <w:num w:numId="29">
    <w:abstractNumId w:val="26"/>
  </w:num>
  <w:num w:numId="30">
    <w:abstractNumId w:val="36"/>
  </w:num>
  <w:num w:numId="31">
    <w:abstractNumId w:val="31"/>
  </w:num>
  <w:num w:numId="32">
    <w:abstractNumId w:val="27"/>
  </w:num>
  <w:num w:numId="33">
    <w:abstractNumId w:val="20"/>
  </w:num>
  <w:num w:numId="34">
    <w:abstractNumId w:val="30"/>
  </w:num>
  <w:num w:numId="35">
    <w:abstractNumId w:val="43"/>
  </w:num>
  <w:num w:numId="36">
    <w:abstractNumId w:val="28"/>
  </w:num>
  <w:num w:numId="37">
    <w:abstractNumId w:val="23"/>
  </w:num>
  <w:num w:numId="38">
    <w:abstractNumId w:val="13"/>
  </w:num>
  <w:num w:numId="39">
    <w:abstractNumId w:val="38"/>
  </w:num>
  <w:num w:numId="40">
    <w:abstractNumId w:val="8"/>
  </w:num>
  <w:num w:numId="41">
    <w:abstractNumId w:val="17"/>
  </w:num>
  <w:num w:numId="42">
    <w:abstractNumId w:val="33"/>
  </w:num>
  <w:num w:numId="43">
    <w:abstractNumId w:val="45"/>
  </w:num>
  <w:num w:numId="44">
    <w:abstractNumId w:val="25"/>
  </w:num>
  <w:num w:numId="45">
    <w:abstractNumId w:val="6"/>
  </w:num>
  <w:num w:numId="46">
    <w:abstractNumId w:val="37"/>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yNjliZjdkYTYwNDFkZTRkZDBkMjAxYjQyNzE1NGUifQ=="/>
  </w:docVars>
  <w:rsids>
    <w:rsidRoot w:val="00000000"/>
    <w:rsid w:val="01424D26"/>
    <w:rsid w:val="03D05765"/>
    <w:rsid w:val="0436199C"/>
    <w:rsid w:val="049F2E63"/>
    <w:rsid w:val="063A660C"/>
    <w:rsid w:val="07AD3C13"/>
    <w:rsid w:val="08AA45E1"/>
    <w:rsid w:val="08D931B8"/>
    <w:rsid w:val="0A767BC5"/>
    <w:rsid w:val="0B2B6D61"/>
    <w:rsid w:val="0FA91902"/>
    <w:rsid w:val="120E0D05"/>
    <w:rsid w:val="147405F4"/>
    <w:rsid w:val="15576134"/>
    <w:rsid w:val="16B43D37"/>
    <w:rsid w:val="1717200C"/>
    <w:rsid w:val="1AFE5A69"/>
    <w:rsid w:val="1CF1208B"/>
    <w:rsid w:val="20EA40ED"/>
    <w:rsid w:val="227150F0"/>
    <w:rsid w:val="22722945"/>
    <w:rsid w:val="23181B9F"/>
    <w:rsid w:val="24462612"/>
    <w:rsid w:val="25245E9A"/>
    <w:rsid w:val="25707F31"/>
    <w:rsid w:val="26BE651E"/>
    <w:rsid w:val="27570882"/>
    <w:rsid w:val="283050FB"/>
    <w:rsid w:val="29F13A67"/>
    <w:rsid w:val="2F6F3C5E"/>
    <w:rsid w:val="304411E2"/>
    <w:rsid w:val="325E1083"/>
    <w:rsid w:val="332A4C13"/>
    <w:rsid w:val="3A0E2894"/>
    <w:rsid w:val="3B3A5B97"/>
    <w:rsid w:val="3BBB596A"/>
    <w:rsid w:val="3CBB6B27"/>
    <w:rsid w:val="3DAC3EAF"/>
    <w:rsid w:val="3E246258"/>
    <w:rsid w:val="40965F45"/>
    <w:rsid w:val="41E130A2"/>
    <w:rsid w:val="44C60E22"/>
    <w:rsid w:val="47776D40"/>
    <w:rsid w:val="47E81D04"/>
    <w:rsid w:val="4F16795D"/>
    <w:rsid w:val="4FC47104"/>
    <w:rsid w:val="532A45A0"/>
    <w:rsid w:val="542E3584"/>
    <w:rsid w:val="56250459"/>
    <w:rsid w:val="5B326C75"/>
    <w:rsid w:val="5C087B8B"/>
    <w:rsid w:val="5C5047A4"/>
    <w:rsid w:val="5C756A14"/>
    <w:rsid w:val="5D4A3BA2"/>
    <w:rsid w:val="5D5E7FC0"/>
    <w:rsid w:val="5D6909EB"/>
    <w:rsid w:val="5D6B671C"/>
    <w:rsid w:val="5D957B79"/>
    <w:rsid w:val="5EA13F21"/>
    <w:rsid w:val="5F4771A8"/>
    <w:rsid w:val="605C3AE4"/>
    <w:rsid w:val="62FA10DE"/>
    <w:rsid w:val="64BE50E6"/>
    <w:rsid w:val="6597551C"/>
    <w:rsid w:val="65B85280"/>
    <w:rsid w:val="66A30A98"/>
    <w:rsid w:val="69C65F01"/>
    <w:rsid w:val="6A922F12"/>
    <w:rsid w:val="6B9F2FB4"/>
    <w:rsid w:val="70147424"/>
    <w:rsid w:val="725C74C5"/>
    <w:rsid w:val="73BB4BAC"/>
    <w:rsid w:val="756F34CA"/>
    <w:rsid w:val="75BC0475"/>
    <w:rsid w:val="78BD1574"/>
    <w:rsid w:val="78DF2D6D"/>
    <w:rsid w:val="795216B7"/>
    <w:rsid w:val="7C88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jc w:val="both"/>
      <w:outlineLvl w:val="0"/>
    </w:pPr>
    <w:rPr>
      <w:rFonts w:ascii="Times New Roman" w:hAnsi="Times New Roman" w:eastAsia="宋体" w:cs="Times New Roman"/>
      <w:b/>
      <w:bCs/>
      <w:kern w:val="44"/>
      <w:sz w:val="44"/>
      <w:szCs w:val="44"/>
      <w:lang w:val="zh-CN" w:eastAsia="zh-CN"/>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4"/>
    <w:next w:val="1"/>
    <w:unhideWhenUsed/>
    <w:qFormat/>
    <w:uiPriority w:val="9"/>
    <w:pPr>
      <w:keepNext/>
      <w:keepLines/>
      <w:spacing w:before="260" w:after="260" w:line="416" w:lineRule="auto"/>
      <w:outlineLvl w:val="2"/>
    </w:pPr>
    <w:rPr>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Normal Indent"/>
    <w:basedOn w:val="1"/>
    <w:next w:val="1"/>
    <w:qFormat/>
    <w:uiPriority w:val="0"/>
    <w:pPr>
      <w:ind w:firstLine="420" w:firstLineChars="200"/>
    </w:pPr>
    <w:rPr>
      <w:rFonts w:ascii="Times New Roman" w:hAnsi="Times New Roman"/>
      <w:szCs w:val="24"/>
    </w:rPr>
  </w:style>
  <w:style w:type="paragraph" w:styleId="7">
    <w:name w:val="annotation text"/>
    <w:basedOn w:val="1"/>
    <w:unhideWhenUsed/>
    <w:qFormat/>
    <w:uiPriority w:val="99"/>
    <w:pPr>
      <w:jc w:val="left"/>
    </w:pPr>
  </w:style>
  <w:style w:type="paragraph" w:styleId="8">
    <w:name w:val="Body Text"/>
    <w:basedOn w:val="1"/>
    <w:next w:val="1"/>
    <w:qFormat/>
    <w:uiPriority w:val="1"/>
    <w:pPr>
      <w:spacing w:before="36"/>
      <w:ind w:left="780"/>
      <w:jc w:val="left"/>
    </w:pPr>
    <w:rPr>
      <w:rFonts w:ascii="宋体" w:hAnsi="宋体" w:eastAsia="宋体"/>
      <w:kern w:val="0"/>
      <w:szCs w:val="21"/>
      <w:lang w:eastAsia="en-US"/>
    </w:rPr>
  </w:style>
  <w:style w:type="paragraph" w:styleId="9">
    <w:name w:val="toc 3"/>
    <w:basedOn w:val="1"/>
    <w:next w:val="1"/>
    <w:unhideWhenUsed/>
    <w:qFormat/>
    <w:uiPriority w:val="39"/>
    <w:pPr>
      <w:widowControl/>
      <w:spacing w:after="100" w:line="259" w:lineRule="auto"/>
      <w:ind w:left="440"/>
    </w:pPr>
    <w:rPr>
      <w:rFonts w:cs="Times New Roman"/>
      <w:lang w:eastAsia="zh-CN"/>
    </w:rPr>
  </w:style>
  <w:style w:type="paragraph" w:styleId="10">
    <w:name w:val="Body Text Indent 2"/>
    <w:basedOn w:val="1"/>
    <w:qFormat/>
    <w:uiPriority w:val="0"/>
    <w:pPr>
      <w:snapToGrid w:val="0"/>
      <w:spacing w:line="300" w:lineRule="auto"/>
      <w:ind w:left="1050"/>
    </w:pPr>
    <w:rPr>
      <w:rFonts w:ascii="新宋体" w:hAnsi="新宋体" w:eastAsia="新宋体"/>
      <w:spacing w:val="10"/>
      <w:sz w:val="28"/>
      <w:szCs w:val="20"/>
    </w:rPr>
  </w:style>
  <w:style w:type="paragraph" w:styleId="11">
    <w:name w:val="footer"/>
    <w:basedOn w:val="1"/>
    <w:next w:val="6"/>
    <w:unhideWhenUsed/>
    <w:qFormat/>
    <w:uiPriority w:val="99"/>
    <w:pPr>
      <w:tabs>
        <w:tab w:val="center" w:pos="4153"/>
        <w:tab w:val="right" w:pos="8306"/>
      </w:tabs>
      <w:snapToGrid w:val="0"/>
      <w:jc w:val="left"/>
    </w:pPr>
    <w:rPr>
      <w:sz w:val="18"/>
      <w:szCs w:val="18"/>
    </w:rPr>
  </w:style>
  <w:style w:type="paragraph" w:styleId="12">
    <w:name w:val="toc 1"/>
    <w:basedOn w:val="1"/>
    <w:next w:val="1"/>
    <w:qFormat/>
    <w:uiPriority w:val="39"/>
    <w:pPr>
      <w:tabs>
        <w:tab w:val="right" w:leader="dot" w:pos="8608"/>
      </w:tabs>
      <w:spacing w:line="360" w:lineRule="auto"/>
      <w:ind w:firstLine="425" w:firstLineChars="177"/>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qFormat/>
    <w:uiPriority w:val="0"/>
    <w:pPr>
      <w:spacing w:before="240" w:after="60"/>
      <w:jc w:val="center"/>
      <w:outlineLvl w:val="0"/>
    </w:pPr>
    <w:rPr>
      <w:rFonts w:ascii="Arial" w:hAnsi="Arial" w:eastAsia="楷体_GB2312"/>
      <w:b/>
      <w:bCs/>
      <w:sz w:val="32"/>
      <w:szCs w:val="32"/>
    </w:rPr>
  </w:style>
  <w:style w:type="paragraph" w:styleId="15">
    <w:name w:val="annotation subject"/>
    <w:next w:val="7"/>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paragraph" w:customStyle="1" w:styleId="20">
    <w:name w:val="Table Paragraph"/>
    <w:basedOn w:val="1"/>
    <w:qFormat/>
    <w:uiPriority w:val="0"/>
    <w:pPr>
      <w:jc w:val="left"/>
    </w:pPr>
    <w:rPr>
      <w:kern w:val="0"/>
      <w:sz w:val="22"/>
      <w:lang w:eastAsia="en-US"/>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项目编号⚪"/>
    <w:qFormat/>
    <w:uiPriority w:val="0"/>
    <w:pPr>
      <w:numPr>
        <w:ilvl w:val="0"/>
        <w:numId w:val="1"/>
      </w:numPr>
      <w:adjustRightInd w:val="0"/>
      <w:snapToGrid w:val="0"/>
      <w:spacing w:line="360" w:lineRule="auto"/>
      <w:jc w:val="both"/>
    </w:pPr>
    <w:rPr>
      <w:rFonts w:ascii="Arial" w:hAnsi="Arial" w:eastAsia="宋体" w:cs="Times New Roman"/>
      <w:sz w:val="24"/>
      <w:szCs w:val="21"/>
      <w:lang w:val="en-US" w:eastAsia="zh-CN" w:bidi="ar-SA"/>
    </w:rPr>
  </w:style>
  <w:style w:type="paragraph" w:customStyle="1" w:styleId="23">
    <w:name w:val="首行缩进2字符"/>
    <w:basedOn w:val="1"/>
    <w:qFormat/>
    <w:uiPriority w:val="0"/>
    <w:pPr>
      <w:adjustRightInd w:val="0"/>
      <w:snapToGrid w:val="0"/>
      <w:spacing w:line="360" w:lineRule="auto"/>
      <w:ind w:firstLine="200" w:firstLineChars="200"/>
    </w:pPr>
    <w:rPr>
      <w:rFonts w:eastAsia="宋体" w:cs="宋体"/>
      <w:szCs w:val="24"/>
    </w:rPr>
  </w:style>
  <w:style w:type="paragraph" w:customStyle="1" w:styleId="24">
    <w:name w:val="左侧3字符"/>
    <w:basedOn w:val="23"/>
    <w:qFormat/>
    <w:uiPriority w:val="0"/>
    <w:pPr>
      <w:ind w:left="300" w:leftChars="300" w:firstLine="0" w:firstLineChars="0"/>
    </w:pPr>
  </w:style>
  <w:style w:type="paragraph" w:customStyle="1" w:styleId="25">
    <w:name w:val="项目编号★"/>
    <w:basedOn w:val="23"/>
    <w:qFormat/>
    <w:uiPriority w:val="0"/>
    <w:pPr>
      <w:numPr>
        <w:ilvl w:val="0"/>
        <w:numId w:val="2"/>
      </w:numPr>
      <w:ind w:left="300" w:hanging="300" w:hangingChars="300"/>
    </w:pPr>
  </w:style>
  <w:style w:type="paragraph" w:styleId="26">
    <w:name w:val="No Spacing"/>
    <w:qFormat/>
    <w:uiPriority w:val="1"/>
    <w:pPr>
      <w:widowControl w:val="0"/>
    </w:pPr>
    <w:rPr>
      <w:rFonts w:ascii="Calibri" w:hAnsi="Calibri" w:eastAsia="宋体" w:cs="Arial"/>
      <w:sz w:val="22"/>
      <w:szCs w:val="22"/>
      <w:lang w:val="en-US" w:eastAsia="zh-CN" w:bidi="ar-SA"/>
    </w:rPr>
  </w:style>
  <w:style w:type="paragraph" w:customStyle="1" w:styleId="27">
    <w:name w:val="表文"/>
    <w:qFormat/>
    <w:uiPriority w:val="0"/>
    <w:pPr>
      <w:widowControl w:val="0"/>
      <w:jc w:val="center"/>
    </w:pPr>
    <w:rPr>
      <w:rFonts w:eastAsia="楷体" w:cs="宋体" w:asciiTheme="minorHAnsi" w:hAnsiTheme="minorHAnsi"/>
      <w:sz w:val="22"/>
      <w:szCs w:val="22"/>
      <w:lang w:val="en-US" w:eastAsia="en-US" w:bidi="ar-SA"/>
    </w:rPr>
  </w:style>
  <w:style w:type="paragraph" w:styleId="28">
    <w:name w:val="List Paragraph"/>
    <w:basedOn w:val="1"/>
    <w:qFormat/>
    <w:uiPriority w:val="34"/>
    <w:pPr>
      <w:widowControl/>
      <w:ind w:firstLine="420"/>
    </w:pPr>
    <w:rPr>
      <w:rFonts w:ascii="Calibri" w:hAnsi="Calibri" w:eastAsia="宋体" w:cs="Calibri"/>
      <w:kern w:val="0"/>
      <w:szCs w:val="21"/>
    </w:rPr>
  </w:style>
  <w:style w:type="character" w:customStyle="1" w:styleId="29">
    <w:name w:val="font01"/>
    <w:basedOn w:val="18"/>
    <w:qFormat/>
    <w:uiPriority w:val="0"/>
    <w:rPr>
      <w:rFonts w:hint="eastAsia" w:ascii="宋体" w:hAnsi="宋体" w:eastAsia="宋体" w:cs="宋体"/>
      <w:color w:val="000000"/>
      <w:sz w:val="20"/>
      <w:szCs w:val="20"/>
      <w:u w:val="none"/>
    </w:rPr>
  </w:style>
  <w:style w:type="paragraph" w:customStyle="1" w:styleId="30">
    <w:name w:val="书目1"/>
    <w:basedOn w:val="1"/>
    <w:next w:val="1"/>
    <w:unhideWhenUsed/>
    <w:qFormat/>
    <w:uiPriority w:val="37"/>
  </w:style>
  <w:style w:type="paragraph" w:customStyle="1" w:styleId="31">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32">
    <w:name w:val="Normal_1"/>
    <w:next w:val="33"/>
    <w:qFormat/>
    <w:uiPriority w:val="0"/>
    <w:rPr>
      <w:rFonts w:ascii="Times New Roman" w:hAnsi="Times New Roman" w:eastAsia="Times New Roman" w:cs="Times New Roman"/>
      <w:sz w:val="24"/>
      <w:szCs w:val="24"/>
    </w:rPr>
  </w:style>
  <w:style w:type="paragraph" w:customStyle="1" w:styleId="33">
    <w:name w:val="默认段落字体 Para Char"/>
    <w:basedOn w:val="34"/>
    <w:next w:val="1"/>
    <w:qFormat/>
    <w:uiPriority w:val="0"/>
    <w:pPr>
      <w:widowControl w:val="0"/>
      <w:spacing w:before="80" w:after="80" w:line="360" w:lineRule="auto"/>
      <w:jc w:val="both"/>
    </w:pPr>
    <w:rPr>
      <w:rFonts w:ascii="Calibri" w:hAnsi="Calibri" w:cs="Times New Roman"/>
      <w:kern w:val="2"/>
      <w:szCs w:val="20"/>
    </w:rPr>
  </w:style>
  <w:style w:type="paragraph" w:customStyle="1" w:styleId="3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临时正文"/>
    <w:basedOn w:val="36"/>
    <w:qFormat/>
    <w:uiPriority w:val="0"/>
    <w:pPr>
      <w:spacing w:line="360" w:lineRule="auto"/>
      <w:ind w:firstLine="480"/>
    </w:pPr>
    <w:rPr>
      <w:bCs/>
      <w:kern w:val="21"/>
      <w:sz w:val="24"/>
      <w:szCs w:val="24"/>
    </w:rPr>
  </w:style>
  <w:style w:type="paragraph" w:customStyle="1" w:styleId="36">
    <w:name w:val="正文格式"/>
    <w:basedOn w:val="1"/>
    <w:qFormat/>
    <w:uiPriority w:val="0"/>
    <w:pPr>
      <w:keepNext w:val="0"/>
      <w:topLinePunct/>
      <w:ind w:firstLine="420" w:firstLineChars="200"/>
    </w:pPr>
    <w:rPr>
      <w:rFonts w:ascii="宋体" w:hAnsi="宋体"/>
      <w:szCs w:val="20"/>
    </w:rPr>
  </w:style>
  <w:style w:type="paragraph" w:customStyle="1" w:styleId="37">
    <w:name w:val="正文表标题"/>
    <w:next w:val="1"/>
    <w:qFormat/>
    <w:uiPriority w:val="0"/>
    <w:pPr>
      <w:spacing w:beforeLines="50" w:afterLines="50"/>
      <w:ind w:left="885" w:hanging="360"/>
      <w:jc w:val="center"/>
    </w:pPr>
    <w:rPr>
      <w:rFonts w:ascii="黑体" w:hAnsi="Times New Roman" w:eastAsia="黑体" w:cs="Times New Roman"/>
      <w:sz w:val="21"/>
      <w:lang w:val="en-US" w:eastAsia="zh-CN" w:bidi="ar-SA"/>
    </w:rPr>
  </w:style>
  <w:style w:type="paragraph" w:customStyle="1" w:styleId="38">
    <w:name w:val="Normal2"/>
    <w:qFormat/>
    <w:uiPriority w:val="0"/>
    <w:pPr>
      <w:widowControl w:val="0"/>
      <w:adjustRightInd w:val="0"/>
      <w:spacing w:line="360" w:lineRule="atLeast"/>
      <w:textAlignment w:val="baseline"/>
    </w:pPr>
    <w:rPr>
      <w:rFonts w:ascii="Courier" w:hAnsi="Courier" w:eastAsia="宋体" w:cs="Times New Roman"/>
      <w:sz w:val="24"/>
      <w:lang w:val="en-US" w:eastAsia="zh-CN" w:bidi="ar-SA"/>
    </w:rPr>
  </w:style>
  <w:style w:type="paragraph" w:customStyle="1" w:styleId="39">
    <w:name w:val="规范1级标题"/>
    <w:basedOn w:val="40"/>
    <w:qFormat/>
    <w:uiPriority w:val="0"/>
    <w:rPr>
      <w:sz w:val="28"/>
      <w:szCs w:val="28"/>
    </w:rPr>
  </w:style>
  <w:style w:type="paragraph" w:customStyle="1" w:styleId="40">
    <w:name w:val="一级标题"/>
    <w:basedOn w:val="3"/>
    <w:qFormat/>
    <w:uiPriority w:val="0"/>
  </w:style>
  <w:style w:type="paragraph" w:customStyle="1" w:styleId="4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2">
    <w:name w:val="WW-Body Text 2"/>
    <w:basedOn w:val="1"/>
    <w:qFormat/>
    <w:uiPriority w:val="0"/>
    <w:pPr>
      <w:widowControl/>
      <w:suppressAutoHyphens/>
    </w:pPr>
    <w:rPr>
      <w:rFonts w:cs="Times New Roman"/>
      <w:sz w:val="24"/>
      <w:szCs w:val="20"/>
      <w:lang w:val="en-GB"/>
    </w:rPr>
  </w:style>
  <w:style w:type="paragraph" w:customStyle="1" w:styleId="43">
    <w:name w:val="标题2A"/>
    <w:basedOn w:val="4"/>
    <w:qFormat/>
    <w:uiPriority w:val="0"/>
    <w:pPr>
      <w:numPr>
        <w:ilvl w:val="0"/>
        <w:numId w:val="3"/>
      </w:numPr>
      <w:tabs>
        <w:tab w:val="left" w:pos="720"/>
        <w:tab w:val="clear" w:pos="2564"/>
      </w:tabs>
      <w:spacing w:before="360" w:after="360" w:line="578" w:lineRule="auto"/>
      <w:ind w:left="720"/>
      <w:jc w:val="center"/>
    </w:pPr>
    <w:rPr>
      <w:rFonts w:eastAsia="宋体"/>
      <w:sz w:val="24"/>
    </w:rPr>
  </w:style>
  <w:style w:type="character" w:customStyle="1" w:styleId="44">
    <w:name w:val="DeltaView Insertion"/>
    <w:qFormat/>
    <w:uiPriority w:val="0"/>
    <w:rPr>
      <w:color w:val="0000FF"/>
      <w:spacing w:val="0"/>
      <w:u w:val="double"/>
    </w:rPr>
  </w:style>
  <w:style w:type="paragraph" w:customStyle="1" w:styleId="45">
    <w:name w:val="正文2"/>
    <w:basedOn w:val="1"/>
    <w:qFormat/>
    <w:uiPriority w:val="0"/>
    <w:pPr>
      <w:numPr>
        <w:ilvl w:val="0"/>
        <w:numId w:val="4"/>
      </w:numPr>
      <w:spacing w:before="120" w:after="120" w:line="360" w:lineRule="auto"/>
      <w:jc w:val="both"/>
    </w:pPr>
    <w:rPr>
      <w:rFonts w:ascii="Arial" w:hAnsi="Arial" w:eastAsia="宋体" w:cs="Arial"/>
      <w:kern w:val="2"/>
      <w:sz w:val="2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1466</Words>
  <Characters>1616</Characters>
  <Lines>0</Lines>
  <Paragraphs>0</Paragraphs>
  <TotalTime>43</TotalTime>
  <ScaleCrop>false</ScaleCrop>
  <LinksUpToDate>false</LinksUpToDate>
  <CharactersWithSpaces>1688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2024-08-08T07:26:00Z</dcterms:created>
  <dc:creator>liuna</dc:creator>
  <cp:lastModifiedBy>刘娜</cp:lastModifiedBy>
  <dcterms:modified xsi:type="dcterms:W3CDTF">2024-11-01T08:56:52Z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45CED53961504A29A221805761001FFF</vt:lpwstr>
  </property>
</Properties>
</file>