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Theme="minorEastAsia" w:hAnsiTheme="minorEastAsia" w:eastAsiaTheme="minorEastAsia"/>
          <w:color w:val="C00000"/>
          <w:spacing w:val="-3"/>
          <w:highlight w:val="none"/>
          <w:u w:val="single"/>
        </w:rPr>
        <w:t>海上平台通讯物资采购</w:t>
      </w:r>
      <w:r>
        <w:rPr>
          <w:rFonts w:asciiTheme="minorEastAsia" w:hAnsiTheme="minorEastAsia" w:eastAsiaTheme="minorEastAsia"/>
          <w:color w:val="C00000"/>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color w:val="000000" w:themeColor="text1"/>
          <w:spacing w:val="-3"/>
          <w:highlight w:val="none"/>
          <w:u w:val="single"/>
          <w14:textFill>
            <w14:solidFill>
              <w14:schemeClr w14:val="tx1"/>
            </w14:solidFill>
          </w14:textFill>
        </w:rPr>
        <w:t>GKXJ-2024-XK-2611</w:t>
      </w:r>
      <w:r>
        <w:rPr>
          <w:rFonts w:asciiTheme="minorEastAsia" w:hAnsiTheme="minorEastAsia" w:eastAsiaTheme="minorEastAsia"/>
          <w:color w:val="000000" w:themeColor="text1"/>
          <w:highlight w:val="none"/>
          <w14:textFill>
            <w14:solidFill>
              <w14:schemeClr w14:val="tx1"/>
            </w14:solidFill>
          </w14:textFill>
        </w:rPr>
        <w:t>）</w:t>
      </w:r>
    </w:p>
    <w:p>
      <w:pPr>
        <w:pStyle w:val="8"/>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中海油能源发展股份有限公司采办共享中心</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920" w:firstLineChars="1400"/>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10</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9</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6"/>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海上平台通讯物资采购</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17</w:t>
      </w:r>
      <w:bookmarkStart w:id="2" w:name="_GoBack"/>
      <w:bookmarkEnd w:id="2"/>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6"/>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0"/>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6"/>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6"/>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联系人：汪家佳</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联系电话：0580-8011319/13587094507</w:t>
      </w:r>
    </w:p>
    <w:p>
      <w:pPr>
        <w:pStyle w:val="8"/>
        <w:ind w:left="415" w:leftChars="135" w:right="10" w:hanging="132" w:hangingChars="63"/>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箱：wangjj58@cnooc.com.cn</w:t>
      </w:r>
    </w:p>
    <w:p>
      <w:pPr>
        <w:pStyle w:val="8"/>
        <w:ind w:left="415" w:leftChars="135" w:right="10" w:hanging="132" w:hangingChars="63"/>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6"/>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8"/>
        <w:tblW w:w="5565" w:type="pct"/>
        <w:jc w:val="center"/>
        <w:tblLayout w:type="autofit"/>
        <w:tblCellMar>
          <w:top w:w="0" w:type="dxa"/>
          <w:left w:w="0" w:type="dxa"/>
          <w:bottom w:w="0" w:type="dxa"/>
          <w:right w:w="0" w:type="dxa"/>
        </w:tblCellMar>
      </w:tblPr>
      <w:tblGrid>
        <w:gridCol w:w="618"/>
        <w:gridCol w:w="530"/>
        <w:gridCol w:w="2277"/>
        <w:gridCol w:w="5831"/>
      </w:tblGrid>
      <w:tr>
        <w:tblPrEx>
          <w:tblCellMar>
            <w:top w:w="0" w:type="dxa"/>
            <w:left w:w="0" w:type="dxa"/>
            <w:bottom w:w="0" w:type="dxa"/>
            <w:right w:w="0" w:type="dxa"/>
          </w:tblCellMar>
        </w:tblPrEx>
        <w:trPr>
          <w:trHeight w:val="454" w:hRule="atLeast"/>
          <w:jc w:val="center"/>
        </w:trPr>
        <w:tc>
          <w:tcPr>
            <w:tcW w:w="620" w:type="pct"/>
            <w:gridSpan w:val="2"/>
            <w:tcBorders>
              <w:top w:val="single" w:color="000000" w:sz="4" w:space="0"/>
              <w:left w:val="single" w:color="000000" w:sz="4" w:space="0"/>
              <w:bottom w:val="single" w:color="000000" w:sz="4" w:space="0"/>
              <w:right w:val="single" w:color="000000" w:sz="4" w:space="0"/>
            </w:tcBorders>
            <w:vAlign w:val="center"/>
          </w:tcPr>
          <w:p>
            <w:pPr>
              <w:pStyle w:val="4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9"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4" w:type="pct"/>
            <w:vMerge w:val="restart"/>
            <w:tcBorders>
              <w:top w:val="nil"/>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6" w:type="pct"/>
            <w:vMerge w:val="restart"/>
            <w:tcBorders>
              <w:top w:val="nil"/>
              <w:left w:val="nil"/>
              <w:right w:val="single" w:color="000000" w:sz="6" w:space="0"/>
            </w:tcBorders>
            <w:textDirection w:val="tbRlV"/>
            <w:vAlign w:val="center"/>
          </w:tcPr>
          <w:p>
            <w:pPr>
              <w:pStyle w:val="40"/>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9" w:type="pct"/>
            <w:tcBorders>
              <w:top w:val="single" w:color="000000" w:sz="4" w:space="0"/>
              <w:left w:val="nil"/>
              <w:bottom w:val="single" w:color="000000" w:sz="4" w:space="0"/>
              <w:right w:val="single" w:color="000000" w:sz="4" w:space="0"/>
            </w:tcBorders>
            <w:vAlign w:val="center"/>
          </w:tcPr>
          <w:p>
            <w:pPr>
              <w:pStyle w:val="4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rPr>
          <w:trHeight w:val="454"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9" w:type="pct"/>
            <w:tcBorders>
              <w:top w:val="single" w:color="000000" w:sz="4" w:space="0"/>
              <w:left w:val="nil"/>
              <w:bottom w:val="nil"/>
              <w:right w:val="single" w:color="000000" w:sz="4" w:space="0"/>
            </w:tcBorders>
            <w:vAlign w:val="center"/>
          </w:tcPr>
          <w:p>
            <w:pPr>
              <w:pStyle w:val="4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9" w:type="pct"/>
            <w:tcBorders>
              <w:top w:val="single" w:color="000000" w:sz="4" w:space="0"/>
              <w:left w:val="nil"/>
              <w:bottom w:val="single" w:color="000000" w:sz="4" w:space="0"/>
              <w:right w:val="single" w:color="000000" w:sz="4" w:space="0"/>
            </w:tcBorders>
            <w:vAlign w:val="center"/>
          </w:tcPr>
          <w:p>
            <w:pPr>
              <w:pStyle w:val="4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0"/>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lang w:val="en-US" w:eastAsia="zh-CN"/>
              </w:rPr>
            </w:pPr>
            <w:r>
              <w:rPr>
                <w:rFonts w:hint="eastAsia"/>
                <w:lang w:val="en-US" w:eastAsia="zh-CN"/>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lang w:val="en-US" w:eastAsia="zh-CN"/>
              </w:rPr>
            </w:pPr>
            <w:r>
              <w:rPr>
                <w:rFonts w:hint="eastAsia"/>
                <w:lang w:val="en-US" w:eastAsia="zh-CN"/>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lang w:val="en-US" w:eastAsia="zh-CN"/>
              </w:rPr>
            </w:pPr>
            <w:r>
              <w:rPr>
                <w:rFonts w:hint="eastAsia"/>
                <w:lang w:val="en-US" w:eastAsia="zh-CN"/>
              </w:rPr>
              <w:t>3.法定代表人授权委托书（如涉及）</w:t>
            </w:r>
          </w:p>
          <w:p>
            <w:pPr>
              <w:pStyle w:val="34"/>
              <w:rPr>
                <w:rFonts w:hint="eastAsia"/>
                <w:lang w:val="en-US" w:eastAsia="zh-CN"/>
              </w:rPr>
            </w:pPr>
          </w:p>
        </w:tc>
      </w:tr>
      <w:tr>
        <w:tblPrEx>
          <w:tblCellMar>
            <w:top w:w="0" w:type="dxa"/>
            <w:left w:w="0" w:type="dxa"/>
            <w:bottom w:w="0" w:type="dxa"/>
            <w:right w:w="0" w:type="dxa"/>
          </w:tblCellMar>
        </w:tblPrEx>
        <w:trPr>
          <w:trHeight w:val="1427"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40"/>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49"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21</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应答人应在应答文件中提供其公司章程或其他能够体现出资人、股东信息的法定文件，作为评标/评审时的依据。</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0"/>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0"/>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4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755"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8"/>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p>
        </w:tc>
        <w:tc>
          <w:tcPr>
            <w:tcW w:w="3149" w:type="pct"/>
            <w:tcBorders>
              <w:top w:val="single" w:color="000000" w:sz="4" w:space="0"/>
              <w:left w:val="nil"/>
              <w:bottom w:val="single" w:color="000000" w:sz="4" w:space="0"/>
              <w:right w:val="single" w:color="000000" w:sz="4" w:space="0"/>
            </w:tcBorders>
            <w:vAlign w:val="center"/>
          </w:tcPr>
          <w:p>
            <w:pPr>
              <w:ind w:firstLine="0" w:firstLine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Cs w:val="21"/>
                <w:highlight w:val="none"/>
              </w:rPr>
              <w:t>★制造商要求详见附件“制造商承诺书”。</w:t>
            </w:r>
          </w:p>
        </w:tc>
      </w:tr>
      <w:tr>
        <w:tblPrEx>
          <w:tblCellMar>
            <w:top w:w="0" w:type="dxa"/>
            <w:left w:w="0" w:type="dxa"/>
            <w:bottom w:w="0" w:type="dxa"/>
            <w:right w:w="0" w:type="dxa"/>
          </w:tblCellMar>
        </w:tblPrEx>
        <w:trPr>
          <w:trHeight w:val="479"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8"/>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★代理商、贸易商、要求（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49"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p>
          <w:p>
            <w:pPr>
              <w:tabs>
                <w:tab w:val="left" w:pos="770"/>
              </w:tabs>
              <w:ind w:right="134" w:firstLine="0" w:firstLineChars="0"/>
              <w:rPr>
                <w:rFonts w:hint="eastAsia"/>
                <w:color w:val="auto"/>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49" w:type="pct"/>
            <w:tcBorders>
              <w:top w:val="single" w:color="auto" w:sz="4" w:space="0"/>
              <w:left w:val="nil"/>
              <w:bottom w:val="nil"/>
              <w:right w:val="single" w:color="000000" w:sz="4" w:space="0"/>
            </w:tcBorders>
            <w:vAlign w:val="center"/>
          </w:tcPr>
          <w:p>
            <w:pPr>
              <w:pStyle w:val="7"/>
              <w:ind w:right="11"/>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lang w:eastAsia="zh-CN"/>
                <w14:textFill>
                  <w14:solidFill>
                    <w14:schemeClr w14:val="tx1"/>
                  </w14:solidFill>
                </w14:textFill>
              </w:rPr>
              <w:t>1</w:t>
            </w:r>
            <w:r>
              <w:rPr>
                <w:rFonts w:hint="eastAsia" w:ascii="仿宋" w:hAnsi="仿宋" w:eastAsia="仿宋" w:cs="仿宋"/>
                <w:bCs/>
                <w:color w:val="000000" w:themeColor="text1"/>
                <w:kern w:val="0"/>
                <w:szCs w:val="21"/>
                <w:highlight w:val="none"/>
                <w14:textFill>
                  <w14:solidFill>
                    <w14:schemeClr w14:val="tx1"/>
                  </w14:solidFill>
                </w14:textFill>
              </w:rPr>
              <w:t>)付款方式要求：银行电汇；</w:t>
            </w:r>
          </w:p>
          <w:p>
            <w:pPr>
              <w:pStyle w:val="7"/>
              <w:ind w:right="11"/>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lang w:eastAsia="zh-CN"/>
                <w14:textFill>
                  <w14:solidFill>
                    <w14:schemeClr w14:val="tx1"/>
                  </w14:solidFill>
                </w14:textFill>
              </w:rPr>
              <w:t>2</w:t>
            </w:r>
            <w:r>
              <w:rPr>
                <w:rFonts w:hint="eastAsia" w:ascii="仿宋" w:hAnsi="仿宋" w:eastAsia="仿宋" w:cs="仿宋"/>
                <w:bCs/>
                <w:color w:val="000000" w:themeColor="text1"/>
                <w:kern w:val="0"/>
                <w:szCs w:val="21"/>
                <w:highlight w:val="none"/>
                <w14:textFill>
                  <w14:solidFill>
                    <w14:schemeClr w14:val="tx1"/>
                  </w14:solidFill>
                </w14:textFill>
              </w:rPr>
              <w:t>)付款条件：</w:t>
            </w:r>
          </w:p>
          <w:p>
            <w:pPr>
              <w:pStyle w:val="7"/>
              <w:ind w:right="11"/>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1）货到验收合格后并提供相关支持文件后，接买方通知开具全额13%增值税专用发票，收到发票后45天内支付合同总额70%；</w:t>
            </w:r>
          </w:p>
          <w:p>
            <w:pPr>
              <w:pStyle w:val="7"/>
              <w:ind w:right="11"/>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2）安装调试验收合格后并提供相关支持文件后，45天内支付合同总额25%；</w:t>
            </w:r>
          </w:p>
          <w:p>
            <w:pPr>
              <w:pStyle w:val="7"/>
              <w:ind w:right="11"/>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3）5%作为质保，于质保期结束后，接卖方付款申请并确认无质量问题后，45天内支付。</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tc>
        <w:tc>
          <w:tcPr>
            <w:tcW w:w="286"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rPr>
              <w:t>质保期</w:t>
            </w:r>
          </w:p>
        </w:tc>
        <w:tc>
          <w:tcPr>
            <w:tcW w:w="3149" w:type="pct"/>
            <w:tcBorders>
              <w:top w:val="single" w:color="000000" w:sz="4" w:space="0"/>
              <w:left w:val="nil"/>
              <w:bottom w:val="single" w:color="000000" w:sz="4" w:space="0"/>
              <w:right w:val="single" w:color="000000" w:sz="4" w:space="0"/>
            </w:tcBorders>
            <w:vAlign w:val="center"/>
          </w:tcPr>
          <w:p>
            <w:r>
              <w:rPr>
                <w:rFonts w:hint="eastAsia"/>
              </w:rPr>
              <w:t>质保期为12个月，于安装调试合格之日起开始计算</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tc>
        <w:tc>
          <w:tcPr>
            <w:tcW w:w="286"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rPr>
            </w:pPr>
            <w:r>
              <w:rPr>
                <w:rFonts w:hint="eastAsia"/>
              </w:rPr>
              <w:t>交付地点</w:t>
            </w:r>
          </w:p>
        </w:tc>
        <w:tc>
          <w:tcPr>
            <w:tcW w:w="3149" w:type="pct"/>
            <w:tcBorders>
              <w:top w:val="single" w:color="000000" w:sz="4" w:space="0"/>
              <w:left w:val="nil"/>
              <w:bottom w:val="single" w:color="000000" w:sz="4" w:space="0"/>
              <w:right w:val="single" w:color="000000" w:sz="4" w:space="0"/>
            </w:tcBorders>
            <w:vAlign w:val="center"/>
          </w:tcPr>
          <w:p>
            <w:pPr>
              <w:rPr>
                <w:rFonts w:hint="eastAsia"/>
              </w:rPr>
            </w:pPr>
            <w:r>
              <w:rPr>
                <w:rFonts w:hint="eastAsia"/>
              </w:rPr>
              <w:t>：浙江省舟山市定海区老塘山一期码头库管楼</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tc>
        <w:tc>
          <w:tcPr>
            <w:tcW w:w="286"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49" w:type="pct"/>
            <w:tcBorders>
              <w:top w:val="single" w:color="000000" w:sz="4" w:space="0"/>
              <w:left w:val="nil"/>
              <w:bottom w:val="single" w:color="000000" w:sz="4" w:space="0"/>
              <w:right w:val="single" w:color="000000" w:sz="4" w:space="0"/>
            </w:tcBorders>
            <w:vAlign w:val="center"/>
          </w:tcPr>
          <w:p>
            <w:r>
              <w:rPr>
                <w:rFonts w:hint="eastAsia"/>
              </w:rPr>
              <w:t>详见附件3： 合同文本</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49" w:type="pct"/>
            <w:tcBorders>
              <w:top w:val="single" w:color="000000" w:sz="4" w:space="0"/>
              <w:left w:val="nil"/>
              <w:bottom w:val="single" w:color="000000" w:sz="4" w:space="0"/>
              <w:right w:val="single" w:color="000000" w:sz="4" w:space="0"/>
            </w:tcBorders>
            <w:vAlign w:val="center"/>
          </w:tcPr>
          <w:p>
            <w:pPr>
              <w:pStyle w:val="4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1.一般商务指标偏离超过1项，则评议不合格。</w:t>
            </w:r>
          </w:p>
          <w:p>
            <w:pPr>
              <w:pStyle w:val="4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p>
        </w:tc>
        <w:tc>
          <w:tcPr>
            <w:tcW w:w="3149"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4" w:type="pct"/>
            <w:vMerge w:val="restart"/>
            <w:tcBorders>
              <w:top w:val="single" w:color="auto" w:sz="4" w:space="0"/>
              <w:left w:val="single" w:color="auto" w:sz="4" w:space="0"/>
              <w:bottom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6"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服务</w:t>
            </w:r>
            <w:r>
              <w:rPr>
                <w:rFonts w:hint="eastAsia" w:ascii="仿宋" w:hAnsi="仿宋" w:eastAsia="仿宋" w:cs="仿宋"/>
                <w:color w:val="000000" w:themeColor="text1"/>
                <w:szCs w:val="21"/>
                <w:highlight w:val="none"/>
                <w14:textFill>
                  <w14:solidFill>
                    <w14:schemeClr w14:val="tx1"/>
                  </w14:solidFill>
                </w14:textFill>
              </w:rPr>
              <w:t>内容：</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指定海上平台通讯设备安装调试，设备验收后，接甲方通知3天内前往指定平台进行安装调试，服务包括设备的更换安装，设备参数的修改和调试等一系列服务</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rPr>
              <w:t>合同签定后，接买方通知后15个工作日内完成交货</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送货要求</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详见附件送货要求</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安装、调试要求：设备到货后，乙方需要到甲方指定的海上平台进行设备的安装调试服务。到现场进行调试的人员必须是经验丰富的技术人员，能提供强有力的技术保障，出海调试人员必须具备符合中海油出海相关证件（例如五小证、健康证、MTS卡、电工证等），并服从中海油出海相关管理要求，提供技术人员名单及上述证件复印件，办理证件所产生的费用由乙方负责，调试人员需根据甲方的时间要求进行出海调试工作；</w:t>
            </w:r>
          </w:p>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技术联络与响应：质保期内，如设备发生故障时，乙方需在接到甲方通知后，指派技术人员在3天内赶到场解决问题；质保期内乙方提供设备质保内的7*24电话响应服务。</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质量保证</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1．乙方承诺所提供的产品均由指定制造商生产，产品质量符合国家标准和合同要求，且产品是崭新而从未使用过的原装产品；</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2．乙方保证全部货物均符合国家有关安全和环保的法律、法规要求，对环境和操作者安全无害；</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3．乙方承诺售后服务由原厂商或由原厂商指定的具备资质的服务商承担。在保修期内，硬件设备出现故障时，乙方须负责进行免费维修、更换故障零部件或整机。乙方保证更换的零部件或整机均是原制造商生产、与所维修设备同型号、同样规格配置的优质产品。如果故障设备维修超过3次（或20天）仍存在问题，甲方有权提出退货，乙方应按照原价给予退货；</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4．乙方必须严格按照招标书中对设备配置需求的描述投标；</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5．乙方所选产品必须是原设备厂商的认证产品和原设备厂商的直接组装产品，不能是任何其它组装的产品，应为崭新的且从未使用过的原装产品；</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6．因设备停产无法实现招标书中描述的设备配置要求，乙方必须在征得甲方同意后，可以提出备选产品及解决方案，但必须满足甲方的整体需求，设备配置不能降低；</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7．乙方对招标产品描述改变或增加某些配置，必须征得甲方的同意；所有增加的配置如没有附加说明，必须为原厂配套配件；</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8．乙方提供的技术方案要详细、准确具有可操作性；对维护和技术服务条款要有专门的描述;</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9．所有硬件设备必须在原厂安装的，直接发货到甲方指定地点，不得出厂后安装和添加配置；</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10．所有硬件设备必须配置原厂标准服务，所有硬件为一年原厂标准保修服务期限;</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11．所有硬件设备上安装的软件原则上是在原厂预装的。如原厂没有预装招标书上所要求的的操作系统版本，甲方可以要求乙方在用户现场安装所需的系统软件，安装内容必须符合最终用户的要求；</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12．乙方须在合同签订后，接甲方通知20个工作日内完成交货，在采办设备时遇到不能及时供货或无法按要求供货时，乙方应在两天之内以邮件等书面方式将原厂不能按时供货的原因（乙方需要提供原厂商的原始通知函件（附日期））通知甲方,并按要求提供解决方案，以便甲方及时作相关变更，否则按延期处理；</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13．若发现设备损坏、数量缺少、设备型号不符合招标要求以及有任何导致设备不能正常使用的等问题，甲方有权追责乙方，要求乙方必须尽快提供解决方案，在15天之内解决问题，最迟不得超过30天，否则按延期供货处理。同时，甲方保留向乙方追索由此而受到的所有损失的权利；</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14．质保期：质保期为12个月，于安装调试合格之日起开始计算。</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4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6"/>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ab/>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p>
        </w:tc>
      </w:tr>
      <w:tr>
        <w:tblPrEx>
          <w:tblCellMar>
            <w:top w:w="0" w:type="dxa"/>
            <w:left w:w="0" w:type="dxa"/>
            <w:bottom w:w="0" w:type="dxa"/>
            <w:right w:w="0" w:type="dxa"/>
          </w:tblCellMar>
        </w:tblPrEx>
        <w:trPr>
          <w:trHeight w:val="2401"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6" w:type="pct"/>
            <w:tcBorders>
              <w:top w:val="single" w:color="auto" w:sz="4" w:space="0"/>
              <w:left w:val="single" w:color="auto" w:sz="4" w:space="0"/>
              <w:bottom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0"/>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9"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6" w:type="pct"/>
            <w:gridSpan w:val="2"/>
            <w:tcBorders>
              <w:top w:val="single" w:color="auto" w:sz="4" w:space="0"/>
              <w:left w:val="single" w:color="auto" w:sz="4" w:space="0"/>
              <w:bottom w:val="single" w:color="auto" w:sz="4" w:space="0"/>
              <w:right w:val="single" w:color="000000" w:sz="4" w:space="0"/>
            </w:tcBorders>
            <w:vAlign w:val="center"/>
          </w:tcPr>
          <w:p>
            <w:pPr>
              <w:pStyle w:val="40"/>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40"/>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《招标投标法实施条例》第四十条　串通投标的认定</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有下列情形之一的，视为投标人相互串通投标：</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(一)不同投标人的投标文件由同一单位或者个人编制；</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(二)不同投标人委托同一单位或者个人办理投标事宜；</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(三)不同投标人的投标文件载明的项目管理成员为同一人；</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(四)不同投标人的投标文件异常一致或者投标报价呈规律性差异；</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(五)不同投标人的投标文件相互混装；</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(六)不同投标人的投标保证金从同一单位或者个人的账户转出（此条不适用于询价采购）。</w:t>
            </w:r>
          </w:p>
          <w:p>
            <w:pPr>
              <w:pStyle w:val="7"/>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报价文件特征码：若发现不同投标人在采办信息系统上“报价文件特征码”环节里“文件制作机器码、文件创建标识码和MAC地址”中的任何一类内容一致时，视为投标人相互串通投标，否决所有涉及投标人的投标。</w:t>
            </w:r>
          </w:p>
        </w:tc>
      </w:tr>
    </w:tbl>
    <w:p/>
    <w:p>
      <w:pPr>
        <w:pStyle w:val="6"/>
      </w:pPr>
    </w:p>
    <w:p/>
    <w:p>
      <w:pPr>
        <w:pStyle w:val="6"/>
      </w:pPr>
    </w:p>
    <w:p>
      <w:pPr>
        <w:pStyle w:val="6"/>
        <w:ind w:firstLine="0" w:firstLineChars="0"/>
        <w:rPr>
          <w:lang w:val="en-US" w:eastAsia="zh-CN"/>
        </w:rPr>
      </w:pPr>
    </w:p>
    <w:p>
      <w:pPr>
        <w:rPr>
          <w:lang w:val="en-US" w:eastAsia="zh-CN"/>
        </w:rPr>
      </w:pPr>
    </w:p>
    <w:p>
      <w:pPr>
        <w:pStyle w:val="6"/>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ind w:firstLine="2520" w:firstLineChars="1200"/>
        <w:rPr>
          <w:rFonts w:ascii="黑体" w:hAnsi="黑体" w:eastAsia="黑体"/>
          <w:color w:val="000000" w:themeColor="text1"/>
          <w:sz w:val="21"/>
          <w:szCs w:val="21"/>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t>采</w:t>
      </w:r>
      <w:r>
        <w:rPr>
          <w:rFonts w:hint="eastAsia" w:ascii="黑体" w:hAnsi="黑体" w:eastAsia="黑体"/>
          <w:color w:val="000000" w:themeColor="text1"/>
          <w:sz w:val="21"/>
          <w:szCs w:val="21"/>
          <w:highlight w:val="none"/>
          <w:lang w:val="en-US" w:eastAsia="zh-CN"/>
          <w14:textFill>
            <w14:solidFill>
              <w14:schemeClr w14:val="tx1"/>
            </w14:solidFill>
          </w14:textFill>
        </w:rPr>
        <w:t>购</w:t>
      </w:r>
      <w:r>
        <w:rPr>
          <w:rFonts w:hint="eastAsia" w:ascii="黑体" w:hAnsi="黑体" w:eastAsia="黑体"/>
          <w:color w:val="000000" w:themeColor="text1"/>
          <w:sz w:val="21"/>
          <w:szCs w:val="21"/>
          <w:highlight w:val="none"/>
          <w14:textFill>
            <w14:solidFill>
              <w14:schemeClr w14:val="tx1"/>
            </w14:solidFill>
          </w14:textFill>
        </w:rPr>
        <w:t>内容及</w:t>
      </w:r>
      <w:r>
        <w:rPr>
          <w:rFonts w:ascii="黑体" w:hAnsi="黑体" w:eastAsia="黑体"/>
          <w:color w:val="000000" w:themeColor="text1"/>
          <w:sz w:val="21"/>
          <w:szCs w:val="21"/>
          <w:highlight w:val="none"/>
          <w14:textFill>
            <w14:solidFill>
              <w14:schemeClr w14:val="tx1"/>
            </w14:solidFill>
          </w14:textFill>
        </w:rPr>
        <w:t>技术要求</w:t>
      </w:r>
    </w:p>
    <w:p>
      <w:pPr>
        <w:ind w:firstLine="2520" w:firstLineChars="1200"/>
        <w:rPr>
          <w:rFonts w:ascii="黑体" w:hAnsi="黑体" w:eastAsia="黑体"/>
          <w:color w:val="000000" w:themeColor="text1"/>
          <w:sz w:val="21"/>
          <w:szCs w:val="21"/>
          <w:highlight w:val="none"/>
          <w14:textFill>
            <w14:solidFill>
              <w14:schemeClr w14:val="tx1"/>
            </w14:solidFill>
          </w14:textFill>
        </w:rPr>
      </w:pPr>
    </w:p>
    <w:p>
      <w:pPr>
        <w:pStyle w:val="3"/>
        <w:spacing w:line="480" w:lineRule="atLeast"/>
        <w:rPr>
          <w:rFonts w:ascii="微软雅黑" w:hAnsi="微软雅黑" w:eastAsia="微软雅黑" w:cs="微软雅黑"/>
          <w:sz w:val="28"/>
          <w:szCs w:val="28"/>
        </w:rPr>
      </w:pPr>
      <w:bookmarkStart w:id="0" w:name="_Toc13249324"/>
      <w:bookmarkStart w:id="1" w:name="_Toc13248927"/>
      <w:r>
        <w:rPr>
          <w:rFonts w:hint="eastAsia" w:ascii="微软雅黑" w:hAnsi="微软雅黑" w:eastAsia="微软雅黑" w:cs="微软雅黑"/>
          <w:sz w:val="28"/>
          <w:szCs w:val="28"/>
        </w:rPr>
        <w:t>一、项目概况及总体要求</w:t>
      </w:r>
    </w:p>
    <w:p>
      <w:pPr>
        <w:pStyle w:val="8"/>
        <w:spacing w:line="360" w:lineRule="auto"/>
        <w:ind w:right="115" w:rightChars="55" w:firstLine="420"/>
        <w:jc w:val="left"/>
        <w:rPr>
          <w:rFonts w:ascii="宋体" w:hAnsi="宋体" w:eastAsia="宋体" w:cs="宋体"/>
          <w:lang w:eastAsia="zh-CN"/>
        </w:rPr>
      </w:pPr>
      <w:r>
        <w:rPr>
          <w:rFonts w:hint="eastAsia" w:ascii="宋体" w:hAnsi="宋体" w:eastAsia="宋体" w:cs="宋体"/>
          <w:lang w:eastAsia="zh-CN"/>
        </w:rPr>
        <w:t>中海油信息科技有限公司上海分公司需采购海上平台通讯设备安装服务所需备件。</w:t>
      </w:r>
    </w:p>
    <w:p>
      <w:pPr>
        <w:pStyle w:val="3"/>
        <w:spacing w:line="480" w:lineRule="atLeast"/>
        <w:rPr>
          <w:rFonts w:ascii="微软雅黑" w:hAnsi="微软雅黑" w:eastAsia="微软雅黑" w:cs="微软雅黑"/>
          <w:sz w:val="28"/>
          <w:szCs w:val="28"/>
        </w:rPr>
      </w:pPr>
      <w:r>
        <w:rPr>
          <w:rFonts w:hint="eastAsia" w:ascii="微软雅黑" w:hAnsi="微软雅黑" w:eastAsia="微软雅黑" w:cs="微软雅黑"/>
          <w:sz w:val="28"/>
          <w:szCs w:val="28"/>
        </w:rPr>
        <w:t>二、需求一览表</w:t>
      </w:r>
    </w:p>
    <w:tbl>
      <w:tblPr>
        <w:tblStyle w:val="19"/>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287"/>
        <w:gridCol w:w="3548"/>
        <w:gridCol w:w="96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Align w:val="center"/>
          </w:tcPr>
          <w:p>
            <w:pPr>
              <w:pStyle w:val="8"/>
              <w:spacing w:line="257" w:lineRule="auto"/>
              <w:ind w:right="115" w:rightChars="55" w:firstLine="0" w:firstLineChars="0"/>
              <w:jc w:val="center"/>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序号</w:t>
            </w:r>
          </w:p>
        </w:tc>
        <w:tc>
          <w:tcPr>
            <w:tcW w:w="2287" w:type="dxa"/>
            <w:vAlign w:val="center"/>
          </w:tcPr>
          <w:p>
            <w:pPr>
              <w:pStyle w:val="8"/>
              <w:spacing w:line="257" w:lineRule="auto"/>
              <w:ind w:right="115" w:rightChars="55" w:firstLine="0" w:firstLineChars="0"/>
              <w:jc w:val="center"/>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名称</w:t>
            </w:r>
          </w:p>
        </w:tc>
        <w:tc>
          <w:tcPr>
            <w:tcW w:w="3548" w:type="dxa"/>
            <w:vAlign w:val="center"/>
          </w:tcPr>
          <w:p>
            <w:pPr>
              <w:pStyle w:val="8"/>
              <w:spacing w:line="257" w:lineRule="auto"/>
              <w:ind w:right="115" w:rightChars="55" w:firstLine="0" w:firstLineChars="0"/>
              <w:jc w:val="center"/>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参数</w:t>
            </w:r>
          </w:p>
        </w:tc>
        <w:tc>
          <w:tcPr>
            <w:tcW w:w="960" w:type="dxa"/>
            <w:vAlign w:val="center"/>
          </w:tcPr>
          <w:p>
            <w:pPr>
              <w:pStyle w:val="8"/>
              <w:spacing w:line="257" w:lineRule="auto"/>
              <w:ind w:right="115" w:rightChars="55" w:firstLine="0" w:firstLineChars="0"/>
              <w:jc w:val="center"/>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单位</w:t>
            </w:r>
          </w:p>
        </w:tc>
        <w:tc>
          <w:tcPr>
            <w:tcW w:w="913" w:type="dxa"/>
            <w:vAlign w:val="center"/>
          </w:tcPr>
          <w:p>
            <w:pPr>
              <w:pStyle w:val="8"/>
              <w:spacing w:line="257" w:lineRule="auto"/>
              <w:ind w:right="115" w:rightChars="55" w:firstLine="0" w:firstLineChars="0"/>
              <w:jc w:val="center"/>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vAlign w:val="center"/>
          </w:tcPr>
          <w:p>
            <w:pPr>
              <w:pStyle w:val="8"/>
              <w:ind w:right="115" w:rightChars="55" w:firstLine="0" w:firstLineChars="0"/>
              <w:jc w:val="center"/>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1</w:t>
            </w:r>
          </w:p>
        </w:tc>
        <w:tc>
          <w:tcPr>
            <w:tcW w:w="2287" w:type="dxa"/>
            <w:vAlign w:val="center"/>
          </w:tcPr>
          <w:p>
            <w:pPr>
              <w:widowControl/>
              <w:jc w:val="center"/>
              <w:textAlignment w:val="center"/>
              <w:rPr>
                <w:rFonts w:ascii="宋体" w:hAnsi="宋体" w:eastAsia="宋体" w:cs="宋体"/>
                <w:sz w:val="20"/>
                <w:szCs w:val="20"/>
                <w:lang w:eastAsia="zh-CN"/>
              </w:rPr>
            </w:pPr>
            <w:r>
              <w:rPr>
                <w:rFonts w:hint="eastAsia" w:ascii="Arial" w:hAnsi="Arial" w:eastAsia="宋体" w:cs="Arial"/>
                <w:color w:val="333333"/>
                <w:sz w:val="21"/>
                <w:szCs w:val="21"/>
                <w:shd w:val="clear" w:color="auto" w:fill="FFFFFF"/>
                <w:lang w:eastAsia="zh-CN"/>
              </w:rPr>
              <w:t>甚高频船用对讲主机</w:t>
            </w:r>
          </w:p>
        </w:tc>
        <w:tc>
          <w:tcPr>
            <w:tcW w:w="3548" w:type="dxa"/>
            <w:vAlign w:val="center"/>
          </w:tcPr>
          <w:p>
            <w:pPr>
              <w:widowControl/>
              <w:jc w:val="center"/>
              <w:textAlignment w:val="center"/>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电流电压：110、220v交流；4v直流；7A\频率范围：146-162.5MHz，DSC：156.25MHz\调制模式：16K0G3E,16KOG2B\输出功率:25W\接收器灵敏度:＜-199dBm\内置CH70接收机\含CX4天线和电源</w:t>
            </w:r>
          </w:p>
        </w:tc>
        <w:tc>
          <w:tcPr>
            <w:tcW w:w="960" w:type="dxa"/>
            <w:vAlign w:val="center"/>
          </w:tcPr>
          <w:p>
            <w:pPr>
              <w:widowControl/>
              <w:jc w:val="center"/>
              <w:textAlignment w:val="center"/>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sz w:val="24"/>
                <w:szCs w:val="24"/>
                <w:lang w:eastAsia="zh-CN" w:bidi="ar"/>
              </w:rPr>
              <w:t>台</w:t>
            </w:r>
          </w:p>
        </w:tc>
        <w:tc>
          <w:tcPr>
            <w:tcW w:w="913" w:type="dxa"/>
            <w:vAlign w:val="center"/>
          </w:tcPr>
          <w:p>
            <w:pPr>
              <w:widowControl/>
              <w:jc w:val="center"/>
              <w:textAlignment w:val="center"/>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sz w:val="24"/>
                <w:szCs w:val="24"/>
                <w:lang w:eastAsia="zh-CN" w:bidi="ar"/>
              </w:rPr>
              <w:t>1</w:t>
            </w:r>
          </w:p>
        </w:tc>
      </w:tr>
    </w:tbl>
    <w:p>
      <w:pPr>
        <w:pStyle w:val="3"/>
        <w:spacing w:line="360" w:lineRule="auto"/>
        <w:rPr>
          <w:rFonts w:ascii="Times New Roman" w:hAnsi="Times New Roman" w:eastAsia="宋体" w:cs="Times New Roman"/>
          <w:kern w:val="2"/>
          <w:sz w:val="21"/>
          <w:szCs w:val="24"/>
        </w:rPr>
      </w:pPr>
      <w:r>
        <w:rPr>
          <w:rFonts w:hint="eastAsia" w:ascii="宋体" w:hAnsi="宋体" w:eastAsia="宋体" w:cs="宋体"/>
          <w:color w:val="000000" w:themeColor="text1"/>
          <w:spacing w:val="0"/>
          <w:sz w:val="21"/>
          <w:szCs w:val="21"/>
          <w14:textFill>
            <w14:solidFill>
              <w14:schemeClr w14:val="tx1"/>
            </w14:solidFill>
          </w14:textFill>
        </w:rPr>
        <w:t>收货联系人及联系方式</w:t>
      </w:r>
      <w:r>
        <w:rPr>
          <w:rFonts w:hint="eastAsia" w:ascii="宋体" w:hAnsi="宋体" w:eastAsia="宋体" w:cs="宋体"/>
          <w:color w:val="0000FF"/>
          <w:spacing w:val="0"/>
          <w:sz w:val="21"/>
          <w:szCs w:val="21"/>
        </w:rPr>
        <w:t>：</w:t>
      </w:r>
      <w:r>
        <w:rPr>
          <w:rFonts w:hint="eastAsia" w:ascii="Times New Roman" w:hAnsi="Times New Roman" w:eastAsia="宋体" w:cs="Times New Roman"/>
          <w:kern w:val="2"/>
          <w:sz w:val="21"/>
          <w:szCs w:val="24"/>
        </w:rPr>
        <w:t>徐迦勒 18158026728</w:t>
      </w:r>
    </w:p>
    <w:p>
      <w:pPr>
        <w:pStyle w:val="3"/>
        <w:spacing w:line="360" w:lineRule="auto"/>
        <w:rPr>
          <w:rFonts w:ascii="Times New Roman" w:hAnsi="Times New Roman" w:eastAsia="宋体" w:cs="Times New Roman"/>
          <w:color w:val="000000" w:themeColor="text1"/>
          <w:kern w:val="2"/>
          <w:sz w:val="21"/>
          <w:szCs w:val="24"/>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收货地址：</w:t>
      </w:r>
      <w:r>
        <w:rPr>
          <w:rFonts w:hint="eastAsia" w:ascii="Times New Roman" w:hAnsi="Times New Roman" w:eastAsia="宋体" w:cs="Times New Roman"/>
          <w:color w:val="000000" w:themeColor="text1"/>
          <w:kern w:val="2"/>
          <w:sz w:val="21"/>
          <w:szCs w:val="24"/>
          <w14:textFill>
            <w14:solidFill>
              <w14:schemeClr w14:val="tx1"/>
            </w14:solidFill>
          </w14:textFill>
        </w:rPr>
        <w:t>浙江省舟山市定海区老塘山一期码头库管楼</w:t>
      </w:r>
    </w:p>
    <w:p>
      <w:pPr>
        <w:pStyle w:val="56"/>
        <w:snapToGrid w:val="0"/>
        <w:spacing w:line="360" w:lineRule="auto"/>
        <w:ind w:firstLineChars="0"/>
        <w:outlineLvl w:val="0"/>
        <w:rPr>
          <w:color w:val="0000FF"/>
          <w:lang w:eastAsia="zh-CN"/>
        </w:rPr>
      </w:pPr>
      <w:r>
        <w:rPr>
          <w:rFonts w:hint="eastAsia" w:ascii="宋体" w:hAnsi="宋体" w:eastAsia="宋体" w:cs="宋体"/>
          <w:color w:val="000000" w:themeColor="text1"/>
          <w:sz w:val="21"/>
          <w:szCs w:val="21"/>
          <w:lang w:eastAsia="zh-CN"/>
          <w14:textFill>
            <w14:solidFill>
              <w14:schemeClr w14:val="tx1"/>
            </w14:solidFill>
          </w14:textFill>
        </w:rPr>
        <w:t>服务内容：为指定海上平台通讯设备安装调试，</w:t>
      </w:r>
      <w:r>
        <w:rPr>
          <w:rFonts w:hint="eastAsia" w:ascii="宋体" w:hAnsi="宋体" w:eastAsia="宋体" w:cs="宋体"/>
          <w:sz w:val="21"/>
          <w:szCs w:val="21"/>
          <w:lang w:eastAsia="zh-CN"/>
        </w:rPr>
        <w:t>设备验收后，接甲方通知3天内前往指定平台进行安装调试，服务包括设备的更换安装，设备参数的修改和调试等一系列服务。</w:t>
      </w:r>
    </w:p>
    <w:p>
      <w:pPr>
        <w:pStyle w:val="3"/>
        <w:numPr>
          <w:ilvl w:val="0"/>
          <w:numId w:val="1"/>
        </w:numPr>
        <w:spacing w:line="480" w:lineRule="atLeast"/>
        <w:rPr>
          <w:rFonts w:ascii="微软雅黑" w:hAnsi="微软雅黑" w:eastAsia="微软雅黑" w:cs="微软雅黑"/>
          <w:sz w:val="28"/>
          <w:szCs w:val="28"/>
        </w:rPr>
      </w:pPr>
      <w:r>
        <w:rPr>
          <w:rFonts w:hint="eastAsia" w:ascii="微软雅黑" w:hAnsi="微软雅黑" w:eastAsia="微软雅黑" w:cs="微软雅黑"/>
          <w:sz w:val="28"/>
          <w:szCs w:val="28"/>
        </w:rPr>
        <w:t>技术要求</w:t>
      </w:r>
    </w:p>
    <w:p>
      <w:pPr>
        <w:pStyle w:val="14"/>
        <w:widowControl/>
        <w:spacing w:beforeAutospacing="0" w:afterAutospacing="0" w:line="360" w:lineRule="auto"/>
        <w:rPr>
          <w:rFonts w:ascii="宋体" w:hAnsi="宋体" w:eastAsia="宋体" w:cs="宋体"/>
          <w:sz w:val="20"/>
          <w:szCs w:val="20"/>
        </w:rPr>
      </w:pPr>
      <w:r>
        <w:rPr>
          <w:rFonts w:hint="eastAsia" w:ascii="宋体" w:hAnsi="宋体" w:eastAsia="宋体" w:cs="宋体"/>
          <w:b/>
          <w:bCs/>
          <w:sz w:val="21"/>
          <w:szCs w:val="21"/>
        </w:rPr>
        <w:t>1、</w:t>
      </w:r>
      <w:r>
        <w:rPr>
          <w:rFonts w:hint="eastAsia" w:ascii="宋体" w:hAnsi="宋体" w:eastAsia="宋体" w:cs="宋体"/>
          <w:b/>
          <w:bCs/>
          <w:color w:val="000000"/>
          <w:szCs w:val="24"/>
          <w:lang w:bidi="ar"/>
        </w:rPr>
        <w:t>甚高频船用对讲主机</w:t>
      </w:r>
    </w:p>
    <w:p>
      <w:pPr>
        <w:pStyle w:val="14"/>
        <w:widowControl/>
        <w:spacing w:beforeAutospacing="0" w:afterAutospacing="0" w:line="360" w:lineRule="auto"/>
        <w:ind w:firstLine="211" w:firstLineChars="100"/>
        <w:rPr>
          <w:rFonts w:asciiTheme="minorEastAsia" w:hAnsiTheme="minorEastAsia" w:cstheme="minorEastAsia"/>
          <w:b/>
          <w:bCs/>
          <w:sz w:val="21"/>
          <w:szCs w:val="21"/>
        </w:rPr>
      </w:pPr>
      <w:r>
        <w:rPr>
          <w:rFonts w:hint="eastAsia" w:asciiTheme="minorEastAsia" w:hAnsiTheme="minorEastAsia" w:cstheme="minorEastAsia"/>
          <w:b/>
          <w:bCs/>
          <w:sz w:val="21"/>
          <w:szCs w:val="21"/>
        </w:rPr>
        <w:t>1）对讲主机</w:t>
      </w:r>
    </w:p>
    <w:p>
      <w:pPr>
        <w:pStyle w:val="14"/>
        <w:widowControl/>
        <w:spacing w:beforeAutospacing="0" w:afterAutospacing="0" w:line="360" w:lineRule="auto"/>
        <w:ind w:firstLine="210" w:firstLineChars="100"/>
        <w:rPr>
          <w:rFonts w:asciiTheme="minorEastAsia" w:hAnsiTheme="minorEastAsia" w:cstheme="minorEastAsia"/>
          <w:sz w:val="21"/>
          <w:szCs w:val="21"/>
        </w:rPr>
      </w:pPr>
      <w:r>
        <w:rPr>
          <w:rFonts w:hint="eastAsia" w:asciiTheme="minorEastAsia" w:hAnsiTheme="minorEastAsia" w:cstheme="minorEastAsia"/>
          <w:sz w:val="21"/>
          <w:szCs w:val="21"/>
        </w:rPr>
        <w:t>电压：220V交流，4V直流</w:t>
      </w:r>
    </w:p>
    <w:p>
      <w:pPr>
        <w:pStyle w:val="14"/>
        <w:widowControl/>
        <w:spacing w:beforeAutospacing="0" w:afterAutospacing="0" w:line="360" w:lineRule="auto"/>
        <w:ind w:firstLine="210" w:firstLineChars="100"/>
        <w:rPr>
          <w:rFonts w:asciiTheme="minorEastAsia" w:hAnsiTheme="minorEastAsia" w:cstheme="minorEastAsia"/>
          <w:sz w:val="21"/>
          <w:szCs w:val="21"/>
        </w:rPr>
      </w:pPr>
      <w:r>
        <w:rPr>
          <w:rFonts w:hint="eastAsia" w:asciiTheme="minorEastAsia" w:hAnsiTheme="minorEastAsia" w:cstheme="minorEastAsia"/>
          <w:sz w:val="21"/>
          <w:szCs w:val="21"/>
        </w:rPr>
        <w:t>电流：7A</w:t>
      </w:r>
    </w:p>
    <w:p>
      <w:pPr>
        <w:pStyle w:val="14"/>
        <w:widowControl/>
        <w:spacing w:beforeAutospacing="0" w:afterAutospacing="0" w:line="360" w:lineRule="auto"/>
        <w:ind w:firstLine="210" w:firstLineChars="100"/>
        <w:rPr>
          <w:rFonts w:ascii="宋体" w:hAnsi="宋体" w:eastAsia="宋体" w:cs="宋体"/>
          <w:color w:val="000000" w:themeColor="text1"/>
          <w:sz w:val="20"/>
          <w:szCs w:val="20"/>
          <w14:textFill>
            <w14:solidFill>
              <w14:schemeClr w14:val="tx1"/>
            </w14:solidFill>
          </w14:textFill>
        </w:rPr>
      </w:pPr>
      <w:r>
        <w:rPr>
          <w:rFonts w:hint="eastAsia" w:asciiTheme="minorEastAsia" w:hAnsiTheme="minorEastAsia" w:cstheme="minorEastAsia"/>
          <w:sz w:val="21"/>
          <w:szCs w:val="21"/>
        </w:rPr>
        <w:t>频率范围：</w:t>
      </w:r>
      <w:r>
        <w:rPr>
          <w:rFonts w:hint="eastAsia" w:ascii="宋体" w:hAnsi="宋体" w:eastAsia="宋体" w:cs="宋体"/>
          <w:color w:val="000000" w:themeColor="text1"/>
          <w:sz w:val="20"/>
          <w:szCs w:val="20"/>
          <w14:textFill>
            <w14:solidFill>
              <w14:schemeClr w14:val="tx1"/>
            </w14:solidFill>
          </w14:textFill>
        </w:rPr>
        <w:t>146-162.5MHz</w:t>
      </w:r>
    </w:p>
    <w:p>
      <w:pPr>
        <w:pStyle w:val="14"/>
        <w:widowControl/>
        <w:spacing w:beforeAutospacing="0" w:afterAutospacing="0" w:line="360" w:lineRule="auto"/>
        <w:ind w:firstLine="200" w:firstLineChars="1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调制模式：16K0G3E,16KOG2B</w:t>
      </w:r>
    </w:p>
    <w:p>
      <w:pPr>
        <w:pStyle w:val="14"/>
        <w:widowControl/>
        <w:spacing w:beforeAutospacing="0" w:afterAutospacing="0" w:line="360" w:lineRule="auto"/>
        <w:ind w:firstLine="210" w:firstLineChars="100"/>
        <w:rPr>
          <w:rFonts w:asciiTheme="minorEastAsia" w:hAnsiTheme="minorEastAsia" w:cstheme="minorEastAsia"/>
          <w:sz w:val="21"/>
          <w:szCs w:val="21"/>
        </w:rPr>
      </w:pPr>
      <w:r>
        <w:rPr>
          <w:rFonts w:hint="eastAsia" w:asciiTheme="minorEastAsia" w:hAnsiTheme="minorEastAsia" w:cstheme="minorEastAsia"/>
          <w:sz w:val="21"/>
          <w:szCs w:val="21"/>
        </w:rPr>
        <w:t>输出功率:25W</w:t>
      </w:r>
    </w:p>
    <w:p>
      <w:pPr>
        <w:pStyle w:val="14"/>
        <w:widowControl/>
        <w:tabs>
          <w:tab w:val="left" w:pos="3678"/>
        </w:tabs>
        <w:spacing w:beforeAutospacing="0" w:afterAutospacing="0" w:line="360" w:lineRule="auto"/>
        <w:ind w:firstLine="210" w:firstLineChars="100"/>
        <w:rPr>
          <w:rFonts w:asciiTheme="minorEastAsia" w:hAnsiTheme="minorEastAsia" w:cstheme="minorEastAsia"/>
          <w:sz w:val="21"/>
          <w:szCs w:val="21"/>
        </w:rPr>
      </w:pPr>
      <w:r>
        <w:rPr>
          <w:rFonts w:hint="eastAsia" w:asciiTheme="minorEastAsia" w:hAnsiTheme="minorEastAsia" w:cstheme="minorEastAsia"/>
          <w:sz w:val="21"/>
          <w:szCs w:val="21"/>
        </w:rPr>
        <w:t>接收器灵敏度:＜-199dBm</w:t>
      </w:r>
    </w:p>
    <w:p>
      <w:pPr>
        <w:pStyle w:val="14"/>
        <w:widowControl/>
        <w:tabs>
          <w:tab w:val="left" w:pos="3678"/>
        </w:tabs>
        <w:spacing w:beforeAutospacing="0" w:afterAutospacing="0" w:line="360" w:lineRule="auto"/>
        <w:ind w:firstLine="210" w:firstLineChars="100"/>
        <w:rPr>
          <w:rFonts w:asciiTheme="minorEastAsia" w:hAnsiTheme="minorEastAsia" w:cstheme="minorEastAsia"/>
          <w:sz w:val="21"/>
          <w:szCs w:val="21"/>
        </w:rPr>
      </w:pPr>
      <w:r>
        <w:rPr>
          <w:rFonts w:hint="eastAsia" w:asciiTheme="minorEastAsia" w:hAnsiTheme="minorEastAsia" w:cstheme="minorEastAsia"/>
          <w:sz w:val="21"/>
          <w:szCs w:val="21"/>
        </w:rPr>
        <w:t>运行环境温度-15℃到55℃</w:t>
      </w:r>
    </w:p>
    <w:p>
      <w:pPr>
        <w:pStyle w:val="14"/>
        <w:widowControl/>
        <w:tabs>
          <w:tab w:val="left" w:pos="3678"/>
        </w:tabs>
        <w:spacing w:beforeAutospacing="0" w:afterAutospacing="0" w:line="360" w:lineRule="auto"/>
        <w:ind w:firstLine="210" w:firstLineChars="100"/>
        <w:rPr>
          <w:rFonts w:asciiTheme="minorEastAsia" w:hAnsiTheme="minorEastAsia" w:cstheme="minorEastAsia"/>
          <w:sz w:val="21"/>
          <w:szCs w:val="21"/>
        </w:rPr>
      </w:pPr>
      <w:r>
        <w:rPr>
          <w:rFonts w:hint="eastAsia" w:asciiTheme="minorEastAsia" w:hAnsiTheme="minorEastAsia" w:cstheme="minorEastAsia"/>
          <w:sz w:val="21"/>
          <w:szCs w:val="21"/>
        </w:rPr>
        <w:t>至少配备1个LAN数据接口</w:t>
      </w:r>
      <w:r>
        <w:rPr>
          <w:rFonts w:hint="eastAsia" w:asciiTheme="minorEastAsia" w:hAnsiTheme="minorEastAsia" w:cstheme="minorEastAsia"/>
          <w:sz w:val="21"/>
          <w:szCs w:val="21"/>
        </w:rPr>
        <w:tab/>
      </w:r>
    </w:p>
    <w:p>
      <w:pPr>
        <w:pStyle w:val="14"/>
        <w:widowControl/>
        <w:spacing w:beforeAutospacing="0" w:afterAutospacing="0" w:line="360" w:lineRule="auto"/>
        <w:ind w:firstLine="210" w:firstLineChars="100"/>
        <w:rPr>
          <w:rFonts w:asciiTheme="minorEastAsia" w:hAnsiTheme="minorEastAsia" w:cstheme="minorEastAsia"/>
          <w:sz w:val="21"/>
          <w:szCs w:val="21"/>
        </w:rPr>
      </w:pPr>
      <w:r>
        <w:rPr>
          <w:rFonts w:hint="eastAsia" w:asciiTheme="minorEastAsia" w:hAnsiTheme="minorEastAsia" w:cstheme="minorEastAsia"/>
          <w:sz w:val="21"/>
          <w:szCs w:val="21"/>
        </w:rPr>
        <w:t>内置CH70接收机、扬声器</w:t>
      </w:r>
    </w:p>
    <w:p>
      <w:pPr>
        <w:pStyle w:val="14"/>
        <w:widowControl/>
        <w:spacing w:beforeAutospacing="0" w:afterAutospacing="0" w:line="360" w:lineRule="auto"/>
        <w:ind w:firstLine="210" w:firstLineChars="100"/>
        <w:rPr>
          <w:rFonts w:asciiTheme="minorEastAsia" w:hAnsiTheme="minorEastAsia" w:cstheme="minorEastAsia"/>
          <w:sz w:val="21"/>
          <w:szCs w:val="21"/>
        </w:rPr>
      </w:pPr>
      <w:r>
        <w:rPr>
          <w:rFonts w:hint="eastAsia" w:asciiTheme="minorEastAsia" w:hAnsiTheme="minorEastAsia" w:cstheme="minorEastAsia"/>
          <w:sz w:val="21"/>
          <w:szCs w:val="21"/>
        </w:rPr>
        <w:t>信道间隔:12.5/25KHz包含所有国际海事频道</w:t>
      </w:r>
    </w:p>
    <w:p>
      <w:pPr>
        <w:pStyle w:val="14"/>
        <w:widowControl/>
        <w:spacing w:beforeAutospacing="0" w:afterAutospacing="0" w:line="360" w:lineRule="auto"/>
        <w:ind w:firstLine="210" w:firstLineChars="100"/>
        <w:rPr>
          <w:rFonts w:asciiTheme="minorEastAsia" w:hAnsiTheme="minorEastAsia" w:cstheme="minorEastAsia"/>
          <w:sz w:val="21"/>
          <w:szCs w:val="21"/>
        </w:rPr>
      </w:pPr>
      <w:r>
        <w:rPr>
          <w:rFonts w:hint="eastAsia" w:asciiTheme="minorEastAsia" w:hAnsiTheme="minorEastAsia" w:cstheme="minorEastAsia"/>
          <w:sz w:val="21"/>
          <w:szCs w:val="21"/>
        </w:rPr>
        <w:t>防水等级：IPx6</w:t>
      </w:r>
    </w:p>
    <w:p>
      <w:pPr>
        <w:pStyle w:val="14"/>
        <w:widowControl/>
        <w:spacing w:beforeAutospacing="0" w:afterAutospacing="0" w:line="360" w:lineRule="auto"/>
        <w:ind w:firstLine="210" w:firstLineChars="100"/>
        <w:rPr>
          <w:rFonts w:asciiTheme="minorEastAsia" w:hAnsiTheme="minorEastAsia" w:cstheme="minorEastAsia"/>
          <w:sz w:val="21"/>
          <w:szCs w:val="21"/>
        </w:rPr>
      </w:pPr>
      <w:r>
        <w:rPr>
          <w:rFonts w:hint="eastAsia" w:asciiTheme="minorEastAsia" w:hAnsiTheme="minorEastAsia" w:cstheme="minorEastAsia"/>
          <w:sz w:val="21"/>
          <w:szCs w:val="21"/>
        </w:rPr>
        <w:t>具有240S来电回放功能、多频浏览功能</w:t>
      </w:r>
    </w:p>
    <w:p>
      <w:pPr>
        <w:pStyle w:val="14"/>
        <w:widowControl/>
        <w:spacing w:beforeAutospacing="0" w:afterAutospacing="0" w:line="360" w:lineRule="auto"/>
        <w:ind w:firstLine="210" w:firstLineChars="100"/>
        <w:rPr>
          <w:rFonts w:asciiTheme="minorEastAsia" w:hAnsiTheme="minorEastAsia" w:cstheme="minorEastAsia"/>
          <w:sz w:val="21"/>
          <w:szCs w:val="21"/>
        </w:rPr>
      </w:pPr>
      <w:r>
        <w:rPr>
          <w:rFonts w:hint="eastAsia" w:asciiTheme="minorEastAsia" w:hAnsiTheme="minorEastAsia" w:cstheme="minorEastAsia"/>
          <w:sz w:val="21"/>
          <w:szCs w:val="21"/>
        </w:rPr>
        <w:t>手柄提供PTT控制发射和接收</w:t>
      </w:r>
    </w:p>
    <w:p>
      <w:pPr>
        <w:pStyle w:val="14"/>
        <w:widowControl/>
        <w:spacing w:beforeAutospacing="0" w:afterAutospacing="0" w:line="360" w:lineRule="auto"/>
        <w:ind w:firstLine="210" w:firstLineChars="100"/>
        <w:rPr>
          <w:rFonts w:asciiTheme="minorEastAsia" w:hAnsiTheme="minorEastAsia" w:cstheme="minorEastAsia"/>
          <w:sz w:val="21"/>
          <w:szCs w:val="21"/>
        </w:rPr>
      </w:pPr>
      <w:r>
        <w:rPr>
          <w:rFonts w:hint="eastAsia" w:asciiTheme="minorEastAsia" w:hAnsiTheme="minorEastAsia" w:cstheme="minorEastAsia"/>
          <w:sz w:val="21"/>
          <w:szCs w:val="21"/>
        </w:rPr>
        <w:t>通过局域网接收同品牌的GPS信号和C站里的GPS信号</w:t>
      </w:r>
    </w:p>
    <w:p>
      <w:pPr>
        <w:pStyle w:val="14"/>
        <w:widowControl/>
        <w:spacing w:line="360" w:lineRule="auto"/>
        <w:ind w:left="210" w:leftChars="100"/>
        <w:rPr>
          <w:rFonts w:asciiTheme="minorEastAsia" w:hAnsiTheme="minorEastAsia" w:cstheme="minorEastAsia"/>
          <w:sz w:val="21"/>
          <w:szCs w:val="21"/>
        </w:rPr>
      </w:pPr>
      <w:r>
        <w:rPr>
          <w:rFonts w:ascii="Times New Roman" w:hAnsi="Times New Roman" w:eastAsia="宋体"/>
          <w:color w:val="000000"/>
          <w:sz w:val="21"/>
          <w:szCs w:val="21"/>
          <w:shd w:val="clear" w:color="auto" w:fill="FFFFFF"/>
        </w:rPr>
        <w:t>★</w:t>
      </w:r>
      <w:r>
        <w:rPr>
          <w:rFonts w:hint="eastAsia" w:asciiTheme="minorEastAsia" w:hAnsiTheme="minorEastAsia" w:cstheme="minorEastAsia"/>
          <w:color w:val="000000"/>
          <w:sz w:val="21"/>
          <w:szCs w:val="21"/>
          <w:lang w:bidi="ar"/>
        </w:rPr>
        <w:t>乙方供货后提供</w:t>
      </w:r>
      <w:r>
        <w:rPr>
          <w:rFonts w:asciiTheme="minorEastAsia" w:hAnsiTheme="minorEastAsia" w:cstheme="minorEastAsia"/>
          <w:color w:val="000000"/>
          <w:sz w:val="21"/>
          <w:szCs w:val="21"/>
          <w:lang w:bidi="ar"/>
        </w:rPr>
        <w:t>CCS船级社型式认证、提供CCS船级社海上设施产品检验证书、船用产品</w:t>
      </w:r>
      <w:r>
        <w:rPr>
          <w:rFonts w:hint="eastAsia" w:asciiTheme="minorEastAsia" w:hAnsiTheme="minorEastAsia" w:cstheme="minorEastAsia"/>
          <w:color w:val="000000"/>
          <w:sz w:val="21"/>
          <w:szCs w:val="21"/>
          <w:lang w:bidi="ar"/>
        </w:rPr>
        <w:t>证书（适用于移动船舶）；投标时需提供承诺函（格式自拟）；</w:t>
      </w:r>
      <w:r>
        <w:rPr>
          <w:rFonts w:asciiTheme="minorEastAsia" w:hAnsiTheme="minorEastAsia" w:cstheme="minorEastAsia"/>
          <w:color w:val="000000"/>
          <w:sz w:val="21"/>
          <w:szCs w:val="21"/>
          <w:lang w:bidi="ar"/>
        </w:rPr>
        <w:t xml:space="preserve"> </w:t>
      </w:r>
    </w:p>
    <w:p>
      <w:pPr>
        <w:pStyle w:val="14"/>
        <w:widowControl/>
        <w:spacing w:line="360" w:lineRule="auto"/>
        <w:ind w:left="210" w:leftChars="100"/>
        <w:rPr>
          <w:rFonts w:asciiTheme="minorEastAsia" w:hAnsiTheme="minorEastAsia" w:cstheme="minorEastAsia"/>
          <w:sz w:val="21"/>
          <w:szCs w:val="21"/>
        </w:rPr>
      </w:pPr>
      <w:r>
        <w:rPr>
          <w:rFonts w:ascii="Times New Roman" w:hAnsi="Times New Roman" w:eastAsia="宋体"/>
          <w:color w:val="000000"/>
          <w:sz w:val="21"/>
          <w:szCs w:val="21"/>
          <w:shd w:val="clear" w:color="auto" w:fill="FFFFFF"/>
        </w:rPr>
        <w:t>★</w:t>
      </w:r>
      <w:r>
        <w:rPr>
          <w:rFonts w:hint="eastAsia" w:asciiTheme="minorEastAsia" w:hAnsiTheme="minorEastAsia" w:cstheme="minorEastAsia"/>
          <w:color w:val="000000"/>
          <w:sz w:val="21"/>
          <w:szCs w:val="21"/>
          <w:lang w:bidi="ar"/>
        </w:rPr>
        <w:t>投标方投标时提供国际</w:t>
      </w:r>
      <w:r>
        <w:rPr>
          <w:rFonts w:asciiTheme="minorEastAsia" w:hAnsiTheme="minorEastAsia" w:cstheme="minorEastAsia"/>
          <w:color w:val="000000"/>
          <w:sz w:val="21"/>
          <w:szCs w:val="21"/>
          <w:lang w:bidi="ar"/>
        </w:rPr>
        <w:t>EC证书；</w:t>
      </w:r>
    </w:p>
    <w:p>
      <w:pPr>
        <w:pStyle w:val="14"/>
        <w:widowControl/>
        <w:numPr>
          <w:ilvl w:val="0"/>
          <w:numId w:val="2"/>
        </w:numPr>
        <w:spacing w:beforeAutospacing="0" w:afterAutospacing="0" w:line="360" w:lineRule="auto"/>
        <w:ind w:firstLine="211" w:firstLineChars="100"/>
        <w:rPr>
          <w:rFonts w:asciiTheme="minorEastAsia" w:hAnsiTheme="minorEastAsia" w:cstheme="minorEastAsia"/>
          <w:b/>
          <w:bCs/>
          <w:sz w:val="21"/>
          <w:szCs w:val="21"/>
        </w:rPr>
      </w:pPr>
      <w:r>
        <w:rPr>
          <w:rFonts w:hint="eastAsia" w:asciiTheme="minorEastAsia" w:hAnsiTheme="minorEastAsia" w:cstheme="minorEastAsia"/>
          <w:b/>
          <w:bCs/>
          <w:sz w:val="21"/>
          <w:szCs w:val="21"/>
        </w:rPr>
        <w:t>CX4天线</w:t>
      </w:r>
    </w:p>
    <w:p>
      <w:pPr>
        <w:pStyle w:val="14"/>
        <w:widowControl/>
        <w:spacing w:beforeAutospacing="0" w:afterAutospacing="0" w:line="360" w:lineRule="auto"/>
        <w:ind w:left="210" w:leftChars="100"/>
        <w:rPr>
          <w:rFonts w:asciiTheme="minorEastAsia" w:hAnsiTheme="minorEastAsia" w:cstheme="minorEastAsia"/>
          <w:sz w:val="21"/>
          <w:szCs w:val="21"/>
        </w:rPr>
      </w:pPr>
      <w:r>
        <w:rPr>
          <w:rFonts w:hint="eastAsia" w:asciiTheme="minorEastAsia" w:hAnsiTheme="minorEastAsia" w:cstheme="minorEastAsia"/>
          <w:sz w:val="21"/>
          <w:szCs w:val="21"/>
        </w:rPr>
        <w:t>频率范围：146.0-162.5MHz</w:t>
      </w:r>
    </w:p>
    <w:p>
      <w:pPr>
        <w:pStyle w:val="14"/>
        <w:widowControl/>
        <w:spacing w:beforeAutospacing="0" w:afterAutospacing="0" w:line="360" w:lineRule="auto"/>
        <w:ind w:left="210" w:leftChars="100"/>
        <w:rPr>
          <w:rFonts w:asciiTheme="minorEastAsia" w:hAnsiTheme="minorEastAsia" w:cstheme="minorEastAsia"/>
          <w:sz w:val="21"/>
          <w:szCs w:val="21"/>
        </w:rPr>
      </w:pPr>
      <w:r>
        <w:rPr>
          <w:rFonts w:hint="eastAsia" w:asciiTheme="minorEastAsia" w:hAnsiTheme="minorEastAsia" w:cstheme="minorEastAsia"/>
          <w:sz w:val="21"/>
          <w:szCs w:val="21"/>
        </w:rPr>
        <w:t>标称阻抗：50Ω</w:t>
      </w:r>
    </w:p>
    <w:p>
      <w:pPr>
        <w:pStyle w:val="14"/>
        <w:widowControl/>
        <w:spacing w:beforeAutospacing="0" w:afterAutospacing="0" w:line="360" w:lineRule="auto"/>
        <w:ind w:left="210" w:leftChars="100"/>
        <w:rPr>
          <w:rFonts w:asciiTheme="minorEastAsia" w:hAnsiTheme="minorEastAsia" w:cstheme="minorEastAsia"/>
          <w:sz w:val="21"/>
          <w:szCs w:val="21"/>
        </w:rPr>
      </w:pPr>
      <w:r>
        <w:rPr>
          <w:rFonts w:hint="eastAsia" w:asciiTheme="minorEastAsia" w:hAnsiTheme="minorEastAsia" w:cstheme="minorEastAsia"/>
          <w:sz w:val="21"/>
          <w:szCs w:val="21"/>
        </w:rPr>
        <w:t>VHF额定功率：150W</w:t>
      </w:r>
    </w:p>
    <w:p>
      <w:pPr>
        <w:pStyle w:val="14"/>
        <w:widowControl/>
        <w:spacing w:beforeAutospacing="0" w:afterAutospacing="0" w:line="360" w:lineRule="auto"/>
        <w:ind w:left="210" w:leftChars="100"/>
        <w:rPr>
          <w:rFonts w:asciiTheme="minorEastAsia" w:hAnsiTheme="minorEastAsia" w:cstheme="minorEastAsia"/>
          <w:sz w:val="21"/>
          <w:szCs w:val="21"/>
        </w:rPr>
      </w:pPr>
      <w:r>
        <w:rPr>
          <w:rFonts w:hint="eastAsia" w:asciiTheme="minorEastAsia" w:hAnsiTheme="minorEastAsia" w:cstheme="minorEastAsia"/>
          <w:sz w:val="21"/>
          <w:szCs w:val="21"/>
        </w:rPr>
        <w:t>驻波比：＜1.5:1</w:t>
      </w:r>
    </w:p>
    <w:p>
      <w:pPr>
        <w:pStyle w:val="14"/>
        <w:widowControl/>
        <w:spacing w:beforeAutospacing="0" w:afterAutospacing="0" w:line="360" w:lineRule="auto"/>
        <w:ind w:left="210" w:leftChars="100"/>
        <w:rPr>
          <w:rFonts w:asciiTheme="minorEastAsia" w:hAnsiTheme="minorEastAsia" w:cstheme="minorEastAsia"/>
          <w:sz w:val="21"/>
          <w:szCs w:val="21"/>
        </w:rPr>
      </w:pPr>
      <w:r>
        <w:rPr>
          <w:rFonts w:hint="eastAsia" w:asciiTheme="minorEastAsia" w:hAnsiTheme="minorEastAsia" w:cstheme="minorEastAsia"/>
          <w:sz w:val="21"/>
          <w:szCs w:val="21"/>
        </w:rPr>
        <w:t>极化：垂直方向</w:t>
      </w:r>
    </w:p>
    <w:p>
      <w:pPr>
        <w:pStyle w:val="14"/>
        <w:widowControl/>
        <w:spacing w:beforeAutospacing="0" w:afterAutospacing="0" w:line="360" w:lineRule="auto"/>
        <w:ind w:left="210" w:leftChars="100"/>
        <w:rPr>
          <w:rFonts w:asciiTheme="minorEastAsia" w:hAnsiTheme="minorEastAsia" w:cstheme="minorEastAsia"/>
          <w:sz w:val="21"/>
          <w:szCs w:val="21"/>
        </w:rPr>
      </w:pPr>
      <w:r>
        <w:rPr>
          <w:rFonts w:hint="eastAsia" w:asciiTheme="minorEastAsia" w:hAnsiTheme="minorEastAsia" w:cstheme="minorEastAsia"/>
          <w:sz w:val="21"/>
          <w:szCs w:val="21"/>
        </w:rPr>
        <w:t>温度范围：-55℃-70℃</w:t>
      </w:r>
    </w:p>
    <w:p>
      <w:pPr>
        <w:pStyle w:val="14"/>
        <w:widowControl/>
        <w:spacing w:beforeAutospacing="0" w:afterAutospacing="0" w:line="360" w:lineRule="auto"/>
        <w:ind w:left="210" w:leftChars="100"/>
        <w:rPr>
          <w:rFonts w:asciiTheme="minorEastAsia" w:hAnsiTheme="minorEastAsia" w:cstheme="minorEastAsia"/>
          <w:sz w:val="21"/>
          <w:szCs w:val="21"/>
        </w:rPr>
      </w:pPr>
      <w:r>
        <w:rPr>
          <w:rFonts w:hint="eastAsia" w:asciiTheme="minorEastAsia" w:hAnsiTheme="minorEastAsia" w:cstheme="minorEastAsia"/>
          <w:sz w:val="21"/>
          <w:szCs w:val="21"/>
        </w:rPr>
        <w:t>防护等级：IP66</w:t>
      </w:r>
    </w:p>
    <w:p>
      <w:pPr>
        <w:pStyle w:val="14"/>
        <w:widowControl/>
        <w:spacing w:beforeAutospacing="0" w:afterAutospacing="0" w:line="360" w:lineRule="auto"/>
        <w:ind w:left="210" w:leftChars="100"/>
        <w:rPr>
          <w:rFonts w:asciiTheme="minorEastAsia" w:hAnsiTheme="minorEastAsia" w:cstheme="minorEastAsia"/>
          <w:sz w:val="21"/>
          <w:szCs w:val="21"/>
        </w:rPr>
      </w:pPr>
      <w:r>
        <w:rPr>
          <w:rFonts w:hint="eastAsia" w:asciiTheme="minorEastAsia" w:hAnsiTheme="minorEastAsia" w:cstheme="minorEastAsia"/>
          <w:sz w:val="21"/>
          <w:szCs w:val="21"/>
        </w:rPr>
        <w:t>长度：1.26M</w:t>
      </w:r>
    </w:p>
    <w:p>
      <w:pPr>
        <w:pStyle w:val="14"/>
        <w:widowControl/>
        <w:numPr>
          <w:ilvl w:val="0"/>
          <w:numId w:val="2"/>
        </w:numPr>
        <w:spacing w:beforeAutospacing="0" w:afterAutospacing="0" w:line="360" w:lineRule="auto"/>
        <w:ind w:firstLine="211" w:firstLineChars="100"/>
        <w:rPr>
          <w:rFonts w:asciiTheme="minorEastAsia" w:hAnsiTheme="minorEastAsia" w:cstheme="minorEastAsia"/>
          <w:b/>
          <w:bCs/>
          <w:sz w:val="21"/>
          <w:szCs w:val="21"/>
        </w:rPr>
      </w:pPr>
      <w:r>
        <w:rPr>
          <w:rFonts w:hint="eastAsia" w:asciiTheme="minorEastAsia" w:hAnsiTheme="minorEastAsia" w:cstheme="minorEastAsia"/>
          <w:b/>
          <w:bCs/>
          <w:sz w:val="21"/>
          <w:szCs w:val="21"/>
        </w:rPr>
        <w:t>电源</w:t>
      </w:r>
    </w:p>
    <w:p>
      <w:pPr>
        <w:pStyle w:val="14"/>
        <w:widowControl/>
        <w:spacing w:beforeAutospacing="0" w:afterAutospacing="0" w:line="360" w:lineRule="auto"/>
        <w:ind w:left="210" w:leftChars="100"/>
        <w:rPr>
          <w:rFonts w:asciiTheme="minorEastAsia" w:hAnsiTheme="minorEastAsia" w:cstheme="minorEastAsia"/>
          <w:sz w:val="21"/>
          <w:szCs w:val="21"/>
        </w:rPr>
      </w:pPr>
      <w:r>
        <w:rPr>
          <w:rFonts w:hint="eastAsia" w:asciiTheme="minorEastAsia" w:hAnsiTheme="minorEastAsia" w:cstheme="minorEastAsia"/>
          <w:sz w:val="21"/>
          <w:szCs w:val="21"/>
        </w:rPr>
        <w:t>输入电压：220/237v交流电</w:t>
      </w:r>
    </w:p>
    <w:p>
      <w:pPr>
        <w:pStyle w:val="14"/>
        <w:widowControl/>
        <w:spacing w:beforeAutospacing="0" w:afterAutospacing="0" w:line="360" w:lineRule="auto"/>
        <w:ind w:left="210" w:leftChars="100"/>
        <w:rPr>
          <w:rFonts w:asciiTheme="minorEastAsia" w:hAnsiTheme="minorEastAsia" w:cstheme="minorEastAsia"/>
          <w:sz w:val="21"/>
          <w:szCs w:val="21"/>
        </w:rPr>
      </w:pPr>
      <w:r>
        <w:rPr>
          <w:rFonts w:hint="eastAsia" w:asciiTheme="minorEastAsia" w:hAnsiTheme="minorEastAsia" w:cstheme="minorEastAsia"/>
          <w:sz w:val="21"/>
          <w:szCs w:val="21"/>
        </w:rPr>
        <w:t>输出：24V DC 170W</w:t>
      </w:r>
    </w:p>
    <w:p>
      <w:pPr>
        <w:pStyle w:val="14"/>
        <w:widowControl/>
        <w:spacing w:beforeAutospacing="0" w:afterAutospacing="0" w:line="360" w:lineRule="auto"/>
        <w:ind w:left="210" w:leftChars="100"/>
        <w:rPr>
          <w:rFonts w:asciiTheme="minorEastAsia" w:hAnsiTheme="minorEastAsia" w:cstheme="minorEastAsia"/>
          <w:sz w:val="21"/>
          <w:szCs w:val="21"/>
        </w:rPr>
      </w:pPr>
      <w:r>
        <w:rPr>
          <w:rFonts w:hint="eastAsia" w:asciiTheme="minorEastAsia" w:hAnsiTheme="minorEastAsia" w:cstheme="minorEastAsia"/>
          <w:sz w:val="21"/>
          <w:szCs w:val="21"/>
        </w:rPr>
        <w:t>工作温度范围：-15℃-55℃</w:t>
      </w:r>
    </w:p>
    <w:p>
      <w:pPr>
        <w:pStyle w:val="14"/>
        <w:widowControl/>
        <w:spacing w:beforeAutospacing="0" w:afterAutospacing="0" w:line="360" w:lineRule="auto"/>
        <w:ind w:left="210" w:leftChars="100"/>
        <w:rPr>
          <w:rFonts w:asciiTheme="minorEastAsia" w:hAnsiTheme="minorEastAsia" w:cstheme="minorEastAsia"/>
          <w:sz w:val="21"/>
          <w:szCs w:val="21"/>
        </w:rPr>
      </w:pPr>
      <w:r>
        <w:rPr>
          <w:rFonts w:hint="eastAsia" w:asciiTheme="minorEastAsia" w:hAnsiTheme="minorEastAsia" w:cstheme="minorEastAsia"/>
          <w:sz w:val="21"/>
          <w:szCs w:val="21"/>
        </w:rPr>
        <w:t>相对湿度：93%</w:t>
      </w:r>
    </w:p>
    <w:p>
      <w:pPr>
        <w:pStyle w:val="14"/>
        <w:widowControl/>
        <w:spacing w:beforeAutospacing="0" w:afterAutospacing="0" w:line="360" w:lineRule="auto"/>
        <w:rPr>
          <w:rFonts w:ascii="微软雅黑" w:hAnsi="微软雅黑" w:eastAsia="微软雅黑" w:cs="微软雅黑"/>
          <w:spacing w:val="2"/>
          <w:sz w:val="28"/>
          <w:szCs w:val="28"/>
        </w:rPr>
      </w:pPr>
      <w:r>
        <w:rPr>
          <w:rFonts w:hint="eastAsia" w:ascii="微软雅黑" w:hAnsi="微软雅黑" w:eastAsia="微软雅黑" w:cs="微软雅黑"/>
          <w:spacing w:val="2"/>
          <w:sz w:val="28"/>
          <w:szCs w:val="28"/>
        </w:rPr>
        <w:t>四、现场验收</w:t>
      </w:r>
    </w:p>
    <w:p>
      <w:pPr>
        <w:pStyle w:val="8"/>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1.到货验收：发货前需与收货人沟通收发货事宜并提供验收相关资料。如果未沟通，甲方有权拒收货物。</w:t>
      </w:r>
    </w:p>
    <w:p>
      <w:pPr>
        <w:spacing w:line="480" w:lineRule="atLeast"/>
        <w:rPr>
          <w:rFonts w:ascii="微软雅黑" w:hAnsi="微软雅黑" w:eastAsia="微软雅黑" w:cs="微软雅黑"/>
          <w:spacing w:val="2"/>
          <w:sz w:val="28"/>
          <w:szCs w:val="28"/>
          <w:lang w:eastAsia="zh-CN"/>
        </w:rPr>
      </w:pPr>
      <w:r>
        <w:rPr>
          <w:rFonts w:hint="eastAsia" w:ascii="微软雅黑" w:hAnsi="微软雅黑" w:eastAsia="微软雅黑" w:cs="微软雅黑"/>
          <w:spacing w:val="2"/>
          <w:sz w:val="28"/>
          <w:szCs w:val="28"/>
          <w:lang w:eastAsia="zh-CN"/>
        </w:rPr>
        <w:t>五、技术服务与售后服务</w:t>
      </w:r>
    </w:p>
    <w:p>
      <w:pPr>
        <w:pStyle w:val="8"/>
        <w:numPr>
          <w:ilvl w:val="0"/>
          <w:numId w:val="3"/>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安装、调试要求：设备到货后，乙方需要到甲方指定的海上平台进行设备的安装调试服务。到现场进行调试的人员必须是经验丰富的技术人员，能提供强有力的技术保障，出海调试人员必须具备符合中海油出海相关证件（例如五小证、健康证、MTS卡、电工证等），并服从中海油出海相关管理要求，提供技术人员名单及上述证件复印件，办理证件所产生的费用由乙方负责，调试人员需根据甲方的时间要求进行出海调试工作；</w:t>
      </w:r>
    </w:p>
    <w:p>
      <w:pPr>
        <w:pStyle w:val="8"/>
        <w:numPr>
          <w:ilvl w:val="0"/>
          <w:numId w:val="3"/>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技术联络与响应：质保期内，如设备发生故障时，乙方需在接到甲方通知后，指派技术人员在3天内赶到场解决问题；质保期内乙方提供设备质保内的7*24电话响应服务。</w:t>
      </w:r>
    </w:p>
    <w:p>
      <w:pPr>
        <w:spacing w:line="480" w:lineRule="atLeast"/>
        <w:rPr>
          <w:rFonts w:ascii="微软雅黑" w:hAnsi="微软雅黑" w:eastAsia="微软雅黑" w:cs="微软雅黑"/>
          <w:spacing w:val="2"/>
          <w:sz w:val="28"/>
          <w:szCs w:val="28"/>
          <w:lang w:eastAsia="zh-CN"/>
        </w:rPr>
      </w:pPr>
      <w:r>
        <w:rPr>
          <w:rFonts w:hint="eastAsia" w:ascii="微软雅黑" w:hAnsi="微软雅黑" w:eastAsia="微软雅黑" w:cs="微软雅黑"/>
          <w:spacing w:val="2"/>
          <w:sz w:val="28"/>
          <w:szCs w:val="28"/>
          <w:lang w:eastAsia="zh-CN"/>
        </w:rPr>
        <w:t>六、质量保证</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乙方承诺所提供的产品均由指定制造商生产，产品质量符合国家标准和合同要求，且产品是崭新而从未使用过的原装产品；</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乙方保证全部货物均符合国家有关安全和环保的法律、法规要求，对环境和操作者安全无害；</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乙方承诺售后服务由原厂商或由原厂商指定的具备资质的服务商承担。在保修期内，硬件设备出现故障时，乙方须负责进行免费维修、更换故障零部件或整机。乙方保证更换的零部件或整机均是原制造商生产、与所维修设备同型号、同样规格配置的优质产品。如果故障设备维修超过3次（或20天）仍存在问题，甲方有权提出退货，乙方应按照原价给予退货；</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乙方必须严格按照招标书中对设备配置需求的描述投标；</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乙方所选产品必须是原设备厂商的认证产品和原设备厂商的直接组装产品，不能是任何其它组装的产品，应为崭新的且从未使用过的原装产品；</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因设备停产无法实现招标书中描述的设备配置要求，乙方必须在征得甲方同意后，可以提出备选产品及解决方案，但必须满足甲方的整体需求，设备配置不能降低；</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乙方对招标产品描述改变或增加某些配置，必须征得甲方的同意；所有增加的配置如没有附加说明，必须为原厂配套配件；</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乙方提供的技术方案要详细、准确具有可操作性；对维护和技术服务条款要有专门的描述;</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所有硬件设备必须在原厂安装的，直接发货到甲方指定地点，不得出厂后安装和添加配置；</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所有硬件设备必须配置原厂标准服务，所有硬件为一年原厂标准保修服务期限;</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所有硬件设备上安装的软件原则上是在原厂预装的。如原厂没有预装招标书上所要求的的操作系统版本，甲方可以要求乙方在用户现场安装所需的系统软件，安装内容必须符合最终用户的要求；</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乙方须在合同签订后，接甲方通知20个工作日内完成交货，在采办设备时遇到不能及时供货或无法按要求供货时，乙方应在两天之内以邮件等书面方式将原厂不能按时供货的原因（乙方需要提供原厂商的原始通知函件（附日期））通知甲方,并按要求提供解决方案，以便甲方及时作相关变更，否则按延期处理；</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若发现设备损坏、数量缺少、设备型号不符合招标要求以及有任何导致设备不能正常使用的等问题，甲方有权追责乙方，要求乙方必须尽快提供解决方案，在15天之内解决问题，最迟不得超过30天，否则按延期供货处理。同时，甲方保留向乙方追索由此而受到的所有损失的权利；</w:t>
      </w:r>
    </w:p>
    <w:p>
      <w:pPr>
        <w:pStyle w:val="8"/>
        <w:numPr>
          <w:ilvl w:val="0"/>
          <w:numId w:val="4"/>
        </w:numPr>
        <w:spacing w:line="360" w:lineRule="auto"/>
        <w:ind w:firstLine="420"/>
        <w:outlineLvl w:val="1"/>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质保期：质保期为12个月，于安装调试合格之日起开始计算。</w:t>
      </w:r>
    </w:p>
    <w:bookmarkEnd w:id="0"/>
    <w:bookmarkEnd w:id="1"/>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pStyle w:val="35"/>
        <w:spacing w:line="360" w:lineRule="auto"/>
        <w:ind w:right="560" w:firstLine="360" w:firstLineChars="15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说明：</w:t>
      </w:r>
    </w:p>
    <w:p>
      <w:pPr>
        <w:pStyle w:val="35"/>
        <w:spacing w:before="240" w:after="240" w:line="360" w:lineRule="auto"/>
        <w:ind w:firstLine="424" w:firstLineChars="177"/>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起草合同</w:t>
      </w:r>
      <w:r>
        <w:rPr>
          <w:rFonts w:hint="eastAsia" w:asciiTheme="minorEastAsia" w:hAnsiTheme="minorEastAsia" w:eastAsiaTheme="minorEastAsia"/>
          <w:color w:val="000000" w:themeColor="text1"/>
          <w:sz w:val="24"/>
          <w:szCs w:val="24"/>
          <w:highlight w:val="none"/>
          <w14:textFill>
            <w14:solidFill>
              <w14:schemeClr w14:val="tx1"/>
            </w14:solidFill>
          </w14:textFill>
        </w:rPr>
        <w:t>文本</w:t>
      </w:r>
      <w:r>
        <w:rPr>
          <w:rFonts w:asciiTheme="minorEastAsia" w:hAnsiTheme="minorEastAsia" w:eastAsiaTheme="minorEastAsia"/>
          <w:color w:val="000000" w:themeColor="text1"/>
          <w:sz w:val="24"/>
          <w:szCs w:val="24"/>
          <w:highlight w:val="none"/>
          <w14:textFill>
            <w14:solidFill>
              <w14:schemeClr w14:val="tx1"/>
            </w14:solidFill>
          </w14:textFill>
        </w:rPr>
        <w:t>时，</w:t>
      </w:r>
      <w:r>
        <w:rPr>
          <w:rFonts w:hint="eastAsia" w:asciiTheme="minorEastAsia" w:hAnsiTheme="minorEastAsia" w:eastAsiaTheme="minorEastAsia"/>
          <w:color w:val="000000" w:themeColor="text1"/>
          <w:sz w:val="24"/>
          <w:szCs w:val="24"/>
          <w:highlight w:val="none"/>
          <w14:textFill>
            <w14:solidFill>
              <w14:schemeClr w14:val="tx1"/>
            </w14:solidFill>
          </w14:textFill>
        </w:rPr>
        <w:t>采办承办人员应查询集团公司、海油发展以及本</w:t>
      </w:r>
      <w:r>
        <w:rPr>
          <w:rFonts w:asciiTheme="minorEastAsia" w:hAnsiTheme="minorEastAsia" w:eastAsiaTheme="minorEastAsia"/>
          <w:color w:val="000000" w:themeColor="text1"/>
          <w:sz w:val="24"/>
          <w:szCs w:val="24"/>
          <w:highlight w:val="none"/>
          <w14:textFill>
            <w14:solidFill>
              <w14:schemeClr w14:val="tx1"/>
            </w14:solidFill>
          </w14:textFill>
        </w:rPr>
        <w:t>公司</w:t>
      </w:r>
      <w:r>
        <w:rPr>
          <w:rFonts w:hint="eastAsia" w:asciiTheme="minorEastAsia" w:hAnsiTheme="minorEastAsia" w:eastAsiaTheme="minorEastAsia"/>
          <w:color w:val="000000" w:themeColor="text1"/>
          <w:sz w:val="24"/>
          <w:szCs w:val="24"/>
          <w:highlight w:val="none"/>
          <w14:textFill>
            <w14:solidFill>
              <w14:schemeClr w14:val="tx1"/>
            </w14:solidFill>
          </w14:textFill>
        </w:rPr>
        <w:t>是否有发布的标准合同或示范合同文本。应以已发布</w:t>
      </w:r>
      <w:r>
        <w:rPr>
          <w:rFonts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olor w:val="000000" w:themeColor="text1"/>
          <w:sz w:val="24"/>
          <w:szCs w:val="24"/>
          <w:highlight w:val="none"/>
          <w14:textFill>
            <w14:solidFill>
              <w14:schemeClr w14:val="tx1"/>
            </w14:solidFill>
          </w14:textFill>
        </w:rPr>
        <w:t>标准合同文本或示范合同文本为基础起草合同。</w:t>
      </w:r>
    </w:p>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35"/>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1"/>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1"/>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6"/>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6"/>
        <w:rPr>
          <w:rFonts w:asciiTheme="minorEastAsia" w:hAnsiTheme="minorEastAsia"/>
          <w:sz w:val="24"/>
          <w:szCs w:val="24"/>
        </w:rPr>
      </w:pP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8"/>
        <w:ind w:left="0" w:leftChars="0" w:firstLine="0" w:firstLineChars="0"/>
        <w:rPr>
          <w:rFonts w:hint="eastAsia" w:ascii="宋体" w:hAnsi="宋体" w:cs="宋体"/>
          <w:sz w:val="20"/>
          <w:szCs w:val="20"/>
          <w:lang w:eastAsia="zh-CN"/>
        </w:rPr>
      </w:pPr>
    </w:p>
    <w:p>
      <w:pPr>
        <w:pStyle w:val="6"/>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4"/>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pStyle w:val="6"/>
        <w:ind w:firstLine="0" w:firstLineChars="0"/>
        <w:rPr>
          <w:rFonts w:hint="eastAsia"/>
        </w:rPr>
      </w:pPr>
      <w:r>
        <w:rPr>
          <w:rFonts w:hint="eastAsia"/>
        </w:rPr>
        <w:t>5.4：专业资质（</w:t>
      </w:r>
      <w:r>
        <w:rPr>
          <w:rFonts w:hint="eastAsia"/>
          <w:lang w:val="en-US" w:eastAsia="zh-CN"/>
        </w:rPr>
        <w:t>不</w:t>
      </w:r>
      <w:r>
        <w:rPr>
          <w:rFonts w:hint="eastAsia"/>
        </w:rPr>
        <w:t>涉及）</w:t>
      </w:r>
    </w:p>
    <w:p>
      <w:pPr>
        <w:pStyle w:val="6"/>
        <w:ind w:firstLine="0" w:firstLineChars="0"/>
        <w:rPr>
          <w:rFonts w:hint="default" w:eastAsiaTheme="minorEastAsia"/>
          <w:lang w:val="en-US" w:eastAsia="zh-CN"/>
        </w:rPr>
      </w:pPr>
      <w:r>
        <w:rPr>
          <w:rFonts w:hint="eastAsia"/>
        </w:rPr>
        <w:t>5.5：环境管理体系认证、质量管理体系认证、健康安全管理体系认证和国家强制产品认证等相关否决事项，并可在中国国家认证认可监督管理委员会网站（http://www.cnca.gov.cn）核实</w:t>
      </w:r>
      <w:r>
        <w:rPr>
          <w:rFonts w:hint="eastAsia"/>
          <w:lang w:eastAsia="zh-CN"/>
        </w:rPr>
        <w:t>（</w:t>
      </w:r>
      <w:r>
        <w:rPr>
          <w:rFonts w:hint="eastAsia"/>
          <w:lang w:val="en-US" w:eastAsia="zh-CN"/>
        </w:rPr>
        <w:t>不涉及）</w:t>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default" w:ascii="宋体" w:hAnsi="宋体" w:eastAsiaTheme="minorEastAsia"/>
          <w:color w:val="000000"/>
          <w:sz w:val="21"/>
          <w:szCs w:val="22"/>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r>
        <w:rPr>
          <w:rFonts w:hint="eastAsia" w:ascii="宋体" w:hAnsi="宋体" w:cstheme="minorBidi"/>
          <w:b w:val="0"/>
          <w:bCs w:val="0"/>
          <w:color w:val="000000"/>
          <w:sz w:val="21"/>
          <w:szCs w:val="22"/>
          <w:highlight w:val="none"/>
          <w:lang w:eastAsia="zh-CN"/>
        </w:rPr>
        <w:t>（</w:t>
      </w:r>
      <w:r>
        <w:rPr>
          <w:rFonts w:hint="eastAsia" w:ascii="宋体" w:hAnsi="宋体" w:cstheme="minorBidi"/>
          <w:b w:val="0"/>
          <w:bCs w:val="0"/>
          <w:color w:val="000000"/>
          <w:sz w:val="21"/>
          <w:szCs w:val="22"/>
          <w:highlight w:val="none"/>
          <w:lang w:val="en-US" w:eastAsia="zh-CN"/>
        </w:rPr>
        <w:t>不涉及）</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4"/>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rPr>
          <w:rFonts w:hint="eastAsia"/>
          <w:lang w:val="en-US" w:eastAsia="zh-CN"/>
        </w:rPr>
      </w:pPr>
    </w:p>
    <w:p>
      <w:pPr>
        <w:pStyle w:val="34"/>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8"/>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6"/>
        <w:rPr>
          <w:rFonts w:ascii="微软雅黑" w:hAnsi="微软雅黑" w:eastAsia="微软雅黑"/>
          <w:b/>
          <w:spacing w:val="2"/>
          <w:sz w:val="32"/>
          <w:szCs w:val="32"/>
        </w:rPr>
      </w:pPr>
    </w:p>
    <w:p>
      <w:pPr>
        <w:pStyle w:val="6"/>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49"/>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49"/>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8"/>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9"/>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9"/>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8"/>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5"/>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5"/>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6"/>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6"/>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7"/>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50"/>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50"/>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0"/>
        <w:adjustRightInd/>
        <w:jc w:val="center"/>
        <w:rPr>
          <w:rFonts w:hAnsi="宋体"/>
          <w:b/>
          <w:sz w:val="21"/>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8"/>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35"/>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35"/>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35"/>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海上平台通讯物资采购</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8"/>
        <w:tblW w:w="9861"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71"/>
        <w:gridCol w:w="2143"/>
        <w:gridCol w:w="482"/>
        <w:gridCol w:w="547"/>
        <w:gridCol w:w="503"/>
        <w:gridCol w:w="1179"/>
        <w:gridCol w:w="621"/>
        <w:gridCol w:w="1222"/>
        <w:gridCol w:w="124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2"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序号</w:t>
            </w:r>
          </w:p>
        </w:tc>
        <w:tc>
          <w:tcPr>
            <w:tcW w:w="771"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货物</w:t>
            </w:r>
          </w:p>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名称</w:t>
            </w:r>
          </w:p>
        </w:tc>
        <w:tc>
          <w:tcPr>
            <w:tcW w:w="2143"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技术</w:t>
            </w:r>
            <w:r>
              <w:rPr>
                <w:rFonts w:asciiTheme="minorEastAsia" w:hAnsiTheme="minorEastAsia" w:eastAsiaTheme="minorEastAsia"/>
                <w:color w:val="000000" w:themeColor="text1"/>
                <w:sz w:val="21"/>
                <w:szCs w:val="21"/>
                <w:highlight w:val="none"/>
                <w14:textFill>
                  <w14:solidFill>
                    <w14:schemeClr w14:val="tx1"/>
                  </w14:solidFill>
                </w14:textFill>
              </w:rPr>
              <w:t>规格</w:t>
            </w:r>
          </w:p>
        </w:tc>
        <w:tc>
          <w:tcPr>
            <w:tcW w:w="482"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品牌</w:t>
            </w:r>
          </w:p>
        </w:tc>
        <w:tc>
          <w:tcPr>
            <w:tcW w:w="547"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数量</w:t>
            </w:r>
          </w:p>
        </w:tc>
        <w:tc>
          <w:tcPr>
            <w:tcW w:w="503" w:type="dxa"/>
            <w:shd w:val="clear" w:color="auto" w:fill="auto"/>
            <w:vAlign w:val="center"/>
          </w:tcPr>
          <w:p>
            <w:pPr>
              <w:pStyle w:val="35"/>
              <w:spacing w:line="360" w:lineRule="auto"/>
              <w:ind w:firstLine="0"/>
              <w:jc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单位</w:t>
            </w:r>
          </w:p>
        </w:tc>
        <w:tc>
          <w:tcPr>
            <w:tcW w:w="1179"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不含税单价</w:t>
            </w:r>
          </w:p>
        </w:tc>
        <w:tc>
          <w:tcPr>
            <w:tcW w:w="621"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税率</w:t>
            </w:r>
          </w:p>
        </w:tc>
        <w:tc>
          <w:tcPr>
            <w:tcW w:w="1222" w:type="dxa"/>
            <w:shd w:val="clear" w:color="auto" w:fill="auto"/>
            <w:vAlign w:val="center"/>
          </w:tcPr>
          <w:p>
            <w:pPr>
              <w:pStyle w:val="35"/>
              <w:spacing w:line="360" w:lineRule="auto"/>
              <w:ind w:firstLine="0" w:firstLineChars="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不含税小计</w:t>
            </w:r>
          </w:p>
        </w:tc>
        <w:tc>
          <w:tcPr>
            <w:tcW w:w="1243" w:type="dxa"/>
            <w:shd w:val="clear" w:color="auto" w:fill="auto"/>
            <w:vAlign w:val="center"/>
          </w:tcPr>
          <w:p>
            <w:pPr>
              <w:pStyle w:val="35"/>
              <w:spacing w:line="360" w:lineRule="auto"/>
              <w:ind w:firstLine="0" w:firstLineChars="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小计</w:t>
            </w:r>
          </w:p>
        </w:tc>
        <w:tc>
          <w:tcPr>
            <w:tcW w:w="668" w:type="dxa"/>
            <w:shd w:val="clear" w:color="auto" w:fill="auto"/>
            <w:vAlign w:val="center"/>
          </w:tcPr>
          <w:p>
            <w:pPr>
              <w:pStyle w:val="35"/>
              <w:spacing w:line="360" w:lineRule="auto"/>
              <w:ind w:firstLine="0"/>
              <w:jc w:val="cente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1</w:t>
            </w:r>
          </w:p>
        </w:tc>
        <w:tc>
          <w:tcPr>
            <w:tcW w:w="771" w:type="dxa"/>
            <w:shd w:val="clear" w:color="auto" w:fill="auto"/>
            <w:vAlign w:val="center"/>
          </w:tcPr>
          <w:p>
            <w:pPr>
              <w:widowControl/>
              <w:jc w:val="center"/>
              <w:textAlignment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Arial" w:hAnsi="Arial" w:eastAsia="宋体" w:cs="Arial"/>
                <w:color w:val="333333"/>
                <w:sz w:val="21"/>
                <w:szCs w:val="21"/>
                <w:shd w:val="clear" w:color="auto" w:fill="FFFFFF"/>
                <w:lang w:eastAsia="zh-CN"/>
              </w:rPr>
              <w:t>甚高频船用对讲主机</w:t>
            </w:r>
          </w:p>
        </w:tc>
        <w:tc>
          <w:tcPr>
            <w:tcW w:w="2143" w:type="dxa"/>
            <w:shd w:val="clear" w:color="auto" w:fill="auto"/>
            <w:vAlign w:val="center"/>
          </w:tcPr>
          <w:p>
            <w:pPr>
              <w:widowControl/>
              <w:jc w:val="center"/>
              <w:textAlignment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电流电压：110、220v交流；4v直流；7A\频率范围：146-162.5MHz，DSC：156.25MHz\调制模式：16K0G3E,16KOG2B\输出功率:25W\接收器灵敏度:＜-199dBm\内置CH70接收机\含CX4天线和电源</w:t>
            </w:r>
          </w:p>
        </w:tc>
        <w:tc>
          <w:tcPr>
            <w:tcW w:w="482" w:type="dxa"/>
            <w:shd w:val="clear" w:color="auto" w:fill="auto"/>
            <w:vAlign w:val="center"/>
          </w:tcPr>
          <w:p>
            <w:pPr>
              <w:pStyle w:val="35"/>
              <w:spacing w:line="36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547" w:type="dxa"/>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503" w:type="dxa"/>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台</w:t>
            </w:r>
          </w:p>
        </w:tc>
        <w:tc>
          <w:tcPr>
            <w:tcW w:w="1179" w:type="dxa"/>
            <w:shd w:val="clear" w:color="auto" w:fill="auto"/>
            <w:vAlign w:val="center"/>
          </w:tcPr>
          <w:p>
            <w:pPr>
              <w:pStyle w:val="35"/>
              <w:spacing w:line="36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621" w:type="dxa"/>
            <w:shd w:val="clear" w:color="auto" w:fill="auto"/>
            <w:vAlign w:val="center"/>
          </w:tcPr>
          <w:p>
            <w:pPr>
              <w:pStyle w:val="35"/>
              <w:spacing w:line="36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13%</w:t>
            </w:r>
          </w:p>
        </w:tc>
        <w:tc>
          <w:tcPr>
            <w:tcW w:w="1222"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p>
        </w:tc>
        <w:tc>
          <w:tcPr>
            <w:tcW w:w="1243"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p>
        </w:tc>
        <w:tc>
          <w:tcPr>
            <w:tcW w:w="668" w:type="dxa"/>
            <w:shd w:val="clear" w:color="auto" w:fill="auto"/>
            <w:vAlign w:val="center"/>
          </w:tcPr>
          <w:p>
            <w:pPr>
              <w:pStyle w:val="35"/>
              <w:spacing w:line="360" w:lineRule="auto"/>
              <w:ind w:firstLine="0"/>
              <w:jc w:val="both"/>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8" w:type="dxa"/>
            <w:gridSpan w:val="8"/>
            <w:shd w:val="clear" w:color="auto" w:fill="auto"/>
          </w:tcPr>
          <w:p>
            <w:pPr>
              <w:pStyle w:val="35"/>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1222" w:type="dxa"/>
            <w:shd w:val="clear" w:color="auto" w:fill="auto"/>
          </w:tcPr>
          <w:p>
            <w:pPr>
              <w:pStyle w:val="35"/>
              <w:spacing w:line="360"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p>
        </w:tc>
        <w:tc>
          <w:tcPr>
            <w:tcW w:w="1243" w:type="dxa"/>
            <w:shd w:val="clear" w:color="auto" w:fill="auto"/>
          </w:tcPr>
          <w:p>
            <w:pPr>
              <w:pStyle w:val="35"/>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668" w:type="dxa"/>
            <w:shd w:val="clear" w:color="auto" w:fill="auto"/>
          </w:tcPr>
          <w:p>
            <w:pPr>
              <w:pStyle w:val="35"/>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1" w:type="dxa"/>
            <w:gridSpan w:val="11"/>
            <w:shd w:val="clear" w:color="auto" w:fill="auto"/>
          </w:tcPr>
          <w:p>
            <w:pPr>
              <w:pStyle w:val="35"/>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olor w:val="000000" w:themeColor="text1"/>
                <w:sz w:val="21"/>
                <w:szCs w:val="21"/>
                <w:highlight w:val="none"/>
                <w14:textFill>
                  <w14:solidFill>
                    <w14:schemeClr w14:val="tx1"/>
                  </w14:solidFill>
                </w14:textFill>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1" w:type="dxa"/>
            <w:gridSpan w:val="11"/>
            <w:shd w:val="clear" w:color="auto" w:fill="auto"/>
          </w:tcPr>
          <w:p>
            <w:pPr>
              <w:pStyle w:val="35"/>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olor w:val="000000" w:themeColor="text1"/>
                <w:sz w:val="21"/>
                <w:szCs w:val="21"/>
                <w:highlight w:val="none"/>
                <w14:textFill>
                  <w14:solidFill>
                    <w14:schemeClr w14:val="tx1"/>
                  </w14:solidFill>
                </w14:textFill>
              </w:rPr>
              <w:t>整</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120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Cs w:val="21"/>
          <w:highlight w:val="none"/>
          <w14:textFill>
            <w14:solidFill>
              <w14:schemeClr w14:val="tx1"/>
            </w14:solidFill>
          </w14:textFill>
        </w:rPr>
        <w:t>1)交付地点：收货地址：浙江省舟山市定海区老塘山一期码头库管楼</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2)交付期：合同签定后，接买方通知后15个工作日内完成交货</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color w:val="000000" w:themeColor="text1"/>
          <w:szCs w:val="21"/>
          <w:highlight w:val="none"/>
          <w:lang w:eastAsia="zh-CN"/>
          <w14:textFill>
            <w14:solidFill>
              <w14:schemeClr w14:val="tx1"/>
            </w14:solidFill>
          </w14:textFill>
        </w:rPr>
        <w:t>1</w:t>
      </w:r>
      <w:r>
        <w:rPr>
          <w:rFonts w:hint="eastAsia" w:asciiTheme="minorEastAsia" w:hAnsiTheme="minorEastAsia"/>
          <w:color w:val="000000" w:themeColor="text1"/>
          <w:szCs w:val="21"/>
          <w:highlight w:val="none"/>
          <w14:textFill>
            <w14:solidFill>
              <w14:schemeClr w14:val="tx1"/>
            </w14:solidFill>
          </w14:textFill>
        </w:rPr>
        <w:t>)银行电汇；</w:t>
      </w:r>
      <w:r>
        <w:rPr>
          <w:rFonts w:hint="eastAsia" w:asciiTheme="minorEastAsia" w:hAnsiTheme="minorEastAsia"/>
          <w:color w:val="000000" w:themeColor="text1"/>
          <w:szCs w:val="21"/>
          <w:highlight w:val="none"/>
          <w:lang w:eastAsia="zh-CN"/>
          <w14:textFill>
            <w14:solidFill>
              <w14:schemeClr w14:val="tx1"/>
            </w14:solidFill>
          </w14:textFill>
        </w:rPr>
        <w:t>2</w:t>
      </w:r>
      <w:r>
        <w:rPr>
          <w:rFonts w:hint="eastAsia" w:asciiTheme="minorEastAsia" w:hAnsiTheme="minorEastAsia"/>
          <w:color w:val="000000" w:themeColor="text1"/>
          <w:szCs w:val="21"/>
          <w:highlight w:val="none"/>
          <w14:textFill>
            <w14:solidFill>
              <w14:schemeClr w14:val="tx1"/>
            </w14:solidFill>
          </w14:textFill>
        </w:rPr>
        <w:t>)付款条件：1）货到验收合格后并提供相关支持文件后，接买方通知开具全额13%增值税专用发票，收到发票后45天内支付合同总额70%；</w:t>
      </w:r>
    </w:p>
    <w:p>
      <w:pPr>
        <w:snapToGrid w:val="0"/>
        <w:spacing w:line="276" w:lineRule="auto"/>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2）安装调试验收合格后并提供相关支持文件后，45天内支付合同总额25%；</w:t>
      </w:r>
    </w:p>
    <w:p>
      <w:pPr>
        <w:snapToGrid w:val="0"/>
        <w:spacing w:line="276" w:lineRule="auto"/>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3）5%作为质保，于质保期结束后，接卖方付款申请并确认无质量问题后，45天内支付。</w:t>
      </w:r>
    </w:p>
    <w:p>
      <w:pPr>
        <w:snapToGrid w:val="0"/>
        <w:spacing w:line="276" w:lineRule="auto"/>
        <w:rPr>
          <w:rFonts w:hint="default"/>
          <w:lang w:val="en-US" w:eastAsia="zh-CN"/>
        </w:rPr>
      </w:pPr>
      <w:r>
        <w:rPr>
          <w:rFonts w:hint="eastAsia"/>
          <w:lang w:val="en-US" w:eastAsia="zh-CN"/>
        </w:rPr>
        <w:t>3</w:t>
      </w:r>
      <w:r>
        <w:rPr>
          <w:rFonts w:hint="eastAsia"/>
        </w:rPr>
        <w:t>)质保期：质保期为12个月，于安装调试合格之日起开始计算。</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运输费、</w:t>
      </w:r>
      <w:r>
        <w:rPr>
          <w:rFonts w:hint="eastAsia" w:asciiTheme="minorEastAsia" w:hAnsiTheme="minorEastAsia" w:eastAsiaTheme="minorEastAsia"/>
          <w:color w:val="000000" w:themeColor="text1"/>
          <w:sz w:val="21"/>
          <w:szCs w:val="21"/>
          <w:highlight w:val="none"/>
          <w14:textFill>
            <w14:solidFill>
              <w14:schemeClr w14:val="tx1"/>
            </w14:solidFill>
          </w14:textFill>
        </w:rPr>
        <w:t>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3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35"/>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Pr>
        <w:pStyle w:val="6"/>
        <w:ind w:firstLine="0" w:firstLineChars="0"/>
        <w:rPr>
          <w:lang w:val="en-US" w:eastAsia="zh-CN"/>
        </w:rPr>
      </w:pP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24A0E"/>
    <w:multiLevelType w:val="singleLevel"/>
    <w:tmpl w:val="18324A0E"/>
    <w:lvl w:ilvl="0" w:tentative="0">
      <w:start w:val="1"/>
      <w:numFmt w:val="decimal"/>
      <w:suff w:val="nothing"/>
      <w:lvlText w:val="%1、"/>
      <w:lvlJc w:val="left"/>
    </w:lvl>
  </w:abstractNum>
  <w:abstractNum w:abstractNumId="1">
    <w:nsid w:val="1DA15D88"/>
    <w:multiLevelType w:val="singleLevel"/>
    <w:tmpl w:val="1DA15D88"/>
    <w:lvl w:ilvl="0" w:tentative="0">
      <w:start w:val="1"/>
      <w:numFmt w:val="decimal"/>
      <w:suff w:val="nothing"/>
      <w:lvlText w:val="%1．"/>
      <w:lvlJc w:val="left"/>
      <w:pPr>
        <w:ind w:left="0" w:firstLine="400"/>
      </w:pPr>
      <w:rPr>
        <w:rFonts w:hint="default"/>
      </w:rPr>
    </w:lvl>
  </w:abstractNum>
  <w:abstractNum w:abstractNumId="2">
    <w:nsid w:val="40B6C9A8"/>
    <w:multiLevelType w:val="singleLevel"/>
    <w:tmpl w:val="40B6C9A8"/>
    <w:lvl w:ilvl="0" w:tentative="0">
      <w:start w:val="1"/>
      <w:numFmt w:val="decimal"/>
      <w:suff w:val="nothing"/>
      <w:lvlText w:val="%1、"/>
      <w:lvlJc w:val="left"/>
    </w:lvl>
  </w:abstractNum>
  <w:abstractNum w:abstractNumId="3">
    <w:nsid w:val="61694D6C"/>
    <w:multiLevelType w:val="singleLevel"/>
    <w:tmpl w:val="61694D6C"/>
    <w:lvl w:ilvl="0" w:tentative="0">
      <w:start w:val="1"/>
      <w:numFmt w:val="decimal"/>
      <w:suff w:val="nothing"/>
      <w:lvlText w:val="%1、"/>
      <w:lvlJc w:val="left"/>
    </w:lvl>
  </w:abstractNum>
  <w:abstractNum w:abstractNumId="4">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A27D01"/>
    <w:multiLevelType w:val="singleLevel"/>
    <w:tmpl w:val="6AA27D01"/>
    <w:lvl w:ilvl="0" w:tentative="0">
      <w:start w:val="1"/>
      <w:numFmt w:val="decimal"/>
      <w:suff w:val="nothing"/>
      <w:lvlText w:val="%1．"/>
      <w:lvlJc w:val="left"/>
      <w:pPr>
        <w:ind w:left="0" w:firstLine="400"/>
      </w:pPr>
      <w:rPr>
        <w:rFonts w:hint="default"/>
      </w:rPr>
    </w:lvl>
  </w:abstractNum>
  <w:abstractNum w:abstractNumId="6">
    <w:nsid w:val="77B577D0"/>
    <w:multiLevelType w:val="singleLevel"/>
    <w:tmpl w:val="77B577D0"/>
    <w:lvl w:ilvl="0" w:tentative="0">
      <w:start w:val="2"/>
      <w:numFmt w:val="decimal"/>
      <w:suff w:val="nothing"/>
      <w:lvlText w:val="%1）"/>
      <w:lvlJc w:val="left"/>
    </w:lvl>
  </w:abstractNum>
  <w:abstractNum w:abstractNumId="7">
    <w:nsid w:val="7A4E7FCC"/>
    <w:multiLevelType w:val="singleLevel"/>
    <w:tmpl w:val="7A4E7FCC"/>
    <w:lvl w:ilvl="0" w:tentative="0">
      <w:start w:val="3"/>
      <w:numFmt w:val="chineseCounting"/>
      <w:suff w:val="nothing"/>
      <w:lvlText w:val="%1、"/>
      <w:lvlJc w:val="left"/>
      <w:rPr>
        <w:rFonts w:hint="eastAsia"/>
      </w:rPr>
    </w:lvl>
  </w:abstractNum>
  <w:num w:numId="1">
    <w:abstractNumId w:val="7"/>
  </w:num>
  <w:num w:numId="2">
    <w:abstractNumId w:val="6"/>
  </w:num>
  <w:num w:numId="3">
    <w:abstractNumId w:val="5"/>
  </w:num>
  <w:num w:numId="4">
    <w:abstractNumId w:val="1"/>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7967AC"/>
    <w:rsid w:val="01B97ACA"/>
    <w:rsid w:val="01BB351E"/>
    <w:rsid w:val="02293695"/>
    <w:rsid w:val="02564BBD"/>
    <w:rsid w:val="027E3B30"/>
    <w:rsid w:val="02987ACD"/>
    <w:rsid w:val="031B4CE9"/>
    <w:rsid w:val="032F103F"/>
    <w:rsid w:val="034D72B2"/>
    <w:rsid w:val="036B136E"/>
    <w:rsid w:val="03A64228"/>
    <w:rsid w:val="03C549C8"/>
    <w:rsid w:val="040C6E91"/>
    <w:rsid w:val="041B1B76"/>
    <w:rsid w:val="0442138C"/>
    <w:rsid w:val="04DB0285"/>
    <w:rsid w:val="04EE495B"/>
    <w:rsid w:val="05800AA3"/>
    <w:rsid w:val="059B46A8"/>
    <w:rsid w:val="064D75C2"/>
    <w:rsid w:val="06A00E6B"/>
    <w:rsid w:val="06A478F6"/>
    <w:rsid w:val="06C41C49"/>
    <w:rsid w:val="073A2498"/>
    <w:rsid w:val="07794418"/>
    <w:rsid w:val="087F37FD"/>
    <w:rsid w:val="08A40D88"/>
    <w:rsid w:val="08D65666"/>
    <w:rsid w:val="095A50FC"/>
    <w:rsid w:val="098E03C7"/>
    <w:rsid w:val="09A56D79"/>
    <w:rsid w:val="09B7349E"/>
    <w:rsid w:val="09F2269B"/>
    <w:rsid w:val="0A6F0775"/>
    <w:rsid w:val="0A9671D9"/>
    <w:rsid w:val="0AEB188B"/>
    <w:rsid w:val="0B29724A"/>
    <w:rsid w:val="0B4266BB"/>
    <w:rsid w:val="0B531E35"/>
    <w:rsid w:val="0BAC01B4"/>
    <w:rsid w:val="0BFD0F44"/>
    <w:rsid w:val="0C3A03CD"/>
    <w:rsid w:val="0C434FF4"/>
    <w:rsid w:val="0CAB2C38"/>
    <w:rsid w:val="0CBD2ABF"/>
    <w:rsid w:val="0CDD0D9D"/>
    <w:rsid w:val="0CEE32B2"/>
    <w:rsid w:val="0D007BE0"/>
    <w:rsid w:val="0D026C09"/>
    <w:rsid w:val="0D2F3ECE"/>
    <w:rsid w:val="0D36577E"/>
    <w:rsid w:val="0DF513F2"/>
    <w:rsid w:val="0EA20611"/>
    <w:rsid w:val="0EA44750"/>
    <w:rsid w:val="0EB219BC"/>
    <w:rsid w:val="0F2D3164"/>
    <w:rsid w:val="0FAA4E26"/>
    <w:rsid w:val="0FD329CD"/>
    <w:rsid w:val="0FE442C8"/>
    <w:rsid w:val="0FF05B46"/>
    <w:rsid w:val="104E637E"/>
    <w:rsid w:val="10C5605A"/>
    <w:rsid w:val="10DC2046"/>
    <w:rsid w:val="116358B9"/>
    <w:rsid w:val="11A3156D"/>
    <w:rsid w:val="11C80560"/>
    <w:rsid w:val="12404210"/>
    <w:rsid w:val="12CD4474"/>
    <w:rsid w:val="12D573EB"/>
    <w:rsid w:val="12DE0F4D"/>
    <w:rsid w:val="12F13DE0"/>
    <w:rsid w:val="13277FB0"/>
    <w:rsid w:val="136F1811"/>
    <w:rsid w:val="13991974"/>
    <w:rsid w:val="13A574D6"/>
    <w:rsid w:val="13AB3552"/>
    <w:rsid w:val="13EB3669"/>
    <w:rsid w:val="148A193E"/>
    <w:rsid w:val="14962BF2"/>
    <w:rsid w:val="15112F23"/>
    <w:rsid w:val="15560646"/>
    <w:rsid w:val="15F97AE2"/>
    <w:rsid w:val="160D2A82"/>
    <w:rsid w:val="1658087C"/>
    <w:rsid w:val="170B0129"/>
    <w:rsid w:val="17270097"/>
    <w:rsid w:val="176B016C"/>
    <w:rsid w:val="17751CAB"/>
    <w:rsid w:val="17CA6570"/>
    <w:rsid w:val="1839700F"/>
    <w:rsid w:val="187822B8"/>
    <w:rsid w:val="1940737B"/>
    <w:rsid w:val="19820A7A"/>
    <w:rsid w:val="19BE1AAB"/>
    <w:rsid w:val="1A182DF0"/>
    <w:rsid w:val="1AF347C3"/>
    <w:rsid w:val="1B5929C7"/>
    <w:rsid w:val="1BF931D7"/>
    <w:rsid w:val="1C4B380E"/>
    <w:rsid w:val="1C4F5EF0"/>
    <w:rsid w:val="1CC02D2D"/>
    <w:rsid w:val="1D2F5DEB"/>
    <w:rsid w:val="1D506145"/>
    <w:rsid w:val="1DD763E7"/>
    <w:rsid w:val="1DFB16B0"/>
    <w:rsid w:val="1E7A4FD0"/>
    <w:rsid w:val="1E8349E3"/>
    <w:rsid w:val="1E846C1E"/>
    <w:rsid w:val="1ED61050"/>
    <w:rsid w:val="1F0C773E"/>
    <w:rsid w:val="1F1B2614"/>
    <w:rsid w:val="1F510B7E"/>
    <w:rsid w:val="1F6751CA"/>
    <w:rsid w:val="1F731332"/>
    <w:rsid w:val="1FE03C26"/>
    <w:rsid w:val="206C7711"/>
    <w:rsid w:val="20B34A6E"/>
    <w:rsid w:val="20DA7F0E"/>
    <w:rsid w:val="210015CD"/>
    <w:rsid w:val="21374CB3"/>
    <w:rsid w:val="21995F3C"/>
    <w:rsid w:val="21B454D9"/>
    <w:rsid w:val="2258523D"/>
    <w:rsid w:val="227C146B"/>
    <w:rsid w:val="22B7139F"/>
    <w:rsid w:val="23355859"/>
    <w:rsid w:val="2363459D"/>
    <w:rsid w:val="23792D2F"/>
    <w:rsid w:val="23C7232D"/>
    <w:rsid w:val="240B77AE"/>
    <w:rsid w:val="2416236F"/>
    <w:rsid w:val="24587C1A"/>
    <w:rsid w:val="24780B22"/>
    <w:rsid w:val="24E77DFA"/>
    <w:rsid w:val="2535609A"/>
    <w:rsid w:val="255911D5"/>
    <w:rsid w:val="25A75231"/>
    <w:rsid w:val="25F31B81"/>
    <w:rsid w:val="27582E99"/>
    <w:rsid w:val="2768684B"/>
    <w:rsid w:val="27763432"/>
    <w:rsid w:val="277E732D"/>
    <w:rsid w:val="27A40D9A"/>
    <w:rsid w:val="27BF12D5"/>
    <w:rsid w:val="27DD40F7"/>
    <w:rsid w:val="28912EC0"/>
    <w:rsid w:val="289E4653"/>
    <w:rsid w:val="289F0B48"/>
    <w:rsid w:val="28CE7583"/>
    <w:rsid w:val="290D4A28"/>
    <w:rsid w:val="29452A44"/>
    <w:rsid w:val="295E1CE3"/>
    <w:rsid w:val="2984346A"/>
    <w:rsid w:val="299B3D6C"/>
    <w:rsid w:val="299B568F"/>
    <w:rsid w:val="29DB7569"/>
    <w:rsid w:val="2A332146"/>
    <w:rsid w:val="2A9F5694"/>
    <w:rsid w:val="2B4625A1"/>
    <w:rsid w:val="2BBF67B8"/>
    <w:rsid w:val="2C192C99"/>
    <w:rsid w:val="2C1F0E07"/>
    <w:rsid w:val="2CD163E1"/>
    <w:rsid w:val="2CD62941"/>
    <w:rsid w:val="2CF96358"/>
    <w:rsid w:val="2D311594"/>
    <w:rsid w:val="2D762283"/>
    <w:rsid w:val="2D7E7C14"/>
    <w:rsid w:val="2E136AA5"/>
    <w:rsid w:val="2E1B7152"/>
    <w:rsid w:val="2E494392"/>
    <w:rsid w:val="2E553AFF"/>
    <w:rsid w:val="2EF2591B"/>
    <w:rsid w:val="2F80418D"/>
    <w:rsid w:val="2FEC00E5"/>
    <w:rsid w:val="3029773E"/>
    <w:rsid w:val="30413836"/>
    <w:rsid w:val="3062313F"/>
    <w:rsid w:val="309A1A6F"/>
    <w:rsid w:val="30E402A4"/>
    <w:rsid w:val="30F90776"/>
    <w:rsid w:val="31293F09"/>
    <w:rsid w:val="314822FB"/>
    <w:rsid w:val="318007EE"/>
    <w:rsid w:val="31CA5B39"/>
    <w:rsid w:val="31E43428"/>
    <w:rsid w:val="323F5500"/>
    <w:rsid w:val="327D3291"/>
    <w:rsid w:val="32B3677D"/>
    <w:rsid w:val="32DF3A9C"/>
    <w:rsid w:val="3375117B"/>
    <w:rsid w:val="33F40DB5"/>
    <w:rsid w:val="34111CBD"/>
    <w:rsid w:val="348D0637"/>
    <w:rsid w:val="353067F3"/>
    <w:rsid w:val="35C7006A"/>
    <w:rsid w:val="363A6264"/>
    <w:rsid w:val="368A3B58"/>
    <w:rsid w:val="36A838BA"/>
    <w:rsid w:val="36BF0C66"/>
    <w:rsid w:val="36C831AB"/>
    <w:rsid w:val="36E8546D"/>
    <w:rsid w:val="37405D48"/>
    <w:rsid w:val="378F791B"/>
    <w:rsid w:val="379D6FCC"/>
    <w:rsid w:val="37F66AB8"/>
    <w:rsid w:val="380F27E4"/>
    <w:rsid w:val="381C4EB2"/>
    <w:rsid w:val="382973F6"/>
    <w:rsid w:val="38453E1F"/>
    <w:rsid w:val="38807B07"/>
    <w:rsid w:val="38D30218"/>
    <w:rsid w:val="38D3488A"/>
    <w:rsid w:val="39504729"/>
    <w:rsid w:val="39761180"/>
    <w:rsid w:val="39936654"/>
    <w:rsid w:val="39BF1693"/>
    <w:rsid w:val="3A1F750A"/>
    <w:rsid w:val="3A4F4169"/>
    <w:rsid w:val="3A5C7E1C"/>
    <w:rsid w:val="3AAE035C"/>
    <w:rsid w:val="3AB45DE6"/>
    <w:rsid w:val="3AE40F3E"/>
    <w:rsid w:val="3B0E2553"/>
    <w:rsid w:val="3B394512"/>
    <w:rsid w:val="3B3E70E9"/>
    <w:rsid w:val="3B720CEE"/>
    <w:rsid w:val="3B9D199D"/>
    <w:rsid w:val="3BBC6ED2"/>
    <w:rsid w:val="3BFA1DF4"/>
    <w:rsid w:val="3C6B58D1"/>
    <w:rsid w:val="3C83314E"/>
    <w:rsid w:val="3C905633"/>
    <w:rsid w:val="3C9C1A33"/>
    <w:rsid w:val="3CB74AC6"/>
    <w:rsid w:val="3CBB24EF"/>
    <w:rsid w:val="3CC52331"/>
    <w:rsid w:val="3CE26DBB"/>
    <w:rsid w:val="3D2D5518"/>
    <w:rsid w:val="3D891903"/>
    <w:rsid w:val="3E4037CC"/>
    <w:rsid w:val="3E473668"/>
    <w:rsid w:val="3E615322"/>
    <w:rsid w:val="3E772188"/>
    <w:rsid w:val="3EE111F7"/>
    <w:rsid w:val="3EF30CA8"/>
    <w:rsid w:val="3F1E0693"/>
    <w:rsid w:val="3F476FDD"/>
    <w:rsid w:val="3F9A4869"/>
    <w:rsid w:val="3FBC4A1D"/>
    <w:rsid w:val="3FDD5D2F"/>
    <w:rsid w:val="408E3CFE"/>
    <w:rsid w:val="40A971B0"/>
    <w:rsid w:val="415972F5"/>
    <w:rsid w:val="41755AFB"/>
    <w:rsid w:val="417E3DFD"/>
    <w:rsid w:val="41A01539"/>
    <w:rsid w:val="41B11DA3"/>
    <w:rsid w:val="4279224C"/>
    <w:rsid w:val="42972BCC"/>
    <w:rsid w:val="42C41E24"/>
    <w:rsid w:val="431C1B42"/>
    <w:rsid w:val="43533C20"/>
    <w:rsid w:val="43542786"/>
    <w:rsid w:val="43D2652D"/>
    <w:rsid w:val="44373FFB"/>
    <w:rsid w:val="445A34E7"/>
    <w:rsid w:val="445C7035"/>
    <w:rsid w:val="44A00541"/>
    <w:rsid w:val="44AD4835"/>
    <w:rsid w:val="45042D55"/>
    <w:rsid w:val="452178C6"/>
    <w:rsid w:val="452F4F21"/>
    <w:rsid w:val="46052955"/>
    <w:rsid w:val="466E6504"/>
    <w:rsid w:val="47721B46"/>
    <w:rsid w:val="484D79E5"/>
    <w:rsid w:val="485E2C37"/>
    <w:rsid w:val="48B90C6B"/>
    <w:rsid w:val="4916306B"/>
    <w:rsid w:val="498B21B5"/>
    <w:rsid w:val="49B63741"/>
    <w:rsid w:val="49C02B87"/>
    <w:rsid w:val="4A3B3017"/>
    <w:rsid w:val="4AB61CA3"/>
    <w:rsid w:val="4AC3236D"/>
    <w:rsid w:val="4B0958B8"/>
    <w:rsid w:val="4BA45DBB"/>
    <w:rsid w:val="4BAE4AF4"/>
    <w:rsid w:val="4C5770B6"/>
    <w:rsid w:val="4C5A1839"/>
    <w:rsid w:val="4C7572CD"/>
    <w:rsid w:val="4C9F74B1"/>
    <w:rsid w:val="4CED79F8"/>
    <w:rsid w:val="4DD059E1"/>
    <w:rsid w:val="4DED0341"/>
    <w:rsid w:val="4E0E49B4"/>
    <w:rsid w:val="4E1A19F6"/>
    <w:rsid w:val="4E294FCA"/>
    <w:rsid w:val="4E456F05"/>
    <w:rsid w:val="4E603CD2"/>
    <w:rsid w:val="4ECC5CC5"/>
    <w:rsid w:val="4F01352B"/>
    <w:rsid w:val="4F2547B0"/>
    <w:rsid w:val="4F385E88"/>
    <w:rsid w:val="4F9A75BC"/>
    <w:rsid w:val="500C7739"/>
    <w:rsid w:val="50333805"/>
    <w:rsid w:val="50406C68"/>
    <w:rsid w:val="50656FCA"/>
    <w:rsid w:val="512129F0"/>
    <w:rsid w:val="512E4FFA"/>
    <w:rsid w:val="51835AAE"/>
    <w:rsid w:val="51971635"/>
    <w:rsid w:val="51E444D7"/>
    <w:rsid w:val="52272A53"/>
    <w:rsid w:val="522F06DC"/>
    <w:rsid w:val="52634E37"/>
    <w:rsid w:val="52B171FA"/>
    <w:rsid w:val="53633078"/>
    <w:rsid w:val="540E1365"/>
    <w:rsid w:val="54956561"/>
    <w:rsid w:val="54AA3DF7"/>
    <w:rsid w:val="54B26C85"/>
    <w:rsid w:val="54B61E08"/>
    <w:rsid w:val="54E84524"/>
    <w:rsid w:val="54F55D2D"/>
    <w:rsid w:val="54FD7A90"/>
    <w:rsid w:val="553A7C2D"/>
    <w:rsid w:val="553C0438"/>
    <w:rsid w:val="556772A4"/>
    <w:rsid w:val="55A84425"/>
    <w:rsid w:val="561D378D"/>
    <w:rsid w:val="56A30136"/>
    <w:rsid w:val="56B77204"/>
    <w:rsid w:val="570D617E"/>
    <w:rsid w:val="577838E9"/>
    <w:rsid w:val="577D7CF3"/>
    <w:rsid w:val="57A84D6C"/>
    <w:rsid w:val="57E47675"/>
    <w:rsid w:val="57EE4CDC"/>
    <w:rsid w:val="57F618E2"/>
    <w:rsid w:val="583D707B"/>
    <w:rsid w:val="590B020F"/>
    <w:rsid w:val="5938747F"/>
    <w:rsid w:val="59766ED3"/>
    <w:rsid w:val="59B966C3"/>
    <w:rsid w:val="5A3316DD"/>
    <w:rsid w:val="5A3819DA"/>
    <w:rsid w:val="5A5C5ECC"/>
    <w:rsid w:val="5A864044"/>
    <w:rsid w:val="5A873F8B"/>
    <w:rsid w:val="5ABC16C3"/>
    <w:rsid w:val="5B5A6CFE"/>
    <w:rsid w:val="5B896B40"/>
    <w:rsid w:val="5BD55FCE"/>
    <w:rsid w:val="5BD85C58"/>
    <w:rsid w:val="5C227DB6"/>
    <w:rsid w:val="5C65403D"/>
    <w:rsid w:val="5D40278C"/>
    <w:rsid w:val="5D46011A"/>
    <w:rsid w:val="5D65502F"/>
    <w:rsid w:val="5DD06C57"/>
    <w:rsid w:val="5DFB6CB9"/>
    <w:rsid w:val="5E9E2A34"/>
    <w:rsid w:val="5F14140D"/>
    <w:rsid w:val="5F8A64CA"/>
    <w:rsid w:val="5FDD0E56"/>
    <w:rsid w:val="60086C66"/>
    <w:rsid w:val="60595BE0"/>
    <w:rsid w:val="60F40D61"/>
    <w:rsid w:val="61065FFD"/>
    <w:rsid w:val="611D63FB"/>
    <w:rsid w:val="6124336C"/>
    <w:rsid w:val="6152493E"/>
    <w:rsid w:val="617270AD"/>
    <w:rsid w:val="619C5622"/>
    <w:rsid w:val="61E821B0"/>
    <w:rsid w:val="62115573"/>
    <w:rsid w:val="625A33E9"/>
    <w:rsid w:val="62A80031"/>
    <w:rsid w:val="62CD0FA5"/>
    <w:rsid w:val="62F820BE"/>
    <w:rsid w:val="63AD5092"/>
    <w:rsid w:val="644D2F22"/>
    <w:rsid w:val="648D1ADE"/>
    <w:rsid w:val="64C25323"/>
    <w:rsid w:val="652A05D1"/>
    <w:rsid w:val="65494330"/>
    <w:rsid w:val="65A74DD4"/>
    <w:rsid w:val="65C57E73"/>
    <w:rsid w:val="65D51AA7"/>
    <w:rsid w:val="65F81FA5"/>
    <w:rsid w:val="660B1854"/>
    <w:rsid w:val="661B3639"/>
    <w:rsid w:val="66286A3B"/>
    <w:rsid w:val="665530AA"/>
    <w:rsid w:val="667306C5"/>
    <w:rsid w:val="667818A0"/>
    <w:rsid w:val="66C94D5E"/>
    <w:rsid w:val="67DC55F6"/>
    <w:rsid w:val="681C674F"/>
    <w:rsid w:val="68836DC3"/>
    <w:rsid w:val="6887648C"/>
    <w:rsid w:val="68EA31C9"/>
    <w:rsid w:val="68FE71CA"/>
    <w:rsid w:val="68FF5939"/>
    <w:rsid w:val="691B4A91"/>
    <w:rsid w:val="691F3135"/>
    <w:rsid w:val="69297877"/>
    <w:rsid w:val="692B5915"/>
    <w:rsid w:val="692C6424"/>
    <w:rsid w:val="69352903"/>
    <w:rsid w:val="6A0B4089"/>
    <w:rsid w:val="6AD356BF"/>
    <w:rsid w:val="6B33205C"/>
    <w:rsid w:val="6B9E7527"/>
    <w:rsid w:val="6BEB1B2A"/>
    <w:rsid w:val="6C3D3FC5"/>
    <w:rsid w:val="6CE6394F"/>
    <w:rsid w:val="6D783D26"/>
    <w:rsid w:val="6DEF510F"/>
    <w:rsid w:val="6DF01F33"/>
    <w:rsid w:val="6E146C1B"/>
    <w:rsid w:val="6E9523F6"/>
    <w:rsid w:val="6F3254E8"/>
    <w:rsid w:val="6F3F7B2C"/>
    <w:rsid w:val="6F5B4BA2"/>
    <w:rsid w:val="6F615273"/>
    <w:rsid w:val="6FEB37AA"/>
    <w:rsid w:val="70F328F1"/>
    <w:rsid w:val="711F0324"/>
    <w:rsid w:val="715E6563"/>
    <w:rsid w:val="71635BDF"/>
    <w:rsid w:val="71E75210"/>
    <w:rsid w:val="724E2F94"/>
    <w:rsid w:val="725620A9"/>
    <w:rsid w:val="72CE6A57"/>
    <w:rsid w:val="730B78D2"/>
    <w:rsid w:val="735F1183"/>
    <w:rsid w:val="73BA3D76"/>
    <w:rsid w:val="73ED7C13"/>
    <w:rsid w:val="74533ACF"/>
    <w:rsid w:val="745E3FF9"/>
    <w:rsid w:val="747A11FA"/>
    <w:rsid w:val="7593678E"/>
    <w:rsid w:val="76525BE7"/>
    <w:rsid w:val="76AA0DDF"/>
    <w:rsid w:val="76BF62FB"/>
    <w:rsid w:val="76C259ED"/>
    <w:rsid w:val="76D550BD"/>
    <w:rsid w:val="77506C1B"/>
    <w:rsid w:val="78CE2547"/>
    <w:rsid w:val="791C0C4A"/>
    <w:rsid w:val="79FE72AE"/>
    <w:rsid w:val="7A0E4A54"/>
    <w:rsid w:val="7A846AC2"/>
    <w:rsid w:val="7B2909D9"/>
    <w:rsid w:val="7B5876BE"/>
    <w:rsid w:val="7B850B4A"/>
    <w:rsid w:val="7BC47D5E"/>
    <w:rsid w:val="7BFD0B89"/>
    <w:rsid w:val="7C045E06"/>
    <w:rsid w:val="7C1B682B"/>
    <w:rsid w:val="7C7D516C"/>
    <w:rsid w:val="7CBA372B"/>
    <w:rsid w:val="7CBB0FC0"/>
    <w:rsid w:val="7D073BAD"/>
    <w:rsid w:val="7D26110F"/>
    <w:rsid w:val="7D7F0DE3"/>
    <w:rsid w:val="7DBA5E84"/>
    <w:rsid w:val="7DE615F0"/>
    <w:rsid w:val="7E094B88"/>
    <w:rsid w:val="7E815898"/>
    <w:rsid w:val="7F43615B"/>
    <w:rsid w:val="7F4A1012"/>
    <w:rsid w:val="7F744FDF"/>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1"/>
    <w:pPr>
      <w:spacing w:before="14"/>
      <w:ind w:left="494"/>
      <w:outlineLvl w:val="3"/>
    </w:pPr>
    <w:rPr>
      <w:rFonts w:ascii="宋体" w:hAnsi="宋体" w:eastAsia="宋体"/>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7"/>
    <w:unhideWhenUsed/>
    <w:qFormat/>
    <w:uiPriority w:val="99"/>
    <w:pPr>
      <w:tabs>
        <w:tab w:val="center" w:pos="4153"/>
        <w:tab w:val="right" w:pos="8306"/>
      </w:tabs>
      <w:snapToGrid w:val="0"/>
      <w:jc w:val="left"/>
    </w:pPr>
    <w:rPr>
      <w:sz w:val="18"/>
      <w:szCs w:val="18"/>
    </w:rPr>
  </w:style>
  <w:style w:type="paragraph" w:styleId="6">
    <w:name w:val="Normal Indent"/>
    <w:basedOn w:val="1"/>
    <w:next w:val="1"/>
    <w:qFormat/>
    <w:uiPriority w:val="0"/>
    <w:pPr>
      <w:ind w:firstLine="420" w:firstLineChars="200"/>
    </w:pPr>
    <w:rPr>
      <w:rFonts w:ascii="Times New Roman" w:hAnsi="Times New Roman"/>
      <w:szCs w:val="24"/>
    </w:rPr>
  </w:style>
  <w:style w:type="paragraph" w:styleId="7">
    <w:name w:val="annotation text"/>
    <w:basedOn w:val="1"/>
    <w:link w:val="39"/>
    <w:unhideWhenUsed/>
    <w:qFormat/>
    <w:uiPriority w:val="99"/>
    <w:pPr>
      <w:jc w:val="left"/>
    </w:pPr>
  </w:style>
  <w:style w:type="paragraph" w:styleId="8">
    <w:name w:val="Body Text"/>
    <w:basedOn w:val="1"/>
    <w:next w:val="1"/>
    <w:link w:val="42"/>
    <w:qFormat/>
    <w:uiPriority w:val="1"/>
    <w:pPr>
      <w:spacing w:before="36"/>
      <w:ind w:left="780"/>
      <w:jc w:val="left"/>
    </w:pPr>
    <w:rPr>
      <w:rFonts w:ascii="宋体" w:hAnsi="宋体" w:eastAsia="宋体"/>
      <w:kern w:val="0"/>
      <w:szCs w:val="21"/>
      <w:lang w:eastAsia="en-US"/>
    </w:r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eastAsia="等线" w:cs="等线"/>
    </w:rPr>
  </w:style>
  <w:style w:type="paragraph" w:styleId="11">
    <w:name w:val="Date"/>
    <w:basedOn w:val="1"/>
    <w:next w:val="1"/>
    <w:qFormat/>
    <w:uiPriority w:val="0"/>
    <w:rPr>
      <w:rFonts w:ascii="Times New Roman" w:hAnsi="Times New Roman" w:eastAsia="楷体_GB2312" w:cs="Times New Roman"/>
      <w:sz w:val="30"/>
      <w:szCs w:val="20"/>
    </w:rPr>
  </w:style>
  <w:style w:type="paragraph" w:styleId="12">
    <w:name w:val="Balloon Text"/>
    <w:basedOn w:val="1"/>
    <w:link w:val="38"/>
    <w:semiHidden/>
    <w:unhideWhenUsed/>
    <w:qFormat/>
    <w:uiPriority w:val="99"/>
    <w:rPr>
      <w:sz w:val="18"/>
      <w:szCs w:val="18"/>
    </w:rPr>
  </w:style>
  <w:style w:type="paragraph" w:styleId="13">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Autospacing="1" w:afterAutospacing="1"/>
    </w:pPr>
    <w:rPr>
      <w:rFonts w:cs="Times New Roman"/>
      <w:sz w:val="24"/>
      <w:lang w:eastAsia="zh-CN"/>
    </w:rPr>
  </w:style>
  <w:style w:type="paragraph" w:styleId="15">
    <w:name w:val="Title"/>
    <w:basedOn w:val="1"/>
    <w:qFormat/>
    <w:uiPriority w:val="0"/>
    <w:pPr>
      <w:spacing w:before="240" w:after="60"/>
      <w:jc w:val="center"/>
      <w:outlineLvl w:val="0"/>
    </w:pPr>
    <w:rPr>
      <w:rFonts w:ascii="Arial" w:hAnsi="Arial" w:eastAsia="楷体_GB2312"/>
      <w:b/>
      <w:bCs/>
      <w:sz w:val="32"/>
      <w:szCs w:val="32"/>
    </w:rPr>
  </w:style>
  <w:style w:type="paragraph" w:styleId="16">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7">
    <w:name w:val="Body Text First Indent 2"/>
    <w:basedOn w:val="9"/>
    <w:semiHidden/>
    <w:unhideWhenUsed/>
    <w:qFormat/>
    <w:uiPriority w:val="99"/>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TML Definition"/>
    <w:basedOn w:val="20"/>
    <w:semiHidden/>
    <w:unhideWhenUsed/>
    <w:qFormat/>
    <w:uiPriority w:val="99"/>
  </w:style>
  <w:style w:type="character" w:styleId="25">
    <w:name w:val="HTML Typewriter"/>
    <w:basedOn w:val="20"/>
    <w:semiHidden/>
    <w:unhideWhenUsed/>
    <w:qFormat/>
    <w:uiPriority w:val="99"/>
    <w:rPr>
      <w:rFonts w:hint="default" w:ascii="monospace" w:hAnsi="monospace" w:eastAsia="monospace" w:cs="monospace"/>
      <w:sz w:val="20"/>
    </w:rPr>
  </w:style>
  <w:style w:type="character" w:styleId="26">
    <w:name w:val="HTML Acronym"/>
    <w:basedOn w:val="20"/>
    <w:semiHidden/>
    <w:unhideWhenUsed/>
    <w:qFormat/>
    <w:uiPriority w:val="99"/>
  </w:style>
  <w:style w:type="character" w:styleId="27">
    <w:name w:val="HTML Variable"/>
    <w:basedOn w:val="20"/>
    <w:semiHidden/>
    <w:unhideWhenUsed/>
    <w:qFormat/>
    <w:uiPriority w:val="99"/>
  </w:style>
  <w:style w:type="character" w:styleId="28">
    <w:name w:val="Hyperlink"/>
    <w:basedOn w:val="20"/>
    <w:unhideWhenUsed/>
    <w:qFormat/>
    <w:uiPriority w:val="99"/>
    <w:rPr>
      <w:color w:val="0000FF" w:themeColor="hyperlink"/>
      <w:u w:val="single"/>
      <w14:textFill>
        <w14:solidFill>
          <w14:schemeClr w14:val="hlink"/>
        </w14:solidFill>
      </w14:textFill>
    </w:rPr>
  </w:style>
  <w:style w:type="character" w:styleId="29">
    <w:name w:val="HTML Code"/>
    <w:basedOn w:val="20"/>
    <w:semiHidden/>
    <w:unhideWhenUsed/>
    <w:qFormat/>
    <w:uiPriority w:val="99"/>
    <w:rPr>
      <w:rFonts w:hint="default" w:ascii="monospace" w:hAnsi="monospace" w:eastAsia="monospace" w:cs="monospace"/>
      <w:sz w:val="20"/>
    </w:rPr>
  </w:style>
  <w:style w:type="character" w:styleId="30">
    <w:name w:val="annotation reference"/>
    <w:basedOn w:val="20"/>
    <w:semiHidden/>
    <w:unhideWhenUsed/>
    <w:qFormat/>
    <w:uiPriority w:val="99"/>
    <w:rPr>
      <w:sz w:val="21"/>
      <w:szCs w:val="21"/>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paragraph" w:customStyle="1" w:styleId="34">
    <w:name w:val="书目1"/>
    <w:basedOn w:val="1"/>
    <w:next w:val="1"/>
    <w:unhideWhenUsed/>
    <w:qFormat/>
    <w:uiPriority w:val="37"/>
  </w:style>
  <w:style w:type="paragraph" w:styleId="35">
    <w:name w:val="List Paragraph"/>
    <w:basedOn w:val="1"/>
    <w:qFormat/>
    <w:uiPriority w:val="34"/>
    <w:pPr>
      <w:widowControl/>
      <w:ind w:firstLine="420"/>
    </w:pPr>
    <w:rPr>
      <w:rFonts w:ascii="Calibri" w:hAnsi="Calibri" w:eastAsia="宋体" w:cs="Calibri"/>
      <w:kern w:val="0"/>
      <w:szCs w:val="21"/>
    </w:rPr>
  </w:style>
  <w:style w:type="character" w:customStyle="1" w:styleId="36">
    <w:name w:val="页眉 字符"/>
    <w:basedOn w:val="20"/>
    <w:link w:val="13"/>
    <w:qFormat/>
    <w:uiPriority w:val="0"/>
    <w:rPr>
      <w:sz w:val="18"/>
      <w:szCs w:val="18"/>
    </w:rPr>
  </w:style>
  <w:style w:type="character" w:customStyle="1" w:styleId="37">
    <w:name w:val="页脚 字符"/>
    <w:basedOn w:val="20"/>
    <w:link w:val="2"/>
    <w:qFormat/>
    <w:uiPriority w:val="99"/>
    <w:rPr>
      <w:sz w:val="18"/>
      <w:szCs w:val="18"/>
    </w:rPr>
  </w:style>
  <w:style w:type="character" w:customStyle="1" w:styleId="38">
    <w:name w:val="批注框文本 字符"/>
    <w:basedOn w:val="20"/>
    <w:link w:val="12"/>
    <w:semiHidden/>
    <w:qFormat/>
    <w:uiPriority w:val="99"/>
    <w:rPr>
      <w:sz w:val="18"/>
      <w:szCs w:val="18"/>
    </w:rPr>
  </w:style>
  <w:style w:type="character" w:customStyle="1" w:styleId="39">
    <w:name w:val="批注文字 字符"/>
    <w:basedOn w:val="20"/>
    <w:link w:val="7"/>
    <w:qFormat/>
    <w:uiPriority w:val="99"/>
  </w:style>
  <w:style w:type="paragraph" w:customStyle="1" w:styleId="40">
    <w:name w:val="Table Paragraph"/>
    <w:basedOn w:val="1"/>
    <w:qFormat/>
    <w:uiPriority w:val="0"/>
    <w:pPr>
      <w:jc w:val="left"/>
    </w:pPr>
    <w:rPr>
      <w:kern w:val="0"/>
      <w:sz w:val="22"/>
      <w:lang w:eastAsia="en-US"/>
    </w:rPr>
  </w:style>
  <w:style w:type="paragraph" w:customStyle="1" w:styleId="41">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2">
    <w:name w:val="正文文本 字符"/>
    <w:basedOn w:val="20"/>
    <w:link w:val="8"/>
    <w:qFormat/>
    <w:uiPriority w:val="1"/>
    <w:rPr>
      <w:rFonts w:ascii="宋体" w:hAnsi="宋体" w:cstheme="minorBidi"/>
      <w:sz w:val="21"/>
      <w:szCs w:val="21"/>
      <w:lang w:eastAsia="en-US"/>
    </w:rPr>
  </w:style>
  <w:style w:type="character" w:customStyle="1" w:styleId="43">
    <w:name w:val="font41"/>
    <w:basedOn w:val="20"/>
    <w:qFormat/>
    <w:uiPriority w:val="0"/>
    <w:rPr>
      <w:rFonts w:hint="eastAsia" w:ascii="宋体" w:hAnsi="宋体" w:eastAsia="宋体" w:cs="宋体"/>
      <w:color w:val="000000"/>
      <w:sz w:val="21"/>
      <w:szCs w:val="21"/>
      <w:u w:val="none"/>
    </w:rPr>
  </w:style>
  <w:style w:type="character" w:customStyle="1" w:styleId="44">
    <w:name w:val="font31"/>
    <w:basedOn w:val="20"/>
    <w:qFormat/>
    <w:uiPriority w:val="0"/>
    <w:rPr>
      <w:rFonts w:hint="default" w:ascii="Times New Roman" w:hAnsi="Times New Roman" w:cs="Times New Roman"/>
      <w:color w:val="000000"/>
      <w:sz w:val="21"/>
      <w:szCs w:val="21"/>
      <w:u w:val="none"/>
    </w:rPr>
  </w:style>
  <w:style w:type="paragraph" w:customStyle="1" w:styleId="45">
    <w:name w:val="默认段落字体 Para Char"/>
    <w:basedOn w:val="46"/>
    <w:next w:val="1"/>
    <w:qFormat/>
    <w:uiPriority w:val="0"/>
    <w:pPr>
      <w:widowControl w:val="0"/>
      <w:spacing w:before="80" w:after="80" w:line="360" w:lineRule="auto"/>
      <w:jc w:val="both"/>
    </w:pPr>
    <w:rPr>
      <w:rFonts w:ascii="Calibri" w:hAnsi="Calibri" w:cs="Times New Roman"/>
      <w:kern w:val="2"/>
      <w:szCs w:val="20"/>
    </w:rPr>
  </w:style>
  <w:style w:type="paragraph" w:customStyle="1" w:styleId="46">
    <w:name w:val="Normal_0"/>
    <w:next w:val="45"/>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4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Normal_1"/>
    <w:next w:val="45"/>
    <w:qFormat/>
    <w:uiPriority w:val="0"/>
    <w:rPr>
      <w:rFonts w:ascii="Times New Roman" w:hAnsi="Times New Roman" w:eastAsia="Times New Roman" w:cs="Times New Roman"/>
      <w:sz w:val="24"/>
      <w:szCs w:val="24"/>
    </w:rPr>
  </w:style>
  <w:style w:type="paragraph" w:customStyle="1" w:styleId="49">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1">
    <w:name w:val="font01"/>
    <w:basedOn w:val="20"/>
    <w:qFormat/>
    <w:uiPriority w:val="0"/>
    <w:rPr>
      <w:rFonts w:hint="eastAsia" w:ascii="宋体" w:hAnsi="宋体" w:eastAsia="宋体" w:cs="宋体"/>
      <w:color w:val="000000"/>
      <w:sz w:val="20"/>
      <w:szCs w:val="20"/>
      <w:u w:val="none"/>
    </w:rPr>
  </w:style>
  <w:style w:type="character" w:customStyle="1" w:styleId="52">
    <w:name w:val="font51"/>
    <w:basedOn w:val="20"/>
    <w:qFormat/>
    <w:uiPriority w:val="0"/>
    <w:rPr>
      <w:rFonts w:hint="eastAsia" w:ascii="宋体" w:hAnsi="宋体" w:eastAsia="宋体" w:cs="宋体"/>
      <w:color w:val="000000"/>
      <w:sz w:val="22"/>
      <w:szCs w:val="22"/>
      <w:u w:val="none"/>
    </w:rPr>
  </w:style>
  <w:style w:type="character" w:customStyle="1" w:styleId="53">
    <w:name w:val="font21"/>
    <w:basedOn w:val="20"/>
    <w:qFormat/>
    <w:uiPriority w:val="0"/>
    <w:rPr>
      <w:rFonts w:hint="eastAsia" w:ascii="宋体" w:hAnsi="宋体" w:eastAsia="宋体" w:cs="宋体"/>
      <w:color w:val="000000"/>
      <w:sz w:val="22"/>
      <w:szCs w:val="22"/>
      <w:u w:val="none"/>
    </w:rPr>
  </w:style>
  <w:style w:type="character" w:customStyle="1" w:styleId="54">
    <w:name w:val="font11"/>
    <w:basedOn w:val="20"/>
    <w:qFormat/>
    <w:uiPriority w:val="0"/>
    <w:rPr>
      <w:rFonts w:hint="default" w:ascii="Arial" w:hAnsi="Arial" w:cs="Arial"/>
      <w:color w:val="000000"/>
      <w:sz w:val="22"/>
      <w:szCs w:val="22"/>
      <w:u w:val="none"/>
    </w:rPr>
  </w:style>
  <w:style w:type="character" w:customStyle="1" w:styleId="55">
    <w:name w:val="font61"/>
    <w:basedOn w:val="20"/>
    <w:qFormat/>
    <w:uiPriority w:val="0"/>
    <w:rPr>
      <w:rFonts w:hint="eastAsia" w:ascii="宋体" w:hAnsi="宋体" w:eastAsia="宋体" w:cs="宋体"/>
      <w:color w:val="000000"/>
      <w:sz w:val="22"/>
      <w:szCs w:val="22"/>
      <w:u w:val="none"/>
    </w:rPr>
  </w:style>
  <w:style w:type="paragraph" w:customStyle="1" w:styleId="56">
    <w:name w:val="列出段落2"/>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2437</Words>
  <Characters>13896</Characters>
  <Lines>115</Lines>
  <Paragraphs>32</Paragraphs>
  <TotalTime>2</TotalTime>
  <ScaleCrop>false</ScaleCrop>
  <LinksUpToDate>false</LinksUpToDate>
  <CharactersWithSpaces>16301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汪家佳</cp:lastModifiedBy>
  <cp:lastPrinted>2024-04-18T07:10:00Z</cp:lastPrinted>
  <dcterms:modified xsi:type="dcterms:W3CDTF">2024-10-14T01:42:33Z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3863CB1BE97844CC8ABECAB036F0B27F</vt:lpwstr>
  </property>
</Properties>
</file>