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舟山物流公司码头靠泊论证服务</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GKXJ-2024-WL-3024</w:t>
      </w:r>
      <w:r>
        <w:rPr>
          <w:rFonts w:asciiTheme="minorEastAsia" w:hAnsiTheme="minorEastAsia" w:eastAsiaTheme="minorEastAsia"/>
          <w:color w:val="000000" w:themeColor="text1"/>
          <w:highlight w:val="none"/>
          <w14:textFill>
            <w14:solidFill>
              <w14:schemeClr w14:val="tx1"/>
            </w14:solidFill>
          </w14:textFill>
        </w:rPr>
        <w:t>）</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000" w:firstLineChars="4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中海油能源发展股份有限公司</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11</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舟山物流公司码头靠泊论证服务</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27</w:t>
      </w:r>
      <w:bookmarkStart w:id="4" w:name="_GoBack"/>
      <w:bookmarkEnd w:id="4"/>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3"/>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2"/>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8"/>
        <w:tblW w:w="5577" w:type="pct"/>
        <w:jc w:val="center"/>
        <w:tblLayout w:type="autofit"/>
        <w:tblCellMar>
          <w:top w:w="0" w:type="dxa"/>
          <w:left w:w="0" w:type="dxa"/>
          <w:bottom w:w="0" w:type="dxa"/>
          <w:right w:w="0" w:type="dxa"/>
        </w:tblCellMar>
      </w:tblPr>
      <w:tblGrid>
        <w:gridCol w:w="616"/>
        <w:gridCol w:w="534"/>
        <w:gridCol w:w="2282"/>
        <w:gridCol w:w="5844"/>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2" w:type="pct"/>
            <w:vMerge w:val="restart"/>
            <w:tcBorders>
              <w:top w:val="nil"/>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43"/>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r>
              <w:rPr>
                <w:rFonts w:hint="eastAsia" w:ascii="仿宋" w:hAnsi="仿宋" w:eastAsia="仿宋" w:cs="仿宋"/>
                <w:color w:val="auto"/>
                <w:kern w:val="2"/>
                <w:sz w:val="21"/>
                <w:szCs w:val="21"/>
                <w:highlight w:val="none"/>
                <w:lang w:eastAsia="zh-CN"/>
              </w:rPr>
              <w:t>（如涉及）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具备工程设计资质证书，资质等级：水运行业乙级及以上资质</w:t>
            </w:r>
          </w:p>
        </w:tc>
      </w:tr>
      <w:tr>
        <w:tblPrEx>
          <w:tblCellMar>
            <w:top w:w="0" w:type="dxa"/>
            <w:left w:w="0" w:type="dxa"/>
            <w:bottom w:w="0" w:type="dxa"/>
            <w:right w:w="0" w:type="dxa"/>
          </w:tblCellMar>
        </w:tblPrEx>
        <w:trPr>
          <w:trHeight w:val="696"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4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（如涉及）</w:t>
            </w:r>
          </w:p>
        </w:tc>
        <w:tc>
          <w:tcPr>
            <w:tcW w:w="3149" w:type="pct"/>
            <w:tcBorders>
              <w:top w:val="single" w:color="000000" w:sz="4" w:space="0"/>
              <w:left w:val="nil"/>
              <w:bottom w:val="single" w:color="auto" w:sz="4" w:space="0"/>
              <w:right w:val="single" w:color="000000" w:sz="4" w:space="0"/>
            </w:tcBorders>
            <w:vAlign w:val="center"/>
          </w:tcPr>
          <w:p>
            <w:pPr>
              <w:pStyle w:val="43"/>
              <w:jc w:val="both"/>
              <w:rPr>
                <w:rFonts w:hint="default" w:ascii="仿宋" w:hAnsi="仿宋" w:eastAsia="仿宋" w:cs="仿宋"/>
                <w:color w:val="auto"/>
                <w:szCs w:val="21"/>
                <w:highlight w:val="none"/>
                <w:lang w:val="en-US"/>
              </w:rPr>
            </w:pPr>
            <w:r>
              <w:rPr>
                <w:rFonts w:hint="eastAsia" w:ascii="仿宋" w:hAnsi="仿宋" w:eastAsia="仿宋" w:cs="仿宋"/>
                <w:color w:val="auto"/>
                <w:kern w:val="2"/>
                <w:sz w:val="21"/>
                <w:szCs w:val="21"/>
                <w:highlight w:val="none"/>
                <w:lang w:val="en-US" w:eastAsia="zh-CN" w:bidi="ar-SA"/>
              </w:rPr>
              <w:t>不涉及</w:t>
            </w:r>
          </w:p>
        </w:tc>
      </w:tr>
      <w:tr>
        <w:tblPrEx>
          <w:tblCellMar>
            <w:top w:w="0" w:type="dxa"/>
            <w:left w:w="0" w:type="dxa"/>
            <w:bottom w:w="0" w:type="dxa"/>
            <w:right w:w="0" w:type="dxa"/>
          </w:tblCellMar>
        </w:tblPrEx>
        <w:trPr>
          <w:trHeight w:val="696"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★项目经理要求</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高级工程师（港口航道或港航工程或港航及海洋工程或港口航道与海岸工程或港口与航道工程或港口与航道设计），且具有注册土木工程师（港口与航道工程）、咨询工程师（水运（含港口河海工程））证书。</w:t>
            </w:r>
          </w:p>
        </w:tc>
      </w:tr>
      <w:tr>
        <w:tblPrEx>
          <w:tblCellMar>
            <w:top w:w="0" w:type="dxa"/>
            <w:left w:w="0" w:type="dxa"/>
            <w:bottom w:w="0" w:type="dxa"/>
            <w:right w:w="0" w:type="dxa"/>
          </w:tblCellMar>
        </w:tblPrEx>
        <w:trPr>
          <w:trHeight w:val="415"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3"/>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3"/>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right="134"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服务商需满足：1）不得将中国海油作为唯一服务客户，承诺中国海油非其唯一服务客户并提供支持性材料（海油外业绩）。</w:t>
            </w:r>
          </w:p>
          <w:p>
            <w:pPr>
              <w:ind w:firstLine="0" w:firstLineChars="0"/>
              <w:rPr>
                <w:rFonts w:hint="eastAsia"/>
                <w:color w:val="auto"/>
                <w:highlight w:val="none"/>
                <w:lang w:eastAsia="zh-CN"/>
              </w:rPr>
            </w:pPr>
          </w:p>
        </w:tc>
      </w:tr>
      <w:tr>
        <w:tblPrEx>
          <w:tblCellMar>
            <w:top w:w="0" w:type="dxa"/>
            <w:left w:w="0" w:type="dxa"/>
            <w:bottom w:w="0" w:type="dxa"/>
            <w:right w:w="0" w:type="dxa"/>
          </w:tblCellMar>
        </w:tblPrEx>
        <w:trPr>
          <w:trHeight w:val="479" w:hRule="atLeast"/>
          <w:jc w:val="center"/>
        </w:trPr>
        <w:tc>
          <w:tcPr>
            <w:tcW w:w="332"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highlight w:val="none"/>
                <w:lang w:eastAsia="zh-CN"/>
              </w:rPr>
              <w:t>业绩要求（（提示：提供的证明材料必须完全涵盖要求的内容，否则视为无效业绩，缺少任何1项都将影响评审结果））</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color w:val="auto"/>
                <w:highlight w:val="none"/>
              </w:rPr>
            </w:pPr>
            <w:r>
              <w:rPr>
                <w:rFonts w:hint="eastAsia"/>
                <w:color w:val="auto"/>
                <w:highlight w:val="none"/>
              </w:rPr>
              <w:t>服务类：</w:t>
            </w:r>
          </w:p>
          <w:p>
            <w:pPr>
              <w:ind w:firstLine="0" w:firstLineChars="0"/>
              <w:rPr>
                <w:rFonts w:hint="eastAsia"/>
                <w:color w:val="auto"/>
                <w:highlight w:val="none"/>
                <w:lang w:eastAsia="zh-CN"/>
              </w:rPr>
            </w:pPr>
            <w:r>
              <w:rPr>
                <w:rFonts w:hint="eastAsia"/>
                <w:color w:val="auto"/>
                <w:highlight w:val="none"/>
              </w:rPr>
              <w:t>2021年1月1日至投标截止日（以合同签署时间为准），投标人应具有至少1个合同的靠泊论证业绩，并提交相关业绩证明文件。业绩证明文件必须至少体现以下内容：1）合同复印件（含相关技术附件）；2）合同所对应的结算发票；3）国家税务总局全国增值税发票查验平台的发票查验截图。未提交业绩证明文件，或所提供的业绩证明文件无法体现满足上述业绩要求的，均视为无效业绩。。</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7"/>
              <w:numPr>
                <w:ilvl w:val="-1"/>
                <w:numId w:val="0"/>
              </w:numPr>
              <w:ind w:right="11" w:rightChars="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银行电汇</w:t>
            </w:r>
            <w:r>
              <w:rPr>
                <w:rFonts w:hint="eastAsia" w:ascii="仿宋" w:hAnsi="仿宋" w:eastAsia="仿宋" w:cs="仿宋"/>
                <w:bCs/>
                <w:color w:val="000000" w:themeColor="text1"/>
                <w:kern w:val="0"/>
                <w:szCs w:val="21"/>
                <w:highlight w:val="none"/>
                <w:lang w:eastAsia="zh-CN"/>
                <w14:textFill>
                  <w14:solidFill>
                    <w14:schemeClr w14:val="tx1"/>
                  </w14:solidFill>
                </w14:textFill>
              </w:rPr>
              <w:t>，</w:t>
            </w:r>
            <w:r>
              <w:rPr>
                <w:rFonts w:hint="eastAsia" w:ascii="仿宋" w:hAnsi="仿宋" w:eastAsia="仿宋" w:cs="仿宋"/>
                <w:bCs/>
                <w:color w:val="000000" w:themeColor="text1"/>
                <w:kern w:val="0"/>
                <w:szCs w:val="21"/>
                <w:highlight w:val="none"/>
                <w14:textFill>
                  <w14:solidFill>
                    <w14:schemeClr w14:val="tx1"/>
                  </w14:solidFill>
                </w14:textFill>
              </w:rPr>
              <w:t>(1)验收通过后，提交报告终稿，接到增值税发票45天内付款。</w:t>
            </w:r>
          </w:p>
          <w:p>
            <w:pPr>
              <w:pStyle w:val="7"/>
              <w:numPr>
                <w:ilvl w:val="0"/>
                <w:numId w:val="1"/>
              </w:numPr>
              <w:ind w:right="11" w:rightChars="0"/>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r>
              <w:rPr>
                <w:rFonts w:hint="eastAsia"/>
                <w:lang w:val="en-US" w:eastAsia="zh-CN"/>
              </w:rPr>
              <w:t>详见</w:t>
            </w:r>
            <w:r>
              <w:rPr>
                <w:rFonts w:hint="eastAsia"/>
              </w:rPr>
              <w:t>附件3： 合同文本</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3"/>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3"/>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3"/>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2"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在甲方提供相关完整资料后7天内完成报告编制工作</w:t>
            </w:r>
          </w:p>
        </w:tc>
      </w:tr>
      <w:tr>
        <w:tblPrEx>
          <w:tblCellMar>
            <w:top w:w="0" w:type="dxa"/>
            <w:left w:w="0" w:type="dxa"/>
            <w:bottom w:w="0" w:type="dxa"/>
            <w:right w:w="0" w:type="dxa"/>
          </w:tblCellMar>
        </w:tblPrEx>
        <w:trPr>
          <w:trHeight w:val="454"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服务及验收标准</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3"/>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3"/>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7" w:type="pct"/>
            <w:gridSpan w:val="2"/>
            <w:tcBorders>
              <w:top w:val="single" w:color="auto" w:sz="4" w:space="0"/>
              <w:left w:val="single" w:color="auto" w:sz="4" w:space="0"/>
              <w:bottom w:val="single" w:color="auto" w:sz="4" w:space="0"/>
              <w:right w:val="single" w:color="000000" w:sz="4" w:space="0"/>
            </w:tcBorders>
            <w:vAlign w:val="center"/>
          </w:tcPr>
          <w:p>
            <w:pPr>
              <w:pStyle w:val="43"/>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3"/>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pStyle w:val="3"/>
      </w:pPr>
      <w:bookmarkStart w:id="0" w:name="_Toc13249324"/>
      <w:bookmarkStart w:id="1" w:name="_Toc13248927"/>
      <w:r>
        <w:t>一、项目概况及总体要求</w:t>
      </w:r>
    </w:p>
    <w:p>
      <w:pPr>
        <w:spacing w:before="2" w:line="100" w:lineRule="exact"/>
        <w:rPr>
          <w:rFonts w:ascii="微软雅黑" w:hAnsi="微软雅黑" w:eastAsia="微软雅黑"/>
          <w:sz w:val="10"/>
          <w:szCs w:val="10"/>
          <w:lang w:eastAsia="zh-CN"/>
        </w:rPr>
      </w:pP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老塘山一期码头泊位总长320m，其中码头平面总长250m，宽22m，包括老码头平台130m和扩建平台120m。码头采用高桩梁板式结构，码头平台通过3座栈桥与后方陆域相连，三座引桥自北向南的尺寸依次为154m×10.5m、154m×9.5m、154m×9.5m。码头南侧40m处设有系缆墩1个，码头北侧30m处设有系缆墩1个，系缆墩与码头面之间均由人行便桥连接。码头面上布置有40t门机1台、10t门机1台、16t门机1台。码头面陆侧布置3个管理房，码头北侧布置输灰设备的8个储灰罐，在北侧引桥上布置输灰管道。</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老码头平台130m始建于1986年，建设规模为1.5万吨级件杂货泊位，设计年吞吐能力45万吨，1987年竣工验收合格；新码头平台120m，于2001年建成，扩建后码头泊位总长为320m（其中码头平台长250m），能同时靠泊一艘万吨级、一艘5000吨级杂货船舶，或靠泊一艘1.5万吨级多用途船舶。</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因现有泊位数量相对紧张，拟设立并靠泊位予以缓解。为了解码头能否适应船舶并靠，规范码头并靠泊位布置方式，保证港口生产安全，需开展老塘山码头并靠泊位靠泊能力论证工作。</w:t>
      </w:r>
    </w:p>
    <w:p>
      <w:pPr>
        <w:pStyle w:val="3"/>
      </w:pPr>
      <w:bookmarkStart w:id="2" w:name="_Toc13249325"/>
      <w:bookmarkStart w:id="3" w:name="_Toc13248928"/>
      <w:r>
        <w:t>二、</w:t>
      </w:r>
      <w:r>
        <w:rPr>
          <w:rFonts w:hint="eastAsia"/>
        </w:rPr>
        <w:t>服务</w:t>
      </w:r>
      <w:r>
        <w:t>内容和范围</w:t>
      </w:r>
      <w:bookmarkEnd w:id="2"/>
      <w:bookmarkEnd w:id="3"/>
    </w:p>
    <w:p>
      <w:pPr>
        <w:pStyle w:val="2"/>
        <w:spacing w:line="257" w:lineRule="auto"/>
        <w:ind w:right="115" w:rightChars="55" w:firstLine="199" w:firstLineChars="95"/>
        <w:rPr>
          <w:lang w:eastAsia="zh-CN"/>
        </w:rPr>
      </w:pPr>
      <w:r>
        <w:rPr>
          <w:rFonts w:hint="eastAsia"/>
          <w:lang w:eastAsia="zh-CN"/>
        </w:rPr>
        <w:t>1、服务内容</w:t>
      </w:r>
    </w:p>
    <w:p>
      <w:pPr>
        <w:pStyle w:val="2"/>
        <w:spacing w:line="257" w:lineRule="auto"/>
        <w:ind w:right="115" w:rightChars="55" w:firstLine="199" w:firstLineChars="95"/>
        <w:rPr>
          <w:lang w:eastAsia="zh-CN"/>
        </w:rPr>
      </w:pPr>
      <w:r>
        <w:rPr>
          <w:rFonts w:hint="eastAsia"/>
          <w:lang w:eastAsia="zh-CN"/>
        </w:rPr>
        <w:t>舟山物流公司码头靠泊能力论证服务</w:t>
      </w:r>
    </w:p>
    <w:p>
      <w:pPr>
        <w:pStyle w:val="2"/>
        <w:spacing w:line="257" w:lineRule="auto"/>
        <w:ind w:right="115" w:rightChars="55" w:firstLine="199" w:firstLineChars="95"/>
        <w:rPr>
          <w:lang w:eastAsia="zh-CN"/>
        </w:rPr>
      </w:pPr>
      <w:r>
        <w:rPr>
          <w:rFonts w:hint="eastAsia"/>
          <w:lang w:eastAsia="zh-CN"/>
        </w:rPr>
        <w:t>2、工作量清单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1522"/>
        <w:gridCol w:w="1676"/>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pStyle w:val="2"/>
              <w:spacing w:line="257" w:lineRule="auto"/>
              <w:ind w:right="115" w:rightChars="55" w:firstLine="199" w:firstLineChars="95"/>
              <w:rPr>
                <w:lang w:eastAsia="zh-CN"/>
              </w:rPr>
            </w:pPr>
            <w:r>
              <w:rPr>
                <w:rFonts w:hint="eastAsia"/>
                <w:lang w:eastAsia="zh-CN"/>
              </w:rPr>
              <w:t>项目名称</w:t>
            </w:r>
          </w:p>
        </w:tc>
        <w:tc>
          <w:tcPr>
            <w:tcW w:w="1134" w:type="dxa"/>
          </w:tcPr>
          <w:p>
            <w:pPr>
              <w:pStyle w:val="2"/>
              <w:spacing w:line="257" w:lineRule="auto"/>
              <w:ind w:right="115" w:rightChars="55" w:firstLine="199" w:firstLineChars="95"/>
              <w:rPr>
                <w:lang w:eastAsia="zh-CN"/>
              </w:rPr>
            </w:pPr>
            <w:r>
              <w:rPr>
                <w:rFonts w:hint="eastAsia"/>
                <w:lang w:eastAsia="zh-CN"/>
              </w:rPr>
              <w:t>数量</w:t>
            </w:r>
          </w:p>
        </w:tc>
        <w:tc>
          <w:tcPr>
            <w:tcW w:w="1701" w:type="dxa"/>
          </w:tcPr>
          <w:p>
            <w:pPr>
              <w:pStyle w:val="2"/>
              <w:spacing w:line="257" w:lineRule="auto"/>
              <w:ind w:right="115" w:rightChars="55" w:firstLine="199" w:firstLineChars="95"/>
              <w:rPr>
                <w:lang w:eastAsia="zh-CN"/>
              </w:rPr>
            </w:pPr>
            <w:r>
              <w:rPr>
                <w:rFonts w:hint="eastAsia"/>
                <w:lang w:eastAsia="zh-CN"/>
              </w:rPr>
              <w:t>单位</w:t>
            </w:r>
          </w:p>
        </w:tc>
        <w:tc>
          <w:tcPr>
            <w:tcW w:w="3169" w:type="dxa"/>
          </w:tcPr>
          <w:p>
            <w:pPr>
              <w:pStyle w:val="2"/>
              <w:spacing w:line="257" w:lineRule="auto"/>
              <w:ind w:right="115" w:rightChars="55" w:firstLine="199" w:firstLineChars="95"/>
              <w:rPr>
                <w:lang w:eastAsia="zh-CN"/>
              </w:rPr>
            </w:pPr>
            <w:r>
              <w:rPr>
                <w:rFonts w:hint="eastAsia"/>
                <w:lang w:eastAsia="zh-CN"/>
              </w:rPr>
              <w:t>费用组成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2"/>
              <w:spacing w:line="257" w:lineRule="auto"/>
              <w:ind w:right="115" w:rightChars="55" w:firstLine="199" w:firstLineChars="95"/>
              <w:rPr>
                <w:lang w:eastAsia="zh-CN"/>
              </w:rPr>
            </w:pPr>
            <w:r>
              <w:rPr>
                <w:rFonts w:hint="eastAsia"/>
                <w:lang w:eastAsia="zh-CN"/>
              </w:rPr>
              <w:t>码头靠泊能力论证服务</w:t>
            </w:r>
          </w:p>
        </w:tc>
        <w:tc>
          <w:tcPr>
            <w:tcW w:w="1134" w:type="dxa"/>
            <w:vAlign w:val="center"/>
          </w:tcPr>
          <w:p>
            <w:pPr>
              <w:pStyle w:val="2"/>
              <w:spacing w:line="257" w:lineRule="auto"/>
              <w:ind w:right="115" w:rightChars="55" w:firstLine="199" w:firstLineChars="95"/>
              <w:rPr>
                <w:lang w:eastAsia="zh-CN"/>
              </w:rPr>
            </w:pPr>
            <w:r>
              <w:rPr>
                <w:rFonts w:hint="eastAsia"/>
                <w:lang w:eastAsia="zh-CN"/>
              </w:rPr>
              <w:t>1</w:t>
            </w:r>
          </w:p>
        </w:tc>
        <w:tc>
          <w:tcPr>
            <w:tcW w:w="1701" w:type="dxa"/>
            <w:vAlign w:val="center"/>
          </w:tcPr>
          <w:p>
            <w:pPr>
              <w:pStyle w:val="2"/>
              <w:spacing w:line="257" w:lineRule="auto"/>
              <w:ind w:right="115" w:rightChars="55" w:firstLine="199" w:firstLineChars="95"/>
              <w:rPr>
                <w:lang w:eastAsia="zh-CN"/>
              </w:rPr>
            </w:pPr>
            <w:r>
              <w:rPr>
                <w:rFonts w:hint="eastAsia"/>
                <w:lang w:eastAsia="zh-CN"/>
              </w:rPr>
              <w:t>项</w:t>
            </w:r>
          </w:p>
        </w:tc>
        <w:tc>
          <w:tcPr>
            <w:tcW w:w="3169" w:type="dxa"/>
          </w:tcPr>
          <w:p>
            <w:pPr>
              <w:pStyle w:val="2"/>
              <w:spacing w:line="257" w:lineRule="auto"/>
              <w:ind w:right="115" w:rightChars="55" w:firstLine="199" w:firstLineChars="95"/>
              <w:rPr>
                <w:lang w:eastAsia="zh-CN"/>
              </w:rPr>
            </w:pPr>
            <w:r>
              <w:rPr>
                <w:rFonts w:hint="eastAsia"/>
                <w:lang w:eastAsia="zh-CN"/>
              </w:rPr>
              <w:t>包括：现场勘查费、报告编制费、交通住宿费、管理费、会务费、专家评审费、税费等完成靠泊能力论证服务的所有费用</w:t>
            </w:r>
          </w:p>
        </w:tc>
      </w:tr>
    </w:tbl>
    <w:p>
      <w:pPr>
        <w:pStyle w:val="2"/>
        <w:spacing w:line="257" w:lineRule="auto"/>
        <w:ind w:right="115" w:rightChars="55" w:firstLine="199" w:firstLineChars="95"/>
        <w:rPr>
          <w:lang w:eastAsia="zh-CN"/>
        </w:rPr>
      </w:pPr>
      <w:r>
        <w:rPr>
          <w:rFonts w:hint="eastAsia"/>
          <w:lang w:eastAsia="zh-CN"/>
        </w:rPr>
        <w:t>3、服务地点</w:t>
      </w:r>
    </w:p>
    <w:p>
      <w:pPr>
        <w:pStyle w:val="2"/>
        <w:spacing w:line="257" w:lineRule="auto"/>
        <w:ind w:right="115" w:rightChars="55" w:firstLine="199" w:firstLineChars="95"/>
        <w:rPr>
          <w:lang w:eastAsia="zh-CN"/>
        </w:rPr>
      </w:pPr>
      <w:r>
        <w:rPr>
          <w:rFonts w:hint="eastAsia"/>
          <w:lang w:eastAsia="zh-CN"/>
        </w:rPr>
        <w:t>浙江省舟山市岑港街道老塘山一期码头</w:t>
      </w:r>
    </w:p>
    <w:p>
      <w:pPr>
        <w:pStyle w:val="2"/>
        <w:spacing w:line="257" w:lineRule="auto"/>
        <w:ind w:right="115" w:rightChars="55" w:firstLine="199" w:firstLineChars="95"/>
        <w:rPr>
          <w:lang w:eastAsia="zh-CN"/>
        </w:rPr>
      </w:pPr>
      <w:r>
        <w:rPr>
          <w:rFonts w:hint="eastAsia"/>
          <w:lang w:eastAsia="zh-CN"/>
        </w:rPr>
        <w:t>4、服务期限</w:t>
      </w:r>
    </w:p>
    <w:p>
      <w:pPr>
        <w:pStyle w:val="2"/>
        <w:spacing w:line="257" w:lineRule="auto"/>
        <w:ind w:right="115" w:rightChars="55" w:firstLine="199" w:firstLineChars="95"/>
        <w:rPr>
          <w:lang w:eastAsia="zh-CN"/>
        </w:rPr>
      </w:pPr>
      <w:r>
        <w:rPr>
          <w:rFonts w:hint="eastAsia"/>
          <w:lang w:eastAsia="zh-CN"/>
        </w:rPr>
        <w:t>在甲方提供相关完整资料后7天内完成报告编制工作</w:t>
      </w:r>
    </w:p>
    <w:p>
      <w:pPr>
        <w:pStyle w:val="3"/>
      </w:pPr>
      <w:r>
        <w:t>三、执行标准</w:t>
      </w:r>
      <w:r>
        <w:rPr>
          <w:rFonts w:hint="eastAsia"/>
        </w:rPr>
        <w:t>/规范</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（1）《海港总体设计规范》（JTS165-2013）；</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（2）《港口与航道水文规范》（JTS145-2015）；</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（3）《码头结构设计规范》（JTJ167-2018）；</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（4）《港口工程荷载规范》（JTS144-1-2010）；</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（5）《水运工程水工建筑物检测与评估技术规范》（JTS304-2019）；</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（6）《水运工程结构耐久性设计标准》（JTS153-2015）；</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（7）《水运工程混凝土结构设计规范》（JTS151-2011）；</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（8）《水运工程钢结构设计规范》（JTS152-2012）；</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（9）《码头附属设施技术规范》（JTS169-2017）；</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（10）《疏浚与吹填工程设计规范》（JTS181-5-2012）；</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（11）《水运工程地基设计规范》（JTS147-2017）；</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（12）《水运工程岩土勘察规范》（JTS133-2013）；</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（13）《码头附属设施技术规范》（JTJ169-2017）；</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（14）《水运工程抗震设计规范》（JTS146-2012）。</w:t>
      </w:r>
    </w:p>
    <w:p>
      <w:pPr>
        <w:pStyle w:val="3"/>
      </w:pPr>
      <w:r>
        <w:rPr>
          <w:rFonts w:hint="eastAsia"/>
        </w:rPr>
        <w:t>四、服务要求</w:t>
      </w:r>
    </w:p>
    <w:p>
      <w:pPr>
        <w:pStyle w:val="2"/>
        <w:spacing w:line="257" w:lineRule="auto"/>
        <w:ind w:right="115" w:rightChars="55" w:firstLine="199" w:firstLineChars="95"/>
        <w:rPr>
          <w:lang w:eastAsia="zh-CN"/>
        </w:rPr>
      </w:pPr>
      <w:r>
        <w:rPr>
          <w:rFonts w:hint="eastAsia"/>
          <w:lang w:eastAsia="zh-CN"/>
        </w:rPr>
        <w:t>1、服务具体要求</w:t>
      </w:r>
    </w:p>
    <w:p>
      <w:pPr>
        <w:pStyle w:val="2"/>
        <w:spacing w:line="257" w:lineRule="auto"/>
        <w:ind w:right="115" w:rightChars="55" w:firstLine="199" w:firstLineChars="95"/>
        <w:rPr>
          <w:lang w:eastAsia="zh-CN"/>
        </w:rPr>
      </w:pPr>
      <w:r>
        <w:rPr>
          <w:rFonts w:hint="eastAsia"/>
          <w:lang w:eastAsia="zh-CN"/>
        </w:rPr>
        <w:t>1）对公司进行实地现场调查并收集有关资料。</w:t>
      </w:r>
    </w:p>
    <w:p>
      <w:pPr>
        <w:pStyle w:val="2"/>
        <w:spacing w:line="257" w:lineRule="auto"/>
        <w:ind w:right="115" w:rightChars="55" w:firstLine="199" w:firstLineChars="95"/>
        <w:rPr>
          <w:lang w:eastAsia="zh-CN"/>
        </w:rPr>
      </w:pPr>
      <w:r>
        <w:rPr>
          <w:rFonts w:hint="eastAsia"/>
          <w:lang w:eastAsia="zh-CN"/>
        </w:rPr>
        <w:t>2）对码头靠泊能力进行论证，包括总平面布置适应性、与相邻设施的影响、装卸工艺适应性、水工结构及附属设施适应性，提出靠泊能力论证总结。</w:t>
      </w:r>
    </w:p>
    <w:p>
      <w:pPr>
        <w:pStyle w:val="2"/>
        <w:spacing w:line="257" w:lineRule="auto"/>
        <w:ind w:right="115" w:rightChars="55" w:firstLine="199" w:firstLineChars="95"/>
        <w:rPr>
          <w:lang w:eastAsia="zh-CN"/>
        </w:rPr>
      </w:pPr>
      <w:r>
        <w:rPr>
          <w:rFonts w:hint="eastAsia"/>
          <w:lang w:eastAsia="zh-CN"/>
        </w:rPr>
        <w:t>3）提出论证结论与建议，出具论证报告。</w:t>
      </w:r>
    </w:p>
    <w:p>
      <w:pPr>
        <w:pStyle w:val="2"/>
        <w:spacing w:line="257" w:lineRule="auto"/>
        <w:ind w:right="115" w:rightChars="55" w:firstLine="199" w:firstLineChars="95"/>
        <w:rPr>
          <w:lang w:eastAsia="zh-CN"/>
        </w:rPr>
      </w:pPr>
      <w:r>
        <w:rPr>
          <w:rFonts w:hint="eastAsia"/>
          <w:lang w:eastAsia="zh-CN"/>
        </w:rPr>
        <w:t>4）协助组织专家评审，按照评审会议要求完善论证报告。</w:t>
      </w:r>
    </w:p>
    <w:p>
      <w:pPr>
        <w:pStyle w:val="2"/>
        <w:spacing w:line="257" w:lineRule="auto"/>
        <w:ind w:right="115" w:rightChars="55" w:firstLine="199" w:firstLineChars="95"/>
        <w:rPr>
          <w:lang w:eastAsia="zh-CN"/>
        </w:rPr>
      </w:pPr>
      <w:r>
        <w:rPr>
          <w:rFonts w:hint="eastAsia"/>
          <w:lang w:eastAsia="zh-CN"/>
        </w:rPr>
        <w:t>2、工作界面要求：</w:t>
      </w:r>
    </w:p>
    <w:p>
      <w:pPr>
        <w:pStyle w:val="2"/>
        <w:spacing w:line="257" w:lineRule="auto"/>
        <w:ind w:right="115" w:rightChars="55" w:firstLine="199" w:firstLineChars="95"/>
        <w:rPr>
          <w:lang w:eastAsia="zh-CN"/>
        </w:rPr>
      </w:pPr>
      <w:r>
        <w:rPr>
          <w:rFonts w:hint="eastAsia"/>
          <w:lang w:eastAsia="zh-CN"/>
        </w:rPr>
        <w:t>1）甲方负责提供相关资料，并对其完整性、正确性及时限负责。</w:t>
      </w:r>
    </w:p>
    <w:p>
      <w:pPr>
        <w:pStyle w:val="2"/>
        <w:spacing w:line="257" w:lineRule="auto"/>
        <w:ind w:right="115" w:rightChars="55" w:firstLine="199" w:firstLineChars="95"/>
        <w:rPr>
          <w:lang w:eastAsia="zh-CN"/>
        </w:rPr>
      </w:pPr>
      <w:r>
        <w:rPr>
          <w:rFonts w:hint="eastAsia"/>
          <w:lang w:eastAsia="zh-CN"/>
        </w:rPr>
        <w:t>2）乙方负责论证报告编写和修改。</w:t>
      </w:r>
    </w:p>
    <w:p>
      <w:pPr>
        <w:pStyle w:val="2"/>
        <w:spacing w:line="257" w:lineRule="auto"/>
        <w:ind w:right="115" w:rightChars="55" w:firstLine="199" w:firstLineChars="95"/>
        <w:rPr>
          <w:lang w:eastAsia="zh-CN"/>
        </w:rPr>
      </w:pPr>
      <w:r>
        <w:rPr>
          <w:rFonts w:hint="eastAsia"/>
          <w:lang w:eastAsia="zh-CN"/>
        </w:rPr>
        <w:t>3、保密要求：对中海油（舟山）能源物流有限公司本项目有关内容主动承担保密义务，未经本公司同意，不向第三方透露。保密信息包括但不限于文件、图纸、图表、数据等。</w:t>
      </w:r>
    </w:p>
    <w:p>
      <w:pPr>
        <w:pStyle w:val="2"/>
        <w:spacing w:line="257" w:lineRule="auto"/>
        <w:ind w:right="115" w:rightChars="55" w:firstLine="199" w:firstLineChars="95"/>
        <w:rPr>
          <w:lang w:eastAsia="zh-CN"/>
        </w:rPr>
      </w:pPr>
      <w:r>
        <w:rPr>
          <w:lang w:eastAsia="zh-CN"/>
        </w:rPr>
        <w:t>设计</w:t>
      </w:r>
      <w:r>
        <w:rPr>
          <w:rFonts w:hint="eastAsia"/>
          <w:lang w:eastAsia="zh-CN"/>
        </w:rPr>
        <w:t>/施工方案要求：</w:t>
      </w:r>
    </w:p>
    <w:p>
      <w:pPr>
        <w:pStyle w:val="3"/>
        <w:rPr>
          <w:rFonts w:ascii="微软雅黑" w:hAnsi="微软雅黑" w:eastAsia="微软雅黑"/>
          <w:bCs/>
        </w:rPr>
      </w:pPr>
      <w:r>
        <w:rPr>
          <w:rFonts w:hint="eastAsia"/>
        </w:rPr>
        <w:t>五、</w:t>
      </w:r>
      <w:r>
        <w:rPr>
          <w:rFonts w:hint="eastAsia" w:ascii="微软雅黑" w:hAnsi="微软雅黑" w:eastAsia="微软雅黑"/>
          <w:bCs/>
        </w:rPr>
        <w:t>配备资源</w:t>
      </w:r>
      <w:r>
        <w:rPr>
          <w:rFonts w:ascii="微软雅黑" w:hAnsi="微软雅黑" w:eastAsia="微软雅黑"/>
          <w:bCs/>
        </w:rPr>
        <w:t>要求</w:t>
      </w:r>
    </w:p>
    <w:p>
      <w:pPr>
        <w:pStyle w:val="2"/>
        <w:spacing w:line="257" w:lineRule="auto"/>
        <w:ind w:right="115" w:rightChars="55" w:firstLine="283" w:firstLineChars="135"/>
        <w:rPr>
          <w:lang w:eastAsia="zh-CN"/>
        </w:rPr>
      </w:pPr>
      <w:r>
        <w:rPr>
          <w:lang w:eastAsia="zh-CN"/>
        </w:rPr>
        <w:t>1</w:t>
      </w:r>
      <w:r>
        <w:rPr>
          <w:rFonts w:hint="eastAsia"/>
          <w:lang w:eastAsia="zh-CN"/>
        </w:rPr>
        <w:t>、设备要求：不涉及。</w:t>
      </w:r>
    </w:p>
    <w:p>
      <w:pPr>
        <w:pStyle w:val="2"/>
        <w:spacing w:line="257" w:lineRule="auto"/>
        <w:ind w:right="115" w:rightChars="55" w:firstLine="283" w:firstLineChars="135"/>
        <w:rPr>
          <w:rFonts w:hint="eastAsia"/>
          <w:lang w:eastAsia="zh-CN"/>
        </w:rPr>
      </w:pPr>
      <w:r>
        <w:rPr>
          <w:lang w:eastAsia="zh-CN"/>
        </w:rPr>
        <w:t>2</w:t>
      </w:r>
      <w:r>
        <w:rPr>
          <w:rFonts w:hint="eastAsia"/>
          <w:lang w:eastAsia="zh-CN"/>
        </w:rPr>
        <w:t>、人员要求：不涉及。</w:t>
      </w:r>
    </w:p>
    <w:p>
      <w:pPr>
        <w:pStyle w:val="2"/>
        <w:spacing w:line="257" w:lineRule="auto"/>
        <w:ind w:right="115" w:rightChars="55" w:firstLine="283" w:firstLineChars="135"/>
        <w:rPr>
          <w:lang w:eastAsia="zh-CN"/>
        </w:rPr>
      </w:pPr>
      <w:r>
        <w:rPr>
          <w:lang w:eastAsia="zh-CN"/>
        </w:rPr>
        <w:t>3</w:t>
      </w:r>
      <w:r>
        <w:rPr>
          <w:rFonts w:hint="eastAsia"/>
          <w:lang w:eastAsia="zh-CN"/>
        </w:rPr>
        <w:t>、材料要求：不涉及。</w:t>
      </w:r>
    </w:p>
    <w:p>
      <w:pPr>
        <w:pStyle w:val="2"/>
        <w:spacing w:line="257" w:lineRule="auto"/>
        <w:ind w:right="115" w:rightChars="55" w:firstLine="283" w:firstLineChars="135"/>
        <w:rPr>
          <w:lang w:eastAsia="zh-CN"/>
        </w:rPr>
      </w:pPr>
      <w:r>
        <w:rPr>
          <w:lang w:eastAsia="zh-CN"/>
        </w:rPr>
        <w:t>4</w:t>
      </w:r>
      <w:r>
        <w:rPr>
          <w:rFonts w:hint="eastAsia"/>
          <w:lang w:eastAsia="zh-CN"/>
        </w:rPr>
        <w:t>、场地要求：不涉及。</w:t>
      </w:r>
    </w:p>
    <w:p>
      <w:pPr>
        <w:pStyle w:val="10"/>
        <w:ind w:left="0"/>
        <w:outlineLvl w:val="0"/>
        <w:rPr>
          <w:rFonts w:ascii="微软雅黑" w:hAnsi="微软雅黑" w:eastAsia="微软雅黑"/>
          <w:bCs/>
          <w:sz w:val="32"/>
          <w:szCs w:val="32"/>
        </w:rPr>
      </w:pPr>
      <w:r>
        <w:rPr>
          <w:rFonts w:hint="eastAsia" w:ascii="微软雅黑" w:hAnsi="微软雅黑" w:eastAsia="微软雅黑"/>
          <w:bCs/>
          <w:sz w:val="32"/>
          <w:szCs w:val="32"/>
        </w:rPr>
        <w:t>六、服务进度跟踪</w:t>
      </w:r>
    </w:p>
    <w:p>
      <w:pPr>
        <w:pStyle w:val="2"/>
        <w:spacing w:line="257" w:lineRule="auto"/>
        <w:ind w:right="115" w:rightChars="55" w:firstLine="210" w:firstLineChars="100"/>
        <w:rPr>
          <w:lang w:eastAsia="zh-CN"/>
        </w:rPr>
      </w:pPr>
      <w:r>
        <w:rPr>
          <w:rFonts w:hint="eastAsia"/>
          <w:lang w:eastAsia="zh-CN"/>
        </w:rPr>
        <w:t>1、乙方应及时响应甲方需求，并需要派驻1名人员在甲方场地处理项目事宜。</w:t>
      </w:r>
    </w:p>
    <w:p>
      <w:pPr>
        <w:pStyle w:val="2"/>
        <w:spacing w:line="257" w:lineRule="auto"/>
        <w:ind w:right="115" w:rightChars="55" w:firstLine="210" w:firstLineChars="100"/>
        <w:rPr>
          <w:lang w:eastAsia="zh-CN"/>
        </w:rPr>
      </w:pPr>
      <w:r>
        <w:rPr>
          <w:rFonts w:hint="eastAsia"/>
          <w:lang w:eastAsia="zh-CN"/>
        </w:rPr>
        <w:t>2、在甲方提供相关完整资料后</w:t>
      </w:r>
      <w:r>
        <w:rPr>
          <w:rFonts w:hint="eastAsia"/>
          <w:lang w:val="en-US" w:eastAsia="zh-CN"/>
        </w:rPr>
        <w:t>7</w:t>
      </w:r>
      <w:r>
        <w:rPr>
          <w:rFonts w:hint="eastAsia"/>
          <w:lang w:eastAsia="zh-CN"/>
        </w:rPr>
        <w:t>天内完成报告编制工作。</w:t>
      </w:r>
    </w:p>
    <w:p>
      <w:pPr>
        <w:pStyle w:val="10"/>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10"/>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乙方完成服务后，成果提交甲方经相关主管部门验收通过后，视为验收合格。</w:t>
      </w:r>
    </w:p>
    <w:p>
      <w:pPr>
        <w:pStyle w:val="10"/>
        <w:ind w:left="0"/>
        <w:outlineLvl w:val="0"/>
        <w:rPr>
          <w:rFonts w:ascii="微软雅黑" w:hAnsi="微软雅黑" w:eastAsia="微软雅黑"/>
          <w:bCs/>
          <w:sz w:val="32"/>
          <w:szCs w:val="32"/>
        </w:rPr>
      </w:pPr>
      <w:r>
        <w:rPr>
          <w:rFonts w:hint="eastAsia" w:ascii="微软雅黑" w:hAnsi="微软雅黑" w:eastAsia="微软雅黑"/>
          <w:bCs/>
          <w:sz w:val="32"/>
          <w:szCs w:val="32"/>
        </w:rPr>
        <w:t>八、质量保证</w:t>
      </w:r>
    </w:p>
    <w:p>
      <w:pPr>
        <w:pStyle w:val="53"/>
        <w:spacing w:before="120" w:after="120"/>
        <w:ind w:left="142"/>
        <w:outlineLvl w:val="0"/>
        <w:rPr>
          <w:rFonts w:ascii="微软雅黑" w:hAnsi="微软雅黑" w:eastAsia="微软雅黑" w:cstheme="minorBidi"/>
          <w:sz w:val="21"/>
          <w:szCs w:val="21"/>
        </w:rPr>
      </w:pPr>
      <w:r>
        <w:rPr>
          <w:rFonts w:hint="eastAsia" w:ascii="微软雅黑" w:hAnsi="微软雅黑" w:eastAsia="微软雅黑"/>
          <w:sz w:val="21"/>
          <w:szCs w:val="21"/>
        </w:rPr>
        <w:t>不涉及</w:t>
      </w:r>
    </w:p>
    <w:bookmarkEnd w:id="0"/>
    <w:bookmarkEnd w:id="1"/>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38"/>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38"/>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8"/>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4"/>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4"/>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7"/>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：具备工程设计资质证书，资质等级：水运行业乙级及以上资质</w:t>
      </w:r>
    </w:p>
    <w:p>
      <w:pPr>
        <w:pStyle w:val="34"/>
        <w:ind w:left="0" w:leftChars="0"/>
        <w:rPr>
          <w:rFonts w:hint="default" w:eastAsiaTheme="minorEastAsia"/>
          <w:lang w:val="en-US" w:eastAsia="zh-CN"/>
        </w:rPr>
      </w:pPr>
      <w:r>
        <w:rPr>
          <w:rFonts w:hint="eastAsia"/>
        </w:rPr>
        <w:t>5.5：环境管理体系认证、质量管理体系认证、健康安全管理体系认证和国家强制产品认证等相关否决事项，并可在中国国家认证认可监督管理委员会网站（http://www.cnca.gov.cn）核实</w:t>
      </w:r>
      <w:r>
        <w:rPr>
          <w:rFonts w:hint="eastAsia"/>
          <w:lang w:eastAsia="zh-CN"/>
        </w:rPr>
        <w:t>（</w:t>
      </w:r>
      <w:r>
        <w:rPr>
          <w:rFonts w:hint="eastAsia"/>
          <w:lang w:val="en-US" w:eastAsia="zh-CN"/>
        </w:rPr>
        <w:t>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7"/>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pStyle w:val="53"/>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3"/>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3"/>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outlineLvl w:val="0"/>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38"/>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widowControl/>
        <w:spacing w:line="360" w:lineRule="auto"/>
        <w:ind w:left="-12" w:leftChars="-67" w:hanging="129" w:hangingChars="59"/>
        <w:rPr>
          <w:rFonts w:cs="Arial" w:asciiTheme="minorEastAsia" w:hAnsiTheme="minorEastAsia"/>
          <w:kern w:val="0"/>
          <w:sz w:val="22"/>
          <w:szCs w:val="22"/>
        </w:rPr>
      </w:pPr>
      <w:r>
        <w:rPr>
          <w:rFonts w:hint="eastAsia" w:cs="Arial" w:asciiTheme="minorEastAsia" w:hAnsiTheme="minorEastAsia"/>
          <w:kern w:val="0"/>
          <w:sz w:val="22"/>
          <w:szCs w:val="22"/>
        </w:rPr>
        <w:t>项目</w:t>
      </w:r>
      <w:r>
        <w:rPr>
          <w:rFonts w:cs="Arial" w:asciiTheme="minorEastAsia" w:hAnsiTheme="minorEastAsia"/>
          <w:kern w:val="0"/>
          <w:sz w:val="22"/>
          <w:szCs w:val="22"/>
        </w:rPr>
        <w:t>名称：</w:t>
      </w:r>
      <w:r>
        <w:rPr>
          <w:rFonts w:hint="eastAsia" w:cs="Arial" w:asciiTheme="minorEastAsia" w:hAnsiTheme="minorEastAsia"/>
          <w:kern w:val="0"/>
          <w:sz w:val="22"/>
          <w:szCs w:val="22"/>
        </w:rPr>
        <w:t xml:space="preserve">舟山物流公司码头靠泊论证服务     </w:t>
      </w:r>
      <w:r>
        <w:rPr>
          <w:rFonts w:cs="Arial" w:asciiTheme="minorEastAsia" w:hAnsiTheme="minorEastAsia"/>
          <w:kern w:val="0"/>
          <w:sz w:val="22"/>
          <w:szCs w:val="22"/>
        </w:rPr>
        <w:t xml:space="preserve">  </w:t>
      </w:r>
    </w:p>
    <w:p>
      <w:pPr>
        <w:widowControl/>
        <w:spacing w:line="360" w:lineRule="auto"/>
        <w:ind w:left="-12" w:leftChars="-67" w:hanging="129" w:hangingChars="59"/>
        <w:rPr>
          <w:rFonts w:cs="Arial" w:asciiTheme="minorEastAsia" w:hAnsiTheme="minorEastAsia"/>
          <w:kern w:val="0"/>
          <w:sz w:val="22"/>
          <w:szCs w:val="22"/>
        </w:rPr>
      </w:pPr>
      <w:r>
        <w:rPr>
          <w:rFonts w:cs="Calibri" w:asciiTheme="minorEastAsia" w:hAnsiTheme="minorEastAsia"/>
          <w:kern w:val="0"/>
          <w:sz w:val="22"/>
          <w:szCs w:val="22"/>
        </w:rPr>
        <w:t>报价</w:t>
      </w:r>
      <w:r>
        <w:rPr>
          <w:rFonts w:hint="eastAsia" w:cs="Calibri" w:asciiTheme="minorEastAsia" w:hAnsiTheme="minorEastAsia"/>
          <w:kern w:val="0"/>
          <w:sz w:val="22"/>
          <w:szCs w:val="22"/>
        </w:rPr>
        <w:t xml:space="preserve">单位：元 </w:t>
      </w:r>
      <w:r>
        <w:rPr>
          <w:rFonts w:cs="Calibri" w:asciiTheme="minorEastAsia" w:hAnsiTheme="minorEastAsia"/>
          <w:kern w:val="0"/>
          <w:sz w:val="22"/>
          <w:szCs w:val="22"/>
        </w:rPr>
        <w:t xml:space="preserve">           </w:t>
      </w:r>
      <w:r>
        <w:rPr>
          <w:rFonts w:hint="eastAsia" w:cs="Calibri" w:asciiTheme="minorEastAsia" w:hAnsiTheme="minorEastAsia"/>
          <w:kern w:val="0"/>
          <w:sz w:val="22"/>
          <w:szCs w:val="22"/>
        </w:rPr>
        <w:t xml:space="preserve">  货币</w:t>
      </w:r>
      <w:r>
        <w:rPr>
          <w:rFonts w:cs="Calibri" w:asciiTheme="minorEastAsia" w:hAnsiTheme="minorEastAsia"/>
          <w:kern w:val="0"/>
          <w:sz w:val="22"/>
          <w:szCs w:val="22"/>
        </w:rPr>
        <w:t>单位：</w:t>
      </w:r>
      <w:r>
        <w:rPr>
          <w:rFonts w:hint="eastAsia" w:cs="Calibri" w:asciiTheme="minorEastAsia" w:hAnsiTheme="minorEastAsia"/>
          <w:kern w:val="0"/>
          <w:sz w:val="22"/>
          <w:szCs w:val="22"/>
        </w:rPr>
        <w:t>人民币</w:t>
      </w:r>
    </w:p>
    <w:tbl>
      <w:tblPr>
        <w:tblStyle w:val="18"/>
        <w:tblW w:w="941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689"/>
        <w:gridCol w:w="1020"/>
        <w:gridCol w:w="778"/>
        <w:gridCol w:w="670"/>
        <w:gridCol w:w="1221"/>
        <w:gridCol w:w="472"/>
        <w:gridCol w:w="1253"/>
        <w:gridCol w:w="1179"/>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87"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2709" w:type="dxa"/>
            <w:gridSpan w:val="2"/>
            <w:shd w:val="clear" w:color="auto" w:fill="auto"/>
            <w:vAlign w:val="center"/>
          </w:tcPr>
          <w:p>
            <w:pPr>
              <w:pStyle w:val="3"/>
              <w:adjustRightInd w:val="0"/>
              <w:snapToGrid w:val="0"/>
              <w:spacing w:line="240" w:lineRule="auto"/>
              <w:jc w:val="center"/>
              <w:rPr>
                <w:rFonts w:ascii="宋体" w:hAnsi="宋体" w:eastAsia="宋体"/>
                <w:sz w:val="18"/>
                <w:szCs w:val="18"/>
              </w:rPr>
            </w:pPr>
            <w:r>
              <w:rPr>
                <w:rFonts w:hint="eastAsia" w:ascii="宋体" w:hAnsi="宋体" w:eastAsia="宋体"/>
                <w:sz w:val="18"/>
                <w:szCs w:val="18"/>
              </w:rPr>
              <w:t>名称</w:t>
            </w:r>
          </w:p>
          <w:p>
            <w:pPr>
              <w:pStyle w:val="2"/>
              <w:spacing w:line="257" w:lineRule="auto"/>
              <w:ind w:left="0" w:leftChars="0" w:right="115" w:rightChars="55" w:firstLine="0" w:firstLineChars="0"/>
              <w:jc w:val="both"/>
              <w:rPr>
                <w:rFonts w:hint="eastAsia" w:ascii="宋体" w:hAnsi="宋体" w:eastAsia="宋体"/>
                <w:b/>
                <w:kern w:val="2"/>
                <w:sz w:val="18"/>
                <w:szCs w:val="18"/>
                <w:lang w:eastAsia="zh-CN"/>
              </w:rPr>
            </w:pPr>
          </w:p>
        </w:tc>
        <w:tc>
          <w:tcPr>
            <w:tcW w:w="778"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数量</w:t>
            </w:r>
          </w:p>
        </w:tc>
        <w:tc>
          <w:tcPr>
            <w:tcW w:w="670"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单位</w:t>
            </w:r>
          </w:p>
        </w:tc>
        <w:tc>
          <w:tcPr>
            <w:tcW w:w="1221"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不含税单价（元）</w:t>
            </w:r>
          </w:p>
        </w:tc>
        <w:tc>
          <w:tcPr>
            <w:tcW w:w="472"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税率</w:t>
            </w:r>
          </w:p>
        </w:tc>
        <w:tc>
          <w:tcPr>
            <w:tcW w:w="1253"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不含税小计（元）</w:t>
            </w:r>
          </w:p>
        </w:tc>
        <w:tc>
          <w:tcPr>
            <w:tcW w:w="1179" w:type="dxa"/>
            <w:shd w:val="clear" w:color="auto" w:fill="auto"/>
            <w:vAlign w:val="center"/>
          </w:tcPr>
          <w:p>
            <w:pPr>
              <w:ind w:firstLine="181" w:firstLineChars="100"/>
              <w:jc w:val="center"/>
              <w:rPr>
                <w:rFonts w:ascii="宋体" w:hAnsi="宋体" w:eastAsia="宋体"/>
                <w:b/>
                <w:sz w:val="18"/>
                <w:szCs w:val="18"/>
              </w:rPr>
            </w:pPr>
            <w:r>
              <w:rPr>
                <w:rFonts w:hint="eastAsia" w:ascii="宋体" w:hAnsi="宋体" w:eastAsia="宋体"/>
                <w:b/>
                <w:sz w:val="18"/>
                <w:szCs w:val="18"/>
              </w:rPr>
              <w:t>含税小计（元）</w:t>
            </w:r>
          </w:p>
        </w:tc>
        <w:tc>
          <w:tcPr>
            <w:tcW w:w="743"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87"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1</w:t>
            </w:r>
          </w:p>
        </w:tc>
        <w:tc>
          <w:tcPr>
            <w:tcW w:w="2709" w:type="dxa"/>
            <w:gridSpan w:val="2"/>
            <w:vAlign w:val="center"/>
          </w:tcPr>
          <w:p>
            <w:pPr>
              <w:jc w:val="center"/>
              <w:rPr>
                <w:rFonts w:hint="eastAsia" w:ascii="宋体" w:hAnsi="宋体" w:cstheme="minorBidi"/>
                <w:b/>
                <w:kern w:val="2"/>
                <w:sz w:val="18"/>
                <w:szCs w:val="18"/>
                <w:lang w:eastAsia="zh-CN"/>
              </w:rPr>
            </w:pPr>
            <w:r>
              <w:rPr>
                <w:rFonts w:hint="eastAsia" w:cs="Calibri" w:asciiTheme="minorEastAsia" w:hAnsiTheme="minorEastAsia"/>
                <w:kern w:val="0"/>
                <w:szCs w:val="21"/>
              </w:rPr>
              <w:t>舟山物流公司码头靠泊论证服务</w:t>
            </w:r>
          </w:p>
        </w:tc>
        <w:tc>
          <w:tcPr>
            <w:tcW w:w="778" w:type="dxa"/>
            <w:vAlign w:val="center"/>
          </w:tcPr>
          <w:p>
            <w:pPr>
              <w:jc w:val="center"/>
              <w:rPr>
                <w:rFonts w:cs="Calibri" w:asciiTheme="minorEastAsia" w:hAnsiTheme="minorEastAsia"/>
                <w:kern w:val="0"/>
                <w:szCs w:val="21"/>
              </w:rPr>
            </w:pPr>
            <w:r>
              <w:rPr>
                <w:rFonts w:hint="eastAsia" w:ascii="仿宋" w:hAnsi="仿宋" w:eastAsia="仿宋" w:cstheme="minorBidi"/>
                <w:sz w:val="22"/>
                <w:szCs w:val="21"/>
                <w:lang w:val="en-US" w:eastAsia="zh-CN" w:bidi="ar-SA"/>
              </w:rPr>
              <w:t>1</w:t>
            </w:r>
          </w:p>
        </w:tc>
        <w:tc>
          <w:tcPr>
            <w:tcW w:w="670" w:type="dxa"/>
            <w:vAlign w:val="center"/>
          </w:tcPr>
          <w:p>
            <w:pPr>
              <w:jc w:val="center"/>
              <w:rPr>
                <w:rFonts w:cs="Calibri" w:asciiTheme="minorEastAsia" w:hAnsiTheme="minorEastAsia"/>
                <w:kern w:val="0"/>
                <w:szCs w:val="21"/>
              </w:rPr>
            </w:pPr>
            <w:r>
              <w:rPr>
                <w:rFonts w:hint="eastAsia" w:ascii="仿宋" w:hAnsi="仿宋" w:eastAsia="仿宋" w:cstheme="minorBidi"/>
                <w:sz w:val="22"/>
                <w:szCs w:val="21"/>
                <w:lang w:val="en-US" w:eastAsia="zh-CN" w:bidi="ar-SA"/>
              </w:rPr>
              <w:t>项</w:t>
            </w:r>
          </w:p>
        </w:tc>
        <w:tc>
          <w:tcPr>
            <w:tcW w:w="1221" w:type="dxa"/>
            <w:shd w:val="clear" w:color="auto" w:fill="auto"/>
            <w:vAlign w:val="center"/>
          </w:tcPr>
          <w:p>
            <w:pPr>
              <w:jc w:val="center"/>
              <w:rPr>
                <w:rFonts w:cs="Calibri" w:asciiTheme="minorEastAsia" w:hAnsiTheme="minorEastAsia"/>
                <w:kern w:val="0"/>
                <w:szCs w:val="21"/>
              </w:rPr>
            </w:pPr>
          </w:p>
        </w:tc>
        <w:tc>
          <w:tcPr>
            <w:tcW w:w="472"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253" w:type="dxa"/>
            <w:shd w:val="clear" w:color="auto" w:fill="auto"/>
            <w:vAlign w:val="center"/>
          </w:tcPr>
          <w:p>
            <w:pPr>
              <w:rPr>
                <w:rFonts w:ascii="宋体" w:hAnsi="宋体" w:eastAsia="宋体"/>
                <w:b/>
                <w:sz w:val="18"/>
                <w:szCs w:val="18"/>
              </w:rPr>
            </w:pPr>
          </w:p>
        </w:tc>
        <w:tc>
          <w:tcPr>
            <w:tcW w:w="1179" w:type="dxa"/>
            <w:shd w:val="clear" w:color="auto" w:fill="auto"/>
            <w:vAlign w:val="center"/>
          </w:tcPr>
          <w:p>
            <w:pPr>
              <w:rPr>
                <w:rFonts w:ascii="宋体" w:hAnsi="宋体" w:eastAsia="宋体"/>
                <w:b/>
                <w:sz w:val="18"/>
                <w:szCs w:val="18"/>
              </w:rPr>
            </w:pPr>
          </w:p>
        </w:tc>
        <w:tc>
          <w:tcPr>
            <w:tcW w:w="743"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87" w:type="dxa"/>
          </w:tcPr>
          <w:p>
            <w:pPr>
              <w:widowControl/>
              <w:spacing w:line="360" w:lineRule="auto"/>
              <w:jc w:val="left"/>
              <w:rPr>
                <w:rFonts w:cs="Calibri" w:asciiTheme="minorEastAsia" w:hAnsiTheme="minorEastAsia"/>
                <w:kern w:val="0"/>
                <w:szCs w:val="21"/>
              </w:rPr>
            </w:pPr>
          </w:p>
        </w:tc>
        <w:tc>
          <w:tcPr>
            <w:tcW w:w="1689" w:type="dxa"/>
          </w:tcPr>
          <w:p>
            <w:pPr>
              <w:widowControl/>
              <w:spacing w:line="360" w:lineRule="auto"/>
              <w:jc w:val="left"/>
              <w:rPr>
                <w:rFonts w:cs="Calibri" w:asciiTheme="minorEastAsia" w:hAnsiTheme="minorEastAsia"/>
                <w:kern w:val="0"/>
                <w:szCs w:val="21"/>
              </w:rPr>
            </w:pPr>
          </w:p>
        </w:tc>
        <w:tc>
          <w:tcPr>
            <w:tcW w:w="4161" w:type="dxa"/>
            <w:gridSpan w:val="5"/>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合计</w:t>
            </w:r>
            <w:r>
              <w:rPr>
                <w:rFonts w:cs="Calibri" w:asciiTheme="minorEastAsia" w:hAnsiTheme="minorEastAsia"/>
                <w:kern w:val="0"/>
                <w:szCs w:val="21"/>
              </w:rPr>
              <w:t>：</w:t>
            </w:r>
          </w:p>
        </w:tc>
        <w:tc>
          <w:tcPr>
            <w:tcW w:w="1253" w:type="dxa"/>
            <w:shd w:val="clear" w:color="auto" w:fill="auto"/>
          </w:tcPr>
          <w:p>
            <w:pPr>
              <w:widowControl/>
              <w:spacing w:line="360" w:lineRule="auto"/>
              <w:jc w:val="left"/>
              <w:rPr>
                <w:rFonts w:cs="Calibri" w:asciiTheme="minorEastAsia" w:hAnsiTheme="minorEastAsia"/>
                <w:kern w:val="0"/>
                <w:szCs w:val="21"/>
              </w:rPr>
            </w:pPr>
          </w:p>
        </w:tc>
        <w:tc>
          <w:tcPr>
            <w:tcW w:w="1179" w:type="dxa"/>
            <w:shd w:val="clear" w:color="auto" w:fill="auto"/>
          </w:tcPr>
          <w:p>
            <w:pPr>
              <w:widowControl/>
              <w:spacing w:line="360" w:lineRule="auto"/>
              <w:jc w:val="left"/>
              <w:rPr>
                <w:rFonts w:cs="Calibri" w:asciiTheme="minorEastAsia" w:hAnsiTheme="minorEastAsia"/>
                <w:kern w:val="0"/>
                <w:szCs w:val="21"/>
              </w:rPr>
            </w:pPr>
          </w:p>
        </w:tc>
        <w:tc>
          <w:tcPr>
            <w:tcW w:w="743" w:type="dxa"/>
            <w:shd w:val="clear" w:color="auto" w:fill="auto"/>
          </w:tcPr>
          <w:p>
            <w:pPr>
              <w:widowControl/>
              <w:spacing w:line="360" w:lineRule="auto"/>
              <w:jc w:val="left"/>
              <w:rPr>
                <w:rFonts w:cs="Calibri"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7" w:type="dxa"/>
          </w:tcPr>
          <w:p>
            <w:pPr>
              <w:widowControl/>
              <w:spacing w:line="360" w:lineRule="auto"/>
              <w:jc w:val="left"/>
              <w:rPr>
                <w:rFonts w:cs="Calibri" w:asciiTheme="minorEastAsia" w:hAnsiTheme="minorEastAsia"/>
                <w:kern w:val="0"/>
                <w:szCs w:val="21"/>
              </w:rPr>
            </w:pPr>
          </w:p>
        </w:tc>
        <w:tc>
          <w:tcPr>
            <w:tcW w:w="1689" w:type="dxa"/>
          </w:tcPr>
          <w:p>
            <w:pPr>
              <w:widowControl/>
              <w:spacing w:line="360" w:lineRule="auto"/>
              <w:jc w:val="left"/>
              <w:rPr>
                <w:rFonts w:cs="Calibri" w:asciiTheme="minorEastAsia" w:hAnsiTheme="minorEastAsia"/>
                <w:kern w:val="0"/>
                <w:szCs w:val="21"/>
              </w:rPr>
            </w:pPr>
          </w:p>
        </w:tc>
        <w:tc>
          <w:tcPr>
            <w:tcW w:w="7336" w:type="dxa"/>
            <w:gridSpan w:val="8"/>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7" w:type="dxa"/>
          </w:tcPr>
          <w:p>
            <w:pPr>
              <w:widowControl/>
              <w:spacing w:line="360" w:lineRule="auto"/>
              <w:jc w:val="left"/>
              <w:rPr>
                <w:rFonts w:cs="Calibri" w:asciiTheme="minorEastAsia" w:hAnsiTheme="minorEastAsia"/>
                <w:kern w:val="0"/>
                <w:szCs w:val="21"/>
              </w:rPr>
            </w:pPr>
          </w:p>
        </w:tc>
        <w:tc>
          <w:tcPr>
            <w:tcW w:w="1689" w:type="dxa"/>
          </w:tcPr>
          <w:p>
            <w:pPr>
              <w:widowControl/>
              <w:spacing w:line="360" w:lineRule="auto"/>
              <w:jc w:val="left"/>
              <w:rPr>
                <w:rFonts w:cs="Calibri" w:asciiTheme="minorEastAsia" w:hAnsiTheme="minorEastAsia"/>
                <w:kern w:val="0"/>
                <w:szCs w:val="21"/>
              </w:rPr>
            </w:pPr>
          </w:p>
        </w:tc>
        <w:tc>
          <w:tcPr>
            <w:tcW w:w="7336" w:type="dxa"/>
            <w:gridSpan w:val="8"/>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bl>
    <w:p>
      <w:pPr>
        <w:snapToGrid w:val="0"/>
        <w:spacing w:line="240" w:lineRule="auto"/>
        <w:rPr>
          <w:rFonts w:asciiTheme="minorEastAsia" w:hAnsiTheme="minorEastAsia"/>
          <w:sz w:val="18"/>
          <w:szCs w:val="18"/>
        </w:rPr>
      </w:pPr>
      <w:r>
        <w:rPr>
          <w:rFonts w:asciiTheme="minorEastAsia" w:hAnsiTheme="minorEastAsia"/>
          <w:sz w:val="18"/>
          <w:szCs w:val="18"/>
        </w:rPr>
        <w:t>注：</w:t>
      </w:r>
    </w:p>
    <w:p>
      <w:pPr>
        <w:snapToGrid w:val="0"/>
        <w:spacing w:line="24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报价有效期：</w:t>
      </w:r>
      <w:r>
        <w:rPr>
          <w:rFonts w:hint="eastAsia" w:asciiTheme="minorEastAsia" w:hAnsiTheme="minorEastAsia"/>
          <w:sz w:val="18"/>
          <w:szCs w:val="18"/>
        </w:rPr>
        <w:t>自应答截止日次日起120个日历日</w:t>
      </w:r>
      <w:r>
        <w:rPr>
          <w:rFonts w:asciiTheme="minorEastAsia" w:hAnsiTheme="minorEastAsia"/>
          <w:sz w:val="18"/>
          <w:szCs w:val="18"/>
        </w:rPr>
        <w:t>。</w:t>
      </w:r>
      <w:r>
        <w:rPr>
          <w:rFonts w:hint="eastAsia" w:asciiTheme="minorEastAsia" w:hAnsiTheme="minorEastAsia"/>
          <w:sz w:val="18"/>
          <w:szCs w:val="18"/>
        </w:rPr>
        <w:t>（请应答人</w:t>
      </w:r>
      <w:r>
        <w:rPr>
          <w:rFonts w:asciiTheme="minorEastAsia" w:hAnsiTheme="minorEastAsia"/>
          <w:sz w:val="18"/>
          <w:szCs w:val="18"/>
        </w:rPr>
        <w:t>响应</w:t>
      </w:r>
      <w:r>
        <w:rPr>
          <w:rFonts w:hint="eastAsia" w:asciiTheme="minorEastAsia" w:hAnsiTheme="minorEastAsia"/>
          <w:sz w:val="18"/>
          <w:szCs w:val="18"/>
        </w:rPr>
        <w:t>）</w:t>
      </w:r>
    </w:p>
    <w:p>
      <w:pPr>
        <w:snapToGrid w:val="0"/>
        <w:spacing w:line="240" w:lineRule="auto"/>
        <w:rPr>
          <w:rFonts w:asciiTheme="minorEastAsia" w:hAnsiTheme="minorEastAsia"/>
          <w:sz w:val="18"/>
          <w:szCs w:val="18"/>
        </w:rPr>
      </w:pPr>
      <w:r>
        <w:rPr>
          <w:rFonts w:hint="eastAsia" w:asciiTheme="minorEastAsia" w:hAnsiTheme="minorEastAsia"/>
          <w:sz w:val="18"/>
          <w:szCs w:val="18"/>
        </w:rPr>
        <w:t>2、服务期</w:t>
      </w:r>
      <w:r>
        <w:rPr>
          <w:rFonts w:asciiTheme="minorEastAsia" w:hAnsiTheme="minorEastAsia"/>
          <w:sz w:val="18"/>
          <w:szCs w:val="18"/>
        </w:rPr>
        <w:t>：</w:t>
      </w:r>
      <w:r>
        <w:rPr>
          <w:rFonts w:hint="eastAsia" w:asciiTheme="minorEastAsia" w:hAnsiTheme="minorEastAsia"/>
          <w:sz w:val="18"/>
          <w:szCs w:val="18"/>
        </w:rPr>
        <w:t>在甲方提供相关完整资料后7天内完成报告编制工作</w:t>
      </w:r>
      <w:r>
        <w:rPr>
          <w:rFonts w:asciiTheme="minorEastAsia" w:hAnsiTheme="minorEastAsia"/>
          <w:sz w:val="18"/>
          <w:szCs w:val="18"/>
        </w:rPr>
        <w:t>。</w:t>
      </w:r>
      <w:r>
        <w:rPr>
          <w:rFonts w:hint="eastAsia" w:asciiTheme="minorEastAsia" w:hAnsiTheme="minorEastAsia"/>
          <w:sz w:val="18"/>
          <w:szCs w:val="18"/>
        </w:rPr>
        <w:t>（请应答人</w:t>
      </w:r>
      <w:r>
        <w:rPr>
          <w:rFonts w:asciiTheme="minorEastAsia" w:hAnsiTheme="minorEastAsia"/>
          <w:sz w:val="18"/>
          <w:szCs w:val="18"/>
        </w:rPr>
        <w:t>响应</w:t>
      </w:r>
      <w:r>
        <w:rPr>
          <w:rFonts w:hint="eastAsia" w:asciiTheme="minorEastAsia" w:hAnsiTheme="minorEastAsia"/>
          <w:sz w:val="18"/>
          <w:szCs w:val="18"/>
        </w:rPr>
        <w:t>）</w:t>
      </w:r>
    </w:p>
    <w:p>
      <w:pPr>
        <w:pStyle w:val="38"/>
        <w:spacing w:line="240" w:lineRule="auto"/>
        <w:ind w:firstLine="0"/>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3、付款条款：</w:t>
      </w:r>
      <w:r>
        <w:rPr>
          <w:rFonts w:hint="eastAsia" w:asciiTheme="minorEastAsia" w:hAnsiTheme="minorEastAsia" w:eastAsiaTheme="minorEastAsia"/>
          <w:sz w:val="18"/>
          <w:szCs w:val="18"/>
        </w:rPr>
        <w:t>银行电汇，(1)验收通过后，提交报告终稿，接到增值税发票45天内付款。</w:t>
      </w:r>
    </w:p>
    <w:p>
      <w:pPr>
        <w:pStyle w:val="38"/>
        <w:spacing w:line="240" w:lineRule="auto"/>
        <w:ind w:firstLine="0"/>
        <w:jc w:val="left"/>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2）</w:t>
      </w:r>
      <w:r>
        <w:rPr>
          <w:rFonts w:hint="eastAsia" w:asciiTheme="minorEastAsia" w:hAnsiTheme="minorEastAsia" w:eastAsiaTheme="minorEastAsia"/>
          <w:sz w:val="18"/>
          <w:szCs w:val="18"/>
        </w:rPr>
        <w:t>如付款到期日为非银行工作日，则付款到期日顺延至下一个银行工作日。</w:t>
      </w:r>
    </w:p>
    <w:p>
      <w:pPr>
        <w:pStyle w:val="38"/>
        <w:spacing w:line="240" w:lineRule="auto"/>
        <w:ind w:firstLine="0"/>
        <w:jc w:val="left"/>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以上报价包括：现场勘查费、报告编制费、交通住宿费、管理费、会务费、专家评审费、税费、利润、税金/其它等完成靠泊能力论证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sz w:val="18"/>
          <w:szCs w:val="18"/>
        </w:rPr>
        <w:t>响应</w:t>
      </w:r>
      <w:r>
        <w:rPr>
          <w:rFonts w:hint="eastAsia" w:asciiTheme="minorEastAsia" w:hAnsiTheme="minorEastAsia" w:eastAsiaTheme="minorEastAsia"/>
          <w:sz w:val="18"/>
          <w:szCs w:val="18"/>
        </w:rPr>
        <w:t>）</w:t>
      </w:r>
    </w:p>
    <w:p>
      <w:pPr>
        <w:pStyle w:val="38"/>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4、开具</w:t>
      </w:r>
      <w:r>
        <w:rPr>
          <w:rFonts w:asciiTheme="minorEastAsia" w:hAnsiTheme="minorEastAsia" w:eastAsiaTheme="minorEastAsia"/>
          <w:sz w:val="18"/>
          <w:szCs w:val="18"/>
        </w:rPr>
        <w:t>发票种类：增值税专用发票</w:t>
      </w:r>
      <w:r>
        <w:rPr>
          <w:rFonts w:hint="eastAsia" w:asciiTheme="minorEastAsia" w:hAnsiTheme="minorEastAsia" w:eastAsiaTheme="minorEastAsia"/>
          <w:sz w:val="18"/>
          <w:szCs w:val="18"/>
        </w:rPr>
        <w:t>/</w:t>
      </w:r>
      <w:r>
        <w:rPr>
          <w:rFonts w:asciiTheme="minorEastAsia" w:hAnsiTheme="minorEastAsia" w:eastAsiaTheme="minorEastAsia"/>
          <w:sz w:val="18"/>
          <w:szCs w:val="18"/>
        </w:rPr>
        <w:t>增值税普通发票</w:t>
      </w:r>
      <w:r>
        <w:rPr>
          <w:rFonts w:hint="eastAsia" w:asciiTheme="minorEastAsia" w:hAnsiTheme="minorEastAsia" w:eastAsiaTheme="minorEastAsia"/>
          <w:sz w:val="18"/>
          <w:szCs w:val="18"/>
        </w:rPr>
        <w:t>/</w:t>
      </w:r>
      <w:r>
        <w:rPr>
          <w:rFonts w:asciiTheme="minorEastAsia" w:hAnsiTheme="minorEastAsia" w:eastAsiaTheme="minorEastAsia"/>
          <w:sz w:val="18"/>
          <w:szCs w:val="18"/>
        </w:rPr>
        <w:t>其它</w:t>
      </w:r>
      <w:r>
        <w:rPr>
          <w:rFonts w:hint="eastAsia" w:asciiTheme="minorEastAsia" w:hAnsiTheme="minorEastAsia" w:eastAsiaTheme="minorEastAsia"/>
          <w:sz w:val="18"/>
          <w:szCs w:val="18"/>
        </w:rPr>
        <w:t>。（请应答人</w:t>
      </w:r>
      <w:r>
        <w:rPr>
          <w:rFonts w:asciiTheme="minorEastAsia" w:hAnsiTheme="minorEastAsia" w:eastAsiaTheme="minorEastAsia"/>
          <w:sz w:val="18"/>
          <w:szCs w:val="18"/>
        </w:rPr>
        <w:t>如实填写</w:t>
      </w:r>
      <w:r>
        <w:rPr>
          <w:rFonts w:hint="eastAsia" w:asciiTheme="minorEastAsia" w:hAnsiTheme="minorEastAsia" w:eastAsiaTheme="minorEastAsia"/>
          <w:sz w:val="18"/>
          <w:szCs w:val="18"/>
        </w:rPr>
        <w:t>具体</w:t>
      </w:r>
      <w:r>
        <w:rPr>
          <w:rFonts w:asciiTheme="minorEastAsia" w:hAnsiTheme="minorEastAsia" w:eastAsiaTheme="minorEastAsia"/>
          <w:sz w:val="18"/>
          <w:szCs w:val="18"/>
        </w:rPr>
        <w:t>发票种类</w:t>
      </w:r>
      <w:r>
        <w:rPr>
          <w:rFonts w:hint="eastAsia" w:asciiTheme="minorEastAsia" w:hAnsiTheme="minorEastAsia" w:eastAsiaTheme="minorEastAsia"/>
          <w:sz w:val="18"/>
          <w:szCs w:val="18"/>
        </w:rPr>
        <w:t>）</w:t>
      </w:r>
    </w:p>
    <w:p>
      <w:pPr>
        <w:pStyle w:val="38"/>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5、其它</w:t>
      </w:r>
      <w:r>
        <w:rPr>
          <w:rFonts w:asciiTheme="minorEastAsia" w:hAnsiTheme="minorEastAsia" w:eastAsiaTheme="minorEastAsia"/>
          <w:sz w:val="18"/>
          <w:szCs w:val="18"/>
        </w:rPr>
        <w:t>。应答人如有其它说明请补充。</w:t>
      </w:r>
    </w:p>
    <w:p>
      <w:pPr>
        <w:pStyle w:val="38"/>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6、应答人商务联系人姓名________电话_______________邮箱_______________</w:t>
      </w:r>
    </w:p>
    <w:p>
      <w:pPr>
        <w:pStyle w:val="38"/>
        <w:spacing w:line="360" w:lineRule="auto"/>
        <w:ind w:right="840" w:firstLine="0"/>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报价单位</w:t>
      </w:r>
      <w:r>
        <w:rPr>
          <w:rFonts w:asciiTheme="minorEastAsia" w:hAnsiTheme="minorEastAsia" w:eastAsiaTheme="minorEastAsia"/>
          <w:sz w:val="18"/>
          <w:szCs w:val="18"/>
        </w:rPr>
        <w:t>名称：***</w:t>
      </w:r>
      <w:r>
        <w:rPr>
          <w:rFonts w:hint="eastAsia" w:asciiTheme="minorEastAsia" w:hAnsiTheme="minorEastAsia" w:eastAsiaTheme="minorEastAsia"/>
          <w:sz w:val="18"/>
          <w:szCs w:val="18"/>
        </w:rPr>
        <w:t>（加盖</w:t>
      </w:r>
      <w:r>
        <w:rPr>
          <w:rFonts w:asciiTheme="minorEastAsia" w:hAnsiTheme="minorEastAsia" w:eastAsiaTheme="minorEastAsia"/>
          <w:sz w:val="18"/>
          <w:szCs w:val="18"/>
        </w:rPr>
        <w:t>公章</w:t>
      </w:r>
      <w:r>
        <w:rPr>
          <w:rFonts w:hint="eastAsia" w:asciiTheme="minorEastAsia" w:hAnsiTheme="minorEastAsia" w:eastAsiaTheme="minorEastAsia"/>
          <w:sz w:val="18"/>
          <w:szCs w:val="18"/>
        </w:rPr>
        <w:t>）</w:t>
      </w:r>
    </w:p>
    <w:p>
      <w:pPr>
        <w:pStyle w:val="38"/>
        <w:spacing w:line="360" w:lineRule="auto"/>
        <w:ind w:right="840" w:firstLine="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                                  法定代表人（单位负责人）或其委托代理人签字：***</w:t>
      </w:r>
    </w:p>
    <w:p>
      <w:pPr>
        <w:pStyle w:val="38"/>
        <w:spacing w:line="360" w:lineRule="auto"/>
        <w:ind w:left="0" w:leftChars="0" w:right="840" w:firstLine="2700" w:firstLineChars="1500"/>
        <w:jc w:val="center"/>
        <w:rPr>
          <w:sz w:val="18"/>
          <w:szCs w:val="18"/>
          <w:lang w:val="en-US" w:eastAsia="zh-CN"/>
        </w:rPr>
      </w:pPr>
      <w:r>
        <w:rPr>
          <w:rFonts w:hint="eastAsia" w:asciiTheme="minorEastAsia" w:hAnsiTheme="minorEastAsia"/>
          <w:sz w:val="18"/>
          <w:szCs w:val="18"/>
          <w:lang w:val="en-US" w:eastAsia="zh-CN"/>
        </w:rPr>
        <w:t>报</w:t>
      </w:r>
      <w:r>
        <w:rPr>
          <w:rFonts w:hint="eastAsia" w:asciiTheme="minorEastAsia" w:hAnsiTheme="minorEastAsia" w:eastAsiaTheme="minorEastAsia"/>
          <w:sz w:val="18"/>
          <w:szCs w:val="18"/>
        </w:rPr>
        <w:t>价日期</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***年**月**日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3FCFC"/>
    <w:multiLevelType w:val="singleLevel"/>
    <w:tmpl w:val="A363FCFC"/>
    <w:lvl w:ilvl="0" w:tentative="0">
      <w:start w:val="2"/>
      <w:numFmt w:val="decimal"/>
      <w:lvlText w:val="(%1)"/>
      <w:lvlJc w:val="left"/>
      <w:pPr>
        <w:tabs>
          <w:tab w:val="left" w:pos="312"/>
        </w:tabs>
      </w:pPr>
    </w:lvl>
  </w:abstractNum>
  <w:abstractNum w:abstractNumId="1">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587492"/>
    <w:rsid w:val="017967AC"/>
    <w:rsid w:val="01B97ACA"/>
    <w:rsid w:val="01BB351E"/>
    <w:rsid w:val="02293695"/>
    <w:rsid w:val="027E3B30"/>
    <w:rsid w:val="02987ACD"/>
    <w:rsid w:val="031B4CE9"/>
    <w:rsid w:val="032F103F"/>
    <w:rsid w:val="034D72B2"/>
    <w:rsid w:val="036B136E"/>
    <w:rsid w:val="03A64228"/>
    <w:rsid w:val="03C549C8"/>
    <w:rsid w:val="040C6E91"/>
    <w:rsid w:val="041437A4"/>
    <w:rsid w:val="0442138C"/>
    <w:rsid w:val="04927F7C"/>
    <w:rsid w:val="04DB0285"/>
    <w:rsid w:val="04EE495B"/>
    <w:rsid w:val="05800AA3"/>
    <w:rsid w:val="059B46A8"/>
    <w:rsid w:val="06092BEA"/>
    <w:rsid w:val="064D75C2"/>
    <w:rsid w:val="06691DD8"/>
    <w:rsid w:val="06A00E6B"/>
    <w:rsid w:val="06A478F6"/>
    <w:rsid w:val="06C41C49"/>
    <w:rsid w:val="073A2498"/>
    <w:rsid w:val="07794418"/>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1A7191"/>
    <w:rsid w:val="0C3A03CD"/>
    <w:rsid w:val="0C434FF4"/>
    <w:rsid w:val="0CAB2C38"/>
    <w:rsid w:val="0CBD2ABF"/>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DC2046"/>
    <w:rsid w:val="112747B9"/>
    <w:rsid w:val="116358B9"/>
    <w:rsid w:val="11A3156D"/>
    <w:rsid w:val="11C80560"/>
    <w:rsid w:val="12404210"/>
    <w:rsid w:val="12CD4474"/>
    <w:rsid w:val="12D573EB"/>
    <w:rsid w:val="12DE0F4D"/>
    <w:rsid w:val="12F13DE0"/>
    <w:rsid w:val="136F1811"/>
    <w:rsid w:val="13991974"/>
    <w:rsid w:val="13A07D9C"/>
    <w:rsid w:val="13A574D6"/>
    <w:rsid w:val="13AB3552"/>
    <w:rsid w:val="13EB3669"/>
    <w:rsid w:val="148A193E"/>
    <w:rsid w:val="14962BF2"/>
    <w:rsid w:val="15112F23"/>
    <w:rsid w:val="15560646"/>
    <w:rsid w:val="15F97AE2"/>
    <w:rsid w:val="160D2A82"/>
    <w:rsid w:val="1658087C"/>
    <w:rsid w:val="16DD40BD"/>
    <w:rsid w:val="170B0129"/>
    <w:rsid w:val="17270097"/>
    <w:rsid w:val="17927900"/>
    <w:rsid w:val="17A95CD9"/>
    <w:rsid w:val="1839700F"/>
    <w:rsid w:val="18AD616E"/>
    <w:rsid w:val="1940737B"/>
    <w:rsid w:val="19820A7A"/>
    <w:rsid w:val="19BE1AAB"/>
    <w:rsid w:val="1A182DF0"/>
    <w:rsid w:val="1A2E187A"/>
    <w:rsid w:val="1AF347C3"/>
    <w:rsid w:val="1B5929C7"/>
    <w:rsid w:val="1BF931D7"/>
    <w:rsid w:val="1C4F5EF0"/>
    <w:rsid w:val="1CC02D2D"/>
    <w:rsid w:val="1D2F5DEB"/>
    <w:rsid w:val="1D506145"/>
    <w:rsid w:val="1DD763E7"/>
    <w:rsid w:val="1DFB16B0"/>
    <w:rsid w:val="1E5F4C5F"/>
    <w:rsid w:val="1E7A4FD0"/>
    <w:rsid w:val="1E8349E3"/>
    <w:rsid w:val="1E846C1E"/>
    <w:rsid w:val="1ED61050"/>
    <w:rsid w:val="1F0C773E"/>
    <w:rsid w:val="1F1B2614"/>
    <w:rsid w:val="1F510B7E"/>
    <w:rsid w:val="1F6751CA"/>
    <w:rsid w:val="1F731332"/>
    <w:rsid w:val="1FE03C26"/>
    <w:rsid w:val="1FFB1A89"/>
    <w:rsid w:val="20B34A6E"/>
    <w:rsid w:val="20DA7F0E"/>
    <w:rsid w:val="210015CD"/>
    <w:rsid w:val="21374CB3"/>
    <w:rsid w:val="21B454D9"/>
    <w:rsid w:val="2258523D"/>
    <w:rsid w:val="227C146B"/>
    <w:rsid w:val="22B7139F"/>
    <w:rsid w:val="2363459D"/>
    <w:rsid w:val="23792D2F"/>
    <w:rsid w:val="23C44EB4"/>
    <w:rsid w:val="23C7232D"/>
    <w:rsid w:val="240B77AE"/>
    <w:rsid w:val="2416236F"/>
    <w:rsid w:val="24587C1A"/>
    <w:rsid w:val="24780B22"/>
    <w:rsid w:val="24E77DFA"/>
    <w:rsid w:val="250227E0"/>
    <w:rsid w:val="2535609A"/>
    <w:rsid w:val="255911D5"/>
    <w:rsid w:val="25A75231"/>
    <w:rsid w:val="25F31B81"/>
    <w:rsid w:val="27582E99"/>
    <w:rsid w:val="2768684B"/>
    <w:rsid w:val="277E732D"/>
    <w:rsid w:val="27A40D9A"/>
    <w:rsid w:val="27BF12D5"/>
    <w:rsid w:val="27DD40F7"/>
    <w:rsid w:val="285F6BBB"/>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052D52"/>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4A296C"/>
    <w:rsid w:val="3062313F"/>
    <w:rsid w:val="309A1A6F"/>
    <w:rsid w:val="30E402A4"/>
    <w:rsid w:val="31293F09"/>
    <w:rsid w:val="312F1769"/>
    <w:rsid w:val="314822FB"/>
    <w:rsid w:val="318007EE"/>
    <w:rsid w:val="31AF23B1"/>
    <w:rsid w:val="31E43428"/>
    <w:rsid w:val="324C37C3"/>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37CBB"/>
    <w:rsid w:val="379D6FCC"/>
    <w:rsid w:val="37B36433"/>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90864"/>
    <w:rsid w:val="3BBC6ED2"/>
    <w:rsid w:val="3BFA1DF4"/>
    <w:rsid w:val="3C6B58D1"/>
    <w:rsid w:val="3C83314E"/>
    <w:rsid w:val="3C905633"/>
    <w:rsid w:val="3C9C1A33"/>
    <w:rsid w:val="3CB74AC6"/>
    <w:rsid w:val="3CBB24EF"/>
    <w:rsid w:val="3CC10BE5"/>
    <w:rsid w:val="3CE26DBB"/>
    <w:rsid w:val="3D2D5518"/>
    <w:rsid w:val="3D533A84"/>
    <w:rsid w:val="3D891903"/>
    <w:rsid w:val="3DD5635C"/>
    <w:rsid w:val="3E4037CC"/>
    <w:rsid w:val="3E615322"/>
    <w:rsid w:val="3E772188"/>
    <w:rsid w:val="3EE111F7"/>
    <w:rsid w:val="3EF30CA8"/>
    <w:rsid w:val="3F1E0693"/>
    <w:rsid w:val="3F476FDD"/>
    <w:rsid w:val="3F9A4869"/>
    <w:rsid w:val="3FBC4A1D"/>
    <w:rsid w:val="3FDD5D2F"/>
    <w:rsid w:val="408E3CFE"/>
    <w:rsid w:val="40A971B0"/>
    <w:rsid w:val="415972F5"/>
    <w:rsid w:val="41755AFB"/>
    <w:rsid w:val="417E3DFD"/>
    <w:rsid w:val="41B11DA3"/>
    <w:rsid w:val="41FD666D"/>
    <w:rsid w:val="42363AE4"/>
    <w:rsid w:val="4279224C"/>
    <w:rsid w:val="42972BCC"/>
    <w:rsid w:val="42C41E24"/>
    <w:rsid w:val="431C1B42"/>
    <w:rsid w:val="431E6B5D"/>
    <w:rsid w:val="43533C20"/>
    <w:rsid w:val="43542786"/>
    <w:rsid w:val="43D2652D"/>
    <w:rsid w:val="44373FFB"/>
    <w:rsid w:val="445A34E7"/>
    <w:rsid w:val="445C7035"/>
    <w:rsid w:val="44A00541"/>
    <w:rsid w:val="44AD4835"/>
    <w:rsid w:val="452178C6"/>
    <w:rsid w:val="452F4F21"/>
    <w:rsid w:val="45B754EF"/>
    <w:rsid w:val="46052955"/>
    <w:rsid w:val="466E6504"/>
    <w:rsid w:val="47721B46"/>
    <w:rsid w:val="484D79E5"/>
    <w:rsid w:val="485E2C37"/>
    <w:rsid w:val="48B90C6B"/>
    <w:rsid w:val="4916306B"/>
    <w:rsid w:val="498B21B5"/>
    <w:rsid w:val="49B63741"/>
    <w:rsid w:val="49C02B87"/>
    <w:rsid w:val="4A3B3017"/>
    <w:rsid w:val="4AB61CA3"/>
    <w:rsid w:val="4B066D97"/>
    <w:rsid w:val="4B87425D"/>
    <w:rsid w:val="4B9111DA"/>
    <w:rsid w:val="4BA45DBB"/>
    <w:rsid w:val="4BAE4AF4"/>
    <w:rsid w:val="4C5770B6"/>
    <w:rsid w:val="4C5A1839"/>
    <w:rsid w:val="4C7572CD"/>
    <w:rsid w:val="4C9F74B1"/>
    <w:rsid w:val="4CED79F8"/>
    <w:rsid w:val="4D426FC0"/>
    <w:rsid w:val="4DD059E1"/>
    <w:rsid w:val="4DED0341"/>
    <w:rsid w:val="4E033D40"/>
    <w:rsid w:val="4E0E49B4"/>
    <w:rsid w:val="4E1A19F6"/>
    <w:rsid w:val="4E294FCA"/>
    <w:rsid w:val="4E456F05"/>
    <w:rsid w:val="4E603CD2"/>
    <w:rsid w:val="4ECC5CC5"/>
    <w:rsid w:val="4F01352B"/>
    <w:rsid w:val="4F2547B0"/>
    <w:rsid w:val="4F385E88"/>
    <w:rsid w:val="4F9A75BC"/>
    <w:rsid w:val="500C7739"/>
    <w:rsid w:val="50333805"/>
    <w:rsid w:val="50406C68"/>
    <w:rsid w:val="50656FCA"/>
    <w:rsid w:val="512129F0"/>
    <w:rsid w:val="512E4FFA"/>
    <w:rsid w:val="51835AAE"/>
    <w:rsid w:val="51971635"/>
    <w:rsid w:val="519C3A27"/>
    <w:rsid w:val="51E444D7"/>
    <w:rsid w:val="52272A53"/>
    <w:rsid w:val="52634E37"/>
    <w:rsid w:val="52B171FA"/>
    <w:rsid w:val="535D565D"/>
    <w:rsid w:val="535F77DB"/>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23A99"/>
    <w:rsid w:val="5A5C5ECC"/>
    <w:rsid w:val="5A6C5452"/>
    <w:rsid w:val="5A807E92"/>
    <w:rsid w:val="5A864044"/>
    <w:rsid w:val="5A873F8B"/>
    <w:rsid w:val="5B5A6CFE"/>
    <w:rsid w:val="5B896B40"/>
    <w:rsid w:val="5BD55FCE"/>
    <w:rsid w:val="5BD85C58"/>
    <w:rsid w:val="5C227DB6"/>
    <w:rsid w:val="5D02210A"/>
    <w:rsid w:val="5D40278C"/>
    <w:rsid w:val="5D46011A"/>
    <w:rsid w:val="5D65502F"/>
    <w:rsid w:val="5DD06C57"/>
    <w:rsid w:val="5DFB6CB9"/>
    <w:rsid w:val="5E9E2A34"/>
    <w:rsid w:val="5EAD3880"/>
    <w:rsid w:val="5F14140D"/>
    <w:rsid w:val="5F8A64CA"/>
    <w:rsid w:val="5FC3025C"/>
    <w:rsid w:val="5FDD0E56"/>
    <w:rsid w:val="60086C66"/>
    <w:rsid w:val="60595BE0"/>
    <w:rsid w:val="60F40D61"/>
    <w:rsid w:val="611D63FB"/>
    <w:rsid w:val="6124336C"/>
    <w:rsid w:val="6152493E"/>
    <w:rsid w:val="617270AD"/>
    <w:rsid w:val="62115573"/>
    <w:rsid w:val="625A33E9"/>
    <w:rsid w:val="62A80031"/>
    <w:rsid w:val="62CD0FA5"/>
    <w:rsid w:val="62F01E0F"/>
    <w:rsid w:val="62F820BE"/>
    <w:rsid w:val="630F6A0E"/>
    <w:rsid w:val="63274214"/>
    <w:rsid w:val="63AD5092"/>
    <w:rsid w:val="644D2F22"/>
    <w:rsid w:val="64884D94"/>
    <w:rsid w:val="648D1ADE"/>
    <w:rsid w:val="64C25323"/>
    <w:rsid w:val="652A05D1"/>
    <w:rsid w:val="65494330"/>
    <w:rsid w:val="65A74DD4"/>
    <w:rsid w:val="65C57E73"/>
    <w:rsid w:val="65D51AA7"/>
    <w:rsid w:val="65F81FA5"/>
    <w:rsid w:val="660B1854"/>
    <w:rsid w:val="661B3639"/>
    <w:rsid w:val="66286A3B"/>
    <w:rsid w:val="665530AA"/>
    <w:rsid w:val="667306C5"/>
    <w:rsid w:val="667818A0"/>
    <w:rsid w:val="6690050B"/>
    <w:rsid w:val="66C94D5E"/>
    <w:rsid w:val="681C674F"/>
    <w:rsid w:val="68836DC3"/>
    <w:rsid w:val="6887648C"/>
    <w:rsid w:val="68EA31C9"/>
    <w:rsid w:val="68FE71CA"/>
    <w:rsid w:val="68FF5939"/>
    <w:rsid w:val="691B4A91"/>
    <w:rsid w:val="69297877"/>
    <w:rsid w:val="692B5915"/>
    <w:rsid w:val="692C6424"/>
    <w:rsid w:val="69352903"/>
    <w:rsid w:val="6A0B4089"/>
    <w:rsid w:val="6AD356BF"/>
    <w:rsid w:val="6B33205C"/>
    <w:rsid w:val="6B434652"/>
    <w:rsid w:val="6B9E7527"/>
    <w:rsid w:val="6BA960B3"/>
    <w:rsid w:val="6BEB1B2A"/>
    <w:rsid w:val="6C3D3FC5"/>
    <w:rsid w:val="6CE6394F"/>
    <w:rsid w:val="6D3210FD"/>
    <w:rsid w:val="6D783D26"/>
    <w:rsid w:val="6DEF510F"/>
    <w:rsid w:val="6DF01F33"/>
    <w:rsid w:val="6E146C1B"/>
    <w:rsid w:val="6E9523F6"/>
    <w:rsid w:val="6F275C2F"/>
    <w:rsid w:val="6F3254E8"/>
    <w:rsid w:val="6F5B4BA2"/>
    <w:rsid w:val="6F615273"/>
    <w:rsid w:val="6FD91E50"/>
    <w:rsid w:val="6FEB37AA"/>
    <w:rsid w:val="70F328F1"/>
    <w:rsid w:val="711F0324"/>
    <w:rsid w:val="715E6563"/>
    <w:rsid w:val="71635BDF"/>
    <w:rsid w:val="724E2F94"/>
    <w:rsid w:val="725620A9"/>
    <w:rsid w:val="72CE6A57"/>
    <w:rsid w:val="730B78D2"/>
    <w:rsid w:val="735F1183"/>
    <w:rsid w:val="73BA3D76"/>
    <w:rsid w:val="73ED7C13"/>
    <w:rsid w:val="745E3FF9"/>
    <w:rsid w:val="747A11FA"/>
    <w:rsid w:val="7593678E"/>
    <w:rsid w:val="75A422A1"/>
    <w:rsid w:val="76525BE7"/>
    <w:rsid w:val="76573A8E"/>
    <w:rsid w:val="76BF62FB"/>
    <w:rsid w:val="76C259ED"/>
    <w:rsid w:val="76D550BD"/>
    <w:rsid w:val="77161162"/>
    <w:rsid w:val="77506C1B"/>
    <w:rsid w:val="78CE2547"/>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725124"/>
    <w:rsid w:val="7E815898"/>
    <w:rsid w:val="7F43615B"/>
    <w:rsid w:val="7F4A1012"/>
    <w:rsid w:val="7F744FDF"/>
    <w:rsid w:val="7FC5755B"/>
    <w:rsid w:val="7FCA225D"/>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1"/>
    <w:pPr>
      <w:spacing w:before="36"/>
      <w:ind w:left="780"/>
      <w:jc w:val="left"/>
    </w:pPr>
    <w:rPr>
      <w:rFonts w:ascii="宋体" w:hAnsi="宋体" w:eastAsia="宋体"/>
      <w:kern w:val="0"/>
      <w:szCs w:val="21"/>
      <w:lang w:eastAsia="en-US"/>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42"/>
    <w:unhideWhenUsed/>
    <w:qFormat/>
    <w:uiPriority w:val="99"/>
    <w:pPr>
      <w:jc w:val="left"/>
    </w:pPr>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eastAsia="等线" w:cs="等线"/>
    </w:rPr>
  </w:style>
  <w:style w:type="paragraph" w:styleId="10">
    <w:name w:val="toc 3"/>
    <w:basedOn w:val="1"/>
    <w:next w:val="1"/>
    <w:unhideWhenUsed/>
    <w:qFormat/>
    <w:uiPriority w:val="39"/>
    <w:pPr>
      <w:widowControl/>
      <w:spacing w:after="100" w:line="259" w:lineRule="auto"/>
      <w:ind w:left="440"/>
    </w:pPr>
    <w:rPr>
      <w:rFonts w:cs="Times New Roman"/>
      <w:lang w:eastAsia="zh-CN"/>
    </w:rPr>
  </w:style>
  <w:style w:type="paragraph" w:styleId="11">
    <w:name w:val="Body Text Indent 2"/>
    <w:basedOn w:val="1"/>
    <w:qFormat/>
    <w:uiPriority w:val="0"/>
    <w:pPr>
      <w:tabs>
        <w:tab w:val="left" w:pos="480"/>
        <w:tab w:val="left" w:pos="1080"/>
        <w:tab w:val="left" w:pos="7200"/>
      </w:tabs>
      <w:spacing w:line="360" w:lineRule="atLeast"/>
      <w:ind w:left="720" w:hanging="567"/>
      <w:jc w:val="both"/>
    </w:pPr>
    <w:rPr>
      <w:rFonts w:ascii="Arial" w:hAnsi="Arial"/>
      <w:sz w:val="24"/>
    </w:rPr>
  </w:style>
  <w:style w:type="paragraph" w:styleId="12">
    <w:name w:val="Balloon Text"/>
    <w:basedOn w:val="1"/>
    <w:link w:val="41"/>
    <w:semiHidden/>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itle"/>
    <w:basedOn w:val="1"/>
    <w:qFormat/>
    <w:uiPriority w:val="0"/>
    <w:pPr>
      <w:spacing w:before="240" w:after="60"/>
      <w:jc w:val="center"/>
      <w:outlineLvl w:val="0"/>
    </w:pPr>
    <w:rPr>
      <w:rFonts w:ascii="Arial" w:hAnsi="Arial" w:eastAsia="楷体_GB2312"/>
      <w:b/>
      <w:bCs/>
      <w:sz w:val="32"/>
      <w:szCs w:val="32"/>
    </w:rPr>
  </w:style>
  <w:style w:type="paragraph" w:styleId="16">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customStyle="1" w:styleId="34">
    <w:name w:val="BodyText1I2"/>
    <w:basedOn w:val="35"/>
    <w:qFormat/>
    <w:uiPriority w:val="0"/>
    <w:pPr>
      <w:spacing w:after="0"/>
    </w:pPr>
    <w:rPr>
      <w:rFonts w:ascii="Calibri" w:hAnsi="Calibri"/>
    </w:rPr>
  </w:style>
  <w:style w:type="paragraph" w:customStyle="1" w:styleId="35">
    <w:name w:val="BodyTextIndent"/>
    <w:basedOn w:val="1"/>
    <w:next w:val="36"/>
    <w:qFormat/>
    <w:uiPriority w:val="0"/>
    <w:pPr>
      <w:spacing w:after="120"/>
      <w:ind w:left="200" w:leftChars="200"/>
      <w:textAlignment w:val="baseline"/>
    </w:pPr>
    <w:rPr>
      <w:rFonts w:ascii="Times New Roman" w:hAnsi="Times New Roman"/>
      <w:szCs w:val="24"/>
    </w:rPr>
  </w:style>
  <w:style w:type="paragraph" w:customStyle="1" w:styleId="36">
    <w:name w:val="NormalIndent"/>
    <w:basedOn w:val="1"/>
    <w:qFormat/>
    <w:uiPriority w:val="0"/>
    <w:pPr>
      <w:textAlignment w:val="baseline"/>
    </w:pPr>
    <w:rPr>
      <w:rFonts w:ascii="Times New Roman" w:hAnsi="Times New Roman" w:eastAsia="仿宋"/>
      <w:sz w:val="32"/>
      <w:szCs w:val="24"/>
    </w:rPr>
  </w:style>
  <w:style w:type="paragraph" w:customStyle="1" w:styleId="37">
    <w:name w:val="书目1"/>
    <w:basedOn w:val="1"/>
    <w:next w:val="1"/>
    <w:unhideWhenUsed/>
    <w:qFormat/>
    <w:uiPriority w:val="37"/>
  </w:style>
  <w:style w:type="paragraph" w:styleId="38">
    <w:name w:val="List Paragraph"/>
    <w:basedOn w:val="1"/>
    <w:qFormat/>
    <w:uiPriority w:val="34"/>
    <w:pPr>
      <w:widowControl/>
      <w:ind w:firstLine="420"/>
    </w:pPr>
    <w:rPr>
      <w:rFonts w:ascii="Calibri" w:hAnsi="Calibri" w:eastAsia="宋体" w:cs="Calibri"/>
      <w:kern w:val="0"/>
      <w:szCs w:val="21"/>
    </w:rPr>
  </w:style>
  <w:style w:type="character" w:customStyle="1" w:styleId="39">
    <w:name w:val="页眉 字符"/>
    <w:basedOn w:val="20"/>
    <w:link w:val="14"/>
    <w:qFormat/>
    <w:uiPriority w:val="0"/>
    <w:rPr>
      <w:sz w:val="18"/>
      <w:szCs w:val="18"/>
    </w:rPr>
  </w:style>
  <w:style w:type="character" w:customStyle="1" w:styleId="40">
    <w:name w:val="页脚 字符"/>
    <w:basedOn w:val="20"/>
    <w:link w:val="13"/>
    <w:qFormat/>
    <w:uiPriority w:val="99"/>
    <w:rPr>
      <w:sz w:val="18"/>
      <w:szCs w:val="18"/>
    </w:rPr>
  </w:style>
  <w:style w:type="character" w:customStyle="1" w:styleId="41">
    <w:name w:val="批注框文本 字符"/>
    <w:basedOn w:val="20"/>
    <w:link w:val="12"/>
    <w:semiHidden/>
    <w:qFormat/>
    <w:uiPriority w:val="99"/>
    <w:rPr>
      <w:sz w:val="18"/>
      <w:szCs w:val="18"/>
    </w:rPr>
  </w:style>
  <w:style w:type="character" w:customStyle="1" w:styleId="42">
    <w:name w:val="批注文字 字符"/>
    <w:basedOn w:val="20"/>
    <w:link w:val="7"/>
    <w:qFormat/>
    <w:uiPriority w:val="99"/>
  </w:style>
  <w:style w:type="paragraph" w:customStyle="1" w:styleId="43">
    <w:name w:val="Table Paragraph"/>
    <w:basedOn w:val="1"/>
    <w:qFormat/>
    <w:uiPriority w:val="0"/>
    <w:pPr>
      <w:jc w:val="left"/>
    </w:pPr>
    <w:rPr>
      <w:kern w:val="0"/>
      <w:sz w:val="22"/>
      <w:lang w:eastAsia="en-US"/>
    </w:rPr>
  </w:style>
  <w:style w:type="paragraph" w:customStyle="1" w:styleId="44">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5">
    <w:name w:val="正文文本 字符"/>
    <w:basedOn w:val="20"/>
    <w:link w:val="2"/>
    <w:qFormat/>
    <w:uiPriority w:val="1"/>
    <w:rPr>
      <w:rFonts w:ascii="宋体" w:hAnsi="宋体" w:cstheme="minorBidi"/>
      <w:sz w:val="21"/>
      <w:szCs w:val="21"/>
      <w:lang w:eastAsia="en-US"/>
    </w:rPr>
  </w:style>
  <w:style w:type="character" w:customStyle="1" w:styleId="46">
    <w:name w:val="font41"/>
    <w:basedOn w:val="20"/>
    <w:qFormat/>
    <w:uiPriority w:val="0"/>
    <w:rPr>
      <w:rFonts w:hint="eastAsia" w:ascii="宋体" w:hAnsi="宋体" w:eastAsia="宋体" w:cs="宋体"/>
      <w:color w:val="000000"/>
      <w:sz w:val="21"/>
      <w:szCs w:val="21"/>
      <w:u w:val="none"/>
    </w:rPr>
  </w:style>
  <w:style w:type="character" w:customStyle="1" w:styleId="47">
    <w:name w:val="font31"/>
    <w:basedOn w:val="20"/>
    <w:qFormat/>
    <w:uiPriority w:val="0"/>
    <w:rPr>
      <w:rFonts w:hint="default" w:ascii="Times New Roman" w:hAnsi="Times New Roman" w:cs="Times New Roman"/>
      <w:color w:val="000000"/>
      <w:sz w:val="21"/>
      <w:szCs w:val="21"/>
      <w:u w:val="none"/>
    </w:rPr>
  </w:style>
  <w:style w:type="paragraph" w:customStyle="1" w:styleId="48">
    <w:name w:val="默认段落字体 Para Char"/>
    <w:basedOn w:val="49"/>
    <w:next w:val="1"/>
    <w:qFormat/>
    <w:uiPriority w:val="0"/>
    <w:pPr>
      <w:widowControl w:val="0"/>
      <w:spacing w:before="80" w:after="80" w:line="360" w:lineRule="auto"/>
      <w:jc w:val="both"/>
    </w:pPr>
    <w:rPr>
      <w:rFonts w:ascii="Calibri" w:hAnsi="Calibri" w:cs="Times New Roman"/>
      <w:kern w:val="2"/>
      <w:szCs w:val="20"/>
    </w:rPr>
  </w:style>
  <w:style w:type="paragraph" w:customStyle="1" w:styleId="49">
    <w:name w:val="Normal_0"/>
    <w:next w:val="48"/>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Normal_1"/>
    <w:next w:val="48"/>
    <w:qFormat/>
    <w:uiPriority w:val="0"/>
    <w:rPr>
      <w:rFonts w:ascii="Times New Roman" w:hAnsi="Times New Roman" w:eastAsia="Times New Roman" w:cs="Times New Roman"/>
      <w:sz w:val="24"/>
      <w:szCs w:val="24"/>
    </w:rPr>
  </w:style>
  <w:style w:type="paragraph" w:customStyle="1" w:styleId="52">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4">
    <w:name w:val="font01"/>
    <w:basedOn w:val="20"/>
    <w:qFormat/>
    <w:uiPriority w:val="0"/>
    <w:rPr>
      <w:rFonts w:hint="eastAsia" w:ascii="宋体" w:hAnsi="宋体" w:eastAsia="宋体" w:cs="宋体"/>
      <w:color w:val="000000"/>
      <w:sz w:val="20"/>
      <w:szCs w:val="20"/>
      <w:u w:val="none"/>
    </w:rPr>
  </w:style>
  <w:style w:type="character" w:customStyle="1" w:styleId="55">
    <w:name w:val="font51"/>
    <w:basedOn w:val="20"/>
    <w:qFormat/>
    <w:uiPriority w:val="0"/>
    <w:rPr>
      <w:rFonts w:hint="eastAsia" w:ascii="宋体" w:hAnsi="宋体" w:eastAsia="宋体" w:cs="宋体"/>
      <w:color w:val="000000"/>
      <w:sz w:val="22"/>
      <w:szCs w:val="22"/>
      <w:u w:val="none"/>
    </w:rPr>
  </w:style>
  <w:style w:type="character" w:customStyle="1" w:styleId="56">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2437</Words>
  <Characters>13896</Characters>
  <Lines>115</Lines>
  <Paragraphs>32</Paragraphs>
  <TotalTime>6</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2024-11-25T03:56:34Z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