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14:textFill>
            <w14:solidFill>
              <w14:schemeClr w14:val="tx1"/>
            </w14:solidFill>
          </w14:textFill>
        </w:rPr>
      </w:pPr>
      <w:r>
        <w:rPr>
          <w:rFonts w:hint="eastAsia" w:cs="宋体" w:asciiTheme="minorEastAsia" w:hAnsiTheme="minorEastAsia"/>
          <w:color w:val="C00000"/>
          <w:sz w:val="44"/>
          <w:szCs w:val="44"/>
        </w:rPr>
        <w:t>公开询价文件</w:t>
      </w:r>
    </w:p>
    <w:p>
      <w:pPr>
        <w:spacing w:line="360" w:lineRule="auto"/>
        <w:rPr>
          <w:rFonts w:cs="宋体" w:asciiTheme="minorEastAsia" w:hAnsiTheme="minorEastAsia"/>
          <w:color w:val="000000" w:themeColor="text1"/>
          <w:sz w:val="5"/>
          <w:szCs w:val="5"/>
          <w14:textFill>
            <w14:solidFill>
              <w14:schemeClr w14:val="tx1"/>
            </w14:solidFill>
          </w14:textFill>
        </w:rPr>
      </w:pPr>
    </w:p>
    <w:p>
      <w:pPr>
        <w:spacing w:line="360" w:lineRule="auto"/>
        <w:ind w:left="1840"/>
        <w:rPr>
          <w:rFonts w:cs="宋体" w:asciiTheme="minorEastAsia" w:hAnsiTheme="minorEastAsia"/>
          <w:color w:val="000000" w:themeColor="text1"/>
          <w:sz w:val="4"/>
          <w:szCs w:val="4"/>
          <w14:textFill>
            <w14:solidFill>
              <w14:schemeClr w14:val="tx1"/>
            </w14:solidFill>
          </w14:textFill>
        </w:rPr>
      </w:pPr>
    </w:p>
    <w:p>
      <w:pPr>
        <w:spacing w:line="360" w:lineRule="auto"/>
        <w:rPr>
          <w:rFonts w:cs="宋体" w:asciiTheme="minorEastAsia" w:hAnsiTheme="minorEastAsia"/>
          <w:color w:val="000000" w:themeColor="text1"/>
          <w:sz w:val="7"/>
          <w:szCs w:val="7"/>
          <w14:textFill>
            <w14:solidFill>
              <w14:schemeClr w14:val="tx1"/>
            </w14:solidFill>
          </w14:textFill>
        </w:rPr>
      </w:pPr>
    </w:p>
    <w:p>
      <w:pPr>
        <w:tabs>
          <w:tab w:val="left" w:pos="6373"/>
        </w:tabs>
        <w:spacing w:line="360" w:lineRule="auto"/>
        <w:ind w:right="134"/>
        <w:jc w:val="center"/>
        <w:rPr>
          <w:rFonts w:asciiTheme="minorEastAsia" w:hAnsiTheme="minorEastAsia"/>
          <w:color w:val="C00000"/>
        </w:rPr>
      </w:pPr>
      <w:r>
        <w:rPr>
          <w:rFonts w:asciiTheme="minorEastAsia" w:hAnsiTheme="minorEastAsia"/>
          <w:color w:val="C00000"/>
          <w:spacing w:val="-3"/>
        </w:rPr>
        <w:t>（</w:t>
      </w:r>
      <w:r>
        <w:rPr>
          <w:rFonts w:hint="eastAsia" w:asciiTheme="minorEastAsia" w:hAnsiTheme="minorEastAsia"/>
          <w:color w:val="C00000"/>
          <w:spacing w:val="-3"/>
        </w:rPr>
        <w:t>项目名称</w:t>
      </w:r>
      <w:r>
        <w:rPr>
          <w:rFonts w:asciiTheme="minorEastAsia" w:hAnsiTheme="minorEastAsia"/>
          <w:color w:val="C00000"/>
          <w:spacing w:val="-3"/>
        </w:rPr>
        <w:t>：</w:t>
      </w:r>
      <w:r>
        <w:rPr>
          <w:rFonts w:hint="eastAsia" w:asciiTheme="minorEastAsia" w:hAnsiTheme="minorEastAsia"/>
          <w:color w:val="C00000"/>
          <w:spacing w:val="-3"/>
          <w:u w:val="single"/>
        </w:rPr>
        <w:t>生产平台及钻井船通讯改造服务</w:t>
      </w:r>
      <w:r>
        <w:rPr>
          <w:rFonts w:asciiTheme="minorEastAsia" w:hAnsiTheme="minorEastAsia"/>
          <w:color w:val="C00000"/>
        </w:rPr>
        <w:t>）</w:t>
      </w:r>
    </w:p>
    <w:p>
      <w:pPr>
        <w:tabs>
          <w:tab w:val="left" w:pos="6373"/>
        </w:tabs>
        <w:spacing w:line="360" w:lineRule="auto"/>
        <w:ind w:right="134"/>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spacing w:val="-3"/>
          <w14:textFill>
            <w14:solidFill>
              <w14:schemeClr w14:val="tx1"/>
            </w14:solidFill>
          </w14:textFill>
        </w:rPr>
        <w:t>（采购编号：</w:t>
      </w:r>
      <w:r>
        <w:rPr>
          <w:rFonts w:hint="eastAsia" w:asciiTheme="minorEastAsia" w:hAnsiTheme="minorEastAsia"/>
          <w:color w:val="000000" w:themeColor="text1"/>
          <w:spacing w:val="-3"/>
          <w:u w:val="single"/>
          <w14:textFill>
            <w14:solidFill>
              <w14:schemeClr w14:val="tx1"/>
            </w14:solidFill>
          </w14:textFill>
        </w:rPr>
        <w:t>GKXJ-2025-XK-0770</w:t>
      </w:r>
      <w:r>
        <w:rPr>
          <w:rFonts w:asciiTheme="minorEastAsia" w:hAnsiTheme="minorEastAsia"/>
          <w:color w:val="000000" w:themeColor="text1"/>
          <w14:textFill>
            <w14:solidFill>
              <w14:schemeClr w14:val="tx1"/>
            </w14:solidFill>
          </w14:textFill>
        </w:rPr>
        <w:t>）</w:t>
      </w:r>
    </w:p>
    <w:p>
      <w:pPr>
        <w:pStyle w:val="10"/>
        <w:rPr>
          <w:lang w:eastAsia="zh-CN"/>
        </w:rPr>
      </w:pPr>
    </w:p>
    <w:p>
      <w:pPr>
        <w:spacing w:line="360" w:lineRule="auto"/>
        <w:ind w:left="4772"/>
        <w:rPr>
          <w:rFonts w:cs="宋体" w:asciiTheme="minorEastAsia" w:hAnsiTheme="minorEastAsia"/>
          <w:color w:val="000000" w:themeColor="text1"/>
          <w:sz w:val="2"/>
          <w:szCs w:val="2"/>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tabs>
          <w:tab w:val="left" w:pos="6618"/>
        </w:tabs>
        <w:spacing w:line="360" w:lineRule="auto"/>
        <w:ind w:right="134" w:firstLine="1000" w:firstLineChars="400"/>
        <w:rPr>
          <w:rFonts w:cs="宋体" w:asciiTheme="minorEastAsia" w:hAnsiTheme="minorEastAsia"/>
          <w:color w:val="000000" w:themeColor="text1"/>
          <w:sz w:val="28"/>
          <w:szCs w:val="28"/>
          <w:u w:val="single"/>
          <w14:textFill>
            <w14:solidFill>
              <w14:schemeClr w14:val="tx1"/>
            </w14:solidFill>
          </w14:textFill>
        </w:rPr>
      </w:pPr>
      <w:r>
        <w:rPr>
          <w:rFonts w:cs="宋体" w:asciiTheme="minorEastAsia" w:hAnsiTheme="minorEastAsia"/>
          <w:color w:val="000000" w:themeColor="text1"/>
          <w:spacing w:val="-15"/>
          <w:sz w:val="28"/>
          <w:szCs w:val="28"/>
          <w14:textFill>
            <w14:solidFill>
              <w14:schemeClr w14:val="tx1"/>
            </w14:solidFill>
          </w14:textFill>
        </w:rPr>
        <w:t>采购人：</w:t>
      </w:r>
      <w:r>
        <w:rPr>
          <w:rFonts w:hint="eastAsia" w:cs="宋体" w:asciiTheme="minorEastAsia" w:hAnsiTheme="minorEastAsia"/>
          <w:color w:val="000000" w:themeColor="text1"/>
          <w:spacing w:val="-15"/>
          <w:sz w:val="28"/>
          <w:szCs w:val="28"/>
          <w:u w:val="single"/>
          <w14:textFill>
            <w14:solidFill>
              <w14:schemeClr w14:val="tx1"/>
            </w14:solidFill>
          </w14:textFill>
        </w:rPr>
        <w:t xml:space="preserve"> 中海油能源发展股份有限公司采办共享中心</w:t>
      </w:r>
      <w:r>
        <w:rPr>
          <w:rFonts w:cs="宋体" w:asciiTheme="minorEastAsia" w:hAnsiTheme="minorEastAsia"/>
          <w:color w:val="000000" w:themeColor="text1"/>
          <w:spacing w:val="-15"/>
          <w:sz w:val="28"/>
          <w:szCs w:val="28"/>
          <w:u w:val="single"/>
          <w14:textFill>
            <w14:solidFill>
              <w14:schemeClr w14:val="tx1"/>
            </w14:solidFill>
          </w14:textFill>
        </w:rPr>
        <w:t xml:space="preserve">     </w:t>
      </w:r>
    </w:p>
    <w:p>
      <w:pPr>
        <w:spacing w:line="360" w:lineRule="auto"/>
        <w:rPr>
          <w:rFonts w:cs="宋体" w:asciiTheme="minorEastAsia" w:hAnsiTheme="minorEastAsia"/>
          <w:color w:val="000000" w:themeColor="text1"/>
          <w:sz w:val="19"/>
          <w:szCs w:val="19"/>
          <w14:textFill>
            <w14:solidFill>
              <w14:schemeClr w14:val="tx1"/>
            </w14:solidFill>
          </w14:textFill>
        </w:rPr>
      </w:pPr>
    </w:p>
    <w:p>
      <w:pPr>
        <w:ind w:firstLine="3920" w:firstLineChars="1400"/>
        <w:rPr>
          <w:rFonts w:cs="宋体"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u w:val="single" w:color="000000"/>
          <w14:textFill>
            <w14:solidFill>
              <w14:schemeClr w14:val="tx1"/>
            </w14:solidFill>
          </w14:textFill>
        </w:rPr>
        <w:t>202</w:t>
      </w:r>
      <w:r>
        <w:rPr>
          <w:rFonts w:hint="eastAsia" w:cs="Times New Roman" w:asciiTheme="minorEastAsia" w:hAnsiTheme="minorEastAsia"/>
          <w:color w:val="000000" w:themeColor="text1"/>
          <w:sz w:val="28"/>
          <w:szCs w:val="28"/>
          <w:u w:val="single" w:color="000000"/>
          <w:lang w:val="en-US" w:eastAsia="zh-CN"/>
          <w14:textFill>
            <w14:solidFill>
              <w14:schemeClr w14:val="tx1"/>
            </w14:solidFill>
          </w14:textFill>
        </w:rPr>
        <w:t>5</w:t>
      </w:r>
      <w:r>
        <w:rPr>
          <w:rFonts w:cs="宋体" w:asciiTheme="minorEastAsia" w:hAnsiTheme="minorEastAsia"/>
          <w:color w:val="000000" w:themeColor="text1"/>
          <w:sz w:val="28"/>
          <w:szCs w:val="28"/>
          <w14:textFill>
            <w14:solidFill>
              <w14:schemeClr w14:val="tx1"/>
            </w14:solidFill>
          </w14:textFill>
        </w:rPr>
        <w:t>年</w:t>
      </w:r>
      <w:r>
        <w:rPr>
          <w:rFonts w:cs="Times New Roman" w:asciiTheme="minorEastAsia" w:hAnsiTheme="minorEastAsia"/>
          <w:color w:val="000000" w:themeColor="text1"/>
          <w:sz w:val="28"/>
          <w:szCs w:val="28"/>
          <w:u w:val="single" w:color="000000"/>
          <w14:textFill>
            <w14:solidFill>
              <w14:schemeClr w14:val="tx1"/>
            </w14:solidFill>
          </w14:textFill>
        </w:rPr>
        <w:tab/>
      </w:r>
      <w:r>
        <w:rPr>
          <w:rFonts w:cs="Times New Roman" w:asciiTheme="minorEastAsia" w:hAnsiTheme="minorEastAsia"/>
          <w:color w:val="000000" w:themeColor="text1"/>
          <w:sz w:val="28"/>
          <w:szCs w:val="28"/>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u w:val="single" w:color="000000"/>
          <w:lang w:val="en-US" w:eastAsia="zh-CN"/>
          <w14:textFill>
            <w14:solidFill>
              <w14:schemeClr w14:val="tx1"/>
            </w14:solidFill>
          </w14:textFill>
        </w:rPr>
        <w:t>4</w:t>
      </w:r>
      <w:r>
        <w:rPr>
          <w:rFonts w:cs="Times New Roman" w:asciiTheme="minorEastAsia" w:hAnsiTheme="minorEastAsia"/>
          <w:color w:val="000000" w:themeColor="text1"/>
          <w:sz w:val="28"/>
          <w:szCs w:val="28"/>
          <w:u w:val="single" w:color="000000"/>
          <w14:textFill>
            <w14:solidFill>
              <w14:schemeClr w14:val="tx1"/>
            </w14:solidFill>
          </w14:textFill>
        </w:rPr>
        <w:t xml:space="preserve"> </w:t>
      </w:r>
      <w:r>
        <w:rPr>
          <w:rFonts w:cs="宋体" w:asciiTheme="minorEastAsia" w:hAnsiTheme="minorEastAsia"/>
          <w:color w:val="000000" w:themeColor="text1"/>
          <w:sz w:val="28"/>
          <w:szCs w:val="28"/>
          <w14:textFill>
            <w14:solidFill>
              <w14:schemeClr w14:val="tx1"/>
            </w14:solidFill>
          </w14:textFill>
        </w:rPr>
        <w:t>月</w:t>
      </w:r>
      <w:r>
        <w:rPr>
          <w:rFonts w:cs="Times New Roman" w:asciiTheme="minorEastAsia" w:hAnsiTheme="minorEastAsia"/>
          <w:color w:val="000000" w:themeColor="text1"/>
          <w:sz w:val="28"/>
          <w:szCs w:val="28"/>
          <w:u w:val="single" w:color="000000"/>
          <w14:textFill>
            <w14:solidFill>
              <w14:schemeClr w14:val="tx1"/>
            </w14:solidFill>
          </w14:textFill>
        </w:rPr>
        <w:tab/>
      </w:r>
      <w:r>
        <w:rPr>
          <w:rFonts w:hint="eastAsia" w:cs="Times New Roman" w:asciiTheme="minorEastAsia" w:hAnsiTheme="minorEastAsia"/>
          <w:color w:val="000000" w:themeColor="text1"/>
          <w:sz w:val="28"/>
          <w:szCs w:val="28"/>
          <w:u w:val="single" w:color="000000"/>
          <w:lang w:val="en-US" w:eastAsia="zh-CN"/>
          <w14:textFill>
            <w14:solidFill>
              <w14:schemeClr w14:val="tx1"/>
            </w14:solidFill>
          </w14:textFill>
        </w:rPr>
        <w:t>8</w:t>
      </w:r>
      <w:r>
        <w:rPr>
          <w:rFonts w:cs="宋体" w:asciiTheme="minorEastAsia" w:hAnsiTheme="minorEastAsia"/>
          <w:color w:val="000000" w:themeColor="text1"/>
          <w:sz w:val="28"/>
          <w:szCs w:val="28"/>
          <w14:textFill>
            <w14:solidFill>
              <w14:schemeClr w14:val="tx1"/>
            </w14:solidFill>
          </w14:textFill>
        </w:rPr>
        <w:t>日</w:t>
      </w:r>
    </w:p>
    <w:p>
      <w:pPr>
        <w:spacing w:line="360" w:lineRule="auto"/>
        <w:jc w:val="left"/>
        <w:rPr>
          <w:rFonts w:asciiTheme="minorEastAsia" w:hAnsiTheme="minorEastAsia"/>
          <w:color w:val="000000" w:themeColor="text1"/>
          <w:sz w:val="24"/>
          <w:szCs w:val="24"/>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rPr>
          <w:rFonts w:asciiTheme="minorEastAsia" w:hAnsiTheme="minorEastAsia" w:cstheme="minorEastAsia"/>
          <w:b/>
          <w:bCs/>
          <w:color w:val="000000" w:themeColor="text1"/>
          <w:sz w:val="40"/>
          <w:szCs w:val="40"/>
          <w14:textFill>
            <w14:solidFill>
              <w14:schemeClr w14:val="tx1"/>
            </w14:solidFill>
          </w14:textFill>
        </w:rPr>
      </w:pPr>
      <w:r>
        <w:rPr>
          <w:rFonts w:hint="eastAsia" w:asciiTheme="minorEastAsia" w:hAnsiTheme="minorEastAsia" w:cstheme="minorEastAsia"/>
          <w:b/>
          <w:bCs/>
          <w:color w:val="000000" w:themeColor="text1"/>
          <w:sz w:val="40"/>
          <w:szCs w:val="40"/>
          <w14:textFill>
            <w14:solidFill>
              <w14:schemeClr w14:val="tx1"/>
            </w14:solidFill>
          </w14:textFill>
        </w:rPr>
        <w:br w:type="page"/>
      </w: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outlineLvl w:val="0"/>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14:textFill>
            <w14:solidFill>
              <w14:schemeClr w14:val="tx1"/>
            </w14:solidFill>
          </w14:textFill>
        </w:rPr>
      </w:pPr>
    </w:p>
    <w:p>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海油发展采办共享中心对</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生产平台及钻井船通讯改造服务</w:t>
      </w:r>
      <w:r>
        <w:rPr>
          <w:rFonts w:hint="eastAsia" w:asciiTheme="minorEastAsia" w:hAnsiTheme="minorEastAsia"/>
          <w:color w:val="000000" w:themeColor="text1"/>
          <w:szCs w:val="21"/>
          <w14:textFill>
            <w14:solidFill>
              <w14:schemeClr w14:val="tx1"/>
            </w14:solidFill>
          </w14:textFill>
        </w:rPr>
        <w:t>项目进行公开询价采购，欢迎供应商参加。现将有关事项明确如下：</w:t>
      </w:r>
    </w:p>
    <w:p>
      <w:pPr>
        <w:spacing w:line="360" w:lineRule="auto"/>
        <w:ind w:firstLine="420"/>
        <w:outlineLvl w:val="1"/>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总则</w:t>
      </w:r>
    </w:p>
    <w:p>
      <w:pPr>
        <w:spacing w:line="360" w:lineRule="auto"/>
        <w:ind w:firstLine="42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14:textFill>
            <w14:solidFill>
              <w14:schemeClr w14:val="tx1"/>
            </w14:solidFill>
          </w14:textFill>
        </w:rPr>
        <w:t>.合格的应答人：符合询价公告的供应商资格条件。</w:t>
      </w:r>
    </w:p>
    <w:p>
      <w:pPr>
        <w:spacing w:line="360" w:lineRule="auto"/>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2.采购内容、技术参数及要求：见本询价文件附件</w:t>
      </w:r>
      <w:r>
        <w:rPr>
          <w:rFonts w:asciiTheme="minorEastAsia" w:hAnsi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14:textFill>
            <w14:solidFill>
              <w14:schemeClr w14:val="tx1"/>
            </w14:solidFill>
          </w14:textFill>
        </w:rPr>
        <w:t>。</w:t>
      </w:r>
    </w:p>
    <w:p>
      <w:pPr>
        <w:spacing w:line="360" w:lineRule="auto"/>
        <w:ind w:firstLine="42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.公告时间：自</w:t>
      </w:r>
      <w:r>
        <w:rPr>
          <w:rFonts w:hint="eastAsia" w:asciiTheme="minorEastAsia" w:hAnsiTheme="minorEastAsia"/>
          <w:color w:val="000000" w:themeColor="text1"/>
          <w:szCs w:val="21"/>
          <w:u w:val="single"/>
          <w14:textFill>
            <w14:solidFill>
              <w14:schemeClr w14:val="tx1"/>
            </w14:solidFill>
          </w14:textFill>
        </w:rPr>
        <w:t xml:space="preserve"> 202</w:t>
      </w:r>
      <w:r>
        <w:rPr>
          <w:rFonts w:hint="eastAsia" w:asciiTheme="minorEastAsia" w:hAnsiTheme="minorEastAsia"/>
          <w:color w:val="000000" w:themeColor="text1"/>
          <w:szCs w:val="21"/>
          <w:u w:val="single"/>
          <w:lang w:val="en-US" w:eastAsia="zh-CN"/>
          <w14:textFill>
            <w14:solidFill>
              <w14:schemeClr w14:val="tx1"/>
            </w14:solidFill>
          </w14:textFill>
        </w:rPr>
        <w:t>5</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4</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8</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日起至</w:t>
      </w:r>
      <w:r>
        <w:rPr>
          <w:rFonts w:hint="eastAsia" w:asciiTheme="minorEastAsia" w:hAnsiTheme="minorEastAsia"/>
          <w:color w:val="000000" w:themeColor="text1"/>
          <w:szCs w:val="21"/>
          <w:u w:val="single"/>
          <w14:textFill>
            <w14:solidFill>
              <w14:schemeClr w14:val="tx1"/>
            </w14:solidFill>
          </w14:textFill>
        </w:rPr>
        <w:t xml:space="preserve">   202</w:t>
      </w:r>
      <w:r>
        <w:rPr>
          <w:rFonts w:hint="eastAsia" w:asciiTheme="minorEastAsia" w:hAnsiTheme="minorEastAsia"/>
          <w:color w:val="000000" w:themeColor="text1"/>
          <w:szCs w:val="21"/>
          <w:u w:val="single"/>
          <w:lang w:val="en-US" w:eastAsia="zh-CN"/>
          <w14:textFill>
            <w14:solidFill>
              <w14:schemeClr w14:val="tx1"/>
            </w14:solidFill>
          </w14:textFill>
        </w:rPr>
        <w:t>5</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4</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14</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采购人</w:t>
      </w:r>
      <w:r>
        <w:rPr>
          <w:rFonts w:asciiTheme="minorEastAsia" w:hAnsiTheme="minorEastAsia"/>
          <w:color w:val="000000" w:themeColor="text1"/>
          <w:szCs w:val="21"/>
          <w14:textFill>
            <w14:solidFill>
              <w14:schemeClr w14:val="tx1"/>
            </w14:solidFill>
          </w14:textFill>
        </w:rPr>
        <w:t>于</w:t>
      </w:r>
      <w:r>
        <w:rPr>
          <w:rFonts w:hint="eastAsia" w:asciiTheme="minorEastAsia" w:hAnsiTheme="minorEastAsia"/>
          <w:color w:val="000000" w:themeColor="text1"/>
          <w:szCs w:val="21"/>
          <w:u w:val="single"/>
          <w14:textFill>
            <w14:solidFill>
              <w14:schemeClr w14:val="tx1"/>
            </w14:solidFill>
          </w14:textFill>
        </w:rPr>
        <w:t xml:space="preserve"> 202</w:t>
      </w:r>
      <w:r>
        <w:rPr>
          <w:rFonts w:hint="eastAsia" w:asciiTheme="minorEastAsia" w:hAnsiTheme="minorEastAsia"/>
          <w:color w:val="000000" w:themeColor="text1"/>
          <w:szCs w:val="21"/>
          <w:u w:val="single"/>
          <w:lang w:val="en-US" w:eastAsia="zh-CN"/>
          <w14:textFill>
            <w14:solidFill>
              <w14:schemeClr w14:val="tx1"/>
            </w14:solidFill>
          </w14:textFill>
        </w:rPr>
        <w:t>5</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4</w:t>
      </w:r>
      <w:r>
        <w:rPr>
          <w:rFonts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8</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日（北京时间</w:t>
      </w:r>
      <w:r>
        <w:rPr>
          <w:rFonts w:hint="eastAsia" w:asciiTheme="minorEastAsia" w:hAnsiTheme="minorEastAsia"/>
          <w:color w:val="000000" w:themeColor="text1"/>
          <w:szCs w:val="21"/>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4.递交响应文件的截止时间及地点：递交</w:t>
      </w:r>
      <w:r>
        <w:rPr>
          <w:rFonts w:hint="eastAsia" w:asciiTheme="minorEastAsia" w:hAnsiTheme="minorEastAsia"/>
          <w:color w:val="000000" w:themeColor="text1"/>
          <w:szCs w:val="21"/>
          <w14:textFill>
            <w14:solidFill>
              <w14:schemeClr w14:val="tx1"/>
            </w14:solidFill>
          </w14:textFill>
        </w:rPr>
        <w:t>报价</w:t>
      </w:r>
      <w:r>
        <w:rPr>
          <w:rFonts w:asciiTheme="minorEastAsia" w:hAnsiTheme="minorEastAsia"/>
          <w:color w:val="000000" w:themeColor="text1"/>
          <w:szCs w:val="21"/>
          <w14:textFill>
            <w14:solidFill>
              <w14:schemeClr w14:val="tx1"/>
            </w14:solidFill>
          </w14:textFill>
        </w:rPr>
        <w:t>文件的截止时间为</w:t>
      </w:r>
      <w:r>
        <w:rPr>
          <w:rFonts w:hint="eastAsia" w:asciiTheme="minorEastAsia" w:hAnsiTheme="minorEastAsia"/>
          <w:color w:val="000000" w:themeColor="text1"/>
          <w:szCs w:val="21"/>
          <w:u w:val="single"/>
          <w14:textFill>
            <w14:solidFill>
              <w14:schemeClr w14:val="tx1"/>
            </w14:solidFill>
          </w14:textFill>
        </w:rPr>
        <w:t xml:space="preserve"> 202</w:t>
      </w:r>
      <w:r>
        <w:rPr>
          <w:rFonts w:hint="eastAsia" w:asciiTheme="minorEastAsia" w:hAnsiTheme="minorEastAsia"/>
          <w:color w:val="000000" w:themeColor="text1"/>
          <w:szCs w:val="21"/>
          <w:u w:val="single"/>
          <w:lang w:val="en-US" w:eastAsia="zh-CN"/>
          <w14:textFill>
            <w14:solidFill>
              <w14:schemeClr w14:val="tx1"/>
            </w14:solidFill>
          </w14:textFill>
        </w:rPr>
        <w:t>5</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4</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14</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日</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14</w:t>
      </w:r>
      <w:r>
        <w:rPr>
          <w:rFonts w:asciiTheme="minorEastAsia" w:hAnsiTheme="minorEastAsia"/>
          <w:color w:val="000000" w:themeColor="text1"/>
          <w:szCs w:val="21"/>
          <w14:textFill>
            <w14:solidFill>
              <w14:schemeClr w14:val="tx1"/>
            </w14:solidFill>
          </w14:textFill>
        </w:rPr>
        <w:t>时，</w:t>
      </w:r>
      <w:r>
        <w:rPr>
          <w:rFonts w:hint="eastAsia" w:asciiTheme="minorEastAsia" w:hAnsiTheme="minorEastAsia"/>
          <w:color w:val="000000" w:themeColor="text1"/>
          <w:szCs w:val="21"/>
          <w14:textFill>
            <w14:solidFill>
              <w14:schemeClr w14:val="tx1"/>
            </w14:solidFill>
          </w14:textFill>
        </w:rPr>
        <w:t>请在规定报价截止时间前通过系统报价及挂接价格明细文件。</w:t>
      </w:r>
    </w:p>
    <w:p>
      <w:pPr>
        <w:widowControl/>
        <w:snapToGrid w:val="0"/>
        <w:spacing w:line="4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5.应答人须知：</w:t>
      </w:r>
    </w:p>
    <w:p>
      <w:pPr>
        <w:widowControl/>
        <w:snapToGrid w:val="0"/>
        <w:spacing w:line="4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（1）凡参加的应答人均视作认同本次询价的各项约定事宜(包括供应商资格、技术参数、相关日期、注册、准入等)应答人不得以各类约定事宜提出质疑。</w:t>
      </w:r>
    </w:p>
    <w:p>
      <w:pPr>
        <w:pStyle w:val="7"/>
        <w:spacing w:line="360" w:lineRule="auto"/>
      </w:pPr>
      <w:r>
        <w:rPr>
          <w:rFonts w:hint="eastAsia" w:ascii="宋体" w:hAnsi="宋体" w:eastAsia="宋体" w:cs="宋体"/>
          <w:color w:val="000000" w:themeColor="text1"/>
          <w:kern w:val="0"/>
          <w:szCs w:val="21"/>
          <w14:textFill>
            <w14:solidFill>
              <w14:schemeClr w14:val="tx1"/>
            </w14:solidFill>
          </w14:textFill>
        </w:rPr>
        <w:t>（2）应答人在《中国海油供应链数字化平台》填报供应商注册信息，并在注册审核通过后，方可具备参与采购业务的基本资格，未通过注册审核的应答人应答均视为无效。</w:t>
      </w:r>
    </w:p>
    <w:p>
      <w:pPr>
        <w:pStyle w:val="48"/>
        <w:numPr>
          <w:ilvl w:val="255"/>
          <w:numId w:val="0"/>
        </w:numPr>
        <w:spacing w:line="360" w:lineRule="auto"/>
        <w:ind w:firstLine="420" w:firstLineChars="200"/>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（5）供应商履约异常处理标准，详见附件4。</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（7）其他：</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《招标投标法实施条例》第四十条　串通投标的认定</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fldChar w:fldCharType="begin"/>
      </w:r>
      <w:r>
        <w:rPr>
          <w:rFonts w:hint="eastAsia" w:ascii="宋体" w:hAnsi="宋体" w:eastAsia="宋体" w:cs="宋体"/>
          <w:color w:val="000000" w:themeColor="text1"/>
          <w:kern w:val="0"/>
          <w:szCs w:val="21"/>
          <w14:textFill>
            <w14:solidFill>
              <w14:schemeClr w14:val="tx1"/>
            </w14:solidFill>
          </w14:textFill>
        </w:rPr>
        <w:instrText xml:space="preserve"> EQ \o\ac(</w:instrText>
      </w:r>
      <w:r>
        <w:rPr>
          <w:rFonts w:hint="eastAsia" w:ascii="宋体" w:hAnsi="宋体" w:eastAsia="宋体" w:cs="宋体"/>
          <w:color w:val="000000" w:themeColor="text1"/>
          <w:kern w:val="0"/>
          <w:position w:val="-4"/>
          <w:sz w:val="31"/>
          <w:szCs w:val="21"/>
          <w14:textFill>
            <w14:solidFill>
              <w14:schemeClr w14:val="tx1"/>
            </w14:solidFill>
          </w14:textFill>
        </w:rPr>
        <w:instrText xml:space="preserve">○</w:instrText>
      </w:r>
      <w:r>
        <w:rPr>
          <w:rFonts w:hint="eastAsia" w:ascii="宋体" w:hAnsi="宋体" w:eastAsia="宋体" w:cs="宋体"/>
          <w:color w:val="000000" w:themeColor="text1"/>
          <w:kern w:val="0"/>
          <w:szCs w:val="21"/>
          <w14:textFill>
            <w14:solidFill>
              <w14:schemeClr w14:val="tx1"/>
            </w14:solidFill>
          </w14:textFill>
        </w:rPr>
        <w:instrText xml:space="preserve">,1)</w:instrText>
      </w:r>
      <w:r>
        <w:rPr>
          <w:rFonts w:hint="eastAsia" w:ascii="宋体" w:hAnsi="宋体" w:eastAsia="宋体" w:cs="宋体"/>
          <w:color w:val="000000" w:themeColor="text1"/>
          <w:kern w:val="0"/>
          <w:szCs w:val="21"/>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有下列情形之一的，视为应答人相互串通投标：</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(a)不同应答人的投标文件由同一单位或者个人编制；</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(b)不同应答人委托同一单位或者个人办理投标事宜；</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(c)不同应答人的投标文件载明的项目管理成员为同一人；</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(d)不同应答人的投标文件异常一致或者投标报价呈规律性差异；</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(e)不同应答人的投标文件相互混装；</w:t>
      </w:r>
    </w:p>
    <w:p>
      <w:pPr>
        <w:pStyle w:val="7"/>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fldChar w:fldCharType="begin"/>
      </w:r>
      <w:r>
        <w:rPr>
          <w:rFonts w:hint="eastAsia" w:ascii="宋体" w:hAnsi="宋体" w:eastAsia="宋体" w:cs="宋体"/>
          <w:color w:val="000000" w:themeColor="text1"/>
          <w:kern w:val="0"/>
          <w:szCs w:val="21"/>
          <w14:textFill>
            <w14:solidFill>
              <w14:schemeClr w14:val="tx1"/>
            </w14:solidFill>
          </w14:textFill>
        </w:rPr>
        <w:instrText xml:space="preserve"> EQ \o\ac(</w:instrText>
      </w:r>
      <w:r>
        <w:rPr>
          <w:rFonts w:hint="eastAsia" w:ascii="宋体" w:hAnsi="宋体" w:eastAsia="宋体" w:cs="宋体"/>
          <w:color w:val="000000" w:themeColor="text1"/>
          <w:kern w:val="0"/>
          <w:position w:val="-4"/>
          <w:sz w:val="31"/>
          <w:szCs w:val="21"/>
          <w14:textFill>
            <w14:solidFill>
              <w14:schemeClr w14:val="tx1"/>
            </w14:solidFill>
          </w14:textFill>
        </w:rPr>
        <w:instrText xml:space="preserve">○</w:instrText>
      </w:r>
      <w:r>
        <w:rPr>
          <w:rFonts w:hint="eastAsia" w:ascii="宋体" w:hAnsi="宋体" w:eastAsia="宋体" w:cs="宋体"/>
          <w:color w:val="000000" w:themeColor="text1"/>
          <w:kern w:val="0"/>
          <w:szCs w:val="21"/>
          <w14:textFill>
            <w14:solidFill>
              <w14:schemeClr w14:val="tx1"/>
            </w14:solidFill>
          </w14:textFill>
        </w:rPr>
        <w:instrText xml:space="preserve">,2)</w:instrText>
      </w:r>
      <w:r>
        <w:rPr>
          <w:rFonts w:hint="eastAsia" w:ascii="宋体" w:hAnsi="宋体" w:eastAsia="宋体" w:cs="宋体"/>
          <w:color w:val="000000" w:themeColor="text1"/>
          <w:kern w:val="0"/>
          <w:szCs w:val="21"/>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报价文件特征码：若发现不同应答人在采办信息系统上“报价文件特征码”环节里“文件制作机器码、文件创建标识码和MAC地址”中的任何一类内容一致时，视为应答人相互串通投标，否决所有涉及应答人的投标。</w:t>
      </w:r>
    </w:p>
    <w:p>
      <w:pPr>
        <w:widowControl/>
        <w:snapToGrid w:val="0"/>
        <w:spacing w:line="4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6.评审原则：本次采用响应询价文件要求且经评审的价格最低原则。如经评审的价格存在两家应答人一致的情形，可按照付款条件、交货期、质保期、注册资金等优先顺序确定成交供应商。</w:t>
      </w:r>
    </w:p>
    <w:p>
      <w:pPr>
        <w:widowControl/>
        <w:snapToGrid w:val="0"/>
        <w:spacing w:line="460" w:lineRule="exact"/>
        <w:ind w:firstLine="420" w:firstLineChars="200"/>
        <w:jc w:val="left"/>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7.联系方式：</w:t>
      </w:r>
    </w:p>
    <w:p>
      <w:pPr>
        <w:pStyle w:val="10"/>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采购人商务代表联系人与联系方式如下：</w:t>
      </w:r>
    </w:p>
    <w:p>
      <w:pPr>
        <w:pStyle w:val="10"/>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联系单位：海油发展采办共享中心/上海</w:t>
      </w:r>
      <w:r>
        <w:rPr>
          <w:rFonts w:hint="eastAsia" w:cs="宋体"/>
          <w:color w:val="000000" w:themeColor="text1"/>
          <w:lang w:val="en-US" w:eastAsia="zh-CN"/>
          <w14:textFill>
            <w14:solidFill>
              <w14:schemeClr w14:val="tx1"/>
            </w14:solidFill>
          </w14:textFill>
        </w:rPr>
        <w:t>区域</w:t>
      </w:r>
      <w:r>
        <w:rPr>
          <w:rFonts w:hint="eastAsia" w:cs="宋体"/>
          <w:color w:val="000000" w:themeColor="text1"/>
          <w:lang w:eastAsia="zh-CN"/>
          <w14:textFill>
            <w14:solidFill>
              <w14:schemeClr w14:val="tx1"/>
            </w14:solidFill>
          </w14:textFill>
        </w:rPr>
        <w:t>分中心</w:t>
      </w:r>
    </w:p>
    <w:p>
      <w:pPr>
        <w:pStyle w:val="10"/>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联系人：汪家佳</w:t>
      </w:r>
    </w:p>
    <w:p>
      <w:pPr>
        <w:pStyle w:val="10"/>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联系电话：0580-8011319/13587094507</w:t>
      </w:r>
    </w:p>
    <w:p>
      <w:pPr>
        <w:pStyle w:val="10"/>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邮  箱：wangjj58@cnooc.com.cn</w:t>
      </w:r>
    </w:p>
    <w:p/>
    <w:p/>
    <w:p>
      <w:pPr>
        <w:widowControl/>
        <w:snapToGrid w:val="0"/>
        <w:ind w:firstLine="210" w:firstLineChars="1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7.附件：</w:t>
      </w:r>
    </w:p>
    <w:p>
      <w:pPr>
        <w:pStyle w:val="7"/>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附件1：询价评议内容</w:t>
      </w:r>
    </w:p>
    <w:p>
      <w:pPr>
        <w:pStyle w:val="7"/>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附件2：采购内容及技术要求</w:t>
      </w:r>
    </w:p>
    <w:p>
      <w:pPr>
        <w:pStyle w:val="7"/>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附件3：合同文本</w:t>
      </w:r>
    </w:p>
    <w:p>
      <w:pPr>
        <w:pStyle w:val="7"/>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附件4：供应商履约异常处罚方式</w:t>
      </w:r>
    </w:p>
    <w:p>
      <w:pPr>
        <w:pStyle w:val="7"/>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附件5：商务文件</w:t>
      </w:r>
    </w:p>
    <w:p>
      <w:pPr>
        <w:pStyle w:val="7"/>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附件6: 技术文件</w:t>
      </w:r>
    </w:p>
    <w:p>
      <w:pPr>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附件7: 报价文件</w:t>
      </w:r>
    </w:p>
    <w:p>
      <w:pP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br w:type="page"/>
      </w:r>
    </w:p>
    <w:p>
      <w:pPr>
        <w:outlineLvl w:val="0"/>
        <w:rPr>
          <w:rFonts w:ascii="黑体" w:hAnsi="黑体" w:eastAsia="黑体"/>
          <w:sz w:val="24"/>
          <w:szCs w:val="24"/>
        </w:rPr>
      </w:pPr>
      <w:r>
        <w:rPr>
          <w:rFonts w:hint="eastAsia" w:ascii="黑体" w:hAnsi="黑体" w:eastAsia="黑体"/>
          <w:b/>
          <w:bCs/>
          <w:sz w:val="24"/>
          <w:szCs w:val="24"/>
        </w:rPr>
        <w:t>附件1：</w:t>
      </w:r>
      <w:r>
        <w:rPr>
          <w:rFonts w:hint="eastAsia" w:asciiTheme="minorEastAsia" w:hAnsiTheme="minorEastAsia" w:cstheme="minorEastAsia"/>
          <w:b/>
          <w:bCs/>
          <w:sz w:val="24"/>
          <w:szCs w:val="24"/>
        </w:rPr>
        <w:t>询价评议内容</w:t>
      </w:r>
      <w:r>
        <w:rPr>
          <w:rFonts w:hint="eastAsia" w:ascii="黑体" w:hAnsi="黑体" w:eastAsia="黑体"/>
          <w:b/>
          <w:bCs/>
          <w:sz w:val="24"/>
          <w:szCs w:val="24"/>
        </w:rPr>
        <w:t xml:space="preserve"> </w:t>
      </w:r>
      <w:r>
        <w:rPr>
          <w:rFonts w:ascii="黑体" w:hAnsi="黑体" w:eastAsia="黑体"/>
          <w:b/>
          <w:bCs/>
          <w:sz w:val="24"/>
          <w:szCs w:val="24"/>
        </w:rPr>
        <w:t xml:space="preserve"> </w:t>
      </w:r>
      <w:r>
        <w:rPr>
          <w:rFonts w:ascii="黑体" w:hAnsi="黑体" w:eastAsia="黑体"/>
          <w:sz w:val="24"/>
          <w:szCs w:val="24"/>
        </w:rPr>
        <w:t xml:space="preserve">                    </w:t>
      </w:r>
    </w:p>
    <w:p>
      <w:pPr>
        <w:ind w:firstLine="281" w:firstLineChars="100"/>
        <w:jc w:val="center"/>
        <w:rPr>
          <w:rFonts w:ascii="仿宋" w:hAnsi="仿宋" w:eastAsia="仿宋" w:cs="Calibri"/>
          <w:b/>
          <w:bCs/>
          <w:sz w:val="28"/>
          <w:szCs w:val="28"/>
        </w:rPr>
      </w:pPr>
      <w:r>
        <w:rPr>
          <w:rFonts w:hint="eastAsia" w:ascii="仿宋" w:hAnsi="仿宋" w:eastAsia="仿宋" w:cs="Calibri"/>
          <w:b/>
          <w:bCs/>
          <w:sz w:val="28"/>
          <w:szCs w:val="28"/>
        </w:rPr>
        <w:t>评议要求</w:t>
      </w:r>
    </w:p>
    <w:tbl>
      <w:tblPr>
        <w:tblStyle w:val="23"/>
        <w:tblW w:w="5614" w:type="pct"/>
        <w:jc w:val="center"/>
        <w:tblLayout w:type="autofit"/>
        <w:tblCellMar>
          <w:top w:w="0" w:type="dxa"/>
          <w:left w:w="0" w:type="dxa"/>
          <w:bottom w:w="0" w:type="dxa"/>
          <w:right w:w="0" w:type="dxa"/>
        </w:tblCellMar>
      </w:tblPr>
      <w:tblGrid>
        <w:gridCol w:w="615"/>
        <w:gridCol w:w="538"/>
        <w:gridCol w:w="2297"/>
        <w:gridCol w:w="5887"/>
      </w:tblGrid>
      <w:tr>
        <w:tblPrEx>
          <w:tblCellMar>
            <w:top w:w="0" w:type="dxa"/>
            <w:left w:w="0" w:type="dxa"/>
            <w:bottom w:w="0" w:type="dxa"/>
            <w:right w:w="0" w:type="dxa"/>
          </w:tblCellMar>
        </w:tblPrEx>
        <w:trPr>
          <w:trHeight w:val="454" w:hRule="atLeast"/>
          <w:jc w:val="center"/>
        </w:trPr>
        <w:tc>
          <w:tcPr>
            <w:tcW w:w="617" w:type="pct"/>
            <w:gridSpan w:val="2"/>
            <w:tcBorders>
              <w:top w:val="single" w:color="000000" w:sz="4" w:space="0"/>
              <w:left w:val="single" w:color="000000" w:sz="4" w:space="0"/>
              <w:bottom w:val="single" w:color="000000" w:sz="4" w:space="0"/>
              <w:right w:val="single" w:color="000000" w:sz="4" w:space="0"/>
            </w:tcBorders>
            <w:vAlign w:val="center"/>
          </w:tcPr>
          <w:p>
            <w:pPr>
              <w:pStyle w:val="48"/>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8"/>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评议内容</w:t>
            </w:r>
          </w:p>
        </w:tc>
        <w:tc>
          <w:tcPr>
            <w:tcW w:w="3152" w:type="pct"/>
            <w:tcBorders>
              <w:top w:val="single" w:color="000000" w:sz="4" w:space="0"/>
              <w:left w:val="nil"/>
              <w:bottom w:val="single" w:color="000000" w:sz="4" w:space="0"/>
              <w:right w:val="single" w:color="000000" w:sz="4" w:space="0"/>
            </w:tcBorders>
            <w:vAlign w:val="center"/>
          </w:tcPr>
          <w:p>
            <w:pPr>
              <w:pStyle w:val="48"/>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评议标准</w:t>
            </w:r>
          </w:p>
        </w:tc>
      </w:tr>
      <w:tr>
        <w:tblPrEx>
          <w:tblCellMar>
            <w:top w:w="0" w:type="dxa"/>
            <w:left w:w="0" w:type="dxa"/>
            <w:bottom w:w="0" w:type="dxa"/>
            <w:right w:w="0" w:type="dxa"/>
          </w:tblCellMar>
        </w:tblPrEx>
        <w:trPr>
          <w:trHeight w:val="454" w:hRule="atLeast"/>
          <w:jc w:val="center"/>
        </w:trPr>
        <w:tc>
          <w:tcPr>
            <w:tcW w:w="329" w:type="pct"/>
            <w:vMerge w:val="restart"/>
            <w:tcBorders>
              <w:top w:val="nil"/>
              <w:left w:val="single" w:color="000000" w:sz="6" w:space="0"/>
              <w:right w:val="single" w:color="000000" w:sz="6" w:space="0"/>
            </w:tcBorders>
            <w:vAlign w:val="center"/>
          </w:tcPr>
          <w:p>
            <w:pPr>
              <w:pStyle w:val="48"/>
              <w:spacing w:line="300" w:lineRule="exact"/>
              <w:jc w:val="center"/>
              <w:rPr>
                <w:rFonts w:ascii="仿宋" w:hAnsi="仿宋" w:eastAsia="仿宋" w:cs="仿宋"/>
                <w:bCs/>
                <w:sz w:val="21"/>
                <w:szCs w:val="21"/>
                <w:lang w:eastAsia="zh-CN"/>
              </w:rPr>
            </w:pPr>
            <w:r>
              <w:rPr>
                <w:rFonts w:hint="eastAsia" w:ascii="仿宋" w:hAnsi="仿宋" w:eastAsia="仿宋" w:cs="仿宋"/>
                <w:bCs/>
                <w:sz w:val="21"/>
                <w:szCs w:val="21"/>
                <w:lang w:eastAsia="zh-CN"/>
              </w:rPr>
              <w:t>1</w:t>
            </w:r>
          </w:p>
          <w:p>
            <w:pPr>
              <w:spacing w:line="300" w:lineRule="exact"/>
              <w:jc w:val="center"/>
              <w:rPr>
                <w:rFonts w:ascii="仿宋" w:hAnsi="仿宋" w:eastAsia="仿宋" w:cs="仿宋"/>
                <w:bCs/>
                <w:szCs w:val="21"/>
              </w:rPr>
            </w:pPr>
          </w:p>
        </w:tc>
        <w:tc>
          <w:tcPr>
            <w:tcW w:w="287" w:type="pct"/>
            <w:vMerge w:val="restart"/>
            <w:tcBorders>
              <w:top w:val="nil"/>
              <w:left w:val="nil"/>
              <w:right w:val="single" w:color="000000" w:sz="6" w:space="0"/>
            </w:tcBorders>
            <w:textDirection w:val="tbRlV"/>
            <w:vAlign w:val="center"/>
          </w:tcPr>
          <w:p>
            <w:pPr>
              <w:pStyle w:val="48"/>
              <w:spacing w:line="300" w:lineRule="exact"/>
              <w:ind w:left="113" w:right="113"/>
              <w:jc w:val="center"/>
              <w:rPr>
                <w:rFonts w:ascii="仿宋" w:hAnsi="仿宋" w:eastAsia="仿宋" w:cs="仿宋"/>
                <w:bCs/>
                <w:sz w:val="21"/>
                <w:szCs w:val="21"/>
                <w:lang w:eastAsia="zh-CN"/>
              </w:rPr>
            </w:pPr>
            <w:r>
              <w:rPr>
                <w:rFonts w:hint="eastAsia" w:ascii="仿宋" w:hAnsi="仿宋" w:eastAsia="仿宋" w:cs="仿宋"/>
                <w:bCs/>
                <w:sz w:val="21"/>
                <w:szCs w:val="21"/>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8"/>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应答人名称</w:t>
            </w:r>
          </w:p>
        </w:tc>
        <w:tc>
          <w:tcPr>
            <w:tcW w:w="3152" w:type="pct"/>
            <w:tcBorders>
              <w:top w:val="single" w:color="000000" w:sz="4" w:space="0"/>
              <w:left w:val="nil"/>
              <w:bottom w:val="single" w:color="000000" w:sz="4" w:space="0"/>
              <w:right w:val="single" w:color="000000" w:sz="4" w:space="0"/>
            </w:tcBorders>
            <w:vAlign w:val="center"/>
          </w:tcPr>
          <w:p>
            <w:pPr>
              <w:pStyle w:val="48"/>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与营业执照、资质证书（如涉及）一致；</w:t>
            </w:r>
          </w:p>
        </w:tc>
      </w:tr>
      <w:tr>
        <w:tblPrEx>
          <w:tblCellMar>
            <w:top w:w="0" w:type="dxa"/>
            <w:left w:w="0" w:type="dxa"/>
            <w:bottom w:w="0" w:type="dxa"/>
            <w:right w:w="0" w:type="dxa"/>
          </w:tblCellMar>
        </w:tblPrEx>
        <w:trPr>
          <w:trHeight w:val="454" w:hRule="atLeast"/>
          <w:jc w:val="center"/>
        </w:trPr>
        <w:tc>
          <w:tcPr>
            <w:tcW w:w="329"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7"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230" w:type="pct"/>
            <w:tcBorders>
              <w:top w:val="single" w:color="000000" w:sz="4" w:space="0"/>
              <w:left w:val="nil"/>
              <w:bottom w:val="nil"/>
              <w:right w:val="single" w:color="000000" w:sz="4" w:space="0"/>
            </w:tcBorders>
            <w:vAlign w:val="center"/>
          </w:tcPr>
          <w:p>
            <w:pPr>
              <w:pStyle w:val="48"/>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报价文件签字盖章</w:t>
            </w:r>
          </w:p>
        </w:tc>
        <w:tc>
          <w:tcPr>
            <w:tcW w:w="3152" w:type="pct"/>
            <w:tcBorders>
              <w:top w:val="single" w:color="000000" w:sz="4" w:space="0"/>
              <w:left w:val="nil"/>
              <w:bottom w:val="nil"/>
              <w:right w:val="single" w:color="000000" w:sz="4" w:space="0"/>
            </w:tcBorders>
            <w:vAlign w:val="center"/>
          </w:tcPr>
          <w:p>
            <w:pPr>
              <w:pStyle w:val="48"/>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由法定代表人（单位负责人）或其委托代理人签字并加盖单位章。由法定代表人（单位负责人）签字的，应附法定代表人（单位负责人）身份证明，由代理人签字的，应在提供法定代表人（单位负责人）身份证明基础上，补充提供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29"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7"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230" w:type="pct"/>
            <w:tcBorders>
              <w:top w:val="single" w:color="000000" w:sz="4" w:space="0"/>
              <w:left w:val="nil"/>
              <w:bottom w:val="single" w:color="000000" w:sz="4" w:space="0"/>
              <w:right w:val="single" w:color="000000" w:sz="4" w:space="0"/>
            </w:tcBorders>
            <w:vAlign w:val="center"/>
          </w:tcPr>
          <w:p>
            <w:pPr>
              <w:pStyle w:val="48"/>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报价文件格式</w:t>
            </w:r>
          </w:p>
        </w:tc>
        <w:tc>
          <w:tcPr>
            <w:tcW w:w="3152" w:type="pct"/>
            <w:tcBorders>
              <w:top w:val="single" w:color="000000" w:sz="4" w:space="0"/>
              <w:left w:val="nil"/>
              <w:bottom w:val="single" w:color="000000" w:sz="4" w:space="0"/>
              <w:right w:val="single" w:color="000000" w:sz="4" w:space="0"/>
            </w:tcBorders>
            <w:vAlign w:val="center"/>
          </w:tcPr>
          <w:p>
            <w:pPr>
              <w:rPr>
                <w:rFonts w:ascii="仿宋" w:hAnsi="仿宋" w:eastAsia="仿宋" w:cs="仿宋"/>
                <w:szCs w:val="21"/>
              </w:rPr>
            </w:pPr>
            <w:r>
              <w:rPr>
                <w:rFonts w:hint="eastAsia" w:ascii="仿宋" w:hAnsi="仿宋" w:eastAsia="仿宋" w:cs="仿宋"/>
                <w:bCs/>
                <w:szCs w:val="21"/>
              </w:rPr>
              <w:t>符合附件3：报价单格式的规定；</w:t>
            </w:r>
          </w:p>
        </w:tc>
      </w:tr>
      <w:tr>
        <w:tblPrEx>
          <w:tblCellMar>
            <w:top w:w="0" w:type="dxa"/>
            <w:left w:w="0" w:type="dxa"/>
            <w:bottom w:w="0" w:type="dxa"/>
            <w:right w:w="0" w:type="dxa"/>
          </w:tblCellMar>
        </w:tblPrEx>
        <w:trPr>
          <w:trHeight w:val="454" w:hRule="atLeast"/>
          <w:jc w:val="center"/>
        </w:trPr>
        <w:tc>
          <w:tcPr>
            <w:tcW w:w="329"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7"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230" w:type="pct"/>
            <w:tcBorders>
              <w:top w:val="single" w:color="000000" w:sz="4" w:space="0"/>
              <w:left w:val="nil"/>
              <w:bottom w:val="single" w:color="000000" w:sz="4" w:space="0"/>
              <w:right w:val="single" w:color="000000" w:sz="4" w:space="0"/>
            </w:tcBorders>
            <w:vAlign w:val="center"/>
          </w:tcPr>
          <w:p>
            <w:pPr>
              <w:pStyle w:val="48"/>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报价有效期</w:t>
            </w:r>
          </w:p>
        </w:tc>
        <w:tc>
          <w:tcPr>
            <w:tcW w:w="3152" w:type="pct"/>
            <w:tcBorders>
              <w:top w:val="single" w:color="000000" w:sz="4" w:space="0"/>
              <w:left w:val="nil"/>
              <w:bottom w:val="single" w:color="000000" w:sz="4" w:space="0"/>
              <w:right w:val="single" w:color="000000" w:sz="4" w:space="0"/>
            </w:tcBorders>
            <w:vAlign w:val="center"/>
          </w:tcPr>
          <w:p>
            <w:pPr>
              <w:pStyle w:val="48"/>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报价截止之日起【120】日历日内保持有效；</w:t>
            </w:r>
          </w:p>
        </w:tc>
      </w:tr>
      <w:tr>
        <w:tblPrEx>
          <w:tblCellMar>
            <w:top w:w="0" w:type="dxa"/>
            <w:left w:w="0" w:type="dxa"/>
            <w:bottom w:w="0" w:type="dxa"/>
            <w:right w:w="0" w:type="dxa"/>
          </w:tblCellMar>
        </w:tblPrEx>
        <w:trPr>
          <w:trHeight w:val="2036" w:hRule="atLeast"/>
          <w:jc w:val="center"/>
        </w:trPr>
        <w:tc>
          <w:tcPr>
            <w:tcW w:w="329"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7" w:type="pct"/>
            <w:vMerge w:val="continue"/>
            <w:tcBorders>
              <w:left w:val="single" w:color="000000" w:sz="6" w:space="0"/>
              <w:right w:val="single" w:color="000000" w:sz="6" w:space="0"/>
            </w:tcBorders>
            <w:vAlign w:val="center"/>
          </w:tcPr>
          <w:p>
            <w:pPr>
              <w:pStyle w:val="48"/>
              <w:spacing w:line="300" w:lineRule="exact"/>
              <w:jc w:val="center"/>
              <w:rPr>
                <w:rFonts w:ascii="仿宋" w:hAnsi="仿宋" w:eastAsia="仿宋" w:cs="仿宋"/>
                <w:bCs/>
                <w:sz w:val="21"/>
                <w:szCs w:val="21"/>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8"/>
              <w:spacing w:line="300" w:lineRule="exact"/>
              <w:jc w:val="center"/>
              <w:rPr>
                <w:rFonts w:ascii="仿宋" w:hAnsi="仿宋" w:eastAsia="仿宋" w:cs="仿宋"/>
                <w:kern w:val="2"/>
                <w:sz w:val="21"/>
                <w:szCs w:val="21"/>
                <w:lang w:eastAsia="zh-CN"/>
              </w:rPr>
            </w:pPr>
            <w:r>
              <w:rPr>
                <w:rFonts w:hint="eastAsia" w:ascii="仿宋" w:hAnsi="仿宋" w:eastAsia="仿宋" w:cs="仿宋"/>
                <w:kern w:val="2"/>
                <w:sz w:val="21"/>
                <w:szCs w:val="21"/>
                <w:lang w:eastAsia="zh-CN"/>
              </w:rPr>
              <w:t>★商务资格</w:t>
            </w:r>
          </w:p>
        </w:tc>
        <w:tc>
          <w:tcPr>
            <w:tcW w:w="3152" w:type="pct"/>
            <w:tcBorders>
              <w:top w:val="single" w:color="000000" w:sz="4" w:space="0"/>
              <w:left w:val="nil"/>
              <w:bottom w:val="single" w:color="auto" w:sz="4" w:space="0"/>
              <w:right w:val="single" w:color="000000" w:sz="4" w:space="0"/>
            </w:tcBorders>
            <w:vAlign w:val="center"/>
          </w:tcPr>
          <w:p>
            <w:r>
              <w:rPr>
                <w:rFonts w:hint="eastAsi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公司与上级法人单位只可一家参与投标，同时参与投标的，投标均无效。</w:t>
            </w:r>
          </w:p>
          <w:p>
            <w:r>
              <w:rPr>
                <w:rFonts w:hint="eastAsia"/>
              </w:rPr>
              <w:t>2.法定代表人（单位负责人）身份证明</w:t>
            </w:r>
          </w:p>
          <w:p>
            <w:pPr>
              <w:rPr>
                <w:rFonts w:hint="eastAsia"/>
              </w:rPr>
            </w:pPr>
            <w:r>
              <w:rPr>
                <w:rFonts w:hint="eastAsia"/>
              </w:rPr>
              <w:t>3.法定代表人授权委托书（如涉及）</w:t>
            </w:r>
          </w:p>
          <w:p>
            <w:pPr>
              <w:pStyle w:val="7"/>
              <w:ind w:left="0" w:leftChars="0" w:firstLine="0" w:firstLineChars="0"/>
              <w:rPr>
                <w:rFonts w:hint="eastAsia"/>
                <w:lang w:val="en-US" w:eastAsia="zh-CN"/>
              </w:rPr>
            </w:pPr>
            <w:r>
              <w:rPr>
                <w:rFonts w:hint="eastAsia"/>
                <w:lang w:val="en-US" w:eastAsia="zh-CN"/>
              </w:rPr>
              <w:t>4.投标人具备并提供建筑机电安装工程专业承包二级及以上资质证书或电子与智能化工程专业承包二级及以上资质证书；</w:t>
            </w:r>
          </w:p>
          <w:p>
            <w:pPr>
              <w:pStyle w:val="7"/>
              <w:ind w:left="0" w:leftChars="0" w:firstLine="0" w:firstLineChars="0"/>
              <w:rPr>
                <w:rFonts w:hint="eastAsia"/>
                <w:lang w:val="en-US" w:eastAsia="zh-CN"/>
              </w:rPr>
            </w:pPr>
            <w:r>
              <w:rPr>
                <w:rFonts w:hint="eastAsia"/>
                <w:lang w:val="en-US" w:eastAsia="zh-CN"/>
              </w:rPr>
              <w:t>5.持有有效期内的安全生产许可证书；</w:t>
            </w:r>
          </w:p>
          <w:p>
            <w:pPr>
              <w:pStyle w:val="8"/>
              <w:ind w:left="0" w:leftChars="0" w:firstLine="0" w:firstLineChars="0"/>
              <w:rPr>
                <w:rFonts w:hint="default"/>
                <w:lang w:val="en-US" w:eastAsia="zh-CN"/>
              </w:rPr>
            </w:pPr>
            <w:r>
              <w:rPr>
                <w:rFonts w:hint="eastAsia"/>
                <w:lang w:val="en-US" w:eastAsia="zh-CN"/>
              </w:rPr>
              <w:t>6.投标时提供人员清单，工种包含领班、安全员、电工、焊工人员（每工种至少2人或以上，清单人数至少 10人或以上），同时提供以上所有人员在投标单位投标截止日前三月社保证明文件，要求电工和焊工同时提供有效期内操作证并附上该证书在应急管理局网上查询的截图，要求所提供的专职安全管理人员须具备有效期内的相关资质证书（提供网上查询结果截图），资质证书为以下任意一种证书即可：a）由国家或省级住房和城乡建设部（厅）或省级建设委员会颁发的安全生产考核人员合格证书（C证或以上）；b）国家安全生产监督管理总局或国家应急管理部颁发的安全资格证（或安全合格证）；c）国家安全生产监督管理总局或国家应急管理部颁发的注册安全工程师执业（或职业）证书或注册安全工程师注册证书（初级及以上）；d）海油安监办海油分部（中海油安技服）颁发安全资格类证书。施工领队必须持有班组长安全技能提升专项培训合格证或海上作业人员安全技能培训证书。</w:t>
            </w:r>
          </w:p>
        </w:tc>
      </w:tr>
      <w:tr>
        <w:tblPrEx>
          <w:tblCellMar>
            <w:top w:w="0" w:type="dxa"/>
            <w:left w:w="0" w:type="dxa"/>
            <w:bottom w:w="0" w:type="dxa"/>
            <w:right w:w="0" w:type="dxa"/>
          </w:tblCellMar>
        </w:tblPrEx>
        <w:trPr>
          <w:trHeight w:val="415" w:hRule="atLeast"/>
          <w:jc w:val="center"/>
        </w:trPr>
        <w:tc>
          <w:tcPr>
            <w:tcW w:w="329"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8"/>
              <w:spacing w:line="300" w:lineRule="exact"/>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kern w:val="2"/>
                <w:sz w:val="21"/>
                <w:szCs w:val="21"/>
                <w:lang w:eastAsia="zh-CN"/>
              </w:rPr>
              <w:t>★</w:t>
            </w:r>
            <w:r>
              <w:rPr>
                <w:rFonts w:hint="eastAsia" w:ascii="仿宋" w:hAnsi="仿宋" w:eastAsia="仿宋" w:cs="仿宋"/>
                <w:color w:val="000000" w:themeColor="text1"/>
                <w:sz w:val="21"/>
                <w:szCs w:val="21"/>
                <w:lang w:eastAsia="zh-CN"/>
                <w14:textFill>
                  <w14:solidFill>
                    <w14:schemeClr w14:val="tx1"/>
                  </w14:solidFill>
                </w14:textFill>
              </w:rPr>
              <w:t>信誉要求</w:t>
            </w:r>
          </w:p>
        </w:tc>
        <w:tc>
          <w:tcPr>
            <w:tcW w:w="3152" w:type="pct"/>
            <w:tcBorders>
              <w:top w:val="single" w:color="auto" w:sz="4" w:space="0"/>
              <w:left w:val="nil"/>
              <w:bottom w:val="single" w:color="000000" w:sz="4" w:space="0"/>
              <w:right w:val="single" w:color="000000" w:sz="4" w:space="0"/>
            </w:tcBorders>
            <w:vAlign w:val="center"/>
          </w:tcPr>
          <w:p>
            <w:r>
              <w:rPr>
                <w:rFonts w:hint="eastAsia" w:ascii="仿宋" w:hAnsi="仿宋" w:eastAsia="仿宋" w:cs="仿宋"/>
                <w:bCs/>
                <w:kern w:val="0"/>
                <w:szCs w:val="21"/>
              </w:rPr>
              <w:t>1.应答</w:t>
            </w:r>
            <w:r>
              <w:rPr>
                <w:rFonts w:hint="eastAsia" w:ascii="仿宋" w:hAnsi="仿宋" w:eastAsia="仿宋" w:cs="仿宋"/>
                <w:szCs w:val="21"/>
              </w:rPr>
              <w:t>人不得是最高人民法院在“信用中国”网站（</w:t>
            </w:r>
            <w:r>
              <w:rPr>
                <w:rFonts w:hint="eastAsia" w:ascii="仿宋" w:hAnsi="仿宋" w:eastAsia="仿宋" w:cs="仿宋"/>
                <w:szCs w:val="21"/>
              </w:rPr>
              <w:fldChar w:fldCharType="begin"/>
            </w:r>
            <w:r>
              <w:rPr>
                <w:rFonts w:hint="eastAsia" w:ascii="仿宋" w:hAnsi="仿宋" w:eastAsia="仿宋" w:cs="仿宋"/>
                <w:szCs w:val="21"/>
              </w:rPr>
              <w:instrText xml:space="preserve"> HYPERLINK "http://www.creditchina.gov.cn）或" </w:instrText>
            </w:r>
            <w:r>
              <w:rPr>
                <w:rFonts w:hint="eastAsia" w:ascii="仿宋" w:hAnsi="仿宋" w:eastAsia="仿宋" w:cs="仿宋"/>
                <w:szCs w:val="21"/>
              </w:rPr>
              <w:fldChar w:fldCharType="separate"/>
            </w:r>
            <w:r>
              <w:rPr>
                <w:rFonts w:hint="eastAsia" w:ascii="仿宋" w:hAnsi="仿宋" w:eastAsia="仿宋" w:cs="仿宋"/>
                <w:szCs w:val="21"/>
              </w:rPr>
              <w:t>www.creditchina.gov.cn）或</w:t>
            </w:r>
          </w:p>
          <w:p>
            <w:pPr>
              <w:rPr>
                <w:rFonts w:ascii="仿宋" w:hAnsi="仿宋" w:eastAsia="仿宋" w:cs="仿宋"/>
                <w:szCs w:val="21"/>
              </w:rPr>
            </w:pPr>
            <w:r>
              <w:rPr>
                <w:rFonts w:hint="eastAsia" w:ascii="仿宋" w:hAnsi="仿宋" w:eastAsia="仿宋" w:cs="仿宋"/>
                <w:szCs w:val="21"/>
              </w:rPr>
              <w:t>“中国执行信息公开网</w:t>
            </w:r>
            <w:r>
              <w:rPr>
                <w:rFonts w:hint="eastAsia" w:ascii="仿宋" w:hAnsi="仿宋" w:eastAsia="仿宋" w:cs="仿宋"/>
                <w:szCs w:val="21"/>
              </w:rPr>
              <w:fldChar w:fldCharType="end"/>
            </w:r>
            <w:r>
              <w:rPr>
                <w:rFonts w:hint="eastAsia" w:ascii="仿宋" w:hAnsi="仿宋" w:eastAsia="仿宋" w:cs="仿宋"/>
                <w:szCs w:val="21"/>
              </w:rPr>
              <w:t>”（</w:t>
            </w:r>
            <w:r>
              <w:fldChar w:fldCharType="begin"/>
            </w:r>
            <w:r>
              <w:instrText xml:space="preserve"> HYPERLINK "http://zxgk.court.gov.cn/）列入失信被执行人名单（应附查询结果复印件并加盖单位章" </w:instrText>
            </w:r>
            <w:r>
              <w:fldChar w:fldCharType="separate"/>
            </w:r>
            <w:r>
              <w:rPr>
                <w:rFonts w:hint="eastAsia" w:ascii="仿宋" w:hAnsi="仿宋" w:eastAsia="仿宋" w:cs="仿宋"/>
                <w:szCs w:val="21"/>
              </w:rPr>
              <w:t>http://zxgk.court.gov.cn/）列入失信被执行人名单</w:t>
            </w:r>
            <w:r>
              <w:rPr>
                <w:rFonts w:hint="eastAsia" w:ascii="仿宋" w:hAnsi="仿宋" w:eastAsia="仿宋" w:cs="仿宋"/>
                <w:szCs w:val="21"/>
              </w:rPr>
              <w:fldChar w:fldCharType="end"/>
            </w:r>
            <w:r>
              <w:rPr>
                <w:rFonts w:hint="eastAsia" w:ascii="仿宋" w:hAnsi="仿宋" w:eastAsia="仿宋" w:cs="仿宋"/>
                <w:szCs w:val="21"/>
              </w:rPr>
              <w:t>；</w:t>
            </w:r>
          </w:p>
          <w:p>
            <w:pPr>
              <w:rPr>
                <w:rFonts w:ascii="仿宋" w:hAnsi="仿宋" w:eastAsia="仿宋" w:cs="仿宋"/>
                <w:szCs w:val="21"/>
              </w:rPr>
            </w:pPr>
            <w:r>
              <w:rPr>
                <w:rFonts w:hint="eastAsia" w:ascii="仿宋" w:hAnsi="仿宋" w:eastAsia="仿宋" w:cs="仿宋"/>
                <w:szCs w:val="21"/>
              </w:rPr>
              <w:t>2.近3年（202</w:t>
            </w:r>
            <w:r>
              <w:rPr>
                <w:rFonts w:hint="eastAsia" w:ascii="仿宋" w:hAnsi="仿宋" w:eastAsia="仿宋" w:cs="仿宋"/>
                <w:szCs w:val="21"/>
                <w:lang w:val="en-US" w:eastAsia="zh-CN"/>
              </w:rPr>
              <w:t>2</w:t>
            </w:r>
            <w:r>
              <w:rPr>
                <w:rFonts w:hint="eastAsia" w:ascii="仿宋" w:hAnsi="仿宋" w:eastAsia="仿宋" w:cs="仿宋"/>
                <w:szCs w:val="21"/>
              </w:rPr>
              <w:t>年1月1日-报价截止日前）内应答人或其法定代表人、拟委任的项目负责人不得有行贿犯罪行为，查询网站为“中国裁判文书网”http://wenshu.court.gov.cn）；</w:t>
            </w:r>
          </w:p>
          <w:p>
            <w:pPr>
              <w:rPr>
                <w:rFonts w:ascii="仿宋" w:hAnsi="仿宋" w:eastAsia="仿宋" w:cs="仿宋"/>
                <w:szCs w:val="21"/>
              </w:rPr>
            </w:pPr>
            <w:r>
              <w:rPr>
                <w:rFonts w:hint="eastAsia" w:ascii="仿宋" w:hAnsi="仿宋" w:eastAsia="仿宋" w:cs="仿宋"/>
                <w:szCs w:val="21"/>
              </w:rPr>
              <w:t>3.应答人不得被工商行政管理机关在全国企业信用信息公示系统（http://www.gsxt.gov.cn）中列入严重违法失信企业名单。事业单位、大学除外。</w:t>
            </w:r>
          </w:p>
          <w:p>
            <w:pPr>
              <w:jc w:val="left"/>
              <w:rPr>
                <w:rFonts w:ascii="仿宋" w:hAnsi="仿宋" w:eastAsia="仿宋" w:cs="仿宋"/>
                <w:szCs w:val="21"/>
              </w:rPr>
            </w:pPr>
            <w:r>
              <w:rPr>
                <w:rFonts w:hint="eastAsia" w:ascii="仿宋" w:hAnsi="仿宋" w:eastAsia="仿宋" w:cs="仿宋"/>
                <w:szCs w:val="21"/>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应答人应在应答文件中提供其公司章程或其他能够体现出资人、股东信息的法定文件，作为评标/评审时的依据。6.应答人承诺：中国海油在职员工（不含正式派出的）未有在应答人单位担任股东、法人代表、董事、监事和其他任职人员的情形。</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C00000"/>
                <w:szCs w:val="21"/>
              </w:rPr>
              <w:t>上述要求应答人应提供供应商承诺书。</w:t>
            </w:r>
          </w:p>
        </w:tc>
      </w:tr>
      <w:tr>
        <w:tblPrEx>
          <w:tblCellMar>
            <w:top w:w="0" w:type="dxa"/>
            <w:left w:w="0" w:type="dxa"/>
            <w:bottom w:w="0" w:type="dxa"/>
            <w:right w:w="0" w:type="dxa"/>
          </w:tblCellMar>
        </w:tblPrEx>
        <w:trPr>
          <w:trHeight w:val="454" w:hRule="atLeast"/>
          <w:jc w:val="center"/>
        </w:trPr>
        <w:tc>
          <w:tcPr>
            <w:tcW w:w="329"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8"/>
              <w:numPr>
                <w:ilvl w:val="255"/>
                <w:numId w:val="0"/>
              </w:numPr>
              <w:jc w:val="both"/>
              <w:rPr>
                <w:rFonts w:ascii="仿宋" w:hAnsi="仿宋" w:eastAsia="仿宋" w:cs="仿宋"/>
                <w:color w:val="C00000"/>
                <w:kern w:val="2"/>
                <w:sz w:val="21"/>
                <w:szCs w:val="21"/>
                <w:lang w:eastAsia="zh-CN"/>
              </w:rPr>
            </w:pPr>
            <w:r>
              <w:rPr>
                <w:rFonts w:hint="eastAsia" w:ascii="仿宋" w:hAnsi="仿宋" w:eastAsia="仿宋" w:cs="仿宋"/>
                <w:kern w:val="2"/>
                <w:sz w:val="21"/>
                <w:szCs w:val="21"/>
                <w:lang w:eastAsia="zh-CN"/>
              </w:rPr>
              <w:t>★</w:t>
            </w:r>
            <w:r>
              <w:rPr>
                <w:rFonts w:hint="eastAsia" w:ascii="仿宋" w:hAnsi="仿宋" w:eastAsia="仿宋" w:cs="仿宋"/>
                <w:color w:val="000000" w:themeColor="text1"/>
                <w:sz w:val="21"/>
                <w:szCs w:val="21"/>
                <w:lang w:eastAsia="zh-CN"/>
                <w14:textFill>
                  <w14:solidFill>
                    <w14:schemeClr w14:val="tx1"/>
                  </w14:solidFill>
                </w14:textFill>
              </w:rPr>
              <w:t>应答人或应答人所提供的第三方不得存在的其他情形</w:t>
            </w:r>
          </w:p>
          <w:p>
            <w:pPr>
              <w:pStyle w:val="48"/>
              <w:jc w:val="center"/>
              <w:rPr>
                <w:rFonts w:ascii="仿宋" w:hAnsi="仿宋" w:eastAsia="仿宋" w:cs="仿宋"/>
                <w:color w:val="000000" w:themeColor="text1"/>
                <w:sz w:val="21"/>
                <w:szCs w:val="21"/>
                <w:lang w:eastAsia="zh-CN"/>
                <w14:textFill>
                  <w14:solidFill>
                    <w14:schemeClr w14:val="tx1"/>
                  </w14:solidFill>
                </w14:textFill>
              </w:rPr>
            </w:pPr>
          </w:p>
        </w:tc>
        <w:tc>
          <w:tcPr>
            <w:tcW w:w="3152" w:type="pct"/>
            <w:tcBorders>
              <w:top w:val="single" w:color="000000" w:sz="4" w:space="0"/>
              <w:left w:val="nil"/>
              <w:bottom w:val="single" w:color="000000" w:sz="4" w:space="0"/>
              <w:right w:val="single" w:color="000000" w:sz="4" w:space="0"/>
            </w:tcBorders>
            <w:vAlign w:val="center"/>
          </w:tcPr>
          <w:p>
            <w:pPr>
              <w:pStyle w:val="48"/>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1.被中国海洋石油集团有限公司在集团范围内进行风险提示，且在中国海洋石油集团有限公司《中国海油供应链数字化平台》中被采购冻结，进入调查程序的；</w:t>
            </w:r>
          </w:p>
          <w:p>
            <w:pPr>
              <w:pStyle w:val="48"/>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2.被中国海洋石油集团有限公司处以“取消投标资格”及以上处罚，且仍在处罚期内或处罚期满但在系统中的供应商档案中的“档案状态”为“采购冻结”、“业务状态”为“冻结”的；</w:t>
            </w:r>
          </w:p>
          <w:p>
            <w:pPr>
              <w:pStyle w:val="48"/>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3.被采购人所属单位处以“取消投标资格”及以上处罚，且仍在处罚期内或处罚期满但在系统中的供应商档案中的“业务状态”为冻结的；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29"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10"/>
              <w:tabs>
                <w:tab w:val="left" w:pos="770"/>
              </w:tabs>
              <w:ind w:left="0" w:right="134"/>
              <w:rPr>
                <w:rFonts w:ascii="仿宋" w:hAnsi="仿宋" w:eastAsia="仿宋" w:cs="仿宋"/>
                <w:lang w:eastAsia="zh-CN"/>
              </w:rPr>
            </w:pPr>
            <w:r>
              <w:rPr>
                <w:rFonts w:hint="eastAsia" w:ascii="仿宋" w:hAnsi="仿宋" w:eastAsia="仿宋" w:cs="仿宋"/>
                <w:lang w:eastAsia="zh-CN"/>
              </w:rPr>
              <w:t>★服务商要求（对不满足要求的或未能提供相应证明材料的服务商，将影响评审结果。）</w:t>
            </w:r>
          </w:p>
        </w:tc>
        <w:tc>
          <w:tcPr>
            <w:tcW w:w="3152" w:type="pct"/>
            <w:tcBorders>
              <w:top w:val="single" w:color="000000" w:sz="4" w:space="0"/>
              <w:left w:val="nil"/>
              <w:bottom w:val="single" w:color="000000" w:sz="4" w:space="0"/>
              <w:right w:val="single" w:color="000000" w:sz="4" w:space="0"/>
            </w:tcBorders>
            <w:vAlign w:val="center"/>
          </w:tcPr>
          <w:p>
            <w:r>
              <w:rPr>
                <w:rFonts w:hint="eastAsia" w:ascii="仿宋" w:hAnsi="仿宋" w:eastAsia="仿宋" w:cs="仿宋"/>
                <w:szCs w:val="21"/>
              </w:rPr>
              <w:t>服务商需满足：1）不得将中国海油作为唯一服务客户，承诺中国海油非其唯一服务客户并提供支持性材料（海油外业绩</w:t>
            </w:r>
            <w:r>
              <w:rPr>
                <w:rFonts w:hint="eastAsia" w:ascii="仿宋" w:hAnsi="仿宋" w:eastAsia="仿宋" w:cs="仿宋"/>
                <w:szCs w:val="21"/>
                <w:lang w:eastAsia="zh-CN"/>
              </w:rPr>
              <w:t>，具体包括：1）合同扫描件；2）合同所对应的结算发票；3）发票所对应的国家税务总局全国增值税发票查验平台的发票查验截图）</w:t>
            </w:r>
            <w:r>
              <w:rPr>
                <w:rFonts w:hint="eastAsia" w:ascii="仿宋" w:hAnsi="仿宋" w:eastAsia="仿宋" w:cs="仿宋"/>
                <w:szCs w:val="21"/>
              </w:rPr>
              <w:t>。</w:t>
            </w:r>
          </w:p>
        </w:tc>
      </w:tr>
      <w:tr>
        <w:tblPrEx>
          <w:tblCellMar>
            <w:top w:w="0" w:type="dxa"/>
            <w:left w:w="0" w:type="dxa"/>
            <w:bottom w:w="0" w:type="dxa"/>
            <w:right w:w="0" w:type="dxa"/>
          </w:tblCellMar>
        </w:tblPrEx>
        <w:trPr>
          <w:trHeight w:val="479" w:hRule="atLeast"/>
          <w:jc w:val="center"/>
        </w:trPr>
        <w:tc>
          <w:tcPr>
            <w:tcW w:w="329"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10"/>
              <w:tabs>
                <w:tab w:val="left" w:pos="770"/>
              </w:tabs>
              <w:ind w:left="0" w:right="134"/>
              <w:rPr>
                <w:rFonts w:ascii="仿宋" w:hAnsi="仿宋" w:eastAsia="仿宋" w:cs="仿宋"/>
                <w:lang w:eastAsia="zh-CN"/>
              </w:rPr>
            </w:pPr>
            <w:r>
              <w:rPr>
                <w:rFonts w:hint="eastAsia" w:ascii="仿宋" w:hAnsi="仿宋" w:eastAsia="仿宋" w:cs="仿宋"/>
                <w:lang w:eastAsia="zh-CN"/>
              </w:rPr>
              <w:t>★业绩要求（（提示：提供的证明材料必须完全涵盖要求的内容，否则视为无效业绩，缺少任何1项都将影响评审结果））</w:t>
            </w:r>
          </w:p>
        </w:tc>
        <w:tc>
          <w:tcPr>
            <w:tcW w:w="3152" w:type="pct"/>
            <w:tcBorders>
              <w:top w:val="single" w:color="000000" w:sz="4" w:space="0"/>
              <w:left w:val="nil"/>
              <w:bottom w:val="single" w:color="000000" w:sz="4" w:space="0"/>
              <w:right w:val="single" w:color="000000" w:sz="4" w:space="0"/>
            </w:tcBorders>
            <w:vAlign w:val="center"/>
          </w:tcPr>
          <w:p>
            <w:pPr>
              <w:rPr>
                <w:rFonts w:ascii="仿宋" w:hAnsi="仿宋" w:eastAsia="仿宋" w:cs="仿宋"/>
                <w:szCs w:val="21"/>
              </w:rPr>
            </w:pPr>
            <w:r>
              <w:rPr>
                <w:rFonts w:hint="eastAsia" w:ascii="仿宋" w:hAnsi="仿宋" w:eastAsia="仿宋" w:cs="仿宋"/>
                <w:szCs w:val="21"/>
              </w:rPr>
              <w:t>自2019年1月1日至投标截止日（以合同签署时间为准），投标人应具有至少2个已完成的与本项目类似的业绩，单项金额不少于30万，并提交相关业绩证明文件。业绩证明文件至少包括：1）合同扫描件；2）验收证明材料。（服务验收证明材料包含甲方签字或盖章的结算单、验收报告等；或合同对应的结算明细单；和结算发票和发票对应的国家税务总局全国增值税发票查验平台的发票查验截图）。</w:t>
            </w:r>
          </w:p>
        </w:tc>
      </w:tr>
      <w:tr>
        <w:tblPrEx>
          <w:tblCellMar>
            <w:top w:w="0" w:type="dxa"/>
            <w:left w:w="0" w:type="dxa"/>
            <w:bottom w:w="0" w:type="dxa"/>
            <w:right w:w="0" w:type="dxa"/>
          </w:tblCellMar>
        </w:tblPrEx>
        <w:trPr>
          <w:trHeight w:val="454" w:hRule="atLeast"/>
          <w:jc w:val="center"/>
        </w:trPr>
        <w:tc>
          <w:tcPr>
            <w:tcW w:w="329"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付款条款</w:t>
            </w:r>
          </w:p>
        </w:tc>
        <w:tc>
          <w:tcPr>
            <w:tcW w:w="3152" w:type="pct"/>
            <w:tcBorders>
              <w:top w:val="single" w:color="auto" w:sz="4" w:space="0"/>
              <w:left w:val="nil"/>
              <w:bottom w:val="nil"/>
              <w:right w:val="single" w:color="000000" w:sz="4" w:space="0"/>
            </w:tcBorders>
            <w:vAlign w:val="center"/>
          </w:tcPr>
          <w:p>
            <w:pPr>
              <w:pStyle w:val="9"/>
              <w:numPr>
                <w:ilvl w:val="0"/>
                <w:numId w:val="1"/>
              </w:numPr>
              <w:ind w:right="11"/>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付款方式：银行电汇</w:t>
            </w:r>
          </w:p>
          <w:p>
            <w:pPr>
              <w:pStyle w:val="9"/>
              <w:numPr>
                <w:ilvl w:val="255"/>
                <w:numId w:val="0"/>
              </w:numPr>
              <w:ind w:right="11"/>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（2）安装调试验收合格后并提供相关支持文件后，接甲方通知开具合同总额100%的增值税专用发票（税率6%），甲方于收到发票后45日内支付合同金额95%的费用。</w:t>
            </w:r>
          </w:p>
          <w:p>
            <w:pPr>
              <w:pStyle w:val="9"/>
              <w:numPr>
                <w:ilvl w:val="255"/>
                <w:numId w:val="0"/>
              </w:numPr>
              <w:ind w:right="11"/>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2）5%作为质保金，于质保期结束后，接</w:t>
            </w:r>
            <w:r>
              <w:rPr>
                <w:rFonts w:hint="eastAsia" w:ascii="仿宋" w:hAnsi="仿宋" w:eastAsia="仿宋" w:cs="仿宋"/>
                <w:bCs/>
                <w:color w:val="000000" w:themeColor="text1"/>
                <w:kern w:val="0"/>
                <w:szCs w:val="21"/>
                <w:lang w:val="en-US" w:eastAsia="zh-CN"/>
                <w14:textFill>
                  <w14:solidFill>
                    <w14:schemeClr w14:val="tx1"/>
                  </w14:solidFill>
                </w14:textFill>
              </w:rPr>
              <w:t>乙</w:t>
            </w:r>
            <w:r>
              <w:rPr>
                <w:rFonts w:hint="eastAsia" w:ascii="仿宋" w:hAnsi="仿宋" w:eastAsia="仿宋" w:cs="仿宋"/>
                <w:bCs/>
                <w:color w:val="000000" w:themeColor="text1"/>
                <w:kern w:val="0"/>
                <w:szCs w:val="21"/>
                <w14:textFill>
                  <w14:solidFill>
                    <w14:schemeClr w14:val="tx1"/>
                  </w14:solidFill>
                </w14:textFill>
              </w:rPr>
              <w:t>方付款申请并确认无质量问题后，45天内支付。质保期为12个月，于安装调试验收合格之次日起开始计算</w:t>
            </w:r>
          </w:p>
          <w:p>
            <w:pPr>
              <w:pStyle w:val="9"/>
              <w:numPr>
                <w:ilvl w:val="255"/>
                <w:numId w:val="0"/>
              </w:numPr>
              <w:ind w:right="11"/>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（3）如付款到期日为非银行工作日，则付款到期日顺延至下一个银行工作日。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29" w:type="pct"/>
            <w:vMerge w:val="continue"/>
            <w:tcBorders>
              <w:left w:val="single" w:color="000000" w:sz="6" w:space="0"/>
              <w:right w:val="single" w:color="000000" w:sz="6" w:space="0"/>
            </w:tcBorders>
            <w:vAlign w:val="center"/>
          </w:tcPr>
          <w:p/>
        </w:tc>
        <w:tc>
          <w:tcPr>
            <w:tcW w:w="287"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pPr>
            <w:r>
              <w:rPr>
                <w:rFonts w:hint="eastAsia" w:ascii="仿宋" w:hAnsi="仿宋" w:eastAsia="仿宋" w:cs="仿宋"/>
                <w:bCs/>
                <w:color w:val="000000" w:themeColor="text1"/>
                <w:kern w:val="0"/>
                <w:szCs w:val="21"/>
                <w14:textFill>
                  <w14:solidFill>
                    <w14:schemeClr w14:val="tx1"/>
                  </w14:solidFill>
                </w14:textFill>
              </w:rPr>
              <w:t>合同条款</w:t>
            </w:r>
          </w:p>
        </w:tc>
        <w:tc>
          <w:tcPr>
            <w:tcW w:w="3152" w:type="pct"/>
            <w:tcBorders>
              <w:top w:val="single" w:color="000000" w:sz="4" w:space="0"/>
              <w:left w:val="nil"/>
              <w:bottom w:val="single" w:color="000000" w:sz="4" w:space="0"/>
              <w:right w:val="single" w:color="000000" w:sz="4" w:space="0"/>
            </w:tcBorders>
            <w:vAlign w:val="center"/>
          </w:tcPr>
          <w:p>
            <w:r>
              <w:rPr>
                <w:rFonts w:hint="eastAsia"/>
              </w:rPr>
              <w:t>详见附件3： 合同文本</w:t>
            </w:r>
          </w:p>
        </w:tc>
      </w:tr>
      <w:tr>
        <w:tblPrEx>
          <w:tblCellMar>
            <w:top w:w="0" w:type="dxa"/>
            <w:left w:w="0" w:type="dxa"/>
            <w:bottom w:w="0" w:type="dxa"/>
            <w:right w:w="0" w:type="dxa"/>
          </w:tblCellMar>
        </w:tblPrEx>
        <w:trPr>
          <w:trHeight w:val="454" w:hRule="atLeast"/>
          <w:jc w:val="center"/>
        </w:trPr>
        <w:tc>
          <w:tcPr>
            <w:tcW w:w="329"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8"/>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★商务偏离要求</w:t>
            </w:r>
          </w:p>
        </w:tc>
        <w:tc>
          <w:tcPr>
            <w:tcW w:w="3152" w:type="pct"/>
            <w:tcBorders>
              <w:top w:val="single" w:color="000000" w:sz="4" w:space="0"/>
              <w:left w:val="nil"/>
              <w:bottom w:val="single" w:color="000000" w:sz="4" w:space="0"/>
              <w:right w:val="single" w:color="000000" w:sz="4" w:space="0"/>
            </w:tcBorders>
            <w:vAlign w:val="center"/>
          </w:tcPr>
          <w:p>
            <w:pPr>
              <w:pStyle w:val="48"/>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1.一般商务指标偏离超过1项，则评议不合格。</w:t>
            </w:r>
          </w:p>
          <w:p>
            <w:pPr>
              <w:pStyle w:val="48"/>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2.标注“★”号的条款为关键条款，对这些关键条款的任何偏离将导致应答文件被拒绝。</w:t>
            </w:r>
          </w:p>
          <w:p>
            <w:pPr>
              <w:pStyle w:val="48"/>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29" w:type="pct"/>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w:t>
            </w:r>
          </w:p>
        </w:tc>
        <w:tc>
          <w:tcPr>
            <w:tcW w:w="3152" w:type="pct"/>
            <w:tcBorders>
              <w:top w:val="single" w:color="000000" w:sz="4" w:space="0"/>
              <w:left w:val="nil"/>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pPr>
              <w:pStyle w:val="48"/>
              <w:spacing w:line="30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8"/>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规格型号/服务范围</w:t>
            </w:r>
          </w:p>
        </w:tc>
        <w:tc>
          <w:tcPr>
            <w:tcW w:w="3152"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8"/>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交货期/服务期</w:t>
            </w:r>
          </w:p>
        </w:tc>
        <w:tc>
          <w:tcPr>
            <w:tcW w:w="3152"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合同签定后，接甲方通知45天内完成服务</w:t>
            </w:r>
          </w:p>
        </w:tc>
      </w:tr>
      <w:tr>
        <w:tblPrEx>
          <w:tblCellMar>
            <w:top w:w="0" w:type="dxa"/>
            <w:left w:w="0" w:type="dxa"/>
            <w:bottom w:w="0" w:type="dxa"/>
            <w:right w:w="0" w:type="dxa"/>
          </w:tblCellMar>
        </w:tblPrEx>
        <w:trPr>
          <w:trHeight w:val="45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8"/>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服务内容和范围</w:t>
            </w:r>
          </w:p>
        </w:tc>
        <w:tc>
          <w:tcPr>
            <w:tcW w:w="3152"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8"/>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服务要求</w:t>
            </w:r>
          </w:p>
        </w:tc>
        <w:tc>
          <w:tcPr>
            <w:tcW w:w="3152" w:type="pct"/>
            <w:tcBorders>
              <w:top w:val="single" w:color="000000" w:sz="4" w:space="0"/>
              <w:left w:val="single" w:color="auto" w:sz="4" w:space="0"/>
              <w:bottom w:val="single" w:color="000000" w:sz="4" w:space="0"/>
              <w:right w:val="single" w:color="000000" w:sz="4" w:space="0"/>
            </w:tcBorders>
            <w:vAlign w:val="center"/>
          </w:tcPr>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1、服务要求：</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必须响应及时、服务到位、安全高效、保质保量完成服务内容。</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必须遵循中海油信息科技有限公司安全管理体系要求，满足现场施工安全管理规范，对施工安全负责。台风等不可抗力情况严格执行甲方的管理规定。</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★所有涉及安装调试接入到平台网络的服务，需要配置设备IP,并且配置路由器、复用交换机等设备，有能力将设备接入到平台网络，实现海油内网通等服务。</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必须保证出海人员证书及岗位证书齐全，证件不齐全严禁安排出海工作，不得以证件过期耽误现场工作。</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协商与交流</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在签订合同或协议后，在作业开始前，就作业过程中的健康安全环境管理工作沟通机制与甲方达成共识。</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乙方作业过程中必须遵守甲方有关健康安全环境制度情况。</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乙方必须落实在作业过程中存在和潜在的危险预防、控制措施情况。</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乙方对作业过程中可能出现的伤害事故、疾病报告、救护等问题进行配合和交流，交流内容形成会议记录。</w:t>
            </w:r>
          </w:p>
          <w:p>
            <w:pPr>
              <w:jc w:val="both"/>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2、质量要求：</w:t>
            </w:r>
          </w:p>
          <w:p>
            <w:pPr>
              <w:jc w:val="both"/>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为确保项目施工作业满足合同要求，乙方应制定适合于本合同的质量保障计划，包括质量目标、质量控制方法及手段、过程记录、持续改进等内容。质量未达到要求的，甲方有权要求返工。</w:t>
            </w:r>
          </w:p>
        </w:tc>
      </w:tr>
      <w:tr>
        <w:tblPrEx>
          <w:tblCellMar>
            <w:top w:w="0" w:type="dxa"/>
            <w:left w:w="0" w:type="dxa"/>
            <w:bottom w:w="0" w:type="dxa"/>
            <w:right w:w="0" w:type="dxa"/>
          </w:tblCellMar>
        </w:tblPrEx>
        <w:trPr>
          <w:trHeight w:val="45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8"/>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★技术文件</w:t>
            </w:r>
          </w:p>
        </w:tc>
        <w:tc>
          <w:tcPr>
            <w:tcW w:w="3152" w:type="pct"/>
            <w:tcBorders>
              <w:top w:val="single" w:color="000000" w:sz="4" w:space="0"/>
              <w:left w:val="single" w:color="auto" w:sz="4" w:space="0"/>
              <w:bottom w:val="single" w:color="000000" w:sz="4" w:space="0"/>
              <w:right w:val="single" w:color="000000" w:sz="4" w:space="0"/>
            </w:tcBorders>
            <w:vAlign w:val="center"/>
          </w:tcPr>
          <w:p>
            <w:pPr>
              <w:jc w:val="left"/>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负责提供合格的集装箱、吊篮、等转运器具，必须配有专用吊索具，同时具备出海检验所需的相关检验证书（投标时提供），证书必须保证在有效期内，外观状态必须满足中海油码头出海安检的要求。</w:t>
            </w:r>
          </w:p>
        </w:tc>
      </w:tr>
      <w:tr>
        <w:tblPrEx>
          <w:tblCellMar>
            <w:top w:w="0" w:type="dxa"/>
            <w:left w:w="0" w:type="dxa"/>
            <w:bottom w:w="0" w:type="dxa"/>
            <w:right w:w="0" w:type="dxa"/>
          </w:tblCellMar>
        </w:tblPrEx>
        <w:trPr>
          <w:trHeight w:val="45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8"/>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技术偏离要求</w:t>
            </w:r>
          </w:p>
        </w:tc>
        <w:tc>
          <w:tcPr>
            <w:tcW w:w="3152" w:type="pct"/>
            <w:tcBorders>
              <w:top w:val="single" w:color="000000" w:sz="4" w:space="0"/>
              <w:left w:val="single" w:color="auto" w:sz="4" w:space="0"/>
              <w:bottom w:val="single" w:color="000000" w:sz="4" w:space="0"/>
              <w:right w:val="single" w:color="000000" w:sz="4" w:space="0"/>
            </w:tcBorders>
            <w:vAlign w:val="center"/>
          </w:tcPr>
          <w:p>
            <w:pPr>
              <w:pStyle w:val="48"/>
              <w:rPr>
                <w:rFonts w:ascii="仿宋" w:hAnsi="仿宋" w:eastAsia="仿宋" w:cs="仿宋"/>
                <w:color w:val="000000" w:themeColor="text1"/>
                <w:kern w:val="2"/>
                <w:sz w:val="21"/>
                <w:szCs w:val="21"/>
                <w:lang w:eastAsia="zh-CN"/>
                <w14:textFill>
                  <w14:solidFill>
                    <w14:schemeClr w14:val="tx1"/>
                  </w14:solidFill>
                </w14:textFill>
              </w:rPr>
            </w:pPr>
            <w:r>
              <w:rPr>
                <w:rFonts w:hint="eastAsia" w:ascii="仿宋" w:hAnsi="仿宋" w:eastAsia="仿宋" w:cs="仿宋"/>
                <w:color w:val="000000" w:themeColor="text1"/>
                <w:kern w:val="2"/>
                <w:sz w:val="21"/>
                <w:szCs w:val="21"/>
                <w:lang w:eastAsia="zh-CN"/>
                <w14:textFill>
                  <w14:solidFill>
                    <w14:schemeClr w14:val="tx1"/>
                  </w14:solidFill>
                </w14:textFill>
              </w:rPr>
              <w:t>1、一般技术指标偏离超过1项，则评议不合格。</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2、标注“★”号的条款为关键条款，对这些关键条款的任何偏离将导致应答文件被拒绝。</w:t>
            </w:r>
          </w:p>
          <w:p>
            <w:pPr>
              <w:pStyle w:val="7"/>
              <w:ind w:firstLine="0" w:firstLineChars="0"/>
            </w:pPr>
            <w:r>
              <w:rPr>
                <w:rFonts w:hint="eastAsia" w:ascii="仿宋" w:hAnsi="仿宋" w:eastAsia="仿宋" w:cs="仿宋"/>
                <w:color w:val="000000" w:themeColor="text1"/>
                <w:szCs w:val="21"/>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ab/>
            </w:r>
          </w:p>
        </w:tc>
        <w:tc>
          <w:tcPr>
            <w:tcW w:w="3152"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价</w:t>
            </w:r>
          </w:p>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格</w:t>
            </w:r>
          </w:p>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标</w:t>
            </w:r>
          </w:p>
          <w:p>
            <w:pPr>
              <w:pStyle w:val="48"/>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kern w:val="0"/>
                <w:szCs w:val="21"/>
              </w:rPr>
            </w:pPr>
            <w:r>
              <w:rPr>
                <w:rFonts w:hint="eastAsia" w:ascii="仿宋" w:hAnsi="仿宋" w:eastAsia="仿宋" w:cs="仿宋"/>
                <w:szCs w:val="21"/>
              </w:rPr>
              <w:t>★</w:t>
            </w:r>
            <w:r>
              <w:rPr>
                <w:rFonts w:hint="eastAsia" w:ascii="仿宋" w:hAnsi="仿宋" w:eastAsia="仿宋" w:cs="仿宋"/>
                <w:bCs/>
                <w:kern w:val="0"/>
                <w:szCs w:val="21"/>
              </w:rPr>
              <w:t>价格评议（结合2.0）</w:t>
            </w:r>
          </w:p>
        </w:tc>
        <w:tc>
          <w:tcPr>
            <w:tcW w:w="3152" w:type="pct"/>
            <w:tcBorders>
              <w:top w:val="single" w:color="000000" w:sz="4" w:space="0"/>
              <w:left w:val="single" w:color="auto" w:sz="4" w:space="0"/>
              <w:bottom w:val="single" w:color="000000" w:sz="4" w:space="0"/>
              <w:right w:val="single" w:color="000000" w:sz="4" w:space="0"/>
            </w:tcBorders>
            <w:vAlign w:val="center"/>
          </w:tcPr>
          <w:p>
            <w:pPr>
              <w:jc w:val="left"/>
              <w:rPr>
                <w:rFonts w:ascii="仿宋" w:hAnsi="仿宋" w:eastAsia="仿宋" w:cs="仿宋"/>
                <w:szCs w:val="21"/>
                <w:lang w:bidi="ar"/>
              </w:rPr>
            </w:pPr>
            <w:r>
              <w:rPr>
                <w:rFonts w:hint="eastAsia" w:ascii="仿宋" w:hAnsi="仿宋" w:eastAsia="仿宋" w:cs="仿宋"/>
                <w:b/>
                <w:bCs/>
                <w:szCs w:val="21"/>
                <w:lang w:bidi="ar"/>
              </w:rPr>
              <w:t>经评审的价格（不含税）计算方法：经评审的价格（不含税）=应答人报价（不含税）+报价算术修正；</w:t>
            </w:r>
          </w:p>
          <w:p>
            <w:pPr>
              <w:jc w:val="left"/>
              <w:rPr>
                <w:rFonts w:ascii="仿宋" w:hAnsi="仿宋" w:eastAsia="仿宋" w:cs="仿宋"/>
                <w:szCs w:val="21"/>
              </w:rPr>
            </w:pPr>
            <w:r>
              <w:rPr>
                <w:rFonts w:hint="eastAsia" w:ascii="仿宋" w:hAnsi="仿宋" w:eastAsia="仿宋" w:cs="仿宋"/>
                <w:szCs w:val="21"/>
                <w:lang w:bidi="ar"/>
              </w:rPr>
              <w:t>（1）系统中报价与系统中挂接</w:t>
            </w:r>
            <w:r>
              <w:rPr>
                <w:rFonts w:hint="eastAsia" w:ascii="仿宋" w:hAnsi="仿宋" w:eastAsia="仿宋" w:cs="仿宋"/>
                <w:b/>
                <w:bCs/>
                <w:szCs w:val="21"/>
                <w:lang w:bidi="ar"/>
              </w:rPr>
              <w:t>价格明细文件</w:t>
            </w:r>
            <w:r>
              <w:rPr>
                <w:rFonts w:hint="eastAsia" w:ascii="仿宋" w:hAnsi="仿宋" w:eastAsia="仿宋" w:cs="仿宋"/>
                <w:szCs w:val="21"/>
                <w:lang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szCs w:val="21"/>
              </w:rPr>
              <w:t>。</w:t>
            </w:r>
          </w:p>
          <w:p>
            <w:pPr>
              <w:rPr>
                <w:rFonts w:ascii="仿宋" w:hAnsi="仿宋" w:eastAsia="仿宋" w:cs="仿宋"/>
                <w:szCs w:val="21"/>
              </w:rPr>
            </w:pPr>
            <w:r>
              <w:rPr>
                <w:rFonts w:hint="eastAsia" w:ascii="仿宋" w:hAnsi="仿宋" w:eastAsia="仿宋" w:cs="仿宋"/>
                <w:szCs w:val="21"/>
              </w:rPr>
              <w:t xml:space="preserve">1)大写金额和小写金额不一致的，以大写金额为准； </w:t>
            </w:r>
          </w:p>
          <w:p>
            <w:pPr>
              <w:rPr>
                <w:rFonts w:ascii="仿宋" w:hAnsi="仿宋" w:eastAsia="仿宋" w:cs="仿宋"/>
                <w:szCs w:val="21"/>
              </w:rPr>
            </w:pPr>
            <w:r>
              <w:rPr>
                <w:rFonts w:hint="eastAsia" w:ascii="仿宋" w:hAnsi="仿宋" w:eastAsia="仿宋" w:cs="仿宋"/>
                <w:szCs w:val="21"/>
              </w:rPr>
              <w:t>2)单价金额小数点或者百分比有明显错位的，修改单价；</w:t>
            </w:r>
          </w:p>
          <w:p>
            <w:pPr>
              <w:rPr>
                <w:rFonts w:ascii="仿宋" w:hAnsi="仿宋" w:eastAsia="仿宋" w:cs="仿宋"/>
                <w:szCs w:val="21"/>
              </w:rPr>
            </w:pPr>
            <w:r>
              <w:rPr>
                <w:rFonts w:hint="eastAsia" w:ascii="仿宋" w:hAnsi="仿宋" w:eastAsia="仿宋" w:cs="仿宋"/>
                <w:szCs w:val="21"/>
              </w:rPr>
              <w:t xml:space="preserve">3)总价金额与按单价汇总金额不一致的，以单价金额计算结果为准。 </w:t>
            </w:r>
          </w:p>
          <w:p>
            <w:pPr>
              <w:rPr>
                <w:rFonts w:ascii="仿宋" w:hAnsi="仿宋" w:eastAsia="仿宋" w:cs="仿宋"/>
                <w:szCs w:val="21"/>
              </w:rPr>
            </w:pPr>
            <w:r>
              <w:rPr>
                <w:rFonts w:hint="eastAsia" w:ascii="仿宋" w:hAnsi="仿宋" w:eastAsia="仿宋" w:cs="仿宋"/>
                <w:szCs w:val="21"/>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ascii="仿宋" w:hAnsi="仿宋" w:eastAsia="仿宋" w:cs="仿宋"/>
                <w:szCs w:val="21"/>
              </w:rPr>
            </w:pPr>
            <w:r>
              <w:rPr>
                <w:rFonts w:hint="eastAsia" w:ascii="仿宋" w:hAnsi="仿宋" w:eastAsia="仿宋" w:cs="仿宋"/>
                <w:szCs w:val="21"/>
                <w:lang w:bidi="ar"/>
              </w:rPr>
              <w:t>（2）</w:t>
            </w:r>
            <w:r>
              <w:rPr>
                <w:rFonts w:hint="eastAsia" w:ascii="仿宋" w:hAnsi="仿宋" w:eastAsia="仿宋" w:cs="仿宋"/>
                <w:szCs w:val="21"/>
              </w:rPr>
              <w:t>对于总价合同，“应答报价中存在缺漏项的，则视为缺漏项价格已包含在其投标报价之中，并要求应答人书面澄清确认，应答人不按规定回复澄清确认或确认缺漏项价格不包含在应答报价中的，询价评审小组应当否决其应答文件”；</w:t>
            </w:r>
          </w:p>
          <w:p>
            <w:pPr>
              <w:rPr>
                <w:rFonts w:ascii="仿宋" w:hAnsi="仿宋" w:eastAsia="仿宋" w:cs="仿宋"/>
                <w:bCs/>
                <w:kern w:val="0"/>
                <w:szCs w:val="21"/>
              </w:rPr>
            </w:pPr>
            <w:r>
              <w:rPr>
                <w:rFonts w:hint="eastAsia" w:ascii="仿宋" w:hAnsi="仿宋" w:eastAsia="仿宋" w:cs="仿宋"/>
                <w:szCs w:val="21"/>
              </w:rPr>
              <w:t>对于协议类合同，“应答报价不允许缺漏项，否则将导致应答报价被否决”</w:t>
            </w:r>
          </w:p>
        </w:tc>
      </w:tr>
      <w:tr>
        <w:tblPrEx>
          <w:tblCellMar>
            <w:top w:w="0" w:type="dxa"/>
            <w:left w:w="0" w:type="dxa"/>
            <w:bottom w:w="0" w:type="dxa"/>
            <w:right w:w="0" w:type="dxa"/>
          </w:tblCellMar>
        </w:tblPrEx>
        <w:trPr>
          <w:trHeight w:val="454"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4</w:t>
            </w:r>
          </w:p>
        </w:tc>
        <w:tc>
          <w:tcPr>
            <w:tcW w:w="1518" w:type="pct"/>
            <w:gridSpan w:val="2"/>
            <w:tcBorders>
              <w:top w:val="single" w:color="auto" w:sz="4" w:space="0"/>
              <w:left w:val="single" w:color="auto" w:sz="4" w:space="0"/>
              <w:bottom w:val="single" w:color="auto" w:sz="4" w:space="0"/>
              <w:right w:val="single" w:color="000000" w:sz="4" w:space="0"/>
            </w:tcBorders>
            <w:vAlign w:val="center"/>
          </w:tcPr>
          <w:p>
            <w:pPr>
              <w:pStyle w:val="48"/>
              <w:numPr>
                <w:ilvl w:val="255"/>
                <w:numId w:val="0"/>
              </w:numPr>
              <w:jc w:val="center"/>
              <w:rPr>
                <w:rFonts w:ascii="仿宋" w:hAnsi="仿宋" w:eastAsia="仿宋" w:cs="仿宋"/>
                <w:color w:val="C00000"/>
                <w:kern w:val="2"/>
                <w:sz w:val="21"/>
                <w:szCs w:val="21"/>
                <w:lang w:eastAsia="zh-CN"/>
              </w:rPr>
            </w:pPr>
          </w:p>
          <w:p>
            <w:pPr>
              <w:pStyle w:val="48"/>
              <w:numPr>
                <w:ilvl w:val="255"/>
                <w:numId w:val="0"/>
              </w:numPr>
              <w:jc w:val="center"/>
              <w:rPr>
                <w:rFonts w:ascii="仿宋" w:hAnsi="仿宋" w:eastAsia="仿宋" w:cs="仿宋"/>
                <w:color w:val="C00000"/>
                <w:kern w:val="2"/>
                <w:sz w:val="21"/>
                <w:szCs w:val="21"/>
                <w:lang w:eastAsia="zh-CN"/>
              </w:rPr>
            </w:pPr>
            <w:r>
              <w:rPr>
                <w:rFonts w:hint="eastAsia" w:ascii="仿宋" w:hAnsi="仿宋" w:eastAsia="仿宋" w:cs="仿宋"/>
                <w:bCs/>
                <w:color w:val="000000" w:themeColor="text1"/>
                <w:sz w:val="21"/>
                <w:szCs w:val="21"/>
                <w14:textFill>
                  <w14:solidFill>
                    <w14:schemeClr w14:val="tx1"/>
                  </w14:solidFill>
                </w14:textFill>
              </w:rPr>
              <w:t>其他补充要求</w:t>
            </w:r>
          </w:p>
          <w:p>
            <w:pPr>
              <w:widowControl/>
              <w:ind w:right="11"/>
              <w:jc w:val="center"/>
              <w:rPr>
                <w:rFonts w:ascii="仿宋" w:hAnsi="仿宋" w:eastAsia="仿宋" w:cs="仿宋"/>
                <w:bCs/>
                <w:color w:val="000000" w:themeColor="text1"/>
                <w:kern w:val="0"/>
                <w:szCs w:val="21"/>
                <w14:textFill>
                  <w14:solidFill>
                    <w14:schemeClr w14:val="tx1"/>
                  </w14:solidFill>
                </w14:textFill>
              </w:rPr>
            </w:pPr>
          </w:p>
        </w:tc>
        <w:tc>
          <w:tcPr>
            <w:tcW w:w="3152" w:type="pct"/>
            <w:tcBorders>
              <w:top w:val="single" w:color="000000" w:sz="4" w:space="0"/>
              <w:left w:val="nil"/>
              <w:bottom w:val="single" w:color="000000" w:sz="4" w:space="0"/>
              <w:right w:val="single" w:color="000000" w:sz="4" w:space="0"/>
            </w:tcBorders>
            <w:vAlign w:val="center"/>
          </w:tcPr>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《招标投标法实施条例》第四十条　串通投标的认定</w:t>
            </w:r>
          </w:p>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有下列情形之一的，视为投标人相互串通投标：</w:t>
            </w:r>
          </w:p>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(一)不同投标人的投标文件由同一单位或者个人编制；</w:t>
            </w:r>
          </w:p>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(二)不同投标人委托同一单位或者个人办理投标事宜；</w:t>
            </w:r>
          </w:p>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(三)不同投标人的投标文件载明的项目管理成员为同一人；</w:t>
            </w:r>
          </w:p>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(四)不同投标人的投标文件异常一致或者投标报价呈规律性差异；</w:t>
            </w:r>
          </w:p>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(五)不同投标人的投标文件相互混装；</w:t>
            </w:r>
          </w:p>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(六)不同投标人的投标保证金从同一单位或者个人的账户转出（此条不适用于询价采购）。</w:t>
            </w:r>
          </w:p>
          <w:p>
            <w:pPr>
              <w:pStyle w:val="9"/>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7"/>
      </w:pPr>
    </w:p>
    <w:p/>
    <w:p>
      <w:pPr>
        <w:pStyle w:val="7"/>
      </w:pPr>
    </w:p>
    <w:p>
      <w:pPr>
        <w:pStyle w:val="7"/>
        <w:ind w:firstLine="0" w:firstLineChars="0"/>
      </w:pPr>
    </w:p>
    <w:p>
      <w:pPr>
        <w:pStyle w:val="7"/>
        <w:ind w:firstLine="0" w:firstLineChars="0"/>
      </w:pPr>
    </w:p>
    <w:p>
      <w:pPr>
        <w:widowControl/>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br w:type="page"/>
      </w:r>
    </w:p>
    <w:p>
      <w:pPr>
        <w:outlineLvl w:val="0"/>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w:t>
      </w:r>
      <w:r>
        <w:rPr>
          <w:rFonts w:ascii="黑体" w:hAnsi="黑体" w:eastAsia="黑体"/>
          <w:b/>
          <w:bCs/>
          <w:color w:val="000000" w:themeColor="text1"/>
          <w:sz w:val="24"/>
          <w:szCs w:val="24"/>
          <w14:textFill>
            <w14:solidFill>
              <w14:schemeClr w14:val="tx1"/>
            </w14:solidFill>
          </w14:textFill>
        </w:rPr>
        <w:t>2</w:t>
      </w:r>
      <w:r>
        <w:rPr>
          <w:rFonts w:hint="eastAsia" w:ascii="黑体" w:hAnsi="黑体" w:eastAsia="黑体"/>
          <w:b/>
          <w:bCs/>
          <w:color w:val="000000" w:themeColor="text1"/>
          <w:sz w:val="24"/>
          <w:szCs w:val="24"/>
          <w14:textFill>
            <w14:solidFill>
              <w14:schemeClr w14:val="tx1"/>
            </w14:solidFill>
          </w14:textFill>
        </w:rPr>
        <w:t xml:space="preserve"> ：</w:t>
      </w:r>
      <w:r>
        <w:rPr>
          <w:rFonts w:ascii="黑体" w:hAnsi="黑体" w:eastAsia="黑体"/>
          <w:b/>
          <w:bCs/>
          <w:color w:val="000000" w:themeColor="text1"/>
          <w:sz w:val="24"/>
          <w:szCs w:val="24"/>
          <w14:textFill>
            <w14:solidFill>
              <w14:schemeClr w14:val="tx1"/>
            </w14:solidFill>
          </w14:textFill>
        </w:rPr>
        <w:t>采</w:t>
      </w:r>
      <w:r>
        <w:rPr>
          <w:rFonts w:hint="eastAsia" w:ascii="黑体" w:hAnsi="黑体" w:eastAsia="黑体"/>
          <w:b/>
          <w:bCs/>
          <w:color w:val="000000" w:themeColor="text1"/>
          <w:sz w:val="24"/>
          <w:szCs w:val="24"/>
          <w14:textFill>
            <w14:solidFill>
              <w14:schemeClr w14:val="tx1"/>
            </w14:solidFill>
          </w14:textFill>
        </w:rPr>
        <w:t>购内容及</w:t>
      </w:r>
      <w:r>
        <w:rPr>
          <w:rFonts w:ascii="黑体" w:hAnsi="黑体" w:eastAsia="黑体"/>
          <w:b/>
          <w:bCs/>
          <w:color w:val="000000" w:themeColor="text1"/>
          <w:sz w:val="24"/>
          <w:szCs w:val="24"/>
          <w14:textFill>
            <w14:solidFill>
              <w14:schemeClr w14:val="tx1"/>
            </w14:solidFill>
          </w14:textFill>
        </w:rPr>
        <w:t>技术要求</w:t>
      </w:r>
    </w:p>
    <w:p>
      <w:pPr>
        <w:rPr>
          <w:rFonts w:ascii="黑体" w:hAnsi="黑体" w:eastAsia="黑体"/>
          <w:color w:val="000000" w:themeColor="text1"/>
          <w:sz w:val="24"/>
          <w:szCs w:val="24"/>
          <w14:textFill>
            <w14:solidFill>
              <w14:schemeClr w14:val="tx1"/>
            </w14:solidFill>
          </w14:textFill>
        </w:rPr>
      </w:pPr>
    </w:p>
    <w:p>
      <w:pPr>
        <w:pStyle w:val="4"/>
        <w:numPr>
          <w:ilvl w:val="0"/>
          <w:numId w:val="2"/>
        </w:numPr>
        <w:spacing w:line="480" w:lineRule="auto"/>
      </w:pPr>
      <w:bookmarkStart w:id="0" w:name="_Toc13248929"/>
      <w:bookmarkStart w:id="1" w:name="_Toc13249326"/>
      <w:bookmarkStart w:id="2" w:name="_Toc13248927"/>
      <w:bookmarkStart w:id="3" w:name="_Toc13249324"/>
      <w:r>
        <w:t>项目概况及总体要求</w:t>
      </w:r>
    </w:p>
    <w:p>
      <w:pPr>
        <w:numPr>
          <w:ilvl w:val="0"/>
          <w:numId w:val="2"/>
        </w:numPr>
      </w:pP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420" w:firstLineChars="200"/>
        <w:textAlignment w:val="auto"/>
        <w:rPr>
          <w:rFonts w:hint="eastAsia" w:ascii="宋体" w:hAnsi="宋体" w:eastAsia="宋体" w:cs="宋体"/>
          <w:lang w:eastAsia="zh-CN"/>
        </w:rPr>
      </w:pPr>
      <w:bookmarkStart w:id="4" w:name="_Toc13249325"/>
      <w:bookmarkStart w:id="5" w:name="_Toc13248928"/>
      <w:r>
        <w:rPr>
          <w:rFonts w:hint="eastAsia" w:ascii="宋体" w:hAnsi="宋体" w:eastAsia="宋体" w:cs="宋体"/>
          <w:lang w:eastAsia="zh-CN"/>
        </w:rPr>
        <w:t>为了满足</w:t>
      </w:r>
      <w:r>
        <w:rPr>
          <w:rFonts w:hint="eastAsia" w:ascii="宋体" w:hAnsi="宋体" w:eastAsia="宋体" w:cs="宋体"/>
          <w:lang w:val="en-US" w:eastAsia="zh-CN"/>
        </w:rPr>
        <w:t>海上生产平台及钻井平台日常通讯</w:t>
      </w:r>
      <w:r>
        <w:rPr>
          <w:rFonts w:hint="eastAsia" w:ascii="宋体" w:hAnsi="宋体" w:eastAsia="宋体" w:cs="宋体"/>
          <w:lang w:eastAsia="zh-CN"/>
        </w:rPr>
        <w:t>的需求，</w:t>
      </w:r>
      <w:r>
        <w:rPr>
          <w:rFonts w:hint="eastAsia" w:ascii="宋体" w:hAnsi="宋体" w:eastAsia="宋体" w:cs="宋体"/>
          <w:lang w:val="en-US" w:eastAsia="zh-CN"/>
        </w:rPr>
        <w:t>需要提供</w:t>
      </w:r>
      <w:r>
        <w:rPr>
          <w:rFonts w:hint="eastAsia" w:ascii="宋体" w:hAnsi="宋体" w:eastAsia="宋体"/>
          <w:sz w:val="20"/>
          <w:szCs w:val="20"/>
          <w:lang w:val="en-US" w:eastAsia="zh-CN"/>
        </w:rPr>
        <w:t>平台大卫天线球罩安装服务</w:t>
      </w:r>
      <w:r>
        <w:rPr>
          <w:rFonts w:hint="eastAsia" w:ascii="宋体" w:hAnsi="宋体" w:eastAsia="宋体" w:cs="宋体"/>
          <w:lang w:val="en-US" w:eastAsia="zh-CN"/>
        </w:rPr>
        <w:t>、</w:t>
      </w:r>
      <w:r>
        <w:rPr>
          <w:rFonts w:hint="eastAsia" w:ascii="宋体" w:hAnsi="宋体" w:eastAsia="宋体"/>
          <w:sz w:val="20"/>
          <w:szCs w:val="20"/>
          <w:lang w:val="en-US" w:eastAsia="zh-CN"/>
        </w:rPr>
        <w:t>平台吊机可视化维修服务</w:t>
      </w:r>
      <w:r>
        <w:rPr>
          <w:rFonts w:hint="eastAsia" w:ascii="宋体" w:hAnsi="宋体" w:eastAsia="宋体" w:cs="宋体"/>
          <w:lang w:val="en-US" w:eastAsia="zh-CN"/>
        </w:rPr>
        <w:t>、</w:t>
      </w:r>
      <w:r>
        <w:rPr>
          <w:rFonts w:hint="eastAsia" w:ascii="宋体" w:hAnsi="宋体" w:eastAsia="宋体"/>
          <w:sz w:val="20"/>
          <w:szCs w:val="20"/>
          <w:lang w:val="en-US" w:eastAsia="zh-CN"/>
        </w:rPr>
        <w:t>散射设备安装服务</w:t>
      </w:r>
      <w:r>
        <w:rPr>
          <w:rFonts w:hint="eastAsia" w:ascii="宋体" w:hAnsi="宋体" w:eastAsia="宋体" w:cs="宋体"/>
          <w:lang w:val="en-US" w:eastAsia="zh-CN"/>
        </w:rPr>
        <w:t>、</w:t>
      </w:r>
      <w:r>
        <w:rPr>
          <w:rFonts w:hint="eastAsia" w:ascii="宋体" w:hAnsi="宋体" w:eastAsia="宋体"/>
          <w:sz w:val="20"/>
          <w:szCs w:val="20"/>
          <w:lang w:val="en-US" w:eastAsia="zh-CN"/>
        </w:rPr>
        <w:t>数字化电台安装服务</w:t>
      </w:r>
      <w:r>
        <w:rPr>
          <w:rFonts w:hint="eastAsia" w:ascii="宋体" w:hAnsi="宋体" w:eastAsia="宋体" w:cs="宋体"/>
          <w:lang w:val="en-US" w:eastAsia="zh-CN"/>
        </w:rPr>
        <w:t>、</w:t>
      </w:r>
      <w:r>
        <w:rPr>
          <w:rFonts w:hint="eastAsia" w:ascii="宋体" w:hAnsi="宋体" w:eastAsia="宋体" w:cstheme="minorBidi"/>
          <w:kern w:val="0"/>
          <w:sz w:val="20"/>
          <w:szCs w:val="20"/>
          <w:lang w:val="en-US" w:eastAsia="zh-CN" w:bidi="ar-SA"/>
        </w:rPr>
        <w:t>东海生产平台通讯链路系统安装服务、残雪北导航安装服务、振海六号自动跟踪天线安装服务、宁波终端能源态势感知服务</w:t>
      </w:r>
      <w:r>
        <w:rPr>
          <w:rFonts w:hint="eastAsia" w:ascii="宋体" w:hAnsi="宋体" w:eastAsia="宋体" w:cs="宋体"/>
          <w:lang w:val="en-US" w:eastAsia="zh-CN"/>
        </w:rPr>
        <w:t>等相关服务</w:t>
      </w:r>
      <w:r>
        <w:rPr>
          <w:rFonts w:hint="eastAsia" w:ascii="宋体" w:hAnsi="宋体" w:eastAsia="宋体" w:cs="宋体"/>
          <w:lang w:eastAsia="zh-CN"/>
        </w:rPr>
        <w:t>。</w:t>
      </w:r>
    </w:p>
    <w:p>
      <w:pPr>
        <w:pStyle w:val="4"/>
        <w:spacing w:line="480" w:lineRule="auto"/>
      </w:pPr>
      <w:r>
        <w:t>二、</w:t>
      </w:r>
      <w:r>
        <w:rPr>
          <w:rFonts w:hint="eastAsia"/>
        </w:rPr>
        <w:t>服务</w:t>
      </w:r>
      <w:r>
        <w:t>内容和范围</w:t>
      </w:r>
      <w:bookmarkEnd w:id="4"/>
      <w:bookmarkEnd w:id="5"/>
    </w:p>
    <w:p>
      <w:pPr>
        <w:pStyle w:val="10"/>
        <w:spacing w:line="360" w:lineRule="auto"/>
        <w:ind w:right="115" w:rightChars="55" w:firstLine="199" w:firstLineChars="95"/>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工作量清单</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4634"/>
        <w:gridCol w:w="808"/>
        <w:gridCol w:w="1038"/>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序号</w:t>
            </w:r>
          </w:p>
        </w:tc>
        <w:tc>
          <w:tcPr>
            <w:tcW w:w="271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服务名称</w:t>
            </w:r>
          </w:p>
        </w:tc>
        <w:tc>
          <w:tcPr>
            <w:tcW w:w="474"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单位</w:t>
            </w:r>
          </w:p>
        </w:tc>
        <w:tc>
          <w:tcPr>
            <w:tcW w:w="60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数量</w:t>
            </w:r>
          </w:p>
        </w:tc>
        <w:tc>
          <w:tcPr>
            <w:tcW w:w="64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c>
          <w:tcPr>
            <w:tcW w:w="2719" w:type="pct"/>
            <w:vAlign w:val="center"/>
          </w:tcPr>
          <w:p>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平台大卫天线球罩安装服务</w:t>
            </w:r>
          </w:p>
        </w:tc>
        <w:tc>
          <w:tcPr>
            <w:tcW w:w="474" w:type="pct"/>
            <w:vAlign w:val="center"/>
          </w:tcPr>
          <w:p>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项</w:t>
            </w:r>
          </w:p>
        </w:tc>
        <w:tc>
          <w:tcPr>
            <w:tcW w:w="60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3</w:t>
            </w:r>
          </w:p>
        </w:tc>
        <w:tc>
          <w:tcPr>
            <w:tcW w:w="649" w:type="pct"/>
            <w:vAlign w:val="center"/>
          </w:tcPr>
          <w:p>
            <w:pPr>
              <w:widowControl/>
              <w:jc w:val="center"/>
              <w:rPr>
                <w:rFonts w:hint="eastAsia" w:ascii="宋体" w:hAnsi="宋体"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2</w:t>
            </w:r>
          </w:p>
        </w:tc>
        <w:tc>
          <w:tcPr>
            <w:tcW w:w="271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平台吊机可视化维修服务</w:t>
            </w:r>
          </w:p>
        </w:tc>
        <w:tc>
          <w:tcPr>
            <w:tcW w:w="474"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项</w:t>
            </w:r>
          </w:p>
        </w:tc>
        <w:tc>
          <w:tcPr>
            <w:tcW w:w="60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w:t>
            </w:r>
          </w:p>
        </w:tc>
        <w:tc>
          <w:tcPr>
            <w:tcW w:w="649" w:type="pct"/>
            <w:vAlign w:val="center"/>
          </w:tcPr>
          <w:p>
            <w:pPr>
              <w:widowControl/>
              <w:jc w:val="center"/>
              <w:rPr>
                <w:rFonts w:hint="eastAsia" w:ascii="宋体" w:hAnsi="宋体"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3</w:t>
            </w:r>
          </w:p>
        </w:tc>
        <w:tc>
          <w:tcPr>
            <w:tcW w:w="271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散射设备安装服务</w:t>
            </w:r>
          </w:p>
        </w:tc>
        <w:tc>
          <w:tcPr>
            <w:tcW w:w="474"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项</w:t>
            </w:r>
          </w:p>
        </w:tc>
        <w:tc>
          <w:tcPr>
            <w:tcW w:w="60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w:t>
            </w:r>
          </w:p>
        </w:tc>
        <w:tc>
          <w:tcPr>
            <w:tcW w:w="649" w:type="pct"/>
            <w:vAlign w:val="center"/>
          </w:tcPr>
          <w:p>
            <w:pPr>
              <w:widowControl/>
              <w:jc w:val="center"/>
              <w:rPr>
                <w:rFonts w:hint="eastAsia" w:ascii="宋体" w:hAnsi="宋体"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4</w:t>
            </w:r>
          </w:p>
        </w:tc>
        <w:tc>
          <w:tcPr>
            <w:tcW w:w="271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数字化电台安装服务</w:t>
            </w:r>
          </w:p>
        </w:tc>
        <w:tc>
          <w:tcPr>
            <w:tcW w:w="474"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项</w:t>
            </w:r>
          </w:p>
        </w:tc>
        <w:tc>
          <w:tcPr>
            <w:tcW w:w="60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w:t>
            </w:r>
          </w:p>
        </w:tc>
        <w:tc>
          <w:tcPr>
            <w:tcW w:w="649" w:type="pct"/>
            <w:vAlign w:val="center"/>
          </w:tcPr>
          <w:p>
            <w:pPr>
              <w:widowControl/>
              <w:jc w:val="center"/>
              <w:rPr>
                <w:rFonts w:hint="eastAsia" w:ascii="宋体" w:hAnsi="宋体"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sz w:val="20"/>
                <w:szCs w:val="20"/>
                <w:lang w:val="en-US" w:eastAsia="zh-CN"/>
              </w:rPr>
              <w:t>5</w:t>
            </w:r>
          </w:p>
        </w:tc>
        <w:tc>
          <w:tcPr>
            <w:tcW w:w="2719" w:type="pct"/>
            <w:vAlign w:val="center"/>
          </w:tcPr>
          <w:p>
            <w:pPr>
              <w:widowControl/>
              <w:jc w:val="center"/>
              <w:rPr>
                <w:rFonts w:hint="default" w:ascii="宋体" w:hAnsi="宋体" w:eastAsia="宋体" w:cstheme="minorBidi"/>
                <w:kern w:val="0"/>
                <w:sz w:val="20"/>
                <w:szCs w:val="20"/>
                <w:lang w:val="en-US" w:eastAsia="zh-CN" w:bidi="ar-SA"/>
              </w:rPr>
            </w:pPr>
            <w:r>
              <w:rPr>
                <w:rFonts w:hint="eastAsia" w:ascii="宋体" w:hAnsi="宋体" w:eastAsia="宋体" w:cstheme="minorBidi"/>
                <w:kern w:val="0"/>
                <w:sz w:val="20"/>
                <w:szCs w:val="20"/>
                <w:lang w:val="en-US" w:eastAsia="zh-CN" w:bidi="ar-SA"/>
              </w:rPr>
              <w:t>东海生产平台通讯链路系统安装服务</w:t>
            </w:r>
          </w:p>
        </w:tc>
        <w:tc>
          <w:tcPr>
            <w:tcW w:w="474"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sz w:val="20"/>
                <w:szCs w:val="20"/>
                <w:lang w:val="en-US" w:eastAsia="zh-CN"/>
              </w:rPr>
              <w:t>项</w:t>
            </w:r>
          </w:p>
        </w:tc>
        <w:tc>
          <w:tcPr>
            <w:tcW w:w="609" w:type="pct"/>
            <w:vAlign w:val="center"/>
          </w:tcPr>
          <w:p>
            <w:pPr>
              <w:widowControl/>
              <w:jc w:val="center"/>
              <w:rPr>
                <w:rFonts w:hint="default" w:ascii="宋体" w:hAnsi="宋体" w:eastAsia="宋体" w:cstheme="minorBidi"/>
                <w:kern w:val="0"/>
                <w:sz w:val="20"/>
                <w:szCs w:val="20"/>
                <w:lang w:val="en-US" w:eastAsia="zh-CN" w:bidi="ar-SA"/>
              </w:rPr>
            </w:pPr>
            <w:r>
              <w:rPr>
                <w:rFonts w:hint="eastAsia" w:ascii="宋体" w:hAnsi="宋体" w:eastAsia="宋体"/>
                <w:sz w:val="20"/>
                <w:szCs w:val="20"/>
                <w:lang w:val="en-US" w:eastAsia="zh-CN"/>
              </w:rPr>
              <w:t>6</w:t>
            </w:r>
          </w:p>
        </w:tc>
        <w:tc>
          <w:tcPr>
            <w:tcW w:w="649" w:type="pct"/>
            <w:vAlign w:val="center"/>
          </w:tcPr>
          <w:p>
            <w:pPr>
              <w:widowControl/>
              <w:jc w:val="center"/>
              <w:rPr>
                <w:rFonts w:hint="eastAsia" w:ascii="宋体" w:hAnsi="宋体" w:eastAsia="宋体" w:cstheme="minorBidi"/>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6</w:t>
            </w:r>
          </w:p>
        </w:tc>
        <w:tc>
          <w:tcPr>
            <w:tcW w:w="2719" w:type="pct"/>
            <w:vAlign w:val="center"/>
          </w:tcPr>
          <w:p>
            <w:pPr>
              <w:widowControl/>
              <w:jc w:val="center"/>
              <w:rPr>
                <w:rFonts w:hint="default" w:ascii="宋体" w:hAnsi="宋体" w:eastAsia="宋体" w:cstheme="minorBidi"/>
                <w:kern w:val="0"/>
                <w:sz w:val="20"/>
                <w:szCs w:val="20"/>
                <w:lang w:val="en-US" w:eastAsia="zh-CN" w:bidi="ar-SA"/>
              </w:rPr>
            </w:pPr>
            <w:r>
              <w:rPr>
                <w:rFonts w:hint="eastAsia" w:ascii="宋体" w:hAnsi="宋体" w:eastAsia="宋体" w:cstheme="minorBidi"/>
                <w:kern w:val="0"/>
                <w:sz w:val="20"/>
                <w:szCs w:val="20"/>
                <w:lang w:val="en-US" w:eastAsia="zh-CN" w:bidi="ar-SA"/>
              </w:rPr>
              <w:t>残雪北导航安装服务</w:t>
            </w:r>
          </w:p>
        </w:tc>
        <w:tc>
          <w:tcPr>
            <w:tcW w:w="474"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sz w:val="20"/>
                <w:szCs w:val="20"/>
                <w:lang w:val="en-US" w:eastAsia="zh-CN"/>
              </w:rPr>
              <w:t>项</w:t>
            </w:r>
          </w:p>
        </w:tc>
        <w:tc>
          <w:tcPr>
            <w:tcW w:w="609"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sz w:val="20"/>
                <w:szCs w:val="20"/>
                <w:lang w:val="en-US" w:eastAsia="zh-CN"/>
              </w:rPr>
              <w:t>1</w:t>
            </w:r>
          </w:p>
        </w:tc>
        <w:tc>
          <w:tcPr>
            <w:tcW w:w="649" w:type="pct"/>
            <w:vAlign w:val="center"/>
          </w:tcPr>
          <w:p>
            <w:pPr>
              <w:widowControl/>
              <w:jc w:val="center"/>
              <w:rPr>
                <w:rFonts w:hint="eastAsia" w:ascii="宋体" w:hAnsi="宋体" w:eastAsia="宋体" w:cstheme="minorBidi"/>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7</w:t>
            </w:r>
          </w:p>
        </w:tc>
        <w:tc>
          <w:tcPr>
            <w:tcW w:w="2719" w:type="pct"/>
            <w:vAlign w:val="center"/>
          </w:tcPr>
          <w:p>
            <w:pPr>
              <w:widowControl/>
              <w:jc w:val="center"/>
              <w:rPr>
                <w:rFonts w:hint="default" w:ascii="宋体" w:hAnsi="宋体" w:eastAsia="宋体" w:cstheme="minorBidi"/>
                <w:kern w:val="0"/>
                <w:sz w:val="20"/>
                <w:szCs w:val="20"/>
                <w:lang w:val="en-US" w:eastAsia="zh-CN" w:bidi="ar-SA"/>
              </w:rPr>
            </w:pPr>
            <w:r>
              <w:rPr>
                <w:rFonts w:hint="eastAsia" w:ascii="宋体" w:hAnsi="宋体" w:eastAsia="宋体" w:cstheme="minorBidi"/>
                <w:kern w:val="0"/>
                <w:sz w:val="20"/>
                <w:szCs w:val="20"/>
                <w:lang w:val="en-US" w:eastAsia="zh-CN" w:bidi="ar-SA"/>
              </w:rPr>
              <w:t>振海六号自动跟踪天线安装服务</w:t>
            </w:r>
          </w:p>
        </w:tc>
        <w:tc>
          <w:tcPr>
            <w:tcW w:w="474"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项</w:t>
            </w:r>
          </w:p>
        </w:tc>
        <w:tc>
          <w:tcPr>
            <w:tcW w:w="60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w:t>
            </w:r>
          </w:p>
        </w:tc>
        <w:tc>
          <w:tcPr>
            <w:tcW w:w="649" w:type="pct"/>
            <w:vAlign w:val="center"/>
          </w:tcPr>
          <w:p>
            <w:pPr>
              <w:widowControl/>
              <w:jc w:val="center"/>
              <w:rPr>
                <w:rFonts w:hint="eastAsia" w:ascii="宋体" w:hAnsi="宋体" w:eastAsia="宋体" w:cstheme="minorBidi"/>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8</w:t>
            </w:r>
          </w:p>
        </w:tc>
        <w:tc>
          <w:tcPr>
            <w:tcW w:w="2719" w:type="pct"/>
            <w:vAlign w:val="center"/>
          </w:tcPr>
          <w:p>
            <w:pPr>
              <w:widowControl/>
              <w:jc w:val="center"/>
              <w:rPr>
                <w:rFonts w:hint="default" w:ascii="宋体" w:hAnsi="宋体" w:eastAsia="宋体" w:cstheme="minorBidi"/>
                <w:kern w:val="0"/>
                <w:sz w:val="20"/>
                <w:szCs w:val="20"/>
                <w:lang w:val="en-US" w:eastAsia="zh-CN" w:bidi="ar-SA"/>
              </w:rPr>
            </w:pPr>
            <w:r>
              <w:rPr>
                <w:rFonts w:hint="eastAsia" w:ascii="宋体" w:hAnsi="宋体" w:eastAsia="宋体" w:cstheme="minorBidi"/>
                <w:kern w:val="0"/>
                <w:sz w:val="20"/>
                <w:szCs w:val="20"/>
                <w:lang w:val="en-US" w:eastAsia="zh-CN" w:bidi="ar-SA"/>
              </w:rPr>
              <w:t>宁波终端能源态势感知安装服务</w:t>
            </w:r>
          </w:p>
        </w:tc>
        <w:tc>
          <w:tcPr>
            <w:tcW w:w="474"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项</w:t>
            </w:r>
          </w:p>
        </w:tc>
        <w:tc>
          <w:tcPr>
            <w:tcW w:w="60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w:t>
            </w:r>
          </w:p>
        </w:tc>
        <w:tc>
          <w:tcPr>
            <w:tcW w:w="649" w:type="pct"/>
            <w:vAlign w:val="center"/>
          </w:tcPr>
          <w:p>
            <w:pPr>
              <w:widowControl/>
              <w:jc w:val="center"/>
              <w:rPr>
                <w:rFonts w:hint="eastAsia" w:ascii="宋体" w:hAnsi="宋体" w:eastAsia="宋体" w:cstheme="minorBidi"/>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9</w:t>
            </w:r>
          </w:p>
        </w:tc>
        <w:tc>
          <w:tcPr>
            <w:tcW w:w="2719"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sz w:val="20"/>
                <w:szCs w:val="20"/>
                <w:lang w:val="en-US" w:eastAsia="zh-CN"/>
              </w:rPr>
              <w:t>平台功放设备安装调试</w:t>
            </w:r>
          </w:p>
        </w:tc>
        <w:tc>
          <w:tcPr>
            <w:tcW w:w="474"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项</w:t>
            </w:r>
          </w:p>
        </w:tc>
        <w:tc>
          <w:tcPr>
            <w:tcW w:w="60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w:t>
            </w:r>
          </w:p>
        </w:tc>
        <w:tc>
          <w:tcPr>
            <w:tcW w:w="649" w:type="pct"/>
            <w:vAlign w:val="center"/>
          </w:tcPr>
          <w:p>
            <w:pPr>
              <w:widowControl/>
              <w:jc w:val="center"/>
              <w:rPr>
                <w:rFonts w:hint="eastAsia" w:ascii="宋体" w:hAnsi="宋体" w:eastAsia="宋体" w:cstheme="minorBidi"/>
                <w:kern w:val="0"/>
                <w:sz w:val="20"/>
                <w:szCs w:val="20"/>
                <w:lang w:val="en-US" w:eastAsia="zh-CN" w:bidi="ar-SA"/>
              </w:rPr>
            </w:pPr>
          </w:p>
        </w:tc>
      </w:tr>
    </w:tbl>
    <w:p>
      <w:pPr>
        <w:pStyle w:val="10"/>
        <w:numPr>
          <w:ilvl w:val="0"/>
          <w:numId w:val="0"/>
        </w:numPr>
        <w:spacing w:line="360" w:lineRule="auto"/>
        <w:ind w:right="115" w:rightChars="55" w:firstLine="210" w:firstLineChars="100"/>
        <w:rPr>
          <w:rFonts w:hint="default" w:ascii="宋体" w:hAnsi="宋体" w:eastAsia="宋体" w:cs="宋体"/>
          <w:lang w:val="en-US" w:eastAsia="zh-CN"/>
        </w:rPr>
      </w:pPr>
      <w:r>
        <w:rPr>
          <w:rFonts w:hint="eastAsia" w:ascii="宋体" w:hAnsi="宋体" w:eastAsia="宋体" w:cs="宋体"/>
          <w:lang w:val="en-US" w:eastAsia="zh-CN"/>
        </w:rPr>
        <w:t>2、服务内容明细</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481"/>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序号</w:t>
            </w:r>
          </w:p>
        </w:tc>
        <w:tc>
          <w:tcPr>
            <w:tcW w:w="86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服务名称</w:t>
            </w:r>
          </w:p>
        </w:tc>
        <w:tc>
          <w:tcPr>
            <w:tcW w:w="3742"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内容明细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w:t>
            </w:r>
          </w:p>
        </w:tc>
        <w:tc>
          <w:tcPr>
            <w:tcW w:w="869" w:type="pct"/>
            <w:vAlign w:val="center"/>
          </w:tcPr>
          <w:p>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平台大卫天线迁移及球罩安装服务</w:t>
            </w:r>
          </w:p>
        </w:tc>
        <w:tc>
          <w:tcPr>
            <w:tcW w:w="3742" w:type="pct"/>
            <w:vAlign w:val="center"/>
          </w:tcPr>
          <w:p>
            <w:pPr>
              <w:widowControl/>
              <w:ind w:firstLine="400" w:firstLineChars="200"/>
              <w:jc w:val="both"/>
              <w:rPr>
                <w:rFonts w:hint="default" w:ascii="宋体" w:hAnsi="宋体" w:eastAsia="宋体"/>
                <w:sz w:val="20"/>
                <w:szCs w:val="20"/>
                <w:lang w:val="en-US" w:eastAsia="zh-CN"/>
              </w:rPr>
            </w:pPr>
            <w:r>
              <w:rPr>
                <w:rFonts w:hint="eastAsia" w:ascii="宋体" w:hAnsi="宋体" w:eastAsia="宋体"/>
                <w:sz w:val="20"/>
                <w:szCs w:val="20"/>
                <w:lang w:val="en-US" w:eastAsia="zh-CN"/>
              </w:rPr>
              <w:t>需要1位领队兼安全员、1位电工、1位专业工程师、1位焊工、1位监火员、2位架子工前往珍珠平台、孔A、天外天平台，确定卫星天线的安装位置，并提供相应的立柱焊接、线缆敷设、天线及设备安装等服务。安装时根据需要进行搭建脚手架，提供相应的立柱焊接、线缆敷设、天线及设备安装等服务。立柱使用斜撑固定(角钢等材料由平台提供)，底座与甲板面进行满焊，线缆敷设。天线安装完成后，提供卫星站通讯建立服务，包括卫星调制解调器发送及接收信号过程中使用频谱仪对星，寻找信号最佳位置，并配置路由器实现海油内网通等服务；天线安装调试完成后，选择好甲板中心位置点负责拼接安装五米的卫星天线球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2</w:t>
            </w:r>
          </w:p>
        </w:tc>
        <w:tc>
          <w:tcPr>
            <w:tcW w:w="869"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八角亭平台吊机可视化设备维修更换服务</w:t>
            </w:r>
          </w:p>
        </w:tc>
        <w:tc>
          <w:tcPr>
            <w:tcW w:w="3742" w:type="pct"/>
            <w:vAlign w:val="center"/>
          </w:tcPr>
          <w:p>
            <w:pPr>
              <w:widowControl/>
              <w:ind w:firstLine="400" w:firstLineChars="200"/>
              <w:jc w:val="left"/>
              <w:rPr>
                <w:rFonts w:hint="default" w:ascii="宋体" w:hAnsi="宋体" w:eastAsia="宋体"/>
                <w:sz w:val="20"/>
                <w:szCs w:val="20"/>
                <w:lang w:val="en-US" w:eastAsia="zh-CN"/>
              </w:rPr>
            </w:pPr>
            <w:r>
              <w:rPr>
                <w:rFonts w:hint="eastAsia" w:ascii="宋体" w:hAnsi="宋体" w:eastAsia="宋体"/>
                <w:sz w:val="20"/>
                <w:szCs w:val="20"/>
                <w:lang w:val="en-US" w:eastAsia="zh-CN"/>
              </w:rPr>
              <w:t>需要1位领队兼安全员、1位电工、1位专业工程师、1位焊工、1位监火员、1位架子工、1位铆工前往八角亭平台，更换返修完成的吊机可视化设备。提供的服务包括网线和复合线缆的敷设，吊机头处摄像机更换，防爆接线箱、防爆接线盒安装固定等，需要连接调试并完成吊机室内显示屏高清画面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3</w:t>
            </w:r>
          </w:p>
        </w:tc>
        <w:tc>
          <w:tcPr>
            <w:tcW w:w="869" w:type="pct"/>
            <w:vAlign w:val="center"/>
          </w:tcPr>
          <w:p>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散射设备安装服务</w:t>
            </w:r>
          </w:p>
        </w:tc>
        <w:tc>
          <w:tcPr>
            <w:tcW w:w="3742" w:type="pct"/>
            <w:vAlign w:val="center"/>
          </w:tcPr>
          <w:p>
            <w:pPr>
              <w:widowControl/>
              <w:ind w:firstLine="400" w:firstLineChars="200"/>
              <w:jc w:val="left"/>
              <w:rPr>
                <w:rFonts w:hint="eastAsia" w:ascii="宋体" w:hAnsi="宋体" w:eastAsia="宋体"/>
                <w:sz w:val="20"/>
                <w:szCs w:val="20"/>
                <w:lang w:val="en-US" w:eastAsia="zh-CN"/>
              </w:rPr>
            </w:pPr>
            <w:r>
              <w:rPr>
                <w:rFonts w:hint="eastAsia" w:ascii="宋体" w:hAnsi="宋体" w:eastAsia="宋体"/>
                <w:sz w:val="20"/>
                <w:szCs w:val="20"/>
                <w:lang w:val="en-US" w:eastAsia="zh-CN"/>
              </w:rPr>
              <w:t>1、要1位领队兼安全员、1位电工、1位专业工程师、1位焊工、1位监火员、2位架子工前往孔雀亭B平台，拆除平台上现有的散射系统，拆除天线底部的双工器，将其上面的两个同轴线及两根软波导拆下，室外机柜设备绑扎固定，切割机柜底座，整体位移至船上，拆卸室内IDU设备打包，随船运输至于孔雀A平台；</w:t>
            </w:r>
          </w:p>
          <w:p>
            <w:pPr>
              <w:widowControl/>
              <w:ind w:firstLine="400" w:firstLineChars="200"/>
              <w:jc w:val="left"/>
              <w:rPr>
                <w:rFonts w:hint="eastAsia" w:ascii="宋体" w:hAnsi="宋体" w:eastAsia="宋体"/>
                <w:sz w:val="20"/>
                <w:szCs w:val="20"/>
                <w:lang w:val="en-US" w:eastAsia="zh-CN"/>
              </w:rPr>
            </w:pPr>
            <w:r>
              <w:rPr>
                <w:rFonts w:hint="eastAsia" w:ascii="宋体" w:hAnsi="宋体" w:eastAsia="宋体"/>
                <w:sz w:val="20"/>
                <w:szCs w:val="20"/>
                <w:lang w:val="en-US" w:eastAsia="zh-CN"/>
              </w:rPr>
              <w:t>2、需要1位领队兼安全员、1位电工、1位专业工程师、1位焊工、1位监火员、2位架子工前往孔雀亭A平台，由平台提供角钢材料，焊接制作散射天线底座，需尽可能抬高高度，散射天线底座满焊焊接在甲板底座上；提供天线拼装服务，室外机柜焊接，天线以及立柱焊接斜撑加固稳定；根据天线安装位置从室内到室外敷设七根线缆，预估每根线缆约在1000米左右，并调试散射天线系统，通过改变调整天线角度方位，找到接收信号最佳点，确认链路的正常建立；</w:t>
            </w:r>
          </w:p>
          <w:p>
            <w:pPr>
              <w:widowControl/>
              <w:ind w:firstLine="400" w:firstLineChars="200"/>
              <w:jc w:val="left"/>
              <w:rPr>
                <w:rFonts w:hint="default" w:ascii="宋体" w:hAnsi="宋体" w:eastAsia="宋体"/>
                <w:sz w:val="20"/>
                <w:szCs w:val="20"/>
                <w:lang w:val="en-US" w:eastAsia="zh-CN"/>
              </w:rPr>
            </w:pPr>
            <w:r>
              <w:rPr>
                <w:rFonts w:hint="eastAsia" w:ascii="宋体" w:hAnsi="宋体" w:eastAsia="宋体"/>
                <w:sz w:val="20"/>
                <w:szCs w:val="20"/>
                <w:lang w:val="en-US" w:eastAsia="zh-CN"/>
              </w:rPr>
              <w:t>3、需要1位领队兼安全员、1位电工、1位专业工程师、1位焊工、1位监火员、2位架子工前往舟山桃花岛，施工人员需要爬上铁塔，更换散射功放射频线，切割天线面斜撑支柱后，转动散射天线俯仰方位，配置现场工程师调试散射系统，确保散射通讯系统成功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4</w:t>
            </w:r>
          </w:p>
        </w:tc>
        <w:tc>
          <w:tcPr>
            <w:tcW w:w="869" w:type="pct"/>
            <w:vAlign w:val="center"/>
          </w:tcPr>
          <w:p>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数字化电台安装服务</w:t>
            </w:r>
          </w:p>
        </w:tc>
        <w:tc>
          <w:tcPr>
            <w:tcW w:w="3742" w:type="pct"/>
            <w:vAlign w:val="center"/>
          </w:tcPr>
          <w:p>
            <w:pPr>
              <w:widowControl/>
              <w:ind w:firstLine="400" w:firstLineChars="200"/>
              <w:jc w:val="left"/>
              <w:rPr>
                <w:rFonts w:hint="eastAsia" w:ascii="宋体" w:hAnsi="宋体" w:eastAsia="宋体"/>
                <w:sz w:val="20"/>
                <w:szCs w:val="20"/>
                <w:lang w:val="en-US" w:eastAsia="zh-CN"/>
              </w:rPr>
            </w:pPr>
            <w:r>
              <w:rPr>
                <w:rFonts w:hint="eastAsia" w:ascii="宋体" w:hAnsi="宋体" w:eastAsia="宋体"/>
                <w:sz w:val="20"/>
                <w:szCs w:val="20"/>
                <w:lang w:val="en-US" w:eastAsia="zh-CN"/>
              </w:rPr>
              <w:t>1、需要1位领队兼安全员、1位电工、1位专业工程师、1位焊工、1位监火员、2位架子工、1位专业工程师前往平湖平台，确定好电台天线的安装地点，甲板处开设穿线孔，铺设天线线缆预计2000米，并提供相应的天线立柱焊接，安装21米高电台天线与室内电台主机设备，之间完成线缆连接，提供室内主机电台设备调试服务，完成配置短波一体化IP电台。</w:t>
            </w:r>
          </w:p>
          <w:p>
            <w:pPr>
              <w:widowControl/>
              <w:ind w:firstLine="400" w:firstLineChars="200"/>
              <w:jc w:val="left"/>
              <w:rPr>
                <w:rFonts w:hint="default" w:ascii="宋体" w:hAnsi="宋体" w:eastAsia="宋体"/>
                <w:sz w:val="20"/>
                <w:szCs w:val="20"/>
                <w:lang w:val="en-US" w:eastAsia="zh-CN"/>
              </w:rPr>
            </w:pPr>
            <w:r>
              <w:rPr>
                <w:rFonts w:hint="eastAsia" w:ascii="宋体" w:hAnsi="宋体" w:eastAsia="宋体"/>
                <w:sz w:val="20"/>
                <w:szCs w:val="20"/>
                <w:lang w:val="en-US" w:eastAsia="zh-CN"/>
              </w:rPr>
              <w:t>2、需要1位电工、1位专业工程师前往上海大楼，调试安装短波调度台和短波融合通信控制器，并分别通过IP网络接口接入现有IP办公网络，根据网络管理分配的IP地址进行网络连通。短波IP电台和调度台注册到短波融合通信控制器，同时短波融合通信控制器通过SIP中继与现有IP电话网互联，最终实现调度台、短波IP电台与IP电话机、手机的语音调度通信,以及调度台对所有IP电台的统一管理及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8"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sz w:val="20"/>
                <w:szCs w:val="20"/>
                <w:lang w:val="en-US" w:eastAsia="zh-CN"/>
              </w:rPr>
              <w:t>5</w:t>
            </w:r>
          </w:p>
        </w:tc>
        <w:tc>
          <w:tcPr>
            <w:tcW w:w="869" w:type="pct"/>
            <w:vAlign w:val="center"/>
          </w:tcPr>
          <w:p>
            <w:pPr>
              <w:widowControl/>
              <w:jc w:val="center"/>
              <w:rPr>
                <w:rFonts w:hint="default" w:ascii="宋体" w:hAnsi="宋体" w:eastAsia="宋体" w:cstheme="minorBidi"/>
                <w:kern w:val="0"/>
                <w:sz w:val="20"/>
                <w:szCs w:val="20"/>
                <w:lang w:val="en-US" w:eastAsia="zh-CN" w:bidi="ar-SA"/>
              </w:rPr>
            </w:pPr>
            <w:r>
              <w:rPr>
                <w:rFonts w:hint="eastAsia" w:ascii="宋体" w:hAnsi="宋体" w:eastAsia="宋体" w:cstheme="minorBidi"/>
                <w:kern w:val="0"/>
                <w:sz w:val="20"/>
                <w:szCs w:val="20"/>
                <w:lang w:val="en-US" w:eastAsia="zh-CN" w:bidi="ar-SA"/>
              </w:rPr>
              <w:t>东海生产平台通讯链路系统安装服务</w:t>
            </w:r>
          </w:p>
        </w:tc>
        <w:tc>
          <w:tcPr>
            <w:tcW w:w="3742" w:type="pct"/>
            <w:vAlign w:val="center"/>
          </w:tcPr>
          <w:p>
            <w:pPr>
              <w:widowControl/>
              <w:ind w:firstLine="400" w:firstLineChars="200"/>
              <w:jc w:val="left"/>
              <w:rPr>
                <w:rFonts w:hint="default" w:ascii="宋体" w:hAnsi="宋体" w:eastAsia="宋体" w:cstheme="minorBidi"/>
                <w:kern w:val="0"/>
                <w:sz w:val="20"/>
                <w:szCs w:val="20"/>
                <w:lang w:val="en-US" w:eastAsia="zh-CN" w:bidi="ar-SA"/>
              </w:rPr>
            </w:pPr>
            <w:r>
              <w:rPr>
                <w:rFonts w:hint="eastAsia" w:ascii="宋体" w:hAnsi="宋体" w:eastAsia="宋体"/>
                <w:sz w:val="20"/>
                <w:szCs w:val="20"/>
                <w:lang w:val="en-US" w:eastAsia="zh-CN"/>
              </w:rPr>
              <w:t>需要1位领队兼安全员、2位电工、1位专业工程师、1位焊工、1位监火员、2位架子工依次前往东海十处平台（孔雀亭A平台、珍珠平台、八角亭平台、平湖平台、天外天CEP平台、残雪平台、黄岩1-1平台、孔雀亭B平台、振海六号钻井船、宁波终端），每处平台上提供的服务包括船载卫星通讯天线系统安装服务、卫星通信基站安装服务服务、UPS系统安装服务。船载卫星通讯天线系统安装需要将天线立柱与船体稳固焊接，正确安装立柱方向，在平台的生活区部署电信基站和移动基站，实现移动、电信运营商信号的接入和覆盖。平台间的所有基站均通过网线汇聚至交换机，经过卫星链路之后进入互联网，通过互联网接入舟山运营商网络。卫星网络采用纯IP协议，兼容标准IP协议，基站可直接通过网络信号依托网线与卫星通信系统的对接；卫星通信基站的安选取合适的安装位置，保证基站所发射的信号覆盖平台生活楼内部；UPS系统安装现场的安装环境，因地制宜，制作并改造蓄电池的支架，确保电池排列整齐，充放电正常工作，接地完备，使用符合规定的船用线缆，在不破坏船体主要结构的条件下完成线缆的穿孔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6</w:t>
            </w:r>
          </w:p>
        </w:tc>
        <w:tc>
          <w:tcPr>
            <w:tcW w:w="869"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cstheme="minorBidi"/>
                <w:kern w:val="0"/>
                <w:sz w:val="20"/>
                <w:szCs w:val="20"/>
                <w:lang w:val="en-US" w:eastAsia="zh-CN" w:bidi="ar-SA"/>
              </w:rPr>
              <w:t>残雪北导航安装服务</w:t>
            </w:r>
          </w:p>
        </w:tc>
        <w:tc>
          <w:tcPr>
            <w:tcW w:w="3742" w:type="pct"/>
            <w:vAlign w:val="center"/>
          </w:tcPr>
          <w:p>
            <w:pPr>
              <w:widowControl/>
              <w:ind w:firstLine="400" w:firstLineChars="200"/>
              <w:jc w:val="left"/>
              <w:rPr>
                <w:rFonts w:hint="eastAsia" w:ascii="宋体" w:hAnsi="宋体" w:eastAsia="宋体"/>
                <w:sz w:val="20"/>
                <w:szCs w:val="20"/>
                <w:lang w:val="en-US" w:eastAsia="zh-CN"/>
              </w:rPr>
            </w:pPr>
            <w:r>
              <w:rPr>
                <w:rFonts w:hint="eastAsia" w:ascii="宋体" w:hAnsi="宋体" w:eastAsia="宋体"/>
                <w:sz w:val="20"/>
                <w:szCs w:val="20"/>
                <w:lang w:val="en-US" w:eastAsia="zh-CN"/>
              </w:rPr>
              <w:t>需要1位专业工程师、1位电工（配备监火证）、1位焊工、前往残雪北平台，提供导航主机以及耦合器的相应的立柱焊接、线缆敷设、天线及设备安装等服务。立柱使用斜撑固定(角钢等材料由平台提供)，底座与甲板面进行满焊，线缆敷设。天线安装完成后，提供设备调试服务，调试耦合器调谐挡位，寻找合适的挡位发送射频，还需与飞行员确认拨码是否正确，打点是否清晰，调试完成后对所有设备进行防腐刷漆，各线缆孔洞以及螺丝眼进行防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7</w:t>
            </w:r>
          </w:p>
        </w:tc>
        <w:tc>
          <w:tcPr>
            <w:tcW w:w="869"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cstheme="minorBidi"/>
                <w:kern w:val="0"/>
                <w:sz w:val="20"/>
                <w:szCs w:val="20"/>
                <w:lang w:val="en-US" w:eastAsia="zh-CN" w:bidi="ar-SA"/>
              </w:rPr>
              <w:t>振海六号自动跟踪天线安装服务</w:t>
            </w:r>
          </w:p>
        </w:tc>
        <w:tc>
          <w:tcPr>
            <w:tcW w:w="3742" w:type="pct"/>
            <w:vAlign w:val="center"/>
          </w:tcPr>
          <w:p>
            <w:pPr>
              <w:widowControl/>
              <w:ind w:firstLine="400" w:firstLineChars="200"/>
              <w:jc w:val="left"/>
              <w:rPr>
                <w:rFonts w:hint="default" w:ascii="宋体" w:hAnsi="宋体" w:eastAsia="宋体"/>
                <w:sz w:val="20"/>
                <w:szCs w:val="20"/>
                <w:lang w:val="en-US" w:eastAsia="zh-CN"/>
              </w:rPr>
            </w:pPr>
            <w:r>
              <w:rPr>
                <w:rFonts w:hint="eastAsia" w:ascii="宋体" w:hAnsi="宋体" w:eastAsia="宋体"/>
                <w:sz w:val="20"/>
                <w:szCs w:val="20"/>
                <w:lang w:val="en-US" w:eastAsia="zh-CN"/>
              </w:rPr>
              <w:t>1、需要1位领队兼安全员、1位电工、1位专业工程师、1位焊工、1位监火员、2位架子工前往舟山码头基地，提供卫星天线的安装服务，天线安装完成后，测试使用频谱仪对星，寻找信号最佳位置，可以成功搭建通讯链路，天线安装调试完成后，负责安装天线球罩；并提供4米×4米的定制吊篮制作服务，吊笼需要能通过CCS检验，可随船运输至海上平台，吊装天线及球罩整体安装于定制吊笼内，吊篮底部根据球罩底部打孔，使用螺丝固定吊篮与球罩整体；定制配备吊篮索具与绑带，均需要通过CCS检测并开具检测报告，符合海上使用要求，可随船运输至海上使用；</w:t>
            </w:r>
          </w:p>
          <w:p>
            <w:pPr>
              <w:widowControl/>
              <w:ind w:firstLine="400" w:firstLineChars="200"/>
              <w:jc w:val="left"/>
              <w:rPr>
                <w:rFonts w:hint="eastAsia" w:ascii="宋体" w:hAnsi="宋体" w:eastAsia="宋体"/>
                <w:sz w:val="20"/>
                <w:szCs w:val="20"/>
                <w:lang w:val="en-US" w:eastAsia="zh-CN"/>
              </w:rPr>
            </w:pPr>
            <w:r>
              <w:rPr>
                <w:rFonts w:hint="eastAsia" w:ascii="宋体" w:hAnsi="宋体" w:eastAsia="宋体"/>
                <w:sz w:val="20"/>
                <w:szCs w:val="20"/>
                <w:lang w:val="en-US" w:eastAsia="zh-CN"/>
              </w:rPr>
              <w:t>2、需要1位领队兼安全员、1位电工、1位专业工程师、1位焊工、1位监火员、2位架子工前往振海六号钻井船，确定卫星天线的安装位置，并提供相应的立柱焊接、线缆敷设、天线及设备安装等服务。安装时根据需要进行搭建脚手架，提供相应的立柱焊接、线缆敷设、天线及设备安装等服务。立柱使用斜撑固定(角钢等材料由平台提供)，底座与甲板面进行满焊，线缆敷设。天线安装完成后，提供卫星站通讯建立服务，包括卫星调制解调器发送及接收信号过程中使用频谱仪对星，寻找信号最佳位置，并配置路由器实现海油内网通等服务；完成天线安装调试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8</w:t>
            </w:r>
          </w:p>
        </w:tc>
        <w:tc>
          <w:tcPr>
            <w:tcW w:w="869"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cstheme="minorBidi"/>
                <w:kern w:val="0"/>
                <w:sz w:val="20"/>
                <w:szCs w:val="20"/>
                <w:lang w:val="en-US" w:eastAsia="zh-CN" w:bidi="ar-SA"/>
              </w:rPr>
              <w:t>宁波终端能源态势感知服务</w:t>
            </w:r>
          </w:p>
        </w:tc>
        <w:tc>
          <w:tcPr>
            <w:tcW w:w="3742" w:type="pct"/>
            <w:vAlign w:val="center"/>
          </w:tcPr>
          <w:p>
            <w:pPr>
              <w:widowControl/>
              <w:ind w:firstLine="400" w:firstLineChars="200"/>
              <w:jc w:val="left"/>
              <w:rPr>
                <w:rFonts w:hint="eastAsia" w:ascii="宋体" w:hAnsi="宋体" w:eastAsia="宋体"/>
                <w:sz w:val="20"/>
                <w:szCs w:val="20"/>
                <w:lang w:val="en-US" w:eastAsia="zh-CN"/>
              </w:rPr>
            </w:pPr>
            <w:r>
              <w:rPr>
                <w:rFonts w:hint="eastAsia" w:ascii="宋体" w:hAnsi="宋体" w:eastAsia="宋体"/>
                <w:sz w:val="20"/>
                <w:szCs w:val="20"/>
                <w:lang w:val="en-US" w:eastAsia="zh-CN"/>
              </w:rPr>
              <w:t>需要1名领队兼安全员，1名焊工、1名态势感知专业工程师，1名电工，1名熔纤工前往春晓天然气处理厂(宁波终端)。需要勘察现场环境，确认新中控室的新机柜安装位置，规划与中控系统交换机的布线以及机柜上电的走线，对预留的连接新老中控室的光缆进行熔纤。与仪表师和电气师沟通后确认施工方案，电工与专业工程师搭建机柜，完成布线连线，熔纤工对光缆进行熔纤和线缆测试。然后由专业工程师对机柜内的服务器、加密机等态势感知设备进行激活调试，对电源线和网线进行捆扎整理工作，同时对线缆和设备进行打标签做好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8" w:type="pct"/>
            <w:vAlign w:val="center"/>
          </w:tcPr>
          <w:p>
            <w:pPr>
              <w:widowControl/>
              <w:jc w:val="center"/>
              <w:rPr>
                <w:rFonts w:hint="default" w:ascii="宋体" w:hAnsi="宋体" w:eastAsia="宋体"/>
                <w:sz w:val="20"/>
                <w:szCs w:val="20"/>
                <w:lang w:val="en-US" w:eastAsia="zh-CN"/>
              </w:rPr>
            </w:pPr>
            <w:r>
              <w:rPr>
                <w:rFonts w:hint="eastAsia" w:ascii="宋体" w:hAnsi="宋体" w:eastAsia="宋体"/>
                <w:sz w:val="20"/>
                <w:szCs w:val="20"/>
                <w:lang w:val="en-US" w:eastAsia="zh-CN"/>
              </w:rPr>
              <w:t>9</w:t>
            </w:r>
          </w:p>
        </w:tc>
        <w:tc>
          <w:tcPr>
            <w:tcW w:w="869" w:type="pct"/>
            <w:vAlign w:val="center"/>
          </w:tcPr>
          <w:p>
            <w:pPr>
              <w:widowControl/>
              <w:jc w:val="center"/>
              <w:rPr>
                <w:rFonts w:hint="eastAsia" w:ascii="宋体" w:hAnsi="宋体" w:eastAsia="宋体" w:cstheme="minorBidi"/>
                <w:kern w:val="0"/>
                <w:sz w:val="20"/>
                <w:szCs w:val="20"/>
                <w:lang w:val="en-US" w:eastAsia="zh-CN" w:bidi="ar-SA"/>
              </w:rPr>
            </w:pPr>
            <w:r>
              <w:rPr>
                <w:rFonts w:hint="eastAsia" w:ascii="宋体" w:hAnsi="宋体" w:eastAsia="宋体"/>
                <w:sz w:val="20"/>
                <w:szCs w:val="20"/>
                <w:lang w:val="en-US" w:eastAsia="zh-CN"/>
              </w:rPr>
              <w:t>平台功放设备安装调试</w:t>
            </w:r>
          </w:p>
        </w:tc>
        <w:tc>
          <w:tcPr>
            <w:tcW w:w="3742" w:type="pct"/>
            <w:vAlign w:val="center"/>
          </w:tcPr>
          <w:p>
            <w:pPr>
              <w:widowControl/>
              <w:ind w:firstLine="400" w:firstLineChars="200"/>
              <w:jc w:val="left"/>
              <w:rPr>
                <w:rFonts w:hint="eastAsia" w:ascii="宋体" w:hAnsi="宋体" w:eastAsia="宋体"/>
                <w:sz w:val="20"/>
                <w:szCs w:val="20"/>
                <w:lang w:val="en-US" w:eastAsia="zh-CN"/>
              </w:rPr>
            </w:pPr>
            <w:r>
              <w:rPr>
                <w:rFonts w:hint="eastAsia" w:ascii="宋体" w:hAnsi="宋体" w:eastAsia="宋体"/>
                <w:sz w:val="20"/>
                <w:szCs w:val="20"/>
                <w:lang w:val="en-US" w:eastAsia="zh-CN"/>
              </w:rPr>
              <w:t>需1位功放设备专业工程师前往平湖平台，负责功放线缆铺设，线缆专用接头制作，安装功放机柜，功放安装，调试功放与微波天线等服务；并提供通讯建立服务，需使用频谱仪排除附近干扰因素，寻找信号最佳位置，并且配置路由器、复用交换机等设备实现海油内网通等服务，完成上述工作后，需要留在平台观察一周测试，并提供相应测试报告，以防止链路出现反复故障。</w:t>
            </w:r>
          </w:p>
        </w:tc>
      </w:tr>
    </w:tbl>
    <w:p>
      <w:pPr>
        <w:pStyle w:val="10"/>
        <w:spacing w:line="360" w:lineRule="auto"/>
        <w:ind w:left="0" w:leftChars="0" w:right="115" w:rightChars="55" w:firstLine="210" w:firstLineChars="100"/>
        <w:rPr>
          <w:rFonts w:hint="eastAsia" w:ascii="宋体" w:hAnsi="宋体" w:eastAsia="宋体" w:cs="宋体"/>
          <w:lang w:eastAsia="zh-CN"/>
        </w:rPr>
      </w:pPr>
      <w:r>
        <w:rPr>
          <w:rFonts w:hint="eastAsia" w:ascii="宋体" w:hAnsi="宋体" w:eastAsia="宋体" w:cs="宋体"/>
          <w:lang w:eastAsia="zh-CN"/>
        </w:rPr>
        <w:t>3、服务地点</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孔雀亭A平台、珍珠平台、八角亭平台、平湖平台、天外天CEP平台、残雪平台、黄岩1-1平台、孔雀亭B平台、舟山桃花岛、上海大楼、舟山码头、</w:t>
      </w:r>
      <w:r>
        <w:rPr>
          <w:rFonts w:hint="eastAsia" w:ascii="宋体" w:hAnsi="宋体" w:eastAsia="宋体"/>
          <w:sz w:val="20"/>
          <w:szCs w:val="20"/>
          <w:lang w:val="en-US" w:eastAsia="zh-CN"/>
        </w:rPr>
        <w:t>振海六号钻井船、宁波终端</w:t>
      </w:r>
    </w:p>
    <w:p>
      <w:pPr>
        <w:pStyle w:val="10"/>
        <w:spacing w:line="360" w:lineRule="auto"/>
        <w:ind w:right="115" w:rightChars="55" w:firstLine="199" w:firstLineChars="95"/>
        <w:rPr>
          <w:rFonts w:hint="eastAsia" w:ascii="宋体" w:hAnsi="宋体" w:eastAsia="宋体" w:cs="宋体"/>
          <w:lang w:eastAsia="zh-CN"/>
        </w:rPr>
      </w:pPr>
      <w:r>
        <w:rPr>
          <w:rFonts w:hint="eastAsia" w:ascii="宋体" w:hAnsi="宋体" w:eastAsia="宋体" w:cs="宋体"/>
          <w:lang w:eastAsia="zh-CN"/>
        </w:rPr>
        <w:t>4、服务期限</w:t>
      </w:r>
    </w:p>
    <w:p>
      <w:pPr>
        <w:pStyle w:val="10"/>
        <w:spacing w:line="360" w:lineRule="auto"/>
        <w:ind w:left="0" w:leftChars="0" w:right="115" w:rightChars="55" w:firstLine="218" w:firstLineChars="104"/>
        <w:rPr>
          <w:rFonts w:hint="eastAsia" w:ascii="宋体" w:hAnsi="宋体" w:eastAsia="宋体" w:cs="宋体"/>
          <w:lang w:eastAsia="zh-CN"/>
        </w:rPr>
      </w:pPr>
      <w:r>
        <w:rPr>
          <w:rFonts w:hint="eastAsia" w:ascii="宋体" w:hAnsi="宋体" w:eastAsia="宋体" w:cs="宋体"/>
          <w:lang w:val="en-US" w:eastAsia="zh-CN"/>
        </w:rPr>
        <w:t>合同签定后，接甲方通知45天内完成服务</w:t>
      </w:r>
      <w:r>
        <w:rPr>
          <w:rFonts w:hint="eastAsia" w:ascii="宋体" w:hAnsi="宋体" w:eastAsia="宋体" w:cs="宋体"/>
          <w:lang w:eastAsia="zh-CN"/>
        </w:rPr>
        <w:t>。</w:t>
      </w:r>
    </w:p>
    <w:p>
      <w:pPr>
        <w:pStyle w:val="4"/>
        <w:rPr>
          <w:rFonts w:hint="eastAsia" w:ascii="微软雅黑" w:hAnsi="微软雅黑" w:eastAsia="微软雅黑"/>
          <w:color w:val="auto"/>
          <w:lang w:eastAsia="zh-CN"/>
        </w:rPr>
      </w:pPr>
      <w:r>
        <w:rPr>
          <w:color w:val="auto"/>
        </w:rPr>
        <w:t>三、执行标准</w:t>
      </w:r>
      <w:r>
        <w:rPr>
          <w:rFonts w:hint="eastAsia"/>
          <w:color w:val="auto"/>
        </w:rPr>
        <w:t>/规范</w:t>
      </w:r>
    </w:p>
    <w:p>
      <w:pPr>
        <w:pStyle w:val="58"/>
        <w:keepNext w:val="0"/>
        <w:keepLines w:val="0"/>
        <w:pageBreakBefore w:val="0"/>
        <w:widowControl w:val="0"/>
        <w:kinsoku/>
        <w:wordWrap/>
        <w:overflowPunct/>
        <w:topLinePunct w:val="0"/>
        <w:autoSpaceDE w:val="0"/>
        <w:autoSpaceDN w:val="0"/>
        <w:bidi w:val="0"/>
        <w:adjustRightInd w:val="0"/>
        <w:snapToGrid w:val="0"/>
        <w:spacing w:line="336" w:lineRule="auto"/>
        <w:ind w:left="218" w:leftChars="104" w:firstLine="0" w:firstLineChars="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下列标准规范对于本文件的应用是必不可少的，本次采购主要引用的采购标准如下，当标准规范与技术文件相冲突时，应按照文件优先级执行：在寻源和合同的执行过程中，如果技术文件和各类标准等文件之间出现矛盾，卖方应在交货之前向买方提出澄清申请。文件的优先执行顺序由高到低为：</w:t>
      </w:r>
    </w:p>
    <w:p>
      <w:pPr>
        <w:pStyle w:val="58"/>
        <w:keepNext w:val="0"/>
        <w:keepLines w:val="0"/>
        <w:pageBreakBefore w:val="0"/>
        <w:widowControl w:val="0"/>
        <w:kinsoku/>
        <w:wordWrap/>
        <w:overflowPunct/>
        <w:topLinePunct w:val="0"/>
        <w:autoSpaceDE w:val="0"/>
        <w:autoSpaceDN w:val="0"/>
        <w:bidi w:val="0"/>
        <w:adjustRightInd w:val="0"/>
        <w:snapToGrid w:val="0"/>
        <w:spacing w:line="336" w:lineRule="auto"/>
        <w:ind w:left="218" w:leftChars="104" w:firstLine="0" w:firstLineChars="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●中华人民共和国强制执行的国家法律、法规和标准</w:t>
      </w:r>
    </w:p>
    <w:p>
      <w:pPr>
        <w:pStyle w:val="58"/>
        <w:keepNext w:val="0"/>
        <w:keepLines w:val="0"/>
        <w:pageBreakBefore w:val="0"/>
        <w:widowControl w:val="0"/>
        <w:kinsoku/>
        <w:wordWrap/>
        <w:overflowPunct/>
        <w:topLinePunct w:val="0"/>
        <w:autoSpaceDE w:val="0"/>
        <w:autoSpaceDN w:val="0"/>
        <w:bidi w:val="0"/>
        <w:adjustRightInd w:val="0"/>
        <w:snapToGrid w:val="0"/>
        <w:spacing w:line="336" w:lineRule="auto"/>
        <w:ind w:left="218" w:leftChars="104" w:firstLine="0" w:firstLineChars="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●中国海油集团公司强制执行的行业标准</w:t>
      </w:r>
    </w:p>
    <w:p>
      <w:pPr>
        <w:pStyle w:val="58"/>
        <w:keepNext w:val="0"/>
        <w:keepLines w:val="0"/>
        <w:pageBreakBefore w:val="0"/>
        <w:widowControl w:val="0"/>
        <w:kinsoku/>
        <w:wordWrap/>
        <w:overflowPunct/>
        <w:topLinePunct w:val="0"/>
        <w:autoSpaceDE w:val="0"/>
        <w:autoSpaceDN w:val="0"/>
        <w:bidi w:val="0"/>
        <w:adjustRightInd w:val="0"/>
        <w:snapToGrid w:val="0"/>
        <w:spacing w:line="336" w:lineRule="auto"/>
        <w:ind w:left="218" w:leftChars="104" w:firstLine="0" w:firstLineChars="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●项目所在地强制执行标准</w:t>
      </w:r>
    </w:p>
    <w:p>
      <w:pPr>
        <w:pStyle w:val="58"/>
        <w:keepNext w:val="0"/>
        <w:keepLines w:val="0"/>
        <w:pageBreakBefore w:val="0"/>
        <w:widowControl w:val="0"/>
        <w:kinsoku/>
        <w:wordWrap/>
        <w:overflowPunct/>
        <w:topLinePunct w:val="0"/>
        <w:autoSpaceDE w:val="0"/>
        <w:autoSpaceDN w:val="0"/>
        <w:bidi w:val="0"/>
        <w:adjustRightInd w:val="0"/>
        <w:snapToGrid w:val="0"/>
        <w:spacing w:line="336" w:lineRule="auto"/>
        <w:ind w:left="218" w:leftChars="104" w:firstLine="0" w:firstLineChars="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●本技术文件所附文件</w:t>
      </w:r>
    </w:p>
    <w:p>
      <w:pPr>
        <w:pStyle w:val="58"/>
        <w:keepNext w:val="0"/>
        <w:keepLines w:val="0"/>
        <w:pageBreakBefore w:val="0"/>
        <w:widowControl w:val="0"/>
        <w:kinsoku/>
        <w:wordWrap/>
        <w:overflowPunct/>
        <w:topLinePunct w:val="0"/>
        <w:autoSpaceDE w:val="0"/>
        <w:autoSpaceDN w:val="0"/>
        <w:bidi w:val="0"/>
        <w:adjustRightInd w:val="0"/>
        <w:snapToGrid w:val="0"/>
        <w:spacing w:line="336" w:lineRule="auto"/>
        <w:ind w:left="218" w:leftChars="104" w:firstLine="0" w:firstLineChars="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●非强制执行的行业标准</w:t>
      </w:r>
    </w:p>
    <w:p>
      <w:pPr>
        <w:pStyle w:val="58"/>
        <w:keepNext w:val="0"/>
        <w:keepLines w:val="0"/>
        <w:pageBreakBefore w:val="0"/>
        <w:widowControl w:val="0"/>
        <w:kinsoku/>
        <w:wordWrap/>
        <w:overflowPunct/>
        <w:topLinePunct w:val="0"/>
        <w:autoSpaceDE w:val="0"/>
        <w:autoSpaceDN w:val="0"/>
        <w:bidi w:val="0"/>
        <w:adjustRightInd w:val="0"/>
        <w:snapToGrid w:val="0"/>
        <w:spacing w:line="336" w:lineRule="auto"/>
        <w:ind w:left="218" w:leftChars="104" w:firstLine="0" w:firstLineChars="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●非强制执行的国家标准</w:t>
      </w:r>
    </w:p>
    <w:p>
      <w:pPr>
        <w:pStyle w:val="58"/>
        <w:keepNext w:val="0"/>
        <w:keepLines w:val="0"/>
        <w:pageBreakBefore w:val="0"/>
        <w:widowControl w:val="0"/>
        <w:kinsoku/>
        <w:wordWrap/>
        <w:overflowPunct/>
        <w:topLinePunct w:val="0"/>
        <w:autoSpaceDE w:val="0"/>
        <w:autoSpaceDN w:val="0"/>
        <w:bidi w:val="0"/>
        <w:adjustRightInd w:val="0"/>
        <w:snapToGrid w:val="0"/>
        <w:spacing w:line="336" w:lineRule="auto"/>
        <w:ind w:left="218" w:leftChars="104" w:firstLine="0" w:firstLineChars="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●通用的国际标准</w:t>
      </w:r>
    </w:p>
    <w:p>
      <w:pPr>
        <w:pStyle w:val="10"/>
        <w:keepNext w:val="0"/>
        <w:keepLines w:val="0"/>
        <w:pageBreakBefore w:val="0"/>
        <w:widowControl w:val="0"/>
        <w:kinsoku/>
        <w:wordWrap/>
        <w:overflowPunct/>
        <w:topLinePunct w:val="0"/>
        <w:autoSpaceDE/>
        <w:autoSpaceDN/>
        <w:bidi w:val="0"/>
        <w:adjustRightInd w:val="0"/>
        <w:snapToGrid w:val="0"/>
        <w:spacing w:line="336" w:lineRule="auto"/>
        <w:ind w:left="218" w:leftChars="104"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本项目执行标准/规范如下：</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420" w:firstLineChars="200"/>
        <w:textAlignment w:val="auto"/>
        <w:rPr>
          <w:rStyle w:val="72"/>
          <w:rFonts w:hint="eastAsia" w:ascii="宋体" w:hAnsi="宋体" w:eastAsia="宋体" w:cstheme="minorBidi"/>
          <w:kern w:val="0"/>
          <w:sz w:val="21"/>
          <w:szCs w:val="21"/>
          <w:lang w:val="en-US" w:eastAsia="zh-CN" w:bidi="ar-SA"/>
        </w:rPr>
      </w:pPr>
      <w:r>
        <w:rPr>
          <w:rStyle w:val="72"/>
          <w:rFonts w:hint="eastAsia" w:ascii="宋体" w:hAnsi="宋体" w:eastAsia="宋体" w:cstheme="minorBidi"/>
          <w:kern w:val="0"/>
          <w:sz w:val="21"/>
          <w:szCs w:val="21"/>
          <w:lang w:val="en-US" w:eastAsia="zh-CN" w:bidi="ar-SA"/>
        </w:rPr>
        <w:t>1、GB-T43456-2023-181057 用电检查规范</w:t>
      </w:r>
    </w:p>
    <w:p>
      <w:pPr>
        <w:pStyle w:val="4"/>
      </w:pPr>
      <w:r>
        <w:rPr>
          <w:rFonts w:hint="eastAsia"/>
        </w:rPr>
        <w:t>四、服务要求</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199" w:firstLineChars="95"/>
        <w:textAlignment w:val="auto"/>
        <w:rPr>
          <w:rFonts w:hint="eastAsia" w:ascii="宋体" w:hAnsi="宋体" w:eastAsia="宋体" w:cs="宋体"/>
          <w:lang w:eastAsia="zh-CN"/>
        </w:rPr>
      </w:pPr>
      <w:r>
        <w:rPr>
          <w:rStyle w:val="72"/>
          <w:rFonts w:hint="eastAsia" w:ascii="宋体" w:hAnsi="宋体" w:eastAsia="宋体" w:cstheme="minorBidi"/>
          <w:kern w:val="0"/>
          <w:sz w:val="21"/>
          <w:szCs w:val="21"/>
          <w:lang w:val="en-US" w:eastAsia="zh-CN" w:bidi="ar-SA"/>
        </w:rPr>
        <w:t>1、服务要求：</w:t>
      </w:r>
    </w:p>
    <w:p>
      <w:pPr>
        <w:pStyle w:val="10"/>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eastAsia" w:ascii="宋体" w:hAnsi="宋体" w:eastAsia="宋体" w:cs="宋体"/>
          <w:lang w:eastAsia="zh-CN"/>
        </w:rPr>
      </w:pPr>
      <w:r>
        <w:rPr>
          <w:rFonts w:hint="eastAsia" w:ascii="宋体" w:hAnsi="宋体" w:eastAsia="宋体" w:cs="宋体"/>
          <w:lang w:eastAsia="zh-CN"/>
        </w:rPr>
        <w:t>必须响应及时、服务到位、安全高效、保质保量完成服务内容。</w:t>
      </w:r>
    </w:p>
    <w:p>
      <w:pPr>
        <w:pStyle w:val="10"/>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eastAsia" w:ascii="宋体" w:hAnsi="宋体" w:eastAsia="宋体" w:cs="宋体"/>
          <w:lang w:eastAsia="zh-CN"/>
        </w:rPr>
      </w:pPr>
      <w:r>
        <w:rPr>
          <w:rFonts w:hint="eastAsia" w:ascii="宋体" w:hAnsi="宋体" w:eastAsia="宋体" w:cs="宋体"/>
          <w:lang w:eastAsia="zh-CN"/>
        </w:rPr>
        <w:t>必须遵循中海油信息科技有限公司安全管理体系要求，满足现场施工安全管理规范，对施工安全负责。台风等不可抗力</w:t>
      </w:r>
      <w:r>
        <w:rPr>
          <w:rFonts w:hint="eastAsia" w:ascii="宋体" w:hAnsi="宋体" w:eastAsia="宋体" w:cs="宋体"/>
          <w:lang w:val="en-US" w:eastAsia="zh-CN"/>
        </w:rPr>
        <w:t>情况</w:t>
      </w:r>
      <w:r>
        <w:rPr>
          <w:rFonts w:hint="eastAsia" w:ascii="宋体" w:hAnsi="宋体" w:eastAsia="宋体" w:cs="宋体"/>
          <w:lang w:eastAsia="zh-CN"/>
        </w:rPr>
        <w:t>严格执行</w:t>
      </w:r>
      <w:r>
        <w:rPr>
          <w:rFonts w:hint="eastAsia" w:ascii="宋体" w:hAnsi="宋体" w:eastAsia="宋体" w:cs="宋体"/>
          <w:lang w:val="en-US" w:eastAsia="zh-CN"/>
        </w:rPr>
        <w:t>甲方</w:t>
      </w:r>
      <w:r>
        <w:rPr>
          <w:rFonts w:hint="eastAsia" w:ascii="宋体" w:hAnsi="宋体" w:eastAsia="宋体" w:cs="宋体"/>
          <w:lang w:eastAsia="zh-CN"/>
        </w:rPr>
        <w:t>的管理规定。</w:t>
      </w:r>
    </w:p>
    <w:p>
      <w:pPr>
        <w:pStyle w:val="10"/>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default" w:ascii="宋体" w:hAnsi="宋体" w:eastAsia="宋体" w:cs="宋体"/>
          <w:lang w:val="en-US" w:eastAsia="zh-CN"/>
        </w:rPr>
      </w:pPr>
      <w:r>
        <w:rPr>
          <w:rStyle w:val="72"/>
          <w:rFonts w:hint="eastAsia" w:ascii="宋体" w:hAnsi="宋体" w:eastAsia="宋体" w:cstheme="minorBidi"/>
          <w:color w:val="auto"/>
          <w:kern w:val="0"/>
          <w:sz w:val="21"/>
          <w:szCs w:val="21"/>
          <w:lang w:val="en-US" w:eastAsia="zh-CN" w:bidi="ar-SA"/>
        </w:rPr>
        <w:t>★所有涉及安装调</w:t>
      </w:r>
      <w:r>
        <w:rPr>
          <w:rFonts w:hint="eastAsia" w:ascii="宋体" w:hAnsi="宋体" w:eastAsia="宋体" w:cs="宋体"/>
          <w:lang w:val="en-US" w:eastAsia="zh-CN"/>
        </w:rPr>
        <w:t>试接入到平台网络的服务，需要配置设备IP,并且配置路由器、复用交换机等设备，有能力将设备接入到平台网络，实现海油内网通等服务。</w:t>
      </w:r>
    </w:p>
    <w:p>
      <w:pPr>
        <w:pStyle w:val="10"/>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default" w:ascii="宋体" w:hAnsi="宋体" w:eastAsia="宋体" w:cs="宋体"/>
          <w:lang w:val="en-US" w:eastAsia="zh-CN"/>
        </w:rPr>
      </w:pPr>
      <w:r>
        <w:rPr>
          <w:rFonts w:hint="eastAsia" w:ascii="宋体" w:hAnsi="宋体" w:eastAsia="宋体" w:cs="宋体"/>
          <w:lang w:eastAsia="zh-CN"/>
        </w:rPr>
        <w:t>必须保证出海人员证书及岗位证书齐全，证件不齐全严禁安排出海工作，不得以证件过期耽误现场工作。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640" w:leftChars="0" w:right="122" w:rightChars="0"/>
        <w:textAlignment w:val="auto"/>
        <w:rPr>
          <w:rFonts w:hint="eastAsia" w:ascii="宋体" w:hAnsi="宋体" w:eastAsia="宋体" w:cs="宋体"/>
          <w:lang w:eastAsia="zh-CN"/>
        </w:rPr>
      </w:pPr>
      <w:r>
        <w:rPr>
          <w:rFonts w:hint="eastAsia" w:ascii="宋体" w:hAnsi="宋体" w:eastAsia="宋体" w:cs="宋体"/>
          <w:lang w:eastAsia="zh-CN"/>
        </w:rPr>
        <w:t>协商与交流</w:t>
      </w:r>
    </w:p>
    <w:p>
      <w:pPr>
        <w:pStyle w:val="10"/>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eastAsia" w:ascii="宋体" w:hAnsi="宋体" w:eastAsia="宋体" w:cs="宋体"/>
          <w:lang w:eastAsia="zh-CN"/>
        </w:rPr>
      </w:pPr>
      <w:r>
        <w:rPr>
          <w:rFonts w:hint="eastAsia" w:ascii="宋体" w:hAnsi="宋体" w:eastAsia="宋体" w:cs="宋体"/>
          <w:lang w:eastAsia="zh-CN"/>
        </w:rPr>
        <w:t>在签订合同或协议后，在作业开始前，就作业过程中的健康安全环境管理工作沟通机制与</w:t>
      </w:r>
      <w:r>
        <w:rPr>
          <w:rFonts w:hint="eastAsia" w:ascii="宋体" w:hAnsi="宋体" w:eastAsia="宋体" w:cs="宋体"/>
          <w:lang w:val="en-US" w:eastAsia="zh-CN"/>
        </w:rPr>
        <w:t>甲方</w:t>
      </w:r>
      <w:r>
        <w:rPr>
          <w:rFonts w:hint="eastAsia" w:ascii="宋体" w:hAnsi="宋体" w:eastAsia="宋体" w:cs="宋体"/>
          <w:lang w:eastAsia="zh-CN"/>
        </w:rPr>
        <w:t>达成共识。</w:t>
      </w:r>
    </w:p>
    <w:p>
      <w:pPr>
        <w:pStyle w:val="10"/>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eastAsia" w:ascii="宋体" w:hAnsi="宋体" w:eastAsia="宋体" w:cs="宋体"/>
          <w:lang w:eastAsia="zh-CN"/>
        </w:rPr>
      </w:pPr>
      <w:r>
        <w:rPr>
          <w:rStyle w:val="72"/>
          <w:rFonts w:hint="eastAsia" w:ascii="宋体" w:hAnsi="宋体" w:eastAsia="宋体" w:cstheme="minorBidi"/>
          <w:kern w:val="0"/>
          <w:sz w:val="21"/>
          <w:szCs w:val="21"/>
          <w:lang w:val="en-US" w:eastAsia="zh-CN" w:bidi="ar-SA"/>
        </w:rPr>
        <w:t>乙方</w:t>
      </w:r>
      <w:r>
        <w:rPr>
          <w:rFonts w:hint="eastAsia" w:ascii="宋体" w:hAnsi="宋体" w:eastAsia="宋体" w:cs="宋体"/>
          <w:lang w:eastAsia="zh-CN"/>
        </w:rPr>
        <w:t>作业过程中必须遵守</w:t>
      </w:r>
      <w:r>
        <w:rPr>
          <w:rFonts w:hint="eastAsia" w:ascii="宋体" w:hAnsi="宋体" w:eastAsia="宋体" w:cs="宋体"/>
          <w:lang w:val="en-US" w:eastAsia="zh-CN"/>
        </w:rPr>
        <w:t>甲方</w:t>
      </w:r>
      <w:r>
        <w:rPr>
          <w:rFonts w:hint="eastAsia" w:ascii="宋体" w:hAnsi="宋体" w:eastAsia="宋体" w:cs="宋体"/>
          <w:lang w:eastAsia="zh-CN"/>
        </w:rPr>
        <w:t>有关健康安全环境制度情况。</w:t>
      </w:r>
    </w:p>
    <w:p>
      <w:pPr>
        <w:pStyle w:val="10"/>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eastAsia" w:ascii="宋体" w:hAnsi="宋体" w:eastAsia="宋体" w:cs="宋体"/>
          <w:lang w:eastAsia="zh-CN"/>
        </w:rPr>
      </w:pPr>
      <w:r>
        <w:rPr>
          <w:rStyle w:val="72"/>
          <w:rFonts w:hint="eastAsia" w:ascii="宋体" w:hAnsi="宋体" w:eastAsia="宋体" w:cstheme="minorBidi"/>
          <w:kern w:val="0"/>
          <w:sz w:val="21"/>
          <w:szCs w:val="21"/>
          <w:lang w:val="en-US" w:eastAsia="zh-CN" w:bidi="ar-SA"/>
        </w:rPr>
        <w:t>乙方</w:t>
      </w:r>
      <w:r>
        <w:rPr>
          <w:rFonts w:hint="eastAsia" w:ascii="宋体" w:hAnsi="宋体" w:eastAsia="宋体" w:cs="宋体"/>
          <w:lang w:eastAsia="zh-CN"/>
        </w:rPr>
        <w:t>必须落实在作业过程中存在和潜在的危险预防、控制措施情况。</w:t>
      </w:r>
    </w:p>
    <w:p>
      <w:pPr>
        <w:pStyle w:val="10"/>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Style w:val="72"/>
          <w:rFonts w:hint="eastAsia" w:ascii="宋体" w:hAnsi="宋体" w:eastAsia="宋体" w:cstheme="minorBidi"/>
          <w:kern w:val="0"/>
          <w:sz w:val="21"/>
          <w:szCs w:val="21"/>
          <w:lang w:val="en-US" w:eastAsia="zh-CN" w:bidi="ar-SA"/>
        </w:rPr>
      </w:pPr>
      <w:r>
        <w:rPr>
          <w:rStyle w:val="72"/>
          <w:rFonts w:hint="eastAsia" w:ascii="宋体" w:hAnsi="宋体" w:eastAsia="宋体" w:cstheme="minorBidi"/>
          <w:kern w:val="0"/>
          <w:sz w:val="21"/>
          <w:szCs w:val="21"/>
          <w:lang w:val="en-US" w:eastAsia="zh-CN" w:bidi="ar-SA"/>
        </w:rPr>
        <w:t>乙方</w:t>
      </w:r>
      <w:r>
        <w:rPr>
          <w:rFonts w:hint="eastAsia" w:ascii="宋体" w:hAnsi="宋体" w:eastAsia="宋体" w:cs="宋体"/>
          <w:lang w:eastAsia="zh-CN"/>
        </w:rPr>
        <w:t>对作业过程中可能出现的伤害事故、疾病报告、救护等问题进行配合和交流，交流内容形成会议记录。</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199" w:firstLineChars="95"/>
        <w:textAlignment w:val="auto"/>
        <w:rPr>
          <w:rStyle w:val="72"/>
          <w:rFonts w:hint="eastAsia" w:ascii="宋体" w:hAnsi="宋体" w:eastAsia="宋体" w:cstheme="minorBidi"/>
          <w:kern w:val="0"/>
          <w:sz w:val="21"/>
          <w:szCs w:val="21"/>
          <w:lang w:val="en-US" w:eastAsia="zh-CN" w:bidi="ar-SA"/>
        </w:rPr>
      </w:pPr>
      <w:r>
        <w:rPr>
          <w:rStyle w:val="72"/>
          <w:rFonts w:hint="eastAsia" w:ascii="宋体" w:hAnsi="宋体" w:eastAsia="宋体" w:cstheme="minorBidi"/>
          <w:kern w:val="0"/>
          <w:sz w:val="21"/>
          <w:szCs w:val="21"/>
          <w:lang w:val="en-US" w:eastAsia="zh-CN" w:bidi="ar-SA"/>
        </w:rPr>
        <w:t>2、质量要求：</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420" w:firstLineChars="200"/>
        <w:textAlignment w:val="auto"/>
        <w:rPr>
          <w:rFonts w:hint="eastAsia"/>
          <w:lang w:eastAsia="zh-CN"/>
        </w:rPr>
      </w:pPr>
      <w:r>
        <w:rPr>
          <w:rStyle w:val="72"/>
          <w:rFonts w:hint="eastAsia" w:ascii="宋体" w:hAnsi="宋体" w:eastAsia="宋体" w:cstheme="minorBidi"/>
          <w:kern w:val="0"/>
          <w:sz w:val="21"/>
          <w:szCs w:val="21"/>
          <w:lang w:val="en-US" w:eastAsia="zh-CN" w:bidi="ar-SA"/>
        </w:rPr>
        <w:t>为确保项目施工作业满足合同要求，乙方应制定适合于本合同的质量保障计划，包括质量目标、质量控制方法及手段、过程记录、持续改进等内容。质量未达到要求的，甲方有权要求返工。</w:t>
      </w:r>
    </w:p>
    <w:p>
      <w:pPr>
        <w:pStyle w:val="4"/>
        <w:rPr>
          <w:rFonts w:hint="eastAsia"/>
          <w:lang w:val="en-US" w:eastAsia="zh-CN"/>
        </w:rPr>
      </w:pPr>
      <w:r>
        <w:rPr>
          <w:rFonts w:hint="eastAsia"/>
          <w:lang w:val="en-US" w:eastAsia="zh-CN"/>
        </w:rPr>
        <w:t>五、配备资源要求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default"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1.人员要求：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eastAsia"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1)本合同履行过程中，乙方应对其员工的报酬、福利、社会保险、商业保险、食宿、交通负责，相关费用已包含于合同价格中；</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eastAsia"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2)乙方提供的施工人员必须经过甲方审核批准，对于不能胜任的人员，甲方有权要求进行更换。如因所提供的人员不满足要求而造成损失或影响，一切责任将全部由乙方承担；</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eastAsia"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3)乙方在项目实施赶工进度期间，乙方施工人员必须服从甲方合理加班安排。因人员不服从工作安排，影响项目进度，甲方将追究乙方责任；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eastAsia"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4)乙方提供的特种作业人员需提供合格操作证（国家安全生产监督总局可查询），所有相关证件的有效期须覆盖整个服务工期，特种作业人员资质文件需提前交甲方审核。</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default"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2.机具及场地要求: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eastAsia"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★1)负责提供合格的集装箱、吊篮、等转运器具，必须配有专用吊索具，同时具备出海检验所需的相关检验证书（投标时提供），证书必须保证在有效期内，外观状态必须满足中海油码头出海安检的要求；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eastAsia"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2)负责提供施工所用工机具，如电焊设备性能必要满足甲方焊接工艺施焊的要求，具备标定检验证书，检验证书有效期必须覆盖整个项目施工周期；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eastAsia"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3)提供各专业海上施工所需的其他机具，必须满足现场施工和安全管理要求，具备相关检验证书或报告，满足中海油有限公司对出海作业机具的要求；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15" w:rightChars="55"/>
        <w:textAlignment w:val="auto"/>
        <w:rPr>
          <w:rStyle w:val="72"/>
          <w:rFonts w:hint="eastAsia" w:ascii="宋体" w:hAnsi="宋体" w:eastAsia="宋体" w:cstheme="minorBidi"/>
          <w:color w:val="auto"/>
          <w:kern w:val="0"/>
          <w:sz w:val="21"/>
          <w:szCs w:val="21"/>
          <w:lang w:val="en-US" w:eastAsia="zh-CN" w:bidi="ar-SA"/>
        </w:rPr>
      </w:pPr>
      <w:r>
        <w:rPr>
          <w:rStyle w:val="72"/>
          <w:rFonts w:hint="eastAsia" w:ascii="宋体" w:hAnsi="宋体" w:eastAsia="宋体" w:cstheme="minorBidi"/>
          <w:color w:val="auto"/>
          <w:kern w:val="0"/>
          <w:sz w:val="21"/>
          <w:szCs w:val="21"/>
          <w:lang w:val="en-US" w:eastAsia="zh-CN" w:bidi="ar-SA"/>
        </w:rPr>
        <w:t>4)所有机具出海前乙方必须进行安全及性能检查，并出具机具检查清单及报告提交甲方备案。</w:t>
      </w:r>
    </w:p>
    <w:p>
      <w:pPr>
        <w:pStyle w:val="13"/>
        <w:ind w:left="0"/>
        <w:outlineLvl w:val="0"/>
        <w:rPr>
          <w:rStyle w:val="72"/>
          <w:rFonts w:hint="eastAsia" w:ascii="宋体" w:hAnsi="宋体" w:eastAsia="宋体" w:cstheme="minorBidi"/>
          <w:kern w:val="0"/>
          <w:sz w:val="21"/>
          <w:szCs w:val="21"/>
          <w:lang w:val="en-US" w:eastAsia="zh-CN" w:bidi="ar-SA"/>
        </w:rPr>
      </w:pPr>
      <w:r>
        <w:rPr>
          <w:rFonts w:hint="eastAsia" w:ascii="微软雅黑" w:hAnsi="微软雅黑" w:eastAsia="微软雅黑"/>
          <w:bCs/>
          <w:sz w:val="32"/>
          <w:szCs w:val="32"/>
        </w:rPr>
        <w:t>六、服务进度跟踪</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420" w:firstLineChars="200"/>
        <w:textAlignment w:val="auto"/>
        <w:rPr>
          <w:rStyle w:val="72"/>
          <w:rFonts w:hint="eastAsia" w:ascii="宋体" w:hAnsi="宋体" w:eastAsia="宋体" w:cstheme="minorBidi"/>
          <w:kern w:val="0"/>
          <w:sz w:val="21"/>
          <w:szCs w:val="21"/>
          <w:lang w:val="en-US" w:eastAsia="zh-CN" w:bidi="ar-SA"/>
        </w:rPr>
      </w:pPr>
      <w:r>
        <w:rPr>
          <w:rStyle w:val="72"/>
          <w:rFonts w:hint="eastAsia" w:ascii="宋体" w:hAnsi="宋体" w:eastAsia="宋体" w:cstheme="minorBidi"/>
          <w:kern w:val="0"/>
          <w:sz w:val="21"/>
          <w:szCs w:val="21"/>
          <w:lang w:val="en-US" w:eastAsia="zh-CN" w:bidi="ar-SA"/>
        </w:rPr>
        <w:t>乙方应根据本合同要求工期、工作范围及技术要求制定具体实施计划及进度计划，要求如下：</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199" w:firstLineChars="95"/>
        <w:textAlignment w:val="auto"/>
        <w:rPr>
          <w:lang w:eastAsia="zh-CN"/>
        </w:rPr>
      </w:pPr>
      <w:r>
        <w:rPr>
          <w:rStyle w:val="72"/>
          <w:rFonts w:hint="eastAsia" w:ascii="宋体" w:hAnsi="宋体" w:eastAsia="宋体" w:cstheme="minorBidi"/>
          <w:kern w:val="0"/>
          <w:sz w:val="21"/>
          <w:szCs w:val="21"/>
          <w:lang w:val="en-US" w:eastAsia="zh-CN" w:bidi="ar-SA"/>
        </w:rPr>
        <w:t>进度计划：包括人员动复员、各项作业先后顺序、作业时间、逻辑关系、所需资源等信息。</w:t>
      </w:r>
    </w:p>
    <w:p>
      <w:pPr>
        <w:pStyle w:val="13"/>
        <w:ind w:left="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七、服务及验收标准</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420" w:firstLineChars="200"/>
        <w:textAlignment w:val="auto"/>
        <w:rPr>
          <w:rStyle w:val="72"/>
          <w:rFonts w:hint="eastAsia" w:ascii="宋体" w:hAnsi="宋体" w:eastAsia="宋体" w:cstheme="minorBidi"/>
          <w:kern w:val="0"/>
          <w:sz w:val="21"/>
          <w:szCs w:val="21"/>
          <w:lang w:val="en-US" w:eastAsia="zh-CN" w:bidi="ar-SA"/>
        </w:rPr>
      </w:pPr>
      <w:r>
        <w:rPr>
          <w:rStyle w:val="72"/>
          <w:rFonts w:hint="eastAsia" w:ascii="宋体" w:hAnsi="宋体" w:eastAsia="宋体" w:cstheme="minorBidi"/>
          <w:kern w:val="0"/>
          <w:sz w:val="21"/>
          <w:szCs w:val="21"/>
          <w:lang w:val="en-US" w:eastAsia="zh-CN" w:bidi="ar-SA"/>
        </w:rPr>
        <w:t>1）甲方按相关质量标准进行验收，并签发完工报告。</w:t>
      </w:r>
    </w:p>
    <w:p>
      <w:pPr>
        <w:pStyle w:val="10"/>
        <w:keepNext w:val="0"/>
        <w:keepLines w:val="0"/>
        <w:pageBreakBefore w:val="0"/>
        <w:widowControl w:val="0"/>
        <w:kinsoku/>
        <w:wordWrap/>
        <w:overflowPunct/>
        <w:topLinePunct w:val="0"/>
        <w:autoSpaceDE/>
        <w:autoSpaceDN/>
        <w:bidi w:val="0"/>
        <w:adjustRightInd/>
        <w:snapToGrid/>
        <w:spacing w:line="360" w:lineRule="auto"/>
        <w:ind w:right="115" w:rightChars="55" w:firstLine="420" w:firstLineChars="200"/>
        <w:textAlignment w:val="auto"/>
        <w:rPr>
          <w:rStyle w:val="72"/>
          <w:rFonts w:hint="default" w:ascii="宋体" w:hAnsi="宋体" w:eastAsia="宋体" w:cstheme="minorBidi"/>
          <w:kern w:val="0"/>
          <w:sz w:val="21"/>
          <w:szCs w:val="21"/>
          <w:lang w:val="en-US" w:eastAsia="zh-CN" w:bidi="ar-SA"/>
        </w:rPr>
      </w:pPr>
      <w:r>
        <w:rPr>
          <w:rStyle w:val="72"/>
          <w:rFonts w:hint="eastAsia" w:ascii="宋体" w:hAnsi="宋体" w:eastAsia="宋体" w:cstheme="minorBidi"/>
          <w:kern w:val="0"/>
          <w:sz w:val="21"/>
          <w:szCs w:val="21"/>
          <w:lang w:val="en-US" w:eastAsia="zh-CN" w:bidi="ar-SA"/>
        </w:rPr>
        <w:t>2）</w:t>
      </w:r>
      <w:r>
        <w:rPr>
          <w:rStyle w:val="72"/>
          <w:rFonts w:hint="eastAsia" w:ascii="宋体" w:hAnsi="宋体" w:eastAsia="宋体" w:cstheme="minorBidi"/>
          <w:spacing w:val="0"/>
          <w:kern w:val="0"/>
          <w:sz w:val="21"/>
          <w:szCs w:val="21"/>
          <w:lang w:val="en-US" w:eastAsia="zh-CN" w:bidi="ar-SA"/>
        </w:rPr>
        <w:t>完工质保期1年。质保</w:t>
      </w:r>
      <w:r>
        <w:rPr>
          <w:rStyle w:val="72"/>
          <w:rFonts w:hint="eastAsia" w:ascii="宋体" w:hAnsi="宋体" w:eastAsia="宋体" w:cstheme="minorBidi"/>
          <w:kern w:val="0"/>
          <w:sz w:val="21"/>
          <w:szCs w:val="21"/>
          <w:lang w:val="en-US" w:eastAsia="zh-CN" w:bidi="ar-SA"/>
        </w:rPr>
        <w:t>期内若出现质量问题，乙方必须免费修复。</w:t>
      </w:r>
    </w:p>
    <w:p>
      <w:pPr>
        <w:pStyle w:val="13"/>
        <w:ind w:left="0"/>
        <w:outlineLvl w:val="0"/>
        <w:rPr>
          <w:rFonts w:ascii="微软雅黑" w:hAnsi="微软雅黑" w:eastAsia="微软雅黑"/>
          <w:bCs/>
          <w:sz w:val="32"/>
          <w:szCs w:val="32"/>
        </w:rPr>
      </w:pPr>
      <w:r>
        <w:rPr>
          <w:rFonts w:hint="eastAsia" w:ascii="微软雅黑" w:hAnsi="微软雅黑" w:eastAsia="微软雅黑"/>
          <w:bCs/>
          <w:sz w:val="32"/>
          <w:szCs w:val="32"/>
        </w:rPr>
        <w:t>八、质量保证</w:t>
      </w:r>
    </w:p>
    <w:p>
      <w:pPr>
        <w:pStyle w:val="10"/>
        <w:keepNext w:val="0"/>
        <w:keepLines w:val="0"/>
        <w:pageBreakBefore w:val="0"/>
        <w:widowControl w:val="0"/>
        <w:kinsoku/>
        <w:wordWrap/>
        <w:overflowPunct/>
        <w:topLinePunct w:val="0"/>
        <w:bidi w:val="0"/>
        <w:snapToGrid/>
        <w:spacing w:line="360" w:lineRule="auto"/>
        <w:ind w:right="122"/>
        <w:textAlignment w:val="auto"/>
        <w:rPr>
          <w:rFonts w:hint="eastAsia" w:ascii="宋体" w:hAnsi="宋体" w:eastAsia="宋体" w:cs="宋体"/>
          <w:lang w:val="en-US" w:eastAsia="zh-CN"/>
        </w:rPr>
      </w:pPr>
      <w:r>
        <w:rPr>
          <w:rFonts w:hint="eastAsia" w:ascii="宋体" w:hAnsi="宋体" w:eastAsia="宋体" w:cs="宋体"/>
          <w:lang w:val="en-US" w:eastAsia="zh-CN"/>
        </w:rPr>
        <w:t>1、除非采购合同对保质期另有规定，否则：“在不损害甲方权利的情况下，根据甲方要求，乙方应以尽可能快的速度更换或维修在投入商业服务一年内出现缺陷的产品，并且自行承担风险和费用；</w:t>
      </w:r>
    </w:p>
    <w:p>
      <w:pPr>
        <w:pStyle w:val="10"/>
        <w:keepNext w:val="0"/>
        <w:keepLines w:val="0"/>
        <w:pageBreakBefore w:val="0"/>
        <w:widowControl w:val="0"/>
        <w:kinsoku/>
        <w:wordWrap/>
        <w:overflowPunct/>
        <w:topLinePunct w:val="0"/>
        <w:bidi w:val="0"/>
        <w:snapToGrid/>
        <w:spacing w:line="360" w:lineRule="auto"/>
        <w:ind w:right="122"/>
        <w:textAlignment w:val="auto"/>
        <w:rPr>
          <w:rFonts w:hint="eastAsia" w:ascii="宋体" w:hAnsi="宋体" w:eastAsia="宋体" w:cs="宋体"/>
          <w:lang w:val="en-US" w:eastAsia="zh-CN"/>
        </w:rPr>
      </w:pPr>
      <w:r>
        <w:rPr>
          <w:rFonts w:hint="eastAsia" w:ascii="宋体" w:hAnsi="宋体" w:eastAsia="宋体" w:cs="宋体"/>
          <w:lang w:val="en-US" w:eastAsia="zh-CN"/>
        </w:rPr>
        <w:t>2、经甲方的代表在现场进行了最后的验收后，产品方被接受；</w:t>
      </w:r>
    </w:p>
    <w:p>
      <w:pPr>
        <w:pStyle w:val="10"/>
        <w:keepNext w:val="0"/>
        <w:keepLines w:val="0"/>
        <w:pageBreakBefore w:val="0"/>
        <w:widowControl w:val="0"/>
        <w:kinsoku/>
        <w:wordWrap/>
        <w:overflowPunct/>
        <w:topLinePunct w:val="0"/>
        <w:bidi w:val="0"/>
        <w:snapToGrid/>
        <w:spacing w:line="360" w:lineRule="auto"/>
        <w:ind w:right="122"/>
        <w:textAlignment w:val="auto"/>
        <w:rPr>
          <w:rFonts w:hint="eastAsia" w:ascii="宋体" w:hAnsi="宋体" w:eastAsia="宋体" w:cs="宋体"/>
          <w:lang w:val="en-US" w:eastAsia="zh-CN"/>
        </w:rPr>
      </w:pPr>
      <w:r>
        <w:rPr>
          <w:rFonts w:hint="eastAsia" w:ascii="宋体" w:hAnsi="宋体" w:eastAsia="宋体" w:cs="宋体"/>
          <w:lang w:val="en-US" w:eastAsia="zh-CN"/>
        </w:rPr>
        <w:t>3、乙方必须保证产品在材料和工艺上没有缺陷，并完全满足规定的设计和操作条件。如果产品出现设计、材料上的缺陷，乙方应自费更换并安装。如果在质保期内，被发现有缺陷，乙方应更换有缺陷的材料、产品或设备并安装新的材料、产品或设备，所产生的费用甲方概不承担；</w:t>
      </w:r>
    </w:p>
    <w:p>
      <w:pPr>
        <w:pStyle w:val="10"/>
        <w:keepNext w:val="0"/>
        <w:keepLines w:val="0"/>
        <w:pageBreakBefore w:val="0"/>
        <w:widowControl w:val="0"/>
        <w:kinsoku/>
        <w:wordWrap/>
        <w:overflowPunct/>
        <w:topLinePunct w:val="0"/>
        <w:bidi w:val="0"/>
        <w:snapToGrid/>
        <w:spacing w:line="360" w:lineRule="auto"/>
        <w:ind w:right="122"/>
        <w:textAlignment w:val="auto"/>
        <w:rPr>
          <w:rFonts w:hint="eastAsia" w:ascii="宋体" w:hAnsi="宋体" w:eastAsia="宋体" w:cs="宋体"/>
          <w:lang w:val="en-US" w:eastAsia="zh-CN"/>
        </w:rPr>
      </w:pPr>
      <w:r>
        <w:rPr>
          <w:rFonts w:hint="eastAsia" w:ascii="宋体" w:hAnsi="宋体" w:eastAsia="宋体" w:cs="宋体"/>
          <w:lang w:val="en-US" w:eastAsia="zh-CN"/>
        </w:rPr>
        <w:t>4、乙方保证提供的运维服务在正确安装、正常操作情况下，运行安全、可靠。在质量保证期内，如发现乙方提供的服务有缺陷，不符合合同约定时，甲方可向乙方提出要求。乙方按甲方要求进行修复解决，由此产生的全部费用由乙方承担。</w:t>
      </w:r>
    </w:p>
    <w:p>
      <w:pPr>
        <w:pStyle w:val="10"/>
        <w:keepNext w:val="0"/>
        <w:keepLines w:val="0"/>
        <w:pageBreakBefore w:val="0"/>
        <w:widowControl w:val="0"/>
        <w:kinsoku/>
        <w:wordWrap/>
        <w:overflowPunct/>
        <w:topLinePunct w:val="0"/>
        <w:bidi w:val="0"/>
        <w:snapToGrid/>
        <w:spacing w:line="360" w:lineRule="auto"/>
        <w:ind w:right="122"/>
        <w:textAlignment w:val="auto"/>
        <w:rPr>
          <w:rFonts w:hint="eastAsia" w:ascii="宋体" w:hAnsi="宋体" w:eastAsia="宋体" w:cs="宋体"/>
          <w:lang w:val="en-US" w:eastAsia="zh-CN"/>
        </w:rPr>
      </w:pPr>
      <w:r>
        <w:rPr>
          <w:rFonts w:hint="eastAsia" w:ascii="宋体" w:hAnsi="宋体" w:eastAsia="宋体" w:cs="宋体"/>
          <w:lang w:val="en-US" w:eastAsia="zh-CN"/>
        </w:rPr>
        <w:t>5、乙方对项目实施的全过程严格按质量保证体系执行。在质量保证期内，由于乙方责任需要维护、开发等工作，由此产生的所有损失(包括但不限于由质量原因引起的相关检测、实验、专家咨询、运输、安装等费用)由乙方承担。如在质量保证期内出现因缺陷但不影响业务的正常运行，经修复后的质量保证期重新计算。</w:t>
      </w:r>
    </w:p>
    <w:p>
      <w:pPr>
        <w:pStyle w:val="10"/>
        <w:keepNext w:val="0"/>
        <w:keepLines w:val="0"/>
        <w:pageBreakBefore w:val="0"/>
        <w:widowControl w:val="0"/>
        <w:kinsoku/>
        <w:wordWrap/>
        <w:overflowPunct/>
        <w:topLinePunct w:val="0"/>
        <w:bidi w:val="0"/>
        <w:snapToGrid/>
        <w:spacing w:line="360" w:lineRule="auto"/>
        <w:ind w:right="122"/>
        <w:textAlignment w:val="auto"/>
        <w:rPr>
          <w:rFonts w:hint="eastAsia" w:ascii="宋体" w:hAnsi="宋体" w:eastAsia="宋体" w:cs="宋体"/>
          <w:lang w:val="en-US" w:eastAsia="zh-CN"/>
        </w:rPr>
      </w:pPr>
      <w:r>
        <w:rPr>
          <w:rFonts w:hint="eastAsia" w:ascii="宋体" w:hAnsi="宋体" w:eastAsia="宋体" w:cs="宋体"/>
          <w:lang w:val="en-US" w:eastAsia="zh-CN"/>
        </w:rPr>
        <w:t>6、如果乙方提供的服务存在缺陷，或由于技术资料有错误、乙方提供服务的技术人员指导错误，造成工程返工，由此产生的费用由乙方承担。乙方修复的期限按双方约定执行，如逾期未完成的，按延迟交货处理。</w:t>
      </w:r>
    </w:p>
    <w:p>
      <w:pPr>
        <w:widowControl/>
        <w:numPr>
          <w:ilvl w:val="0"/>
          <w:numId w:val="0"/>
        </w:numPr>
        <w:adjustRightInd w:val="0"/>
        <w:snapToGrid w:val="0"/>
        <w:spacing w:line="360" w:lineRule="auto"/>
        <w:ind w:leftChars="7"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lang w:val="en-US" w:eastAsia="zh-CN"/>
        </w:rPr>
        <w:t>7、在质保期内，乙方发现系统存在潜在性缺陷或原理性故障时，应在第一时间以书面形式通知甲方。如发现乙方提供的系统有缺陷，不符合约定的，甲方有权选择且乙方必须采取补救措施</w:t>
      </w:r>
      <w:r>
        <w:rPr>
          <w:rFonts w:hint="eastAsia" w:ascii="宋体" w:hAnsi="宋体" w:eastAsia="宋体" w:cs="宋体"/>
          <w:kern w:val="0"/>
          <w:sz w:val="21"/>
          <w:szCs w:val="21"/>
          <w:lang w:val="en-US" w:eastAsia="zh-CN" w:bidi="ar-SA"/>
        </w:rPr>
        <w:t>。</w:t>
      </w:r>
    </w:p>
    <w:p>
      <w:pPr>
        <w:widowControl/>
        <w:numPr>
          <w:ilvl w:val="0"/>
          <w:numId w:val="0"/>
        </w:numPr>
        <w:adjustRightInd w:val="0"/>
        <w:snapToGrid w:val="0"/>
        <w:spacing w:line="360" w:lineRule="auto"/>
        <w:ind w:leftChars="7"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8、该项目不属于岗位外包转业务外包。</w:t>
      </w: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p>
      <w:pPr>
        <w:pStyle w:val="19"/>
        <w:widowControl/>
        <w:spacing w:beforeAutospacing="0" w:afterAutospacing="0" w:line="360" w:lineRule="auto"/>
        <w:rPr>
          <w:rFonts w:ascii="宋体" w:hAnsi="宋体" w:eastAsia="宋体" w:cs="宋体"/>
          <w:sz w:val="21"/>
          <w:szCs w:val="21"/>
        </w:rPr>
      </w:pPr>
    </w:p>
    <w:bookmarkEnd w:id="0"/>
    <w:bookmarkEnd w:id="1"/>
    <w:bookmarkEnd w:id="2"/>
    <w:bookmarkEnd w:id="3"/>
    <w:p>
      <w:pPr>
        <w:widowControl/>
        <w:rPr>
          <w:rFonts w:ascii="黑体" w:hAnsi="黑体" w:eastAsia="黑体"/>
          <w:b/>
          <w:bCs/>
          <w:color w:val="000000" w:themeColor="text1"/>
          <w:sz w:val="24"/>
          <w:szCs w:val="24"/>
          <w14:textFill>
            <w14:solidFill>
              <w14:schemeClr w14:val="tx1"/>
            </w14:solidFill>
          </w14:textFill>
        </w:rPr>
      </w:pPr>
    </w:p>
    <w:p>
      <w:pPr>
        <w:widowControl/>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附件3： 合同</w:t>
      </w:r>
      <w:r>
        <w:rPr>
          <w:rFonts w:ascii="黑体" w:hAnsi="黑体" w:eastAsia="黑体"/>
          <w:b/>
          <w:bCs/>
          <w:color w:val="000000" w:themeColor="text1"/>
          <w:sz w:val="24"/>
          <w:szCs w:val="24"/>
          <w14:textFill>
            <w14:solidFill>
              <w14:schemeClr w14:val="tx1"/>
            </w14:solidFill>
          </w14:textFill>
        </w:rPr>
        <w:t>文本</w:t>
      </w:r>
    </w:p>
    <w:p>
      <w:pPr>
        <w:pStyle w:val="43"/>
        <w:spacing w:line="360" w:lineRule="auto"/>
        <w:ind w:right="560" w:firstLine="360" w:firstLineChars="1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说明：</w:t>
      </w:r>
    </w:p>
    <w:p>
      <w:pPr>
        <w:pStyle w:val="43"/>
        <w:spacing w:before="240" w:after="240" w:line="360" w:lineRule="auto"/>
        <w:ind w:firstLine="424" w:firstLineChars="177"/>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起草合同</w:t>
      </w:r>
      <w:r>
        <w:rPr>
          <w:rFonts w:hint="eastAsia" w:asciiTheme="minorEastAsia" w:hAnsiTheme="minorEastAsia" w:eastAsiaTheme="minorEastAsia"/>
          <w:color w:val="000000" w:themeColor="text1"/>
          <w:sz w:val="24"/>
          <w:szCs w:val="24"/>
          <w14:textFill>
            <w14:solidFill>
              <w14:schemeClr w14:val="tx1"/>
            </w14:solidFill>
          </w14:textFill>
        </w:rPr>
        <w:t>文本</w:t>
      </w:r>
      <w:r>
        <w:rPr>
          <w:rFonts w:asciiTheme="minorEastAsia" w:hAnsiTheme="minorEastAsia" w:eastAsiaTheme="minorEastAsia"/>
          <w:color w:val="000000" w:themeColor="text1"/>
          <w:sz w:val="24"/>
          <w:szCs w:val="24"/>
          <w14:textFill>
            <w14:solidFill>
              <w14:schemeClr w14:val="tx1"/>
            </w14:solidFill>
          </w14:textFill>
        </w:rPr>
        <w:t>时，</w:t>
      </w:r>
      <w:r>
        <w:rPr>
          <w:rFonts w:hint="eastAsia" w:asciiTheme="minorEastAsia" w:hAnsiTheme="minorEastAsia" w:eastAsiaTheme="minorEastAsia"/>
          <w:color w:val="000000" w:themeColor="text1"/>
          <w:sz w:val="24"/>
          <w:szCs w:val="24"/>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14:textFill>
            <w14:solidFill>
              <w14:schemeClr w14:val="tx1"/>
            </w14:solidFill>
          </w14:textFill>
        </w:rPr>
        <w:t>公司</w:t>
      </w:r>
      <w:r>
        <w:rPr>
          <w:rFonts w:hint="eastAsia" w:asciiTheme="minorEastAsia" w:hAnsiTheme="minorEastAsia" w:eastAsiaTheme="minorEastAsia"/>
          <w:color w:val="000000" w:themeColor="text1"/>
          <w:sz w:val="24"/>
          <w:szCs w:val="24"/>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14:textFill>
            <w14:solidFill>
              <w14:schemeClr w14:val="tx1"/>
            </w14:solidFill>
          </w14:textFill>
        </w:rPr>
        <w:t>的</w:t>
      </w:r>
      <w:r>
        <w:rPr>
          <w:rFonts w:hint="eastAsia" w:asciiTheme="minorEastAsia" w:hAnsiTheme="minorEastAsia" w:eastAsiaTheme="minorEastAsia"/>
          <w:color w:val="000000" w:themeColor="text1"/>
          <w:sz w:val="24"/>
          <w:szCs w:val="24"/>
          <w14:textFill>
            <w14:solidFill>
              <w14:schemeClr w14:val="tx1"/>
            </w14:solidFill>
          </w14:textFill>
        </w:rPr>
        <w:t>标准合同文本或示范合同文本为基础起草合同。</w:t>
      </w:r>
    </w:p>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Pr>
        <w:rPr>
          <w:b/>
          <w:sz w:val="24"/>
        </w:rPr>
      </w:pPr>
      <w:r>
        <w:rPr>
          <w:rFonts w:hint="eastAsia"/>
          <w:b/>
          <w:sz w:val="24"/>
        </w:rPr>
        <w:br w:type="page"/>
      </w:r>
    </w:p>
    <w:p>
      <w:pPr>
        <w:pStyle w:val="43"/>
        <w:spacing w:before="240" w:after="240" w:line="360" w:lineRule="auto"/>
        <w:jc w:val="left"/>
        <w:outlineLvl w:val="0"/>
        <w:rPr>
          <w:b/>
          <w:sz w:val="24"/>
        </w:rPr>
      </w:pPr>
      <w:r>
        <w:rPr>
          <w:rFonts w:hint="eastAsia"/>
          <w:b/>
          <w:sz w:val="24"/>
        </w:rPr>
        <w:t>附件4： 供应商履约异常处罚方式</w:t>
      </w:r>
    </w:p>
    <w:p>
      <w:pPr>
        <w:widowControl/>
        <w:jc w:val="left"/>
        <w:outlineLvl w:val="1"/>
        <w:rPr>
          <w:rFonts w:eastAsia="宋体"/>
          <w:b/>
          <w:sz w:val="24"/>
        </w:rPr>
      </w:pPr>
      <w:r>
        <w:rPr>
          <w:rFonts w:hint="eastAsia"/>
          <w:b/>
          <w:sz w:val="24"/>
        </w:rPr>
        <w:t>4.1海油发展供应商处理情形和处理标准</w:t>
      </w: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85"/>
        <w:gridCol w:w="556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rPr>
            </w:pPr>
            <w:r>
              <w:rPr>
                <w:rFonts w:hint="eastAsia"/>
                <w:b/>
                <w:bCs/>
                <w:color w:val="000000"/>
                <w:sz w:val="22"/>
                <w:lang w:bidi="ar"/>
              </w:rPr>
              <w:t>序号</w:t>
            </w:r>
          </w:p>
        </w:tc>
        <w:tc>
          <w:tcPr>
            <w:tcW w:w="1266" w:type="dxa"/>
            <w:shd w:val="clear" w:color="auto" w:fill="auto"/>
            <w:vAlign w:val="center"/>
          </w:tcPr>
          <w:p>
            <w:pPr>
              <w:jc w:val="center"/>
              <w:textAlignment w:val="center"/>
              <w:rPr>
                <w:b/>
                <w:bCs/>
                <w:color w:val="000000"/>
                <w:sz w:val="22"/>
              </w:rPr>
            </w:pPr>
            <w:r>
              <w:rPr>
                <w:rFonts w:hint="eastAsia"/>
                <w:b/>
                <w:bCs/>
                <w:color w:val="000000"/>
                <w:sz w:val="22"/>
                <w:lang w:bidi="ar"/>
              </w:rPr>
              <w:t>违规类型</w:t>
            </w:r>
          </w:p>
        </w:tc>
        <w:tc>
          <w:tcPr>
            <w:tcW w:w="5484" w:type="dxa"/>
            <w:shd w:val="clear" w:color="auto" w:fill="auto"/>
            <w:vAlign w:val="center"/>
          </w:tcPr>
          <w:p>
            <w:pPr>
              <w:jc w:val="center"/>
              <w:textAlignment w:val="center"/>
              <w:rPr>
                <w:b/>
                <w:bCs/>
                <w:color w:val="000000"/>
                <w:sz w:val="22"/>
              </w:rPr>
            </w:pPr>
            <w:r>
              <w:rPr>
                <w:rFonts w:hint="eastAsia"/>
                <w:b/>
                <w:bCs/>
                <w:color w:val="000000"/>
                <w:sz w:val="22"/>
                <w:lang w:bidi="ar"/>
              </w:rPr>
              <w:t>违规情形说明</w:t>
            </w:r>
          </w:p>
        </w:tc>
        <w:tc>
          <w:tcPr>
            <w:tcW w:w="1281" w:type="dxa"/>
            <w:shd w:val="clear" w:color="auto" w:fill="auto"/>
            <w:vAlign w:val="center"/>
          </w:tcPr>
          <w:p>
            <w:pPr>
              <w:textAlignment w:val="center"/>
              <w:rPr>
                <w:b/>
                <w:bCs/>
                <w:color w:val="000000"/>
                <w:sz w:val="22"/>
              </w:rPr>
            </w:pPr>
            <w:r>
              <w:rPr>
                <w:rFonts w:hint="eastAsia"/>
                <w:b/>
                <w:bCs/>
                <w:color w:val="000000"/>
                <w:sz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eastAsia="宋体"/>
                <w:color w:val="000000"/>
                <w:sz w:val="20"/>
                <w:szCs w:val="20"/>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造成损失是指已签订合同且已执行）。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9"/>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9"/>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对供应商给予“禁用三年”处理；情节严重的，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7"/>
        <w:ind w:firstLine="480"/>
        <w:rPr>
          <w:rFonts w:asciiTheme="minorEastAsia" w:hAnsiTheme="minorEastAsia"/>
          <w:sz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黑体" w:hAnsi="黑体" w:eastAsia="黑体"/>
          <w:sz w:val="24"/>
        </w:rPr>
      </w:pPr>
      <w:r>
        <w:rPr>
          <w:rFonts w:hint="eastAsia" w:ascii="黑体" w:hAnsi="黑体" w:eastAsia="黑体"/>
          <w:sz w:val="24"/>
        </w:rPr>
        <w:br w:type="page"/>
      </w:r>
    </w:p>
    <w:p>
      <w:pPr>
        <w:outlineLvl w:val="1"/>
        <w:rPr>
          <w:rFonts w:asciiTheme="minorEastAsia" w:hAnsiTheme="minorEastAsia"/>
          <w:sz w:val="24"/>
          <w:szCs w:val="24"/>
        </w:rPr>
      </w:pPr>
      <w:r>
        <w:rPr>
          <w:rFonts w:hint="eastAsia" w:ascii="黑体" w:hAnsi="黑体" w:eastAsia="黑体"/>
          <w:sz w:val="24"/>
        </w:rPr>
        <w:t>4.2集团公司供应商处理情形和处理标准</w:t>
      </w:r>
    </w:p>
    <w:p>
      <w:pPr>
        <w:pStyle w:val="7"/>
        <w:ind w:firstLine="480"/>
        <w:rPr>
          <w:rFonts w:asciiTheme="minorEastAsia" w:hAnsiTheme="minorEastAsia"/>
          <w:sz w:val="24"/>
        </w:rPr>
      </w:pP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10"/>
        <w:ind w:left="0"/>
        <w:rPr>
          <w:rFonts w:cs="宋体"/>
          <w:sz w:val="20"/>
          <w:szCs w:val="20"/>
          <w:lang w:eastAsia="zh-CN"/>
        </w:rPr>
      </w:pPr>
    </w:p>
    <w:p>
      <w:pPr>
        <w:pStyle w:val="7"/>
        <w:ind w:firstLine="0" w:firstLineChars="0"/>
        <w:rPr>
          <w:rFonts w:eastAsia="宋体"/>
        </w:rPr>
      </w:pPr>
      <w:r>
        <w:rPr>
          <w:rFonts w:hint="eastAsia" w:eastAsia="宋体"/>
        </w:rPr>
        <w:t>供应商处理结果以集团公司审批为准，本附件仅作为风险提示。</w:t>
      </w: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widowControl/>
        <w:rPr>
          <w:rFonts w:ascii="黑体" w:hAnsi="黑体" w:eastAsia="黑体"/>
          <w:b/>
          <w:bCs/>
          <w:sz w:val="24"/>
          <w:szCs w:val="24"/>
        </w:rPr>
      </w:pPr>
      <w:r>
        <w:rPr>
          <w:rFonts w:hint="eastAsia" w:ascii="黑体" w:hAnsi="黑体" w:eastAsia="黑体"/>
          <w:b/>
          <w:bCs/>
          <w:sz w:val="24"/>
          <w:szCs w:val="24"/>
        </w:rPr>
        <w:br w:type="page"/>
      </w:r>
    </w:p>
    <w:p>
      <w:pPr>
        <w:outlineLvl w:val="0"/>
        <w:rPr>
          <w:rFonts w:ascii="黑体" w:hAnsi="黑体" w:eastAsia="黑体"/>
          <w:b/>
          <w:bCs/>
          <w:sz w:val="24"/>
          <w:szCs w:val="24"/>
        </w:rPr>
      </w:pPr>
      <w:r>
        <w:rPr>
          <w:rFonts w:hint="eastAsia" w:ascii="黑体" w:hAnsi="黑体" w:eastAsia="黑体"/>
          <w:b/>
          <w:bCs/>
          <w:sz w:val="24"/>
          <w:szCs w:val="24"/>
        </w:rPr>
        <w:t>附件5：商务文件</w:t>
      </w:r>
    </w:p>
    <w:p>
      <w:pPr>
        <w:pStyle w:val="42"/>
      </w:pPr>
    </w:p>
    <w:p>
      <w:pPr>
        <w:outlineLvl w:val="0"/>
        <w:rPr>
          <w:rFonts w:ascii="宋体" w:hAnsi="宋体"/>
          <w:color w:val="000000"/>
        </w:rPr>
      </w:pPr>
      <w:r>
        <w:rPr>
          <w:rFonts w:hint="eastAsia" w:ascii="宋体" w:hAnsi="宋体"/>
          <w:color w:val="000000"/>
        </w:rPr>
        <w:t>5.1：营业执照</w:t>
      </w:r>
    </w:p>
    <w:p>
      <w:pPr>
        <w:outlineLvl w:val="0"/>
        <w:rPr>
          <w:rFonts w:ascii="宋体" w:hAnsi="宋体"/>
          <w:color w:val="000000"/>
        </w:rPr>
      </w:pPr>
      <w:r>
        <w:rPr>
          <w:rFonts w:hint="eastAsia" w:ascii="宋体" w:hAnsi="宋体"/>
          <w:color w:val="000000"/>
        </w:rPr>
        <w:t>5.2：法定代表人（单位负责人）身份证明——详见附件</w:t>
      </w:r>
    </w:p>
    <w:p>
      <w:pPr>
        <w:outlineLvl w:val="0"/>
        <w:rPr>
          <w:rFonts w:ascii="宋体" w:hAnsi="宋体"/>
          <w:color w:val="000000"/>
        </w:rPr>
      </w:pPr>
      <w:r>
        <w:rPr>
          <w:rFonts w:hint="eastAsia" w:ascii="宋体" w:hAnsi="宋体"/>
          <w:color w:val="000000"/>
        </w:rPr>
        <w:t>5.3：法定代表人授权委托书（如涉及）——详见附件</w:t>
      </w:r>
    </w:p>
    <w:p>
      <w:pPr>
        <w:outlineLvl w:val="0"/>
        <w:rPr>
          <w:rFonts w:ascii="宋体" w:hAnsi="宋体"/>
          <w:color w:val="000000"/>
        </w:rPr>
      </w:pPr>
      <w:r>
        <w:rPr>
          <w:rFonts w:hint="eastAsia" w:ascii="宋体" w:hAnsi="宋体"/>
          <w:color w:val="000000"/>
        </w:rPr>
        <w:t>5.4：专业资质</w:t>
      </w:r>
    </w:p>
    <w:p>
      <w:pPr>
        <w:outlineLvl w:val="0"/>
        <w:rPr>
          <w:rFonts w:hint="eastAsia" w:ascii="宋体" w:hAnsi="宋体"/>
          <w:color w:val="000000"/>
        </w:rPr>
      </w:pPr>
      <w:r>
        <w:rPr>
          <w:rFonts w:hint="eastAsia" w:ascii="宋体" w:hAnsi="宋体"/>
          <w:color w:val="000000"/>
        </w:rPr>
        <w:t>5.5：体系认证</w:t>
      </w:r>
      <w:r>
        <w:rPr>
          <w:rFonts w:hint="eastAsia" w:ascii="宋体" w:hAnsi="宋体"/>
          <w:color w:val="000000"/>
          <w:lang w:eastAsia="zh-CN"/>
        </w:rPr>
        <w:t>（</w:t>
      </w:r>
      <w:r>
        <w:rPr>
          <w:rFonts w:hint="eastAsia" w:ascii="宋体" w:hAnsi="宋体"/>
          <w:color w:val="000000"/>
          <w:lang w:val="en-US" w:eastAsia="zh-CN"/>
        </w:rPr>
        <w:t>不涉及）</w:t>
      </w:r>
    </w:p>
    <w:p>
      <w:pPr>
        <w:outlineLvl w:val="0"/>
        <w:rPr>
          <w:rFonts w:ascii="宋体" w:hAnsi="宋体"/>
          <w:color w:val="000000"/>
        </w:rPr>
      </w:pPr>
      <w:r>
        <w:rPr>
          <w:rFonts w:hint="eastAsia" w:ascii="宋体" w:hAnsi="宋体"/>
          <w:color w:val="000000"/>
        </w:rPr>
        <w:t>5.6：股权证明文件——详见附件</w:t>
      </w:r>
    </w:p>
    <w:p>
      <w:pPr>
        <w:outlineLvl w:val="0"/>
        <w:rPr>
          <w:rFonts w:ascii="宋体" w:hAnsi="宋体"/>
          <w:color w:val="000000"/>
        </w:rPr>
      </w:pPr>
      <w:r>
        <w:rPr>
          <w:rFonts w:hint="eastAsia" w:ascii="宋体" w:hAnsi="宋体"/>
          <w:color w:val="000000"/>
        </w:rPr>
        <w:t>5.7：供应商承诺书——详见附件</w:t>
      </w:r>
    </w:p>
    <w:p>
      <w:pPr>
        <w:outlineLvl w:val="0"/>
        <w:rPr>
          <w:rFonts w:ascii="宋体" w:hAnsi="宋体"/>
          <w:color w:val="000000"/>
        </w:rPr>
      </w:pPr>
      <w:r>
        <w:rPr>
          <w:rFonts w:hint="eastAsia" w:ascii="宋体" w:hAnsi="宋体"/>
          <w:color w:val="000000"/>
        </w:rPr>
        <w:t>5.8：服务商要求（详见评议内容：对不满足要求的或未能提供相应证明材料的服务商，将影响评审结果。）</w:t>
      </w:r>
    </w:p>
    <w:p>
      <w:pPr>
        <w:outlineLvl w:val="0"/>
        <w:rPr>
          <w:rFonts w:ascii="宋体" w:hAnsi="宋体"/>
          <w:color w:val="000000"/>
        </w:rPr>
      </w:pPr>
      <w:r>
        <w:rPr>
          <w:rFonts w:hint="eastAsia" w:ascii="宋体" w:hAnsi="宋体"/>
          <w:color w:val="000000"/>
        </w:rPr>
        <w:t>5.10业绩要求（不涉及）</w:t>
      </w:r>
    </w:p>
    <w:p>
      <w:pPr>
        <w:outlineLvl w:val="0"/>
        <w:rPr>
          <w:rFonts w:ascii="宋体" w:hAnsi="宋体"/>
          <w:color w:val="000000"/>
        </w:rPr>
      </w:pPr>
      <w:r>
        <w:rPr>
          <w:rFonts w:hint="eastAsia" w:ascii="宋体" w:hAnsi="宋体"/>
          <w:color w:val="000000"/>
        </w:rPr>
        <w:t>5.11：商务偏离表——详见附件</w:t>
      </w:r>
    </w:p>
    <w:p>
      <w:pPr>
        <w:pStyle w:val="42"/>
        <w:outlineLvl w:val="1"/>
        <w:rPr>
          <w:color w:val="000000" w:themeColor="text1"/>
          <w14:textFill>
            <w14:solidFill>
              <w14:schemeClr w14:val="tx1"/>
            </w14:solidFill>
          </w14:textFill>
        </w:rPr>
      </w:pPr>
      <w:r>
        <w:rPr>
          <w:rFonts w:hint="eastAsia" w:ascii="宋体" w:hAnsi="宋体"/>
          <w:color w:val="000000"/>
        </w:rPr>
        <w:t>5.12：其他补充</w:t>
      </w:r>
    </w:p>
    <w:p/>
    <w:p>
      <w:pPr>
        <w:pStyle w:val="42"/>
      </w:pPr>
    </w:p>
    <w:p/>
    <w:p>
      <w:pPr>
        <w:pStyle w:val="42"/>
      </w:pPr>
    </w:p>
    <w:p/>
    <w:p>
      <w:pPr>
        <w:pStyle w:val="42"/>
      </w:pPr>
    </w:p>
    <w:p/>
    <w:p>
      <w:pPr>
        <w:pStyle w:val="42"/>
      </w:pPr>
    </w:p>
    <w:p/>
    <w:p>
      <w:pPr>
        <w:pStyle w:val="42"/>
      </w:pPr>
    </w:p>
    <w:p/>
    <w:p>
      <w:pPr>
        <w:pStyle w:val="42"/>
      </w:pPr>
    </w:p>
    <w:p/>
    <w:p>
      <w:pPr>
        <w:pStyle w:val="42"/>
      </w:pPr>
    </w:p>
    <w:p/>
    <w:p>
      <w:pPr>
        <w:pStyle w:val="42"/>
      </w:pPr>
    </w:p>
    <w:p/>
    <w:p>
      <w:pPr>
        <w:pStyle w:val="42"/>
      </w:pPr>
    </w:p>
    <w:p/>
    <w:p>
      <w:pPr>
        <w:pStyle w:val="42"/>
      </w:pPr>
    </w:p>
    <w:p/>
    <w:p>
      <w:pPr>
        <w:pStyle w:val="42"/>
      </w:pPr>
    </w:p>
    <w:p/>
    <w:p>
      <w:pPr>
        <w:pStyle w:val="42"/>
      </w:pPr>
    </w:p>
    <w:p/>
    <w:p>
      <w:pPr>
        <w:pStyle w:val="42"/>
      </w:pPr>
    </w:p>
    <w:p/>
    <w:p>
      <w:pPr>
        <w:pStyle w:val="42"/>
      </w:pPr>
    </w:p>
    <w:p/>
    <w:p>
      <w:pPr>
        <w:pStyle w:val="42"/>
      </w:pPr>
    </w:p>
    <w:p>
      <w:pPr>
        <w:outlineLvl w:val="1"/>
        <w:rPr>
          <w:rFonts w:ascii="黑体" w:hAnsi="黑体" w:eastAsia="黑体"/>
          <w:b/>
          <w:bCs/>
          <w:sz w:val="24"/>
          <w:szCs w:val="24"/>
        </w:rPr>
      </w:pPr>
      <w:r>
        <w:rPr>
          <w:rFonts w:hint="eastAsia" w:ascii="黑体" w:hAnsi="黑体" w:eastAsia="黑体"/>
          <w:b/>
          <w:bCs/>
          <w:color w:val="000000" w:themeColor="text1"/>
          <w:sz w:val="24"/>
          <w:szCs w:val="24"/>
          <w14:textFill>
            <w14:solidFill>
              <w14:schemeClr w14:val="tx1"/>
            </w14:solidFill>
          </w14:textFill>
        </w:rPr>
        <w:t>5.2</w:t>
      </w:r>
      <w:r>
        <w:rPr>
          <w:rFonts w:hint="eastAsia" w:ascii="黑体" w:hAnsi="黑体" w:eastAsia="黑体"/>
          <w:b/>
          <w:bCs/>
          <w:sz w:val="24"/>
          <w:szCs w:val="24"/>
        </w:rPr>
        <w:t>：法定代表人（单位负责人）身份证明</w:t>
      </w:r>
    </w:p>
    <w:p>
      <w:pPr>
        <w:pStyle w:val="10"/>
        <w:ind w:left="782"/>
        <w:rPr>
          <w:lang w:eastAsia="zh-CN"/>
        </w:rPr>
      </w:pPr>
    </w:p>
    <w:p>
      <w:pPr>
        <w:pStyle w:val="7"/>
        <w:ind w:firstLine="648"/>
        <w:rPr>
          <w:rFonts w:ascii="微软雅黑" w:hAnsi="微软雅黑" w:eastAsia="微软雅黑"/>
          <w:b/>
          <w:spacing w:val="2"/>
          <w:sz w:val="32"/>
          <w:szCs w:val="32"/>
        </w:rPr>
      </w:pPr>
    </w:p>
    <w:p>
      <w:pPr>
        <w:pStyle w:val="7"/>
        <w:ind w:firstLine="648"/>
        <w:rPr>
          <w:rFonts w:ascii="微软雅黑" w:hAnsi="微软雅黑" w:eastAsia="微软雅黑"/>
          <w:b/>
          <w:spacing w:val="2"/>
          <w:sz w:val="32"/>
          <w:szCs w:val="32"/>
        </w:rPr>
      </w:pPr>
    </w:p>
    <w:p>
      <w:pPr>
        <w:spacing w:before="156" w:beforeLines="50" w:after="156"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tabs>
          <w:tab w:val="left" w:pos="142"/>
          <w:tab w:val="left" w:pos="3880"/>
        </w:tabs>
        <w:spacing w:before="36"/>
        <w:ind w:left="780" w:right="11" w:firstLine="420"/>
        <w:jc w:val="left"/>
        <w:rPr>
          <w:rFonts w:ascii="微软雅黑" w:hAnsi="微软雅黑" w:eastAsia="微软雅黑"/>
          <w:kern w:val="0"/>
          <w:szCs w:val="21"/>
        </w:rPr>
      </w:pPr>
    </w:p>
    <w:p>
      <w:pPr>
        <w:tabs>
          <w:tab w:val="left" w:pos="142"/>
          <w:tab w:val="left" w:pos="3880"/>
        </w:tabs>
        <w:spacing w:before="36"/>
        <w:ind w:left="780" w:right="11" w:firstLine="420"/>
        <w:jc w:val="left"/>
        <w:rPr>
          <w:rFonts w:ascii="微软雅黑" w:hAnsi="微软雅黑" w:eastAsia="微软雅黑"/>
          <w:kern w:val="0"/>
          <w:szCs w:val="21"/>
        </w:rPr>
      </w:pPr>
    </w:p>
    <w:p>
      <w:pPr>
        <w:tabs>
          <w:tab w:val="left" w:pos="142"/>
          <w:tab w:val="left" w:pos="3880"/>
        </w:tabs>
        <w:spacing w:before="36"/>
        <w:ind w:left="780" w:right="11" w:firstLine="480"/>
        <w:jc w:val="left"/>
        <w:rPr>
          <w:rFonts w:ascii="微软雅黑" w:hAnsi="微软雅黑" w:eastAsia="微软雅黑"/>
          <w:kern w:val="0"/>
          <w:sz w:val="24"/>
          <w:szCs w:val="24"/>
        </w:rPr>
      </w:pPr>
      <w:r>
        <w:rPr>
          <w:rFonts w:hint="eastAsia" w:ascii="微软雅黑" w:hAnsi="微软雅黑" w:eastAsia="微软雅黑"/>
          <w:kern w:val="0"/>
          <w:sz w:val="24"/>
          <w:szCs w:val="24"/>
        </w:rPr>
        <w:t>应答人</w:t>
      </w:r>
      <w:r>
        <w:rPr>
          <w:rFonts w:ascii="微软雅黑" w:hAnsi="微软雅黑" w:eastAsia="微软雅黑"/>
          <w:kern w:val="0"/>
          <w:sz w:val="24"/>
          <w:szCs w:val="24"/>
        </w:rPr>
        <w:t>名</w:t>
      </w:r>
      <w:r>
        <w:rPr>
          <w:rFonts w:ascii="微软雅黑" w:hAnsi="微软雅黑" w:eastAsia="微软雅黑"/>
          <w:spacing w:val="-3"/>
          <w:kern w:val="0"/>
          <w:sz w:val="24"/>
          <w:szCs w:val="24"/>
        </w:rPr>
        <w:t>称</w:t>
      </w:r>
      <w:r>
        <w:rPr>
          <w:rFonts w:ascii="微软雅黑" w:hAnsi="微软雅黑" w:eastAsia="微软雅黑"/>
          <w:spacing w:val="-1"/>
          <w:kern w:val="0"/>
          <w:sz w:val="24"/>
          <w:szCs w:val="24"/>
        </w:rPr>
        <w:t>：</w:t>
      </w:r>
      <w:r>
        <w:rPr>
          <w:rFonts w:ascii="微软雅黑" w:hAnsi="微软雅黑" w:eastAsia="微软雅黑"/>
          <w:w w:val="225"/>
          <w:kern w:val="0"/>
          <w:sz w:val="24"/>
          <w:szCs w:val="24"/>
          <w:u w:val="single" w:color="000000"/>
        </w:rPr>
        <w:t xml:space="preserve"> </w:t>
      </w:r>
      <w:r>
        <w:rPr>
          <w:rFonts w:ascii="微软雅黑" w:hAnsi="微软雅黑" w:eastAsia="微软雅黑"/>
          <w:kern w:val="0"/>
          <w:sz w:val="24"/>
          <w:szCs w:val="24"/>
          <w:u w:val="single" w:color="000000"/>
        </w:rPr>
        <w:tab/>
      </w:r>
    </w:p>
    <w:p>
      <w:pPr>
        <w:tabs>
          <w:tab w:val="left" w:pos="142"/>
          <w:tab w:val="left" w:pos="2412"/>
          <w:tab w:val="left" w:pos="3883"/>
          <w:tab w:val="left" w:pos="5352"/>
          <w:tab w:val="left" w:pos="6821"/>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姓名</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性别</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年</w:t>
      </w:r>
      <w:r>
        <w:rPr>
          <w:rFonts w:ascii="微软雅黑" w:hAnsi="微软雅黑" w:eastAsia="微软雅黑"/>
          <w:spacing w:val="-3"/>
          <w:kern w:val="0"/>
          <w:sz w:val="24"/>
          <w:szCs w:val="24"/>
        </w:rPr>
        <w:t>龄</w:t>
      </w:r>
      <w:r>
        <w:rPr>
          <w:rFonts w:ascii="微软雅黑" w:hAnsi="微软雅黑" w:eastAsia="微软雅黑"/>
          <w:spacing w:val="-1"/>
          <w:kern w:val="0"/>
          <w:sz w:val="24"/>
          <w:szCs w:val="24"/>
        </w:rPr>
        <w:t>：</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职</w:t>
      </w:r>
      <w:r>
        <w:rPr>
          <w:rFonts w:ascii="微软雅黑" w:hAnsi="微软雅黑" w:eastAsia="微软雅黑"/>
          <w:spacing w:val="-3"/>
          <w:kern w:val="0"/>
          <w:sz w:val="24"/>
          <w:szCs w:val="24"/>
        </w:rPr>
        <w:t>务</w:t>
      </w:r>
      <w:r>
        <w:rPr>
          <w:rFonts w:ascii="微软雅黑" w:hAnsi="微软雅黑" w:eastAsia="微软雅黑"/>
          <w:spacing w:val="-1"/>
          <w:kern w:val="0"/>
          <w:sz w:val="24"/>
          <w:szCs w:val="24"/>
        </w:rPr>
        <w:t>：</w:t>
      </w:r>
      <w:r>
        <w:rPr>
          <w:rFonts w:ascii="微软雅黑" w:hAnsi="微软雅黑" w:eastAsia="微软雅黑"/>
          <w:w w:val="225"/>
          <w:kern w:val="0"/>
          <w:sz w:val="24"/>
          <w:szCs w:val="24"/>
          <w:u w:val="single" w:color="000000"/>
        </w:rPr>
        <w:t xml:space="preserve"> </w:t>
      </w:r>
      <w:r>
        <w:rPr>
          <w:rFonts w:ascii="微软雅黑" w:hAnsi="微软雅黑" w:eastAsia="微软雅黑"/>
          <w:kern w:val="0"/>
          <w:sz w:val="24"/>
          <w:szCs w:val="24"/>
          <w:u w:val="single" w:color="000000"/>
        </w:rPr>
        <w:tab/>
      </w:r>
    </w:p>
    <w:p>
      <w:pPr>
        <w:tabs>
          <w:tab w:val="left" w:pos="142"/>
          <w:tab w:val="left" w:pos="2831"/>
        </w:tabs>
        <w:spacing w:before="36"/>
        <w:ind w:left="780" w:right="11" w:firstLine="476"/>
        <w:jc w:val="left"/>
        <w:rPr>
          <w:rFonts w:ascii="微软雅黑" w:hAnsi="微软雅黑" w:eastAsia="微软雅黑"/>
          <w:kern w:val="0"/>
          <w:sz w:val="24"/>
          <w:szCs w:val="24"/>
        </w:rPr>
      </w:pPr>
      <w:r>
        <w:rPr>
          <w:rFonts w:ascii="微软雅黑" w:hAnsi="微软雅黑" w:eastAsia="微软雅黑"/>
          <w:spacing w:val="-1"/>
          <w:kern w:val="0"/>
          <w:sz w:val="24"/>
          <w:szCs w:val="24"/>
        </w:rPr>
        <w:t>系</w:t>
      </w:r>
      <w:r>
        <w:rPr>
          <w:rFonts w:ascii="微软雅黑" w:hAnsi="微软雅黑" w:eastAsia="微软雅黑"/>
          <w:spacing w:val="-1"/>
          <w:kern w:val="0"/>
          <w:sz w:val="24"/>
          <w:szCs w:val="24"/>
          <w:u w:val="single" w:color="000000"/>
        </w:rPr>
        <w:tab/>
      </w:r>
      <w:r>
        <w:rPr>
          <w:rFonts w:ascii="微软雅黑" w:hAnsi="微软雅黑" w:eastAsia="微软雅黑"/>
          <w:spacing w:val="-3"/>
          <w:kern w:val="0"/>
          <w:sz w:val="24"/>
          <w:szCs w:val="24"/>
        </w:rPr>
        <w:t>（</w:t>
      </w: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名</w:t>
      </w:r>
      <w:r>
        <w:rPr>
          <w:rFonts w:ascii="微软雅黑" w:hAnsi="微软雅黑" w:eastAsia="微软雅黑"/>
          <w:kern w:val="0"/>
          <w:sz w:val="24"/>
          <w:szCs w:val="24"/>
        </w:rPr>
        <w:t>称</w:t>
      </w:r>
      <w:r>
        <w:rPr>
          <w:rFonts w:ascii="微软雅黑" w:hAnsi="微软雅黑" w:eastAsia="微软雅黑"/>
          <w:spacing w:val="-3"/>
          <w:kern w:val="0"/>
          <w:sz w:val="24"/>
          <w:szCs w:val="24"/>
        </w:rPr>
        <w:t>）</w:t>
      </w:r>
      <w:r>
        <w:rPr>
          <w:rFonts w:ascii="微软雅黑" w:hAnsi="微软雅黑" w:eastAsia="微软雅黑"/>
          <w:kern w:val="0"/>
          <w:sz w:val="24"/>
          <w:szCs w:val="24"/>
        </w:rPr>
        <w:t>的</w:t>
      </w:r>
      <w:r>
        <w:rPr>
          <w:rFonts w:ascii="微软雅黑" w:hAnsi="微软雅黑" w:eastAsia="微软雅黑"/>
          <w:spacing w:val="-3"/>
          <w:kern w:val="0"/>
          <w:sz w:val="24"/>
          <w:szCs w:val="24"/>
        </w:rPr>
        <w:t>法定</w:t>
      </w:r>
      <w:r>
        <w:rPr>
          <w:rFonts w:ascii="微软雅黑" w:hAnsi="微软雅黑" w:eastAsia="微软雅黑"/>
          <w:kern w:val="0"/>
          <w:sz w:val="24"/>
          <w:szCs w:val="24"/>
        </w:rPr>
        <w:t>代表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w:t>
      </w:r>
      <w:r>
        <w:rPr>
          <w:rFonts w:ascii="微软雅黑" w:hAnsi="微软雅黑" w:eastAsia="微软雅黑"/>
          <w:spacing w:val="-3"/>
          <w:kern w:val="0"/>
          <w:sz w:val="24"/>
          <w:szCs w:val="24"/>
        </w:rPr>
        <w:t>人</w:t>
      </w:r>
      <w:r>
        <w:rPr>
          <w:rFonts w:ascii="微软雅黑" w:hAnsi="微软雅黑" w:eastAsia="微软雅黑"/>
          <w:spacing w:val="-106"/>
          <w:kern w:val="0"/>
          <w:sz w:val="24"/>
          <w:szCs w:val="24"/>
        </w:rPr>
        <w:t>）</w:t>
      </w:r>
      <w:r>
        <w:rPr>
          <w:rFonts w:ascii="微软雅黑" w:hAnsi="微软雅黑" w:eastAsia="微软雅黑"/>
          <w:kern w:val="0"/>
          <w:sz w:val="24"/>
          <w:szCs w:val="24"/>
        </w:rPr>
        <w:t>。</w:t>
      </w:r>
    </w:p>
    <w:p>
      <w:pPr>
        <w:tabs>
          <w:tab w:val="left" w:pos="142"/>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特此</w:t>
      </w:r>
      <w:r>
        <w:rPr>
          <w:rFonts w:ascii="微软雅黑" w:hAnsi="微软雅黑" w:eastAsia="微软雅黑"/>
          <w:spacing w:val="-3"/>
          <w:kern w:val="0"/>
          <w:sz w:val="24"/>
          <w:szCs w:val="24"/>
        </w:rPr>
        <w:t>证</w:t>
      </w:r>
      <w:r>
        <w:rPr>
          <w:rFonts w:ascii="微软雅黑" w:hAnsi="微软雅黑" w:eastAsia="微软雅黑"/>
          <w:kern w:val="0"/>
          <w:sz w:val="24"/>
          <w:szCs w:val="24"/>
        </w:rPr>
        <w:t>明。</w:t>
      </w:r>
    </w:p>
    <w:p>
      <w:pPr>
        <w:tabs>
          <w:tab w:val="left" w:pos="142"/>
        </w:tabs>
        <w:spacing w:before="36"/>
        <w:ind w:left="780" w:right="11" w:firstLine="480"/>
        <w:jc w:val="left"/>
        <w:rPr>
          <w:rFonts w:ascii="微软雅黑" w:hAnsi="微软雅黑" w:eastAsia="微软雅黑"/>
          <w:kern w:val="0"/>
          <w:sz w:val="24"/>
          <w:szCs w:val="24"/>
        </w:rPr>
      </w:pPr>
    </w:p>
    <w:p>
      <w:pPr>
        <w:tabs>
          <w:tab w:val="left" w:pos="142"/>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附：</w:t>
      </w:r>
      <w:r>
        <w:rPr>
          <w:rFonts w:ascii="微软雅黑" w:hAnsi="微软雅黑" w:eastAsia="微软雅黑"/>
          <w:spacing w:val="-3"/>
          <w:kern w:val="0"/>
          <w:sz w:val="24"/>
          <w:szCs w:val="24"/>
        </w:rPr>
        <w:t>法</w:t>
      </w:r>
      <w:r>
        <w:rPr>
          <w:rFonts w:ascii="微软雅黑" w:hAnsi="微软雅黑" w:eastAsia="微软雅黑"/>
          <w:kern w:val="0"/>
          <w:sz w:val="24"/>
          <w:szCs w:val="24"/>
        </w:rPr>
        <w:t>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责人</w:t>
      </w:r>
      <w:r>
        <w:rPr>
          <w:rFonts w:ascii="微软雅黑" w:hAnsi="微软雅黑" w:eastAsia="微软雅黑"/>
          <w:spacing w:val="-3"/>
          <w:kern w:val="0"/>
          <w:sz w:val="24"/>
          <w:szCs w:val="24"/>
        </w:rPr>
        <w:t>）</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复</w:t>
      </w:r>
      <w:r>
        <w:rPr>
          <w:rFonts w:ascii="微软雅黑" w:hAnsi="微软雅黑" w:eastAsia="微软雅黑"/>
          <w:kern w:val="0"/>
          <w:sz w:val="24"/>
          <w:szCs w:val="24"/>
        </w:rPr>
        <w:t>印</w:t>
      </w:r>
      <w:r>
        <w:rPr>
          <w:rFonts w:ascii="微软雅黑" w:hAnsi="微软雅黑" w:eastAsia="微软雅黑"/>
          <w:spacing w:val="-3"/>
          <w:kern w:val="0"/>
          <w:sz w:val="24"/>
          <w:szCs w:val="24"/>
        </w:rPr>
        <w:t>件</w:t>
      </w:r>
      <w:r>
        <w:rPr>
          <w:rFonts w:ascii="微软雅黑" w:hAnsi="微软雅黑" w:eastAsia="微软雅黑"/>
          <w:kern w:val="0"/>
          <w:sz w:val="24"/>
          <w:szCs w:val="24"/>
        </w:rPr>
        <w:t xml:space="preserve">。 </w:t>
      </w:r>
    </w:p>
    <w:p>
      <w:pPr>
        <w:tabs>
          <w:tab w:val="left" w:pos="142"/>
        </w:tabs>
        <w:spacing w:before="36"/>
        <w:ind w:left="780" w:right="11" w:firstLine="480"/>
        <w:jc w:val="left"/>
        <w:rPr>
          <w:rFonts w:ascii="微软雅黑" w:hAnsi="微软雅黑" w:eastAsia="微软雅黑"/>
          <w:kern w:val="0"/>
          <w:sz w:val="24"/>
          <w:szCs w:val="24"/>
        </w:rPr>
      </w:pPr>
    </w:p>
    <w:p>
      <w:pPr>
        <w:tabs>
          <w:tab w:val="left" w:pos="142"/>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注：</w:t>
      </w:r>
      <w:r>
        <w:rPr>
          <w:rFonts w:ascii="微软雅黑" w:hAnsi="微软雅黑" w:eastAsia="微软雅黑"/>
          <w:spacing w:val="-3"/>
          <w:kern w:val="0"/>
          <w:sz w:val="24"/>
          <w:szCs w:val="24"/>
        </w:rPr>
        <w:t>本</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明</w:t>
      </w:r>
      <w:r>
        <w:rPr>
          <w:rFonts w:ascii="微软雅黑" w:hAnsi="微软雅黑" w:eastAsia="微软雅黑"/>
          <w:kern w:val="0"/>
          <w:sz w:val="24"/>
          <w:szCs w:val="24"/>
        </w:rPr>
        <w:t>需</w:t>
      </w:r>
      <w:r>
        <w:rPr>
          <w:rFonts w:ascii="微软雅黑" w:hAnsi="微软雅黑" w:eastAsia="微软雅黑"/>
          <w:spacing w:val="-3"/>
          <w:kern w:val="0"/>
          <w:sz w:val="24"/>
          <w:szCs w:val="24"/>
        </w:rPr>
        <w:t>由</w:t>
      </w:r>
      <w:r>
        <w:rPr>
          <w:rFonts w:hint="eastAsia" w:ascii="微软雅黑" w:hAnsi="微软雅黑" w:eastAsia="微软雅黑"/>
          <w:kern w:val="0"/>
          <w:sz w:val="24"/>
          <w:szCs w:val="24"/>
        </w:rPr>
        <w:t>应答人</w:t>
      </w:r>
      <w:r>
        <w:rPr>
          <w:rFonts w:ascii="微软雅黑" w:hAnsi="微软雅黑" w:eastAsia="微软雅黑"/>
          <w:kern w:val="0"/>
          <w:sz w:val="24"/>
          <w:szCs w:val="24"/>
        </w:rPr>
        <w:t>加</w:t>
      </w:r>
      <w:r>
        <w:rPr>
          <w:rFonts w:ascii="微软雅黑" w:hAnsi="微软雅黑" w:eastAsia="微软雅黑"/>
          <w:spacing w:val="-3"/>
          <w:kern w:val="0"/>
          <w:sz w:val="24"/>
          <w:szCs w:val="24"/>
        </w:rPr>
        <w:t>盖</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 w:val="left" w:pos="6521"/>
        </w:tabs>
        <w:spacing w:before="36" w:after="156" w:afterLines="50"/>
        <w:ind w:left="780" w:right="11" w:firstLine="468"/>
        <w:jc w:val="right"/>
        <w:rPr>
          <w:rFonts w:ascii="微软雅黑" w:hAnsi="微软雅黑" w:eastAsia="微软雅黑"/>
          <w:kern w:val="0"/>
          <w:sz w:val="24"/>
          <w:szCs w:val="24"/>
        </w:rPr>
      </w:pPr>
      <w:r>
        <w:rPr>
          <w:rFonts w:hint="eastAsia" w:ascii="微软雅黑" w:hAnsi="微软雅黑" w:eastAsia="微软雅黑"/>
          <w:spacing w:val="-3"/>
          <w:kern w:val="0"/>
          <w:sz w:val="24"/>
          <w:szCs w:val="24"/>
        </w:rPr>
        <w:t>应答人</w:t>
      </w:r>
      <w:r>
        <w:rPr>
          <w:rFonts w:ascii="微软雅黑" w:hAnsi="微软雅黑" w:eastAsia="微软雅黑"/>
          <w:spacing w:val="-1"/>
          <w:kern w:val="0"/>
          <w:sz w:val="24"/>
          <w:szCs w:val="24"/>
        </w:rPr>
        <w:t>：</w:t>
      </w:r>
      <w:r>
        <w:rPr>
          <w:rFonts w:hint="eastAsia" w:ascii="微软雅黑" w:hAnsi="微软雅黑" w:eastAsia="微软雅黑"/>
          <w:spacing w:val="-1"/>
          <w:kern w:val="0"/>
          <w:sz w:val="24"/>
          <w:szCs w:val="24"/>
          <w:u w:val="single"/>
        </w:rPr>
        <w:t xml:space="preserve">                   </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142"/>
          <w:tab w:val="left" w:pos="5352"/>
          <w:tab w:val="left" w:pos="6192"/>
          <w:tab w:val="left" w:pos="7032"/>
        </w:tabs>
        <w:spacing w:before="36" w:after="156" w:afterLines="50"/>
        <w:ind w:left="780" w:right="11" w:firstLine="1080"/>
        <w:jc w:val="right"/>
      </w:pPr>
      <w:r>
        <w:rPr>
          <w:rFonts w:hint="eastAsia" w:ascii="微软雅黑" w:hAnsi="微软雅黑" w:eastAsia="微软雅黑"/>
          <w:w w:val="225"/>
          <w:kern w:val="0"/>
          <w:sz w:val="24"/>
          <w:szCs w:val="24"/>
        </w:rPr>
        <w:t>____</w:t>
      </w:r>
      <w:r>
        <w:rPr>
          <w:rFonts w:ascii="微软雅黑" w:hAnsi="微软雅黑" w:eastAsia="微软雅黑"/>
          <w:kern w:val="0"/>
          <w:sz w:val="24"/>
          <w:szCs w:val="24"/>
        </w:rPr>
        <w:t>年</w:t>
      </w:r>
      <w:r>
        <w:rPr>
          <w:rFonts w:hint="eastAsia" w:ascii="微软雅黑" w:hAnsi="微软雅黑" w:eastAsia="微软雅黑"/>
          <w:kern w:val="0"/>
          <w:sz w:val="24"/>
          <w:szCs w:val="24"/>
        </w:rPr>
        <w:t>_______</w:t>
      </w:r>
      <w:r>
        <w:rPr>
          <w:rFonts w:ascii="微软雅黑" w:hAnsi="微软雅黑" w:eastAsia="微软雅黑"/>
          <w:kern w:val="0"/>
          <w:sz w:val="24"/>
          <w:szCs w:val="24"/>
        </w:rPr>
        <w:t>月</w:t>
      </w:r>
      <w:r>
        <w:rPr>
          <w:rFonts w:hint="eastAsia" w:ascii="微软雅黑" w:hAnsi="微软雅黑" w:eastAsia="微软雅黑"/>
          <w:kern w:val="0"/>
          <w:sz w:val="24"/>
          <w:szCs w:val="24"/>
        </w:rPr>
        <w:t>______</w:t>
      </w:r>
      <w:r>
        <w:rPr>
          <w:rFonts w:ascii="微软雅黑" w:hAnsi="微软雅黑" w:eastAsia="微软雅黑"/>
          <w:kern w:val="0"/>
          <w:sz w:val="24"/>
          <w:szCs w:val="24"/>
        </w:rPr>
        <w:t>日</w:t>
      </w:r>
    </w:p>
    <w:p>
      <w:pPr>
        <w:rPr>
          <w:rFonts w:ascii="黑体" w:hAnsi="黑体" w:eastAsia="黑体"/>
          <w:b/>
          <w:bCs/>
          <w:sz w:val="24"/>
          <w:szCs w:val="24"/>
        </w:rPr>
      </w:pPr>
    </w:p>
    <w:p>
      <w:pPr>
        <w:rPr>
          <w:rFonts w:ascii="黑体" w:hAnsi="黑体" w:eastAsia="黑体"/>
          <w:b/>
          <w:bCs/>
          <w:sz w:val="24"/>
          <w:szCs w:val="24"/>
        </w:rPr>
      </w:pPr>
    </w:p>
    <w:p>
      <w:pPr>
        <w:outlineLvl w:val="1"/>
        <w:rPr>
          <w:rFonts w:ascii="黑体" w:hAnsi="黑体" w:eastAsia="黑体"/>
          <w:b/>
          <w:bCs/>
          <w:sz w:val="24"/>
          <w:szCs w:val="24"/>
        </w:rPr>
      </w:pPr>
      <w:r>
        <w:rPr>
          <w:rFonts w:hint="eastAsia" w:ascii="黑体" w:hAnsi="黑体" w:eastAsia="黑体"/>
          <w:b/>
          <w:bCs/>
          <w:sz w:val="24"/>
          <w:szCs w:val="24"/>
        </w:rPr>
        <w:t>5.3：授权委托书</w:t>
      </w:r>
    </w:p>
    <w:p>
      <w:pPr>
        <w:pStyle w:val="57"/>
        <w:tabs>
          <w:tab w:val="left" w:pos="142"/>
        </w:tabs>
        <w:spacing w:before="156" w:beforeLines="50" w:after="156" w:afterLines="50"/>
        <w:ind w:right="10"/>
        <w:jc w:val="center"/>
        <w:outlineLvl w:val="9"/>
        <w:rPr>
          <w:rFonts w:ascii="微软雅黑" w:hAnsi="微软雅黑" w:eastAsia="微软雅黑"/>
          <w:b/>
          <w:spacing w:val="2"/>
          <w:lang w:eastAsia="zh-CN"/>
        </w:rPr>
      </w:pPr>
    </w:p>
    <w:p>
      <w:pPr>
        <w:pStyle w:val="57"/>
        <w:tabs>
          <w:tab w:val="left" w:pos="142"/>
        </w:tabs>
        <w:spacing w:before="156" w:beforeLines="50" w:after="156" w:afterLines="50"/>
        <w:ind w:right="10"/>
        <w:jc w:val="center"/>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tabs>
          <w:tab w:val="left" w:pos="142"/>
          <w:tab w:val="left" w:pos="2421"/>
          <w:tab w:val="left" w:pos="5585"/>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本人</w:t>
      </w:r>
      <w:r>
        <w:rPr>
          <w:rFonts w:ascii="微软雅黑" w:hAnsi="微软雅黑" w:eastAsia="微软雅黑"/>
          <w:kern w:val="0"/>
          <w:sz w:val="24"/>
          <w:szCs w:val="24"/>
          <w:u w:val="single" w:color="000000"/>
        </w:rPr>
        <w:tab/>
      </w:r>
      <w:r>
        <w:rPr>
          <w:rFonts w:ascii="微软雅黑" w:hAnsi="微软雅黑" w:eastAsia="微软雅黑"/>
          <w:kern w:val="0"/>
          <w:sz w:val="24"/>
          <w:szCs w:val="24"/>
        </w:rPr>
        <w:t>（</w:t>
      </w:r>
      <w:r>
        <w:rPr>
          <w:rFonts w:ascii="微软雅黑" w:hAnsi="微软雅黑" w:eastAsia="微软雅黑"/>
          <w:spacing w:val="-3"/>
          <w:kern w:val="0"/>
          <w:sz w:val="24"/>
          <w:szCs w:val="24"/>
        </w:rPr>
        <w:t>姓</w:t>
      </w:r>
      <w:r>
        <w:rPr>
          <w:rFonts w:ascii="微软雅黑" w:hAnsi="微软雅黑" w:eastAsia="微软雅黑"/>
          <w:kern w:val="0"/>
          <w:sz w:val="24"/>
          <w:szCs w:val="24"/>
        </w:rPr>
        <w:t>名）</w:t>
      </w:r>
      <w:r>
        <w:rPr>
          <w:rFonts w:ascii="微软雅黑" w:hAnsi="微软雅黑" w:eastAsia="微软雅黑"/>
          <w:spacing w:val="-1"/>
          <w:kern w:val="0"/>
          <w:sz w:val="24"/>
          <w:szCs w:val="24"/>
        </w:rPr>
        <w:t>系</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w:t>
      </w: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名</w:t>
      </w:r>
      <w:r>
        <w:rPr>
          <w:rFonts w:ascii="微软雅黑" w:hAnsi="微软雅黑" w:eastAsia="微软雅黑"/>
          <w:kern w:val="0"/>
          <w:sz w:val="24"/>
          <w:szCs w:val="24"/>
        </w:rPr>
        <w:t>称）的</w:t>
      </w:r>
      <w:r>
        <w:rPr>
          <w:rFonts w:ascii="微软雅黑" w:hAnsi="微软雅黑" w:eastAsia="微软雅黑"/>
          <w:spacing w:val="-3"/>
          <w:kern w:val="0"/>
          <w:sz w:val="24"/>
          <w:szCs w:val="24"/>
        </w:rPr>
        <w:t>法定</w:t>
      </w:r>
      <w:r>
        <w:rPr>
          <w:rFonts w:ascii="微软雅黑" w:hAnsi="微软雅黑" w:eastAsia="微软雅黑"/>
          <w:kern w:val="0"/>
          <w:sz w:val="24"/>
          <w:szCs w:val="24"/>
        </w:rPr>
        <w:t>代表人</w:t>
      </w:r>
      <w:r>
        <w:rPr>
          <w:rFonts w:ascii="微软雅黑" w:hAnsi="微软雅黑" w:eastAsia="微软雅黑"/>
          <w:spacing w:val="-3"/>
          <w:kern w:val="0"/>
          <w:sz w:val="24"/>
          <w:szCs w:val="24"/>
        </w:rPr>
        <w:t>（</w:t>
      </w:r>
      <w:r>
        <w:rPr>
          <w:rFonts w:ascii="微软雅黑" w:hAnsi="微软雅黑" w:eastAsia="微软雅黑"/>
          <w:kern w:val="0"/>
          <w:sz w:val="24"/>
          <w:szCs w:val="24"/>
        </w:rPr>
        <w:t>单位负责</w:t>
      </w:r>
      <w:r>
        <w:rPr>
          <w:rFonts w:ascii="微软雅黑" w:hAnsi="微软雅黑" w:eastAsia="微软雅黑"/>
          <w:spacing w:val="-3"/>
          <w:kern w:val="0"/>
          <w:sz w:val="24"/>
          <w:szCs w:val="24"/>
        </w:rPr>
        <w:t>人</w:t>
      </w:r>
      <w:r>
        <w:rPr>
          <w:rFonts w:ascii="微软雅黑" w:hAnsi="微软雅黑" w:eastAsia="微软雅黑"/>
          <w:spacing w:val="-104"/>
          <w:kern w:val="0"/>
          <w:sz w:val="24"/>
          <w:szCs w:val="24"/>
        </w:rPr>
        <w:t>）</w:t>
      </w:r>
      <w:r>
        <w:rPr>
          <w:rFonts w:ascii="微软雅黑" w:hAnsi="微软雅黑" w:eastAsia="微软雅黑"/>
          <w:kern w:val="0"/>
          <w:sz w:val="24"/>
          <w:szCs w:val="24"/>
        </w:rPr>
        <w:t>，</w:t>
      </w:r>
      <w:r>
        <w:rPr>
          <w:rFonts w:ascii="微软雅黑" w:hAnsi="微软雅黑" w:eastAsia="微软雅黑"/>
          <w:spacing w:val="-3"/>
          <w:kern w:val="0"/>
          <w:sz w:val="24"/>
          <w:szCs w:val="24"/>
        </w:rPr>
        <w:t>现</w:t>
      </w:r>
      <w:r>
        <w:rPr>
          <w:rFonts w:ascii="微软雅黑" w:hAnsi="微软雅黑" w:eastAsia="微软雅黑"/>
          <w:kern w:val="0"/>
          <w:sz w:val="24"/>
          <w:szCs w:val="24"/>
        </w:rPr>
        <w:t>委</w:t>
      </w:r>
      <w:r>
        <w:rPr>
          <w:rFonts w:ascii="微软雅黑" w:hAnsi="微软雅黑" w:eastAsia="微软雅黑"/>
          <w:spacing w:val="-1"/>
          <w:kern w:val="0"/>
          <w:sz w:val="24"/>
          <w:szCs w:val="24"/>
        </w:rPr>
        <w:t>托</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（姓名）为我</w:t>
      </w:r>
      <w:r>
        <w:rPr>
          <w:rFonts w:ascii="微软雅黑" w:hAnsi="微软雅黑" w:eastAsia="微软雅黑"/>
          <w:spacing w:val="-3"/>
          <w:kern w:val="0"/>
          <w:sz w:val="24"/>
          <w:szCs w:val="24"/>
        </w:rPr>
        <w:t>方代</w:t>
      </w:r>
      <w:r>
        <w:rPr>
          <w:rFonts w:ascii="微软雅黑" w:hAnsi="微软雅黑" w:eastAsia="微软雅黑"/>
          <w:kern w:val="0"/>
          <w:sz w:val="24"/>
          <w:szCs w:val="24"/>
        </w:rPr>
        <w:t>理人。代理</w:t>
      </w:r>
      <w:r>
        <w:rPr>
          <w:rFonts w:ascii="微软雅黑" w:hAnsi="微软雅黑" w:eastAsia="微软雅黑"/>
          <w:spacing w:val="-3"/>
          <w:kern w:val="0"/>
          <w:sz w:val="24"/>
          <w:szCs w:val="24"/>
        </w:rPr>
        <w:t>人</w:t>
      </w:r>
      <w:r>
        <w:rPr>
          <w:rFonts w:ascii="微软雅黑" w:hAnsi="微软雅黑" w:eastAsia="微软雅黑"/>
          <w:kern w:val="0"/>
          <w:sz w:val="24"/>
          <w:szCs w:val="24"/>
        </w:rPr>
        <w:t>根据授</w:t>
      </w:r>
      <w:r>
        <w:rPr>
          <w:rFonts w:ascii="微软雅黑" w:hAnsi="微软雅黑" w:eastAsia="微软雅黑"/>
          <w:spacing w:val="-3"/>
          <w:kern w:val="0"/>
          <w:sz w:val="24"/>
          <w:szCs w:val="24"/>
        </w:rPr>
        <w:t>权，</w:t>
      </w:r>
      <w:r>
        <w:rPr>
          <w:rFonts w:ascii="微软雅黑" w:hAnsi="微软雅黑" w:eastAsia="微软雅黑"/>
          <w:kern w:val="0"/>
          <w:sz w:val="24"/>
          <w:szCs w:val="24"/>
        </w:rPr>
        <w:t>以我方名义</w:t>
      </w:r>
      <w:r>
        <w:rPr>
          <w:rFonts w:ascii="微软雅黑" w:hAnsi="微软雅黑" w:eastAsia="微软雅黑"/>
          <w:spacing w:val="-3"/>
          <w:kern w:val="0"/>
          <w:sz w:val="24"/>
          <w:szCs w:val="24"/>
        </w:rPr>
        <w:t>签</w:t>
      </w:r>
      <w:r>
        <w:rPr>
          <w:rFonts w:ascii="微软雅黑" w:hAnsi="微软雅黑" w:eastAsia="微软雅黑"/>
          <w:kern w:val="0"/>
          <w:sz w:val="24"/>
          <w:szCs w:val="24"/>
        </w:rPr>
        <w:t>署、澄清</w:t>
      </w:r>
      <w:r>
        <w:rPr>
          <w:rFonts w:hint="eastAsia" w:ascii="微软雅黑" w:hAnsi="微软雅黑" w:eastAsia="微软雅黑"/>
          <w:kern w:val="0"/>
          <w:sz w:val="24"/>
          <w:szCs w:val="24"/>
        </w:rPr>
        <w:t>、</w:t>
      </w:r>
      <w:r>
        <w:rPr>
          <w:rFonts w:ascii="微软雅黑" w:hAnsi="微软雅黑" w:eastAsia="微软雅黑"/>
          <w:kern w:val="0"/>
          <w:sz w:val="24"/>
          <w:szCs w:val="24"/>
        </w:rPr>
        <w:t>确认、递交</w:t>
      </w:r>
      <w:r>
        <w:rPr>
          <w:rFonts w:ascii="微软雅黑" w:hAnsi="微软雅黑" w:eastAsia="微软雅黑"/>
          <w:spacing w:val="-3"/>
          <w:kern w:val="0"/>
          <w:sz w:val="24"/>
          <w:szCs w:val="24"/>
        </w:rPr>
        <w:t>、</w:t>
      </w:r>
      <w:r>
        <w:rPr>
          <w:rFonts w:ascii="微软雅黑" w:hAnsi="微软雅黑" w:eastAsia="微软雅黑"/>
          <w:kern w:val="0"/>
          <w:sz w:val="24"/>
          <w:szCs w:val="24"/>
        </w:rPr>
        <w:t>撤回</w:t>
      </w:r>
      <w:r>
        <w:rPr>
          <w:rFonts w:ascii="微软雅黑" w:hAnsi="微软雅黑" w:eastAsia="微软雅黑"/>
          <w:spacing w:val="-3"/>
          <w:kern w:val="0"/>
          <w:sz w:val="24"/>
          <w:szCs w:val="24"/>
        </w:rPr>
        <w:t>、</w:t>
      </w:r>
      <w:r>
        <w:rPr>
          <w:rFonts w:ascii="微软雅黑" w:hAnsi="微软雅黑" w:eastAsia="微软雅黑"/>
          <w:kern w:val="0"/>
          <w:sz w:val="24"/>
          <w:szCs w:val="24"/>
        </w:rPr>
        <w:t>修改</w:t>
      </w:r>
      <w:r>
        <w:rPr>
          <w:rFonts w:hint="eastAsia" w:ascii="微软雅黑" w:hAnsi="微软雅黑" w:eastAsia="微软雅黑"/>
          <w:kern w:val="0"/>
          <w:sz w:val="24"/>
          <w:szCs w:val="24"/>
        </w:rPr>
        <w:t>服务</w:t>
      </w:r>
      <w:r>
        <w:rPr>
          <w:rFonts w:ascii="微软雅黑" w:hAnsi="微软雅黑" w:eastAsia="微软雅黑"/>
          <w:kern w:val="0"/>
          <w:sz w:val="24"/>
          <w:szCs w:val="24"/>
        </w:rPr>
        <w:t>采购询价项目</w:t>
      </w:r>
      <w:r>
        <w:rPr>
          <w:rFonts w:hint="eastAsia" w:ascii="微软雅黑" w:hAnsi="微软雅黑" w:eastAsia="微软雅黑"/>
          <w:kern w:val="0"/>
          <w:sz w:val="24"/>
          <w:szCs w:val="24"/>
        </w:rPr>
        <w:t>报价</w:t>
      </w:r>
      <w:r>
        <w:rPr>
          <w:rFonts w:ascii="微软雅黑" w:hAnsi="微软雅黑" w:eastAsia="微软雅黑"/>
          <w:kern w:val="0"/>
          <w:sz w:val="24"/>
          <w:szCs w:val="24"/>
        </w:rPr>
        <w:t>文件、签订合</w:t>
      </w:r>
      <w:r>
        <w:rPr>
          <w:rFonts w:ascii="微软雅黑" w:hAnsi="微软雅黑" w:eastAsia="微软雅黑"/>
          <w:spacing w:val="-3"/>
          <w:kern w:val="0"/>
          <w:sz w:val="24"/>
          <w:szCs w:val="24"/>
        </w:rPr>
        <w:t>同</w:t>
      </w:r>
      <w:r>
        <w:rPr>
          <w:rFonts w:ascii="微软雅黑" w:hAnsi="微软雅黑" w:eastAsia="微软雅黑"/>
          <w:kern w:val="0"/>
          <w:sz w:val="24"/>
          <w:szCs w:val="24"/>
        </w:rPr>
        <w:t>和处</w:t>
      </w:r>
      <w:r>
        <w:rPr>
          <w:rFonts w:ascii="微软雅黑" w:hAnsi="微软雅黑" w:eastAsia="微软雅黑"/>
          <w:spacing w:val="-3"/>
          <w:kern w:val="0"/>
          <w:sz w:val="24"/>
          <w:szCs w:val="24"/>
        </w:rPr>
        <w:t>理</w:t>
      </w:r>
      <w:r>
        <w:rPr>
          <w:rFonts w:ascii="微软雅黑" w:hAnsi="微软雅黑" w:eastAsia="微软雅黑"/>
          <w:kern w:val="0"/>
          <w:sz w:val="24"/>
          <w:szCs w:val="24"/>
        </w:rPr>
        <w:t>有关事宜，其</w:t>
      </w:r>
      <w:r>
        <w:rPr>
          <w:rFonts w:ascii="微软雅黑" w:hAnsi="微软雅黑" w:eastAsia="微软雅黑"/>
          <w:spacing w:val="-3"/>
          <w:kern w:val="0"/>
          <w:sz w:val="24"/>
          <w:szCs w:val="24"/>
        </w:rPr>
        <w:t>法</w:t>
      </w:r>
      <w:r>
        <w:rPr>
          <w:rFonts w:ascii="微软雅黑" w:hAnsi="微软雅黑" w:eastAsia="微软雅黑"/>
          <w:kern w:val="0"/>
          <w:sz w:val="24"/>
          <w:szCs w:val="24"/>
        </w:rPr>
        <w:t>律后果</w:t>
      </w:r>
      <w:r>
        <w:rPr>
          <w:rFonts w:ascii="微软雅黑" w:hAnsi="微软雅黑" w:eastAsia="微软雅黑"/>
          <w:spacing w:val="-3"/>
          <w:kern w:val="0"/>
          <w:sz w:val="24"/>
          <w:szCs w:val="24"/>
        </w:rPr>
        <w:t>由</w:t>
      </w:r>
      <w:r>
        <w:rPr>
          <w:rFonts w:ascii="微软雅黑" w:hAnsi="微软雅黑" w:eastAsia="微软雅黑"/>
          <w:kern w:val="0"/>
          <w:sz w:val="24"/>
          <w:szCs w:val="24"/>
        </w:rPr>
        <w:t>我</w:t>
      </w:r>
      <w:r>
        <w:rPr>
          <w:rFonts w:ascii="微软雅黑" w:hAnsi="微软雅黑" w:eastAsia="微软雅黑"/>
          <w:spacing w:val="-3"/>
          <w:kern w:val="0"/>
          <w:sz w:val="24"/>
          <w:szCs w:val="24"/>
        </w:rPr>
        <w:t>方</w:t>
      </w:r>
      <w:r>
        <w:rPr>
          <w:rFonts w:ascii="微软雅黑" w:hAnsi="微软雅黑" w:eastAsia="微软雅黑"/>
          <w:kern w:val="0"/>
          <w:sz w:val="24"/>
          <w:szCs w:val="24"/>
        </w:rPr>
        <w:t>承</w:t>
      </w:r>
      <w:r>
        <w:rPr>
          <w:rFonts w:ascii="微软雅黑" w:hAnsi="微软雅黑" w:eastAsia="微软雅黑"/>
          <w:spacing w:val="-3"/>
          <w:kern w:val="0"/>
          <w:sz w:val="24"/>
          <w:szCs w:val="24"/>
        </w:rPr>
        <w:t>担</w:t>
      </w:r>
      <w:r>
        <w:rPr>
          <w:rFonts w:ascii="微软雅黑" w:hAnsi="微软雅黑" w:eastAsia="微软雅黑"/>
          <w:kern w:val="0"/>
          <w:sz w:val="24"/>
          <w:szCs w:val="24"/>
        </w:rPr>
        <w:t>。</w:t>
      </w:r>
    </w:p>
    <w:p>
      <w:pPr>
        <w:tabs>
          <w:tab w:val="left" w:pos="142"/>
          <w:tab w:val="left" w:pos="3566"/>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委托</w:t>
      </w:r>
      <w:r>
        <w:rPr>
          <w:rFonts w:ascii="微软雅黑" w:hAnsi="微软雅黑" w:eastAsia="微软雅黑"/>
          <w:spacing w:val="-3"/>
          <w:kern w:val="0"/>
          <w:sz w:val="24"/>
          <w:szCs w:val="24"/>
        </w:rPr>
        <w:t>期</w:t>
      </w:r>
      <w:r>
        <w:rPr>
          <w:rFonts w:ascii="微软雅黑" w:hAnsi="微软雅黑" w:eastAsia="微软雅黑"/>
          <w:kern w:val="0"/>
          <w:sz w:val="24"/>
          <w:szCs w:val="24"/>
        </w:rPr>
        <w:t>限</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w:t>
      </w:r>
    </w:p>
    <w:p>
      <w:pPr>
        <w:tabs>
          <w:tab w:val="left" w:pos="142"/>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代理</w:t>
      </w:r>
      <w:r>
        <w:rPr>
          <w:rFonts w:ascii="微软雅黑" w:hAnsi="微软雅黑" w:eastAsia="微软雅黑"/>
          <w:spacing w:val="-3"/>
          <w:kern w:val="0"/>
          <w:sz w:val="24"/>
          <w:szCs w:val="24"/>
        </w:rPr>
        <w:t>人</w:t>
      </w:r>
      <w:r>
        <w:rPr>
          <w:rFonts w:ascii="微软雅黑" w:hAnsi="微软雅黑" w:eastAsia="微软雅黑"/>
          <w:kern w:val="0"/>
          <w:sz w:val="24"/>
          <w:szCs w:val="24"/>
        </w:rPr>
        <w:t>无</w:t>
      </w:r>
      <w:r>
        <w:rPr>
          <w:rFonts w:ascii="微软雅黑" w:hAnsi="微软雅黑" w:eastAsia="微软雅黑"/>
          <w:spacing w:val="-3"/>
          <w:kern w:val="0"/>
          <w:sz w:val="24"/>
          <w:szCs w:val="24"/>
        </w:rPr>
        <w:t>转</w:t>
      </w:r>
      <w:r>
        <w:rPr>
          <w:rFonts w:ascii="微软雅黑" w:hAnsi="微软雅黑" w:eastAsia="微软雅黑"/>
          <w:kern w:val="0"/>
          <w:sz w:val="24"/>
          <w:szCs w:val="24"/>
        </w:rPr>
        <w:t>委</w:t>
      </w:r>
      <w:r>
        <w:rPr>
          <w:rFonts w:ascii="微软雅黑" w:hAnsi="微软雅黑" w:eastAsia="微软雅黑"/>
          <w:spacing w:val="-3"/>
          <w:kern w:val="0"/>
          <w:sz w:val="24"/>
          <w:szCs w:val="24"/>
        </w:rPr>
        <w:t>托</w:t>
      </w:r>
      <w:r>
        <w:rPr>
          <w:rFonts w:ascii="微软雅黑" w:hAnsi="微软雅黑" w:eastAsia="微软雅黑"/>
          <w:kern w:val="0"/>
          <w:sz w:val="24"/>
          <w:szCs w:val="24"/>
        </w:rPr>
        <w:t xml:space="preserve">权。 </w:t>
      </w:r>
    </w:p>
    <w:p>
      <w:pPr>
        <w:tabs>
          <w:tab w:val="left" w:pos="142"/>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附：</w:t>
      </w:r>
      <w:r>
        <w:rPr>
          <w:rFonts w:ascii="微软雅黑" w:hAnsi="微软雅黑" w:eastAsia="微软雅黑"/>
          <w:spacing w:val="-3"/>
          <w:kern w:val="0"/>
          <w:sz w:val="24"/>
          <w:szCs w:val="24"/>
        </w:rPr>
        <w:t>法</w:t>
      </w:r>
      <w:r>
        <w:rPr>
          <w:rFonts w:ascii="微软雅黑" w:hAnsi="微软雅黑" w:eastAsia="微软雅黑"/>
          <w:kern w:val="0"/>
          <w:sz w:val="24"/>
          <w:szCs w:val="24"/>
        </w:rPr>
        <w:t>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责人</w:t>
      </w:r>
      <w:r>
        <w:rPr>
          <w:rFonts w:ascii="微软雅黑" w:hAnsi="微软雅黑" w:eastAsia="微软雅黑"/>
          <w:spacing w:val="-3"/>
          <w:kern w:val="0"/>
          <w:sz w:val="24"/>
          <w:szCs w:val="24"/>
        </w:rPr>
        <w:t>）</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复</w:t>
      </w:r>
      <w:r>
        <w:rPr>
          <w:rFonts w:ascii="微软雅黑" w:hAnsi="微软雅黑" w:eastAsia="微软雅黑"/>
          <w:kern w:val="0"/>
          <w:sz w:val="24"/>
          <w:szCs w:val="24"/>
        </w:rPr>
        <w:t>印</w:t>
      </w:r>
      <w:r>
        <w:rPr>
          <w:rFonts w:ascii="微软雅黑" w:hAnsi="微软雅黑" w:eastAsia="微软雅黑"/>
          <w:spacing w:val="-3"/>
          <w:kern w:val="0"/>
          <w:sz w:val="24"/>
          <w:szCs w:val="24"/>
        </w:rPr>
        <w:t>件</w:t>
      </w:r>
      <w:r>
        <w:rPr>
          <w:rFonts w:ascii="微软雅黑" w:hAnsi="微软雅黑" w:eastAsia="微软雅黑"/>
          <w:kern w:val="0"/>
          <w:sz w:val="24"/>
          <w:szCs w:val="24"/>
        </w:rPr>
        <w:t>及</w:t>
      </w:r>
      <w:r>
        <w:rPr>
          <w:rFonts w:ascii="微软雅黑" w:hAnsi="微软雅黑" w:eastAsia="微软雅黑"/>
          <w:spacing w:val="-3"/>
          <w:kern w:val="0"/>
          <w:sz w:val="24"/>
          <w:szCs w:val="24"/>
        </w:rPr>
        <w:t>委</w:t>
      </w:r>
      <w:r>
        <w:rPr>
          <w:rFonts w:ascii="微软雅黑" w:hAnsi="微软雅黑" w:eastAsia="微软雅黑"/>
          <w:kern w:val="0"/>
          <w:sz w:val="24"/>
          <w:szCs w:val="24"/>
        </w:rPr>
        <w:t>托代</w:t>
      </w:r>
      <w:r>
        <w:rPr>
          <w:rFonts w:ascii="微软雅黑" w:hAnsi="微软雅黑" w:eastAsia="微软雅黑"/>
          <w:spacing w:val="-3"/>
          <w:kern w:val="0"/>
          <w:sz w:val="24"/>
          <w:szCs w:val="24"/>
        </w:rPr>
        <w:t>理</w:t>
      </w:r>
      <w:r>
        <w:rPr>
          <w:rFonts w:ascii="微软雅黑" w:hAnsi="微软雅黑" w:eastAsia="微软雅黑"/>
          <w:kern w:val="0"/>
          <w:sz w:val="24"/>
          <w:szCs w:val="24"/>
        </w:rPr>
        <w:t>人</w:t>
      </w:r>
      <w:r>
        <w:rPr>
          <w:rFonts w:ascii="微软雅黑" w:hAnsi="微软雅黑" w:eastAsia="微软雅黑"/>
          <w:spacing w:val="-3"/>
          <w:kern w:val="0"/>
          <w:sz w:val="24"/>
          <w:szCs w:val="24"/>
        </w:rPr>
        <w:t>身</w:t>
      </w:r>
      <w:r>
        <w:rPr>
          <w:rFonts w:ascii="微软雅黑" w:hAnsi="微软雅黑" w:eastAsia="微软雅黑"/>
          <w:kern w:val="0"/>
          <w:sz w:val="24"/>
          <w:szCs w:val="24"/>
        </w:rPr>
        <w:t>份</w:t>
      </w:r>
      <w:r>
        <w:rPr>
          <w:rFonts w:ascii="微软雅黑" w:hAnsi="微软雅黑" w:eastAsia="微软雅黑"/>
          <w:spacing w:val="-3"/>
          <w:kern w:val="0"/>
          <w:sz w:val="24"/>
          <w:szCs w:val="24"/>
        </w:rPr>
        <w:t>证</w:t>
      </w:r>
      <w:r>
        <w:rPr>
          <w:rFonts w:ascii="微软雅黑" w:hAnsi="微软雅黑" w:eastAsia="微软雅黑"/>
          <w:kern w:val="0"/>
          <w:sz w:val="24"/>
          <w:szCs w:val="24"/>
        </w:rPr>
        <w:t>复</w:t>
      </w:r>
      <w:r>
        <w:rPr>
          <w:rFonts w:ascii="微软雅黑" w:hAnsi="微软雅黑" w:eastAsia="微软雅黑"/>
          <w:spacing w:val="-3"/>
          <w:kern w:val="0"/>
          <w:sz w:val="24"/>
          <w:szCs w:val="24"/>
        </w:rPr>
        <w:t>印</w:t>
      </w:r>
      <w:r>
        <w:rPr>
          <w:rFonts w:ascii="微软雅黑" w:hAnsi="微软雅黑" w:eastAsia="微软雅黑"/>
          <w:kern w:val="0"/>
          <w:sz w:val="24"/>
          <w:szCs w:val="24"/>
        </w:rPr>
        <w:t>件</w:t>
      </w:r>
    </w:p>
    <w:p>
      <w:pPr>
        <w:tabs>
          <w:tab w:val="left" w:pos="142"/>
        </w:tabs>
        <w:spacing w:before="36"/>
        <w:ind w:left="420" w:leftChars="200" w:right="11"/>
        <w:jc w:val="left"/>
        <w:rPr>
          <w:rFonts w:ascii="微软雅黑" w:hAnsi="微软雅黑" w:eastAsia="微软雅黑"/>
          <w:kern w:val="0"/>
          <w:sz w:val="24"/>
          <w:szCs w:val="24"/>
        </w:rPr>
      </w:pPr>
      <w:r>
        <w:rPr>
          <w:rFonts w:ascii="微软雅黑" w:hAnsi="微软雅黑" w:eastAsia="微软雅黑"/>
          <w:kern w:val="0"/>
          <w:sz w:val="24"/>
          <w:szCs w:val="24"/>
        </w:rPr>
        <w:t>注：本授权委托</w:t>
      </w:r>
      <w:r>
        <w:rPr>
          <w:rFonts w:ascii="微软雅黑" w:hAnsi="微软雅黑" w:eastAsia="微软雅黑"/>
          <w:spacing w:val="-3"/>
          <w:kern w:val="0"/>
          <w:sz w:val="24"/>
          <w:szCs w:val="24"/>
        </w:rPr>
        <w:t>书</w:t>
      </w:r>
      <w:r>
        <w:rPr>
          <w:rFonts w:ascii="微软雅黑" w:hAnsi="微软雅黑" w:eastAsia="微软雅黑"/>
          <w:kern w:val="0"/>
          <w:sz w:val="24"/>
          <w:szCs w:val="24"/>
        </w:rPr>
        <w:t>需由</w:t>
      </w:r>
      <w:r>
        <w:rPr>
          <w:rFonts w:hint="eastAsia" w:ascii="微软雅黑" w:hAnsi="微软雅黑" w:eastAsia="微软雅黑"/>
          <w:spacing w:val="-3"/>
          <w:kern w:val="0"/>
          <w:sz w:val="24"/>
          <w:szCs w:val="24"/>
        </w:rPr>
        <w:t>应答人</w:t>
      </w:r>
      <w:r>
        <w:rPr>
          <w:rFonts w:ascii="微软雅黑" w:hAnsi="微软雅黑" w:eastAsia="微软雅黑"/>
          <w:kern w:val="0"/>
          <w:sz w:val="24"/>
          <w:szCs w:val="24"/>
        </w:rPr>
        <w:t>加盖单位公</w:t>
      </w:r>
      <w:r>
        <w:rPr>
          <w:rFonts w:ascii="微软雅黑" w:hAnsi="微软雅黑" w:eastAsia="微软雅黑"/>
          <w:spacing w:val="-3"/>
          <w:kern w:val="0"/>
          <w:sz w:val="24"/>
          <w:szCs w:val="24"/>
        </w:rPr>
        <w:t>章</w:t>
      </w:r>
      <w:r>
        <w:rPr>
          <w:rFonts w:ascii="微软雅黑" w:hAnsi="微软雅黑" w:eastAsia="微软雅黑"/>
          <w:kern w:val="0"/>
          <w:sz w:val="24"/>
          <w:szCs w:val="24"/>
        </w:rPr>
        <w:t>并由</w:t>
      </w:r>
      <w:r>
        <w:rPr>
          <w:rFonts w:ascii="微软雅黑" w:hAnsi="微软雅黑" w:eastAsia="微软雅黑"/>
          <w:spacing w:val="-3"/>
          <w:kern w:val="0"/>
          <w:sz w:val="24"/>
          <w:szCs w:val="24"/>
        </w:rPr>
        <w:t>其</w:t>
      </w:r>
      <w:r>
        <w:rPr>
          <w:rFonts w:ascii="微软雅黑" w:hAnsi="微软雅黑" w:eastAsia="微软雅黑"/>
          <w:kern w:val="0"/>
          <w:sz w:val="24"/>
          <w:szCs w:val="24"/>
        </w:rPr>
        <w:t>法定代表人（单</w:t>
      </w:r>
      <w:r>
        <w:rPr>
          <w:rFonts w:ascii="微软雅黑" w:hAnsi="微软雅黑" w:eastAsia="微软雅黑"/>
          <w:spacing w:val="-3"/>
          <w:kern w:val="0"/>
          <w:sz w:val="24"/>
          <w:szCs w:val="24"/>
        </w:rPr>
        <w:t>位</w:t>
      </w:r>
      <w:r>
        <w:rPr>
          <w:rFonts w:ascii="微软雅黑" w:hAnsi="微软雅黑" w:eastAsia="微软雅黑"/>
          <w:kern w:val="0"/>
          <w:sz w:val="24"/>
          <w:szCs w:val="24"/>
        </w:rPr>
        <w:t>负责</w:t>
      </w:r>
      <w:r>
        <w:rPr>
          <w:rFonts w:ascii="微软雅黑" w:hAnsi="微软雅黑" w:eastAsia="微软雅黑"/>
          <w:spacing w:val="-3"/>
          <w:kern w:val="0"/>
          <w:sz w:val="24"/>
          <w:szCs w:val="24"/>
        </w:rPr>
        <w:t>人</w:t>
      </w:r>
      <w:r>
        <w:rPr>
          <w:rFonts w:ascii="微软雅黑" w:hAnsi="微软雅黑" w:eastAsia="微软雅黑"/>
          <w:kern w:val="0"/>
          <w:sz w:val="24"/>
          <w:szCs w:val="24"/>
        </w:rPr>
        <w:t>）和委托代理</w:t>
      </w:r>
      <w:r>
        <w:rPr>
          <w:rFonts w:ascii="微软雅黑" w:hAnsi="微软雅黑" w:eastAsia="微软雅黑"/>
          <w:spacing w:val="-2"/>
          <w:kern w:val="0"/>
          <w:sz w:val="24"/>
          <w:szCs w:val="24"/>
        </w:rPr>
        <w:t>人</w:t>
      </w:r>
      <w:r>
        <w:rPr>
          <w:rFonts w:ascii="微软雅黑" w:hAnsi="微软雅黑" w:eastAsia="微软雅黑"/>
          <w:kern w:val="0"/>
          <w:sz w:val="24"/>
          <w:szCs w:val="24"/>
        </w:rPr>
        <w:t>签字。</w:t>
      </w:r>
    </w:p>
    <w:p>
      <w:pPr>
        <w:tabs>
          <w:tab w:val="left" w:pos="142"/>
        </w:tabs>
        <w:ind w:right="11"/>
        <w:rPr>
          <w:rFonts w:ascii="微软雅黑" w:hAnsi="微软雅黑" w:eastAsia="微软雅黑"/>
          <w:sz w:val="20"/>
          <w:szCs w:val="20"/>
        </w:rPr>
      </w:pPr>
    </w:p>
    <w:p>
      <w:pPr>
        <w:tabs>
          <w:tab w:val="left" w:pos="142"/>
        </w:tabs>
        <w:ind w:right="11"/>
        <w:rPr>
          <w:rFonts w:ascii="微软雅黑" w:hAnsi="微软雅黑" w:eastAsia="微软雅黑"/>
          <w:sz w:val="24"/>
          <w:szCs w:val="24"/>
        </w:rPr>
      </w:pPr>
    </w:p>
    <w:p>
      <w:pPr>
        <w:wordWrap w:val="0"/>
        <w:spacing w:before="36" w:after="156" w:afterLines="50"/>
        <w:ind w:left="780" w:right="11" w:firstLine="480"/>
        <w:jc w:val="center"/>
        <w:rPr>
          <w:rFonts w:ascii="微软雅黑" w:hAnsi="微软雅黑" w:eastAsia="微软雅黑"/>
          <w:kern w:val="0"/>
          <w:sz w:val="24"/>
          <w:szCs w:val="24"/>
        </w:rPr>
      </w:pP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w:t>
      </w:r>
      <w:r>
        <w:rPr>
          <w:rFonts w:hint="eastAsia" w:ascii="微软雅黑" w:hAnsi="微软雅黑" w:eastAsia="微软雅黑"/>
          <w:spacing w:val="-3"/>
          <w:kern w:val="0"/>
          <w:sz w:val="24"/>
          <w:szCs w:val="24"/>
          <w:u w:val="single" w:color="000000"/>
        </w:rPr>
        <w:t xml:space="preserve">                                     </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7661"/>
        </w:tabs>
        <w:wordWrap w:val="0"/>
        <w:spacing w:before="36" w:after="156" w:afterLines="50"/>
        <w:ind w:right="11" w:firstLine="1440" w:firstLineChars="600"/>
        <w:rPr>
          <w:rFonts w:ascii="微软雅黑" w:hAnsi="微软雅黑" w:eastAsia="微软雅黑"/>
          <w:kern w:val="0"/>
          <w:sz w:val="24"/>
          <w:szCs w:val="24"/>
        </w:rPr>
      </w:pPr>
      <w:r>
        <w:rPr>
          <w:rFonts w:ascii="微软雅黑" w:hAnsi="微软雅黑" w:eastAsia="微软雅黑"/>
          <w:kern w:val="0"/>
          <w:sz w:val="24"/>
          <w:szCs w:val="24"/>
        </w:rPr>
        <w:t>法定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w:t>
      </w:r>
      <w:r>
        <w:rPr>
          <w:rFonts w:ascii="微软雅黑" w:hAnsi="微软雅黑" w:eastAsia="微软雅黑"/>
          <w:spacing w:val="-3"/>
          <w:kern w:val="0"/>
          <w:sz w:val="24"/>
          <w:szCs w:val="24"/>
        </w:rPr>
        <w:t>人</w:t>
      </w:r>
      <w:r>
        <w:rPr>
          <w:rFonts w:ascii="微软雅黑" w:hAnsi="微软雅黑" w:eastAsia="微软雅黑"/>
          <w:spacing w:val="-108"/>
          <w:kern w:val="0"/>
          <w:sz w:val="24"/>
          <w:szCs w:val="24"/>
        </w:rPr>
        <w:t>）</w:t>
      </w:r>
      <w:r>
        <w:rPr>
          <w:rFonts w:ascii="微软雅黑" w:hAnsi="微软雅黑" w:eastAsia="微软雅黑"/>
          <w:spacing w:val="-1"/>
          <w:kern w:val="0"/>
          <w:sz w:val="24"/>
          <w:szCs w:val="24"/>
        </w:rPr>
        <w:t>：</w:t>
      </w:r>
      <w:r>
        <w:rPr>
          <w:rFonts w:hint="eastAsia" w:ascii="微软雅黑" w:hAnsi="微软雅黑" w:eastAsia="微软雅黑"/>
          <w:spacing w:val="-1"/>
          <w:kern w:val="0"/>
          <w:sz w:val="24"/>
          <w:szCs w:val="24"/>
          <w:u w:val="single" w:color="000000"/>
        </w:rPr>
        <w:t xml:space="preserve">                         </w:t>
      </w:r>
      <w:r>
        <w:rPr>
          <w:rFonts w:ascii="微软雅黑" w:hAnsi="微软雅黑" w:eastAsia="微软雅黑"/>
          <w:kern w:val="0"/>
          <w:sz w:val="24"/>
          <w:szCs w:val="24"/>
        </w:rPr>
        <w:t>（签</w:t>
      </w:r>
      <w:r>
        <w:rPr>
          <w:rFonts w:ascii="微软雅黑" w:hAnsi="微软雅黑" w:eastAsia="微软雅黑"/>
          <w:spacing w:val="-3"/>
          <w:kern w:val="0"/>
          <w:sz w:val="24"/>
          <w:szCs w:val="24"/>
        </w:rPr>
        <w:t>字</w:t>
      </w:r>
      <w:r>
        <w:rPr>
          <w:rFonts w:ascii="微软雅黑" w:hAnsi="微软雅黑" w:eastAsia="微软雅黑"/>
          <w:kern w:val="0"/>
          <w:sz w:val="24"/>
          <w:szCs w:val="24"/>
        </w:rPr>
        <w:t>）</w:t>
      </w:r>
    </w:p>
    <w:p>
      <w:pPr>
        <w:tabs>
          <w:tab w:val="left" w:pos="8501"/>
        </w:tabs>
        <w:wordWrap w:val="0"/>
        <w:spacing w:before="36" w:after="156" w:afterLines="50"/>
        <w:ind w:left="780" w:right="11" w:firstLine="480"/>
        <w:jc w:val="right"/>
        <w:rPr>
          <w:rFonts w:ascii="微软雅黑" w:hAnsi="微软雅黑" w:eastAsia="微软雅黑"/>
          <w:kern w:val="0"/>
          <w:sz w:val="24"/>
          <w:szCs w:val="24"/>
        </w:rPr>
      </w:pPr>
      <w:r>
        <w:rPr>
          <w:rFonts w:hint="eastAsia" w:ascii="微软雅黑" w:hAnsi="微软雅黑" w:eastAsia="微软雅黑"/>
          <w:kern w:val="0"/>
          <w:sz w:val="24"/>
          <w:szCs w:val="24"/>
        </w:rPr>
        <w:t xml:space="preserve"> </w:t>
      </w:r>
      <w:r>
        <w:rPr>
          <w:rFonts w:ascii="微软雅黑" w:hAnsi="微软雅黑" w:eastAsia="微软雅黑"/>
          <w:kern w:val="0"/>
          <w:sz w:val="24"/>
          <w:szCs w:val="24"/>
        </w:rPr>
        <w:t>身份</w:t>
      </w:r>
      <w:r>
        <w:rPr>
          <w:rFonts w:ascii="微软雅黑" w:hAnsi="微软雅黑" w:eastAsia="微软雅黑"/>
          <w:spacing w:val="-3"/>
          <w:kern w:val="0"/>
          <w:sz w:val="24"/>
          <w:szCs w:val="24"/>
        </w:rPr>
        <w:t>证</w:t>
      </w:r>
      <w:r>
        <w:rPr>
          <w:rFonts w:ascii="微软雅黑" w:hAnsi="微软雅黑" w:eastAsia="微软雅黑"/>
          <w:kern w:val="0"/>
          <w:sz w:val="24"/>
          <w:szCs w:val="24"/>
        </w:rPr>
        <w:t>号</w:t>
      </w:r>
      <w:r>
        <w:rPr>
          <w:rFonts w:ascii="微软雅黑" w:hAnsi="微软雅黑" w:eastAsia="微软雅黑"/>
          <w:spacing w:val="-3"/>
          <w:kern w:val="0"/>
          <w:sz w:val="24"/>
          <w:szCs w:val="24"/>
        </w:rPr>
        <w:t>码：</w:t>
      </w:r>
      <w:r>
        <w:rPr>
          <w:rFonts w:hint="eastAsia" w:ascii="微软雅黑" w:hAnsi="微软雅黑" w:eastAsia="微软雅黑"/>
          <w:w w:val="225"/>
          <w:kern w:val="0"/>
          <w:sz w:val="24"/>
          <w:szCs w:val="24"/>
          <w:u w:val="single" w:color="000000"/>
        </w:rPr>
        <w:t xml:space="preserve">                    </w:t>
      </w:r>
    </w:p>
    <w:p>
      <w:pPr>
        <w:tabs>
          <w:tab w:val="left" w:pos="7661"/>
        </w:tabs>
        <w:wordWrap w:val="0"/>
        <w:spacing w:before="36" w:after="156" w:afterLines="50"/>
        <w:ind w:left="780" w:right="11" w:firstLine="480"/>
        <w:jc w:val="right"/>
        <w:rPr>
          <w:rFonts w:ascii="微软雅黑" w:hAnsi="微软雅黑" w:eastAsia="微软雅黑"/>
          <w:kern w:val="0"/>
          <w:sz w:val="24"/>
          <w:szCs w:val="24"/>
        </w:rPr>
      </w:pPr>
      <w:r>
        <w:rPr>
          <w:rFonts w:ascii="微软雅黑" w:hAnsi="微软雅黑" w:eastAsia="微软雅黑"/>
          <w:kern w:val="0"/>
          <w:sz w:val="24"/>
          <w:szCs w:val="24"/>
        </w:rPr>
        <w:t>委托</w:t>
      </w:r>
      <w:r>
        <w:rPr>
          <w:rFonts w:ascii="微软雅黑" w:hAnsi="微软雅黑" w:eastAsia="微软雅黑"/>
          <w:spacing w:val="-3"/>
          <w:kern w:val="0"/>
          <w:sz w:val="24"/>
          <w:szCs w:val="24"/>
        </w:rPr>
        <w:t>代</w:t>
      </w:r>
      <w:r>
        <w:rPr>
          <w:rFonts w:ascii="微软雅黑" w:hAnsi="微软雅黑" w:eastAsia="微软雅黑"/>
          <w:kern w:val="0"/>
          <w:sz w:val="24"/>
          <w:szCs w:val="24"/>
        </w:rPr>
        <w:t>理</w:t>
      </w:r>
      <w:r>
        <w:rPr>
          <w:rFonts w:ascii="微软雅黑" w:hAnsi="微软雅黑" w:eastAsia="微软雅黑"/>
          <w:spacing w:val="-3"/>
          <w:kern w:val="0"/>
          <w:sz w:val="24"/>
          <w:szCs w:val="24"/>
        </w:rPr>
        <w:t>人：</w:t>
      </w:r>
      <w:r>
        <w:rPr>
          <w:rFonts w:hint="eastAsia" w:ascii="微软雅黑" w:hAnsi="微软雅黑" w:eastAsia="微软雅黑"/>
          <w:spacing w:val="-3"/>
          <w:kern w:val="0"/>
          <w:sz w:val="24"/>
          <w:szCs w:val="24"/>
          <w:u w:val="single"/>
        </w:rPr>
        <w:t xml:space="preserve">                                      </w:t>
      </w:r>
      <w:r>
        <w:rPr>
          <w:rFonts w:ascii="微软雅黑" w:hAnsi="微软雅黑" w:eastAsia="微软雅黑"/>
          <w:kern w:val="0"/>
          <w:sz w:val="24"/>
          <w:szCs w:val="24"/>
        </w:rPr>
        <w:t>（签</w:t>
      </w:r>
      <w:r>
        <w:rPr>
          <w:rFonts w:ascii="微软雅黑" w:hAnsi="微软雅黑" w:eastAsia="微软雅黑"/>
          <w:spacing w:val="-3"/>
          <w:kern w:val="0"/>
          <w:sz w:val="24"/>
          <w:szCs w:val="24"/>
        </w:rPr>
        <w:t>字</w:t>
      </w:r>
      <w:r>
        <w:rPr>
          <w:rFonts w:ascii="微软雅黑" w:hAnsi="微软雅黑" w:eastAsia="微软雅黑"/>
          <w:kern w:val="0"/>
          <w:sz w:val="24"/>
          <w:szCs w:val="24"/>
        </w:rPr>
        <w:t>）</w:t>
      </w:r>
    </w:p>
    <w:p>
      <w:pPr>
        <w:tabs>
          <w:tab w:val="left" w:pos="142"/>
          <w:tab w:val="left" w:pos="8501"/>
        </w:tabs>
        <w:wordWrap w:val="0"/>
        <w:spacing w:before="36" w:after="156" w:afterLines="50"/>
        <w:ind w:left="780" w:right="11" w:firstLine="480"/>
        <w:jc w:val="right"/>
        <w:rPr>
          <w:rFonts w:ascii="微软雅黑" w:hAnsi="微软雅黑" w:eastAsia="微软雅黑"/>
          <w:kern w:val="0"/>
          <w:sz w:val="24"/>
          <w:szCs w:val="24"/>
        </w:rPr>
      </w:pPr>
      <w:r>
        <w:rPr>
          <w:rFonts w:ascii="微软雅黑" w:hAnsi="微软雅黑" w:eastAsia="微软雅黑"/>
          <w:kern w:val="0"/>
          <w:sz w:val="24"/>
          <w:szCs w:val="24"/>
        </w:rPr>
        <w:t xml:space="preserve">  身份</w:t>
      </w:r>
      <w:r>
        <w:rPr>
          <w:rFonts w:ascii="微软雅黑" w:hAnsi="微软雅黑" w:eastAsia="微软雅黑"/>
          <w:spacing w:val="-3"/>
          <w:kern w:val="0"/>
          <w:sz w:val="24"/>
          <w:szCs w:val="24"/>
        </w:rPr>
        <w:t>证</w:t>
      </w:r>
      <w:r>
        <w:rPr>
          <w:rFonts w:ascii="微软雅黑" w:hAnsi="微软雅黑" w:eastAsia="微软雅黑"/>
          <w:kern w:val="0"/>
          <w:sz w:val="24"/>
          <w:szCs w:val="24"/>
        </w:rPr>
        <w:t>号</w:t>
      </w:r>
      <w:r>
        <w:rPr>
          <w:rFonts w:ascii="微软雅黑" w:hAnsi="微软雅黑" w:eastAsia="微软雅黑"/>
          <w:spacing w:val="-3"/>
          <w:kern w:val="0"/>
          <w:sz w:val="24"/>
          <w:szCs w:val="24"/>
        </w:rPr>
        <w:t>码：</w:t>
      </w:r>
      <w:r>
        <w:rPr>
          <w:rFonts w:hint="eastAsia" w:ascii="微软雅黑" w:hAnsi="微软雅黑" w:eastAsia="微软雅黑"/>
          <w:spacing w:val="-3"/>
          <w:kern w:val="0"/>
          <w:sz w:val="24"/>
          <w:szCs w:val="24"/>
          <w:u w:val="single"/>
        </w:rPr>
        <w:t xml:space="preserve">                                               </w:t>
      </w:r>
    </w:p>
    <w:p>
      <w:pPr>
        <w:tabs>
          <w:tab w:val="left" w:pos="142"/>
          <w:tab w:val="left" w:pos="6643"/>
          <w:tab w:val="left" w:pos="7589"/>
          <w:tab w:val="left" w:pos="8533"/>
        </w:tabs>
        <w:wordWrap w:val="0"/>
        <w:spacing w:before="36" w:after="156" w:afterLines="50"/>
        <w:ind w:left="780" w:right="11" w:firstLine="480"/>
        <w:jc w:val="right"/>
      </w:pPr>
      <w:r>
        <w:rPr>
          <w:rFonts w:hint="eastAsia" w:ascii="微软雅黑" w:hAnsi="微软雅黑" w:eastAsia="微软雅黑"/>
          <w:kern w:val="0"/>
          <w:sz w:val="24"/>
          <w:szCs w:val="24"/>
          <w:u w:val="single" w:color="000000"/>
        </w:rPr>
        <w:t xml:space="preserve">        </w:t>
      </w:r>
      <w:r>
        <w:rPr>
          <w:rFonts w:hint="eastAsia" w:ascii="微软雅黑" w:hAnsi="微软雅黑" w:eastAsia="微软雅黑"/>
          <w:kern w:val="0"/>
          <w:sz w:val="24"/>
          <w:szCs w:val="24"/>
        </w:rPr>
        <w:t>年</w:t>
      </w:r>
      <w:r>
        <w:rPr>
          <w:rFonts w:hint="eastAsia" w:ascii="微软雅黑" w:hAnsi="微软雅黑" w:eastAsia="微软雅黑"/>
          <w:kern w:val="0"/>
          <w:sz w:val="24"/>
          <w:szCs w:val="24"/>
          <w:u w:val="single" w:color="000000"/>
        </w:rPr>
        <w:t xml:space="preserve">        </w:t>
      </w:r>
      <w:r>
        <w:rPr>
          <w:rFonts w:ascii="微软雅黑" w:hAnsi="微软雅黑" w:eastAsia="微软雅黑"/>
          <w:spacing w:val="-3"/>
          <w:kern w:val="0"/>
          <w:sz w:val="24"/>
          <w:szCs w:val="24"/>
        </w:rPr>
        <w:t>月</w:t>
      </w:r>
      <w:r>
        <w:rPr>
          <w:rFonts w:hint="eastAsia" w:ascii="微软雅黑" w:hAnsi="微软雅黑" w:eastAsia="微软雅黑"/>
          <w:kern w:val="0"/>
          <w:sz w:val="24"/>
          <w:szCs w:val="24"/>
          <w:u w:val="single" w:color="000000"/>
        </w:rPr>
        <w:t xml:space="preserve">        </w:t>
      </w:r>
      <w:r>
        <w:rPr>
          <w:rFonts w:ascii="微软雅黑" w:hAnsi="微软雅黑" w:eastAsia="微软雅黑"/>
          <w:kern w:val="0"/>
          <w:sz w:val="24"/>
          <w:szCs w:val="24"/>
        </w:rPr>
        <w:t>日</w:t>
      </w:r>
    </w:p>
    <w:p>
      <w:pPr>
        <w:pStyle w:val="4"/>
        <w:spacing w:line="240" w:lineRule="auto"/>
        <w:ind w:left="2891" w:hanging="2891" w:hangingChars="1200"/>
        <w:rPr>
          <w:rFonts w:hint="eastAsia" w:ascii="黑体" w:hAnsi="黑体"/>
          <w:bCs/>
          <w:color w:val="000000" w:themeColor="text1"/>
          <w:sz w:val="24"/>
          <w:szCs w:val="24"/>
          <w14:textFill>
            <w14:solidFill>
              <w14:schemeClr w14:val="tx1"/>
            </w14:solidFill>
          </w14:textFill>
        </w:rPr>
      </w:pPr>
      <w:r>
        <w:rPr>
          <w:rFonts w:hint="eastAsia" w:ascii="黑体" w:hAnsi="黑体"/>
          <w:bCs/>
          <w:color w:val="000000" w:themeColor="text1"/>
          <w:sz w:val="24"/>
          <w:szCs w:val="24"/>
          <w14:textFill>
            <w14:solidFill>
              <w14:schemeClr w14:val="tx1"/>
            </w14:solidFill>
          </w14:textFill>
        </w:rPr>
        <w:t>5.4：专业资质</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4"/>
        <w:spacing w:line="240" w:lineRule="auto"/>
        <w:ind w:left="2891" w:hanging="2891" w:hangingChars="1200"/>
        <w:rPr>
          <w:rFonts w:ascii="黑体" w:hAnsi="黑体"/>
          <w:bCs/>
          <w:color w:val="000000" w:themeColor="text1"/>
          <w:sz w:val="24"/>
          <w:szCs w:val="24"/>
          <w14:textFill>
            <w14:solidFill>
              <w14:schemeClr w14:val="tx1"/>
            </w14:solidFill>
          </w14:textFill>
        </w:rPr>
      </w:pPr>
      <w:r>
        <w:rPr>
          <w:rFonts w:hint="eastAsia" w:ascii="黑体" w:hAnsi="黑体"/>
          <w:bCs/>
          <w:color w:val="000000" w:themeColor="text1"/>
          <w:sz w:val="24"/>
          <w:szCs w:val="24"/>
          <w14:textFill>
            <w14:solidFill>
              <w14:schemeClr w14:val="tx1"/>
            </w14:solidFill>
          </w14:textFill>
        </w:rPr>
        <w:t>5.6：股权证明文件</w:t>
      </w:r>
    </w:p>
    <w:p/>
    <w:p>
      <w:pPr>
        <w:keepNext/>
        <w:keepLines/>
        <w:ind w:left="2524" w:leftChars="1202"/>
        <w:rPr>
          <w:rFonts w:asciiTheme="minorEastAsia" w:hAnsiTheme="minorEastAsia"/>
        </w:rPr>
      </w:pPr>
      <w:r>
        <w:rPr>
          <w:rFonts w:hint="eastAsia" w:ascii="宋体" w:hAnsi="宋体" w:eastAsia="宋体" w:cs="宋体"/>
          <w:sz w:val="24"/>
        </w:rPr>
        <w:t>股权证明文件</w:t>
      </w:r>
    </w:p>
    <w:p>
      <w:pPr>
        <w:keepNext/>
        <w:keepLines/>
        <w:spacing w:line="360" w:lineRule="auto"/>
        <w:ind w:firstLine="480" w:firstLineChars="200"/>
        <w:rPr>
          <w:rFonts w:ascii="宋体" w:hAnsi="宋体" w:eastAsia="宋体" w:cs="宋体"/>
          <w:sz w:val="24"/>
        </w:rPr>
      </w:pPr>
      <w:r>
        <w:rPr>
          <w:rFonts w:hint="eastAsia" w:ascii="宋体" w:hAnsi="宋体" w:eastAsia="宋体" w:cs="宋体"/>
          <w:sz w:val="24"/>
        </w:rPr>
        <w:t>（应答人应在应答文件中提供其公司章程或其他能够体现出资人、股东信息的法定文件，此证明文件将作为评标/评审时的依据。）</w:t>
      </w:r>
    </w:p>
    <w:p/>
    <w:p/>
    <w:p/>
    <w:p>
      <w:pPr>
        <w:jc w:val="left"/>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42"/>
        <w:rPr>
          <w:rFonts w:ascii="黑体" w:hAnsi="黑体" w:eastAsia="黑体"/>
          <w:b/>
          <w:bCs/>
          <w:color w:val="000000" w:themeColor="text1"/>
          <w:sz w:val="24"/>
          <w:szCs w:val="24"/>
          <w14:textFill>
            <w14:solidFill>
              <w14:schemeClr w14:val="tx1"/>
            </w14:solidFill>
          </w14:textFill>
        </w:rPr>
      </w:pPr>
    </w:p>
    <w:p/>
    <w:p>
      <w:pPr>
        <w:rPr>
          <w:rFonts w:ascii="黑体" w:hAnsi="黑体" w:eastAsia="黑体"/>
          <w:b/>
          <w:bCs/>
          <w:color w:val="000000" w:themeColor="text1"/>
          <w:sz w:val="24"/>
          <w:szCs w:val="24"/>
          <w14:textFill>
            <w14:solidFill>
              <w14:schemeClr w14:val="tx1"/>
            </w14:solidFill>
          </w14:textFill>
        </w:rPr>
      </w:pPr>
    </w:p>
    <w:p>
      <w:pPr>
        <w:jc w:val="left"/>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 xml:space="preserve">5.7：供应商承诺书              </w:t>
      </w:r>
    </w:p>
    <w:p>
      <w:pPr>
        <w:ind w:firstLine="3253" w:firstLineChars="900"/>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供应商承诺书</w:t>
      </w:r>
    </w:p>
    <w:p>
      <w:pPr>
        <w:rPr>
          <w:color w:val="000000" w:themeColor="text1"/>
          <w14:textFill>
            <w14:solidFill>
              <w14:schemeClr w14:val="tx1"/>
            </w14:solidFill>
          </w14:textFill>
        </w:rPr>
      </w:pPr>
    </w:p>
    <w:p>
      <w:pPr>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中海油能源发展股份有限公司：</w:t>
      </w:r>
    </w:p>
    <w:p>
      <w:pPr>
        <w:spacing w:line="360" w:lineRule="auto"/>
        <w:ind w:firstLine="42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我公司/单位对以下情况经认真核查后确认及承诺如下：</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1、经查询“信用中国”网站（https://www.creditchina.gov.cn/）或“中国执行信息公开网”网站（http://zxgk.court.gov.cn/），我公司未被列入失信被执行人名单；</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2、经查询“国家企业信用信息公示系统”（http://www.gsxt.gov.cn），我公司未被列入严重违法失信企业名单；</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3、经查询“中国裁判文书网”（http://wenshu.court.gov.cn），我公司近三年不存在行贿犯罪记录；</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4、我公司与本采购项目其他应答人不存在控股关系或管理关系、单位负责人为同一人，同一自然人同时持有两家公司非公开上市股份的情形。</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5、经确认，我公司不存在中国海油员工（不含中国海油正式派出的）、海油发展离职未满三年的员工在我公司担任股东、法人代表、董事、监事和其他任职人员。</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6、我公司如涉及雇用农民工，承诺与农民工签订劳动合同，及时、足额发放工资、缴纳社会保险费用。</w:t>
      </w:r>
    </w:p>
    <w:p>
      <w:pPr>
        <w:pStyle w:val="10"/>
        <w:ind w:left="0" w:firstLine="420" w:firstLineChars="200"/>
        <w:rPr>
          <w:lang w:eastAsia="zh-CN"/>
        </w:rPr>
      </w:pPr>
      <w:r>
        <w:rPr>
          <w:rFonts w:hint="eastAsia" w:cs="宋体"/>
          <w:color w:val="000000" w:themeColor="text1"/>
          <w:lang w:eastAsia="zh-CN"/>
          <w14:textFill>
            <w14:solidFill>
              <w14:schemeClr w14:val="tx1"/>
            </w14:solidFill>
          </w14:textFill>
        </w:rPr>
        <w:t>7、我公司承诺</w:t>
      </w:r>
      <w:r>
        <w:rPr>
          <w:rFonts w:hint="eastAsia" w:cs="宋体"/>
          <w:lang w:eastAsia="zh-CN"/>
        </w:rPr>
        <w:t>积极响应国家节能减排和绿色环保政策，切实推进绿色供应链建设。</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8、我公司此次投标涉及供应商属性为：</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 xml:space="preserve">贸易商； </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代理商；</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服务商；</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 xml:space="preserve">制造商；    </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集成商。</w:t>
      </w:r>
    </w:p>
    <w:p>
      <w:pPr>
        <w:spacing w:line="360" w:lineRule="auto"/>
        <w:ind w:firstLine="420" w:firstLineChars="200"/>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9、我公司为：</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中小微企业；</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大型企业；</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国有企业、事业单位、大学；</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境外或港澳台企业。</w:t>
      </w:r>
    </w:p>
    <w:p>
      <w:pPr>
        <w:pStyle w:val="10"/>
        <w:ind w:left="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10、</w:t>
      </w:r>
      <w:r>
        <w:rPr>
          <w:color w:val="000000" w:themeColor="text1"/>
          <w:lang w:eastAsia="zh-CN"/>
          <w14:textFill>
            <w14:solidFill>
              <w14:schemeClr w14:val="tx1"/>
            </w14:solidFill>
          </w14:textFill>
        </w:rPr>
        <w:t>我公司财务状况、业绩状况、人员社保状况如下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贸易商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近一年财务状况</w:t>
            </w:r>
          </w:p>
        </w:tc>
        <w:tc>
          <w:tcPr>
            <w:tcW w:w="3100"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利润</w:t>
            </w:r>
          </w:p>
        </w:tc>
        <w:tc>
          <w:tcPr>
            <w:tcW w:w="1563" w:type="dxa"/>
            <w:vAlign w:val="center"/>
          </w:tcPr>
          <w:p>
            <w:pPr>
              <w:jc w:val="center"/>
              <w:rPr>
                <w:rFonts w:ascii="宋体" w:hAnsi="宋体"/>
                <w:b/>
                <w:bCs/>
                <w:color w:val="000000" w:themeColor="text1"/>
                <w:szCs w:val="21"/>
                <w14:textFill>
                  <w14:solidFill>
                    <w14:schemeClr w14:val="tx1"/>
                  </w14:solidFill>
                </w14:textFill>
              </w:rPr>
            </w:pPr>
          </w:p>
        </w:tc>
        <w:tc>
          <w:tcPr>
            <w:tcW w:w="3100" w:type="dxa"/>
            <w:vMerge w:val="restart"/>
            <w:vAlign w:val="center"/>
          </w:tcPr>
          <w:p>
            <w:pPr>
              <w:jc w:val="center"/>
              <w:rPr>
                <w:color w:val="000000" w:themeColor="text1"/>
                <w:szCs w:val="21"/>
                <w14:textFill>
                  <w14:solidFill>
                    <w14:schemeClr w14:val="tx1"/>
                  </w14:solidFill>
                </w14:textFill>
              </w:rPr>
            </w:pPr>
          </w:p>
        </w:tc>
        <w:tc>
          <w:tcPr>
            <w:tcW w:w="2558" w:type="dxa"/>
            <w:vMerge w:val="restart"/>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资产负债率</w:t>
            </w:r>
          </w:p>
        </w:tc>
        <w:tc>
          <w:tcPr>
            <w:tcW w:w="1563" w:type="dxa"/>
            <w:vAlign w:val="center"/>
          </w:tcPr>
          <w:p>
            <w:pPr>
              <w:jc w:val="center"/>
              <w:rPr>
                <w:rFonts w:ascii="宋体" w:hAnsi="宋体"/>
                <w:b/>
                <w:bCs/>
                <w:color w:val="000000" w:themeColor="text1"/>
                <w:szCs w:val="21"/>
                <w14:textFill>
                  <w14:solidFill>
                    <w14:schemeClr w14:val="tx1"/>
                  </w14:solidFill>
                </w14:textFill>
              </w:rPr>
            </w:pPr>
          </w:p>
        </w:tc>
        <w:tc>
          <w:tcPr>
            <w:tcW w:w="3100" w:type="dxa"/>
            <w:vMerge w:val="continue"/>
          </w:tcPr>
          <w:p>
            <w:pPr>
              <w:rPr>
                <w:color w:val="000000" w:themeColor="text1"/>
                <w:szCs w:val="21"/>
                <w14:textFill>
                  <w14:solidFill>
                    <w14:schemeClr w14:val="tx1"/>
                  </w14:solidFill>
                </w14:textFill>
              </w:rPr>
            </w:pPr>
          </w:p>
        </w:tc>
        <w:tc>
          <w:tcPr>
            <w:tcW w:w="2558" w:type="dxa"/>
            <w:vMerge w:val="continue"/>
          </w:tcPr>
          <w:p>
            <w:pPr>
              <w:rPr>
                <w:color w:val="000000" w:themeColor="text1"/>
                <w:szCs w:val="21"/>
                <w14:textFill>
                  <w14:solidFill>
                    <w14:schemeClr w14:val="tx1"/>
                  </w14:solidFill>
                </w14:textFill>
              </w:rPr>
            </w:pPr>
          </w:p>
        </w:tc>
      </w:tr>
    </w:tbl>
    <w:p>
      <w:pPr>
        <w:pStyle w:val="10"/>
        <w:ind w:left="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11、</w:t>
      </w:r>
      <w:r>
        <w:rPr>
          <w:color w:val="000000" w:themeColor="text1"/>
          <w:lang w:eastAsia="zh-CN"/>
          <w14:textFill>
            <w14:solidFill>
              <w14:schemeClr w14:val="tx1"/>
            </w14:solidFill>
          </w14:textFill>
        </w:rPr>
        <w:t>我公司财务状况、业绩状况、人员社保状况、代理状况如下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代理商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24"/>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151" w:type="dxa"/>
            <w:gridSpan w:val="2"/>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近一年财务状况</w:t>
            </w:r>
          </w:p>
        </w:tc>
        <w:tc>
          <w:tcPr>
            <w:tcW w:w="2346"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1444"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c>
          <w:tcPr>
            <w:tcW w:w="1060"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代理模式</w:t>
            </w:r>
          </w:p>
        </w:tc>
        <w:tc>
          <w:tcPr>
            <w:tcW w:w="1650"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利润</w:t>
            </w:r>
          </w:p>
        </w:tc>
        <w:tc>
          <w:tcPr>
            <w:tcW w:w="834" w:type="dxa"/>
            <w:vAlign w:val="center"/>
          </w:tcPr>
          <w:p>
            <w:pPr>
              <w:jc w:val="center"/>
              <w:rPr>
                <w:rFonts w:ascii="宋体" w:hAnsi="宋体"/>
                <w:b/>
                <w:bCs/>
                <w:color w:val="000000" w:themeColor="text1"/>
                <w:szCs w:val="21"/>
                <w14:textFill>
                  <w14:solidFill>
                    <w14:schemeClr w14:val="tx1"/>
                  </w14:solidFill>
                </w14:textFill>
              </w:rPr>
            </w:pPr>
          </w:p>
        </w:tc>
        <w:tc>
          <w:tcPr>
            <w:tcW w:w="2346" w:type="dxa"/>
            <w:vMerge w:val="restart"/>
            <w:vAlign w:val="center"/>
          </w:tcPr>
          <w:p>
            <w:pPr>
              <w:jc w:val="center"/>
              <w:rPr>
                <w:color w:val="000000" w:themeColor="text1"/>
                <w:szCs w:val="21"/>
                <w14:textFill>
                  <w14:solidFill>
                    <w14:schemeClr w14:val="tx1"/>
                  </w14:solidFill>
                </w14:textFill>
              </w:rPr>
            </w:pPr>
          </w:p>
        </w:tc>
        <w:tc>
          <w:tcPr>
            <w:tcW w:w="1444" w:type="dxa"/>
            <w:vMerge w:val="restart"/>
            <w:vAlign w:val="center"/>
          </w:tcPr>
          <w:p>
            <w:pPr>
              <w:jc w:val="center"/>
              <w:rPr>
                <w:color w:val="000000" w:themeColor="text1"/>
                <w:szCs w:val="21"/>
                <w14:textFill>
                  <w14:solidFill>
                    <w14:schemeClr w14:val="tx1"/>
                  </w14:solidFill>
                </w14:textFill>
              </w:rPr>
            </w:pPr>
          </w:p>
        </w:tc>
        <w:tc>
          <w:tcPr>
            <w:tcW w:w="1060" w:type="dxa"/>
            <w:vMerge w:val="restart"/>
            <w:vAlign w:val="center"/>
          </w:tcPr>
          <w:p>
            <w:pPr>
              <w:jc w:val="center"/>
              <w:rPr>
                <w:color w:val="000000" w:themeColor="text1"/>
                <w:szCs w:val="21"/>
                <w14:textFill>
                  <w14:solidFill>
                    <w14:schemeClr w14:val="tx1"/>
                  </w14:solidFill>
                </w14:textFill>
              </w:rPr>
            </w:pPr>
          </w:p>
        </w:tc>
        <w:tc>
          <w:tcPr>
            <w:tcW w:w="1650"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w:char="00A8"/>
            </w:r>
            <w:r>
              <w:rPr>
                <w:rFonts w:hint="eastAsia"/>
                <w:color w:val="000000" w:themeColor="text1"/>
                <w:szCs w:val="21"/>
                <w14:textFill>
                  <w14:solidFill>
                    <w14:schemeClr w14:val="tx1"/>
                  </w14:solidFill>
                </w14:textFill>
              </w:rPr>
              <w:t xml:space="preserve"> 是</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w:char="00A8"/>
            </w:r>
            <w:r>
              <w:rPr>
                <w:rFonts w:hint="eastAsia"/>
                <w:color w:val="000000" w:themeColor="text1"/>
                <w:szCs w:val="2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资产负债率</w:t>
            </w:r>
          </w:p>
        </w:tc>
        <w:tc>
          <w:tcPr>
            <w:tcW w:w="834" w:type="dxa"/>
          </w:tcPr>
          <w:p>
            <w:pPr>
              <w:rPr>
                <w:rFonts w:ascii="宋体" w:hAnsi="宋体"/>
                <w:b/>
                <w:bCs/>
                <w:color w:val="000000" w:themeColor="text1"/>
                <w:szCs w:val="21"/>
                <w14:textFill>
                  <w14:solidFill>
                    <w14:schemeClr w14:val="tx1"/>
                  </w14:solidFill>
                </w14:textFill>
              </w:rPr>
            </w:pPr>
          </w:p>
        </w:tc>
        <w:tc>
          <w:tcPr>
            <w:tcW w:w="2346" w:type="dxa"/>
            <w:vMerge w:val="continue"/>
          </w:tcPr>
          <w:p>
            <w:pPr>
              <w:rPr>
                <w:color w:val="000000" w:themeColor="text1"/>
                <w:szCs w:val="21"/>
                <w14:textFill>
                  <w14:solidFill>
                    <w14:schemeClr w14:val="tx1"/>
                  </w14:solidFill>
                </w14:textFill>
              </w:rPr>
            </w:pPr>
          </w:p>
        </w:tc>
        <w:tc>
          <w:tcPr>
            <w:tcW w:w="1444" w:type="dxa"/>
            <w:vMerge w:val="continue"/>
          </w:tcPr>
          <w:p>
            <w:pPr>
              <w:rPr>
                <w:color w:val="000000" w:themeColor="text1"/>
                <w:szCs w:val="21"/>
                <w14:textFill>
                  <w14:solidFill>
                    <w14:schemeClr w14:val="tx1"/>
                  </w14:solidFill>
                </w14:textFill>
              </w:rPr>
            </w:pPr>
          </w:p>
        </w:tc>
        <w:tc>
          <w:tcPr>
            <w:tcW w:w="1060" w:type="dxa"/>
            <w:vMerge w:val="continue"/>
          </w:tcPr>
          <w:p>
            <w:pPr>
              <w:rPr>
                <w:color w:val="000000" w:themeColor="text1"/>
                <w:szCs w:val="21"/>
                <w14:textFill>
                  <w14:solidFill>
                    <w14:schemeClr w14:val="tx1"/>
                  </w14:solidFill>
                </w14:textFill>
              </w:rPr>
            </w:pPr>
          </w:p>
        </w:tc>
        <w:tc>
          <w:tcPr>
            <w:tcW w:w="1650" w:type="dxa"/>
            <w:vMerge w:val="continue"/>
          </w:tcPr>
          <w:p>
            <w:pPr>
              <w:rPr>
                <w:color w:val="000000" w:themeColor="text1"/>
                <w:szCs w:val="21"/>
                <w14:textFill>
                  <w14:solidFill>
                    <w14:schemeClr w14:val="tx1"/>
                  </w14:solidFill>
                </w14:textFill>
              </w:rPr>
            </w:pPr>
          </w:p>
        </w:tc>
      </w:tr>
    </w:tbl>
    <w:p>
      <w:pPr>
        <w:pStyle w:val="10"/>
        <w:ind w:left="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12、</w:t>
      </w:r>
      <w:r>
        <w:rPr>
          <w:color w:val="000000" w:themeColor="text1"/>
          <w:lang w:eastAsia="zh-CN"/>
          <w14:textFill>
            <w14:solidFill>
              <w14:schemeClr w14:val="tx1"/>
            </w14:solidFill>
          </w14:textFill>
        </w:rPr>
        <w:t>我公司业绩状况、</w:t>
      </w:r>
      <w:r>
        <w:rPr>
          <w:rFonts w:hint="eastAsia"/>
          <w:color w:val="000000" w:themeColor="text1"/>
          <w:lang w:eastAsia="zh-CN"/>
          <w14:textFill>
            <w14:solidFill>
              <w14:schemeClr w14:val="tx1"/>
            </w14:solidFill>
          </w14:textFill>
        </w:rPr>
        <w:t>人员社保状况、实缴注册资本状况</w:t>
      </w:r>
      <w:r>
        <w:rPr>
          <w:color w:val="000000" w:themeColor="text1"/>
          <w:lang w:eastAsia="zh-CN"/>
          <w14:textFill>
            <w14:solidFill>
              <w14:schemeClr w14:val="tx1"/>
            </w14:solidFill>
          </w14:textFill>
        </w:rPr>
        <w:t>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服务商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2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2972"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c>
          <w:tcPr>
            <w:tcW w:w="3228"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Cs w:val="21"/>
                <w14:textFill>
                  <w14:solidFill>
                    <w14:schemeClr w14:val="tx1"/>
                  </w14:solidFill>
                </w14:textFill>
              </w:rPr>
            </w:pPr>
          </w:p>
        </w:tc>
        <w:tc>
          <w:tcPr>
            <w:tcW w:w="2552" w:type="dxa"/>
          </w:tcPr>
          <w:p>
            <w:pPr>
              <w:rPr>
                <w:b/>
                <w:color w:val="000000" w:themeColor="text1"/>
                <w:szCs w:val="21"/>
                <w14:textFill>
                  <w14:solidFill>
                    <w14:schemeClr w14:val="tx1"/>
                  </w14:solidFill>
                </w14:textFill>
              </w:rPr>
            </w:pPr>
          </w:p>
        </w:tc>
        <w:tc>
          <w:tcPr>
            <w:tcW w:w="3228" w:type="dxa"/>
          </w:tcPr>
          <w:p>
            <w:pPr>
              <w:rPr>
                <w:b/>
                <w:color w:val="000000" w:themeColor="text1"/>
                <w:szCs w:val="21"/>
                <w14:textFill>
                  <w14:solidFill>
                    <w14:schemeClr w14:val="tx1"/>
                  </w14:solidFill>
                </w14:textFill>
              </w:rPr>
            </w:pPr>
          </w:p>
        </w:tc>
      </w:tr>
    </w:tbl>
    <w:p>
      <w:pPr>
        <w:spacing w:line="348"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郑重承诺：</w:t>
      </w:r>
      <w:r>
        <w:rPr>
          <w:rFonts w:hint="eastAsia" w:ascii="宋体" w:hAnsi="宋体" w:eastAsia="宋体" w:cs="宋体"/>
          <w:color w:val="000000" w:themeColor="text1"/>
          <w:szCs w:val="21"/>
          <w14:textFill>
            <w14:solidFill>
              <w14:schemeClr w14:val="tx1"/>
            </w14:solidFill>
          </w14:textFill>
        </w:rPr>
        <w:t>我公司在本次采办项目中将严格遵守法律法规和中国海油各项管理要求，不发生关联公司共同参与采办竞争情况，不发生围标串标情况。我公司所提供信息真实、准确、合法、有效，不存在为规避中海油能源发展股份有限公司（简称“海油发展”）有关要求采取的变通行为；上述信息如有虚假我公司将承担相关责任，并按照海油发展相关管理规定接受处理。我公司将严格遵守国家相关法律法规以及海油发展对供应商管理及准入时效的要求，无条件接受和配合海油发展或海油发展委托的有关机构进行的与上述内容相关的核查与审计。当相关信息发生变更时将及时主动办理更新手续。</w:t>
      </w:r>
    </w:p>
    <w:p>
      <w:pPr>
        <w:pStyle w:val="10"/>
        <w:rPr>
          <w:color w:val="000000" w:themeColor="text1"/>
          <w:lang w:eastAsia="zh-CN"/>
          <w14:textFill>
            <w14:solidFill>
              <w14:schemeClr w14:val="tx1"/>
            </w14:solidFill>
          </w14:textFill>
        </w:rPr>
      </w:pPr>
    </w:p>
    <w:p>
      <w:pPr>
        <w:spacing w:line="348" w:lineRule="auto"/>
        <w:ind w:firstLine="540"/>
        <w:jc w:val="center"/>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（公司/单位盖章）</w:t>
      </w:r>
    </w:p>
    <w:p>
      <w:pPr>
        <w:spacing w:line="348" w:lineRule="auto"/>
        <w:jc w:val="right"/>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年    月    日</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“信用中国”或</w:t>
      </w:r>
      <w:r>
        <w:rPr>
          <w:rFonts w:hint="eastAsia" w:asciiTheme="minorEastAsia" w:hAnsiTheme="minorEastAsia" w:cstheme="minorEastAsia"/>
          <w:color w:val="000000" w:themeColor="text1"/>
          <w:szCs w:val="21"/>
          <w14:textFill>
            <w14:solidFill>
              <w14:schemeClr w14:val="tx1"/>
            </w14:solidFill>
          </w14:textFill>
        </w:rPr>
        <w:t>“中国执行信息公开网”网站查询截图：</w:t>
      </w:r>
    </w:p>
    <w:p>
      <w:pPr>
        <w:pStyle w:val="10"/>
        <w:rPr>
          <w:color w:val="000000" w:themeColor="text1"/>
          <w:lang w:eastAsia="zh-CN"/>
          <w14:textFill>
            <w14:solidFill>
              <w14:schemeClr w14:val="tx1"/>
            </w14:solidFill>
          </w14:textFill>
        </w:rPr>
      </w:pP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2：“中国裁判文书网”查询截图：</w:t>
      </w:r>
    </w:p>
    <w:p>
      <w:pPr>
        <w:pStyle w:val="10"/>
        <w:rPr>
          <w:color w:val="000000" w:themeColor="text1"/>
          <w:lang w:eastAsia="zh-CN"/>
          <w14:textFill>
            <w14:solidFill>
              <w14:schemeClr w14:val="tx1"/>
            </w14:solidFill>
          </w14:textFill>
        </w:rPr>
      </w:pPr>
    </w:p>
    <w:p>
      <w:pPr>
        <w:spacing w:line="360" w:lineRule="auto"/>
        <w:rPr>
          <w:rFonts w:cs="宋体" w:asciiTheme="minorEastAsia" w:hAnsi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3：“国家企业信用信息公示系统”查询截图：</w:t>
      </w:r>
    </w:p>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widowControl/>
        <w:jc w:val="left"/>
        <w:outlineLvl w:val="1"/>
        <w:rPr>
          <w:rFonts w:ascii="黑体" w:hAnsi="黑体" w:eastAsia="黑体"/>
          <w:b/>
          <w:bCs/>
          <w:sz w:val="24"/>
          <w:szCs w:val="24"/>
        </w:rPr>
      </w:pPr>
    </w:p>
    <w:p>
      <w:pPr>
        <w:widowControl/>
        <w:jc w:val="left"/>
        <w:outlineLvl w:val="1"/>
        <w:rPr>
          <w:rFonts w:ascii="黑体" w:hAnsi="黑体" w:eastAsia="黑体"/>
          <w:b/>
          <w:bCs/>
          <w:sz w:val="24"/>
          <w:szCs w:val="24"/>
        </w:rPr>
      </w:pPr>
    </w:p>
    <w:p>
      <w:pPr>
        <w:widowControl/>
        <w:jc w:val="left"/>
        <w:outlineLvl w:val="1"/>
        <w:rPr>
          <w:rFonts w:ascii="黑体" w:hAnsi="黑体" w:eastAsia="黑体"/>
          <w:b/>
          <w:bCs/>
          <w:sz w:val="24"/>
          <w:szCs w:val="24"/>
        </w:rPr>
      </w:pPr>
    </w:p>
    <w:p>
      <w:pPr>
        <w:pStyle w:val="58"/>
        <w:adjustRightInd/>
        <w:jc w:val="both"/>
        <w:outlineLvl w:val="1"/>
        <w:rPr>
          <w:rFonts w:ascii="黑体" w:hAnsi="黑体" w:eastAsia="黑体" w:cstheme="minorBidi"/>
          <w:b/>
          <w:bCs/>
          <w:color w:val="000000" w:themeColor="text1"/>
          <w:kern w:val="2"/>
          <w14:textFill>
            <w14:solidFill>
              <w14:schemeClr w14:val="tx1"/>
            </w14:solidFill>
          </w14:textFill>
        </w:rPr>
      </w:pPr>
      <w:r>
        <w:rPr>
          <w:rFonts w:hint="eastAsia" w:ascii="黑体" w:hAnsi="黑体" w:eastAsia="黑体" w:cstheme="minorBidi"/>
          <w:b/>
          <w:bCs/>
          <w:color w:val="000000" w:themeColor="text1"/>
          <w:kern w:val="2"/>
          <w14:textFill>
            <w14:solidFill>
              <w14:schemeClr w14:val="tx1"/>
            </w14:solidFill>
          </w14:textFill>
        </w:rPr>
        <w:t>5.11：商务偏离表</w:t>
      </w:r>
    </w:p>
    <w:p>
      <w:pPr>
        <w:pStyle w:val="58"/>
        <w:adjustRightInd/>
        <w:jc w:val="center"/>
        <w:rPr>
          <w:rFonts w:hAnsi="宋体" w:eastAsiaTheme="minorEastAsia" w:cstheme="minorBidi"/>
          <w:kern w:val="2"/>
          <w:sz w:val="21"/>
          <w:szCs w:val="22"/>
        </w:rPr>
      </w:pPr>
      <w:r>
        <w:rPr>
          <w:rFonts w:hint="eastAsia" w:hAnsi="宋体"/>
          <w:b/>
          <w:sz w:val="21"/>
          <w:szCs w:val="21"/>
        </w:rPr>
        <w:t>商务偏离条款</w:t>
      </w:r>
      <w:r>
        <w:rPr>
          <w:rFonts w:hint="eastAsia" w:hAnsi="宋体" w:eastAsiaTheme="minorEastAsia" w:cstheme="minorBidi"/>
          <w:kern w:val="2"/>
          <w:sz w:val="21"/>
          <w:szCs w:val="22"/>
        </w:rPr>
        <w:t>（内容仅供参考，具体业务具体编制）</w:t>
      </w:r>
    </w:p>
    <w:p>
      <w:pPr>
        <w:pStyle w:val="58"/>
        <w:adjustRightInd/>
        <w:jc w:val="center"/>
        <w:rPr>
          <w:rFonts w:hAnsi="宋体"/>
          <w:b/>
          <w:sz w:val="21"/>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注：如果应答人对询价文件的商务条款有异议，请在此处一一列出，应答人的商务偏离条款将作为评标的依据之一；如若没有异议请标明“无”，否则视为放弃。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pPr>
    </w:p>
    <w:p/>
    <w:p>
      <w:pPr>
        <w:pStyle w:val="7"/>
      </w:pPr>
    </w:p>
    <w:p/>
    <w:p>
      <w:pPr>
        <w:pStyle w:val="7"/>
      </w:pPr>
    </w:p>
    <w:p/>
    <w:p>
      <w:pPr>
        <w:pStyle w:val="7"/>
      </w:pPr>
    </w:p>
    <w:p/>
    <w:p>
      <w:pPr>
        <w:pStyle w:val="7"/>
      </w:pPr>
    </w:p>
    <w:p/>
    <w:p>
      <w:pPr>
        <w:jc w:val="left"/>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br w:type="page"/>
      </w:r>
    </w:p>
    <w:p/>
    <w:p>
      <w:pPr>
        <w:pStyle w:val="7"/>
        <w:ind w:firstLine="0" w:firstLineChars="0"/>
      </w:pPr>
    </w:p>
    <w:p>
      <w:pPr>
        <w:pStyle w:val="7"/>
        <w:ind w:firstLine="0" w:firstLineChars="0"/>
      </w:pPr>
    </w:p>
    <w:p>
      <w:pPr>
        <w:pStyle w:val="7"/>
        <w:ind w:firstLine="0" w:firstLineChars="0"/>
      </w:pPr>
    </w:p>
    <w:p>
      <w:pPr>
        <w:widowControl/>
        <w:rPr>
          <w:rFonts w:ascii="黑体" w:hAnsi="黑体" w:eastAsia="黑体"/>
          <w:b/>
          <w:bCs/>
          <w:sz w:val="24"/>
          <w:szCs w:val="24"/>
        </w:rPr>
      </w:pPr>
      <w:r>
        <w:rPr>
          <w:rFonts w:hint="eastAsia" w:ascii="黑体" w:hAnsi="黑体" w:eastAsia="黑体"/>
          <w:b/>
          <w:bCs/>
          <w:sz w:val="24"/>
          <w:szCs w:val="24"/>
        </w:rPr>
        <w:t>附件6： 技术文件</w:t>
      </w:r>
    </w:p>
    <w:p>
      <w:pPr>
        <w:rPr>
          <w:rFonts w:ascii="黑体" w:hAnsi="黑体" w:eastAsia="黑体"/>
          <w:sz w:val="24"/>
          <w:szCs w:val="24"/>
        </w:rPr>
      </w:pPr>
    </w:p>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技术偏离表</w:t>
      </w:r>
    </w:p>
    <w:tbl>
      <w:tblPr>
        <w:tblStyle w:val="2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解决方法</w:t>
            </w:r>
          </w:p>
          <w:p>
            <w:pPr>
              <w:spacing w:line="280" w:lineRule="exact"/>
              <w:jc w:val="center"/>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1</w:t>
            </w:r>
          </w:p>
        </w:tc>
        <w:tc>
          <w:tcPr>
            <w:tcW w:w="3969" w:type="dxa"/>
            <w:vAlign w:val="center"/>
          </w:tcPr>
          <w:p>
            <w:pPr>
              <w:pStyle w:val="54"/>
              <w:spacing w:line="280" w:lineRule="exact"/>
              <w:rPr>
                <w:rFonts w:ascii="宋体" w:hAnsi="宋体" w:eastAsiaTheme="minorEastAsia" w:cstheme="minorBidi"/>
                <w:color w:val="000000"/>
                <w:kern w:val="2"/>
                <w:sz w:val="18"/>
                <w:szCs w:val="18"/>
              </w:rPr>
            </w:pPr>
          </w:p>
        </w:tc>
        <w:tc>
          <w:tcPr>
            <w:tcW w:w="992" w:type="dxa"/>
            <w:vAlign w:val="center"/>
          </w:tcPr>
          <w:p>
            <w:pPr>
              <w:spacing w:line="280" w:lineRule="exact"/>
              <w:jc w:val="center"/>
              <w:rPr>
                <w:rFonts w:ascii="宋体" w:hAnsi="宋体"/>
                <w:color w:val="000000"/>
                <w:sz w:val="18"/>
                <w:szCs w:val="18"/>
              </w:rPr>
            </w:pPr>
          </w:p>
        </w:tc>
        <w:tc>
          <w:tcPr>
            <w:tcW w:w="1701" w:type="dxa"/>
            <w:vAlign w:val="center"/>
          </w:tcPr>
          <w:p>
            <w:pPr>
              <w:spacing w:line="280" w:lineRule="exact"/>
              <w:jc w:val="center"/>
              <w:rPr>
                <w:rFonts w:ascii="宋体" w:hAnsi="宋体"/>
                <w:color w:val="000000"/>
                <w:sz w:val="18"/>
                <w:szCs w:val="18"/>
              </w:rPr>
            </w:pPr>
          </w:p>
        </w:tc>
        <w:tc>
          <w:tcPr>
            <w:tcW w:w="1292" w:type="dxa"/>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2</w:t>
            </w:r>
          </w:p>
        </w:tc>
        <w:tc>
          <w:tcPr>
            <w:tcW w:w="3969" w:type="dxa"/>
            <w:vAlign w:val="center"/>
          </w:tcPr>
          <w:p>
            <w:pPr>
              <w:pStyle w:val="54"/>
              <w:spacing w:line="280" w:lineRule="exact"/>
              <w:rPr>
                <w:rFonts w:ascii="宋体" w:hAnsi="宋体" w:eastAsiaTheme="minorEastAsia" w:cstheme="minorBidi"/>
                <w:color w:val="000000"/>
                <w:kern w:val="2"/>
                <w:sz w:val="18"/>
                <w:szCs w:val="18"/>
              </w:rPr>
            </w:pPr>
          </w:p>
        </w:tc>
        <w:tc>
          <w:tcPr>
            <w:tcW w:w="992" w:type="dxa"/>
            <w:vAlign w:val="center"/>
          </w:tcPr>
          <w:p>
            <w:pPr>
              <w:spacing w:line="280" w:lineRule="exact"/>
              <w:jc w:val="center"/>
              <w:rPr>
                <w:rFonts w:ascii="宋体" w:hAnsi="宋体"/>
                <w:color w:val="000000"/>
                <w:sz w:val="18"/>
                <w:szCs w:val="18"/>
              </w:rPr>
            </w:pPr>
          </w:p>
        </w:tc>
        <w:tc>
          <w:tcPr>
            <w:tcW w:w="1701" w:type="dxa"/>
            <w:vAlign w:val="center"/>
          </w:tcPr>
          <w:p>
            <w:pPr>
              <w:spacing w:line="280" w:lineRule="exact"/>
              <w:jc w:val="center"/>
              <w:rPr>
                <w:rFonts w:ascii="宋体" w:hAnsi="宋体"/>
                <w:color w:val="000000"/>
                <w:sz w:val="18"/>
                <w:szCs w:val="18"/>
              </w:rPr>
            </w:pPr>
          </w:p>
        </w:tc>
        <w:tc>
          <w:tcPr>
            <w:tcW w:w="1292" w:type="dxa"/>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3</w:t>
            </w:r>
          </w:p>
        </w:tc>
        <w:tc>
          <w:tcPr>
            <w:tcW w:w="3969" w:type="dxa"/>
            <w:vAlign w:val="center"/>
          </w:tcPr>
          <w:p>
            <w:pPr>
              <w:pStyle w:val="54"/>
              <w:spacing w:line="280" w:lineRule="exact"/>
              <w:rPr>
                <w:rFonts w:ascii="宋体" w:hAnsi="宋体" w:eastAsiaTheme="minorEastAsia" w:cstheme="minorBidi"/>
                <w:color w:val="000000"/>
                <w:kern w:val="2"/>
                <w:sz w:val="18"/>
                <w:szCs w:val="18"/>
              </w:rPr>
            </w:pPr>
          </w:p>
        </w:tc>
        <w:tc>
          <w:tcPr>
            <w:tcW w:w="992" w:type="dxa"/>
            <w:vAlign w:val="center"/>
          </w:tcPr>
          <w:p>
            <w:pPr>
              <w:spacing w:line="280" w:lineRule="exact"/>
              <w:jc w:val="center"/>
              <w:rPr>
                <w:rFonts w:ascii="宋体" w:hAnsi="宋体"/>
                <w:color w:val="000000"/>
                <w:sz w:val="18"/>
                <w:szCs w:val="18"/>
              </w:rPr>
            </w:pPr>
          </w:p>
        </w:tc>
        <w:tc>
          <w:tcPr>
            <w:tcW w:w="1701" w:type="dxa"/>
            <w:vAlign w:val="center"/>
          </w:tcPr>
          <w:p>
            <w:pPr>
              <w:spacing w:line="280" w:lineRule="exact"/>
              <w:jc w:val="center"/>
              <w:rPr>
                <w:rFonts w:ascii="宋体" w:hAnsi="宋体"/>
                <w:color w:val="000000"/>
                <w:sz w:val="18"/>
                <w:szCs w:val="18"/>
              </w:rPr>
            </w:pPr>
          </w:p>
        </w:tc>
        <w:tc>
          <w:tcPr>
            <w:tcW w:w="1292" w:type="dxa"/>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4</w:t>
            </w:r>
          </w:p>
        </w:tc>
        <w:tc>
          <w:tcPr>
            <w:tcW w:w="3969" w:type="dxa"/>
            <w:vAlign w:val="center"/>
          </w:tcPr>
          <w:p>
            <w:pPr>
              <w:pStyle w:val="54"/>
              <w:spacing w:line="280" w:lineRule="exact"/>
              <w:rPr>
                <w:rFonts w:ascii="宋体" w:hAnsi="宋体" w:eastAsiaTheme="minorEastAsia" w:cstheme="minorBidi"/>
                <w:color w:val="000000"/>
                <w:kern w:val="2"/>
                <w:sz w:val="18"/>
                <w:szCs w:val="18"/>
              </w:rPr>
            </w:pPr>
          </w:p>
        </w:tc>
        <w:tc>
          <w:tcPr>
            <w:tcW w:w="992" w:type="dxa"/>
            <w:vAlign w:val="center"/>
          </w:tcPr>
          <w:p>
            <w:pPr>
              <w:spacing w:line="280" w:lineRule="exact"/>
              <w:jc w:val="center"/>
              <w:rPr>
                <w:rFonts w:ascii="宋体" w:hAnsi="宋体"/>
                <w:color w:val="000000"/>
                <w:sz w:val="18"/>
                <w:szCs w:val="18"/>
              </w:rPr>
            </w:pPr>
          </w:p>
        </w:tc>
        <w:tc>
          <w:tcPr>
            <w:tcW w:w="1701" w:type="dxa"/>
            <w:vAlign w:val="center"/>
          </w:tcPr>
          <w:p>
            <w:pPr>
              <w:spacing w:line="280" w:lineRule="exact"/>
              <w:jc w:val="center"/>
              <w:rPr>
                <w:rFonts w:ascii="宋体" w:hAnsi="宋体"/>
                <w:color w:val="000000"/>
                <w:sz w:val="18"/>
                <w:szCs w:val="18"/>
              </w:rPr>
            </w:pPr>
          </w:p>
        </w:tc>
        <w:tc>
          <w:tcPr>
            <w:tcW w:w="1292" w:type="dxa"/>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5</w:t>
            </w:r>
          </w:p>
        </w:tc>
        <w:tc>
          <w:tcPr>
            <w:tcW w:w="3969" w:type="dxa"/>
            <w:vAlign w:val="center"/>
          </w:tcPr>
          <w:p>
            <w:pPr>
              <w:pStyle w:val="54"/>
              <w:spacing w:line="280" w:lineRule="exact"/>
              <w:rPr>
                <w:rFonts w:ascii="宋体" w:hAnsi="宋体" w:eastAsiaTheme="minorEastAsia" w:cstheme="minorBidi"/>
                <w:color w:val="000000"/>
                <w:kern w:val="2"/>
                <w:sz w:val="18"/>
                <w:szCs w:val="18"/>
              </w:rPr>
            </w:pPr>
          </w:p>
        </w:tc>
        <w:tc>
          <w:tcPr>
            <w:tcW w:w="992" w:type="dxa"/>
            <w:vAlign w:val="center"/>
          </w:tcPr>
          <w:p>
            <w:pPr>
              <w:spacing w:line="280" w:lineRule="exact"/>
              <w:jc w:val="center"/>
              <w:rPr>
                <w:rFonts w:ascii="宋体" w:hAnsi="宋体"/>
                <w:color w:val="000000"/>
                <w:sz w:val="18"/>
                <w:szCs w:val="18"/>
              </w:rPr>
            </w:pPr>
          </w:p>
        </w:tc>
        <w:tc>
          <w:tcPr>
            <w:tcW w:w="1701" w:type="dxa"/>
            <w:vAlign w:val="center"/>
          </w:tcPr>
          <w:p>
            <w:pPr>
              <w:spacing w:line="280" w:lineRule="exact"/>
              <w:jc w:val="center"/>
              <w:rPr>
                <w:rFonts w:ascii="宋体" w:hAnsi="宋体"/>
                <w:color w:val="000000"/>
                <w:sz w:val="18"/>
                <w:szCs w:val="18"/>
              </w:rPr>
            </w:pPr>
          </w:p>
        </w:tc>
        <w:tc>
          <w:tcPr>
            <w:tcW w:w="1292" w:type="dxa"/>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6</w:t>
            </w:r>
          </w:p>
        </w:tc>
        <w:tc>
          <w:tcPr>
            <w:tcW w:w="3969" w:type="dxa"/>
            <w:vAlign w:val="center"/>
          </w:tcPr>
          <w:p>
            <w:pPr>
              <w:pStyle w:val="54"/>
              <w:spacing w:line="280" w:lineRule="exact"/>
              <w:rPr>
                <w:rFonts w:ascii="宋体" w:hAnsi="宋体" w:eastAsiaTheme="minorEastAsia" w:cstheme="minorBidi"/>
                <w:color w:val="000000"/>
                <w:kern w:val="2"/>
                <w:sz w:val="18"/>
                <w:szCs w:val="18"/>
              </w:rPr>
            </w:pPr>
          </w:p>
        </w:tc>
        <w:tc>
          <w:tcPr>
            <w:tcW w:w="992" w:type="dxa"/>
            <w:vAlign w:val="center"/>
          </w:tcPr>
          <w:p>
            <w:pPr>
              <w:spacing w:line="280" w:lineRule="exact"/>
              <w:jc w:val="center"/>
              <w:rPr>
                <w:rFonts w:ascii="宋体" w:hAnsi="宋体"/>
                <w:color w:val="000000"/>
                <w:sz w:val="18"/>
                <w:szCs w:val="18"/>
              </w:rPr>
            </w:pPr>
          </w:p>
        </w:tc>
        <w:tc>
          <w:tcPr>
            <w:tcW w:w="1701" w:type="dxa"/>
            <w:vAlign w:val="center"/>
          </w:tcPr>
          <w:p>
            <w:pPr>
              <w:spacing w:line="280" w:lineRule="exact"/>
              <w:jc w:val="center"/>
              <w:rPr>
                <w:rFonts w:ascii="宋体" w:hAnsi="宋体"/>
                <w:color w:val="000000"/>
                <w:sz w:val="18"/>
                <w:szCs w:val="18"/>
              </w:rPr>
            </w:pPr>
          </w:p>
        </w:tc>
        <w:tc>
          <w:tcPr>
            <w:tcW w:w="1292" w:type="dxa"/>
            <w:vAlign w:val="center"/>
          </w:tcPr>
          <w:p>
            <w:pPr>
              <w:spacing w:line="280" w:lineRule="exact"/>
              <w:jc w:val="center"/>
              <w:rPr>
                <w:rFonts w:ascii="宋体" w:hAnsi="宋体"/>
                <w:color w:val="000000"/>
                <w:sz w:val="18"/>
                <w:szCs w:val="18"/>
              </w:rPr>
            </w:pPr>
          </w:p>
        </w:tc>
      </w:tr>
    </w:tbl>
    <w:p>
      <w:pPr>
        <w:spacing w:before="50" w:line="360" w:lineRule="auto"/>
        <w:ind w:firstLine="3885" w:firstLineChars="1850"/>
        <w:rPr>
          <w:rFonts w:ascii="宋体" w:hAnsi="宋体"/>
          <w:color w:val="000000"/>
          <w:szCs w:val="21"/>
        </w:rPr>
      </w:pPr>
    </w:p>
    <w:p>
      <w:pPr>
        <w:spacing w:before="50"/>
        <w:rPr>
          <w:rFonts w:ascii="宋体" w:hAnsi="宋体"/>
          <w:color w:val="000000"/>
          <w:szCs w:val="21"/>
        </w:rPr>
      </w:pPr>
      <w:r>
        <w:rPr>
          <w:rFonts w:hint="eastAsia" w:ascii="宋体" w:hAnsi="宋体"/>
          <w:color w:val="000000"/>
          <w:szCs w:val="21"/>
        </w:rPr>
        <w:t>说明：</w:t>
      </w:r>
    </w:p>
    <w:p>
      <w:pPr>
        <w:numPr>
          <w:ilvl w:val="0"/>
          <w:numId w:val="3"/>
        </w:numPr>
        <w:spacing w:before="50"/>
        <w:rPr>
          <w:rFonts w:ascii="宋体" w:hAnsi="宋体"/>
          <w:color w:val="000000"/>
          <w:szCs w:val="21"/>
        </w:rPr>
      </w:pPr>
      <w:r>
        <w:rPr>
          <w:rFonts w:hint="eastAsia" w:ascii="宋体" w:hAnsi="宋体"/>
          <w:color w:val="000000"/>
          <w:szCs w:val="21"/>
        </w:rPr>
        <w:t>以上技术如无偏差，则都填“无”字。</w:t>
      </w:r>
    </w:p>
    <w:p>
      <w:pPr>
        <w:numPr>
          <w:ilvl w:val="0"/>
          <w:numId w:val="3"/>
        </w:numPr>
        <w:spacing w:before="50"/>
        <w:rPr>
          <w:rFonts w:ascii="宋体" w:hAnsi="宋体"/>
          <w:color w:val="000000"/>
          <w:szCs w:val="21"/>
        </w:rPr>
      </w:pPr>
      <w:r>
        <w:rPr>
          <w:rFonts w:hint="eastAsia" w:ascii="宋体" w:hAnsi="宋体"/>
          <w:color w:val="000000"/>
          <w:szCs w:val="21"/>
        </w:rPr>
        <w:t>技术标准以技术要求为基准。</w:t>
      </w:r>
    </w:p>
    <w:p>
      <w:pPr>
        <w:numPr>
          <w:ilvl w:val="0"/>
          <w:numId w:val="3"/>
        </w:numPr>
        <w:spacing w:before="50"/>
        <w:rPr>
          <w:rFonts w:ascii="宋体" w:hAnsi="宋体"/>
          <w:color w:val="000000"/>
          <w:szCs w:val="21"/>
        </w:rPr>
      </w:pPr>
      <w:r>
        <w:rPr>
          <w:rFonts w:hint="eastAsia" w:ascii="宋体" w:hAnsi="宋体"/>
          <w:color w:val="000000"/>
          <w:szCs w:val="21"/>
        </w:rPr>
        <w:t>以上技术偏差将作为采购人判断应答人报价的重要依据，请慎重考虑、酌情填写。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rPr>
        <w:t>应答人：（盖章）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outlineLvl w:val="0"/>
        <w:rPr>
          <w:rFonts w:ascii="黑体" w:hAnsi="黑体" w:eastAsia="黑体"/>
          <w:color w:val="000000" w:themeColor="text1"/>
          <w:szCs w:val="21"/>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附件7：报价文件</w:t>
      </w:r>
    </w:p>
    <w:p>
      <w:pPr>
        <w:pStyle w:val="43"/>
        <w:spacing w:line="360" w:lineRule="auto"/>
        <w:ind w:firstLine="0"/>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报 价 单</w:t>
      </w:r>
    </w:p>
    <w:p>
      <w:pPr>
        <w:widowControl/>
        <w:spacing w:line="360" w:lineRule="auto"/>
        <w:ind w:left="-12" w:leftChars="-67" w:hanging="129" w:hangingChars="59"/>
        <w:rPr>
          <w:rFonts w:cs="Arial" w:asciiTheme="minorEastAsia" w:hAnsiTheme="minorEastAsia"/>
          <w:kern w:val="0"/>
          <w:sz w:val="22"/>
        </w:rPr>
      </w:pPr>
      <w:r>
        <w:rPr>
          <w:rFonts w:hint="eastAsia" w:cs="Arial" w:asciiTheme="minorEastAsia" w:hAnsiTheme="minorEastAsia"/>
          <w:kern w:val="0"/>
          <w:sz w:val="22"/>
        </w:rPr>
        <w:t>项目</w:t>
      </w:r>
      <w:r>
        <w:rPr>
          <w:rFonts w:cs="Arial" w:asciiTheme="minorEastAsia" w:hAnsiTheme="minorEastAsia"/>
          <w:kern w:val="0"/>
          <w:sz w:val="22"/>
        </w:rPr>
        <w:t>名称：</w:t>
      </w:r>
      <w:r>
        <w:rPr>
          <w:rFonts w:hint="eastAsia" w:cs="Arial" w:asciiTheme="minorEastAsia" w:hAnsiTheme="minorEastAsia"/>
          <w:kern w:val="0"/>
          <w:sz w:val="22"/>
        </w:rPr>
        <w:t xml:space="preserve">生产平台及钻井船通讯改造服务     </w:t>
      </w:r>
      <w:r>
        <w:rPr>
          <w:rFonts w:cs="Arial" w:asciiTheme="minorEastAsia" w:hAnsiTheme="minorEastAsia"/>
          <w:kern w:val="0"/>
          <w:sz w:val="22"/>
        </w:rPr>
        <w:t xml:space="preserve">  </w:t>
      </w:r>
    </w:p>
    <w:p>
      <w:pPr>
        <w:widowControl/>
        <w:spacing w:line="360" w:lineRule="auto"/>
        <w:ind w:left="-12" w:leftChars="-67" w:hanging="129" w:hangingChars="59"/>
        <w:rPr>
          <w:rFonts w:cs="Calibri" w:asciiTheme="minorEastAsia" w:hAnsiTheme="minorEastAsia"/>
          <w:kern w:val="0"/>
          <w:sz w:val="22"/>
        </w:rPr>
      </w:pPr>
      <w:r>
        <w:rPr>
          <w:rFonts w:cs="Calibri" w:asciiTheme="minorEastAsia" w:hAnsiTheme="minorEastAsia"/>
          <w:kern w:val="0"/>
          <w:sz w:val="22"/>
        </w:rPr>
        <w:t>报价</w:t>
      </w:r>
      <w:r>
        <w:rPr>
          <w:rFonts w:hint="eastAsia" w:cs="Calibri" w:asciiTheme="minorEastAsia" w:hAnsiTheme="minorEastAsia"/>
          <w:kern w:val="0"/>
          <w:sz w:val="22"/>
        </w:rPr>
        <w:t xml:space="preserve">单位：元 </w:t>
      </w:r>
      <w:r>
        <w:rPr>
          <w:rFonts w:cs="Calibri" w:asciiTheme="minorEastAsia" w:hAnsiTheme="minorEastAsia"/>
          <w:kern w:val="0"/>
          <w:sz w:val="22"/>
        </w:rPr>
        <w:t xml:space="preserve">           </w:t>
      </w:r>
      <w:r>
        <w:rPr>
          <w:rFonts w:hint="eastAsia" w:cs="Calibri" w:asciiTheme="minorEastAsia" w:hAnsiTheme="minorEastAsia"/>
          <w:kern w:val="0"/>
          <w:sz w:val="22"/>
        </w:rPr>
        <w:t xml:space="preserve">  货币</w:t>
      </w:r>
      <w:r>
        <w:rPr>
          <w:rFonts w:cs="Calibri" w:asciiTheme="minorEastAsia" w:hAnsiTheme="minorEastAsia"/>
          <w:kern w:val="0"/>
          <w:sz w:val="22"/>
        </w:rPr>
        <w:t>单位：</w:t>
      </w:r>
      <w:r>
        <w:rPr>
          <w:rFonts w:hint="eastAsia" w:cs="Calibri" w:asciiTheme="minorEastAsia" w:hAnsiTheme="minorEastAsia"/>
          <w:kern w:val="0"/>
          <w:sz w:val="22"/>
        </w:rPr>
        <w:t>人民币</w:t>
      </w:r>
    </w:p>
    <w:tbl>
      <w:tblPr>
        <w:tblStyle w:val="23"/>
        <w:tblW w:w="941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67"/>
        <w:gridCol w:w="774"/>
        <w:gridCol w:w="693"/>
        <w:gridCol w:w="623"/>
        <w:gridCol w:w="1168"/>
        <w:gridCol w:w="637"/>
        <w:gridCol w:w="1335"/>
        <w:gridCol w:w="124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09"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2341" w:type="dxa"/>
            <w:gridSpan w:val="2"/>
            <w:shd w:val="clear" w:color="auto" w:fill="auto"/>
            <w:vAlign w:val="center"/>
          </w:tcPr>
          <w:p>
            <w:pPr>
              <w:widowControl/>
              <w:jc w:val="center"/>
              <w:textAlignment w:val="center"/>
              <w:rPr>
                <w:rFonts w:ascii="宋体" w:hAnsi="宋体" w:eastAsia="宋体"/>
                <w:b/>
                <w:sz w:val="18"/>
                <w:szCs w:val="18"/>
              </w:rPr>
            </w:pPr>
            <w:r>
              <w:rPr>
                <w:rFonts w:hint="eastAsia" w:ascii="宋体" w:hAnsi="宋体" w:eastAsia="宋体" w:cs="宋体"/>
                <w:color w:val="000000"/>
                <w:kern w:val="0"/>
                <w:sz w:val="22"/>
                <w:lang w:bidi="ar"/>
              </w:rPr>
              <w:t>服务名称</w:t>
            </w:r>
          </w:p>
        </w:tc>
        <w:tc>
          <w:tcPr>
            <w:tcW w:w="693" w:type="dxa"/>
            <w:shd w:val="clear" w:color="auto" w:fill="auto"/>
            <w:vAlign w:val="center"/>
          </w:tcPr>
          <w:p>
            <w:pPr>
              <w:rPr>
                <w:rFonts w:ascii="宋体" w:hAnsi="宋体" w:eastAsia="宋体"/>
                <w:b/>
                <w:sz w:val="18"/>
                <w:szCs w:val="18"/>
              </w:rPr>
            </w:pPr>
            <w:r>
              <w:rPr>
                <w:rFonts w:hint="eastAsia" w:ascii="宋体" w:hAnsi="宋体" w:eastAsia="宋体"/>
                <w:b/>
                <w:sz w:val="18"/>
                <w:szCs w:val="18"/>
              </w:rPr>
              <w:t>数量</w:t>
            </w:r>
          </w:p>
        </w:tc>
        <w:tc>
          <w:tcPr>
            <w:tcW w:w="623"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单位</w:t>
            </w:r>
          </w:p>
        </w:tc>
        <w:tc>
          <w:tcPr>
            <w:tcW w:w="1168"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不含税单价（元）</w:t>
            </w:r>
          </w:p>
        </w:tc>
        <w:tc>
          <w:tcPr>
            <w:tcW w:w="637" w:type="dxa"/>
            <w:shd w:val="clear" w:color="auto" w:fill="auto"/>
            <w:vAlign w:val="center"/>
          </w:tcPr>
          <w:p>
            <w:pPr>
              <w:rPr>
                <w:rFonts w:ascii="宋体" w:hAnsi="宋体" w:eastAsia="宋体"/>
                <w:b/>
                <w:sz w:val="18"/>
                <w:szCs w:val="18"/>
              </w:rPr>
            </w:pPr>
            <w:r>
              <w:rPr>
                <w:rFonts w:hint="eastAsia" w:ascii="宋体" w:hAnsi="宋体" w:eastAsia="宋体"/>
                <w:b/>
                <w:sz w:val="18"/>
                <w:szCs w:val="18"/>
              </w:rPr>
              <w:t>税率</w:t>
            </w:r>
          </w:p>
        </w:tc>
        <w:tc>
          <w:tcPr>
            <w:tcW w:w="1335" w:type="dxa"/>
            <w:shd w:val="clear" w:color="auto" w:fill="auto"/>
            <w:vAlign w:val="center"/>
          </w:tcPr>
          <w:p>
            <w:pPr>
              <w:rPr>
                <w:rFonts w:ascii="宋体" w:hAnsi="宋体" w:eastAsia="宋体"/>
                <w:b/>
                <w:sz w:val="18"/>
                <w:szCs w:val="18"/>
              </w:rPr>
            </w:pPr>
            <w:r>
              <w:rPr>
                <w:rFonts w:hint="eastAsia" w:ascii="宋体" w:hAnsi="宋体" w:eastAsia="宋体"/>
                <w:b/>
                <w:sz w:val="18"/>
                <w:szCs w:val="18"/>
              </w:rPr>
              <w:t>不含税小计（元）</w:t>
            </w:r>
          </w:p>
        </w:tc>
        <w:tc>
          <w:tcPr>
            <w:tcW w:w="1246" w:type="dxa"/>
            <w:shd w:val="clear" w:color="auto" w:fill="auto"/>
            <w:vAlign w:val="center"/>
          </w:tcPr>
          <w:p>
            <w:pPr>
              <w:ind w:firstLine="181" w:firstLineChars="100"/>
              <w:jc w:val="center"/>
              <w:rPr>
                <w:rFonts w:ascii="宋体" w:hAnsi="宋体" w:eastAsia="宋体"/>
                <w:b/>
                <w:sz w:val="18"/>
                <w:szCs w:val="18"/>
              </w:rPr>
            </w:pPr>
            <w:r>
              <w:rPr>
                <w:rFonts w:hint="eastAsia" w:ascii="宋体" w:hAnsi="宋体" w:eastAsia="宋体"/>
                <w:b/>
                <w:sz w:val="18"/>
                <w:szCs w:val="18"/>
              </w:rPr>
              <w:t>含税小计（元）</w:t>
            </w:r>
          </w:p>
        </w:tc>
        <w:tc>
          <w:tcPr>
            <w:tcW w:w="860" w:type="dxa"/>
            <w:shd w:val="clear" w:color="auto" w:fill="auto"/>
            <w:vAlign w:val="center"/>
          </w:tcPr>
          <w:p>
            <w:pPr>
              <w:rPr>
                <w:rFonts w:ascii="宋体" w:hAnsi="宋体" w:eastAsia="宋体"/>
                <w:b/>
                <w:sz w:val="18"/>
                <w:szCs w:val="18"/>
              </w:rPr>
            </w:pPr>
            <w:r>
              <w:rPr>
                <w:rFonts w:hint="eastAsia" w:ascii="宋体" w:hAnsi="宋体" w:eastAsia="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1</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平台大卫天线球罩安装服务</w:t>
            </w:r>
          </w:p>
        </w:tc>
        <w:tc>
          <w:tcPr>
            <w:tcW w:w="693" w:type="dxa"/>
            <w:vAlign w:val="center"/>
          </w:tcPr>
          <w:p>
            <w:pPr>
              <w:widowControl/>
              <w:jc w:val="center"/>
              <w:rPr>
                <w:rFonts w:cs="Calibri" w:asciiTheme="minorEastAsia" w:hAnsiTheme="minorEastAsia"/>
                <w:kern w:val="0"/>
                <w:szCs w:val="21"/>
              </w:rPr>
            </w:pPr>
            <w:r>
              <w:rPr>
                <w:rFonts w:hint="eastAsia" w:ascii="宋体" w:hAnsi="宋体" w:eastAsia="宋体"/>
                <w:sz w:val="20"/>
                <w:szCs w:val="20"/>
                <w:lang w:val="en-US" w:eastAsia="zh-CN"/>
              </w:rPr>
              <w:t>3</w:t>
            </w:r>
          </w:p>
        </w:tc>
        <w:tc>
          <w:tcPr>
            <w:tcW w:w="623" w:type="dxa"/>
            <w:vAlign w:val="center"/>
          </w:tcPr>
          <w:p>
            <w:pPr>
              <w:jc w:val="center"/>
              <w:rPr>
                <w:rFonts w:cs="Calibri" w:asciiTheme="minorEastAsia" w:hAnsiTheme="minorEastAsia"/>
                <w:kern w:val="0"/>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2</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平台吊机可视化维修服务</w:t>
            </w:r>
          </w:p>
        </w:tc>
        <w:tc>
          <w:tcPr>
            <w:tcW w:w="693" w:type="dxa"/>
            <w:vAlign w:val="center"/>
          </w:tcPr>
          <w:p>
            <w:pPr>
              <w:widowControl/>
              <w:jc w:val="center"/>
              <w:rPr>
                <w:rFonts w:ascii="仿宋" w:hAnsi="仿宋" w:eastAsia="仿宋"/>
                <w:sz w:val="22"/>
                <w:szCs w:val="21"/>
              </w:rPr>
            </w:pPr>
            <w:r>
              <w:rPr>
                <w:rFonts w:hint="eastAsia" w:ascii="宋体" w:hAnsi="宋体" w:eastAsia="宋体"/>
                <w:sz w:val="20"/>
                <w:szCs w:val="20"/>
                <w:lang w:val="en-US" w:eastAsia="zh-CN"/>
              </w:rPr>
              <w:t>1</w:t>
            </w:r>
            <w:bookmarkStart w:id="6" w:name="_GoBack"/>
            <w:bookmarkEnd w:id="6"/>
          </w:p>
        </w:tc>
        <w:tc>
          <w:tcPr>
            <w:tcW w:w="623" w:type="dxa"/>
            <w:vAlign w:val="center"/>
          </w:tcPr>
          <w:p>
            <w:pPr>
              <w:jc w:val="center"/>
              <w:rPr>
                <w:rFonts w:ascii="仿宋" w:hAnsi="仿宋" w:eastAsia="仿宋"/>
                <w:sz w:val="22"/>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3</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散射设备安装服务</w:t>
            </w:r>
          </w:p>
        </w:tc>
        <w:tc>
          <w:tcPr>
            <w:tcW w:w="693" w:type="dxa"/>
            <w:vAlign w:val="center"/>
          </w:tcPr>
          <w:p>
            <w:pPr>
              <w:widowControl/>
              <w:jc w:val="center"/>
              <w:rPr>
                <w:rFonts w:ascii="仿宋" w:hAnsi="仿宋" w:eastAsia="仿宋"/>
                <w:sz w:val="22"/>
                <w:szCs w:val="21"/>
              </w:rPr>
            </w:pPr>
            <w:r>
              <w:rPr>
                <w:rFonts w:hint="eastAsia" w:ascii="宋体" w:hAnsi="宋体" w:eastAsia="宋体"/>
                <w:sz w:val="20"/>
                <w:szCs w:val="20"/>
                <w:lang w:val="en-US" w:eastAsia="zh-CN"/>
              </w:rPr>
              <w:t>2</w:t>
            </w:r>
          </w:p>
        </w:tc>
        <w:tc>
          <w:tcPr>
            <w:tcW w:w="623" w:type="dxa"/>
            <w:vAlign w:val="center"/>
          </w:tcPr>
          <w:p>
            <w:pPr>
              <w:jc w:val="center"/>
              <w:rPr>
                <w:rFonts w:ascii="仿宋" w:hAnsi="仿宋" w:eastAsia="仿宋"/>
                <w:sz w:val="22"/>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4</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数字化电台安装服务</w:t>
            </w:r>
          </w:p>
        </w:tc>
        <w:tc>
          <w:tcPr>
            <w:tcW w:w="693" w:type="dxa"/>
            <w:vAlign w:val="center"/>
          </w:tcPr>
          <w:p>
            <w:pPr>
              <w:widowControl/>
              <w:jc w:val="center"/>
              <w:rPr>
                <w:rFonts w:ascii="仿宋" w:hAnsi="仿宋" w:eastAsia="仿宋"/>
                <w:sz w:val="22"/>
                <w:szCs w:val="21"/>
              </w:rPr>
            </w:pPr>
            <w:r>
              <w:rPr>
                <w:rFonts w:hint="eastAsia" w:ascii="宋体" w:hAnsi="宋体" w:eastAsia="宋体"/>
                <w:sz w:val="20"/>
                <w:szCs w:val="20"/>
                <w:lang w:val="en-US" w:eastAsia="zh-CN"/>
              </w:rPr>
              <w:t>2</w:t>
            </w:r>
          </w:p>
        </w:tc>
        <w:tc>
          <w:tcPr>
            <w:tcW w:w="623" w:type="dxa"/>
            <w:vAlign w:val="center"/>
          </w:tcPr>
          <w:p>
            <w:pPr>
              <w:jc w:val="center"/>
              <w:rPr>
                <w:rFonts w:ascii="仿宋" w:hAnsi="仿宋" w:eastAsia="仿宋"/>
                <w:sz w:val="22"/>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5</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东海生产平台通讯链路系统安装服务</w:t>
            </w:r>
          </w:p>
        </w:tc>
        <w:tc>
          <w:tcPr>
            <w:tcW w:w="693" w:type="dxa"/>
            <w:vAlign w:val="center"/>
          </w:tcPr>
          <w:p>
            <w:pPr>
              <w:widowControl/>
              <w:jc w:val="center"/>
              <w:rPr>
                <w:rFonts w:hint="eastAsia" w:ascii="仿宋" w:hAnsi="仿宋" w:eastAsia="仿宋"/>
                <w:sz w:val="22"/>
                <w:szCs w:val="21"/>
              </w:rPr>
            </w:pPr>
            <w:r>
              <w:rPr>
                <w:rFonts w:hint="eastAsia" w:ascii="宋体" w:hAnsi="宋体" w:eastAsia="宋体"/>
                <w:sz w:val="20"/>
                <w:szCs w:val="20"/>
                <w:lang w:val="en-US" w:eastAsia="zh-CN"/>
              </w:rPr>
              <w:t>6</w:t>
            </w:r>
          </w:p>
        </w:tc>
        <w:tc>
          <w:tcPr>
            <w:tcW w:w="623" w:type="dxa"/>
            <w:vAlign w:val="center"/>
          </w:tcPr>
          <w:p>
            <w:pPr>
              <w:jc w:val="center"/>
              <w:rPr>
                <w:rFonts w:hint="eastAsia" w:ascii="仿宋" w:hAnsi="仿宋" w:eastAsia="仿宋"/>
                <w:sz w:val="22"/>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hint="eastAsia"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6</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残雪北导航安装服务</w:t>
            </w:r>
          </w:p>
        </w:tc>
        <w:tc>
          <w:tcPr>
            <w:tcW w:w="693" w:type="dxa"/>
            <w:vAlign w:val="center"/>
          </w:tcPr>
          <w:p>
            <w:pPr>
              <w:widowControl/>
              <w:jc w:val="center"/>
              <w:rPr>
                <w:rFonts w:hint="eastAsia" w:ascii="仿宋" w:hAnsi="仿宋" w:eastAsia="仿宋"/>
                <w:sz w:val="22"/>
                <w:szCs w:val="21"/>
              </w:rPr>
            </w:pPr>
            <w:r>
              <w:rPr>
                <w:rFonts w:hint="eastAsia" w:ascii="宋体" w:hAnsi="宋体" w:eastAsia="宋体"/>
                <w:sz w:val="20"/>
                <w:szCs w:val="20"/>
                <w:lang w:val="en-US" w:eastAsia="zh-CN"/>
              </w:rPr>
              <w:t>1</w:t>
            </w:r>
          </w:p>
        </w:tc>
        <w:tc>
          <w:tcPr>
            <w:tcW w:w="623" w:type="dxa"/>
            <w:vAlign w:val="center"/>
          </w:tcPr>
          <w:p>
            <w:pPr>
              <w:jc w:val="center"/>
              <w:rPr>
                <w:rFonts w:hint="eastAsia" w:ascii="仿宋" w:hAnsi="仿宋" w:eastAsia="仿宋"/>
                <w:sz w:val="22"/>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hint="eastAsia"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7</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振海六号自动跟踪天线安装服务</w:t>
            </w:r>
          </w:p>
        </w:tc>
        <w:tc>
          <w:tcPr>
            <w:tcW w:w="693" w:type="dxa"/>
            <w:vAlign w:val="center"/>
          </w:tcPr>
          <w:p>
            <w:pPr>
              <w:widowControl/>
              <w:jc w:val="center"/>
              <w:rPr>
                <w:rFonts w:hint="eastAsia" w:ascii="仿宋" w:hAnsi="仿宋" w:eastAsia="仿宋"/>
                <w:sz w:val="22"/>
                <w:szCs w:val="21"/>
              </w:rPr>
            </w:pPr>
            <w:r>
              <w:rPr>
                <w:rFonts w:hint="eastAsia" w:ascii="宋体" w:hAnsi="宋体" w:eastAsia="宋体"/>
                <w:sz w:val="20"/>
                <w:szCs w:val="20"/>
                <w:lang w:val="en-US" w:eastAsia="zh-CN"/>
              </w:rPr>
              <w:t>2</w:t>
            </w:r>
          </w:p>
        </w:tc>
        <w:tc>
          <w:tcPr>
            <w:tcW w:w="623" w:type="dxa"/>
            <w:vAlign w:val="center"/>
          </w:tcPr>
          <w:p>
            <w:pPr>
              <w:jc w:val="center"/>
              <w:rPr>
                <w:rFonts w:hint="eastAsia" w:ascii="仿宋" w:hAnsi="仿宋" w:eastAsia="仿宋"/>
                <w:sz w:val="22"/>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hint="eastAsia"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8</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宁波终端能源态势感知安装服务</w:t>
            </w:r>
          </w:p>
        </w:tc>
        <w:tc>
          <w:tcPr>
            <w:tcW w:w="693" w:type="dxa"/>
            <w:vAlign w:val="center"/>
          </w:tcPr>
          <w:p>
            <w:pPr>
              <w:widowControl/>
              <w:jc w:val="center"/>
              <w:rPr>
                <w:rFonts w:hint="eastAsia" w:ascii="仿宋" w:hAnsi="仿宋" w:eastAsia="仿宋"/>
                <w:sz w:val="22"/>
                <w:szCs w:val="21"/>
              </w:rPr>
            </w:pPr>
            <w:r>
              <w:rPr>
                <w:rFonts w:hint="eastAsia" w:ascii="宋体" w:hAnsi="宋体" w:eastAsia="宋体"/>
                <w:sz w:val="20"/>
                <w:szCs w:val="20"/>
                <w:lang w:val="en-US" w:eastAsia="zh-CN"/>
              </w:rPr>
              <w:t>1</w:t>
            </w:r>
          </w:p>
        </w:tc>
        <w:tc>
          <w:tcPr>
            <w:tcW w:w="623" w:type="dxa"/>
            <w:vAlign w:val="center"/>
          </w:tcPr>
          <w:p>
            <w:pPr>
              <w:jc w:val="center"/>
              <w:rPr>
                <w:rFonts w:hint="eastAsia" w:ascii="仿宋" w:hAnsi="仿宋" w:eastAsia="仿宋"/>
                <w:sz w:val="22"/>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hint="eastAsia"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9" w:type="dxa"/>
            <w:shd w:val="clear" w:color="auto" w:fill="auto"/>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9</w:t>
            </w:r>
          </w:p>
        </w:tc>
        <w:tc>
          <w:tcPr>
            <w:tcW w:w="2341" w:type="dxa"/>
            <w:gridSpan w:val="2"/>
            <w:vAlign w:val="center"/>
          </w:tcPr>
          <w:p>
            <w:pPr>
              <w:jc w:val="center"/>
              <w:rPr>
                <w:rFonts w:hint="eastAsia" w:ascii="仿宋" w:hAnsi="仿宋" w:eastAsia="仿宋"/>
                <w:sz w:val="22"/>
                <w:szCs w:val="21"/>
              </w:rPr>
            </w:pPr>
            <w:r>
              <w:rPr>
                <w:rFonts w:hint="eastAsia" w:ascii="仿宋" w:hAnsi="仿宋" w:eastAsia="仿宋"/>
                <w:sz w:val="22"/>
                <w:szCs w:val="21"/>
                <w:lang w:val="en-US" w:eastAsia="zh-CN"/>
              </w:rPr>
              <w:t>平台功放设备安装调试</w:t>
            </w:r>
          </w:p>
        </w:tc>
        <w:tc>
          <w:tcPr>
            <w:tcW w:w="693" w:type="dxa"/>
            <w:vAlign w:val="center"/>
          </w:tcPr>
          <w:p>
            <w:pPr>
              <w:widowControl/>
              <w:jc w:val="center"/>
              <w:rPr>
                <w:rFonts w:hint="eastAsia" w:ascii="仿宋" w:hAnsi="仿宋" w:eastAsia="仿宋"/>
                <w:sz w:val="22"/>
                <w:szCs w:val="21"/>
              </w:rPr>
            </w:pPr>
            <w:r>
              <w:rPr>
                <w:rFonts w:hint="eastAsia" w:ascii="宋体" w:hAnsi="宋体" w:eastAsia="宋体"/>
                <w:sz w:val="20"/>
                <w:szCs w:val="20"/>
                <w:lang w:val="en-US" w:eastAsia="zh-CN"/>
              </w:rPr>
              <w:t>1</w:t>
            </w:r>
          </w:p>
        </w:tc>
        <w:tc>
          <w:tcPr>
            <w:tcW w:w="623" w:type="dxa"/>
            <w:vAlign w:val="center"/>
          </w:tcPr>
          <w:p>
            <w:pPr>
              <w:jc w:val="center"/>
              <w:rPr>
                <w:rFonts w:hint="eastAsia" w:ascii="仿宋" w:hAnsi="仿宋" w:eastAsia="仿宋"/>
                <w:sz w:val="22"/>
                <w:szCs w:val="21"/>
              </w:rPr>
            </w:pPr>
            <w:r>
              <w:rPr>
                <w:rFonts w:hint="eastAsia" w:ascii="仿宋" w:hAnsi="仿宋" w:eastAsia="仿宋"/>
                <w:sz w:val="22"/>
                <w:szCs w:val="21"/>
              </w:rPr>
              <w:t>项</w:t>
            </w:r>
          </w:p>
        </w:tc>
        <w:tc>
          <w:tcPr>
            <w:tcW w:w="1168" w:type="dxa"/>
            <w:shd w:val="clear" w:color="auto" w:fill="auto"/>
            <w:vAlign w:val="center"/>
          </w:tcPr>
          <w:p>
            <w:pPr>
              <w:jc w:val="center"/>
              <w:rPr>
                <w:rFonts w:cs="Calibri" w:asciiTheme="minorEastAsia" w:hAnsiTheme="minorEastAsia"/>
                <w:kern w:val="0"/>
                <w:szCs w:val="21"/>
              </w:rPr>
            </w:pPr>
          </w:p>
        </w:tc>
        <w:tc>
          <w:tcPr>
            <w:tcW w:w="637" w:type="dxa"/>
            <w:shd w:val="clear" w:color="auto" w:fill="auto"/>
            <w:vAlign w:val="center"/>
          </w:tcPr>
          <w:p>
            <w:pPr>
              <w:jc w:val="center"/>
              <w:rPr>
                <w:rFonts w:hint="eastAsia" w:cs="Calibri" w:asciiTheme="minorEastAsia" w:hAnsiTheme="minorEastAsia"/>
                <w:kern w:val="0"/>
                <w:szCs w:val="21"/>
              </w:rPr>
            </w:pPr>
            <w:r>
              <w:rPr>
                <w:rFonts w:hint="eastAsia" w:cs="Calibri" w:asciiTheme="minorEastAsia" w:hAnsiTheme="minorEastAsia"/>
                <w:kern w:val="0"/>
                <w:szCs w:val="21"/>
              </w:rPr>
              <w:t>6</w:t>
            </w:r>
            <w:r>
              <w:rPr>
                <w:rFonts w:cs="Calibri" w:asciiTheme="minorEastAsia" w:hAnsiTheme="minorEastAsia"/>
                <w:kern w:val="0"/>
                <w:szCs w:val="21"/>
              </w:rPr>
              <w:t>%</w:t>
            </w:r>
          </w:p>
        </w:tc>
        <w:tc>
          <w:tcPr>
            <w:tcW w:w="1335" w:type="dxa"/>
            <w:shd w:val="clear" w:color="auto" w:fill="auto"/>
            <w:vAlign w:val="center"/>
          </w:tcPr>
          <w:p>
            <w:pPr>
              <w:rPr>
                <w:rFonts w:ascii="宋体" w:hAnsi="宋体" w:eastAsia="宋体"/>
                <w:b/>
                <w:sz w:val="18"/>
                <w:szCs w:val="18"/>
              </w:rPr>
            </w:pPr>
          </w:p>
        </w:tc>
        <w:tc>
          <w:tcPr>
            <w:tcW w:w="1246" w:type="dxa"/>
            <w:shd w:val="clear" w:color="auto" w:fill="auto"/>
            <w:vAlign w:val="center"/>
          </w:tcPr>
          <w:p>
            <w:pPr>
              <w:rPr>
                <w:rFonts w:ascii="宋体" w:hAnsi="宋体" w:eastAsia="宋体"/>
                <w:b/>
                <w:sz w:val="18"/>
                <w:szCs w:val="18"/>
              </w:rPr>
            </w:pPr>
          </w:p>
        </w:tc>
        <w:tc>
          <w:tcPr>
            <w:tcW w:w="860" w:type="dxa"/>
            <w:shd w:val="clear" w:color="auto" w:fill="auto"/>
            <w:vAlign w:val="center"/>
          </w:tcPr>
          <w:p>
            <w:pPr>
              <w:rPr>
                <w:rFonts w:ascii="宋体" w:hAnsi="宋体" w:eastAsia="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09" w:type="dxa"/>
          </w:tcPr>
          <w:p>
            <w:pPr>
              <w:widowControl/>
              <w:spacing w:line="360" w:lineRule="auto"/>
              <w:jc w:val="left"/>
              <w:rPr>
                <w:rFonts w:cs="Calibri" w:asciiTheme="minorEastAsia" w:hAnsiTheme="minorEastAsia"/>
                <w:kern w:val="0"/>
                <w:szCs w:val="21"/>
              </w:rPr>
            </w:pPr>
          </w:p>
        </w:tc>
        <w:tc>
          <w:tcPr>
            <w:tcW w:w="1567" w:type="dxa"/>
          </w:tcPr>
          <w:p>
            <w:pPr>
              <w:widowControl/>
              <w:spacing w:line="360" w:lineRule="auto"/>
              <w:jc w:val="left"/>
              <w:rPr>
                <w:rFonts w:cs="Calibri" w:asciiTheme="minorEastAsia" w:hAnsiTheme="minorEastAsia"/>
                <w:kern w:val="0"/>
                <w:szCs w:val="21"/>
              </w:rPr>
            </w:pPr>
          </w:p>
        </w:tc>
        <w:tc>
          <w:tcPr>
            <w:tcW w:w="3895" w:type="dxa"/>
            <w:gridSpan w:val="5"/>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合计</w:t>
            </w:r>
            <w:r>
              <w:rPr>
                <w:rFonts w:cs="Calibri" w:asciiTheme="minorEastAsia" w:hAnsiTheme="minorEastAsia"/>
                <w:kern w:val="0"/>
                <w:szCs w:val="21"/>
              </w:rPr>
              <w:t>：</w:t>
            </w:r>
          </w:p>
        </w:tc>
        <w:tc>
          <w:tcPr>
            <w:tcW w:w="1335" w:type="dxa"/>
            <w:shd w:val="clear" w:color="auto" w:fill="auto"/>
          </w:tcPr>
          <w:p>
            <w:pPr>
              <w:widowControl/>
              <w:spacing w:line="360" w:lineRule="auto"/>
              <w:jc w:val="left"/>
              <w:rPr>
                <w:rFonts w:cs="Calibri" w:asciiTheme="minorEastAsia" w:hAnsiTheme="minorEastAsia"/>
                <w:kern w:val="0"/>
                <w:szCs w:val="21"/>
              </w:rPr>
            </w:pPr>
          </w:p>
        </w:tc>
        <w:tc>
          <w:tcPr>
            <w:tcW w:w="1246" w:type="dxa"/>
            <w:shd w:val="clear" w:color="auto" w:fill="auto"/>
          </w:tcPr>
          <w:p>
            <w:pPr>
              <w:widowControl/>
              <w:spacing w:line="360" w:lineRule="auto"/>
              <w:jc w:val="left"/>
              <w:rPr>
                <w:rFonts w:cs="Calibri" w:asciiTheme="minorEastAsia" w:hAnsiTheme="minorEastAsia"/>
                <w:kern w:val="0"/>
                <w:szCs w:val="21"/>
              </w:rPr>
            </w:pPr>
          </w:p>
        </w:tc>
        <w:tc>
          <w:tcPr>
            <w:tcW w:w="860" w:type="dxa"/>
            <w:shd w:val="clear" w:color="auto" w:fill="auto"/>
          </w:tcPr>
          <w:p>
            <w:pPr>
              <w:widowControl/>
              <w:spacing w:line="360" w:lineRule="auto"/>
              <w:jc w:val="left"/>
              <w:rPr>
                <w:rFonts w:cs="Calibri"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9" w:type="dxa"/>
          </w:tcPr>
          <w:p>
            <w:pPr>
              <w:widowControl/>
              <w:spacing w:line="360" w:lineRule="auto"/>
              <w:jc w:val="left"/>
              <w:rPr>
                <w:rFonts w:cs="Calibri" w:asciiTheme="minorEastAsia" w:hAnsiTheme="minorEastAsia"/>
                <w:kern w:val="0"/>
                <w:szCs w:val="21"/>
              </w:rPr>
            </w:pPr>
          </w:p>
        </w:tc>
        <w:tc>
          <w:tcPr>
            <w:tcW w:w="1567" w:type="dxa"/>
          </w:tcPr>
          <w:p>
            <w:pPr>
              <w:widowControl/>
              <w:spacing w:line="360" w:lineRule="auto"/>
              <w:jc w:val="left"/>
              <w:rPr>
                <w:rFonts w:cs="Calibri" w:asciiTheme="minorEastAsia" w:hAnsiTheme="minorEastAsia"/>
                <w:kern w:val="0"/>
                <w:szCs w:val="21"/>
              </w:rPr>
            </w:pPr>
          </w:p>
        </w:tc>
        <w:tc>
          <w:tcPr>
            <w:tcW w:w="7336" w:type="dxa"/>
            <w:gridSpan w:val="8"/>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不含税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9" w:type="dxa"/>
          </w:tcPr>
          <w:p>
            <w:pPr>
              <w:widowControl/>
              <w:spacing w:line="360" w:lineRule="auto"/>
              <w:jc w:val="left"/>
              <w:rPr>
                <w:rFonts w:cs="Calibri" w:asciiTheme="minorEastAsia" w:hAnsiTheme="minorEastAsia"/>
                <w:kern w:val="0"/>
                <w:szCs w:val="21"/>
              </w:rPr>
            </w:pPr>
          </w:p>
        </w:tc>
        <w:tc>
          <w:tcPr>
            <w:tcW w:w="1567" w:type="dxa"/>
          </w:tcPr>
          <w:p>
            <w:pPr>
              <w:widowControl/>
              <w:spacing w:line="360" w:lineRule="auto"/>
              <w:jc w:val="left"/>
              <w:rPr>
                <w:rFonts w:cs="Calibri" w:asciiTheme="minorEastAsia" w:hAnsiTheme="minorEastAsia"/>
                <w:kern w:val="0"/>
                <w:szCs w:val="21"/>
              </w:rPr>
            </w:pPr>
          </w:p>
        </w:tc>
        <w:tc>
          <w:tcPr>
            <w:tcW w:w="7336" w:type="dxa"/>
            <w:gridSpan w:val="8"/>
            <w:shd w:val="clear" w:color="auto" w:fill="auto"/>
          </w:tcPr>
          <w:p>
            <w:pPr>
              <w:widowControl/>
              <w:spacing w:line="360" w:lineRule="auto"/>
              <w:jc w:val="left"/>
              <w:rPr>
                <w:rFonts w:cs="Calibri" w:asciiTheme="minorEastAsia" w:hAnsiTheme="minorEastAsia"/>
                <w:kern w:val="0"/>
                <w:szCs w:val="21"/>
              </w:rPr>
            </w:pPr>
            <w:r>
              <w:rPr>
                <w:rFonts w:hint="eastAsia" w:cs="Calibri" w:asciiTheme="minorEastAsia" w:hAnsiTheme="minorEastAsia"/>
                <w:kern w:val="0"/>
                <w:szCs w:val="21"/>
              </w:rPr>
              <w:t>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元整</w:t>
            </w:r>
          </w:p>
        </w:tc>
      </w:tr>
    </w:tbl>
    <w:p>
      <w:pPr>
        <w:snapToGrid w:val="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报价有效期：</w:t>
      </w:r>
      <w:r>
        <w:rPr>
          <w:rFonts w:hint="eastAsia" w:asciiTheme="minorEastAsia" w:hAnsiTheme="minorEastAsia"/>
          <w:sz w:val="18"/>
          <w:szCs w:val="18"/>
        </w:rPr>
        <w:t>自应答截止日次日起120个日历日</w:t>
      </w:r>
      <w:r>
        <w:rPr>
          <w:rFonts w:asciiTheme="minorEastAsia" w:hAnsiTheme="minorEastAsia"/>
          <w:sz w:val="18"/>
          <w:szCs w:val="18"/>
        </w:rPr>
        <w:t>。</w:t>
      </w:r>
      <w:r>
        <w:rPr>
          <w:rFonts w:hint="eastAsia" w:asciiTheme="minorEastAsia" w:hAnsiTheme="minorEastAsia"/>
          <w:sz w:val="18"/>
          <w:szCs w:val="18"/>
        </w:rPr>
        <w:t>（请应答人</w:t>
      </w:r>
      <w:r>
        <w:rPr>
          <w:rFonts w:asciiTheme="minorEastAsia" w:hAnsiTheme="minorEastAsia"/>
          <w:sz w:val="18"/>
          <w:szCs w:val="18"/>
        </w:rPr>
        <w:t>响应</w:t>
      </w:r>
      <w:r>
        <w:rPr>
          <w:rFonts w:hint="eastAsia" w:asciiTheme="minorEastAsia" w:hAnsiTheme="minorEastAsia"/>
          <w:sz w:val="18"/>
          <w:szCs w:val="18"/>
        </w:rPr>
        <w:t>）</w:t>
      </w:r>
    </w:p>
    <w:p>
      <w:pPr>
        <w:snapToGrid w:val="0"/>
        <w:rPr>
          <w:rFonts w:asciiTheme="minorEastAsia" w:hAnsiTheme="minorEastAsia"/>
          <w:sz w:val="18"/>
          <w:szCs w:val="18"/>
        </w:rPr>
      </w:pPr>
      <w:r>
        <w:rPr>
          <w:rFonts w:hint="eastAsia" w:asciiTheme="minorEastAsia" w:hAnsiTheme="minorEastAsia"/>
          <w:sz w:val="18"/>
          <w:szCs w:val="18"/>
        </w:rPr>
        <w:t>2、服务期</w:t>
      </w:r>
      <w:r>
        <w:rPr>
          <w:rFonts w:asciiTheme="minorEastAsia" w:hAnsiTheme="minorEastAsia"/>
          <w:sz w:val="18"/>
          <w:szCs w:val="18"/>
        </w:rPr>
        <w:t>：</w:t>
      </w:r>
      <w:r>
        <w:rPr>
          <w:rFonts w:hint="eastAsia" w:asciiTheme="minorEastAsia" w:hAnsiTheme="minorEastAsia"/>
          <w:sz w:val="18"/>
          <w:szCs w:val="18"/>
        </w:rPr>
        <w:t>合同签定后，接甲方通知45天内完成服务</w:t>
      </w:r>
      <w:r>
        <w:rPr>
          <w:rFonts w:asciiTheme="minorEastAsia" w:hAnsiTheme="minorEastAsia"/>
          <w:sz w:val="18"/>
          <w:szCs w:val="18"/>
        </w:rPr>
        <w:t>。</w:t>
      </w:r>
      <w:r>
        <w:rPr>
          <w:rFonts w:hint="eastAsia" w:asciiTheme="minorEastAsia" w:hAnsiTheme="minorEastAsia"/>
          <w:sz w:val="18"/>
          <w:szCs w:val="18"/>
        </w:rPr>
        <w:t>（请应答人</w:t>
      </w:r>
      <w:r>
        <w:rPr>
          <w:rFonts w:asciiTheme="minorEastAsia" w:hAnsiTheme="minorEastAsia"/>
          <w:sz w:val="18"/>
          <w:szCs w:val="18"/>
        </w:rPr>
        <w:t>响应</w:t>
      </w:r>
      <w:r>
        <w:rPr>
          <w:rFonts w:hint="eastAsia" w:asciiTheme="minorEastAsia" w:hAnsiTheme="minorEastAsia"/>
          <w:sz w:val="18"/>
          <w:szCs w:val="18"/>
        </w:rPr>
        <w:t>）</w:t>
      </w:r>
    </w:p>
    <w:p>
      <w:pPr>
        <w:pStyle w:val="43"/>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3、付款条款：（1）付款方式：银行电汇</w:t>
      </w:r>
    </w:p>
    <w:p>
      <w:pPr>
        <w:pStyle w:val="43"/>
        <w:ind w:firstLine="0"/>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（2）安装调试验收合格后并提供相关支持文件后，接甲方通知开具合同总额100%的增值税专用发票（税率6%），甲方于收到发票后45日内支付合同金额95%的费用。</w:t>
      </w:r>
    </w:p>
    <w:p>
      <w:pPr>
        <w:pStyle w:val="43"/>
        <w:ind w:firstLine="0"/>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2）5%作为质保金，于质保期结束后，接乙方付款申请并确认无质量问题后，45天内支付。质保期为12个月，于安装调试验收合格之次日起开始计算</w:t>
      </w:r>
    </w:p>
    <w:p>
      <w:pPr>
        <w:pStyle w:val="43"/>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（3）如付款到期日为非银行工作日，则付款到期日顺延至下一个银行工作日。</w:t>
      </w:r>
    </w:p>
    <w:p>
      <w:pPr>
        <w:pStyle w:val="43"/>
        <w:ind w:firstLine="0"/>
        <w:jc w:val="left"/>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以上报价包括：备品备件费、现场勘察费、报告编制费、交通住宿费、管理费、服务费、税费、利润、税金/其它等完成检测评估服务的所有费用，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Theme="minorEastAsia" w:hAnsiTheme="minorEastAsia" w:eastAsiaTheme="minorEastAsia"/>
          <w:sz w:val="18"/>
          <w:szCs w:val="18"/>
        </w:rPr>
        <w:t>响应</w:t>
      </w:r>
      <w:r>
        <w:rPr>
          <w:rFonts w:hint="eastAsia" w:asciiTheme="minorEastAsia" w:hAnsiTheme="minorEastAsia" w:eastAsiaTheme="minorEastAsia"/>
          <w:sz w:val="18"/>
          <w:szCs w:val="18"/>
        </w:rPr>
        <w:t>）</w:t>
      </w:r>
    </w:p>
    <w:p>
      <w:pPr>
        <w:pStyle w:val="43"/>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4、开具</w:t>
      </w:r>
      <w:r>
        <w:rPr>
          <w:rFonts w:asciiTheme="minorEastAsia" w:hAnsiTheme="minorEastAsia" w:eastAsiaTheme="minorEastAsia"/>
          <w:sz w:val="18"/>
          <w:szCs w:val="18"/>
        </w:rPr>
        <w:t>发票种类：增值税专用发票</w:t>
      </w:r>
      <w:r>
        <w:rPr>
          <w:rFonts w:hint="eastAsia" w:asciiTheme="minorEastAsia" w:hAnsiTheme="minorEastAsia" w:eastAsiaTheme="minorEastAsia"/>
          <w:sz w:val="18"/>
          <w:szCs w:val="18"/>
        </w:rPr>
        <w:t>/</w:t>
      </w:r>
      <w:r>
        <w:rPr>
          <w:rFonts w:asciiTheme="minorEastAsia" w:hAnsiTheme="minorEastAsia" w:eastAsiaTheme="minorEastAsia"/>
          <w:sz w:val="18"/>
          <w:szCs w:val="18"/>
        </w:rPr>
        <w:t>增值税普通发票</w:t>
      </w:r>
      <w:r>
        <w:rPr>
          <w:rFonts w:hint="eastAsia" w:asciiTheme="minorEastAsia" w:hAnsiTheme="minorEastAsia" w:eastAsiaTheme="minorEastAsia"/>
          <w:sz w:val="18"/>
          <w:szCs w:val="18"/>
        </w:rPr>
        <w:t>/</w:t>
      </w:r>
      <w:r>
        <w:rPr>
          <w:rFonts w:asciiTheme="minorEastAsia" w:hAnsiTheme="minorEastAsia" w:eastAsiaTheme="minorEastAsia"/>
          <w:sz w:val="18"/>
          <w:szCs w:val="18"/>
        </w:rPr>
        <w:t>其它</w:t>
      </w:r>
      <w:r>
        <w:rPr>
          <w:rFonts w:hint="eastAsia" w:asciiTheme="minorEastAsia" w:hAnsiTheme="minorEastAsia" w:eastAsiaTheme="minorEastAsia"/>
          <w:sz w:val="18"/>
          <w:szCs w:val="18"/>
        </w:rPr>
        <w:t>。（请应答人</w:t>
      </w:r>
      <w:r>
        <w:rPr>
          <w:rFonts w:asciiTheme="minorEastAsia" w:hAnsiTheme="minorEastAsia" w:eastAsiaTheme="minorEastAsia"/>
          <w:sz w:val="18"/>
          <w:szCs w:val="18"/>
        </w:rPr>
        <w:t>如实填写</w:t>
      </w:r>
      <w:r>
        <w:rPr>
          <w:rFonts w:hint="eastAsia" w:asciiTheme="minorEastAsia" w:hAnsiTheme="minorEastAsia" w:eastAsiaTheme="minorEastAsia"/>
          <w:sz w:val="18"/>
          <w:szCs w:val="18"/>
        </w:rPr>
        <w:t>具体</w:t>
      </w:r>
      <w:r>
        <w:rPr>
          <w:rFonts w:asciiTheme="minorEastAsia" w:hAnsiTheme="minorEastAsia" w:eastAsiaTheme="minorEastAsia"/>
          <w:sz w:val="18"/>
          <w:szCs w:val="18"/>
        </w:rPr>
        <w:t>发票种类</w:t>
      </w:r>
      <w:r>
        <w:rPr>
          <w:rFonts w:hint="eastAsia" w:asciiTheme="minorEastAsia" w:hAnsiTheme="minorEastAsia" w:eastAsiaTheme="minorEastAsia"/>
          <w:sz w:val="18"/>
          <w:szCs w:val="18"/>
        </w:rPr>
        <w:t>）</w:t>
      </w:r>
    </w:p>
    <w:p>
      <w:pPr>
        <w:pStyle w:val="43"/>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5、其它</w:t>
      </w:r>
      <w:r>
        <w:rPr>
          <w:rFonts w:asciiTheme="minorEastAsia" w:hAnsiTheme="minorEastAsia" w:eastAsiaTheme="minorEastAsia"/>
          <w:sz w:val="18"/>
          <w:szCs w:val="18"/>
        </w:rPr>
        <w:t>。应答人如有其它说明请补充。</w:t>
      </w:r>
    </w:p>
    <w:p>
      <w:pPr>
        <w:pStyle w:val="43"/>
        <w:ind w:firstLine="0"/>
        <w:jc w:val="left"/>
        <w:rPr>
          <w:rFonts w:asciiTheme="minorEastAsia" w:hAnsiTheme="minorEastAsia" w:eastAsiaTheme="minorEastAsia"/>
          <w:sz w:val="18"/>
          <w:szCs w:val="18"/>
        </w:rPr>
      </w:pPr>
      <w:r>
        <w:rPr>
          <w:rFonts w:hint="eastAsia" w:asciiTheme="minorEastAsia" w:hAnsiTheme="minorEastAsia" w:eastAsiaTheme="minorEastAsia"/>
          <w:sz w:val="18"/>
          <w:szCs w:val="18"/>
        </w:rPr>
        <w:t>6、应答人商务联系人姓名________电话_______________邮箱_______________</w:t>
      </w:r>
    </w:p>
    <w:p>
      <w:pPr>
        <w:pStyle w:val="43"/>
        <w:spacing w:line="360" w:lineRule="auto"/>
        <w:ind w:right="840" w:firstLine="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报价单位</w:t>
      </w:r>
      <w:r>
        <w:rPr>
          <w:rFonts w:asciiTheme="minorEastAsia" w:hAnsiTheme="minorEastAsia" w:eastAsiaTheme="minorEastAsia"/>
          <w:sz w:val="18"/>
          <w:szCs w:val="18"/>
        </w:rPr>
        <w:t>名称：***</w:t>
      </w:r>
      <w:r>
        <w:rPr>
          <w:rFonts w:hint="eastAsia" w:asciiTheme="minorEastAsia" w:hAnsiTheme="minorEastAsia" w:eastAsiaTheme="minorEastAsia"/>
          <w:sz w:val="18"/>
          <w:szCs w:val="18"/>
        </w:rPr>
        <w:t>（加盖</w:t>
      </w:r>
      <w:r>
        <w:rPr>
          <w:rFonts w:asciiTheme="minorEastAsia" w:hAnsiTheme="minorEastAsia" w:eastAsiaTheme="minorEastAsia"/>
          <w:sz w:val="18"/>
          <w:szCs w:val="18"/>
        </w:rPr>
        <w:t>公章</w:t>
      </w:r>
      <w:r>
        <w:rPr>
          <w:rFonts w:hint="eastAsia" w:asciiTheme="minorEastAsia" w:hAnsiTheme="minorEastAsia" w:eastAsiaTheme="minorEastAsia"/>
          <w:sz w:val="18"/>
          <w:szCs w:val="18"/>
        </w:rPr>
        <w:t>）</w:t>
      </w:r>
    </w:p>
    <w:p>
      <w:pPr>
        <w:pStyle w:val="43"/>
        <w:spacing w:line="360" w:lineRule="auto"/>
        <w:ind w:right="840" w:firstLine="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法定代表人（单位负责人）或其委托代理人签字：***</w:t>
      </w:r>
    </w:p>
    <w:p>
      <w:pPr>
        <w:pStyle w:val="43"/>
        <w:spacing w:line="360" w:lineRule="auto"/>
        <w:ind w:right="840" w:firstLine="2700" w:firstLineChars="1500"/>
        <w:jc w:val="center"/>
        <w:rPr>
          <w:sz w:val="18"/>
          <w:szCs w:val="18"/>
        </w:rPr>
      </w:pPr>
      <w:r>
        <w:rPr>
          <w:rFonts w:hint="eastAsia" w:asciiTheme="minorEastAsia" w:hAnsiTheme="minorEastAsia"/>
          <w:sz w:val="18"/>
          <w:szCs w:val="18"/>
        </w:rPr>
        <w:t>报</w:t>
      </w:r>
      <w:r>
        <w:rPr>
          <w:rFonts w:hint="eastAsia" w:asciiTheme="minorEastAsia" w:hAnsiTheme="minorEastAsia" w:eastAsiaTheme="minorEastAsia"/>
          <w:sz w:val="18"/>
          <w:szCs w:val="18"/>
        </w:rPr>
        <w:t>价日期</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r>
        <w:rPr>
          <w:rFonts w:asciiTheme="minorEastAsia" w:hAnsiTheme="minorEastAsia" w:eastAsiaTheme="minorEastAsia"/>
          <w:sz w:val="18"/>
          <w:szCs w:val="18"/>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8001B"/>
    <w:multiLevelType w:val="singleLevel"/>
    <w:tmpl w:val="A9F8001B"/>
    <w:lvl w:ilvl="0" w:tentative="0">
      <w:start w:val="1"/>
      <w:numFmt w:val="decimal"/>
      <w:suff w:val="nothing"/>
      <w:lvlText w:val="（%1）"/>
      <w:lvlJc w:val="left"/>
    </w:lvl>
  </w:abstractNum>
  <w:abstractNum w:abstractNumId="1">
    <w:nsid w:val="60BA4EED"/>
    <w:multiLevelType w:val="singleLevel"/>
    <w:tmpl w:val="60BA4EED"/>
    <w:lvl w:ilvl="0" w:tentative="0">
      <w:start w:val="1"/>
      <w:numFmt w:val="chineseCounting"/>
      <w:suff w:val="nothing"/>
      <w:lvlText w:val="%1、"/>
      <w:lvlJc w:val="left"/>
      <w:rPr>
        <w:rFonts w:hint="eastAsia"/>
      </w:rPr>
    </w:lvl>
  </w:abstractNum>
  <w:abstractNum w:abstractNumId="2">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3758D"/>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20DE"/>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D60E5"/>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587492"/>
    <w:rsid w:val="017967AC"/>
    <w:rsid w:val="01A14758"/>
    <w:rsid w:val="01B97ACA"/>
    <w:rsid w:val="01BB351E"/>
    <w:rsid w:val="02293695"/>
    <w:rsid w:val="027E3B30"/>
    <w:rsid w:val="02987ACD"/>
    <w:rsid w:val="031B4CE9"/>
    <w:rsid w:val="032F103F"/>
    <w:rsid w:val="034D72B2"/>
    <w:rsid w:val="036B136E"/>
    <w:rsid w:val="03A64228"/>
    <w:rsid w:val="03C549C8"/>
    <w:rsid w:val="040C6E91"/>
    <w:rsid w:val="041437A4"/>
    <w:rsid w:val="0442138C"/>
    <w:rsid w:val="04927F7C"/>
    <w:rsid w:val="04DB0285"/>
    <w:rsid w:val="04EE495B"/>
    <w:rsid w:val="05800AA3"/>
    <w:rsid w:val="059B46A8"/>
    <w:rsid w:val="06092BEA"/>
    <w:rsid w:val="064D75C2"/>
    <w:rsid w:val="065044C0"/>
    <w:rsid w:val="06691DD8"/>
    <w:rsid w:val="06A00E6B"/>
    <w:rsid w:val="06A478F6"/>
    <w:rsid w:val="06C41C49"/>
    <w:rsid w:val="073A2498"/>
    <w:rsid w:val="07794418"/>
    <w:rsid w:val="087F37FD"/>
    <w:rsid w:val="08A40D88"/>
    <w:rsid w:val="08D65666"/>
    <w:rsid w:val="095A50FC"/>
    <w:rsid w:val="097055E2"/>
    <w:rsid w:val="098E03C7"/>
    <w:rsid w:val="09AD0937"/>
    <w:rsid w:val="09B7349E"/>
    <w:rsid w:val="09F2269B"/>
    <w:rsid w:val="0A6F0775"/>
    <w:rsid w:val="0A9671D9"/>
    <w:rsid w:val="0AEB188B"/>
    <w:rsid w:val="0B29724A"/>
    <w:rsid w:val="0B4266BB"/>
    <w:rsid w:val="0B531E35"/>
    <w:rsid w:val="0BAC01B4"/>
    <w:rsid w:val="0BFD0F44"/>
    <w:rsid w:val="0C1A7191"/>
    <w:rsid w:val="0C3A03CD"/>
    <w:rsid w:val="0C434FF4"/>
    <w:rsid w:val="0CAB2C38"/>
    <w:rsid w:val="0CBD2ABF"/>
    <w:rsid w:val="0CEE32B2"/>
    <w:rsid w:val="0D007BE0"/>
    <w:rsid w:val="0D026C09"/>
    <w:rsid w:val="0D2F3ECE"/>
    <w:rsid w:val="0D36577E"/>
    <w:rsid w:val="0DF513F2"/>
    <w:rsid w:val="0EA20611"/>
    <w:rsid w:val="0EA44750"/>
    <w:rsid w:val="0EB219BC"/>
    <w:rsid w:val="0F2D3164"/>
    <w:rsid w:val="0FAA4E26"/>
    <w:rsid w:val="0FD329CD"/>
    <w:rsid w:val="0FE442C8"/>
    <w:rsid w:val="0FF05B46"/>
    <w:rsid w:val="104E637E"/>
    <w:rsid w:val="10DC2046"/>
    <w:rsid w:val="112747B9"/>
    <w:rsid w:val="116358B9"/>
    <w:rsid w:val="11A3156D"/>
    <w:rsid w:val="11C80560"/>
    <w:rsid w:val="11FA2019"/>
    <w:rsid w:val="12404210"/>
    <w:rsid w:val="12CD4474"/>
    <w:rsid w:val="12D573EB"/>
    <w:rsid w:val="12DE0F4D"/>
    <w:rsid w:val="12F13DE0"/>
    <w:rsid w:val="136F1811"/>
    <w:rsid w:val="13991974"/>
    <w:rsid w:val="13A07D9C"/>
    <w:rsid w:val="13A574D6"/>
    <w:rsid w:val="13AB3552"/>
    <w:rsid w:val="13EB3669"/>
    <w:rsid w:val="148A193E"/>
    <w:rsid w:val="14962BF2"/>
    <w:rsid w:val="15112F23"/>
    <w:rsid w:val="15560646"/>
    <w:rsid w:val="15970F61"/>
    <w:rsid w:val="15F97AE2"/>
    <w:rsid w:val="160D2A82"/>
    <w:rsid w:val="1658087C"/>
    <w:rsid w:val="16DD40BD"/>
    <w:rsid w:val="170B0129"/>
    <w:rsid w:val="17270097"/>
    <w:rsid w:val="17927900"/>
    <w:rsid w:val="17A95CD9"/>
    <w:rsid w:val="1839700F"/>
    <w:rsid w:val="18AD616E"/>
    <w:rsid w:val="1940737B"/>
    <w:rsid w:val="195877B5"/>
    <w:rsid w:val="19820A7A"/>
    <w:rsid w:val="19BE1AAB"/>
    <w:rsid w:val="1A182DF0"/>
    <w:rsid w:val="1A2E187A"/>
    <w:rsid w:val="1AF347C3"/>
    <w:rsid w:val="1B5929C7"/>
    <w:rsid w:val="1BF931D7"/>
    <w:rsid w:val="1C4F5EF0"/>
    <w:rsid w:val="1CC02D2D"/>
    <w:rsid w:val="1D2F5DEB"/>
    <w:rsid w:val="1D506145"/>
    <w:rsid w:val="1D646D32"/>
    <w:rsid w:val="1DD763E7"/>
    <w:rsid w:val="1DFB16B0"/>
    <w:rsid w:val="1E5F4C5F"/>
    <w:rsid w:val="1E7A4FD0"/>
    <w:rsid w:val="1E8349E3"/>
    <w:rsid w:val="1E846C1E"/>
    <w:rsid w:val="1EB53B30"/>
    <w:rsid w:val="1ED61050"/>
    <w:rsid w:val="1F0C773E"/>
    <w:rsid w:val="1F1B2614"/>
    <w:rsid w:val="1F510B7E"/>
    <w:rsid w:val="1F6751CA"/>
    <w:rsid w:val="1F731332"/>
    <w:rsid w:val="1FE03C26"/>
    <w:rsid w:val="1FFB1A89"/>
    <w:rsid w:val="20B34A6E"/>
    <w:rsid w:val="20DA7F0E"/>
    <w:rsid w:val="210015CD"/>
    <w:rsid w:val="21374CB3"/>
    <w:rsid w:val="21AE6178"/>
    <w:rsid w:val="21B454D9"/>
    <w:rsid w:val="2258523D"/>
    <w:rsid w:val="226D4A93"/>
    <w:rsid w:val="227C146B"/>
    <w:rsid w:val="22B7139F"/>
    <w:rsid w:val="2363459D"/>
    <w:rsid w:val="23792D2F"/>
    <w:rsid w:val="23C44EB4"/>
    <w:rsid w:val="23C7232D"/>
    <w:rsid w:val="240B77AE"/>
    <w:rsid w:val="2416236F"/>
    <w:rsid w:val="24587C1A"/>
    <w:rsid w:val="24780B22"/>
    <w:rsid w:val="24E77DFA"/>
    <w:rsid w:val="250227E0"/>
    <w:rsid w:val="2535609A"/>
    <w:rsid w:val="255911D5"/>
    <w:rsid w:val="25A75231"/>
    <w:rsid w:val="25F31B81"/>
    <w:rsid w:val="262A10FB"/>
    <w:rsid w:val="27582E99"/>
    <w:rsid w:val="275A6E9B"/>
    <w:rsid w:val="2768684B"/>
    <w:rsid w:val="277E732D"/>
    <w:rsid w:val="27A40D9A"/>
    <w:rsid w:val="27BF12D5"/>
    <w:rsid w:val="27DD40F7"/>
    <w:rsid w:val="285F6BBB"/>
    <w:rsid w:val="28912EC0"/>
    <w:rsid w:val="289E4653"/>
    <w:rsid w:val="289F0B48"/>
    <w:rsid w:val="28A36214"/>
    <w:rsid w:val="28CE7583"/>
    <w:rsid w:val="290D4A28"/>
    <w:rsid w:val="29452A44"/>
    <w:rsid w:val="295E1CE3"/>
    <w:rsid w:val="2984346A"/>
    <w:rsid w:val="299B3D6C"/>
    <w:rsid w:val="299B568F"/>
    <w:rsid w:val="29DA03B0"/>
    <w:rsid w:val="29DB7569"/>
    <w:rsid w:val="2A2B660F"/>
    <w:rsid w:val="2A332146"/>
    <w:rsid w:val="2A9F5694"/>
    <w:rsid w:val="2B4625A1"/>
    <w:rsid w:val="2BBF67B8"/>
    <w:rsid w:val="2C052D52"/>
    <w:rsid w:val="2C192C99"/>
    <w:rsid w:val="2C1F0E07"/>
    <w:rsid w:val="2CD163E1"/>
    <w:rsid w:val="2CD62941"/>
    <w:rsid w:val="2D311594"/>
    <w:rsid w:val="2D762283"/>
    <w:rsid w:val="2D7E7C14"/>
    <w:rsid w:val="2E136AA5"/>
    <w:rsid w:val="2E1B7152"/>
    <w:rsid w:val="2E494392"/>
    <w:rsid w:val="2EF2591B"/>
    <w:rsid w:val="2F80418D"/>
    <w:rsid w:val="2FEC00E5"/>
    <w:rsid w:val="3029773E"/>
    <w:rsid w:val="30413836"/>
    <w:rsid w:val="304A296C"/>
    <w:rsid w:val="3062313F"/>
    <w:rsid w:val="309A1A6F"/>
    <w:rsid w:val="30E402A4"/>
    <w:rsid w:val="31293F09"/>
    <w:rsid w:val="312F1769"/>
    <w:rsid w:val="314822FB"/>
    <w:rsid w:val="318007EE"/>
    <w:rsid w:val="31AF23B1"/>
    <w:rsid w:val="31E43428"/>
    <w:rsid w:val="327D3291"/>
    <w:rsid w:val="32B3677D"/>
    <w:rsid w:val="32DF3A9C"/>
    <w:rsid w:val="336D10F4"/>
    <w:rsid w:val="3375117B"/>
    <w:rsid w:val="33F40DB5"/>
    <w:rsid w:val="340F0448"/>
    <w:rsid w:val="34111CBD"/>
    <w:rsid w:val="348D0637"/>
    <w:rsid w:val="353067F3"/>
    <w:rsid w:val="355B4037"/>
    <w:rsid w:val="35C7006A"/>
    <w:rsid w:val="35E04BDA"/>
    <w:rsid w:val="363A6264"/>
    <w:rsid w:val="368A3B58"/>
    <w:rsid w:val="36A838BA"/>
    <w:rsid w:val="36BF0C66"/>
    <w:rsid w:val="36C831AB"/>
    <w:rsid w:val="36E8546D"/>
    <w:rsid w:val="37405D48"/>
    <w:rsid w:val="378F791B"/>
    <w:rsid w:val="37937CBB"/>
    <w:rsid w:val="379D6FCC"/>
    <w:rsid w:val="37B36433"/>
    <w:rsid w:val="37F66AB8"/>
    <w:rsid w:val="380F27E4"/>
    <w:rsid w:val="381C4EB2"/>
    <w:rsid w:val="38221B71"/>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394512"/>
    <w:rsid w:val="3B3E70E9"/>
    <w:rsid w:val="3B720CEE"/>
    <w:rsid w:val="3B9D199D"/>
    <w:rsid w:val="3BB90864"/>
    <w:rsid w:val="3BBC6ED2"/>
    <w:rsid w:val="3BFA1DF4"/>
    <w:rsid w:val="3C6B58D1"/>
    <w:rsid w:val="3C83314E"/>
    <w:rsid w:val="3C905633"/>
    <w:rsid w:val="3C9C1A33"/>
    <w:rsid w:val="3CA62E9C"/>
    <w:rsid w:val="3CB74AC6"/>
    <w:rsid w:val="3CBB24EF"/>
    <w:rsid w:val="3CC10BE5"/>
    <w:rsid w:val="3CE26DBB"/>
    <w:rsid w:val="3D2D5518"/>
    <w:rsid w:val="3D533A84"/>
    <w:rsid w:val="3D891903"/>
    <w:rsid w:val="3DDD279F"/>
    <w:rsid w:val="3E4037CC"/>
    <w:rsid w:val="3E615322"/>
    <w:rsid w:val="3E772188"/>
    <w:rsid w:val="3E8C661D"/>
    <w:rsid w:val="3EE111F7"/>
    <w:rsid w:val="3EF30CA8"/>
    <w:rsid w:val="3F1E0693"/>
    <w:rsid w:val="3F476FDD"/>
    <w:rsid w:val="3F9A4869"/>
    <w:rsid w:val="3FBC4A1D"/>
    <w:rsid w:val="3FDD5D2F"/>
    <w:rsid w:val="408E3CFE"/>
    <w:rsid w:val="40A971B0"/>
    <w:rsid w:val="415972F5"/>
    <w:rsid w:val="41755AFB"/>
    <w:rsid w:val="417E3DFD"/>
    <w:rsid w:val="41B11DA3"/>
    <w:rsid w:val="41FD666D"/>
    <w:rsid w:val="42363AE4"/>
    <w:rsid w:val="423A63F0"/>
    <w:rsid w:val="4279224C"/>
    <w:rsid w:val="42972BCC"/>
    <w:rsid w:val="42C41E24"/>
    <w:rsid w:val="431C1B42"/>
    <w:rsid w:val="43533C20"/>
    <w:rsid w:val="43542786"/>
    <w:rsid w:val="43D2652D"/>
    <w:rsid w:val="44373FFB"/>
    <w:rsid w:val="445A34E7"/>
    <w:rsid w:val="445C7035"/>
    <w:rsid w:val="44A00541"/>
    <w:rsid w:val="44AD4835"/>
    <w:rsid w:val="452178C6"/>
    <w:rsid w:val="452F4F21"/>
    <w:rsid w:val="45322041"/>
    <w:rsid w:val="46052955"/>
    <w:rsid w:val="466E6504"/>
    <w:rsid w:val="47721B46"/>
    <w:rsid w:val="47950FAB"/>
    <w:rsid w:val="484D79E5"/>
    <w:rsid w:val="485E2C37"/>
    <w:rsid w:val="48774EDA"/>
    <w:rsid w:val="48B90C6B"/>
    <w:rsid w:val="4916306B"/>
    <w:rsid w:val="498B21B5"/>
    <w:rsid w:val="49B63741"/>
    <w:rsid w:val="49C02B87"/>
    <w:rsid w:val="49D243C6"/>
    <w:rsid w:val="4A3B3017"/>
    <w:rsid w:val="4AB61CA3"/>
    <w:rsid w:val="4AD31DA3"/>
    <w:rsid w:val="4B046B09"/>
    <w:rsid w:val="4B87425D"/>
    <w:rsid w:val="4B9111DA"/>
    <w:rsid w:val="4BA45DBB"/>
    <w:rsid w:val="4BAE4AF4"/>
    <w:rsid w:val="4C5770B6"/>
    <w:rsid w:val="4C5A1839"/>
    <w:rsid w:val="4C7572CD"/>
    <w:rsid w:val="4C9F74B1"/>
    <w:rsid w:val="4CA104F6"/>
    <w:rsid w:val="4CED79F8"/>
    <w:rsid w:val="4D426FC0"/>
    <w:rsid w:val="4DD059E1"/>
    <w:rsid w:val="4DED0341"/>
    <w:rsid w:val="4E0E49B4"/>
    <w:rsid w:val="4E1A19F6"/>
    <w:rsid w:val="4E294FCA"/>
    <w:rsid w:val="4E456F05"/>
    <w:rsid w:val="4E603CD2"/>
    <w:rsid w:val="4E636E40"/>
    <w:rsid w:val="4ECC5CC5"/>
    <w:rsid w:val="4F01352B"/>
    <w:rsid w:val="4F2547B0"/>
    <w:rsid w:val="4F311AFC"/>
    <w:rsid w:val="4F314B9F"/>
    <w:rsid w:val="4F385E88"/>
    <w:rsid w:val="4F9A75BC"/>
    <w:rsid w:val="500C7739"/>
    <w:rsid w:val="50333805"/>
    <w:rsid w:val="50406C68"/>
    <w:rsid w:val="50656FCA"/>
    <w:rsid w:val="50A32F39"/>
    <w:rsid w:val="512129F0"/>
    <w:rsid w:val="512E4FFA"/>
    <w:rsid w:val="51835AAE"/>
    <w:rsid w:val="51971635"/>
    <w:rsid w:val="519C3A27"/>
    <w:rsid w:val="51E444D7"/>
    <w:rsid w:val="52272A53"/>
    <w:rsid w:val="52634E37"/>
    <w:rsid w:val="52B171FA"/>
    <w:rsid w:val="535D565D"/>
    <w:rsid w:val="535F77DB"/>
    <w:rsid w:val="540E1365"/>
    <w:rsid w:val="54956561"/>
    <w:rsid w:val="54AA3DF7"/>
    <w:rsid w:val="54B26C85"/>
    <w:rsid w:val="54B61E08"/>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3D707B"/>
    <w:rsid w:val="588D262E"/>
    <w:rsid w:val="590B020F"/>
    <w:rsid w:val="5938747F"/>
    <w:rsid w:val="59766ED3"/>
    <w:rsid w:val="59B966C3"/>
    <w:rsid w:val="5A3316DD"/>
    <w:rsid w:val="5A3819DA"/>
    <w:rsid w:val="5A523A99"/>
    <w:rsid w:val="5A5C5ECC"/>
    <w:rsid w:val="5A6C5452"/>
    <w:rsid w:val="5A807E92"/>
    <w:rsid w:val="5A864044"/>
    <w:rsid w:val="5A873F8B"/>
    <w:rsid w:val="5AD27877"/>
    <w:rsid w:val="5B5A6CFE"/>
    <w:rsid w:val="5B896B40"/>
    <w:rsid w:val="5B8D3369"/>
    <w:rsid w:val="5BD55FCE"/>
    <w:rsid w:val="5BD85C58"/>
    <w:rsid w:val="5C227DB6"/>
    <w:rsid w:val="5D02210A"/>
    <w:rsid w:val="5D3B3F54"/>
    <w:rsid w:val="5D40278C"/>
    <w:rsid w:val="5D46011A"/>
    <w:rsid w:val="5D65502F"/>
    <w:rsid w:val="5DD06C57"/>
    <w:rsid w:val="5DFB6CB9"/>
    <w:rsid w:val="5E9E2A34"/>
    <w:rsid w:val="5EAD3880"/>
    <w:rsid w:val="5F14140D"/>
    <w:rsid w:val="5F8A64CA"/>
    <w:rsid w:val="5FC3025C"/>
    <w:rsid w:val="5FDD0E56"/>
    <w:rsid w:val="60086C66"/>
    <w:rsid w:val="60595BE0"/>
    <w:rsid w:val="60F40D61"/>
    <w:rsid w:val="611D63FB"/>
    <w:rsid w:val="6124336C"/>
    <w:rsid w:val="6152493E"/>
    <w:rsid w:val="617270AD"/>
    <w:rsid w:val="61DE601D"/>
    <w:rsid w:val="620F2220"/>
    <w:rsid w:val="62115573"/>
    <w:rsid w:val="623375C8"/>
    <w:rsid w:val="625A33E9"/>
    <w:rsid w:val="62A80031"/>
    <w:rsid w:val="62CD0FA5"/>
    <w:rsid w:val="62F01E0F"/>
    <w:rsid w:val="62F820BE"/>
    <w:rsid w:val="630F6A0E"/>
    <w:rsid w:val="63274214"/>
    <w:rsid w:val="63AD5092"/>
    <w:rsid w:val="644D2F22"/>
    <w:rsid w:val="64884D94"/>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81C674F"/>
    <w:rsid w:val="68836DC3"/>
    <w:rsid w:val="6887648C"/>
    <w:rsid w:val="68EA31C9"/>
    <w:rsid w:val="68FE71CA"/>
    <w:rsid w:val="68FF5939"/>
    <w:rsid w:val="691B4A91"/>
    <w:rsid w:val="69297877"/>
    <w:rsid w:val="692B5915"/>
    <w:rsid w:val="692C6424"/>
    <w:rsid w:val="69352903"/>
    <w:rsid w:val="69ED6BAA"/>
    <w:rsid w:val="69ED70C3"/>
    <w:rsid w:val="6A0B4089"/>
    <w:rsid w:val="6AD356BF"/>
    <w:rsid w:val="6B33205C"/>
    <w:rsid w:val="6B434652"/>
    <w:rsid w:val="6B9E7527"/>
    <w:rsid w:val="6BA960B3"/>
    <w:rsid w:val="6BEB1B2A"/>
    <w:rsid w:val="6C3D3FC5"/>
    <w:rsid w:val="6CE6394F"/>
    <w:rsid w:val="6D3210FD"/>
    <w:rsid w:val="6D783D26"/>
    <w:rsid w:val="6DEF510F"/>
    <w:rsid w:val="6DF01F33"/>
    <w:rsid w:val="6E146C1B"/>
    <w:rsid w:val="6E9523F6"/>
    <w:rsid w:val="6F275C2F"/>
    <w:rsid w:val="6F3254E8"/>
    <w:rsid w:val="6F5B4BA2"/>
    <w:rsid w:val="6F615273"/>
    <w:rsid w:val="6FD91E50"/>
    <w:rsid w:val="6FEB37AA"/>
    <w:rsid w:val="70F328F1"/>
    <w:rsid w:val="711F0324"/>
    <w:rsid w:val="715E6563"/>
    <w:rsid w:val="71635BDF"/>
    <w:rsid w:val="722C1DE6"/>
    <w:rsid w:val="724E2F94"/>
    <w:rsid w:val="725620A9"/>
    <w:rsid w:val="72A74020"/>
    <w:rsid w:val="72CE6A57"/>
    <w:rsid w:val="730B78D2"/>
    <w:rsid w:val="735F1183"/>
    <w:rsid w:val="73BA3D76"/>
    <w:rsid w:val="73ED7C13"/>
    <w:rsid w:val="745E3FF9"/>
    <w:rsid w:val="747A11FA"/>
    <w:rsid w:val="7593678E"/>
    <w:rsid w:val="75A422A1"/>
    <w:rsid w:val="76525BE7"/>
    <w:rsid w:val="76573A8E"/>
    <w:rsid w:val="76BF62FB"/>
    <w:rsid w:val="76C259ED"/>
    <w:rsid w:val="76D550BD"/>
    <w:rsid w:val="77161162"/>
    <w:rsid w:val="77506C1B"/>
    <w:rsid w:val="78CE2547"/>
    <w:rsid w:val="78CF18BA"/>
    <w:rsid w:val="79EB4424"/>
    <w:rsid w:val="79FE72AE"/>
    <w:rsid w:val="7A846AC2"/>
    <w:rsid w:val="7B2909D9"/>
    <w:rsid w:val="7B5876BE"/>
    <w:rsid w:val="7B850B4A"/>
    <w:rsid w:val="7B9E6640"/>
    <w:rsid w:val="7BC47D5E"/>
    <w:rsid w:val="7C045E06"/>
    <w:rsid w:val="7C1B682B"/>
    <w:rsid w:val="7C7D516C"/>
    <w:rsid w:val="7CBA372B"/>
    <w:rsid w:val="7CBB0FC0"/>
    <w:rsid w:val="7CEE181D"/>
    <w:rsid w:val="7D073BAD"/>
    <w:rsid w:val="7D26110F"/>
    <w:rsid w:val="7D4038D7"/>
    <w:rsid w:val="7D7F0DE3"/>
    <w:rsid w:val="7DBA5E84"/>
    <w:rsid w:val="7E094B88"/>
    <w:rsid w:val="7E725124"/>
    <w:rsid w:val="7E815898"/>
    <w:rsid w:val="7F43615B"/>
    <w:rsid w:val="7F4A1012"/>
    <w:rsid w:val="7F744FDF"/>
    <w:rsid w:val="7FC5755B"/>
    <w:rsid w:val="7FCA225D"/>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keepNext w:val="0"/>
    </w:pPr>
    <w:rPr>
      <w:rFonts w:ascii="宋体" w:hAnsi="Courier New" w:eastAsia="宋体" w:cs="Courier New"/>
      <w:szCs w:val="21"/>
    </w:rPr>
  </w:style>
  <w:style w:type="paragraph" w:styleId="7">
    <w:name w:val="Normal Indent"/>
    <w:basedOn w:val="1"/>
    <w:next w:val="8"/>
    <w:qFormat/>
    <w:uiPriority w:val="0"/>
    <w:pPr>
      <w:ind w:firstLine="420" w:firstLineChars="200"/>
    </w:pPr>
    <w:rPr>
      <w:rFonts w:ascii="Times New Roman" w:hAnsi="Times New Roman"/>
      <w:szCs w:val="24"/>
    </w:rPr>
  </w:style>
  <w:style w:type="paragraph" w:styleId="8">
    <w:name w:val="toc 2"/>
    <w:basedOn w:val="1"/>
    <w:next w:val="1"/>
    <w:semiHidden/>
    <w:unhideWhenUsed/>
    <w:qFormat/>
    <w:uiPriority w:val="39"/>
    <w:pPr>
      <w:ind w:left="420" w:leftChars="200"/>
    </w:pPr>
  </w:style>
  <w:style w:type="paragraph" w:styleId="9">
    <w:name w:val="annotation text"/>
    <w:basedOn w:val="1"/>
    <w:link w:val="47"/>
    <w:unhideWhenUsed/>
    <w:qFormat/>
    <w:uiPriority w:val="99"/>
    <w:pPr>
      <w:jc w:val="left"/>
    </w:pPr>
  </w:style>
  <w:style w:type="paragraph" w:styleId="10">
    <w:name w:val="Body Text"/>
    <w:basedOn w:val="1"/>
    <w:next w:val="1"/>
    <w:link w:val="50"/>
    <w:qFormat/>
    <w:uiPriority w:val="1"/>
    <w:pPr>
      <w:spacing w:before="36"/>
      <w:ind w:left="780"/>
      <w:jc w:val="left"/>
    </w:pPr>
    <w:rPr>
      <w:rFonts w:ascii="宋体" w:hAnsi="宋体" w:eastAsia="宋体"/>
      <w:kern w:val="0"/>
      <w:szCs w:val="21"/>
      <w:lang w:eastAsia="en-US"/>
    </w:rPr>
  </w:style>
  <w:style w:type="paragraph" w:styleId="11">
    <w:name w:val="Body Text Indent"/>
    <w:basedOn w:val="1"/>
    <w:next w:val="12"/>
    <w:unhideWhenUsed/>
    <w:qFormat/>
    <w:uiPriority w:val="0"/>
    <w:pPr>
      <w:spacing w:after="120"/>
      <w:ind w:left="420" w:leftChars="200"/>
    </w:pPr>
  </w:style>
  <w:style w:type="paragraph" w:styleId="12">
    <w:name w:val="envelope return"/>
    <w:basedOn w:val="1"/>
    <w:qFormat/>
    <w:uiPriority w:val="0"/>
    <w:pPr>
      <w:snapToGrid w:val="0"/>
    </w:pPr>
    <w:rPr>
      <w:rFonts w:ascii="Arial" w:hAnsi="Arial" w:eastAsia="等线" w:cs="等线"/>
    </w:rPr>
  </w:style>
  <w:style w:type="paragraph" w:styleId="13">
    <w:name w:val="toc 3"/>
    <w:basedOn w:val="1"/>
    <w:next w:val="1"/>
    <w:unhideWhenUsed/>
    <w:qFormat/>
    <w:uiPriority w:val="39"/>
    <w:pPr>
      <w:widowControl/>
      <w:spacing w:after="100" w:line="259" w:lineRule="auto"/>
      <w:ind w:left="440"/>
    </w:pPr>
    <w:rPr>
      <w:rFonts w:cs="Times New Roman"/>
    </w:rPr>
  </w:style>
  <w:style w:type="paragraph" w:styleId="14">
    <w:name w:val="Date"/>
    <w:basedOn w:val="1"/>
    <w:next w:val="1"/>
    <w:qFormat/>
    <w:uiPriority w:val="0"/>
    <w:pPr>
      <w:widowControl/>
      <w:overflowPunct w:val="0"/>
      <w:autoSpaceDE w:val="0"/>
      <w:autoSpaceDN w:val="0"/>
      <w:adjustRightInd w:val="0"/>
      <w:textAlignment w:val="baseline"/>
    </w:pPr>
    <w:rPr>
      <w:rFonts w:ascii="楷体" w:eastAsia="楷体"/>
      <w:kern w:val="0"/>
      <w:sz w:val="24"/>
      <w:szCs w:val="20"/>
      <w:lang w:eastAsia="en-US"/>
    </w:rPr>
  </w:style>
  <w:style w:type="paragraph" w:styleId="15">
    <w:name w:val="Body Text Indent 2"/>
    <w:basedOn w:val="1"/>
    <w:qFormat/>
    <w:uiPriority w:val="0"/>
    <w:pPr>
      <w:tabs>
        <w:tab w:val="left" w:pos="480"/>
        <w:tab w:val="left" w:pos="1080"/>
        <w:tab w:val="left" w:pos="7200"/>
      </w:tabs>
      <w:spacing w:line="360" w:lineRule="atLeast"/>
      <w:ind w:left="720" w:hanging="567"/>
    </w:pPr>
    <w:rPr>
      <w:rFonts w:ascii="Arial" w:hAnsi="Arial"/>
      <w:sz w:val="24"/>
    </w:rPr>
  </w:style>
  <w:style w:type="paragraph" w:styleId="16">
    <w:name w:val="Balloon Text"/>
    <w:basedOn w:val="1"/>
    <w:link w:val="46"/>
    <w:semiHidden/>
    <w:unhideWhenUsed/>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Title"/>
    <w:basedOn w:val="1"/>
    <w:qFormat/>
    <w:uiPriority w:val="0"/>
    <w:pPr>
      <w:spacing w:before="240" w:after="60"/>
      <w:jc w:val="center"/>
      <w:outlineLvl w:val="0"/>
    </w:pPr>
    <w:rPr>
      <w:rFonts w:ascii="Arial" w:hAnsi="Arial" w:eastAsia="楷体_GB2312"/>
      <w:b/>
      <w:bCs/>
      <w:sz w:val="32"/>
      <w:szCs w:val="32"/>
    </w:rPr>
  </w:style>
  <w:style w:type="paragraph" w:styleId="21">
    <w:name w:val="annotation subject"/>
    <w:next w:val="9"/>
    <w:unhideWhenUsed/>
    <w:qFormat/>
    <w:uiPriority w:val="0"/>
    <w:pPr>
      <w:widowControl w:val="0"/>
    </w:pPr>
    <w:rPr>
      <w:rFonts w:asciiTheme="minorHAnsi" w:hAnsiTheme="minorHAnsi" w:eastAsiaTheme="minorEastAsia" w:cstheme="minorBidi"/>
      <w:b/>
      <w:bCs/>
      <w:kern w:val="2"/>
      <w:sz w:val="21"/>
      <w:szCs w:val="22"/>
      <w:lang w:val="en-US" w:eastAsia="zh-CN" w:bidi="ar-SA"/>
    </w:rPr>
  </w:style>
  <w:style w:type="paragraph" w:styleId="22">
    <w:name w:val="Body Text First Indent 2"/>
    <w:basedOn w:val="11"/>
    <w:semiHidden/>
    <w:unhideWhenUsed/>
    <w:qFormat/>
    <w:uiPriority w:val="99"/>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style>
  <w:style w:type="character" w:styleId="27">
    <w:name w:val="FollowedHyperlink"/>
    <w:basedOn w:val="25"/>
    <w:semiHidden/>
    <w:unhideWhenUsed/>
    <w:qFormat/>
    <w:uiPriority w:val="99"/>
    <w:rPr>
      <w:color w:val="333333"/>
      <w:u w:val="none"/>
    </w:rPr>
  </w:style>
  <w:style w:type="character" w:styleId="28">
    <w:name w:val="Emphasis"/>
    <w:basedOn w:val="25"/>
    <w:qFormat/>
    <w:uiPriority w:val="20"/>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basedOn w:val="25"/>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hint="default" w:ascii="monospace" w:hAnsi="monospace" w:eastAsia="monospace" w:cs="monospace"/>
      <w:sz w:val="20"/>
    </w:rPr>
  </w:style>
  <w:style w:type="character" w:styleId="38">
    <w:name w:val="HTML Sample"/>
    <w:basedOn w:val="25"/>
    <w:semiHidden/>
    <w:unhideWhenUsed/>
    <w:qFormat/>
    <w:uiPriority w:val="99"/>
    <w:rPr>
      <w:rFonts w:ascii="monospace" w:hAnsi="monospace" w:eastAsia="monospace" w:cs="monospace"/>
    </w:rPr>
  </w:style>
  <w:style w:type="paragraph" w:customStyle="1" w:styleId="39">
    <w:name w:val="BodyText1I2"/>
    <w:basedOn w:val="40"/>
    <w:qFormat/>
    <w:uiPriority w:val="0"/>
    <w:pPr>
      <w:spacing w:after="0"/>
    </w:pPr>
    <w:rPr>
      <w:rFonts w:ascii="Calibri" w:hAnsi="Calibri"/>
    </w:rPr>
  </w:style>
  <w:style w:type="paragraph" w:customStyle="1" w:styleId="40">
    <w:name w:val="BodyTextIndent"/>
    <w:basedOn w:val="1"/>
    <w:next w:val="41"/>
    <w:qFormat/>
    <w:uiPriority w:val="0"/>
    <w:pPr>
      <w:spacing w:after="120"/>
      <w:ind w:left="200" w:leftChars="200"/>
      <w:textAlignment w:val="baseline"/>
    </w:pPr>
    <w:rPr>
      <w:rFonts w:ascii="Times New Roman" w:hAnsi="Times New Roman"/>
      <w:szCs w:val="24"/>
    </w:rPr>
  </w:style>
  <w:style w:type="paragraph" w:customStyle="1" w:styleId="41">
    <w:name w:val="NormalIndent"/>
    <w:basedOn w:val="1"/>
    <w:qFormat/>
    <w:uiPriority w:val="0"/>
    <w:pPr>
      <w:textAlignment w:val="baseline"/>
    </w:pPr>
    <w:rPr>
      <w:rFonts w:ascii="Times New Roman" w:hAnsi="Times New Roman" w:eastAsia="仿宋"/>
      <w:sz w:val="32"/>
      <w:szCs w:val="24"/>
    </w:rPr>
  </w:style>
  <w:style w:type="paragraph" w:customStyle="1" w:styleId="42">
    <w:name w:val="书目1"/>
    <w:basedOn w:val="1"/>
    <w:next w:val="1"/>
    <w:unhideWhenUsed/>
    <w:qFormat/>
    <w:uiPriority w:val="37"/>
  </w:style>
  <w:style w:type="paragraph" w:styleId="43">
    <w:name w:val="List Paragraph"/>
    <w:basedOn w:val="1"/>
    <w:qFormat/>
    <w:uiPriority w:val="34"/>
    <w:pPr>
      <w:widowControl/>
      <w:ind w:firstLine="420"/>
    </w:pPr>
    <w:rPr>
      <w:rFonts w:ascii="Calibri" w:hAnsi="Calibri" w:eastAsia="宋体" w:cs="Calibri"/>
      <w:kern w:val="0"/>
      <w:szCs w:val="21"/>
    </w:rPr>
  </w:style>
  <w:style w:type="character" w:customStyle="1" w:styleId="44">
    <w:name w:val="页眉 字符"/>
    <w:basedOn w:val="25"/>
    <w:link w:val="18"/>
    <w:qFormat/>
    <w:uiPriority w:val="0"/>
    <w:rPr>
      <w:sz w:val="18"/>
      <w:szCs w:val="18"/>
    </w:rPr>
  </w:style>
  <w:style w:type="character" w:customStyle="1" w:styleId="45">
    <w:name w:val="页脚 字符"/>
    <w:basedOn w:val="25"/>
    <w:link w:val="17"/>
    <w:qFormat/>
    <w:uiPriority w:val="99"/>
    <w:rPr>
      <w:sz w:val="18"/>
      <w:szCs w:val="18"/>
    </w:rPr>
  </w:style>
  <w:style w:type="character" w:customStyle="1" w:styleId="46">
    <w:name w:val="批注框文本 字符"/>
    <w:basedOn w:val="25"/>
    <w:link w:val="16"/>
    <w:semiHidden/>
    <w:qFormat/>
    <w:uiPriority w:val="99"/>
    <w:rPr>
      <w:sz w:val="18"/>
      <w:szCs w:val="18"/>
    </w:rPr>
  </w:style>
  <w:style w:type="character" w:customStyle="1" w:styleId="47">
    <w:name w:val="批注文字 字符"/>
    <w:basedOn w:val="25"/>
    <w:link w:val="9"/>
    <w:qFormat/>
    <w:uiPriority w:val="99"/>
  </w:style>
  <w:style w:type="paragraph" w:customStyle="1" w:styleId="48">
    <w:name w:val="Table Paragraph"/>
    <w:basedOn w:val="1"/>
    <w:qFormat/>
    <w:uiPriority w:val="0"/>
    <w:pPr>
      <w:jc w:val="left"/>
    </w:pPr>
    <w:rPr>
      <w:kern w:val="0"/>
      <w:sz w:val="22"/>
      <w:lang w:eastAsia="en-US"/>
    </w:rPr>
  </w:style>
  <w:style w:type="paragraph" w:customStyle="1" w:styleId="49">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50">
    <w:name w:val="正文文本 字符"/>
    <w:basedOn w:val="25"/>
    <w:link w:val="10"/>
    <w:qFormat/>
    <w:uiPriority w:val="1"/>
    <w:rPr>
      <w:rFonts w:ascii="宋体" w:hAnsi="宋体" w:cstheme="minorBidi"/>
      <w:sz w:val="21"/>
      <w:szCs w:val="21"/>
      <w:lang w:eastAsia="en-US"/>
    </w:rPr>
  </w:style>
  <w:style w:type="character" w:customStyle="1" w:styleId="51">
    <w:name w:val="font41"/>
    <w:basedOn w:val="25"/>
    <w:qFormat/>
    <w:uiPriority w:val="0"/>
    <w:rPr>
      <w:rFonts w:hint="eastAsia" w:ascii="宋体" w:hAnsi="宋体" w:eastAsia="宋体" w:cs="宋体"/>
      <w:color w:val="000000"/>
      <w:sz w:val="21"/>
      <w:szCs w:val="21"/>
      <w:u w:val="none"/>
    </w:rPr>
  </w:style>
  <w:style w:type="character" w:customStyle="1" w:styleId="52">
    <w:name w:val="font31"/>
    <w:basedOn w:val="25"/>
    <w:qFormat/>
    <w:uiPriority w:val="0"/>
    <w:rPr>
      <w:rFonts w:hint="default" w:ascii="Times New Roman" w:hAnsi="Times New Roman" w:cs="Times New Roman"/>
      <w:color w:val="000000"/>
      <w:sz w:val="21"/>
      <w:szCs w:val="21"/>
      <w:u w:val="none"/>
    </w:rPr>
  </w:style>
  <w:style w:type="paragraph" w:customStyle="1" w:styleId="53">
    <w:name w:val="默认段落字体 Para Char"/>
    <w:basedOn w:val="54"/>
    <w:next w:val="54"/>
    <w:qFormat/>
    <w:uiPriority w:val="0"/>
    <w:pPr>
      <w:widowControl w:val="0"/>
      <w:spacing w:before="80" w:after="80" w:line="360" w:lineRule="auto"/>
      <w:jc w:val="both"/>
    </w:pPr>
    <w:rPr>
      <w:rFonts w:ascii="Calibri" w:hAnsi="Calibri"/>
      <w:kern w:val="2"/>
      <w:szCs w:val="20"/>
    </w:rPr>
  </w:style>
  <w:style w:type="paragraph" w:customStyle="1" w:styleId="54">
    <w:name w:val="Normal_1"/>
    <w:next w:val="53"/>
    <w:qFormat/>
    <w:uiPriority w:val="0"/>
    <w:rPr>
      <w:rFonts w:ascii="Times New Roman" w:hAnsi="Times New Roman" w:eastAsia="Times New Roman" w:cs="Times New Roman"/>
      <w:sz w:val="24"/>
      <w:szCs w:val="24"/>
      <w:lang w:val="en-US" w:eastAsia="zh-CN" w:bidi="ar-SA"/>
    </w:rPr>
  </w:style>
  <w:style w:type="paragraph" w:customStyle="1" w:styleId="55">
    <w:name w:val="Normal_0"/>
    <w:next w:val="53"/>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标题 22"/>
    <w:qFormat/>
    <w:uiPriority w:val="1"/>
    <w:pPr>
      <w:widowControl w:val="0"/>
      <w:ind w:right="5" w:rightChars="5"/>
      <w:outlineLvl w:val="2"/>
    </w:pPr>
    <w:rPr>
      <w:rFonts w:ascii="Noto Sans CJK DemiLight" w:hAnsi="Noto Sans CJK DemiLight" w:eastAsia="Noto Sans CJK DemiLight" w:cs="Times New Roman"/>
      <w:sz w:val="32"/>
      <w:szCs w:val="32"/>
      <w:lang w:val="en-US" w:eastAsia="en-US" w:bidi="ar-SA"/>
    </w:rPr>
  </w:style>
  <w:style w:type="paragraph" w:customStyle="1" w:styleId="5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9">
    <w:name w:val="font01"/>
    <w:basedOn w:val="25"/>
    <w:qFormat/>
    <w:uiPriority w:val="0"/>
    <w:rPr>
      <w:rFonts w:hint="eastAsia" w:ascii="宋体" w:hAnsi="宋体" w:eastAsia="宋体" w:cs="宋体"/>
      <w:color w:val="000000"/>
      <w:sz w:val="20"/>
      <w:szCs w:val="20"/>
      <w:u w:val="none"/>
    </w:rPr>
  </w:style>
  <w:style w:type="character" w:customStyle="1" w:styleId="60">
    <w:name w:val="font51"/>
    <w:basedOn w:val="25"/>
    <w:qFormat/>
    <w:uiPriority w:val="0"/>
    <w:rPr>
      <w:rFonts w:hint="eastAsia" w:ascii="宋体" w:hAnsi="宋体" w:eastAsia="宋体" w:cs="宋体"/>
      <w:color w:val="000000"/>
      <w:sz w:val="22"/>
      <w:szCs w:val="22"/>
      <w:u w:val="none"/>
    </w:rPr>
  </w:style>
  <w:style w:type="character" w:customStyle="1" w:styleId="61">
    <w:name w:val="font21"/>
    <w:basedOn w:val="25"/>
    <w:qFormat/>
    <w:uiPriority w:val="0"/>
    <w:rPr>
      <w:rFonts w:hint="eastAsia" w:ascii="宋体" w:hAnsi="宋体" w:eastAsia="宋体" w:cs="宋体"/>
      <w:color w:val="000000"/>
      <w:sz w:val="22"/>
      <w:szCs w:val="22"/>
      <w:u w:val="none"/>
    </w:rPr>
  </w:style>
  <w:style w:type="paragraph" w:customStyle="1" w:styleId="62">
    <w:name w:val="正文缩进 + 首行缩进 2 字符"/>
    <w:basedOn w:val="63"/>
    <w:qFormat/>
    <w:uiPriority w:val="0"/>
    <w:pPr>
      <w:ind w:firstLine="480"/>
    </w:pPr>
  </w:style>
  <w:style w:type="paragraph" w:customStyle="1" w:styleId="63">
    <w:name w:val="五号正文缩进"/>
    <w:basedOn w:val="64"/>
    <w:qFormat/>
    <w:uiPriority w:val="0"/>
    <w:pPr>
      <w:ind w:firstLine="420"/>
    </w:pPr>
    <w:rPr>
      <w:sz w:val="24"/>
      <w:szCs w:val="20"/>
    </w:rPr>
  </w:style>
  <w:style w:type="paragraph" w:customStyle="1" w:styleId="64">
    <w:name w:val="样式 段前: 7.8 磅 段后: 7.8 磅 首行缩进:  2 字符"/>
    <w:basedOn w:val="55"/>
    <w:qFormat/>
    <w:uiPriority w:val="0"/>
    <w:pPr>
      <w:spacing w:before="120" w:after="120"/>
      <w:ind w:firstLine="200" w:firstLineChars="200"/>
    </w:pPr>
    <w:rPr>
      <w:rFonts w:cs="宋体"/>
      <w:szCs w:val="21"/>
    </w:rPr>
  </w:style>
  <w:style w:type="paragraph" w:customStyle="1" w:styleId="65">
    <w:name w:val="段落文字"/>
    <w:basedOn w:val="1"/>
    <w:qFormat/>
    <w:uiPriority w:val="0"/>
    <w:pPr>
      <w:adjustRightInd w:val="0"/>
      <w:snapToGrid w:val="0"/>
      <w:spacing w:line="360" w:lineRule="auto"/>
      <w:ind w:firstLine="200" w:firstLineChars="200"/>
    </w:pPr>
    <w:rPr>
      <w:rFonts w:ascii="Calibri" w:hAnsi="Calibri" w:eastAsia="宋体" w:cs="宋体"/>
      <w:sz w:val="24"/>
    </w:rPr>
  </w:style>
  <w:style w:type="paragraph" w:customStyle="1" w:styleId="66">
    <w:name w:val="表头"/>
    <w:basedOn w:val="67"/>
    <w:next w:val="67"/>
    <w:qFormat/>
    <w:uiPriority w:val="0"/>
    <w:rPr>
      <w:b/>
    </w:rPr>
  </w:style>
  <w:style w:type="paragraph" w:customStyle="1" w:styleId="67">
    <w:name w:val="表格文字"/>
    <w:basedOn w:val="1"/>
    <w:qFormat/>
    <w:uiPriority w:val="0"/>
    <w:pPr>
      <w:adjustRightInd w:val="0"/>
      <w:snapToGrid w:val="0"/>
      <w:jc w:val="center"/>
    </w:pPr>
    <w:rPr>
      <w:rFonts w:ascii="Arial" w:hAnsi="Arial" w:eastAsia="宋体" w:cs="Arial"/>
    </w:rPr>
  </w:style>
  <w:style w:type="paragraph" w:customStyle="1" w:styleId="68">
    <w:name w:val="章节题目"/>
    <w:basedOn w:val="69"/>
    <w:next w:val="1"/>
    <w:qFormat/>
    <w:uiPriority w:val="0"/>
    <w:pPr>
      <w:spacing w:before="720" w:after="400" w:line="540" w:lineRule="atLeast"/>
      <w:ind w:right="2160"/>
    </w:pPr>
    <w:rPr>
      <w:spacing w:val="-40"/>
      <w:sz w:val="60"/>
    </w:rPr>
  </w:style>
  <w:style w:type="paragraph" w:customStyle="1" w:styleId="69">
    <w:name w:val="基准标题"/>
    <w:basedOn w:val="1"/>
    <w:next w:val="10"/>
    <w:qFormat/>
    <w:uiPriority w:val="0"/>
    <w:pPr>
      <w:keepNext/>
      <w:keepLines/>
      <w:spacing w:before="140" w:line="220" w:lineRule="atLeast"/>
    </w:pPr>
    <w:rPr>
      <w:rFonts w:ascii="Arial" w:hAnsi="Arial"/>
      <w:spacing w:val="-4"/>
      <w:kern w:val="28"/>
    </w:rPr>
  </w:style>
  <w:style w:type="character" w:customStyle="1" w:styleId="70">
    <w:name w:val="font11"/>
    <w:basedOn w:val="25"/>
    <w:qFormat/>
    <w:uiPriority w:val="0"/>
    <w:rPr>
      <w:rFonts w:hint="eastAsia" w:ascii="宋体" w:hAnsi="宋体" w:eastAsia="宋体" w:cs="宋体"/>
      <w:color w:val="000000"/>
      <w:sz w:val="24"/>
      <w:szCs w:val="24"/>
      <w:u w:val="none"/>
    </w:rPr>
  </w:style>
  <w:style w:type="character" w:customStyle="1" w:styleId="71">
    <w:name w:val="font71"/>
    <w:basedOn w:val="25"/>
    <w:qFormat/>
    <w:uiPriority w:val="0"/>
    <w:rPr>
      <w:rFonts w:hint="eastAsia" w:ascii="宋体" w:hAnsi="宋体" w:eastAsia="宋体" w:cs="宋体"/>
      <w:color w:val="000000"/>
      <w:sz w:val="20"/>
      <w:szCs w:val="20"/>
      <w:u w:val="none"/>
    </w:rPr>
  </w:style>
  <w:style w:type="character" w:customStyle="1" w:styleId="72">
    <w:name w:val="样式 楷体_GB2312 黑色"/>
    <w:qFormat/>
    <w:uiPriority w:val="0"/>
    <w:rPr>
      <w:rFonts w:hint="eastAsia" w:ascii="楷体_GB2312" w:hAnsi="楷体_GB2312" w:eastAsia="楷体_GB2312"/>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3335</Words>
  <Characters>19016</Characters>
  <Lines>158</Lines>
  <Paragraphs>44</Paragraphs>
  <TotalTime>5</TotalTime>
  <ScaleCrop>false</ScaleCrop>
  <LinksUpToDate>false</LinksUpToDate>
  <CharactersWithSpaces>22307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2025-04-11T01:15:46Z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