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C3EE6">
      <w:pPr>
        <w:spacing w:line="360" w:lineRule="auto"/>
        <w:jc w:val="center"/>
        <w:outlineLvl w:val="0"/>
        <w:rPr>
          <w:rFonts w:cs="宋体" w:asciiTheme="minorEastAsia" w:hAnsiTheme="minorEastAsia"/>
          <w:color w:val="000000" w:themeColor="text1"/>
          <w:sz w:val="72"/>
          <w:szCs w:val="72"/>
          <w:highlight w:val="none"/>
          <w14:textFill>
            <w14:solidFill>
              <w14:schemeClr w14:val="tx1"/>
            </w14:solidFill>
          </w14:textFill>
        </w:rPr>
      </w:pPr>
      <w:r>
        <w:rPr>
          <w:rFonts w:hint="eastAsia" w:cs="宋体" w:asciiTheme="minorEastAsia" w:hAnsiTheme="minorEastAsia"/>
          <w:color w:val="C00000"/>
          <w:sz w:val="44"/>
          <w:szCs w:val="44"/>
          <w:highlight w:val="none"/>
          <w:lang w:val="en-US" w:eastAsia="zh-CN"/>
        </w:rPr>
        <w:t>公开询价文件</w:t>
      </w:r>
    </w:p>
    <w:p w14:paraId="6E9BF58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14:paraId="5F543621">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14:paraId="6C5A256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7"/>
          <w:szCs w:val="7"/>
          <w:highlight w:val="none"/>
          <w14:textFill>
            <w14:solidFill>
              <w14:schemeClr w14:val="tx1"/>
            </w14:solidFill>
          </w14:textFill>
        </w:rPr>
      </w:pPr>
    </w:p>
    <w:p w14:paraId="74D2FC0B">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C00000"/>
          <w:highlight w:val="none"/>
        </w:rPr>
      </w:pP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lang w:val="en-US" w:eastAsia="zh-CN"/>
        </w:rPr>
        <w:t>项目名称</w:t>
      </w: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u w:val="single"/>
          <w:lang w:val="en-US" w:eastAsia="zh-CN"/>
        </w:rPr>
        <w:t>装备湛江分公司螺杆空气压缩机升级改造及设备购置</w:t>
      </w:r>
      <w:r>
        <w:rPr>
          <w:rFonts w:asciiTheme="minorEastAsia" w:hAnsiTheme="minorEastAsia" w:eastAsiaTheme="minorEastAsia"/>
          <w:color w:val="C00000"/>
          <w:spacing w:val="-3"/>
          <w:highlight w:val="none"/>
          <w:u w:val="single"/>
        </w:rPr>
        <w:tab/>
      </w:r>
      <w:r>
        <w:rPr>
          <w:rFonts w:asciiTheme="minorEastAsia" w:hAnsiTheme="minorEastAsia" w:eastAsiaTheme="minorEastAsia"/>
          <w:color w:val="C00000"/>
          <w:highlight w:val="none"/>
        </w:rPr>
        <w:t>）</w:t>
      </w:r>
    </w:p>
    <w:p w14:paraId="14DC9BD0">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eastAsiaTheme="minorEastAsia"/>
          <w:color w:val="000000" w:themeColor="text1"/>
          <w:spacing w:val="-3"/>
          <w:highlight w:val="none"/>
          <w:u w:val="single"/>
          <w14:textFill>
            <w14:solidFill>
              <w14:schemeClr w14:val="tx1"/>
            </w14:solidFill>
          </w14:textFill>
        </w:rPr>
        <w:t>GKXJ-2025-ZB-1962</w:t>
      </w:r>
      <w:r>
        <w:rPr>
          <w:rFonts w:asciiTheme="minorEastAsia" w:hAnsiTheme="minorEastAsia" w:eastAsiaTheme="minorEastAsia"/>
          <w:color w:val="000000" w:themeColor="text1"/>
          <w:spacing w:val="-3"/>
          <w:highlight w:val="none"/>
          <w:u w:val="singl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w:t>
      </w:r>
    </w:p>
    <w:p w14:paraId="76F0D65D">
      <w:pPr>
        <w:pStyle w:val="10"/>
        <w:rPr>
          <w:highlight w:val="none"/>
        </w:rPr>
      </w:pPr>
    </w:p>
    <w:p w14:paraId="4840728A">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14:paraId="60E4C67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5495CD1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5E6857E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0A10991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7A21C2D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5908093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651FB4C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084FF7A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052A8BE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05ABD82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38F50D8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25E8C8D3">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1500" w:firstLineChars="600"/>
        <w:jc w:val="both"/>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hint="eastAsia" w:cs="宋体" w:asciiTheme="minorEastAsia" w:hAnsiTheme="minorEastAsia"/>
          <w:spacing w:val="-15"/>
          <w:sz w:val="28"/>
          <w:szCs w:val="28"/>
          <w:highlight w:val="none"/>
          <w:u w:val="single"/>
        </w:rPr>
        <w:t>中海油能源发展股份有限公司</w:t>
      </w:r>
    </w:p>
    <w:p w14:paraId="2FF06DD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14:paraId="78D58DD8">
      <w:pPr>
        <w:keepNext w:val="0"/>
        <w:keepLines w:val="0"/>
        <w:pageBreakBefore w:val="0"/>
        <w:widowControl w:val="0"/>
        <w:kinsoku/>
        <w:wordWrap/>
        <w:overflowPunct/>
        <w:topLinePunct w:val="0"/>
        <w:autoSpaceDE/>
        <w:autoSpaceDN/>
        <w:bidi w:val="0"/>
        <w:adjustRightInd/>
        <w:snapToGrid/>
        <w:ind w:firstLine="2520" w:firstLineChars="900"/>
        <w:jc w:val="both"/>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2025</w:t>
      </w:r>
      <w:r>
        <w:rPr>
          <w:rFonts w:cs="宋体" w:asciiTheme="minorEastAsia" w:hAnsiTheme="minorEastAsia"/>
          <w:color w:val="000000" w:themeColor="text1"/>
          <w:sz w:val="28"/>
          <w:szCs w:val="28"/>
          <w:highlight w:val="none"/>
          <w14:textFill>
            <w14:solidFill>
              <w14:schemeClr w14:val="tx1"/>
            </w14:solidFill>
          </w14:textFill>
        </w:rPr>
        <w:t>年</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7</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宋体" w:asciiTheme="minorEastAsia" w:hAnsiTheme="minorEastAsia"/>
          <w:color w:val="000000" w:themeColor="text1"/>
          <w:sz w:val="28"/>
          <w:szCs w:val="28"/>
          <w:highlight w:val="none"/>
          <w:lang w:val="en-US" w:eastAsia="zh-CN"/>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21</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日</w:t>
      </w:r>
    </w:p>
    <w:p w14:paraId="640CF0B5">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14:paraId="5A139F52">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14:paraId="1682282C">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14:paraId="58B669E2">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14:paraId="03ABDF8B">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14:paraId="5C46A3CC">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14:paraId="362288DF">
      <w:pPr>
        <w:pStyle w:val="8"/>
        <w:rPr>
          <w:rFonts w:hint="eastAsia"/>
          <w:color w:val="000000" w:themeColor="text1"/>
          <w:highlight w:val="none"/>
          <w14:textFill>
            <w14:solidFill>
              <w14:schemeClr w14:val="tx1"/>
            </w14:solidFill>
          </w14:textFill>
        </w:rPr>
      </w:pPr>
    </w:p>
    <w:p w14:paraId="0F162400">
      <w:pPr>
        <w:rPr>
          <w:rFonts w:hint="eastAsia"/>
          <w:color w:val="000000" w:themeColor="text1"/>
          <w:highlight w:val="none"/>
          <w14:textFill>
            <w14:solidFill>
              <w14:schemeClr w14:val="tx1"/>
            </w14:solidFill>
          </w14:textFill>
        </w:rPr>
      </w:pPr>
    </w:p>
    <w:p w14:paraId="27BFC6A9">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14:paraId="567FD82E">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14:paraId="533C467C">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lang w:eastAsia="zh-CN"/>
          <w14:textFill>
            <w14:solidFill>
              <w14:schemeClr w14:val="tx1"/>
            </w14:solidFill>
          </w14:textFill>
        </w:rPr>
        <w:t xml:space="preserve"> 装备湛江分公司螺杆空气压缩机升级改造及设备购置</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14:paraId="37AAFCC4">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14:paraId="4A0C2795">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14:paraId="0D636ABD">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14:paraId="53F07F61">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日止。</w:t>
      </w:r>
    </w:p>
    <w:p w14:paraId="1755EA63">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7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21</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14:paraId="09311295">
      <w:pPr>
        <w:numPr>
          <w:ilvl w:val="0"/>
          <w:numId w:val="1"/>
        </w:num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w:t>
      </w:r>
      <w:r>
        <w:rPr>
          <w:rFonts w:hint="eastAsia" w:asciiTheme="minorEastAsia" w:hAnsiTheme="minorEastAsia"/>
          <w:color w:val="000000" w:themeColor="text1"/>
          <w:sz w:val="21"/>
          <w:szCs w:val="21"/>
          <w:highlight w:val="none"/>
          <w:lang w:val="en-US" w:eastAsia="zh-CN"/>
          <w14:textFill>
            <w14:solidFill>
              <w14:schemeClr w14:val="tx1"/>
            </w14:solidFill>
          </w14:textFill>
        </w:rPr>
        <w:t>14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14:paraId="1B99E9E1">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14:paraId="46814082">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14:paraId="46C18E43">
      <w:pPr>
        <w:pStyle w:val="8"/>
        <w:spacing w:line="360" w:lineRule="auto"/>
        <w:rPr>
          <w:rFonts w:hint="eastAsia"/>
          <w:highlight w:val="none"/>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14:paraId="58BD7AE5">
      <w:pPr>
        <w:pStyle w:val="44"/>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14:paraId="2A0C5813">
      <w:pPr>
        <w:pStyle w:val="8"/>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14:paraId="6FEB0C82">
      <w:pPr>
        <w:pStyle w:val="8"/>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14:paraId="19EBF702">
      <w:pPr>
        <w:pStyle w:val="8"/>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14:paraId="424ECAD0">
      <w:pPr>
        <w:pStyle w:val="8"/>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14:paraId="6D998A35">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14:paraId="5B0219B3">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14:paraId="746DFF35">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14:paraId="16D4960E">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14:paraId="11E78C43">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14:paraId="15A39A0B">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14:paraId="4607C329">
      <w:pPr>
        <w:pStyle w:val="8"/>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14:paraId="26B56D9A">
      <w:pPr>
        <w:pStyle w:val="8"/>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14:paraId="4B22C613">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14:paraId="70048E61">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14:paraId="0A650259">
      <w:pPr>
        <w:pStyle w:val="10"/>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p>
    <w:p w14:paraId="0E243206">
      <w:pPr>
        <w:pStyle w:val="10"/>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我方商务代表联系人与联系方式如下：</w:t>
      </w:r>
    </w:p>
    <w:p w14:paraId="6B02139D">
      <w:pPr>
        <w:pStyle w:val="10"/>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联系单位：中海油能源发展装备技术有限公司</w:t>
      </w:r>
    </w:p>
    <w:p w14:paraId="2406D303">
      <w:pPr>
        <w:pStyle w:val="10"/>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联系人：黄镜桥</w:t>
      </w:r>
    </w:p>
    <w:p w14:paraId="4369FE9F">
      <w:pPr>
        <w:pStyle w:val="10"/>
        <w:ind w:left="415" w:leftChars="135" w:right="10" w:hanging="132" w:hangingChars="63"/>
        <w:rPr>
          <w:rFonts w:hint="default"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联系电话：022-66913712</w:t>
      </w:r>
    </w:p>
    <w:p w14:paraId="61D5E9AA">
      <w:pPr>
        <w:ind w:firstLine="298" w:firstLineChars="142"/>
        <w:rPr>
          <w:rFonts w:hint="eastAsia"/>
          <w:highlight w:val="none"/>
          <w:lang w:val="en-US" w:eastAsia="zh-CN"/>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邮  箱：huangjq@cnooc.com.cn</w:t>
      </w:r>
    </w:p>
    <w:p w14:paraId="08EF1FAC">
      <w:pPr>
        <w:rPr>
          <w:rFonts w:hint="eastAsia"/>
          <w:highlight w:val="none"/>
          <w:lang w:val="en-US" w:eastAsia="zh-CN"/>
        </w:rPr>
      </w:pPr>
    </w:p>
    <w:p w14:paraId="425B9DD3">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14:paraId="0E4548D8">
      <w:pPr>
        <w:pStyle w:val="8"/>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14:paraId="3366DCCC">
      <w:pPr>
        <w:pStyle w:val="8"/>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14:paraId="5DC77D15">
      <w:pPr>
        <w:pStyle w:val="8"/>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14:paraId="243E1579">
      <w:pPr>
        <w:pStyle w:val="8"/>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14:paraId="3D97F820">
      <w:pPr>
        <w:pStyle w:val="8"/>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14:paraId="5E251B7D">
      <w:pPr>
        <w:pStyle w:val="8"/>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14:paraId="2A93E9E8">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14:paraId="0D101378">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14:paraId="1AA57743">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14:paraId="1DEB0F11">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20"/>
        <w:tblW w:w="5644" w:type="pct"/>
        <w:jc w:val="center"/>
        <w:tblLayout w:type="fixed"/>
        <w:tblCellMar>
          <w:top w:w="0" w:type="dxa"/>
          <w:left w:w="0" w:type="dxa"/>
          <w:bottom w:w="0" w:type="dxa"/>
          <w:right w:w="0" w:type="dxa"/>
        </w:tblCellMar>
      </w:tblPr>
      <w:tblGrid>
        <w:gridCol w:w="652"/>
        <w:gridCol w:w="570"/>
        <w:gridCol w:w="2426"/>
        <w:gridCol w:w="6213"/>
      </w:tblGrid>
      <w:tr w14:paraId="4BACD97D">
        <w:tblPrEx>
          <w:tblCellMar>
            <w:top w:w="0" w:type="dxa"/>
            <w:left w:w="0" w:type="dxa"/>
            <w:bottom w:w="0" w:type="dxa"/>
            <w:right w:w="0" w:type="dxa"/>
          </w:tblCellMar>
        </w:tblPrEx>
        <w:trPr>
          <w:trHeight w:val="454" w:hRule="atLeast"/>
          <w:jc w:val="center"/>
        </w:trPr>
        <w:tc>
          <w:tcPr>
            <w:tcW w:w="619" w:type="pct"/>
            <w:gridSpan w:val="2"/>
            <w:tcBorders>
              <w:top w:val="single" w:color="000000" w:sz="4" w:space="0"/>
              <w:left w:val="single" w:color="000000" w:sz="4" w:space="0"/>
              <w:bottom w:val="single" w:color="000000" w:sz="4" w:space="0"/>
              <w:right w:val="single" w:color="000000" w:sz="4" w:space="0"/>
            </w:tcBorders>
            <w:vAlign w:val="center"/>
          </w:tcPr>
          <w:p w14:paraId="67264F42">
            <w:pPr>
              <w:pStyle w:val="4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29" w:type="pct"/>
            <w:tcBorders>
              <w:top w:val="single" w:color="000000" w:sz="4" w:space="0"/>
              <w:left w:val="nil"/>
              <w:bottom w:val="single" w:color="000000" w:sz="4" w:space="0"/>
              <w:right w:val="single" w:color="000000" w:sz="4" w:space="0"/>
            </w:tcBorders>
            <w:vAlign w:val="center"/>
          </w:tcPr>
          <w:p w14:paraId="6BF09651">
            <w:pPr>
              <w:pStyle w:val="4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50" w:type="pct"/>
            <w:tcBorders>
              <w:top w:val="single" w:color="000000" w:sz="4" w:space="0"/>
              <w:left w:val="nil"/>
              <w:bottom w:val="single" w:color="000000" w:sz="4" w:space="0"/>
              <w:right w:val="single" w:color="000000" w:sz="4" w:space="0"/>
            </w:tcBorders>
            <w:vAlign w:val="center"/>
          </w:tcPr>
          <w:p w14:paraId="74045C03">
            <w:pPr>
              <w:pStyle w:val="4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14:paraId="76632387">
        <w:tblPrEx>
          <w:tblCellMar>
            <w:top w:w="0" w:type="dxa"/>
            <w:left w:w="0" w:type="dxa"/>
            <w:bottom w:w="0" w:type="dxa"/>
            <w:right w:w="0" w:type="dxa"/>
          </w:tblCellMar>
        </w:tblPrEx>
        <w:trPr>
          <w:trHeight w:val="454" w:hRule="atLeast"/>
          <w:jc w:val="center"/>
        </w:trPr>
        <w:tc>
          <w:tcPr>
            <w:tcW w:w="330" w:type="pct"/>
            <w:vMerge w:val="restart"/>
            <w:tcBorders>
              <w:top w:val="nil"/>
              <w:left w:val="single" w:color="000000" w:sz="6" w:space="0"/>
              <w:right w:val="single" w:color="000000" w:sz="6" w:space="0"/>
            </w:tcBorders>
            <w:vAlign w:val="center"/>
          </w:tcPr>
          <w:p w14:paraId="245D2806">
            <w:pPr>
              <w:pStyle w:val="4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14:paraId="6AD4D03C">
            <w:pPr>
              <w:spacing w:line="300" w:lineRule="exact"/>
              <w:jc w:val="center"/>
              <w:rPr>
                <w:rFonts w:hint="eastAsia" w:ascii="仿宋" w:hAnsi="仿宋" w:eastAsia="仿宋" w:cs="仿宋"/>
                <w:bCs/>
                <w:color w:val="auto"/>
                <w:sz w:val="21"/>
                <w:szCs w:val="21"/>
                <w:highlight w:val="none"/>
              </w:rPr>
            </w:pPr>
          </w:p>
        </w:tc>
        <w:tc>
          <w:tcPr>
            <w:tcW w:w="288" w:type="pct"/>
            <w:vMerge w:val="restart"/>
            <w:tcBorders>
              <w:top w:val="nil"/>
              <w:left w:val="nil"/>
              <w:right w:val="single" w:color="000000" w:sz="6" w:space="0"/>
            </w:tcBorders>
            <w:textDirection w:val="tbRlV"/>
            <w:vAlign w:val="center"/>
          </w:tcPr>
          <w:p w14:paraId="5C91DCC9">
            <w:pPr>
              <w:pStyle w:val="44"/>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29" w:type="pct"/>
            <w:tcBorders>
              <w:top w:val="single" w:color="000000" w:sz="4" w:space="0"/>
              <w:left w:val="nil"/>
              <w:bottom w:val="single" w:color="000000" w:sz="4" w:space="0"/>
              <w:right w:val="single" w:color="000000" w:sz="4" w:space="0"/>
            </w:tcBorders>
            <w:vAlign w:val="center"/>
          </w:tcPr>
          <w:p w14:paraId="2A16A1A3">
            <w:pPr>
              <w:pStyle w:val="4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50" w:type="pct"/>
            <w:tcBorders>
              <w:top w:val="single" w:color="000000" w:sz="4" w:space="0"/>
              <w:left w:val="nil"/>
              <w:bottom w:val="single" w:color="000000" w:sz="4" w:space="0"/>
              <w:right w:val="single" w:color="000000" w:sz="4" w:space="0"/>
            </w:tcBorders>
            <w:vAlign w:val="center"/>
          </w:tcPr>
          <w:p w14:paraId="42D3C073">
            <w:pPr>
              <w:pStyle w:val="4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14:paraId="01B2B438">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14:paraId="57273560">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14:paraId="6450B22D">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nil"/>
              <w:right w:val="single" w:color="000000" w:sz="4" w:space="0"/>
            </w:tcBorders>
            <w:vAlign w:val="center"/>
          </w:tcPr>
          <w:p w14:paraId="451525A3">
            <w:pPr>
              <w:pStyle w:val="4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50" w:type="pct"/>
            <w:tcBorders>
              <w:top w:val="single" w:color="000000" w:sz="4" w:space="0"/>
              <w:left w:val="nil"/>
              <w:bottom w:val="nil"/>
              <w:right w:val="single" w:color="000000" w:sz="4" w:space="0"/>
            </w:tcBorders>
            <w:vAlign w:val="center"/>
          </w:tcPr>
          <w:p w14:paraId="43BAAB6E">
            <w:pPr>
              <w:pStyle w:val="4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14:paraId="17A629B5">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14:paraId="12A0D816">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14:paraId="7840F9B7">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single" w:color="000000" w:sz="4" w:space="0"/>
              <w:right w:val="single" w:color="000000" w:sz="4" w:space="0"/>
            </w:tcBorders>
            <w:vAlign w:val="center"/>
          </w:tcPr>
          <w:p w14:paraId="2F6B25C9">
            <w:pPr>
              <w:pStyle w:val="4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50" w:type="pct"/>
            <w:tcBorders>
              <w:top w:val="single" w:color="000000" w:sz="4" w:space="0"/>
              <w:left w:val="nil"/>
              <w:bottom w:val="single" w:color="000000" w:sz="4" w:space="0"/>
              <w:right w:val="single" w:color="000000" w:sz="4" w:space="0"/>
            </w:tcBorders>
            <w:vAlign w:val="center"/>
          </w:tcPr>
          <w:p w14:paraId="42467982">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14:paraId="597E64A0">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14:paraId="18A1C4BF">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14:paraId="155B45BE">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single" w:color="000000" w:sz="4" w:space="0"/>
              <w:right w:val="single" w:color="000000" w:sz="4" w:space="0"/>
            </w:tcBorders>
            <w:vAlign w:val="center"/>
          </w:tcPr>
          <w:p w14:paraId="56334A96">
            <w:pPr>
              <w:pStyle w:val="4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50" w:type="pct"/>
            <w:tcBorders>
              <w:top w:val="single" w:color="000000" w:sz="4" w:space="0"/>
              <w:left w:val="nil"/>
              <w:bottom w:val="single" w:color="000000" w:sz="4" w:space="0"/>
              <w:right w:val="single" w:color="000000" w:sz="4" w:space="0"/>
            </w:tcBorders>
            <w:vAlign w:val="center"/>
          </w:tcPr>
          <w:p w14:paraId="66DB9D31">
            <w:pPr>
              <w:pStyle w:val="4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 xml:space="preserve">报价截止之日起【 </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14:paraId="769BA713">
        <w:tblPrEx>
          <w:tblCellMar>
            <w:top w:w="0" w:type="dxa"/>
            <w:left w:w="0" w:type="dxa"/>
            <w:bottom w:w="0" w:type="dxa"/>
            <w:right w:w="0" w:type="dxa"/>
          </w:tblCellMar>
        </w:tblPrEx>
        <w:trPr>
          <w:trHeight w:val="2036" w:hRule="atLeast"/>
          <w:jc w:val="center"/>
        </w:trPr>
        <w:tc>
          <w:tcPr>
            <w:tcW w:w="330" w:type="pct"/>
            <w:vMerge w:val="continue"/>
            <w:tcBorders>
              <w:left w:val="single" w:color="000000" w:sz="6" w:space="0"/>
              <w:right w:val="single" w:color="000000" w:sz="6" w:space="0"/>
            </w:tcBorders>
            <w:vAlign w:val="center"/>
          </w:tcPr>
          <w:p w14:paraId="6D1A9A6D">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single" w:color="000000" w:sz="6" w:space="0"/>
              <w:right w:val="single" w:color="000000" w:sz="6" w:space="0"/>
            </w:tcBorders>
            <w:vAlign w:val="center"/>
          </w:tcPr>
          <w:p w14:paraId="72C0155C">
            <w:pPr>
              <w:pStyle w:val="44"/>
              <w:spacing w:line="300" w:lineRule="exact"/>
              <w:jc w:val="center"/>
              <w:rPr>
                <w:rFonts w:hint="eastAsia" w:ascii="仿宋" w:hAnsi="仿宋" w:eastAsia="仿宋" w:cs="仿宋"/>
                <w:bCs/>
                <w:color w:val="auto"/>
                <w:sz w:val="21"/>
                <w:szCs w:val="21"/>
                <w:highlight w:val="none"/>
                <w:lang w:eastAsia="zh-CN"/>
              </w:rPr>
            </w:pPr>
          </w:p>
        </w:tc>
        <w:tc>
          <w:tcPr>
            <w:tcW w:w="1229" w:type="pct"/>
            <w:tcBorders>
              <w:top w:val="single" w:color="000000" w:sz="4" w:space="0"/>
              <w:left w:val="single" w:color="000000" w:sz="6" w:space="0"/>
              <w:bottom w:val="single" w:color="auto" w:sz="4" w:space="0"/>
              <w:right w:val="single" w:color="000000" w:sz="4" w:space="0"/>
            </w:tcBorders>
            <w:vAlign w:val="center"/>
          </w:tcPr>
          <w:p w14:paraId="07A30114">
            <w:pPr>
              <w:pStyle w:val="44"/>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50" w:type="pct"/>
            <w:tcBorders>
              <w:top w:val="single" w:color="000000" w:sz="4" w:space="0"/>
              <w:left w:val="nil"/>
              <w:bottom w:val="single" w:color="auto" w:sz="4" w:space="0"/>
              <w:right w:val="single" w:color="000000" w:sz="4" w:space="0"/>
            </w:tcBorders>
            <w:vAlign w:val="center"/>
          </w:tcPr>
          <w:p w14:paraId="2BA7ECAA">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14:paraId="6CCF7AA2">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14:paraId="7F714102">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14:paraId="53020D74">
        <w:tblPrEx>
          <w:tblCellMar>
            <w:top w:w="0" w:type="dxa"/>
            <w:left w:w="0" w:type="dxa"/>
            <w:bottom w:w="0" w:type="dxa"/>
            <w:right w:w="0" w:type="dxa"/>
          </w:tblCellMar>
        </w:tblPrEx>
        <w:trPr>
          <w:trHeight w:val="696" w:hRule="atLeast"/>
          <w:jc w:val="center"/>
        </w:trPr>
        <w:tc>
          <w:tcPr>
            <w:tcW w:w="330" w:type="pct"/>
            <w:vMerge w:val="continue"/>
            <w:tcBorders>
              <w:left w:val="single" w:color="000000" w:sz="6" w:space="0"/>
              <w:right w:val="single" w:color="000000" w:sz="6" w:space="0"/>
            </w:tcBorders>
            <w:vAlign w:val="center"/>
          </w:tcPr>
          <w:p w14:paraId="54B8F775">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single" w:color="000000" w:sz="6" w:space="0"/>
              <w:right w:val="single" w:color="000000" w:sz="6" w:space="0"/>
            </w:tcBorders>
            <w:vAlign w:val="center"/>
          </w:tcPr>
          <w:p w14:paraId="0A1D1996">
            <w:pPr>
              <w:pStyle w:val="44"/>
              <w:spacing w:line="300" w:lineRule="exact"/>
              <w:jc w:val="center"/>
              <w:rPr>
                <w:rFonts w:hint="eastAsia" w:ascii="仿宋" w:hAnsi="仿宋" w:eastAsia="仿宋" w:cs="仿宋"/>
                <w:bCs/>
                <w:color w:val="auto"/>
                <w:sz w:val="21"/>
                <w:szCs w:val="21"/>
                <w:highlight w:val="none"/>
                <w:lang w:eastAsia="zh-CN"/>
              </w:rPr>
            </w:pPr>
          </w:p>
        </w:tc>
        <w:tc>
          <w:tcPr>
            <w:tcW w:w="1229" w:type="pct"/>
            <w:tcBorders>
              <w:top w:val="single" w:color="000000" w:sz="4" w:space="0"/>
              <w:left w:val="single" w:color="000000" w:sz="6" w:space="0"/>
              <w:bottom w:val="single" w:color="auto" w:sz="4" w:space="0"/>
              <w:right w:val="single" w:color="000000" w:sz="4" w:space="0"/>
            </w:tcBorders>
            <w:vAlign w:val="center"/>
          </w:tcPr>
          <w:p w14:paraId="79408F96">
            <w:pPr>
              <w:pStyle w:val="44"/>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w:t>
            </w:r>
          </w:p>
        </w:tc>
        <w:tc>
          <w:tcPr>
            <w:tcW w:w="3150" w:type="pct"/>
            <w:tcBorders>
              <w:top w:val="single" w:color="000000" w:sz="4" w:space="0"/>
              <w:left w:val="nil"/>
              <w:bottom w:val="single" w:color="auto" w:sz="4" w:space="0"/>
              <w:right w:val="single" w:color="000000" w:sz="4" w:space="0"/>
            </w:tcBorders>
            <w:vAlign w:val="center"/>
          </w:tcPr>
          <w:p w14:paraId="361342CF">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无</w:t>
            </w:r>
          </w:p>
        </w:tc>
      </w:tr>
      <w:tr w14:paraId="07D4BBBF">
        <w:tblPrEx>
          <w:tblCellMar>
            <w:top w:w="0" w:type="dxa"/>
            <w:left w:w="0" w:type="dxa"/>
            <w:bottom w:w="0" w:type="dxa"/>
            <w:right w:w="0" w:type="dxa"/>
          </w:tblCellMar>
        </w:tblPrEx>
        <w:trPr>
          <w:trHeight w:val="696" w:hRule="atLeast"/>
          <w:jc w:val="center"/>
        </w:trPr>
        <w:tc>
          <w:tcPr>
            <w:tcW w:w="330" w:type="pct"/>
            <w:vMerge w:val="continue"/>
            <w:tcBorders>
              <w:left w:val="single" w:color="000000" w:sz="6" w:space="0"/>
              <w:right w:val="single" w:color="000000" w:sz="6" w:space="0"/>
            </w:tcBorders>
            <w:vAlign w:val="center"/>
          </w:tcPr>
          <w:p w14:paraId="2BEB9411">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single" w:color="000000" w:sz="6" w:space="0"/>
              <w:right w:val="single" w:color="000000" w:sz="6" w:space="0"/>
            </w:tcBorders>
            <w:vAlign w:val="center"/>
          </w:tcPr>
          <w:p w14:paraId="4C5BA4DA">
            <w:pPr>
              <w:pStyle w:val="44"/>
              <w:spacing w:line="300" w:lineRule="exact"/>
              <w:jc w:val="center"/>
              <w:rPr>
                <w:rFonts w:hint="eastAsia" w:ascii="仿宋" w:hAnsi="仿宋" w:eastAsia="仿宋" w:cs="仿宋"/>
                <w:bCs/>
                <w:color w:val="auto"/>
                <w:sz w:val="21"/>
                <w:szCs w:val="21"/>
                <w:highlight w:val="none"/>
                <w:lang w:eastAsia="zh-CN"/>
              </w:rPr>
            </w:pPr>
          </w:p>
        </w:tc>
        <w:tc>
          <w:tcPr>
            <w:tcW w:w="1229" w:type="pct"/>
            <w:tcBorders>
              <w:top w:val="single" w:color="000000" w:sz="4" w:space="0"/>
              <w:left w:val="single" w:color="000000" w:sz="6" w:space="0"/>
              <w:bottom w:val="single" w:color="auto" w:sz="4" w:space="0"/>
              <w:right w:val="single" w:color="000000" w:sz="4" w:space="0"/>
            </w:tcBorders>
            <w:vAlign w:val="center"/>
          </w:tcPr>
          <w:p w14:paraId="113E1AC5">
            <w:pPr>
              <w:pStyle w:val="44"/>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w:t>
            </w:r>
          </w:p>
          <w:p w14:paraId="390FE7E7">
            <w:pPr>
              <w:pStyle w:val="44"/>
              <w:spacing w:line="300" w:lineRule="exact"/>
              <w:jc w:val="center"/>
              <w:rPr>
                <w:rFonts w:hint="default" w:ascii="仿宋" w:hAnsi="仿宋" w:eastAsia="仿宋" w:cs="仿宋"/>
                <w:color w:val="auto"/>
                <w:kern w:val="2"/>
                <w:sz w:val="21"/>
                <w:szCs w:val="21"/>
                <w:highlight w:val="none"/>
                <w:lang w:val="en-US" w:eastAsia="zh-CN" w:bidi="ar-SA"/>
              </w:rPr>
            </w:pPr>
          </w:p>
        </w:tc>
        <w:tc>
          <w:tcPr>
            <w:tcW w:w="3150" w:type="pct"/>
            <w:tcBorders>
              <w:top w:val="single" w:color="000000" w:sz="4" w:space="0"/>
              <w:left w:val="nil"/>
              <w:bottom w:val="single" w:color="auto" w:sz="4" w:space="0"/>
              <w:right w:val="single" w:color="000000" w:sz="4" w:space="0"/>
            </w:tcBorders>
            <w:vAlign w:val="center"/>
          </w:tcPr>
          <w:p w14:paraId="3C23DA89">
            <w:pPr>
              <w:pStyle w:val="44"/>
              <w:jc w:val="both"/>
              <w:rPr>
                <w:rFonts w:hint="default"/>
                <w:highlight w:val="none"/>
                <w:lang w:val="en-US" w:eastAsia="zh-CN"/>
              </w:rPr>
            </w:pPr>
            <w:r>
              <w:rPr>
                <w:rFonts w:hint="eastAsia" w:ascii="仿宋" w:hAnsi="仿宋" w:eastAsia="仿宋" w:cs="宋体"/>
                <w:color w:val="auto"/>
                <w:kern w:val="0"/>
                <w:szCs w:val="21"/>
                <w:highlight w:val="none"/>
                <w:lang w:val="en-US" w:eastAsia="zh-CN"/>
              </w:rPr>
              <w:t>无</w:t>
            </w:r>
          </w:p>
        </w:tc>
      </w:tr>
      <w:tr w14:paraId="2245AC9B">
        <w:tblPrEx>
          <w:tblCellMar>
            <w:top w:w="0" w:type="dxa"/>
            <w:left w:w="0" w:type="dxa"/>
            <w:bottom w:w="0" w:type="dxa"/>
            <w:right w:w="0" w:type="dxa"/>
          </w:tblCellMar>
        </w:tblPrEx>
        <w:trPr>
          <w:trHeight w:val="1427" w:hRule="atLeast"/>
          <w:jc w:val="center"/>
        </w:trPr>
        <w:tc>
          <w:tcPr>
            <w:tcW w:w="330" w:type="pct"/>
            <w:vMerge w:val="continue"/>
            <w:tcBorders>
              <w:left w:val="single" w:color="000000" w:sz="6" w:space="0"/>
              <w:right w:val="single" w:color="000000" w:sz="6" w:space="0"/>
            </w:tcBorders>
            <w:vAlign w:val="center"/>
          </w:tcPr>
          <w:p w14:paraId="05F34BA2">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14:paraId="47A6302F">
            <w:pPr>
              <w:pStyle w:val="4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000000" w:sz="6" w:space="0"/>
              <w:bottom w:val="single" w:color="000000" w:sz="4" w:space="0"/>
              <w:right w:val="single" w:color="000000" w:sz="4" w:space="0"/>
            </w:tcBorders>
            <w:vAlign w:val="center"/>
          </w:tcPr>
          <w:p w14:paraId="287DD04A">
            <w:pPr>
              <w:pStyle w:val="44"/>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50" w:type="pct"/>
            <w:tcBorders>
              <w:top w:val="single" w:color="auto" w:sz="4" w:space="0"/>
              <w:left w:val="nil"/>
              <w:bottom w:val="single" w:color="000000" w:sz="4" w:space="0"/>
              <w:right w:val="single" w:color="000000" w:sz="4" w:space="0"/>
            </w:tcBorders>
            <w:vAlign w:val="center"/>
          </w:tcPr>
          <w:p w14:paraId="0BB672B6">
            <w:pPr>
              <w:numPr>
                <w:ilvl w:val="0"/>
                <w:numId w:val="0"/>
              </w:numPr>
              <w:rPr>
                <w:rFonts w:hint="default"/>
                <w:strike w:val="0"/>
                <w:dstrike w:val="0"/>
                <w:color w:val="auto"/>
                <w:highlight w:val="none"/>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14:paraId="6BF7E998">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14:paraId="4109BBBE">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22</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14:paraId="174062BB">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14:paraId="3D851505">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14:paraId="16191545">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FF"/>
                <w:sz w:val="21"/>
                <w:szCs w:val="21"/>
                <w:highlight w:val="none"/>
                <w:lang w:eastAsia="zh-CN"/>
              </w:rPr>
              <w:t>应答人应在应答文件中提供其公司章程</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或其他能够体现出资人、股东信息的法定文件，作为评标/评审时的依据。</w:t>
            </w:r>
          </w:p>
          <w:p w14:paraId="3B69A605">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14:paraId="7A23CAE7">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14:paraId="688EC371">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14:paraId="3003993F">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14:paraId="51851126">
            <w:pPr>
              <w:pStyle w:val="4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14:paraId="5551BC80">
            <w:pPr>
              <w:pStyle w:val="44"/>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14:paraId="4256FB39">
            <w:pPr>
              <w:pStyle w:val="44"/>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50" w:type="pct"/>
            <w:tcBorders>
              <w:top w:val="single" w:color="000000" w:sz="4" w:space="0"/>
              <w:left w:val="nil"/>
              <w:bottom w:val="single" w:color="000000" w:sz="4" w:space="0"/>
              <w:right w:val="single" w:color="000000" w:sz="4" w:space="0"/>
            </w:tcBorders>
            <w:vAlign w:val="center"/>
          </w:tcPr>
          <w:p w14:paraId="4C5B5D08">
            <w:pPr>
              <w:pStyle w:val="4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14:paraId="20429377">
            <w:pPr>
              <w:pStyle w:val="4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14:paraId="66981634">
            <w:pPr>
              <w:pStyle w:val="4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14:paraId="112E0A20">
        <w:tblPrEx>
          <w:tblCellMar>
            <w:top w:w="0" w:type="dxa"/>
            <w:left w:w="0" w:type="dxa"/>
            <w:bottom w:w="0" w:type="dxa"/>
            <w:right w:w="0" w:type="dxa"/>
          </w:tblCellMar>
        </w:tblPrEx>
        <w:trPr>
          <w:trHeight w:val="3392" w:hRule="atLeast"/>
          <w:jc w:val="center"/>
        </w:trPr>
        <w:tc>
          <w:tcPr>
            <w:tcW w:w="330" w:type="pct"/>
            <w:vMerge w:val="continue"/>
            <w:tcBorders>
              <w:left w:val="single" w:color="000000" w:sz="6" w:space="0"/>
              <w:right w:val="single" w:color="000000" w:sz="6" w:space="0"/>
            </w:tcBorders>
            <w:vAlign w:val="center"/>
          </w:tcPr>
          <w:p w14:paraId="2ADD78C2">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14:paraId="62356DBA">
            <w:pPr>
              <w:pStyle w:val="4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shd w:val="clear" w:color="auto" w:fill="auto"/>
            <w:vAlign w:val="center"/>
          </w:tcPr>
          <w:p w14:paraId="649D695D">
            <w:pPr>
              <w:pStyle w:val="10"/>
              <w:tabs>
                <w:tab w:val="left" w:pos="770"/>
              </w:tabs>
              <w:ind w:left="0" w:leftChars="0" w:right="134" w:rightChars="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★代理商、贸易商、制造商要求（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代理商、贸易商、服务商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150" w:type="pct"/>
            <w:tcBorders>
              <w:top w:val="single" w:color="000000" w:sz="4" w:space="0"/>
              <w:left w:val="nil"/>
              <w:bottom w:val="single" w:color="000000" w:sz="4" w:space="0"/>
              <w:right w:val="single" w:color="000000" w:sz="4" w:space="0"/>
            </w:tcBorders>
            <w:shd w:val="clear" w:color="auto" w:fill="auto"/>
            <w:vAlign w:val="center"/>
          </w:tcPr>
          <w:p w14:paraId="60758A4F">
            <w:pPr>
              <w:pStyle w:val="38"/>
              <w:rPr>
                <w:rFonts w:hint="eastAsia" w:ascii="仿宋" w:hAnsi="仿宋" w:eastAsia="仿宋" w:cs="仿宋"/>
                <w:color w:val="auto"/>
                <w:sz w:val="21"/>
                <w:szCs w:val="21"/>
                <w:highlight w:val="none"/>
                <w:lang w:val="en-US" w:eastAsia="zh-CN"/>
              </w:rPr>
            </w:pPr>
            <w:r>
              <w:rPr>
                <w:rFonts w:hint="eastAsia" w:ascii="仿宋" w:hAnsi="仿宋" w:eastAsia="仿宋" w:cs="宋体"/>
                <w:kern w:val="0"/>
                <w:szCs w:val="21"/>
                <w:highlight w:val="none"/>
                <w:lang w:val="en-US" w:eastAsia="zh-CN"/>
              </w:rPr>
              <w:t xml:space="preserve"> </w:t>
            </w:r>
            <w:r>
              <w:rPr>
                <w:rFonts w:hint="eastAsia" w:ascii="仿宋" w:hAnsi="仿宋" w:eastAsia="仿宋" w:cs="仿宋"/>
                <w:color w:val="auto"/>
                <w:sz w:val="21"/>
                <w:szCs w:val="21"/>
                <w:highlight w:val="none"/>
                <w:lang w:val="en-US" w:eastAsia="zh-CN"/>
              </w:rPr>
              <w:t xml:space="preserve"> 1.贸易商需满足：1）提供近三年经审计财务报表（如适用），且近一年利润不能为负且近一年资产负债率＜80%；2）自有社保人数≥5人，须提供近三月社保证明；3）不得将中国海油作为唯一服务客户，承诺中国海油非其唯一服务客户并提供支持性材料（海油外业绩）业绩证明文件必须至少体现以下内容：合同签署时间、项目名称及验收证明材料。具体包括：1）合同复印件（含相关技术附件）；2）合同所对应的结算发票；3）国家税务总局全国增值税发票查验平台的发票查验截图。</w:t>
            </w:r>
          </w:p>
          <w:p w14:paraId="5EF868CE">
            <w:pPr>
              <w:pStyle w:val="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代理商需满足：1）提供近三年经审计财务报表（如适用），且近一年利润不能为负且近一年资产负债率＜80%；2）自有社保人数≥5人，须提供近三月社保证明；3）不得将中国海油作为唯一服务客户，承诺中国海油非其唯一服务客户并提供支持性材料（海油外业绩）；业绩证明文件必须至少体现以下内容：合同签署时间、项目名称及验收证明材料。具体包括：1）合同复印件（含相关技术附件）；2）合同所对应的结算发票；3）国家税务总局全国增值税发票查验平台的发票查验截图4）具有有效代理证书，且满足资质要求，且不能为项目代理。</w:t>
            </w:r>
          </w:p>
          <w:p w14:paraId="071E31C9">
            <w:pPr>
              <w:pStyle w:val="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3.制造商要求，提供制造商承诺书，厂房、库房证明（需提供房产证明或租赁证明、实物照片等），与标的物相关的生产设备证明材料。（提供相关设备购买证明或租赁证明、实物照片等）</w:t>
            </w:r>
          </w:p>
          <w:p w14:paraId="55E8CB3D">
            <w:pPr>
              <w:ind w:firstLine="0" w:firstLineChars="0"/>
              <w:rPr>
                <w:rFonts w:hint="eastAsia" w:asciiTheme="minorHAnsi" w:hAnsiTheme="minorHAnsi" w:eastAsiaTheme="minorEastAsia" w:cstheme="minorBidi"/>
                <w:color w:val="auto"/>
                <w:kern w:val="2"/>
                <w:sz w:val="21"/>
                <w:szCs w:val="22"/>
                <w:highlight w:val="none"/>
                <w:lang w:val="en-US" w:eastAsia="zh-CN" w:bidi="ar-SA"/>
              </w:rPr>
            </w:pPr>
          </w:p>
        </w:tc>
      </w:tr>
      <w:tr w14:paraId="63EA739A">
        <w:tblPrEx>
          <w:tblCellMar>
            <w:top w:w="0" w:type="dxa"/>
            <w:left w:w="0" w:type="dxa"/>
            <w:bottom w:w="0" w:type="dxa"/>
            <w:right w:w="0" w:type="dxa"/>
          </w:tblCellMar>
        </w:tblPrEx>
        <w:trPr>
          <w:trHeight w:val="3392" w:hRule="atLeast"/>
          <w:jc w:val="center"/>
        </w:trPr>
        <w:tc>
          <w:tcPr>
            <w:tcW w:w="330" w:type="pct"/>
            <w:vMerge w:val="continue"/>
            <w:tcBorders>
              <w:left w:val="single" w:color="000000" w:sz="6" w:space="0"/>
              <w:right w:val="single" w:color="000000" w:sz="6" w:space="0"/>
            </w:tcBorders>
            <w:vAlign w:val="center"/>
          </w:tcPr>
          <w:p w14:paraId="2EBF26D7">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14:paraId="69669CD9">
            <w:pPr>
              <w:pStyle w:val="4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14:paraId="1E3FA954">
            <w:pPr>
              <w:pStyle w:val="4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p w14:paraId="172197FF">
            <w:pPr>
              <w:pStyle w:val="4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3150" w:type="pct"/>
            <w:tcBorders>
              <w:top w:val="single" w:color="000000" w:sz="4" w:space="0"/>
              <w:left w:val="nil"/>
              <w:bottom w:val="single" w:color="000000" w:sz="4" w:space="0"/>
              <w:right w:val="single" w:color="000000" w:sz="4" w:space="0"/>
            </w:tcBorders>
            <w:vAlign w:val="center"/>
          </w:tcPr>
          <w:p w14:paraId="47141505">
            <w:pPr>
              <w:keepNext w:val="0"/>
              <w:keepLines w:val="0"/>
              <w:pageBreakBefore w:val="0"/>
              <w:widowControl/>
              <w:kinsoku/>
              <w:wordWrap/>
              <w:overflowPunct/>
              <w:topLinePunct w:val="0"/>
              <w:autoSpaceDE/>
              <w:autoSpaceDN/>
              <w:bidi w:val="0"/>
              <w:adjustRightInd/>
              <w:snapToGrid/>
              <w:spacing w:line="240" w:lineRule="auto"/>
              <w:ind w:right="0" w:firstLine="0" w:firstLineChars="0"/>
              <w:textAlignment w:val="auto"/>
              <w:rPr>
                <w:rFonts w:hint="default"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宋体"/>
                <w:kern w:val="0"/>
                <w:szCs w:val="21"/>
                <w:highlight w:val="none"/>
                <w:lang w:val="en-US" w:eastAsia="zh-CN"/>
              </w:rPr>
              <w:t>无</w:t>
            </w:r>
            <w:bookmarkStart w:id="141" w:name="_GoBack"/>
            <w:bookmarkEnd w:id="141"/>
          </w:p>
        </w:tc>
      </w:tr>
      <w:tr w14:paraId="1F3D5148">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14:paraId="0C361837">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14:paraId="4866FF94">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14:paraId="0084C96D">
            <w:pPr>
              <w:pStyle w:val="44"/>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50" w:type="pct"/>
            <w:tcBorders>
              <w:top w:val="single" w:color="000000" w:sz="4" w:space="0"/>
              <w:left w:val="nil"/>
              <w:bottom w:val="single" w:color="000000" w:sz="4" w:space="0"/>
              <w:right w:val="single" w:color="000000" w:sz="4" w:space="0"/>
            </w:tcBorders>
            <w:vAlign w:val="center"/>
          </w:tcPr>
          <w:p w14:paraId="323EC6CD">
            <w:pPr>
              <w:pStyle w:val="44"/>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1.一般商务指标偏离超过2项，则评议不合格。</w:t>
            </w:r>
          </w:p>
          <w:p w14:paraId="5EA52367">
            <w:pPr>
              <w:pStyle w:val="44"/>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14:paraId="175DE16C">
            <w:pPr>
              <w:pStyle w:val="44"/>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14:paraId="35EE198D">
        <w:tblPrEx>
          <w:tblCellMar>
            <w:top w:w="0" w:type="dxa"/>
            <w:left w:w="0" w:type="dxa"/>
            <w:bottom w:w="0" w:type="dxa"/>
            <w:right w:w="0" w:type="dxa"/>
          </w:tblCellMar>
        </w:tblPrEx>
        <w:trPr>
          <w:trHeight w:val="454" w:hRule="atLeast"/>
          <w:jc w:val="center"/>
        </w:trPr>
        <w:tc>
          <w:tcPr>
            <w:tcW w:w="330" w:type="pct"/>
            <w:vMerge w:val="restart"/>
            <w:tcBorders>
              <w:top w:val="single" w:color="auto" w:sz="4" w:space="0"/>
              <w:left w:val="single" w:color="auto" w:sz="4" w:space="0"/>
              <w:bottom w:val="single" w:color="auto" w:sz="4" w:space="0"/>
              <w:right w:val="single" w:color="auto" w:sz="4" w:space="0"/>
            </w:tcBorders>
            <w:vAlign w:val="center"/>
          </w:tcPr>
          <w:p w14:paraId="4A75DBB9">
            <w:pPr>
              <w:pStyle w:val="44"/>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8"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144CA027">
            <w:pPr>
              <w:pStyle w:val="4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29" w:type="pct"/>
            <w:tcBorders>
              <w:top w:val="single" w:color="auto" w:sz="4" w:space="0"/>
              <w:left w:val="single" w:color="auto" w:sz="4" w:space="0"/>
              <w:bottom w:val="single" w:color="auto" w:sz="4" w:space="0"/>
              <w:right w:val="single" w:color="auto" w:sz="4" w:space="0"/>
            </w:tcBorders>
            <w:vAlign w:val="center"/>
          </w:tcPr>
          <w:p w14:paraId="2BCA6AFB">
            <w:pPr>
              <w:jc w:val="cente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技术参数及要求</w:t>
            </w:r>
          </w:p>
        </w:tc>
        <w:tc>
          <w:tcPr>
            <w:tcW w:w="3150" w:type="pct"/>
            <w:tcBorders>
              <w:top w:val="single" w:color="000000" w:sz="4" w:space="0"/>
              <w:left w:val="single" w:color="auto" w:sz="4" w:space="0"/>
              <w:bottom w:val="single" w:color="000000" w:sz="4" w:space="0"/>
              <w:right w:val="single" w:color="000000" w:sz="4" w:space="0"/>
            </w:tcBorders>
            <w:vAlign w:val="center"/>
          </w:tcPr>
          <w:p w14:paraId="051CBB57">
            <w:pPr>
              <w:keepNext w:val="0"/>
              <w:keepLines w:val="0"/>
              <w:widowControl/>
              <w:suppressLineNumbers w:val="0"/>
              <w:jc w:val="left"/>
              <w:rPr>
                <w:rFonts w:ascii="仿宋" w:hAnsi="仿宋" w:eastAsia="仿宋" w:cs="仿宋"/>
                <w:color w:val="000000"/>
                <w:kern w:val="0"/>
                <w:sz w:val="21"/>
                <w:szCs w:val="21"/>
                <w:lang w:val="en-US" w:eastAsia="zh-CN" w:bidi="ar"/>
              </w:rPr>
            </w:pPr>
          </w:p>
          <w:p w14:paraId="67958134">
            <w:pPr>
              <w:keepNext w:val="0"/>
              <w:keepLines w:val="0"/>
              <w:widowControl/>
              <w:suppressLineNumbers w:val="0"/>
              <w:jc w:val="left"/>
            </w:pPr>
            <w:r>
              <w:rPr>
                <w:rFonts w:hint="eastAsia" w:ascii="仿宋" w:hAnsi="仿宋" w:eastAsia="仿宋" w:cs="仿宋"/>
                <w:color w:val="000000"/>
                <w:kern w:val="0"/>
                <w:sz w:val="21"/>
                <w:szCs w:val="21"/>
                <w:lang w:val="en-US" w:eastAsia="zh-CN" w:bidi="ar"/>
              </w:rPr>
              <w:t>满足</w:t>
            </w:r>
            <w:r>
              <w:rPr>
                <w:rFonts w:ascii="仿宋" w:hAnsi="仿宋" w:eastAsia="仿宋" w:cs="仿宋"/>
                <w:color w:val="000000"/>
                <w:kern w:val="0"/>
                <w:sz w:val="21"/>
                <w:szCs w:val="21"/>
                <w:lang w:val="en-US" w:eastAsia="zh-CN" w:bidi="ar"/>
              </w:rPr>
              <w:t xml:space="preserve">技术参数详见附件 2 ：采购内容及技术要求 </w:t>
            </w:r>
          </w:p>
          <w:p w14:paraId="2A18B3CB">
            <w:pPr>
              <w:rPr>
                <w:rFonts w:hint="eastAsia"/>
              </w:rPr>
            </w:pPr>
          </w:p>
        </w:tc>
      </w:tr>
      <w:tr w14:paraId="2EB70146">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14:paraId="50A39C0D">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097F62C2">
            <w:pPr>
              <w:pStyle w:val="4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14:paraId="5A48EBB4">
            <w:pPr>
              <w:widowControl/>
              <w:ind w:right="11"/>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交货地点</w:t>
            </w:r>
          </w:p>
        </w:tc>
        <w:tc>
          <w:tcPr>
            <w:tcW w:w="3150" w:type="pct"/>
            <w:tcBorders>
              <w:top w:val="single" w:color="000000" w:sz="4" w:space="0"/>
              <w:left w:val="single" w:color="auto" w:sz="4" w:space="0"/>
              <w:bottom w:val="single" w:color="000000" w:sz="4" w:space="0"/>
              <w:right w:val="single" w:color="000000" w:sz="4" w:space="0"/>
            </w:tcBorders>
            <w:vAlign w:val="center"/>
          </w:tcPr>
          <w:p w14:paraId="718EB798">
            <w:pPr>
              <w:ind w:left="0" w:leftChars="0"/>
              <w:jc w:val="both"/>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到货地点：</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海工建造场地</w:t>
            </w:r>
            <w:r>
              <w:rPr>
                <w:rFonts w:hint="eastAsia" w:ascii="仿宋" w:hAnsi="仿宋" w:eastAsia="仿宋" w:cs="仿宋"/>
                <w:bCs/>
                <w:color w:val="000000" w:themeColor="text1"/>
                <w:kern w:val="0"/>
                <w:szCs w:val="21"/>
                <w:highlight w:val="none"/>
                <w14:textFill>
                  <w14:solidFill>
                    <w14:schemeClr w14:val="tx1"/>
                  </w14:solidFill>
                </w14:textFill>
              </w:rPr>
              <w:t>。</w:t>
            </w:r>
          </w:p>
          <w:p w14:paraId="66081A8F">
            <w:pPr>
              <w:ind w:left="0" w:leftChars="0"/>
              <w:jc w:val="both"/>
              <w:rPr>
                <w:rFonts w:hint="default"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或其他甲方指定地点</w:t>
            </w:r>
          </w:p>
        </w:tc>
      </w:tr>
      <w:tr w14:paraId="46D4814E">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14:paraId="36CE690C">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225D668A">
            <w:pPr>
              <w:pStyle w:val="4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14:paraId="11E42881">
            <w:pPr>
              <w:widowControl/>
              <w:ind w:right="11"/>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★等级要求</w:t>
            </w:r>
          </w:p>
        </w:tc>
        <w:tc>
          <w:tcPr>
            <w:tcW w:w="3150" w:type="pct"/>
            <w:tcBorders>
              <w:top w:val="single" w:color="000000" w:sz="4" w:space="0"/>
              <w:left w:val="single" w:color="auto" w:sz="4" w:space="0"/>
              <w:bottom w:val="single" w:color="000000" w:sz="4" w:space="0"/>
              <w:right w:val="single" w:color="000000" w:sz="4" w:space="0"/>
            </w:tcBorders>
            <w:vAlign w:val="center"/>
          </w:tcPr>
          <w:p w14:paraId="3EBF3687">
            <w:pPr>
              <w:pStyle w:val="8"/>
              <w:ind w:left="0" w:leftChars="0" w:firstLine="0" w:firstLineChars="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投标人承诺，格式自拟，满足附件2中第五项技术要求中星号要求。</w:t>
            </w:r>
          </w:p>
        </w:tc>
      </w:tr>
      <w:tr w14:paraId="0000AC19">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14:paraId="2F54979E">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7CD0D7DF">
            <w:pPr>
              <w:pStyle w:val="4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14:paraId="71417115">
            <w:pPr>
              <w:widowControl/>
              <w:ind w:right="11"/>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质保期及质保金</w:t>
            </w:r>
          </w:p>
        </w:tc>
        <w:tc>
          <w:tcPr>
            <w:tcW w:w="3150" w:type="pct"/>
            <w:tcBorders>
              <w:top w:val="single" w:color="000000" w:sz="4" w:space="0"/>
              <w:left w:val="single" w:color="auto" w:sz="4" w:space="0"/>
              <w:bottom w:val="single" w:color="000000" w:sz="4" w:space="0"/>
              <w:right w:val="single" w:color="000000" w:sz="4" w:space="0"/>
            </w:tcBorders>
            <w:vAlign w:val="center"/>
          </w:tcPr>
          <w:p w14:paraId="268D7022">
            <w:pPr>
              <w:pStyle w:val="8"/>
              <w:ind w:left="0" w:leftChars="0" w:firstLine="0" w:firstLineChars="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质保期1年。</w:t>
            </w:r>
          </w:p>
          <w:p w14:paraId="1744A7D0">
            <w:pPr>
              <w:pStyle w:val="8"/>
              <w:ind w:left="0" w:leftChars="0" w:firstLine="0" w:firstLineChars="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质保金3%。</w:t>
            </w:r>
            <w:r>
              <w:rPr>
                <w:rFonts w:hint="eastAsia" w:ascii="仿宋" w:hAnsi="仿宋" w:eastAsia="仿宋" w:cs="仿宋"/>
                <w:color w:val="000000" w:themeColor="text1"/>
                <w:szCs w:val="21"/>
                <w:highlight w:val="none"/>
                <w14:textFill>
                  <w14:solidFill>
                    <w14:schemeClr w14:val="tx1"/>
                  </w14:solidFill>
                </w14:textFill>
              </w:rPr>
              <w:t>项目完成经与甲方验收合格后，并提供该设备支持性文件及完工报告后，乙方开具对应有效发票，甲方收到合格发票后，在45日内甲方支付合同总价金额的97%。质保期满，如未发生质量问题并收到乙方提供的等额有效收据之日起45日内，向乙方支付项目剩余的3%质量保证金。如付款到期日为非银行工作日，则付款到期日顺延至下一个银行工作日。</w:t>
            </w:r>
          </w:p>
        </w:tc>
      </w:tr>
      <w:tr w14:paraId="52967CA5">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14:paraId="2BD39320">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08415CFC">
            <w:pPr>
              <w:pStyle w:val="4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14:paraId="3B36D377">
            <w:pPr>
              <w:widowControl/>
              <w:ind w:right="11"/>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交货期</w:t>
            </w:r>
          </w:p>
        </w:tc>
        <w:tc>
          <w:tcPr>
            <w:tcW w:w="3150" w:type="pct"/>
            <w:tcBorders>
              <w:top w:val="single" w:color="000000" w:sz="4" w:space="0"/>
              <w:left w:val="single" w:color="auto" w:sz="4" w:space="0"/>
              <w:bottom w:val="single" w:color="000000" w:sz="4" w:space="0"/>
              <w:right w:val="single" w:color="000000" w:sz="4" w:space="0"/>
            </w:tcBorders>
            <w:vAlign w:val="center"/>
          </w:tcPr>
          <w:p w14:paraId="71F57B0A">
            <w:pPr>
              <w:pStyle w:val="8"/>
              <w:ind w:left="0" w:leftChars="0"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合同签订后60日内交货。</w:t>
            </w:r>
          </w:p>
        </w:tc>
      </w:tr>
      <w:tr w14:paraId="6D2F4825">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14:paraId="25F52027">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5C94F021">
            <w:pPr>
              <w:pStyle w:val="4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14:paraId="7543D47F">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50" w:type="pct"/>
            <w:tcBorders>
              <w:top w:val="single" w:color="000000" w:sz="4" w:space="0"/>
              <w:left w:val="single" w:color="auto" w:sz="4" w:space="0"/>
              <w:bottom w:val="single" w:color="000000" w:sz="4" w:space="0"/>
              <w:right w:val="single" w:color="000000" w:sz="4" w:space="0"/>
            </w:tcBorders>
            <w:vAlign w:val="center"/>
          </w:tcPr>
          <w:p w14:paraId="34859F10">
            <w:pPr>
              <w:pStyle w:val="44"/>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1、一般技术指标偏离超过2项，则评议不合格。</w:t>
            </w:r>
          </w:p>
          <w:p w14:paraId="52964E61">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14:paraId="384E98D2">
            <w:pPr>
              <w:pStyle w:val="8"/>
              <w:ind w:left="0" w:leftChars="0" w:firstLine="0" w:firstLineChars="0"/>
              <w:rPr>
                <w:rFonts w:hint="default"/>
                <w:highlight w:val="none"/>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14:paraId="16B71397">
        <w:tblPrEx>
          <w:tblCellMar>
            <w:top w:w="0" w:type="dxa"/>
            <w:left w:w="0" w:type="dxa"/>
            <w:bottom w:w="0" w:type="dxa"/>
            <w:right w:w="0" w:type="dxa"/>
          </w:tblCellMar>
        </w:tblPrEx>
        <w:trPr>
          <w:trHeight w:val="2401"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7D6832DA">
            <w:pPr>
              <w:pStyle w:val="4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8" w:type="pct"/>
            <w:tcBorders>
              <w:top w:val="single" w:color="auto" w:sz="4" w:space="0"/>
              <w:left w:val="single" w:color="auto" w:sz="4" w:space="0"/>
              <w:bottom w:val="single" w:color="auto" w:sz="4" w:space="0"/>
              <w:right w:val="single" w:color="auto" w:sz="4" w:space="0"/>
            </w:tcBorders>
            <w:vAlign w:val="center"/>
          </w:tcPr>
          <w:p w14:paraId="36CD83F0">
            <w:pPr>
              <w:pStyle w:val="4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14:paraId="3A05A7FC">
            <w:pPr>
              <w:pStyle w:val="4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14:paraId="1E1084D7">
            <w:pPr>
              <w:pStyle w:val="4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14:paraId="117EF751">
            <w:pPr>
              <w:pStyle w:val="44"/>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29" w:type="pct"/>
            <w:tcBorders>
              <w:top w:val="single" w:color="auto" w:sz="4" w:space="0"/>
              <w:left w:val="single" w:color="auto" w:sz="4" w:space="0"/>
              <w:bottom w:val="single" w:color="auto" w:sz="4" w:space="0"/>
              <w:right w:val="single" w:color="auto" w:sz="4" w:space="0"/>
            </w:tcBorders>
            <w:vAlign w:val="center"/>
          </w:tcPr>
          <w:p w14:paraId="77F756EF">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50" w:type="pct"/>
            <w:tcBorders>
              <w:top w:val="single" w:color="000000" w:sz="4" w:space="0"/>
              <w:left w:val="single" w:color="auto" w:sz="4" w:space="0"/>
              <w:bottom w:val="single" w:color="000000" w:sz="4" w:space="0"/>
              <w:right w:val="single" w:color="000000" w:sz="4" w:space="0"/>
            </w:tcBorders>
            <w:vAlign w:val="center"/>
          </w:tcPr>
          <w:p w14:paraId="2E41D19F">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14:paraId="4D8D2498">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14:paraId="159416BA">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14:paraId="35946036">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14:paraId="4CA96F08">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14:paraId="681D3418">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14:paraId="62406CA3">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14:paraId="2D7E4846">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14:paraId="74228A3D">
        <w:tblPrEx>
          <w:tblCellMar>
            <w:top w:w="0" w:type="dxa"/>
            <w:left w:w="0" w:type="dxa"/>
            <w:bottom w:w="0" w:type="dxa"/>
            <w:right w:w="0" w:type="dxa"/>
          </w:tblCellMar>
        </w:tblPrEx>
        <w:trPr>
          <w:trHeight w:val="454"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728ED2CB">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8" w:type="pct"/>
            <w:gridSpan w:val="2"/>
            <w:tcBorders>
              <w:top w:val="single" w:color="auto" w:sz="4" w:space="0"/>
              <w:left w:val="single" w:color="auto" w:sz="4" w:space="0"/>
              <w:bottom w:val="single" w:color="auto" w:sz="4" w:space="0"/>
              <w:right w:val="single" w:color="000000" w:sz="4" w:space="0"/>
            </w:tcBorders>
            <w:vAlign w:val="center"/>
          </w:tcPr>
          <w:p w14:paraId="460E3AA7">
            <w:pPr>
              <w:pStyle w:val="44"/>
              <w:numPr>
                <w:ilvl w:val="-1"/>
                <w:numId w:val="0"/>
              </w:numPr>
              <w:jc w:val="center"/>
              <w:rPr>
                <w:rFonts w:hint="eastAsia" w:ascii="仿宋" w:hAnsi="仿宋" w:eastAsia="仿宋" w:cs="仿宋"/>
                <w:color w:val="C00000"/>
                <w:kern w:val="2"/>
                <w:sz w:val="21"/>
                <w:szCs w:val="21"/>
                <w:highlight w:val="none"/>
                <w:lang w:val="en-US" w:eastAsia="zh-CN" w:bidi="ar-SA"/>
              </w:rPr>
            </w:pPr>
          </w:p>
          <w:p w14:paraId="05F77F22">
            <w:pPr>
              <w:pStyle w:val="44"/>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14:paraId="201E3423">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50" w:type="pct"/>
            <w:tcBorders>
              <w:top w:val="single" w:color="000000" w:sz="4" w:space="0"/>
              <w:left w:val="nil"/>
              <w:bottom w:val="single" w:color="000000" w:sz="4" w:space="0"/>
              <w:right w:val="single" w:color="000000" w:sz="4" w:space="0"/>
            </w:tcBorders>
            <w:vAlign w:val="center"/>
          </w:tcPr>
          <w:p w14:paraId="0EBE30EB">
            <w:pPr>
              <w:pStyle w:val="9"/>
              <w:ind w:right="11" w:firstLine="420"/>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无</w:t>
            </w:r>
          </w:p>
        </w:tc>
      </w:tr>
    </w:tbl>
    <w:p w14:paraId="69432F39">
      <w:pPr>
        <w:rPr>
          <w:highlight w:val="none"/>
        </w:rPr>
      </w:pPr>
    </w:p>
    <w:p w14:paraId="442C8325">
      <w:pPr>
        <w:pStyle w:val="8"/>
        <w:rPr>
          <w:highlight w:val="none"/>
        </w:rPr>
      </w:pPr>
    </w:p>
    <w:p w14:paraId="4C04C516">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14:paraId="4977E0D8">
      <w:pPr>
        <w:pStyle w:val="16"/>
        <w:rPr>
          <w:rFonts w:ascii="黑体" w:hAnsi="黑体" w:eastAsia="黑体"/>
          <w:b/>
          <w:bCs/>
          <w:color w:val="000000" w:themeColor="text1"/>
          <w:sz w:val="24"/>
          <w:szCs w:val="24"/>
          <w:highlight w:val="none"/>
          <w14:textFill>
            <w14:solidFill>
              <w14:schemeClr w14:val="tx1"/>
            </w14:solidFill>
          </w14:textFill>
        </w:rPr>
      </w:pPr>
    </w:p>
    <w:p w14:paraId="4628C43B">
      <w:pPr>
        <w:pStyle w:val="52"/>
        <w:numPr>
          <w:ilvl w:val="0"/>
          <w:numId w:val="0"/>
        </w:numPr>
        <w:spacing w:before="120" w:after="120" w:line="360" w:lineRule="auto"/>
        <w:ind w:left="7" w:leftChars="-100" w:hanging="217" w:hangingChars="68"/>
        <w:outlineLvl w:val="0"/>
        <w:rPr>
          <w:rFonts w:hint="eastAsia" w:ascii="宋体" w:hAnsi="宋体" w:eastAsia="宋体" w:cs="宋体"/>
          <w:sz w:val="24"/>
          <w:szCs w:val="24"/>
          <w:lang w:eastAsia="zh-CN"/>
        </w:rPr>
      </w:pPr>
      <w:r>
        <w:rPr>
          <w:rFonts w:hint="eastAsia" w:ascii="微软雅黑" w:hAnsi="微软雅黑" w:eastAsia="微软雅黑" w:cs="微软雅黑"/>
          <w:bCs/>
          <w:color w:val="auto"/>
          <w:sz w:val="32"/>
          <w:szCs w:val="32"/>
          <w:lang w:val="en-US" w:eastAsia="zh-CN"/>
        </w:rPr>
        <w:t>一、</w:t>
      </w:r>
      <w:r>
        <w:rPr>
          <w:rFonts w:hint="eastAsia" w:ascii="微软雅黑" w:hAnsi="微软雅黑" w:eastAsia="微软雅黑" w:cs="微软雅黑"/>
          <w:bCs/>
          <w:color w:val="auto"/>
          <w:sz w:val="32"/>
          <w:szCs w:val="32"/>
        </w:rPr>
        <w:t>概况及总体要求</w:t>
      </w:r>
      <w:bookmarkStart w:id="0" w:name="_Toc13249325"/>
      <w:bookmarkStart w:id="1" w:name="_Toc13248928"/>
    </w:p>
    <w:p w14:paraId="0BE17816">
      <w:pPr>
        <w:pStyle w:val="10"/>
        <w:keepNext w:val="0"/>
        <w:keepLines w:val="0"/>
        <w:pageBreakBefore w:val="0"/>
        <w:kinsoku/>
        <w:wordWrap/>
        <w:overflowPunct/>
        <w:topLinePunct w:val="0"/>
        <w:bidi w:val="0"/>
        <w:snapToGrid w:val="0"/>
        <w:spacing w:line="360" w:lineRule="auto"/>
        <w:ind w:left="0" w:leftChars="0" w:right="122" w:firstLine="480" w:firstLineChars="200"/>
        <w:textAlignment w:val="auto"/>
        <w:rPr>
          <w:rFonts w:hint="eastAsia" w:ascii="微软雅黑" w:hAnsi="微软雅黑" w:eastAsia="微软雅黑"/>
          <w:color w:val="auto"/>
          <w:sz w:val="24"/>
          <w:szCs w:val="24"/>
          <w:lang w:val="en-US" w:eastAsia="zh-CN"/>
        </w:rPr>
      </w:pPr>
      <w:r>
        <w:rPr>
          <w:rFonts w:hint="eastAsia" w:ascii="微软雅黑" w:hAnsi="微软雅黑" w:eastAsia="微软雅黑"/>
          <w:color w:val="auto"/>
          <w:sz w:val="24"/>
          <w:szCs w:val="24"/>
          <w:lang w:val="en-US" w:eastAsia="zh-CN"/>
        </w:rPr>
        <w:t>为进一步贯彻落实国务院《2024-2025年节能降碳行动方案》（国发〔2024〕12号）和集团公司《关于进一步加强节能降碳工作》中国海油安〔2024〕201号文件要求，结合装备技术公司生产实际，完成螺杆式空压机电机能耗升级改造工作。</w:t>
      </w:r>
    </w:p>
    <w:p w14:paraId="5F1B0DAB">
      <w:pPr>
        <w:pStyle w:val="11"/>
        <w:numPr>
          <w:ilvl w:val="0"/>
          <w:numId w:val="0"/>
        </w:numPr>
        <w:ind w:leftChars="0" w:firstLine="480"/>
        <w:rPr>
          <w:rFonts w:hint="eastAsia" w:ascii="微软雅黑" w:hAnsi="微软雅黑" w:eastAsia="微软雅黑" w:cstheme="minorBidi"/>
          <w:b w:val="0"/>
          <w:bCs w:val="0"/>
          <w:color w:val="auto"/>
          <w:kern w:val="0"/>
          <w:sz w:val="24"/>
          <w:szCs w:val="24"/>
          <w:lang w:val="en-US" w:eastAsia="zh-CN" w:bidi="ar-SA"/>
        </w:rPr>
      </w:pPr>
      <w:r>
        <w:rPr>
          <w:rFonts w:hint="eastAsia" w:ascii="微软雅黑" w:hAnsi="微软雅黑" w:eastAsia="微软雅黑" w:cstheme="minorBidi"/>
          <w:b w:val="0"/>
          <w:bCs w:val="0"/>
          <w:color w:val="auto"/>
          <w:kern w:val="0"/>
          <w:sz w:val="24"/>
          <w:szCs w:val="24"/>
          <w:lang w:val="en-US" w:eastAsia="zh-CN" w:bidi="ar-SA"/>
        </w:rPr>
        <w:t>标准引用：</w:t>
      </w:r>
    </w:p>
    <w:p w14:paraId="0C6A603D">
      <w:pPr>
        <w:keepNext w:val="0"/>
        <w:keepLines w:val="0"/>
        <w:widowControl/>
        <w:suppressLineNumbers w:val="0"/>
        <w:ind w:firstLine="480" w:firstLineChars="200"/>
        <w:jc w:val="left"/>
        <w:rPr>
          <w:rFonts w:hint="default" w:ascii="仿宋" w:hAnsi="仿宋" w:eastAsia="仿宋" w:cs="仿宋"/>
          <w:color w:val="00B050"/>
          <w:sz w:val="24"/>
          <w:szCs w:val="24"/>
          <w:highlight w:val="none"/>
          <w:lang w:val="en-US" w:eastAsia="zh-CN"/>
        </w:rPr>
      </w:pPr>
      <w:r>
        <w:rPr>
          <w:rFonts w:hint="eastAsia" w:ascii="微软雅黑" w:hAnsi="微软雅黑" w:eastAsia="微软雅黑" w:cstheme="minorBidi"/>
          <w:b w:val="0"/>
          <w:bCs w:val="0"/>
          <w:color w:val="auto"/>
          <w:kern w:val="0"/>
          <w:sz w:val="24"/>
          <w:szCs w:val="24"/>
          <w:lang w:val="en-US" w:eastAsia="zh-CN" w:bidi="ar-SA"/>
        </w:rPr>
        <w:t>本次需求采购</w:t>
      </w:r>
      <w:r>
        <w:rPr>
          <w:rFonts w:hint="eastAsia" w:ascii="微软雅黑" w:hAnsi="微软雅黑" w:eastAsia="微软雅黑" w:cs="微软雅黑"/>
          <w:b w:val="0"/>
          <w:bCs w:val="0"/>
          <w:color w:val="auto"/>
          <w:kern w:val="2"/>
          <w:sz w:val="24"/>
          <w:szCs w:val="24"/>
          <w:highlight w:val="none"/>
          <w:lang w:val="en-US" w:eastAsia="zh-CN" w:bidi="ar-SA"/>
        </w:rPr>
        <w:t>螺杆式空压机油冷电机应用标准GB18613-2020《电动机能效限定值及能效等级》、GB19153 2019《容积式空气压缩机能效限定值及能效等级》的一级能效标准，即标准GB19153 2019《容积式空气压缩机能效限定值及能效等级》中第4条：能效等级中表1（一般用喷油回转空气压缩机的能效等级）0.8MPa；液冷；200kw对应的一级能效</w:t>
      </w:r>
      <w:r>
        <w:rPr>
          <w:rFonts w:hint="default" w:ascii="微软雅黑" w:hAnsi="微软雅黑" w:eastAsia="微软雅黑" w:cs="微软雅黑"/>
          <w:b w:val="0"/>
          <w:bCs w:val="0"/>
          <w:color w:val="auto"/>
          <w:kern w:val="2"/>
          <w:sz w:val="24"/>
          <w:szCs w:val="24"/>
          <w:highlight w:val="none"/>
          <w:lang w:val="en-US" w:eastAsia="zh-CN" w:bidi="ar-SA"/>
        </w:rPr>
        <w:t>≤</w:t>
      </w:r>
      <w:r>
        <w:rPr>
          <w:rFonts w:hint="eastAsia" w:ascii="微软雅黑" w:hAnsi="微软雅黑" w:eastAsia="微软雅黑" w:cs="微软雅黑"/>
          <w:b w:val="0"/>
          <w:bCs w:val="0"/>
          <w:color w:val="auto"/>
          <w:kern w:val="2"/>
          <w:sz w:val="24"/>
          <w:szCs w:val="24"/>
          <w:highlight w:val="none"/>
          <w:lang w:val="en-US" w:eastAsia="zh-CN" w:bidi="ar-SA"/>
        </w:rPr>
        <w:t>5.8kw/（m3/min）。</w:t>
      </w:r>
    </w:p>
    <w:p w14:paraId="32BB8EB6">
      <w:pPr>
        <w:pStyle w:val="52"/>
        <w:numPr>
          <w:ilvl w:val="0"/>
          <w:numId w:val="0"/>
        </w:numPr>
        <w:spacing w:before="120" w:after="120" w:line="360" w:lineRule="auto"/>
        <w:ind w:left="-284" w:leftChars="0"/>
        <w:outlineLvl w:val="0"/>
        <w:rPr>
          <w:rFonts w:hint="eastAsia" w:ascii="微软雅黑" w:hAnsi="微软雅黑" w:eastAsia="微软雅黑" w:cs="微软雅黑"/>
          <w:bCs/>
          <w:color w:val="auto"/>
          <w:sz w:val="32"/>
          <w:szCs w:val="32"/>
        </w:rPr>
      </w:pPr>
      <w:r>
        <w:rPr>
          <w:rFonts w:hint="eastAsia" w:ascii="微软雅黑" w:hAnsi="微软雅黑" w:eastAsia="微软雅黑" w:cs="微软雅黑"/>
          <w:bCs/>
          <w:color w:val="auto"/>
          <w:sz w:val="32"/>
          <w:szCs w:val="32"/>
          <w:lang w:val="en-US" w:eastAsia="zh-CN"/>
        </w:rPr>
        <w:t>二、</w:t>
      </w:r>
      <w:r>
        <w:rPr>
          <w:rFonts w:hint="eastAsia" w:ascii="微软雅黑" w:hAnsi="微软雅黑" w:eastAsia="微软雅黑" w:cs="微软雅黑"/>
          <w:bCs/>
          <w:color w:val="auto"/>
          <w:sz w:val="32"/>
          <w:szCs w:val="32"/>
        </w:rPr>
        <w:t>需求一览表</w:t>
      </w:r>
      <w:bookmarkEnd w:id="0"/>
      <w:bookmarkEnd w:id="1"/>
    </w:p>
    <w:tbl>
      <w:tblPr>
        <w:tblStyle w:val="21"/>
        <w:tblW w:w="10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857"/>
        <w:gridCol w:w="1322"/>
        <w:gridCol w:w="870"/>
        <w:gridCol w:w="810"/>
        <w:gridCol w:w="1225"/>
        <w:gridCol w:w="1265"/>
        <w:gridCol w:w="2051"/>
      </w:tblGrid>
      <w:tr w14:paraId="03FA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94" w:type="dxa"/>
            <w:vAlign w:val="center"/>
          </w:tcPr>
          <w:p w14:paraId="2DB81F28">
            <w:pPr>
              <w:pStyle w:val="4"/>
              <w:adjustRightInd w:val="0"/>
              <w:snapToGrid w:val="0"/>
              <w:spacing w:line="360" w:lineRule="auto"/>
              <w:jc w:val="center"/>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序号</w:t>
            </w:r>
          </w:p>
        </w:tc>
        <w:tc>
          <w:tcPr>
            <w:tcW w:w="1857" w:type="dxa"/>
            <w:vAlign w:val="center"/>
          </w:tcPr>
          <w:p w14:paraId="3912AB98">
            <w:pPr>
              <w:pStyle w:val="4"/>
              <w:adjustRightInd w:val="0"/>
              <w:snapToGrid w:val="0"/>
              <w:spacing w:line="360" w:lineRule="auto"/>
              <w:jc w:val="center"/>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名称</w:t>
            </w:r>
          </w:p>
        </w:tc>
        <w:tc>
          <w:tcPr>
            <w:tcW w:w="1322" w:type="dxa"/>
            <w:vAlign w:val="center"/>
          </w:tcPr>
          <w:p w14:paraId="2A2B998F">
            <w:pPr>
              <w:pStyle w:val="4"/>
              <w:adjustRightInd w:val="0"/>
              <w:snapToGrid w:val="0"/>
              <w:spacing w:line="360" w:lineRule="auto"/>
              <w:jc w:val="center"/>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规格型号</w:t>
            </w:r>
          </w:p>
        </w:tc>
        <w:tc>
          <w:tcPr>
            <w:tcW w:w="870" w:type="dxa"/>
            <w:vAlign w:val="center"/>
          </w:tcPr>
          <w:p w14:paraId="111BDD05">
            <w:pPr>
              <w:pStyle w:val="4"/>
              <w:adjustRightInd w:val="0"/>
              <w:snapToGrid w:val="0"/>
              <w:spacing w:line="360" w:lineRule="auto"/>
              <w:jc w:val="center"/>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单位</w:t>
            </w:r>
          </w:p>
        </w:tc>
        <w:tc>
          <w:tcPr>
            <w:tcW w:w="810" w:type="dxa"/>
            <w:vAlign w:val="center"/>
          </w:tcPr>
          <w:p w14:paraId="2011CD65">
            <w:pPr>
              <w:pStyle w:val="4"/>
              <w:adjustRightInd w:val="0"/>
              <w:snapToGrid w:val="0"/>
              <w:spacing w:line="360" w:lineRule="auto"/>
              <w:jc w:val="center"/>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数量</w:t>
            </w:r>
          </w:p>
        </w:tc>
        <w:tc>
          <w:tcPr>
            <w:tcW w:w="1225" w:type="dxa"/>
            <w:vAlign w:val="center"/>
          </w:tcPr>
          <w:p w14:paraId="5A20B016">
            <w:pPr>
              <w:pStyle w:val="4"/>
              <w:adjustRightInd w:val="0"/>
              <w:snapToGrid w:val="0"/>
              <w:spacing w:line="360" w:lineRule="auto"/>
              <w:jc w:val="center"/>
              <w:rPr>
                <w:rFonts w:hint="eastAsia" w:ascii="微软雅黑" w:hAnsi="微软雅黑" w:eastAsia="微软雅黑" w:cs="微软雅黑"/>
                <w:spacing w:val="0"/>
                <w:sz w:val="24"/>
                <w:szCs w:val="24"/>
                <w:highlight w:val="none"/>
              </w:rPr>
            </w:pPr>
            <w:r>
              <w:rPr>
                <w:rFonts w:hint="eastAsia" w:ascii="微软雅黑" w:hAnsi="微软雅黑" w:eastAsia="微软雅黑" w:cs="微软雅黑"/>
                <w:spacing w:val="0"/>
                <w:sz w:val="24"/>
                <w:szCs w:val="24"/>
                <w:highlight w:val="none"/>
                <w:lang w:val="en-US" w:eastAsia="zh-CN"/>
              </w:rPr>
              <w:t>完工</w:t>
            </w:r>
            <w:r>
              <w:rPr>
                <w:rFonts w:hint="eastAsia" w:ascii="微软雅黑" w:hAnsi="微软雅黑" w:eastAsia="微软雅黑" w:cs="微软雅黑"/>
                <w:spacing w:val="0"/>
                <w:sz w:val="24"/>
                <w:szCs w:val="24"/>
                <w:highlight w:val="none"/>
              </w:rPr>
              <w:t>期</w:t>
            </w:r>
          </w:p>
        </w:tc>
        <w:tc>
          <w:tcPr>
            <w:tcW w:w="1265" w:type="dxa"/>
            <w:vAlign w:val="center"/>
          </w:tcPr>
          <w:p w14:paraId="49FFAE71">
            <w:pPr>
              <w:pStyle w:val="4"/>
              <w:adjustRightInd w:val="0"/>
              <w:snapToGrid w:val="0"/>
              <w:spacing w:line="360" w:lineRule="auto"/>
              <w:jc w:val="center"/>
              <w:rPr>
                <w:rFonts w:hint="eastAsia" w:ascii="微软雅黑" w:hAnsi="微软雅黑" w:eastAsia="微软雅黑" w:cs="微软雅黑"/>
                <w:spacing w:val="0"/>
                <w:sz w:val="24"/>
                <w:szCs w:val="24"/>
                <w:highlight w:val="none"/>
              </w:rPr>
            </w:pPr>
            <w:r>
              <w:rPr>
                <w:rFonts w:hint="eastAsia" w:ascii="微软雅黑" w:hAnsi="微软雅黑" w:eastAsia="微软雅黑" w:cs="微软雅黑"/>
                <w:spacing w:val="0"/>
                <w:sz w:val="24"/>
                <w:szCs w:val="24"/>
                <w:highlight w:val="none"/>
                <w:lang w:val="en-US" w:eastAsia="zh-CN"/>
              </w:rPr>
              <w:t>安装</w:t>
            </w:r>
            <w:r>
              <w:rPr>
                <w:rFonts w:hint="eastAsia" w:ascii="微软雅黑" w:hAnsi="微软雅黑" w:eastAsia="微软雅黑" w:cs="微软雅黑"/>
                <w:spacing w:val="0"/>
                <w:sz w:val="24"/>
                <w:szCs w:val="24"/>
                <w:highlight w:val="none"/>
              </w:rPr>
              <w:t>地点</w:t>
            </w:r>
          </w:p>
        </w:tc>
        <w:tc>
          <w:tcPr>
            <w:tcW w:w="2051" w:type="dxa"/>
            <w:vAlign w:val="center"/>
          </w:tcPr>
          <w:p w14:paraId="04BF3CD2">
            <w:pPr>
              <w:pStyle w:val="4"/>
              <w:adjustRightInd w:val="0"/>
              <w:snapToGrid w:val="0"/>
              <w:spacing w:line="360" w:lineRule="auto"/>
              <w:jc w:val="center"/>
              <w:rPr>
                <w:rFonts w:hint="eastAsia" w:ascii="微软雅黑" w:hAnsi="微软雅黑" w:eastAsia="微软雅黑" w:cs="微软雅黑"/>
                <w:spacing w:val="0"/>
                <w:sz w:val="24"/>
                <w:szCs w:val="24"/>
              </w:rPr>
            </w:pPr>
            <w:r>
              <w:rPr>
                <w:rFonts w:hint="eastAsia" w:ascii="微软雅黑" w:hAnsi="微软雅黑" w:eastAsia="微软雅黑" w:cs="微软雅黑"/>
                <w:spacing w:val="0"/>
                <w:sz w:val="24"/>
                <w:szCs w:val="24"/>
              </w:rPr>
              <w:t>备注</w:t>
            </w:r>
          </w:p>
        </w:tc>
      </w:tr>
      <w:tr w14:paraId="5D92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794" w:type="dxa"/>
            <w:vAlign w:val="center"/>
          </w:tcPr>
          <w:p w14:paraId="2F32FFF5">
            <w:pPr>
              <w:pStyle w:val="10"/>
              <w:ind w:left="0" w:leftChars="0" w:firstLine="0" w:firstLineChars="0"/>
              <w:jc w:val="center"/>
              <w:rPr>
                <w:rFonts w:hint="eastAsia" w:ascii="微软雅黑" w:hAnsi="微软雅黑" w:eastAsia="微软雅黑" w:cs="微软雅黑"/>
                <w:bCs/>
                <w:color w:val="auto"/>
                <w:kern w:val="2"/>
                <w:sz w:val="24"/>
                <w:szCs w:val="24"/>
                <w:highlight w:val="none"/>
                <w:lang w:val="en-US" w:eastAsia="zh-CN" w:bidi="ar-SA"/>
              </w:rPr>
            </w:pPr>
            <w:bookmarkStart w:id="2" w:name="OLE_LINK3" w:colFirst="4" w:colLast="4"/>
            <w:bookmarkStart w:id="3" w:name="OLE_LINK4" w:colFirst="2" w:colLast="2"/>
            <w:r>
              <w:rPr>
                <w:rFonts w:hint="eastAsia" w:ascii="微软雅黑" w:hAnsi="微软雅黑" w:eastAsia="微软雅黑" w:cs="微软雅黑"/>
                <w:bCs/>
                <w:color w:val="auto"/>
                <w:kern w:val="2"/>
                <w:sz w:val="24"/>
                <w:szCs w:val="24"/>
                <w:highlight w:val="none"/>
                <w:lang w:val="en-US" w:eastAsia="zh-CN" w:bidi="ar-SA"/>
              </w:rPr>
              <w:t>1</w:t>
            </w:r>
          </w:p>
        </w:tc>
        <w:tc>
          <w:tcPr>
            <w:tcW w:w="1857" w:type="dxa"/>
            <w:vAlign w:val="center"/>
          </w:tcPr>
          <w:p w14:paraId="148748EB">
            <w:pPr>
              <w:pStyle w:val="10"/>
              <w:ind w:left="240" w:leftChars="0" w:hanging="240" w:hangingChars="100"/>
              <w:jc w:val="center"/>
              <w:rPr>
                <w:rFonts w:hint="default" w:ascii="微软雅黑" w:hAnsi="微软雅黑" w:eastAsia="微软雅黑" w:cs="微软雅黑"/>
                <w:bCs/>
                <w:color w:val="auto"/>
                <w:kern w:val="2"/>
                <w:sz w:val="24"/>
                <w:szCs w:val="24"/>
                <w:highlight w:val="none"/>
                <w:lang w:val="en-US" w:eastAsia="zh-CN" w:bidi="ar-SA"/>
              </w:rPr>
            </w:pPr>
            <w:r>
              <w:rPr>
                <w:rFonts w:hint="eastAsia" w:ascii="微软雅黑" w:hAnsi="微软雅黑" w:eastAsia="微软雅黑" w:cs="微软雅黑"/>
                <w:bCs/>
                <w:color w:val="auto"/>
                <w:kern w:val="2"/>
                <w:sz w:val="24"/>
                <w:szCs w:val="24"/>
                <w:highlight w:val="none"/>
                <w:lang w:val="en-US" w:eastAsia="zh-CN" w:bidi="ar-SA"/>
              </w:rPr>
              <w:t>螺杆式空压机油冷电机</w:t>
            </w:r>
          </w:p>
        </w:tc>
        <w:tc>
          <w:tcPr>
            <w:tcW w:w="1322" w:type="dxa"/>
            <w:vAlign w:val="center"/>
          </w:tcPr>
          <w:p w14:paraId="74423FD2">
            <w:pPr>
              <w:pStyle w:val="10"/>
              <w:ind w:left="0" w:leftChars="0" w:firstLine="0" w:firstLineChars="0"/>
              <w:jc w:val="center"/>
              <w:rPr>
                <w:rFonts w:hint="eastAsia" w:ascii="微软雅黑" w:hAnsi="微软雅黑" w:eastAsia="微软雅黑" w:cs="微软雅黑"/>
                <w:bCs/>
                <w:color w:val="auto"/>
                <w:kern w:val="2"/>
                <w:sz w:val="24"/>
                <w:szCs w:val="24"/>
                <w:highlight w:val="none"/>
                <w:lang w:val="en-US" w:eastAsia="zh-CN" w:bidi="ar-SA"/>
              </w:rPr>
            </w:pPr>
            <w:r>
              <w:rPr>
                <w:rFonts w:hint="eastAsia" w:ascii="微软雅黑" w:hAnsi="微软雅黑" w:eastAsia="微软雅黑" w:cs="微软雅黑"/>
                <w:bCs/>
                <w:color w:val="auto"/>
                <w:kern w:val="2"/>
                <w:sz w:val="24"/>
                <w:szCs w:val="24"/>
                <w:highlight w:val="none"/>
                <w:lang w:val="en-US" w:eastAsia="zh-CN" w:bidi="ar-SA"/>
              </w:rPr>
              <w:t xml:space="preserve">SA250W-8-C </w:t>
            </w:r>
          </w:p>
        </w:tc>
        <w:tc>
          <w:tcPr>
            <w:tcW w:w="870" w:type="dxa"/>
            <w:vAlign w:val="center"/>
          </w:tcPr>
          <w:p w14:paraId="53BB193E">
            <w:pPr>
              <w:pStyle w:val="10"/>
              <w:ind w:left="0" w:leftChars="0" w:firstLine="0" w:firstLineChars="0"/>
              <w:jc w:val="center"/>
              <w:rPr>
                <w:rFonts w:hint="default" w:ascii="微软雅黑" w:hAnsi="微软雅黑" w:eastAsia="微软雅黑" w:cs="微软雅黑"/>
                <w:bCs/>
                <w:color w:val="auto"/>
                <w:kern w:val="2"/>
                <w:sz w:val="24"/>
                <w:szCs w:val="24"/>
                <w:highlight w:val="none"/>
                <w:lang w:val="en-US" w:eastAsia="zh-CN" w:bidi="ar-SA"/>
              </w:rPr>
            </w:pPr>
            <w:r>
              <w:rPr>
                <w:rFonts w:hint="eastAsia" w:ascii="微软雅黑" w:hAnsi="微软雅黑" w:eastAsia="微软雅黑" w:cs="微软雅黑"/>
                <w:bCs/>
                <w:color w:val="auto"/>
                <w:kern w:val="2"/>
                <w:sz w:val="24"/>
                <w:szCs w:val="24"/>
                <w:highlight w:val="none"/>
                <w:lang w:val="en-US" w:eastAsia="zh-CN" w:bidi="ar-SA"/>
              </w:rPr>
              <w:t>EA</w:t>
            </w:r>
          </w:p>
        </w:tc>
        <w:tc>
          <w:tcPr>
            <w:tcW w:w="810" w:type="dxa"/>
            <w:vAlign w:val="center"/>
          </w:tcPr>
          <w:p w14:paraId="3C0E1CE2">
            <w:pPr>
              <w:pStyle w:val="10"/>
              <w:ind w:left="0" w:leftChars="0" w:firstLine="0" w:firstLineChars="0"/>
              <w:jc w:val="center"/>
              <w:rPr>
                <w:rFonts w:hint="eastAsia" w:ascii="微软雅黑" w:hAnsi="微软雅黑" w:eastAsia="微软雅黑" w:cs="微软雅黑"/>
                <w:bCs/>
                <w:color w:val="auto"/>
                <w:kern w:val="2"/>
                <w:sz w:val="24"/>
                <w:szCs w:val="24"/>
                <w:highlight w:val="none"/>
                <w:lang w:val="en-US" w:eastAsia="zh-CN" w:bidi="ar-SA"/>
              </w:rPr>
            </w:pPr>
            <w:r>
              <w:rPr>
                <w:rFonts w:hint="eastAsia" w:ascii="微软雅黑" w:hAnsi="微软雅黑" w:eastAsia="微软雅黑" w:cs="微软雅黑"/>
                <w:bCs/>
                <w:color w:val="auto"/>
                <w:kern w:val="2"/>
                <w:sz w:val="24"/>
                <w:szCs w:val="24"/>
                <w:highlight w:val="none"/>
                <w:lang w:val="en-US" w:eastAsia="zh-CN" w:bidi="ar-SA"/>
              </w:rPr>
              <w:t>1</w:t>
            </w:r>
          </w:p>
        </w:tc>
        <w:tc>
          <w:tcPr>
            <w:tcW w:w="1225" w:type="dxa"/>
            <w:vAlign w:val="center"/>
          </w:tcPr>
          <w:p w14:paraId="20F4800B">
            <w:pPr>
              <w:pStyle w:val="10"/>
              <w:ind w:left="0" w:leftChars="0" w:firstLine="0" w:firstLineChars="0"/>
              <w:jc w:val="center"/>
              <w:rPr>
                <w:rFonts w:hint="eastAsia" w:ascii="微软雅黑" w:hAnsi="微软雅黑" w:eastAsia="微软雅黑" w:cs="微软雅黑"/>
                <w:bCs/>
                <w:color w:val="auto"/>
                <w:kern w:val="2"/>
                <w:sz w:val="24"/>
                <w:szCs w:val="24"/>
                <w:highlight w:val="none"/>
                <w:lang w:val="en-US" w:eastAsia="zh-CN" w:bidi="ar-SA"/>
              </w:rPr>
            </w:pPr>
            <w:r>
              <w:rPr>
                <w:rFonts w:hint="eastAsia" w:ascii="微软雅黑" w:hAnsi="微软雅黑" w:eastAsia="微软雅黑" w:cs="微软雅黑"/>
                <w:bCs/>
                <w:color w:val="auto"/>
                <w:kern w:val="2"/>
                <w:sz w:val="24"/>
                <w:szCs w:val="24"/>
                <w:highlight w:val="none"/>
                <w:lang w:val="en-US" w:eastAsia="zh-CN" w:bidi="ar-SA"/>
              </w:rPr>
              <w:t>合同签订后60天</w:t>
            </w:r>
          </w:p>
        </w:tc>
        <w:tc>
          <w:tcPr>
            <w:tcW w:w="1265" w:type="dxa"/>
            <w:vAlign w:val="center"/>
          </w:tcPr>
          <w:p w14:paraId="76805F21">
            <w:pPr>
              <w:pStyle w:val="10"/>
              <w:ind w:left="0" w:leftChars="0" w:firstLine="0" w:firstLineChars="0"/>
              <w:jc w:val="center"/>
              <w:rPr>
                <w:rFonts w:hint="eastAsia" w:ascii="微软雅黑" w:hAnsi="微软雅黑" w:eastAsia="微软雅黑" w:cs="微软雅黑"/>
                <w:bCs/>
                <w:color w:val="auto"/>
                <w:kern w:val="2"/>
                <w:sz w:val="24"/>
                <w:szCs w:val="24"/>
                <w:highlight w:val="none"/>
                <w:lang w:val="en-US" w:eastAsia="zh-CN" w:bidi="ar-SA"/>
              </w:rPr>
            </w:pPr>
            <w:r>
              <w:rPr>
                <w:rFonts w:hint="eastAsia" w:ascii="微软雅黑" w:hAnsi="微软雅黑" w:eastAsia="微软雅黑" w:cs="微软雅黑"/>
                <w:bCs/>
                <w:color w:val="auto"/>
                <w:kern w:val="2"/>
                <w:sz w:val="24"/>
                <w:szCs w:val="24"/>
                <w:highlight w:val="none"/>
                <w:lang w:val="en-US" w:eastAsia="zh-CN" w:bidi="ar-SA"/>
              </w:rPr>
              <w:t>海工建造   场地</w:t>
            </w:r>
          </w:p>
        </w:tc>
        <w:tc>
          <w:tcPr>
            <w:tcW w:w="2051" w:type="dxa"/>
            <w:vAlign w:val="center"/>
          </w:tcPr>
          <w:p w14:paraId="3FC281CA">
            <w:pPr>
              <w:pStyle w:val="10"/>
              <w:ind w:left="0" w:leftChars="0" w:firstLine="0" w:firstLineChars="0"/>
              <w:jc w:val="left"/>
              <w:rPr>
                <w:rFonts w:hint="default" w:ascii="微软雅黑" w:hAnsi="微软雅黑" w:eastAsia="微软雅黑" w:cs="微软雅黑"/>
                <w:bCs/>
                <w:color w:val="auto"/>
                <w:kern w:val="2"/>
                <w:sz w:val="24"/>
                <w:szCs w:val="24"/>
                <w:highlight w:val="none"/>
                <w:lang w:val="en-US" w:eastAsia="zh-CN" w:bidi="ar-SA"/>
              </w:rPr>
            </w:pPr>
            <w:r>
              <w:rPr>
                <w:rFonts w:hint="eastAsia" w:ascii="微软雅黑" w:hAnsi="微软雅黑" w:eastAsia="微软雅黑" w:cs="微软雅黑"/>
                <w:bCs/>
                <w:color w:val="auto"/>
                <w:kern w:val="2"/>
                <w:sz w:val="24"/>
                <w:szCs w:val="24"/>
                <w:highlight w:val="none"/>
                <w:lang w:val="en-US" w:eastAsia="zh-CN" w:bidi="ar-SA"/>
              </w:rPr>
              <w:t>含改造（电机、两级压缩主机等），安装调试，并提供安装、改造、调试方案及安装设计图纸</w:t>
            </w:r>
          </w:p>
        </w:tc>
      </w:tr>
      <w:bookmarkEnd w:id="2"/>
      <w:bookmarkEnd w:id="3"/>
    </w:tbl>
    <w:p w14:paraId="4C8AEBE3">
      <w:pPr>
        <w:pStyle w:val="52"/>
        <w:numPr>
          <w:ilvl w:val="0"/>
          <w:numId w:val="2"/>
        </w:numPr>
        <w:spacing w:before="120" w:after="120" w:line="360" w:lineRule="auto"/>
        <w:ind w:left="-284" w:leftChars="0"/>
        <w:outlineLvl w:val="0"/>
        <w:rPr>
          <w:rFonts w:hint="eastAsia" w:ascii="微软雅黑" w:hAnsi="微软雅黑" w:eastAsia="微软雅黑" w:cs="微软雅黑"/>
          <w:bCs/>
          <w:color w:val="auto"/>
          <w:sz w:val="32"/>
          <w:szCs w:val="32"/>
        </w:rPr>
      </w:pPr>
      <w:bookmarkStart w:id="4" w:name="_Toc13249326"/>
      <w:bookmarkStart w:id="5" w:name="_Toc13248929"/>
      <w:r>
        <w:rPr>
          <w:rFonts w:hint="eastAsia" w:ascii="微软雅黑" w:hAnsi="微软雅黑" w:eastAsia="微软雅黑" w:cs="微软雅黑"/>
          <w:bCs/>
          <w:color w:val="auto"/>
          <w:sz w:val="32"/>
          <w:szCs w:val="32"/>
        </w:rPr>
        <w:t>执行标准/规范</w:t>
      </w:r>
    </w:p>
    <w:p w14:paraId="7E1BED1C">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喷油螺杆空气压缩机及其附属设备的设计和制造，应符合现行的有关国家标准、行业标准。凡是注日期的引用文件，仅所注日期的版本适用于本技术要求。凡是不注日期的引用文件，其最新版本（包括所有的修改单）适用于本技术要求。这些标准和规范至少包括：</w:t>
      </w:r>
    </w:p>
    <w:p w14:paraId="37598150">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GB19153-2019 容积式空气压缩机能效限定值及能效等级</w:t>
      </w:r>
    </w:p>
    <w:p w14:paraId="4A68DEE1">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GB18613-2020 电动机能效限定值及能效等级</w:t>
      </w:r>
    </w:p>
    <w:p w14:paraId="775E1049">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GB 151 管壳式换热器</w:t>
      </w:r>
    </w:p>
    <w:p w14:paraId="4CD818EF">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GB/T 3480.5 直齿轮和斜齿轮承载能力计算 第 5 部分：材料的强度和质量（GB/T 3480.5-2008， ISO 6336-5:2003，IDT）</w:t>
      </w:r>
    </w:p>
    <w:p w14:paraId="5D52F166">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GB/T 3853-</w:t>
      </w:r>
      <w:r>
        <w:rPr>
          <w:rFonts w:hint="eastAsia" w:ascii="微软雅黑" w:hAnsi="微软雅黑" w:eastAsia="微软雅黑" w:cs="微软雅黑"/>
          <w:b w:val="0"/>
          <w:bCs/>
          <w:color w:val="auto"/>
          <w:spacing w:val="0"/>
          <w:sz w:val="24"/>
          <w:szCs w:val="24"/>
          <w:lang w:val="en-US" w:eastAsia="zh-CN"/>
        </w:rPr>
        <w:t>2017</w:t>
      </w:r>
      <w:r>
        <w:rPr>
          <w:rFonts w:hint="eastAsia" w:ascii="微软雅黑" w:hAnsi="微软雅黑" w:eastAsia="微软雅黑" w:cs="微软雅黑"/>
          <w:b w:val="0"/>
          <w:bCs/>
          <w:color w:val="FF0000"/>
          <w:spacing w:val="0"/>
          <w:sz w:val="24"/>
          <w:szCs w:val="24"/>
          <w:lang w:val="en-US" w:eastAsia="zh-CN"/>
        </w:rPr>
        <w:t xml:space="preserve"> </w:t>
      </w:r>
      <w:r>
        <w:rPr>
          <w:rFonts w:hint="eastAsia" w:ascii="微软雅黑" w:hAnsi="微软雅黑" w:eastAsia="微软雅黑" w:cs="微软雅黑"/>
          <w:b w:val="0"/>
          <w:bCs/>
          <w:spacing w:val="0"/>
          <w:sz w:val="24"/>
          <w:szCs w:val="24"/>
          <w:lang w:val="en-US" w:eastAsia="zh-CN"/>
        </w:rPr>
        <w:t xml:space="preserve">容积式压缩机验收试验（eqv ISO1217:1996） </w:t>
      </w:r>
    </w:p>
    <w:p w14:paraId="47AA7B78">
      <w:pPr>
        <w:pStyle w:val="52"/>
        <w:numPr>
          <w:ilvl w:val="-1"/>
          <w:numId w:val="0"/>
        </w:numPr>
        <w:spacing w:before="120" w:after="120"/>
        <w:ind w:left="0"/>
        <w:outlineLvl w:val="0"/>
        <w:rPr>
          <w:rFonts w:hint="eastAsia" w:ascii="微软雅黑" w:hAnsi="微软雅黑" w:eastAsia="微软雅黑" w:cs="微软雅黑"/>
          <w:b w:val="0"/>
          <w:bCs/>
          <w:color w:val="auto"/>
          <w:spacing w:val="0"/>
          <w:sz w:val="24"/>
          <w:szCs w:val="24"/>
          <w:lang w:val="en-US" w:eastAsia="zh-CN"/>
        </w:rPr>
      </w:pPr>
      <w:r>
        <w:rPr>
          <w:rFonts w:hint="eastAsia" w:ascii="微软雅黑" w:hAnsi="微软雅黑" w:eastAsia="微软雅黑" w:cs="微软雅黑"/>
          <w:b w:val="0"/>
          <w:bCs/>
          <w:spacing w:val="0"/>
          <w:sz w:val="24"/>
          <w:szCs w:val="24"/>
          <w:lang w:val="en-US" w:eastAsia="zh-CN"/>
        </w:rPr>
        <w:t>GB/T 4975 容积式压缩机术语 总则</w:t>
      </w:r>
    </w:p>
    <w:p w14:paraId="00DE1488">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color w:val="auto"/>
          <w:spacing w:val="0"/>
          <w:sz w:val="24"/>
          <w:szCs w:val="24"/>
          <w:lang w:val="en-US" w:eastAsia="zh-CN"/>
        </w:rPr>
        <w:t>GBT 15487-2015 容积式压缩机流量测量方法</w:t>
      </w:r>
    </w:p>
    <w:p w14:paraId="6248E27E">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GB/T 4980 容积式压缩机噪声的测定</w:t>
      </w:r>
    </w:p>
    <w:p w14:paraId="6F8E11D2">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GB/T 5330-2003 工业用金属丝编织方孔筛网</w:t>
      </w:r>
    </w:p>
    <w:p w14:paraId="71E316B8">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GB/T 6388 运输包装收发货标志</w:t>
      </w:r>
    </w:p>
    <w:p w14:paraId="6DD74C79">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GB/T 7777 容积式压缩机机械振动测量与评价</w:t>
      </w:r>
    </w:p>
    <w:p w14:paraId="44639D84">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GB/T 10095.2-2008 圆柱齿轮 精度制 第2 部分：径向综合偏差与径向跳动的定义和允许值(ISO 1328-2:1997，IDT)</w:t>
      </w:r>
    </w:p>
    <w:p w14:paraId="2B57BE7A">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GB/T 13306 标牌</w:t>
      </w:r>
    </w:p>
    <w:p w14:paraId="6F4EE1E3">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GB/T 14295 空气过滤器</w:t>
      </w:r>
    </w:p>
    <w:p w14:paraId="7B047C48">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GB 19153-2019 容积式空气压缩机能效限定值及能效等级</w:t>
      </w:r>
    </w:p>
    <w:p w14:paraId="53CC3AA0">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GB 22207-2008 容积式空气压缩机安全要求</w:t>
      </w:r>
    </w:p>
    <w:p w14:paraId="767932AF">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JB/T 2589 容积式压缩机型号编制方法</w:t>
      </w:r>
    </w:p>
    <w:p w14:paraId="0A13FD1F">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JB/T 3771 移动式压缩机底盘 技术条件</w:t>
      </w:r>
    </w:p>
    <w:p w14:paraId="36D7843D">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JB/T 6431 容积式压缩机用灰铸铁件技术条件</w:t>
      </w:r>
    </w:p>
    <w:p w14:paraId="1A27019F">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JB/T 6441 压缩机用安全阀</w:t>
      </w:r>
    </w:p>
    <w:p w14:paraId="4269E169">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JB/T 6908 容积式压缩机用钢锻件</w:t>
      </w:r>
    </w:p>
    <w:p w14:paraId="4CCB1C99">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JB/T 7662 容积式压缩机术语 回转压缩机</w:t>
      </w:r>
    </w:p>
    <w:p w14:paraId="2930833F">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JB/T 7663.1 容积式压缩机 包装技术条件</w:t>
      </w:r>
    </w:p>
    <w:p w14:paraId="708CE6CE">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JB/T 7663.2 容积式压缩机 涂装技术条件</w:t>
      </w:r>
    </w:p>
    <w:p w14:paraId="10D0A002">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JB/T 9104 容积式压缩机用球墨铸铁件技术条件</w:t>
      </w:r>
    </w:p>
    <w:p w14:paraId="4ADDA049">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NB/T 47006 铝制板翅式热交换器</w:t>
      </w:r>
    </w:p>
    <w:p w14:paraId="5B9348A4">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TSG R0003 简单压力容器安全技术监察规程</w:t>
      </w:r>
    </w:p>
    <w:p w14:paraId="056B5554">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TSG R0004 固定式压力容器安全技术监察规程</w:t>
      </w:r>
    </w:p>
    <w:p w14:paraId="1801B2F0">
      <w:pPr>
        <w:pStyle w:val="52"/>
        <w:numPr>
          <w:ilvl w:val="-1"/>
          <w:numId w:val="0"/>
        </w:numPr>
        <w:spacing w:before="120" w:after="120"/>
        <w:ind w:left="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 xml:space="preserve">TSG ZF001 安全阀安全技术监察规程    </w:t>
      </w:r>
    </w:p>
    <w:p w14:paraId="55D9E243">
      <w:pPr>
        <w:pStyle w:val="52"/>
        <w:numPr>
          <w:ilvl w:val="0"/>
          <w:numId w:val="0"/>
        </w:numPr>
        <w:spacing w:before="120" w:after="120"/>
        <w:outlineLvl w:val="0"/>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其他现行国家和地方有关规范、规定、标准。</w:t>
      </w:r>
    </w:p>
    <w:p w14:paraId="44DB4638">
      <w:pPr>
        <w:pStyle w:val="52"/>
        <w:numPr>
          <w:ilvl w:val="0"/>
          <w:numId w:val="0"/>
        </w:numPr>
        <w:spacing w:before="120" w:after="120" w:line="360" w:lineRule="auto"/>
        <w:ind w:left="-284" w:leftChars="0" w:firstLine="640" w:firstLineChars="200"/>
        <w:outlineLvl w:val="0"/>
        <w:rPr>
          <w:rFonts w:hint="eastAsia" w:ascii="微软雅黑" w:hAnsi="微软雅黑" w:eastAsia="微软雅黑" w:cs="微软雅黑"/>
          <w:bCs/>
          <w:color w:val="auto"/>
          <w:sz w:val="28"/>
          <w:szCs w:val="28"/>
        </w:rPr>
      </w:pPr>
      <w:r>
        <w:rPr>
          <w:rFonts w:hint="eastAsia" w:ascii="微软雅黑" w:hAnsi="微软雅黑" w:eastAsia="微软雅黑" w:cs="微软雅黑"/>
          <w:bCs/>
          <w:color w:val="auto"/>
          <w:sz w:val="32"/>
          <w:szCs w:val="32"/>
          <w:lang w:val="en-US" w:eastAsia="zh-CN"/>
        </w:rPr>
        <w:t>四、</w:t>
      </w:r>
      <w:r>
        <w:rPr>
          <w:rFonts w:hint="eastAsia" w:ascii="微软雅黑" w:hAnsi="微软雅黑" w:eastAsia="微软雅黑" w:cs="微软雅黑"/>
          <w:bCs/>
          <w:color w:val="auto"/>
          <w:sz w:val="32"/>
          <w:szCs w:val="32"/>
        </w:rPr>
        <w:t>设计/使用条件</w:t>
      </w:r>
    </w:p>
    <w:p w14:paraId="3F58D0FD">
      <w:pPr>
        <w:pStyle w:val="4"/>
        <w:adjustRightInd w:val="0"/>
        <w:snapToGrid w:val="0"/>
        <w:spacing w:line="360" w:lineRule="auto"/>
        <w:ind w:firstLine="480" w:firstLineChars="200"/>
        <w:jc w:val="both"/>
        <w:rPr>
          <w:rFonts w:hint="default"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1、使用地点：广东省湛江市坡头区南油一区南油码头海工建造场地内</w:t>
      </w:r>
    </w:p>
    <w:p w14:paraId="5892AC95">
      <w:pPr>
        <w:pStyle w:val="52"/>
        <w:numPr>
          <w:ilvl w:val="0"/>
          <w:numId w:val="0"/>
        </w:numPr>
        <w:spacing w:before="120" w:after="120"/>
        <w:ind w:left="-284" w:firstLine="640"/>
        <w:outlineLvl w:val="0"/>
        <w:rPr>
          <w:rFonts w:hint="eastAsia" w:ascii="微软雅黑" w:hAnsi="微软雅黑" w:eastAsia="微软雅黑" w:cs="微软雅黑"/>
          <w:bCs/>
          <w:color w:val="auto"/>
          <w:sz w:val="32"/>
          <w:szCs w:val="32"/>
        </w:rPr>
      </w:pPr>
      <w:r>
        <w:rPr>
          <w:rFonts w:hint="eastAsia" w:ascii="微软雅黑" w:hAnsi="微软雅黑" w:eastAsia="微软雅黑" w:cs="微软雅黑"/>
          <w:bCs/>
          <w:color w:val="auto"/>
          <w:sz w:val="32"/>
          <w:szCs w:val="32"/>
          <w:lang w:val="en-US" w:eastAsia="zh-CN"/>
        </w:rPr>
        <w:t>五、</w:t>
      </w:r>
      <w:r>
        <w:rPr>
          <w:rFonts w:hint="eastAsia" w:ascii="微软雅黑" w:hAnsi="微软雅黑" w:eastAsia="微软雅黑" w:cs="微软雅黑"/>
          <w:bCs/>
          <w:color w:val="auto"/>
          <w:sz w:val="32"/>
          <w:szCs w:val="32"/>
        </w:rPr>
        <w:t>技术要求</w:t>
      </w:r>
    </w:p>
    <w:p w14:paraId="0A993133">
      <w:pPr>
        <w:pStyle w:val="52"/>
        <w:numPr>
          <w:ilvl w:val="0"/>
          <w:numId w:val="0"/>
        </w:numPr>
        <w:spacing w:before="120" w:after="120"/>
        <w:ind w:left="-284" w:firstLine="64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★1、将原单级压缩螺杆空气压缩机组和IE3电机拆除，改造为两级螺杆空气压缩机组，旧主机升级改造成SAT</w:t>
      </w:r>
      <w:r>
        <w:rPr>
          <w:rFonts w:hint="eastAsia" w:ascii="微软雅黑" w:hAnsi="微软雅黑" w:eastAsia="微软雅黑" w:cs="微软雅黑"/>
          <w:color w:val="00B050"/>
          <w:spacing w:val="0"/>
          <w:sz w:val="24"/>
          <w:szCs w:val="24"/>
          <w:lang w:val="en-US" w:eastAsia="zh-CN"/>
        </w:rPr>
        <w:t>8</w:t>
      </w:r>
      <w:r>
        <w:rPr>
          <w:rFonts w:hint="eastAsia" w:ascii="微软雅黑" w:hAnsi="微软雅黑" w:eastAsia="微软雅黑" w:cs="微软雅黑"/>
          <w:spacing w:val="0"/>
          <w:sz w:val="24"/>
          <w:szCs w:val="24"/>
          <w:lang w:val="en-US" w:eastAsia="zh-CN"/>
        </w:rPr>
        <w:t>2G压缩机机体和IE4（二级以上能效标准）及以上油冷感应电机。其中压缩机整机应达到《容积式空气压缩机能效限定值及能效等级》GB19153-2019国家标准的1级能效等级，改造后整机在中国能效标识网有备案，轴承采用SKF产品；配套油冷电机应达到电机能效等级2级及以上（符合GB18613-2020电动机能效限定值及能效等级）的要求，电动机防护等级为IP66，绝缘等级为F级。</w:t>
      </w:r>
    </w:p>
    <w:p w14:paraId="0B9E87E3">
      <w:pPr>
        <w:pStyle w:val="4"/>
        <w:adjustRightInd w:val="0"/>
        <w:snapToGrid w:val="0"/>
        <w:spacing w:line="360" w:lineRule="auto"/>
        <w:ind w:firstLine="480" w:firstLineChars="200"/>
        <w:jc w:val="both"/>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2、新改造空压机需利用原设备基础，空压机的附件和电控系统使用原系统，并接入现有在线能效监测系统和智慧空压站系统。</w:t>
      </w:r>
    </w:p>
    <w:p w14:paraId="3DE300F3">
      <w:pPr>
        <w:pStyle w:val="4"/>
        <w:adjustRightInd w:val="0"/>
        <w:snapToGrid w:val="0"/>
        <w:spacing w:line="360" w:lineRule="auto"/>
        <w:ind w:firstLine="480" w:firstLineChars="200"/>
        <w:jc w:val="both"/>
        <w:rPr>
          <w:rFonts w:hint="eastAsia" w:ascii="微软雅黑" w:hAnsi="微软雅黑" w:eastAsia="微软雅黑" w:cs="微软雅黑"/>
          <w:b w:val="0"/>
          <w:bCs/>
          <w:spacing w:val="0"/>
          <w:sz w:val="24"/>
          <w:szCs w:val="24"/>
          <w:lang w:val="en-US" w:eastAsia="zh-CN"/>
        </w:rPr>
      </w:pPr>
      <w:r>
        <w:rPr>
          <w:rFonts w:hint="eastAsia" w:ascii="微软雅黑" w:hAnsi="微软雅黑" w:eastAsia="微软雅黑" w:cs="微软雅黑"/>
          <w:b w:val="0"/>
          <w:bCs/>
          <w:spacing w:val="0"/>
          <w:sz w:val="24"/>
          <w:szCs w:val="24"/>
          <w:lang w:val="en-US" w:eastAsia="zh-CN"/>
        </w:rPr>
        <w:t>3、改造后的空压机，驱动电机额定功率200KW，电压380V，额定排气压力（表压）0.8MPa机组比功率≤5.7kW/（m3/min）、排气量≥43.0m3/min。</w:t>
      </w:r>
    </w:p>
    <w:p w14:paraId="64877FEE">
      <w:pPr>
        <w:pStyle w:val="52"/>
        <w:numPr>
          <w:ilvl w:val="0"/>
          <w:numId w:val="0"/>
        </w:numPr>
        <w:spacing w:before="120" w:after="120" w:line="360" w:lineRule="auto"/>
        <w:ind w:left="0" w:leftChars="0" w:firstLine="438" w:firstLineChars="137"/>
        <w:outlineLvl w:val="0"/>
        <w:rPr>
          <w:rFonts w:hint="eastAsia" w:ascii="微软雅黑" w:hAnsi="微软雅黑" w:eastAsia="微软雅黑" w:cs="微软雅黑"/>
          <w:bCs/>
          <w:color w:val="auto"/>
          <w:sz w:val="32"/>
          <w:szCs w:val="32"/>
        </w:rPr>
      </w:pPr>
      <w:r>
        <w:rPr>
          <w:rFonts w:hint="eastAsia" w:ascii="微软雅黑" w:hAnsi="微软雅黑" w:eastAsia="微软雅黑" w:cs="微软雅黑"/>
          <w:bCs/>
          <w:color w:val="auto"/>
          <w:sz w:val="32"/>
          <w:szCs w:val="32"/>
          <w:lang w:val="en-US" w:eastAsia="zh-CN"/>
        </w:rPr>
        <w:t>六、</w:t>
      </w:r>
      <w:r>
        <w:rPr>
          <w:rFonts w:hint="eastAsia" w:ascii="微软雅黑" w:hAnsi="微软雅黑" w:eastAsia="微软雅黑" w:cs="微软雅黑"/>
          <w:bCs/>
          <w:color w:val="auto"/>
          <w:sz w:val="32"/>
          <w:szCs w:val="32"/>
        </w:rPr>
        <w:t>检测和试验</w:t>
      </w:r>
    </w:p>
    <w:p w14:paraId="01B0A314">
      <w:pPr>
        <w:pStyle w:val="52"/>
        <w:numPr>
          <w:ilvl w:val="0"/>
          <w:numId w:val="0"/>
        </w:numPr>
        <w:spacing w:before="120" w:after="120" w:line="360" w:lineRule="auto"/>
        <w:ind w:firstLine="480" w:firstLineChars="2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1、生产过程检验要求</w:t>
      </w:r>
    </w:p>
    <w:p w14:paraId="40F670D7">
      <w:pPr>
        <w:pStyle w:val="52"/>
        <w:numPr>
          <w:ilvl w:val="0"/>
          <w:numId w:val="0"/>
        </w:numPr>
        <w:spacing w:before="120" w:after="120" w:line="360" w:lineRule="auto"/>
        <w:ind w:firstLine="480" w:firstLineChars="2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在生产过程中所有设备都要经过严格的检验，检验项目包括但不限于产品原材料的检验，产品加工精度检验，机械性能检验、装配精度检验等。</w:t>
      </w:r>
    </w:p>
    <w:p w14:paraId="17FAD341">
      <w:pPr>
        <w:pStyle w:val="52"/>
        <w:numPr>
          <w:ilvl w:val="0"/>
          <w:numId w:val="0"/>
        </w:numPr>
        <w:spacing w:before="120" w:after="120" w:line="360" w:lineRule="auto"/>
        <w:ind w:firstLine="480" w:firstLineChars="2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2、出厂检验要求</w:t>
      </w:r>
    </w:p>
    <w:p w14:paraId="17FCAF68">
      <w:pPr>
        <w:pStyle w:val="52"/>
        <w:numPr>
          <w:ilvl w:val="0"/>
          <w:numId w:val="0"/>
        </w:numPr>
        <w:spacing w:before="120" w:after="120" w:line="360" w:lineRule="auto"/>
        <w:ind w:firstLine="480" w:firstLineChars="2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设备应进行工厂试验；出厂前有关检验应在有甲方代表参加的情况下进行，并对驱动装置单元及其他认为必要的部件进行试装试运，甲方代表对试运的验收并不表示可以免除乙方在后续工作中的责任。</w:t>
      </w:r>
    </w:p>
    <w:p w14:paraId="42CC9621">
      <w:pPr>
        <w:pStyle w:val="52"/>
        <w:numPr>
          <w:ilvl w:val="0"/>
          <w:numId w:val="0"/>
        </w:numPr>
        <w:spacing w:before="120" w:after="120" w:line="360" w:lineRule="auto"/>
        <w:ind w:left="-284" w:leftChars="0" w:firstLine="723" w:firstLineChars="226"/>
        <w:outlineLvl w:val="0"/>
        <w:rPr>
          <w:rFonts w:hint="eastAsia" w:ascii="微软雅黑" w:hAnsi="微软雅黑" w:eastAsia="微软雅黑" w:cs="微软雅黑"/>
          <w:bCs/>
          <w:color w:val="auto"/>
          <w:sz w:val="32"/>
          <w:szCs w:val="32"/>
        </w:rPr>
      </w:pPr>
      <w:r>
        <w:rPr>
          <w:rFonts w:hint="eastAsia" w:ascii="微软雅黑" w:hAnsi="微软雅黑" w:eastAsia="微软雅黑" w:cs="微软雅黑"/>
          <w:bCs/>
          <w:color w:val="auto"/>
          <w:sz w:val="32"/>
          <w:szCs w:val="32"/>
          <w:lang w:val="en-US" w:eastAsia="zh-CN"/>
        </w:rPr>
        <w:t>七、</w:t>
      </w:r>
      <w:r>
        <w:rPr>
          <w:rFonts w:hint="eastAsia" w:ascii="微软雅黑" w:hAnsi="微软雅黑" w:eastAsia="微软雅黑" w:cs="微软雅黑"/>
          <w:bCs/>
          <w:color w:val="auto"/>
          <w:sz w:val="32"/>
          <w:szCs w:val="32"/>
        </w:rPr>
        <w:t>标识、包装、运输和存储</w:t>
      </w:r>
    </w:p>
    <w:p w14:paraId="035FBF7E">
      <w:pPr>
        <w:pStyle w:val="52"/>
        <w:numPr>
          <w:ilvl w:val="0"/>
          <w:numId w:val="0"/>
        </w:numPr>
        <w:spacing w:before="120" w:after="120" w:line="360" w:lineRule="auto"/>
        <w:ind w:left="0" w:leftChars="0" w:firstLine="439" w:firstLineChars="183"/>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1、产品标识</w:t>
      </w:r>
    </w:p>
    <w:p w14:paraId="520B0456">
      <w:pPr>
        <w:pStyle w:val="52"/>
        <w:numPr>
          <w:ilvl w:val="0"/>
          <w:numId w:val="0"/>
        </w:numPr>
        <w:spacing w:before="120" w:after="120" w:line="360" w:lineRule="auto"/>
        <w:ind w:firstLine="480" w:firstLineChars="2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项目内所使用的产品需在产品本体上或者包装上需要有产品标识，产品标识内容包括但不限于产品名称、规格型号、产品编号、生产日期、生产商等。</w:t>
      </w:r>
    </w:p>
    <w:p w14:paraId="0E856980">
      <w:pPr>
        <w:pStyle w:val="52"/>
        <w:numPr>
          <w:ilvl w:val="0"/>
          <w:numId w:val="0"/>
        </w:numPr>
        <w:spacing w:before="120" w:after="120" w:line="360" w:lineRule="auto"/>
        <w:ind w:firstLine="480" w:firstLineChars="2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2、产品包装</w:t>
      </w:r>
    </w:p>
    <w:p w14:paraId="7B6D07C9">
      <w:pPr>
        <w:pStyle w:val="52"/>
        <w:numPr>
          <w:ilvl w:val="0"/>
          <w:numId w:val="0"/>
        </w:numPr>
        <w:spacing w:before="120" w:after="120" w:line="360" w:lineRule="auto"/>
        <w:ind w:firstLine="480" w:firstLineChars="2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产品包装应具备适应内陆运输和多次搬运、装卸的坚固包装，包装应有减振、防冲击、防潮、防晒、防锈、防腐蚀、防震动、防野蛮装卸及防止其他损坏的必要措施，保证在运输、装卸过程中完好无损。若包装无法防止运输、装卸过程中垂直、水平加速度引起的设备损坏，供货方应在设备的设计结构上予以解决。在包装货物时，按产品类别进行装箱。备品备件将在包装箱外加以注明，专用工具也应分别包装，各种松散的零部件须采用好的包装方式，装入尺寸适当的箱内。</w:t>
      </w:r>
    </w:p>
    <w:p w14:paraId="32422A91">
      <w:pPr>
        <w:pStyle w:val="52"/>
        <w:numPr>
          <w:ilvl w:val="0"/>
          <w:numId w:val="0"/>
        </w:numPr>
        <w:spacing w:before="120" w:after="120" w:line="360" w:lineRule="auto"/>
        <w:ind w:firstLine="480" w:firstLineChars="2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3、产品运输</w:t>
      </w:r>
    </w:p>
    <w:p w14:paraId="5895F6C3">
      <w:pPr>
        <w:pStyle w:val="52"/>
        <w:numPr>
          <w:ilvl w:val="0"/>
          <w:numId w:val="0"/>
        </w:numPr>
        <w:spacing w:before="120" w:after="120" w:line="360" w:lineRule="auto"/>
        <w:ind w:firstLine="480" w:firstLineChars="2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1)不限运输方式，陆运、海运、空运等均可，送货上门。</w:t>
      </w:r>
    </w:p>
    <w:p w14:paraId="58B944A1">
      <w:pPr>
        <w:pStyle w:val="52"/>
        <w:numPr>
          <w:ilvl w:val="0"/>
          <w:numId w:val="0"/>
        </w:numPr>
        <w:spacing w:before="120" w:after="120" w:line="360" w:lineRule="auto"/>
        <w:ind w:firstLine="480" w:firstLineChars="2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2)运输过程中做好防护，以免磕碰造成设备损坏，因设备运输造成的损坏应由乙方负责，由此造成的一切损失由乙方负责。</w:t>
      </w:r>
    </w:p>
    <w:p w14:paraId="73695BF3">
      <w:pPr>
        <w:pStyle w:val="52"/>
        <w:numPr>
          <w:ilvl w:val="0"/>
          <w:numId w:val="0"/>
        </w:numPr>
        <w:spacing w:before="120" w:after="120" w:line="360" w:lineRule="auto"/>
        <w:ind w:left="-284" w:leftChars="0" w:firstLine="640" w:firstLineChars="200"/>
        <w:outlineLvl w:val="0"/>
        <w:rPr>
          <w:rFonts w:hint="default" w:ascii="微软雅黑" w:hAnsi="微软雅黑" w:eastAsia="微软雅黑" w:cs="微软雅黑"/>
          <w:bCs/>
          <w:color w:val="auto"/>
          <w:sz w:val="32"/>
          <w:szCs w:val="32"/>
          <w:highlight w:val="none"/>
          <w:lang w:val="en-US" w:eastAsia="zh-CN"/>
        </w:rPr>
      </w:pPr>
      <w:r>
        <w:rPr>
          <w:rFonts w:hint="eastAsia" w:ascii="微软雅黑" w:hAnsi="微软雅黑" w:eastAsia="微软雅黑" w:cs="微软雅黑"/>
          <w:bCs/>
          <w:color w:val="auto"/>
          <w:sz w:val="32"/>
          <w:szCs w:val="32"/>
          <w:highlight w:val="none"/>
          <w:lang w:val="en-US" w:eastAsia="zh-CN"/>
        </w:rPr>
        <w:t>八、证书要求</w:t>
      </w:r>
    </w:p>
    <w:p w14:paraId="6ABC6E06">
      <w:pPr>
        <w:pStyle w:val="52"/>
        <w:numPr>
          <w:ilvl w:val="0"/>
          <w:numId w:val="0"/>
        </w:numPr>
        <w:spacing w:before="120" w:after="120" w:line="360" w:lineRule="auto"/>
        <w:ind w:firstLine="240" w:firstLineChars="1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1、提供设备的各项测试检验报告、产品质量证明书或产品合格证等。</w:t>
      </w:r>
    </w:p>
    <w:p w14:paraId="427ADA74">
      <w:pPr>
        <w:pStyle w:val="52"/>
        <w:numPr>
          <w:ilvl w:val="0"/>
          <w:numId w:val="0"/>
        </w:numPr>
        <w:spacing w:before="120" w:after="120" w:line="360" w:lineRule="auto"/>
        <w:ind w:firstLine="240" w:firstLineChars="1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2、提供必要的安装说明书、图纸及设备使用说明书或手册。</w:t>
      </w:r>
    </w:p>
    <w:p w14:paraId="2EE655D6">
      <w:pPr>
        <w:pStyle w:val="52"/>
        <w:numPr>
          <w:ilvl w:val="0"/>
          <w:numId w:val="0"/>
        </w:numPr>
        <w:spacing w:before="120" w:after="120" w:line="360" w:lineRule="auto"/>
        <w:ind w:left="-284" w:leftChars="0"/>
        <w:outlineLvl w:val="0"/>
        <w:rPr>
          <w:rFonts w:hint="default" w:ascii="微软雅黑" w:hAnsi="微软雅黑" w:eastAsia="微软雅黑" w:cs="微软雅黑"/>
          <w:bCs/>
          <w:color w:val="auto"/>
          <w:sz w:val="28"/>
          <w:szCs w:val="28"/>
          <w:lang w:val="en-US" w:eastAsia="zh-CN"/>
        </w:rPr>
      </w:pPr>
      <w:r>
        <w:rPr>
          <w:rFonts w:hint="eastAsia" w:ascii="微软雅黑" w:hAnsi="微软雅黑" w:eastAsia="微软雅黑" w:cs="微软雅黑"/>
          <w:bCs/>
          <w:color w:val="auto"/>
          <w:sz w:val="28"/>
          <w:szCs w:val="28"/>
          <w:lang w:val="en-US" w:eastAsia="zh-CN"/>
        </w:rPr>
        <w:t xml:space="preserve"> </w:t>
      </w:r>
      <w:r>
        <w:rPr>
          <w:rFonts w:hint="eastAsia" w:ascii="微软雅黑" w:hAnsi="微软雅黑" w:eastAsia="微软雅黑" w:cs="微软雅黑"/>
          <w:bCs/>
          <w:color w:val="auto"/>
          <w:sz w:val="24"/>
          <w:szCs w:val="24"/>
          <w:lang w:val="en-US" w:eastAsia="zh-CN"/>
        </w:rPr>
        <w:t xml:space="preserve">   3、提供</w:t>
      </w:r>
      <w:r>
        <w:rPr>
          <w:rFonts w:hint="eastAsia" w:ascii="微软雅黑" w:hAnsi="微软雅黑" w:eastAsia="微软雅黑" w:cs="微软雅黑"/>
          <w:spacing w:val="0"/>
          <w:sz w:val="24"/>
          <w:szCs w:val="24"/>
          <w:lang w:val="en-US" w:eastAsia="zh-CN"/>
        </w:rPr>
        <w:t>改造后整机在中国能效标识网的备案文件。</w:t>
      </w:r>
    </w:p>
    <w:p w14:paraId="33118482">
      <w:pPr>
        <w:pStyle w:val="52"/>
        <w:numPr>
          <w:ilvl w:val="0"/>
          <w:numId w:val="0"/>
        </w:numPr>
        <w:spacing w:before="120" w:after="120" w:line="360" w:lineRule="auto"/>
        <w:ind w:left="-284" w:leftChars="0"/>
        <w:outlineLvl w:val="0"/>
        <w:rPr>
          <w:rFonts w:hint="eastAsia" w:ascii="微软雅黑" w:hAnsi="微软雅黑" w:eastAsia="微软雅黑" w:cs="微软雅黑"/>
          <w:bCs/>
          <w:color w:val="auto"/>
          <w:sz w:val="32"/>
          <w:szCs w:val="32"/>
        </w:rPr>
      </w:pPr>
      <w:r>
        <w:rPr>
          <w:rFonts w:hint="eastAsia" w:ascii="微软雅黑" w:hAnsi="微软雅黑" w:eastAsia="微软雅黑" w:cs="微软雅黑"/>
          <w:bCs/>
          <w:color w:val="auto"/>
          <w:sz w:val="28"/>
          <w:szCs w:val="28"/>
          <w:lang w:val="en-US" w:eastAsia="zh-CN"/>
        </w:rPr>
        <w:t xml:space="preserve">   </w:t>
      </w:r>
      <w:r>
        <w:rPr>
          <w:rFonts w:hint="eastAsia" w:ascii="微软雅黑" w:hAnsi="微软雅黑" w:eastAsia="微软雅黑" w:cs="微软雅黑"/>
          <w:bCs/>
          <w:color w:val="auto"/>
          <w:sz w:val="32"/>
          <w:szCs w:val="32"/>
          <w:lang w:val="en-US" w:eastAsia="zh-CN"/>
        </w:rPr>
        <w:t>九、</w:t>
      </w:r>
      <w:r>
        <w:rPr>
          <w:rFonts w:hint="eastAsia" w:ascii="微软雅黑" w:hAnsi="微软雅黑" w:eastAsia="微软雅黑" w:cs="微软雅黑"/>
          <w:bCs/>
          <w:color w:val="auto"/>
          <w:sz w:val="32"/>
          <w:szCs w:val="32"/>
        </w:rPr>
        <w:t>工作进度、监造和现场验收</w:t>
      </w:r>
    </w:p>
    <w:p w14:paraId="7B944460">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bookmarkStart w:id="6" w:name="_Toc528795109"/>
      <w:bookmarkStart w:id="7" w:name="_Toc507769279"/>
      <w:bookmarkStart w:id="8" w:name="_Toc507769246"/>
      <w:bookmarkStart w:id="9" w:name="_Toc516671917"/>
      <w:bookmarkStart w:id="10" w:name="_Toc507398051"/>
      <w:r>
        <w:rPr>
          <w:rFonts w:hint="eastAsia" w:ascii="微软雅黑" w:hAnsi="微软雅黑" w:eastAsia="微软雅黑" w:cs="微软雅黑"/>
          <w:spacing w:val="0"/>
          <w:sz w:val="24"/>
          <w:szCs w:val="24"/>
          <w:lang w:val="en-US" w:eastAsia="zh-CN"/>
        </w:rPr>
        <w:t>1、设备验收</w:t>
      </w:r>
      <w:bookmarkEnd w:id="6"/>
      <w:bookmarkEnd w:id="7"/>
      <w:bookmarkEnd w:id="8"/>
      <w:bookmarkEnd w:id="9"/>
      <w:bookmarkEnd w:id="10"/>
    </w:p>
    <w:p w14:paraId="3C5CE336">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bookmarkStart w:id="11" w:name="_Toc516671918"/>
      <w:bookmarkStart w:id="12" w:name="_Toc528795110"/>
      <w:bookmarkStart w:id="13" w:name="_Toc507769280"/>
      <w:bookmarkStart w:id="14" w:name="_Toc507769247"/>
      <w:r>
        <w:rPr>
          <w:rFonts w:hint="eastAsia" w:ascii="微软雅黑" w:hAnsi="微软雅黑" w:eastAsia="微软雅黑" w:cs="微软雅黑"/>
          <w:spacing w:val="0"/>
          <w:sz w:val="24"/>
          <w:szCs w:val="24"/>
          <w:lang w:val="en-US" w:eastAsia="zh-CN"/>
        </w:rPr>
        <w:t>出厂前验收</w:t>
      </w:r>
      <w:bookmarkEnd w:id="11"/>
      <w:bookmarkEnd w:id="12"/>
      <w:bookmarkEnd w:id="13"/>
      <w:bookmarkEnd w:id="14"/>
    </w:p>
    <w:p w14:paraId="5AEAFD25">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甲方在设备生产的过程中有权到厂检查或者委托有资质的第三方进行检查，尤其是一些重要的制造节点，例如出厂前试验。</w:t>
      </w:r>
    </w:p>
    <w:p w14:paraId="5C740613">
      <w:pPr>
        <w:pStyle w:val="2"/>
        <w:keepNext w:val="0"/>
        <w:keepLines w:val="0"/>
        <w:pageBreakBefore w:val="0"/>
        <w:widowControl w:val="0"/>
        <w:kinsoku/>
        <w:wordWrap/>
        <w:overflowPunct/>
        <w:topLinePunct w:val="0"/>
        <w:autoSpaceDE/>
        <w:autoSpaceDN/>
        <w:bidi w:val="0"/>
        <w:adjustRightInd/>
        <w:snapToGrid/>
        <w:spacing w:line="500" w:lineRule="exact"/>
        <w:ind w:right="-27" w:rightChars="-13" w:firstLine="484" w:firstLineChars="202"/>
        <w:textAlignment w:val="auto"/>
        <w:rPr>
          <w:rFonts w:hint="eastAsia" w:ascii="微软雅黑" w:hAnsi="微软雅黑" w:eastAsia="仿宋" w:cs="微软雅黑"/>
          <w:color w:val="00B050"/>
          <w:spacing w:val="0"/>
          <w:sz w:val="24"/>
          <w:szCs w:val="24"/>
          <w:lang w:val="en-US" w:eastAsia="zh-CN"/>
        </w:rPr>
      </w:pPr>
      <w:r>
        <w:rPr>
          <w:rFonts w:hint="eastAsia" w:ascii="微软雅黑" w:hAnsi="微软雅黑" w:eastAsia="微软雅黑" w:cs="微软雅黑"/>
          <w:spacing w:val="0"/>
          <w:sz w:val="24"/>
          <w:szCs w:val="24"/>
          <w:lang w:val="en-US" w:eastAsia="zh-CN"/>
        </w:rPr>
        <w:t>对于验收不合格的设备，乙方应在厂内进行整改，直到设备整改合格后方能出厂。</w:t>
      </w:r>
      <w:r>
        <w:rPr>
          <w:rFonts w:hint="eastAsia" w:ascii="微软雅黑" w:hAnsi="微软雅黑" w:eastAsia="微软雅黑" w:cs="微软雅黑"/>
          <w:color w:val="auto"/>
          <w:spacing w:val="0"/>
          <w:sz w:val="24"/>
          <w:szCs w:val="24"/>
          <w:lang w:val="en-US" w:eastAsia="zh-CN"/>
        </w:rPr>
        <w:t>如合同设备在考核中未能达到合同约定的技术性能考核指标，则乙方应在甲方要求的期限内采取措施消除缺陷，并在缺陷消除以后，尽快进行再次考核。甲方同意予以乙方三个月的免费调试期限，该期限内最后一次考核仍未能达到合同约定的技术性能考核指标的，甲方有权按本合同规定向乙方索赔，甲方并保留向乙方索赔工程延期或返工损失的权利。</w:t>
      </w:r>
    </w:p>
    <w:p w14:paraId="633E06DB">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bookmarkStart w:id="15" w:name="_Toc528795111"/>
      <w:bookmarkStart w:id="16" w:name="_Toc507769281"/>
      <w:bookmarkStart w:id="17" w:name="_Toc507769248"/>
      <w:bookmarkStart w:id="18" w:name="_Toc516671919"/>
      <w:r>
        <w:rPr>
          <w:rFonts w:hint="eastAsia" w:ascii="微软雅黑" w:hAnsi="微软雅黑" w:eastAsia="微软雅黑" w:cs="微软雅黑"/>
          <w:spacing w:val="0"/>
          <w:sz w:val="24"/>
          <w:szCs w:val="24"/>
          <w:lang w:val="en-US" w:eastAsia="zh-CN"/>
        </w:rPr>
        <w:t>到货验收</w:t>
      </w:r>
      <w:bookmarkEnd w:id="15"/>
      <w:bookmarkEnd w:id="16"/>
      <w:bookmarkEnd w:id="17"/>
      <w:bookmarkEnd w:id="18"/>
    </w:p>
    <w:p w14:paraId="2F2F89C7">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甲方根据技术要求所列的供货范围清单一一核对所供货物，乙方应安排相关人员到达现场与甲方共同进行货物的清点，并共同签字确认。在设备到货验收之前，设备所发生的一切问题由乙方自行承担。</w:t>
      </w:r>
    </w:p>
    <w:p w14:paraId="0702F89D">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bookmarkStart w:id="19" w:name="_Toc528795113"/>
      <w:bookmarkStart w:id="20" w:name="_Toc516671921"/>
      <w:bookmarkStart w:id="21" w:name="_Toc507769250"/>
      <w:bookmarkStart w:id="22" w:name="_Toc507769283"/>
      <w:r>
        <w:rPr>
          <w:rFonts w:hint="eastAsia" w:ascii="微软雅黑" w:hAnsi="微软雅黑" w:eastAsia="微软雅黑" w:cs="微软雅黑"/>
          <w:spacing w:val="0"/>
          <w:sz w:val="24"/>
          <w:szCs w:val="24"/>
          <w:lang w:val="en-US" w:eastAsia="zh-CN"/>
        </w:rPr>
        <w:t>2、性能验收</w:t>
      </w:r>
      <w:bookmarkEnd w:id="19"/>
      <w:bookmarkEnd w:id="20"/>
      <w:bookmarkEnd w:id="21"/>
      <w:bookmarkEnd w:id="22"/>
    </w:p>
    <w:p w14:paraId="26B7A5A9">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螺杆式空气压缩机含盖配置的系统内所有设备及的设计和制造所采用的零部件、标准件等均按照国家最新有效版本标准、部标、厂标进行验收。所采用的机型压缩机机体规格及型号保证与场地现有使用的空压机的通用性及备件互换性。以利备件一致性。</w:t>
      </w:r>
    </w:p>
    <w:p w14:paraId="1ED6BED7">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设备投运后，必要时可按有关规定进行设备出力等性能试验，在质保期内，如性能不满足技术要求时，乙方将负责调整，因设计制造上出现问题造成的故障，乙方将做到三包(包退、包换、包修)。</w:t>
      </w:r>
    </w:p>
    <w:p w14:paraId="206EFAB1">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乙方将向甲方提供设备有关的监制（检验）和性能验收试验标准，并符合本技术规范书“技术要求”中的规定。</w:t>
      </w:r>
    </w:p>
    <w:p w14:paraId="7E32CEF8">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highlight w:val="none"/>
          <w:lang w:val="en-US" w:eastAsia="zh-CN"/>
        </w:rPr>
        <w:t>乙方提供的设备应在厂72+24小时连续试运行后，将在三个月内进行压缩空气制备系统的性能验收试验，如果试验符合性能验收试验标准，设备性能达到本技术规范书的要求，乙方向甲方提供该设备应具有中国能效标识网所颁发性能验收合格证。</w:t>
      </w:r>
    </w:p>
    <w:p w14:paraId="5D40CEAD">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bookmarkStart w:id="23" w:name="_Toc507769285"/>
      <w:bookmarkStart w:id="24" w:name="_Toc528795118"/>
      <w:bookmarkStart w:id="25" w:name="_Toc516671924"/>
      <w:bookmarkStart w:id="26" w:name="_Toc507398053"/>
      <w:bookmarkStart w:id="27" w:name="_Toc507769252"/>
      <w:r>
        <w:rPr>
          <w:rFonts w:hint="eastAsia" w:ascii="微软雅黑" w:hAnsi="微软雅黑" w:eastAsia="微软雅黑" w:cs="微软雅黑"/>
          <w:spacing w:val="0"/>
          <w:sz w:val="24"/>
          <w:szCs w:val="24"/>
          <w:lang w:val="en-US" w:eastAsia="zh-CN"/>
        </w:rPr>
        <w:t>3、文件交付</w:t>
      </w:r>
      <w:bookmarkEnd w:id="23"/>
      <w:bookmarkEnd w:id="24"/>
      <w:bookmarkEnd w:id="25"/>
      <w:bookmarkEnd w:id="26"/>
      <w:bookmarkEnd w:id="27"/>
    </w:p>
    <w:p w14:paraId="67EC98A6">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bookmarkStart w:id="28" w:name="_Toc528795119"/>
      <w:bookmarkStart w:id="29" w:name="_Toc1636"/>
      <w:bookmarkStart w:id="30" w:name="_Toc264017020"/>
      <w:bookmarkStart w:id="31" w:name="_Toc480969632"/>
      <w:bookmarkStart w:id="32" w:name="_Toc259800131"/>
      <w:r>
        <w:rPr>
          <w:rFonts w:hint="eastAsia" w:ascii="微软雅黑" w:hAnsi="微软雅黑" w:eastAsia="微软雅黑" w:cs="微软雅黑"/>
          <w:spacing w:val="0"/>
          <w:sz w:val="24"/>
          <w:szCs w:val="24"/>
          <w:lang w:val="en-US" w:eastAsia="zh-CN"/>
        </w:rPr>
        <w:t>文件提交要求</w:t>
      </w:r>
      <w:bookmarkEnd w:id="28"/>
      <w:bookmarkEnd w:id="29"/>
      <w:bookmarkEnd w:id="30"/>
      <w:bookmarkEnd w:id="31"/>
      <w:bookmarkEnd w:id="32"/>
    </w:p>
    <w:p w14:paraId="61259A59">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乙方提供的所有文件应以正式文件提交。中标后，如有更新，更新文件中应表明更新部位并及时提供给甲方，乙方及其提交的正式文件的变动造成甲方的损失包括设计和施工返工，材料、设备修改等负责赔偿。</w:t>
      </w:r>
    </w:p>
    <w:p w14:paraId="1AB93CE7">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正式设计文件提交8份；设备随机文件提交8份。乙方除书面文件外，同时提供2份电子版本，图纸至少包括外观图、电气原理图、系统流程图、参数表及说明书。</w:t>
      </w:r>
    </w:p>
    <w:p w14:paraId="5D9CFDC3">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乙方提交的文件和图纸的改变（如升版）必须对修改之处作标记，以便于甲方清楚地找到改变之处。</w:t>
      </w:r>
    </w:p>
    <w:p w14:paraId="6053350B">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在相关的图纸和设计文件最终认可之前，乙方不应开始设备的装运。</w:t>
      </w:r>
    </w:p>
    <w:p w14:paraId="2DEE6A8E">
      <w:pPr>
        <w:pStyle w:val="52"/>
        <w:numPr>
          <w:ilvl w:val="0"/>
          <w:numId w:val="0"/>
        </w:numPr>
        <w:spacing w:before="120" w:after="120" w:line="360" w:lineRule="auto"/>
        <w:ind w:left="-284" w:leftChars="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乙方应在投标文件中提交提供文件的时间进度表和文件清单，在合同谈判时由甲方确认。乙方的设计文件交付进度应满足本工程初步设计、详细设计、安装阶段甲方提出的工程进度的要求。</w:t>
      </w:r>
    </w:p>
    <w:p w14:paraId="19BE1E21">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项目执行过程中，乙方和甲方之间的联络文件如传真、会议纪要等应以甲方同意的方式进行编号。</w:t>
      </w:r>
    </w:p>
    <w:p w14:paraId="08A75589">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在投标文件中乙方应列表明确不同阶段提供技术文件的时间和清单。</w:t>
      </w:r>
    </w:p>
    <w:p w14:paraId="6DC7E559">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bookmarkStart w:id="33" w:name="_Toc264017021"/>
      <w:bookmarkStart w:id="34" w:name="_Toc17267"/>
      <w:bookmarkStart w:id="35" w:name="_Toc528795120"/>
      <w:bookmarkStart w:id="36" w:name="_Toc259800133"/>
      <w:bookmarkStart w:id="37" w:name="_Toc480969633"/>
      <w:r>
        <w:rPr>
          <w:rFonts w:hint="eastAsia" w:ascii="微软雅黑" w:hAnsi="微软雅黑" w:eastAsia="微软雅黑" w:cs="微软雅黑"/>
          <w:spacing w:val="0"/>
          <w:sz w:val="24"/>
          <w:szCs w:val="24"/>
          <w:lang w:val="en-US" w:eastAsia="zh-CN"/>
        </w:rPr>
        <w:t>随机资料</w:t>
      </w:r>
      <w:bookmarkEnd w:id="33"/>
      <w:bookmarkEnd w:id="34"/>
      <w:bookmarkEnd w:id="35"/>
      <w:bookmarkEnd w:id="36"/>
      <w:bookmarkEnd w:id="37"/>
    </w:p>
    <w:p w14:paraId="6A1E849E">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随设备供货同时提供的资料包括但不限于：</w:t>
      </w:r>
    </w:p>
    <w:p w14:paraId="28580AFC">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1）设备操作手册（包括保养及维护手册）</w:t>
      </w:r>
    </w:p>
    <w:p w14:paraId="49612392">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2）操作规程</w:t>
      </w:r>
    </w:p>
    <w:p w14:paraId="60A77E16">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3）安全技术手册</w:t>
      </w:r>
    </w:p>
    <w:p w14:paraId="32F8C7B0">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4）乙方有关标准、规范</w:t>
      </w:r>
    </w:p>
    <w:p w14:paraId="1E1AA16E">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5）施工安装规范及手册</w:t>
      </w:r>
    </w:p>
    <w:p w14:paraId="1395440F">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6）调试、验收手册</w:t>
      </w:r>
    </w:p>
    <w:p w14:paraId="36ED3FB6">
      <w:pPr>
        <w:pStyle w:val="52"/>
        <w:numPr>
          <w:ilvl w:val="0"/>
          <w:numId w:val="0"/>
        </w:numPr>
        <w:spacing w:before="120" w:after="120" w:line="360" w:lineRule="auto"/>
        <w:ind w:left="-284" w:leftChars="0" w:firstLine="480" w:firstLineChars="200"/>
        <w:outlineLvl w:val="0"/>
        <w:rPr>
          <w:rFonts w:hint="eastAsia" w:ascii="微软雅黑" w:hAnsi="微软雅黑" w:eastAsia="微软雅黑" w:cs="微软雅黑"/>
          <w:spacing w:val="0"/>
          <w:sz w:val="24"/>
          <w:szCs w:val="24"/>
          <w:lang w:val="en-US" w:eastAsia="zh-CN"/>
        </w:rPr>
      </w:pPr>
      <w:r>
        <w:rPr>
          <w:rFonts w:hint="eastAsia" w:ascii="微软雅黑" w:hAnsi="微软雅黑" w:eastAsia="微软雅黑" w:cs="微软雅黑"/>
          <w:spacing w:val="0"/>
          <w:sz w:val="24"/>
          <w:szCs w:val="24"/>
          <w:lang w:val="en-US" w:eastAsia="zh-CN"/>
        </w:rPr>
        <w:t>7）培训手册</w:t>
      </w:r>
    </w:p>
    <w:p w14:paraId="4D15712C">
      <w:pPr>
        <w:pStyle w:val="52"/>
        <w:numPr>
          <w:ilvl w:val="0"/>
          <w:numId w:val="0"/>
        </w:numPr>
        <w:spacing w:before="120" w:after="120" w:line="360" w:lineRule="auto"/>
        <w:ind w:left="-284" w:leftChars="0" w:firstLine="320" w:firstLineChars="100"/>
        <w:outlineLvl w:val="0"/>
        <w:rPr>
          <w:rFonts w:hint="eastAsia" w:ascii="微软雅黑" w:hAnsi="微软雅黑" w:eastAsia="微软雅黑" w:cs="微软雅黑"/>
          <w:bCs/>
          <w:color w:val="auto"/>
          <w:sz w:val="32"/>
          <w:szCs w:val="32"/>
        </w:rPr>
      </w:pPr>
      <w:r>
        <w:rPr>
          <w:rFonts w:hint="eastAsia" w:ascii="微软雅黑" w:hAnsi="微软雅黑" w:eastAsia="微软雅黑" w:cs="微软雅黑"/>
          <w:bCs/>
          <w:color w:val="auto"/>
          <w:sz w:val="32"/>
          <w:szCs w:val="32"/>
          <w:lang w:val="en-US" w:eastAsia="zh-CN"/>
        </w:rPr>
        <w:t>十、</w:t>
      </w:r>
      <w:r>
        <w:rPr>
          <w:rFonts w:hint="eastAsia" w:ascii="微软雅黑" w:hAnsi="微软雅黑" w:eastAsia="微软雅黑" w:cs="微软雅黑"/>
          <w:bCs/>
          <w:color w:val="auto"/>
          <w:sz w:val="32"/>
          <w:szCs w:val="32"/>
        </w:rPr>
        <w:t>技术服务与售后服务</w:t>
      </w:r>
    </w:p>
    <w:p w14:paraId="47F24E09">
      <w:pPr>
        <w:pStyle w:val="52"/>
        <w:numPr>
          <w:ilvl w:val="0"/>
          <w:numId w:val="0"/>
        </w:numPr>
        <w:spacing w:before="120" w:after="120" w:line="360" w:lineRule="auto"/>
        <w:ind w:firstLine="240" w:firstLineChars="1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1、首年设备正常使用时发生故障或损坏更换新设备配件，设备验收合格后，非人为或碰撞情况下在1年内发生设备故障需要包修（含配件、人工、运输等），则质保期重新计算（质保期按周年计算），终身提供维修和技术服务；</w:t>
      </w:r>
    </w:p>
    <w:p w14:paraId="28083CBF">
      <w:pPr>
        <w:pStyle w:val="52"/>
        <w:numPr>
          <w:ilvl w:val="0"/>
          <w:numId w:val="0"/>
        </w:numPr>
        <w:spacing w:before="120" w:after="120" w:line="360" w:lineRule="auto"/>
        <w:ind w:firstLine="240" w:firstLineChars="1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2、产品操作过程中，免费提供随时电话咨询解决服务；</w:t>
      </w:r>
    </w:p>
    <w:p w14:paraId="2C05760D">
      <w:pPr>
        <w:pStyle w:val="52"/>
        <w:numPr>
          <w:ilvl w:val="0"/>
          <w:numId w:val="0"/>
        </w:numPr>
        <w:spacing w:before="120" w:after="120" w:line="360" w:lineRule="auto"/>
        <w:ind w:firstLine="240" w:firstLineChars="1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3、质量保修期内免费提供及时有效的技术服务；</w:t>
      </w:r>
    </w:p>
    <w:p w14:paraId="310D4C1F">
      <w:pPr>
        <w:pStyle w:val="52"/>
        <w:numPr>
          <w:ilvl w:val="0"/>
          <w:numId w:val="0"/>
        </w:numPr>
        <w:spacing w:before="120" w:after="120" w:line="360" w:lineRule="auto"/>
        <w:ind w:firstLine="240" w:firstLineChars="1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4、终身提供维修和技术服务；</w:t>
      </w:r>
    </w:p>
    <w:p w14:paraId="3B1C502C">
      <w:pPr>
        <w:pStyle w:val="52"/>
        <w:numPr>
          <w:ilvl w:val="0"/>
          <w:numId w:val="0"/>
        </w:numPr>
        <w:spacing w:before="120" w:after="120" w:line="360" w:lineRule="auto"/>
        <w:ind w:firstLine="240" w:firstLineChars="1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5、技术联络与响应：乙方在接到甲方通知8小时内给予答复，24小时到达现场。</w:t>
      </w:r>
    </w:p>
    <w:p w14:paraId="75BDAEC2">
      <w:pPr>
        <w:pStyle w:val="52"/>
        <w:numPr>
          <w:ilvl w:val="0"/>
          <w:numId w:val="0"/>
        </w:numPr>
        <w:spacing w:before="120" w:after="120" w:line="360" w:lineRule="auto"/>
        <w:ind w:left="0" w:leftChars="0" w:firstLine="218" w:firstLineChars="91"/>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6、保密要求：相关信息和具体合作细节未经甲方允许不得透露给相关方或其它机构。</w:t>
      </w:r>
    </w:p>
    <w:p w14:paraId="40CD4DC3">
      <w:pPr>
        <w:pStyle w:val="52"/>
        <w:numPr>
          <w:ilvl w:val="0"/>
          <w:numId w:val="0"/>
        </w:numPr>
        <w:spacing w:before="120" w:after="120" w:line="360" w:lineRule="auto"/>
        <w:ind w:left="-284" w:leftChars="0" w:firstLine="320" w:firstLineChars="100"/>
        <w:outlineLvl w:val="0"/>
        <w:rPr>
          <w:rFonts w:hint="eastAsia" w:ascii="微软雅黑" w:hAnsi="微软雅黑" w:eastAsia="微软雅黑" w:cs="微软雅黑"/>
          <w:bCs/>
          <w:color w:val="auto"/>
          <w:sz w:val="28"/>
          <w:szCs w:val="28"/>
        </w:rPr>
      </w:pPr>
      <w:r>
        <w:rPr>
          <w:rFonts w:hint="eastAsia" w:ascii="微软雅黑" w:hAnsi="微软雅黑" w:eastAsia="微软雅黑" w:cs="微软雅黑"/>
          <w:bCs/>
          <w:color w:val="auto"/>
          <w:sz w:val="32"/>
          <w:szCs w:val="32"/>
          <w:lang w:val="en-US" w:eastAsia="zh-CN"/>
        </w:rPr>
        <w:t>十一、</w:t>
      </w:r>
      <w:r>
        <w:rPr>
          <w:rFonts w:hint="eastAsia" w:ascii="微软雅黑" w:hAnsi="微软雅黑" w:eastAsia="微软雅黑" w:cs="微软雅黑"/>
          <w:bCs/>
          <w:color w:val="auto"/>
          <w:sz w:val="32"/>
          <w:szCs w:val="32"/>
        </w:rPr>
        <w:t>质量保证</w:t>
      </w:r>
      <w:bookmarkEnd w:id="4"/>
      <w:bookmarkEnd w:id="5"/>
      <w:bookmarkStart w:id="38" w:name="_Toc13248931"/>
      <w:bookmarkStart w:id="39" w:name="_Toc13249328"/>
    </w:p>
    <w:p w14:paraId="18DC0488">
      <w:pPr>
        <w:pStyle w:val="52"/>
        <w:numPr>
          <w:ilvl w:val="0"/>
          <w:numId w:val="0"/>
        </w:numPr>
        <w:spacing w:before="120" w:after="120" w:line="360" w:lineRule="auto"/>
        <w:ind w:firstLine="480" w:firstLineChars="2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1、质保期：1年，首年设备正常使用时发生故障或损坏更换新设备配件，改造完成设备验收合格后，非人为或碰撞情况下在1年内发生设备故障需要包修（含配件、人工、运输等），同时保修期间供货商需要提供同型号设备来替代使用，若中途进行过换机或维修，则质保期重新计算（质保期按周年计算）；</w:t>
      </w:r>
    </w:p>
    <w:p w14:paraId="045B68CB">
      <w:pPr>
        <w:pStyle w:val="52"/>
        <w:numPr>
          <w:ilvl w:val="0"/>
          <w:numId w:val="0"/>
        </w:numPr>
        <w:spacing w:before="120" w:after="120" w:line="360" w:lineRule="auto"/>
        <w:ind w:firstLine="480" w:firstLineChars="2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2、质保金：3%；</w:t>
      </w:r>
    </w:p>
    <w:p w14:paraId="61DC0EE5">
      <w:pPr>
        <w:pStyle w:val="52"/>
        <w:numPr>
          <w:ilvl w:val="0"/>
          <w:numId w:val="0"/>
        </w:numPr>
        <w:spacing w:before="120" w:after="120" w:line="360" w:lineRule="auto"/>
        <w:ind w:firstLine="480" w:firstLineChars="2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3、到货验收不合格，无条件退货/换货，由此产生的工期延误损失和费用增加由乙方承担。</w:t>
      </w:r>
    </w:p>
    <w:p w14:paraId="683FEC41">
      <w:pPr>
        <w:pStyle w:val="52"/>
        <w:numPr>
          <w:ilvl w:val="0"/>
          <w:numId w:val="0"/>
        </w:numPr>
        <w:spacing w:before="120" w:after="120" w:line="360" w:lineRule="auto"/>
        <w:ind w:left="-284" w:leftChars="0" w:firstLine="320" w:firstLineChars="100"/>
        <w:outlineLvl w:val="0"/>
        <w:rPr>
          <w:rFonts w:hint="eastAsia" w:ascii="微软雅黑" w:hAnsi="微软雅黑" w:eastAsia="微软雅黑" w:cs="微软雅黑"/>
          <w:bCs/>
          <w:color w:val="auto"/>
          <w:sz w:val="32"/>
          <w:szCs w:val="32"/>
        </w:rPr>
      </w:pPr>
      <w:r>
        <w:rPr>
          <w:rFonts w:hint="eastAsia" w:ascii="微软雅黑" w:hAnsi="微软雅黑" w:eastAsia="微软雅黑" w:cs="微软雅黑"/>
          <w:bCs/>
          <w:color w:val="auto"/>
          <w:sz w:val="32"/>
          <w:szCs w:val="32"/>
          <w:lang w:val="en-US" w:eastAsia="zh-CN"/>
        </w:rPr>
        <w:t>十二、</w:t>
      </w:r>
      <w:r>
        <w:rPr>
          <w:rFonts w:hint="eastAsia" w:ascii="微软雅黑" w:hAnsi="微软雅黑" w:eastAsia="微软雅黑" w:cs="微软雅黑"/>
          <w:bCs/>
          <w:color w:val="auto"/>
          <w:sz w:val="32"/>
          <w:szCs w:val="32"/>
        </w:rPr>
        <w:t>其他要求</w:t>
      </w:r>
      <w:bookmarkEnd w:id="38"/>
      <w:bookmarkEnd w:id="39"/>
    </w:p>
    <w:p w14:paraId="3486D483">
      <w:pPr>
        <w:pStyle w:val="52"/>
        <w:numPr>
          <w:ilvl w:val="0"/>
          <w:numId w:val="0"/>
        </w:numPr>
        <w:spacing w:before="120" w:after="120" w:line="360" w:lineRule="auto"/>
        <w:ind w:firstLine="480" w:firstLineChars="2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1、付款方式要求：银行电汇；</w:t>
      </w:r>
    </w:p>
    <w:p w14:paraId="6A38295A">
      <w:pPr>
        <w:pStyle w:val="52"/>
        <w:numPr>
          <w:ilvl w:val="0"/>
          <w:numId w:val="0"/>
        </w:numPr>
        <w:spacing w:before="120" w:after="120" w:line="360" w:lineRule="auto"/>
        <w:ind w:firstLine="480" w:firstLineChars="2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2、付款周期要求：项目完成经与甲方验收合格后，并提供该设备支持性文件及完工报告后，乙方开具对应有效发票，甲方收到合格发票后，在45日内甲方支付合同总价金额的97%。质保期满，如未发生质量问题并收到乙方提供的等额有效收据之日起45日内，向乙方支付项目剩余的3%质量保证金。如付款到期日为非银行工作日，则付款到期日顺延至下一个银行工作日。</w:t>
      </w:r>
    </w:p>
    <w:p w14:paraId="73E08D1D">
      <w:pPr>
        <w:pStyle w:val="52"/>
        <w:numPr>
          <w:ilvl w:val="0"/>
          <w:numId w:val="0"/>
        </w:numPr>
        <w:spacing w:before="120" w:after="120" w:line="360" w:lineRule="auto"/>
        <w:ind w:firstLine="480" w:firstLineChars="2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3、其他要求：乙方在施工或调试等过程中对甲方造成的其他任何设备的损坏，均有乙方负责维修或更换。</w:t>
      </w:r>
    </w:p>
    <w:p w14:paraId="6EB0961E">
      <w:pPr>
        <w:pStyle w:val="52"/>
        <w:numPr>
          <w:ilvl w:val="0"/>
          <w:numId w:val="0"/>
        </w:numPr>
        <w:spacing w:before="120" w:after="120" w:line="360" w:lineRule="auto"/>
        <w:ind w:firstLine="480" w:firstLineChars="200"/>
        <w:outlineLvl w:val="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4、技术联系人：谢剑飞；联系电话：13543550686。</w:t>
      </w:r>
    </w:p>
    <w:p w14:paraId="349B5228">
      <w:pPr>
        <w:widowControl/>
        <w:autoSpaceDE/>
        <w:autoSpaceDN/>
        <w:adjustRightInd/>
        <w:spacing w:line="240" w:lineRule="auto"/>
        <w:outlineLvl w:val="9"/>
        <w:rPr>
          <w:rFonts w:hint="eastAsia" w:ascii="宋体" w:hAnsi="宋体" w:eastAsia="宋体" w:cs="宋体"/>
          <w:b/>
          <w:color w:val="auto"/>
          <w:sz w:val="32"/>
          <w:szCs w:val="32"/>
          <w:lang w:val="en-US" w:eastAsia="zh-CN" w:bidi="ar-SA"/>
        </w:rPr>
      </w:pPr>
      <w:r>
        <w:rPr>
          <w:rFonts w:hint="eastAsia" w:ascii="宋体" w:hAnsi="宋体" w:eastAsia="宋体" w:cs="宋体"/>
          <w:b/>
          <w:color w:val="auto"/>
          <w:sz w:val="32"/>
          <w:szCs w:val="32"/>
          <w:lang w:val="en-US" w:eastAsia="zh-CN" w:bidi="ar-SA"/>
        </w:rPr>
        <w:br w:type="page"/>
      </w:r>
    </w:p>
    <w:p w14:paraId="0B638B83">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14:paraId="5373C7F4">
      <w:pPr>
        <w:spacing w:before="72" w:beforeLines="30" w:after="72" w:afterLines="30"/>
        <w:jc w:val="center"/>
        <w:rPr>
          <w:rFonts w:hAnsi="宋体"/>
          <w:b/>
          <w:bCs/>
          <w:sz w:val="36"/>
          <w:szCs w:val="36"/>
          <w:highlight w:val="none"/>
        </w:rPr>
      </w:pPr>
      <w:r>
        <w:rPr>
          <w:szCs w:val="21"/>
          <w:highlight w:val="none"/>
          <w:u w:val="single"/>
        </w:rPr>
        <w:t xml:space="preserve">           </w:t>
      </w:r>
      <w:r>
        <w:rPr>
          <w:rFonts w:hint="eastAsia" w:hAnsi="宋体"/>
          <w:b/>
          <w:bCs/>
          <w:sz w:val="36"/>
          <w:szCs w:val="36"/>
          <w:highlight w:val="none"/>
        </w:rPr>
        <w:t>货物买卖合同</w:t>
      </w:r>
    </w:p>
    <w:p w14:paraId="32A8264A">
      <w:pPr>
        <w:spacing w:after="100" w:afterAutospacing="1"/>
        <w:jc w:val="center"/>
        <w:rPr>
          <w:rFonts w:hAnsi="宋体"/>
          <w:bCs/>
          <w:szCs w:val="21"/>
          <w:highlight w:val="none"/>
          <w:u w:val="single"/>
        </w:rPr>
      </w:pPr>
      <w:r>
        <w:rPr>
          <w:rFonts w:hint="eastAsia" w:hAnsi="宋体"/>
          <w:bCs/>
          <w:sz w:val="24"/>
          <w:highlight w:val="none"/>
        </w:rPr>
        <w:t xml:space="preserve">                                      </w:t>
      </w:r>
      <w:r>
        <w:rPr>
          <w:rFonts w:hint="eastAsia" w:hAnsi="宋体"/>
          <w:bCs/>
          <w:szCs w:val="21"/>
          <w:highlight w:val="none"/>
        </w:rPr>
        <w:t>合同编号：</w:t>
      </w:r>
      <w:r>
        <w:rPr>
          <w:szCs w:val="21"/>
          <w:highlight w:val="none"/>
          <w:u w:val="single"/>
        </w:rPr>
        <w:t xml:space="preserve">                           </w:t>
      </w:r>
      <w:r>
        <w:rPr>
          <w:rFonts w:hint="eastAsia" w:hAnsi="宋体"/>
          <w:bCs/>
          <w:szCs w:val="21"/>
          <w:highlight w:val="none"/>
          <w:u w:val="single"/>
        </w:rPr>
        <w:t xml:space="preserve">         </w:t>
      </w:r>
    </w:p>
    <w:p w14:paraId="31B531DD">
      <w:pPr>
        <w:pStyle w:val="2"/>
        <w:spacing w:before="72" w:beforeLines="30" w:after="72" w:afterLines="30"/>
        <w:rPr>
          <w:sz w:val="24"/>
          <w:highlight w:val="none"/>
        </w:rPr>
      </w:pPr>
      <w:r>
        <w:rPr>
          <w:rFonts w:hint="eastAsia"/>
          <w:sz w:val="24"/>
          <w:highlight w:val="none"/>
        </w:rPr>
        <w:t>本货物买卖合同（以下称“合同”或“本合同”）由以下双方于【</w:t>
      </w:r>
      <w:r>
        <w:rPr>
          <w:rFonts w:hint="eastAsia"/>
          <w:i/>
          <w:sz w:val="24"/>
          <w:highlight w:val="none"/>
        </w:rPr>
        <w:t>填入签订日期</w:t>
      </w:r>
      <w:r>
        <w:rPr>
          <w:rFonts w:hint="eastAsia"/>
          <w:sz w:val="24"/>
          <w:highlight w:val="none"/>
        </w:rPr>
        <w:t>】在【</w:t>
      </w:r>
      <w:r>
        <w:rPr>
          <w:rFonts w:hint="eastAsia"/>
          <w:i/>
          <w:sz w:val="24"/>
          <w:highlight w:val="none"/>
        </w:rPr>
        <w:t>填入签订地点</w:t>
      </w:r>
      <w:r>
        <w:rPr>
          <w:rFonts w:hint="eastAsia"/>
          <w:sz w:val="24"/>
          <w:highlight w:val="none"/>
        </w:rPr>
        <w:t>】签署。</w:t>
      </w:r>
    </w:p>
    <w:p w14:paraId="30A5C000">
      <w:pPr>
        <w:tabs>
          <w:tab w:val="left" w:pos="3060"/>
        </w:tabs>
        <w:spacing w:before="72" w:beforeLines="30" w:after="72" w:afterLines="30" w:line="360" w:lineRule="auto"/>
        <w:ind w:firstLine="426" w:firstLineChars="177"/>
        <w:rPr>
          <w:sz w:val="24"/>
          <w:highlight w:val="none"/>
        </w:rPr>
      </w:pPr>
      <w:r>
        <w:rPr>
          <w:rFonts w:hint="eastAsia"/>
          <w:b/>
          <w:sz w:val="24"/>
          <w:highlight w:val="none"/>
        </w:rPr>
        <w:t>买</w:t>
      </w:r>
      <w:r>
        <w:rPr>
          <w:b/>
          <w:sz w:val="24"/>
          <w:highlight w:val="none"/>
        </w:rPr>
        <w:t xml:space="preserve">  </w:t>
      </w:r>
      <w:r>
        <w:rPr>
          <w:rFonts w:hint="eastAsia"/>
          <w:b/>
          <w:sz w:val="24"/>
          <w:highlight w:val="none"/>
        </w:rPr>
        <w:t>方：</w:t>
      </w:r>
      <w:r>
        <w:rPr>
          <w:sz w:val="24"/>
          <w:highlight w:val="none"/>
          <w:u w:val="single"/>
        </w:rPr>
        <w:t xml:space="preserve">                         </w:t>
      </w:r>
      <w:r>
        <w:rPr>
          <w:rFonts w:hint="eastAsia"/>
          <w:sz w:val="24"/>
          <w:highlight w:val="none"/>
        </w:rPr>
        <w:t xml:space="preserve">   </w:t>
      </w:r>
      <w:r>
        <w:rPr>
          <w:rFonts w:hint="eastAsia"/>
          <w:b/>
          <w:sz w:val="24"/>
          <w:highlight w:val="none"/>
        </w:rPr>
        <w:t>卖</w:t>
      </w:r>
      <w:r>
        <w:rPr>
          <w:b/>
          <w:sz w:val="24"/>
          <w:highlight w:val="none"/>
        </w:rPr>
        <w:t xml:space="preserve">  </w:t>
      </w:r>
      <w:r>
        <w:rPr>
          <w:rFonts w:hint="eastAsia"/>
          <w:b/>
          <w:sz w:val="24"/>
          <w:highlight w:val="none"/>
        </w:rPr>
        <w:t>方：</w:t>
      </w:r>
      <w:bookmarkStart w:id="40" w:name="OLE_LINK2"/>
      <w:bookmarkStart w:id="41" w:name="OLE_LINK1"/>
      <w:r>
        <w:rPr>
          <w:sz w:val="24"/>
          <w:highlight w:val="none"/>
          <w:u w:val="single"/>
        </w:rPr>
        <w:t xml:space="preserve">                           </w:t>
      </w:r>
      <w:bookmarkEnd w:id="40"/>
      <w:bookmarkEnd w:id="41"/>
    </w:p>
    <w:p w14:paraId="76A65952">
      <w:pPr>
        <w:tabs>
          <w:tab w:val="left" w:pos="3060"/>
        </w:tabs>
        <w:spacing w:before="72" w:beforeLines="30" w:after="72" w:afterLines="30" w:line="360" w:lineRule="auto"/>
        <w:ind w:firstLine="422" w:firstLineChars="176"/>
        <w:rPr>
          <w:sz w:val="24"/>
          <w:highlight w:val="none"/>
          <w:u w:val="single"/>
        </w:rPr>
      </w:pPr>
      <w:r>
        <w:rPr>
          <w:rFonts w:hint="eastAsia"/>
          <w:sz w:val="24"/>
          <w:highlight w:val="none"/>
        </w:rPr>
        <w:t>注册地址：</w:t>
      </w:r>
      <w:r>
        <w:rPr>
          <w:rFonts w:hint="eastAsia"/>
          <w:sz w:val="24"/>
          <w:highlight w:val="none"/>
          <w:u w:val="single"/>
        </w:rPr>
        <w:t xml:space="preserve">                       </w:t>
      </w:r>
      <w:r>
        <w:rPr>
          <w:rFonts w:hint="eastAsia"/>
          <w:sz w:val="24"/>
          <w:highlight w:val="none"/>
        </w:rPr>
        <w:t xml:space="preserve">   注册地址：</w:t>
      </w:r>
      <w:r>
        <w:rPr>
          <w:sz w:val="24"/>
          <w:highlight w:val="none"/>
          <w:u w:val="single"/>
        </w:rPr>
        <w:t xml:space="preserve">                         </w:t>
      </w:r>
    </w:p>
    <w:p w14:paraId="5E7B96FA">
      <w:pPr>
        <w:pStyle w:val="2"/>
        <w:spacing w:before="72" w:beforeLines="30" w:after="72" w:afterLines="30"/>
        <w:rPr>
          <w:sz w:val="24"/>
          <w:highlight w:val="none"/>
        </w:rPr>
      </w:pPr>
      <w:r>
        <w:rPr>
          <w:rFonts w:hint="eastAsia" w:hAnsi="宋体"/>
          <w:sz w:val="24"/>
          <w:highlight w:val="none"/>
        </w:rPr>
        <w:t>根据《中华人民共和国民法典》及相关法律法规的规定，</w:t>
      </w:r>
      <w:r>
        <w:rPr>
          <w:rFonts w:hAnsi="宋体"/>
          <w:sz w:val="24"/>
          <w:highlight w:val="none"/>
        </w:rPr>
        <w:t>就</w:t>
      </w:r>
      <w:r>
        <w:rPr>
          <w:rFonts w:hint="eastAsia"/>
          <w:sz w:val="24"/>
          <w:highlight w:val="none"/>
        </w:rPr>
        <w:t>【</w:t>
      </w:r>
      <w:r>
        <w:rPr>
          <w:rFonts w:hint="eastAsia"/>
          <w:i/>
          <w:sz w:val="24"/>
          <w:highlight w:val="none"/>
        </w:rPr>
        <w:t>填入货物名称</w:t>
      </w:r>
      <w:r>
        <w:rPr>
          <w:rFonts w:hint="eastAsia"/>
          <w:sz w:val="24"/>
          <w:highlight w:val="none"/>
        </w:rPr>
        <w:t>】</w:t>
      </w:r>
      <w:r>
        <w:rPr>
          <w:rFonts w:hint="eastAsia" w:hAnsi="宋体"/>
          <w:sz w:val="24"/>
          <w:highlight w:val="none"/>
        </w:rPr>
        <w:t>的采购和销售及</w:t>
      </w:r>
      <w:r>
        <w:rPr>
          <w:rFonts w:hAnsi="宋体"/>
          <w:sz w:val="24"/>
          <w:highlight w:val="none"/>
        </w:rPr>
        <w:t>相关事宜，</w:t>
      </w:r>
      <w:r>
        <w:rPr>
          <w:rFonts w:hint="eastAsia" w:hAnsi="宋体"/>
          <w:sz w:val="24"/>
          <w:highlight w:val="none"/>
        </w:rPr>
        <w:t>经协商一致，双方</w:t>
      </w:r>
      <w:r>
        <w:rPr>
          <w:rFonts w:hAnsi="宋体"/>
          <w:sz w:val="24"/>
          <w:highlight w:val="none"/>
        </w:rPr>
        <w:t>达成如下</w:t>
      </w:r>
      <w:r>
        <w:rPr>
          <w:rFonts w:hint="eastAsia" w:hAnsi="宋体"/>
          <w:sz w:val="24"/>
          <w:highlight w:val="none"/>
        </w:rPr>
        <w:t>合同条款，以兹共同遵守。</w:t>
      </w:r>
    </w:p>
    <w:p w14:paraId="2F45A175">
      <w:pPr>
        <w:pStyle w:val="11"/>
        <w:numPr>
          <w:ilvl w:val="0"/>
          <w:numId w:val="3"/>
        </w:numPr>
        <w:spacing w:before="72" w:beforeLines="30" w:after="72" w:afterLines="30" w:line="360" w:lineRule="auto"/>
        <w:ind w:left="851" w:hanging="851"/>
        <w:jc w:val="left"/>
        <w:rPr>
          <w:sz w:val="24"/>
          <w:highlight w:val="none"/>
        </w:rPr>
      </w:pPr>
      <w:bookmarkStart w:id="42" w:name="_Toc306354308"/>
      <w:r>
        <w:rPr>
          <w:sz w:val="24"/>
          <w:szCs w:val="24"/>
          <w:highlight w:val="none"/>
        </w:rPr>
        <w:t>合同标的</w:t>
      </w:r>
      <w:bookmarkEnd w:id="42"/>
    </w:p>
    <w:p w14:paraId="4FDBCE6F">
      <w:pPr>
        <w:numPr>
          <w:ilvl w:val="0"/>
          <w:numId w:val="4"/>
        </w:numPr>
        <w:tabs>
          <w:tab w:val="left" w:pos="567"/>
          <w:tab w:val="clear" w:pos="2278"/>
        </w:tabs>
        <w:spacing w:before="72" w:beforeLines="30" w:after="72" w:afterLines="30" w:line="360" w:lineRule="auto"/>
        <w:ind w:left="567" w:hanging="567"/>
        <w:rPr>
          <w:rFonts w:hAnsi="宋体"/>
          <w:sz w:val="24"/>
          <w:highlight w:val="none"/>
        </w:rPr>
      </w:pPr>
      <w:bookmarkStart w:id="43" w:name="OLE_LINK20"/>
      <w:bookmarkStart w:id="44" w:name="OLE_LINK26"/>
      <w:bookmarkStart w:id="45" w:name="OLE_LINK17"/>
      <w:bookmarkStart w:id="46" w:name="OLE_LINK9"/>
      <w:bookmarkStart w:id="47" w:name="OLE_LINK23"/>
      <w:bookmarkStart w:id="48" w:name="OLE_LINK14"/>
      <w:bookmarkStart w:id="49" w:name="OLE_LINK22"/>
      <w:bookmarkStart w:id="50" w:name="OLE_LINK10"/>
      <w:bookmarkStart w:id="51" w:name="OLE_LINK19"/>
      <w:bookmarkStart w:id="52" w:name="OLE_LINK24"/>
      <w:bookmarkStart w:id="53" w:name="OLE_LINK13"/>
      <w:bookmarkStart w:id="54" w:name="OLE_LINK15"/>
      <w:bookmarkStart w:id="55" w:name="OLE_LINK21"/>
      <w:bookmarkStart w:id="56" w:name="OLE_LINK18"/>
      <w:bookmarkStart w:id="57" w:name="OLE_LINK25"/>
      <w:bookmarkStart w:id="58" w:name="OLE_LINK16"/>
      <w:r>
        <w:rPr>
          <w:rFonts w:hint="eastAsia"/>
          <w:sz w:val="24"/>
          <w:highlight w:val="none"/>
        </w:rPr>
        <w:t>卖方向买方供应的货物的名称、数量、型号、规格</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sz w:val="24"/>
          <w:highlight w:val="none"/>
        </w:rPr>
        <w:t>、单价、原产地等如下：</w:t>
      </w:r>
    </w:p>
    <w:tbl>
      <w:tblPr>
        <w:tblStyle w:val="20"/>
        <w:tblW w:w="10490" w:type="dxa"/>
        <w:tblInd w:w="-714" w:type="dxa"/>
        <w:tblLayout w:type="fixed"/>
        <w:tblCellMar>
          <w:top w:w="0" w:type="dxa"/>
          <w:left w:w="108" w:type="dxa"/>
          <w:bottom w:w="0" w:type="dxa"/>
          <w:right w:w="108" w:type="dxa"/>
        </w:tblCellMar>
      </w:tblPr>
      <w:tblGrid>
        <w:gridCol w:w="709"/>
        <w:gridCol w:w="2523"/>
        <w:gridCol w:w="1872"/>
        <w:gridCol w:w="850"/>
        <w:gridCol w:w="709"/>
        <w:gridCol w:w="709"/>
        <w:gridCol w:w="850"/>
        <w:gridCol w:w="1418"/>
        <w:gridCol w:w="850"/>
      </w:tblGrid>
      <w:tr w14:paraId="002CACB5">
        <w:trPr>
          <w:trHeight w:val="835" w:hRule="atLeast"/>
        </w:trPr>
        <w:tc>
          <w:tcPr>
            <w:tcW w:w="709" w:type="dxa"/>
            <w:tcBorders>
              <w:top w:val="single" w:color="auto" w:sz="4" w:space="0"/>
              <w:left w:val="single" w:color="auto" w:sz="4" w:space="0"/>
              <w:bottom w:val="single" w:color="auto" w:sz="4" w:space="0"/>
              <w:right w:val="single" w:color="auto" w:sz="4" w:space="0"/>
            </w:tcBorders>
            <w:vAlign w:val="center"/>
          </w:tcPr>
          <w:p w14:paraId="50197DFD">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序号</w:t>
            </w:r>
          </w:p>
        </w:tc>
        <w:tc>
          <w:tcPr>
            <w:tcW w:w="2523" w:type="dxa"/>
            <w:tcBorders>
              <w:top w:val="single" w:color="auto" w:sz="4" w:space="0"/>
              <w:left w:val="nil"/>
              <w:bottom w:val="single" w:color="auto" w:sz="4" w:space="0"/>
              <w:right w:val="single" w:color="auto" w:sz="4" w:space="0"/>
            </w:tcBorders>
            <w:vAlign w:val="center"/>
          </w:tcPr>
          <w:p w14:paraId="3FF1D8CA">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物资名称</w:t>
            </w:r>
          </w:p>
        </w:tc>
        <w:tc>
          <w:tcPr>
            <w:tcW w:w="1872" w:type="dxa"/>
            <w:tcBorders>
              <w:top w:val="single" w:color="auto" w:sz="4" w:space="0"/>
              <w:left w:val="nil"/>
              <w:bottom w:val="single" w:color="auto" w:sz="4" w:space="0"/>
              <w:right w:val="single" w:color="auto" w:sz="4" w:space="0"/>
            </w:tcBorders>
            <w:vAlign w:val="center"/>
          </w:tcPr>
          <w:p w14:paraId="469A6F35">
            <w:pPr>
              <w:widowControl/>
              <w:spacing w:line="360" w:lineRule="auto"/>
              <w:rPr>
                <w:rFonts w:ascii="宋体" w:hAnsi="宋体" w:cs="宋体"/>
                <w:kern w:val="0"/>
                <w:sz w:val="24"/>
                <w:highlight w:val="none"/>
              </w:rPr>
            </w:pPr>
            <w:r>
              <w:rPr>
                <w:rFonts w:hint="eastAsia" w:ascii="宋体" w:hAnsi="宋体" w:cs="宋体"/>
                <w:kern w:val="0"/>
                <w:sz w:val="24"/>
                <w:highlight w:val="none"/>
              </w:rPr>
              <w:t>品牌规格型号</w:t>
            </w:r>
          </w:p>
        </w:tc>
        <w:tc>
          <w:tcPr>
            <w:tcW w:w="850" w:type="dxa"/>
            <w:tcBorders>
              <w:top w:val="single" w:color="auto" w:sz="4" w:space="0"/>
              <w:left w:val="nil"/>
              <w:bottom w:val="single" w:color="auto" w:sz="4" w:space="0"/>
              <w:right w:val="single" w:color="auto" w:sz="4" w:space="0"/>
            </w:tcBorders>
            <w:vAlign w:val="center"/>
          </w:tcPr>
          <w:p w14:paraId="65E7D1BA">
            <w:pPr>
              <w:widowControl/>
              <w:spacing w:line="360" w:lineRule="auto"/>
              <w:rPr>
                <w:rFonts w:ascii="宋体" w:hAnsi="宋体" w:cs="宋体"/>
                <w:kern w:val="0"/>
                <w:sz w:val="24"/>
                <w:highlight w:val="none"/>
              </w:rPr>
            </w:pPr>
            <w:r>
              <w:rPr>
                <w:rFonts w:ascii="宋体" w:hAnsi="宋体" w:cs="宋体"/>
                <w:kern w:val="0"/>
                <w:sz w:val="24"/>
                <w:highlight w:val="none"/>
              </w:rPr>
              <w:t>原产地</w:t>
            </w:r>
          </w:p>
        </w:tc>
        <w:tc>
          <w:tcPr>
            <w:tcW w:w="709" w:type="dxa"/>
            <w:tcBorders>
              <w:top w:val="single" w:color="auto" w:sz="4" w:space="0"/>
              <w:left w:val="nil"/>
              <w:bottom w:val="single" w:color="auto" w:sz="4" w:space="0"/>
              <w:right w:val="single" w:color="auto" w:sz="4" w:space="0"/>
            </w:tcBorders>
            <w:vAlign w:val="center"/>
          </w:tcPr>
          <w:p w14:paraId="22748CE3">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单位</w:t>
            </w:r>
          </w:p>
        </w:tc>
        <w:tc>
          <w:tcPr>
            <w:tcW w:w="709" w:type="dxa"/>
            <w:tcBorders>
              <w:top w:val="single" w:color="auto" w:sz="4" w:space="0"/>
              <w:left w:val="nil"/>
              <w:bottom w:val="single" w:color="auto" w:sz="4" w:space="0"/>
              <w:right w:val="single" w:color="auto" w:sz="4" w:space="0"/>
            </w:tcBorders>
            <w:vAlign w:val="center"/>
          </w:tcPr>
          <w:p w14:paraId="5179E098">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7EC3B612">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单价</w:t>
            </w:r>
          </w:p>
        </w:tc>
        <w:tc>
          <w:tcPr>
            <w:tcW w:w="1418" w:type="dxa"/>
            <w:tcBorders>
              <w:top w:val="single" w:color="auto" w:sz="4" w:space="0"/>
              <w:left w:val="nil"/>
              <w:bottom w:val="single" w:color="auto" w:sz="4" w:space="0"/>
              <w:right w:val="single" w:color="auto" w:sz="4" w:space="0"/>
            </w:tcBorders>
            <w:vAlign w:val="center"/>
          </w:tcPr>
          <w:p w14:paraId="1E2B5207">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金额</w:t>
            </w:r>
          </w:p>
        </w:tc>
        <w:tc>
          <w:tcPr>
            <w:tcW w:w="850" w:type="dxa"/>
            <w:tcBorders>
              <w:top w:val="single" w:color="auto" w:sz="4" w:space="0"/>
              <w:left w:val="nil"/>
              <w:bottom w:val="single" w:color="auto" w:sz="4" w:space="0"/>
              <w:right w:val="single" w:color="auto" w:sz="4" w:space="0"/>
            </w:tcBorders>
            <w:vAlign w:val="center"/>
          </w:tcPr>
          <w:p w14:paraId="366D86E4">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备注</w:t>
            </w:r>
          </w:p>
        </w:tc>
      </w:tr>
      <w:tr w14:paraId="45ED1631">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14:paraId="012A50EB">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523" w:type="dxa"/>
            <w:tcBorders>
              <w:top w:val="nil"/>
              <w:left w:val="nil"/>
              <w:bottom w:val="single" w:color="auto" w:sz="4" w:space="0"/>
              <w:right w:val="single" w:color="auto" w:sz="4" w:space="0"/>
            </w:tcBorders>
            <w:vAlign w:val="bottom"/>
          </w:tcPr>
          <w:p w14:paraId="3D1628A9">
            <w:pPr>
              <w:widowControl/>
              <w:tabs>
                <w:tab w:val="center" w:pos="1124"/>
                <w:tab w:val="right" w:pos="2129"/>
              </w:tabs>
              <w:spacing w:line="360" w:lineRule="auto"/>
              <w:jc w:val="left"/>
              <w:textAlignment w:val="bottom"/>
              <w:rPr>
                <w:rFonts w:ascii="宋体" w:hAnsi="宋体" w:cs="宋体"/>
                <w:kern w:val="0"/>
                <w:sz w:val="24"/>
                <w:highlight w:val="none"/>
              </w:rPr>
            </w:pPr>
          </w:p>
        </w:tc>
        <w:tc>
          <w:tcPr>
            <w:tcW w:w="1872" w:type="dxa"/>
            <w:tcBorders>
              <w:top w:val="nil"/>
              <w:left w:val="nil"/>
              <w:bottom w:val="single" w:color="auto" w:sz="4" w:space="0"/>
              <w:right w:val="single" w:color="auto" w:sz="4" w:space="0"/>
            </w:tcBorders>
            <w:vAlign w:val="center"/>
          </w:tcPr>
          <w:p w14:paraId="35AED051">
            <w:pPr>
              <w:spacing w:line="360" w:lineRule="auto"/>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14:paraId="10B11D7B">
            <w:pPr>
              <w:spacing w:line="360" w:lineRule="auto"/>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14:paraId="627776CF">
            <w:pPr>
              <w:widowControl/>
              <w:spacing w:line="360" w:lineRule="auto"/>
              <w:jc w:val="center"/>
              <w:textAlignment w:val="center"/>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14:paraId="6C2A2213">
            <w:pPr>
              <w:widowControl/>
              <w:spacing w:line="360" w:lineRule="auto"/>
              <w:jc w:val="center"/>
              <w:textAlignment w:val="center"/>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14:paraId="6B6B51E7">
            <w:pPr>
              <w:widowControl/>
              <w:spacing w:line="360" w:lineRule="auto"/>
              <w:textAlignment w:val="center"/>
              <w:rPr>
                <w:rFonts w:ascii="宋体" w:hAnsi="宋体" w:cs="仿宋"/>
                <w:kern w:val="0"/>
                <w:sz w:val="24"/>
                <w:highlight w:val="none"/>
              </w:rPr>
            </w:pPr>
          </w:p>
        </w:tc>
        <w:tc>
          <w:tcPr>
            <w:tcW w:w="1418" w:type="dxa"/>
            <w:tcBorders>
              <w:top w:val="nil"/>
              <w:left w:val="nil"/>
              <w:bottom w:val="single" w:color="auto" w:sz="4" w:space="0"/>
              <w:right w:val="single" w:color="auto" w:sz="4" w:space="0"/>
            </w:tcBorders>
            <w:vAlign w:val="center"/>
          </w:tcPr>
          <w:p w14:paraId="7FB8CFFC">
            <w:pPr>
              <w:widowControl/>
              <w:spacing w:line="360" w:lineRule="auto"/>
              <w:textAlignment w:val="center"/>
              <w:rPr>
                <w:rFonts w:ascii="宋体" w:hAnsi="宋体" w:cs="仿宋"/>
                <w:kern w:val="0"/>
                <w:sz w:val="24"/>
                <w:highlight w:val="none"/>
              </w:rPr>
            </w:pPr>
          </w:p>
        </w:tc>
        <w:tc>
          <w:tcPr>
            <w:tcW w:w="850" w:type="dxa"/>
            <w:tcBorders>
              <w:top w:val="nil"/>
              <w:left w:val="nil"/>
              <w:bottom w:val="single" w:color="auto" w:sz="4" w:space="0"/>
              <w:right w:val="single" w:color="auto" w:sz="4" w:space="0"/>
            </w:tcBorders>
            <w:vAlign w:val="center"/>
          </w:tcPr>
          <w:p w14:paraId="4A4532E4">
            <w:pPr>
              <w:widowControl/>
              <w:spacing w:line="360" w:lineRule="auto"/>
              <w:ind w:right="120"/>
              <w:rPr>
                <w:rFonts w:ascii="宋体" w:hAnsi="宋体" w:cs="宋体"/>
                <w:kern w:val="0"/>
                <w:sz w:val="24"/>
                <w:highlight w:val="none"/>
              </w:rPr>
            </w:pPr>
          </w:p>
        </w:tc>
      </w:tr>
      <w:tr w14:paraId="2703F6D3">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14:paraId="7593FF2C">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523" w:type="dxa"/>
            <w:tcBorders>
              <w:top w:val="nil"/>
              <w:left w:val="nil"/>
              <w:bottom w:val="single" w:color="auto" w:sz="4" w:space="0"/>
              <w:right w:val="single" w:color="auto" w:sz="4" w:space="0"/>
            </w:tcBorders>
            <w:vAlign w:val="bottom"/>
          </w:tcPr>
          <w:p w14:paraId="01091D0D">
            <w:pPr>
              <w:widowControl/>
              <w:spacing w:line="360" w:lineRule="auto"/>
              <w:textAlignment w:val="bottom"/>
              <w:rPr>
                <w:rFonts w:ascii="宋体" w:hAnsi="宋体" w:cs="宋体"/>
                <w:kern w:val="0"/>
                <w:sz w:val="24"/>
                <w:highlight w:val="none"/>
              </w:rPr>
            </w:pPr>
          </w:p>
        </w:tc>
        <w:tc>
          <w:tcPr>
            <w:tcW w:w="1872" w:type="dxa"/>
            <w:tcBorders>
              <w:top w:val="nil"/>
              <w:left w:val="nil"/>
              <w:bottom w:val="single" w:color="auto" w:sz="4" w:space="0"/>
              <w:right w:val="single" w:color="auto" w:sz="4" w:space="0"/>
            </w:tcBorders>
            <w:vAlign w:val="center"/>
          </w:tcPr>
          <w:p w14:paraId="31AB4EB5">
            <w:pPr>
              <w:spacing w:line="360" w:lineRule="auto"/>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14:paraId="2E196D56">
            <w:pPr>
              <w:spacing w:line="360" w:lineRule="auto"/>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14:paraId="4EAFFABE">
            <w:pPr>
              <w:widowControl/>
              <w:spacing w:line="360" w:lineRule="auto"/>
              <w:jc w:val="center"/>
              <w:textAlignment w:val="center"/>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14:paraId="22B1CB8A">
            <w:pPr>
              <w:widowControl/>
              <w:spacing w:line="360" w:lineRule="auto"/>
              <w:jc w:val="center"/>
              <w:textAlignment w:val="center"/>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14:paraId="729CA700">
            <w:pPr>
              <w:widowControl/>
              <w:spacing w:line="360" w:lineRule="auto"/>
              <w:textAlignment w:val="center"/>
              <w:rPr>
                <w:rFonts w:ascii="宋体" w:hAnsi="宋体" w:cs="仿宋"/>
                <w:kern w:val="0"/>
                <w:sz w:val="24"/>
                <w:highlight w:val="none"/>
              </w:rPr>
            </w:pPr>
          </w:p>
        </w:tc>
        <w:tc>
          <w:tcPr>
            <w:tcW w:w="1418" w:type="dxa"/>
            <w:tcBorders>
              <w:top w:val="nil"/>
              <w:left w:val="nil"/>
              <w:bottom w:val="single" w:color="auto" w:sz="4" w:space="0"/>
              <w:right w:val="single" w:color="auto" w:sz="4" w:space="0"/>
            </w:tcBorders>
            <w:vAlign w:val="center"/>
          </w:tcPr>
          <w:p w14:paraId="699B4C6C">
            <w:pPr>
              <w:widowControl/>
              <w:spacing w:line="360" w:lineRule="auto"/>
              <w:textAlignment w:val="center"/>
              <w:rPr>
                <w:rFonts w:ascii="宋体" w:hAnsi="宋体" w:cs="仿宋"/>
                <w:kern w:val="0"/>
                <w:sz w:val="24"/>
                <w:highlight w:val="none"/>
              </w:rPr>
            </w:pPr>
          </w:p>
        </w:tc>
        <w:tc>
          <w:tcPr>
            <w:tcW w:w="850" w:type="dxa"/>
            <w:tcBorders>
              <w:top w:val="nil"/>
              <w:left w:val="nil"/>
              <w:bottom w:val="single" w:color="auto" w:sz="4" w:space="0"/>
              <w:right w:val="single" w:color="auto" w:sz="4" w:space="0"/>
            </w:tcBorders>
            <w:vAlign w:val="center"/>
          </w:tcPr>
          <w:p w14:paraId="19E41521">
            <w:pPr>
              <w:widowControl/>
              <w:spacing w:line="360" w:lineRule="auto"/>
              <w:ind w:right="120"/>
              <w:rPr>
                <w:rFonts w:ascii="宋体" w:hAnsi="宋体" w:cs="宋体"/>
                <w:kern w:val="0"/>
                <w:sz w:val="24"/>
                <w:highlight w:val="none"/>
              </w:rPr>
            </w:pPr>
          </w:p>
        </w:tc>
      </w:tr>
      <w:tr w14:paraId="23884DF9">
        <w:tblPrEx>
          <w:tblCellMar>
            <w:top w:w="0" w:type="dxa"/>
            <w:left w:w="108" w:type="dxa"/>
            <w:bottom w:w="0" w:type="dxa"/>
            <w:right w:w="108" w:type="dxa"/>
          </w:tblCellMar>
        </w:tblPrEx>
        <w:trPr>
          <w:trHeight w:val="285" w:hRule="atLeast"/>
        </w:trPr>
        <w:tc>
          <w:tcPr>
            <w:tcW w:w="3232" w:type="dxa"/>
            <w:gridSpan w:val="2"/>
            <w:tcBorders>
              <w:top w:val="nil"/>
              <w:left w:val="single" w:color="auto" w:sz="4" w:space="0"/>
              <w:bottom w:val="single" w:color="auto" w:sz="4" w:space="0"/>
              <w:right w:val="single" w:color="auto" w:sz="4" w:space="0"/>
            </w:tcBorders>
            <w:vAlign w:val="center"/>
          </w:tcPr>
          <w:p w14:paraId="76FEFA25">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合计（元）</w:t>
            </w:r>
          </w:p>
        </w:tc>
        <w:tc>
          <w:tcPr>
            <w:tcW w:w="7258" w:type="dxa"/>
            <w:gridSpan w:val="7"/>
            <w:tcBorders>
              <w:top w:val="nil"/>
              <w:left w:val="nil"/>
              <w:bottom w:val="single" w:color="auto" w:sz="4" w:space="0"/>
              <w:right w:val="single" w:color="auto" w:sz="4" w:space="0"/>
            </w:tcBorders>
            <w:vAlign w:val="center"/>
          </w:tcPr>
          <w:p w14:paraId="193FD497">
            <w:pPr>
              <w:widowControl/>
              <w:spacing w:line="360" w:lineRule="auto"/>
              <w:jc w:val="center"/>
              <w:rPr>
                <w:rFonts w:ascii="宋体" w:hAnsi="宋体" w:cs="宋体"/>
                <w:kern w:val="0"/>
                <w:sz w:val="24"/>
                <w:highlight w:val="none"/>
              </w:rPr>
            </w:pPr>
          </w:p>
        </w:tc>
      </w:tr>
      <w:tr w14:paraId="75F25D80">
        <w:tblPrEx>
          <w:tblCellMar>
            <w:top w:w="0" w:type="dxa"/>
            <w:left w:w="108" w:type="dxa"/>
            <w:bottom w:w="0" w:type="dxa"/>
            <w:right w:w="108" w:type="dxa"/>
          </w:tblCellMar>
        </w:tblPrEx>
        <w:trPr>
          <w:trHeight w:val="285" w:hRule="atLeast"/>
        </w:trPr>
        <w:tc>
          <w:tcPr>
            <w:tcW w:w="10490" w:type="dxa"/>
            <w:gridSpan w:val="9"/>
            <w:tcBorders>
              <w:top w:val="single" w:color="auto" w:sz="4" w:space="0"/>
              <w:left w:val="single" w:color="auto" w:sz="4" w:space="0"/>
              <w:bottom w:val="single" w:color="auto" w:sz="4" w:space="0"/>
              <w:right w:val="single" w:color="000000" w:sz="4" w:space="0"/>
            </w:tcBorders>
            <w:vAlign w:val="center"/>
          </w:tcPr>
          <w:p w14:paraId="1D37DBE2">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合计人民币（大写）：</w:t>
            </w:r>
            <w:r>
              <w:rPr>
                <w:rFonts w:ascii="宋体" w:hAnsi="宋体" w:cs="宋体"/>
                <w:kern w:val="0"/>
                <w:sz w:val="24"/>
                <w:highlight w:val="none"/>
              </w:rPr>
              <w:t xml:space="preserve"> </w:t>
            </w:r>
          </w:p>
        </w:tc>
      </w:tr>
    </w:tbl>
    <w:p w14:paraId="14A02775">
      <w:pPr>
        <w:tabs>
          <w:tab w:val="left" w:pos="567"/>
        </w:tabs>
        <w:spacing w:before="72" w:beforeLines="30" w:after="72" w:afterLines="30" w:line="360" w:lineRule="auto"/>
        <w:ind w:left="567"/>
        <w:rPr>
          <w:rFonts w:hAnsi="宋体"/>
          <w:sz w:val="24"/>
          <w:highlight w:val="none"/>
        </w:rPr>
      </w:pPr>
    </w:p>
    <w:p w14:paraId="25140302">
      <w:pPr>
        <w:numPr>
          <w:ilvl w:val="0"/>
          <w:numId w:val="4"/>
        </w:numPr>
        <w:tabs>
          <w:tab w:val="left" w:pos="567"/>
          <w:tab w:val="clear" w:pos="2278"/>
        </w:tabs>
        <w:spacing w:before="72" w:beforeLines="30" w:after="72" w:afterLines="30" w:line="360" w:lineRule="auto"/>
        <w:ind w:left="567" w:hanging="567"/>
        <w:rPr>
          <w:rFonts w:hAnsi="宋体"/>
          <w:sz w:val="24"/>
          <w:highlight w:val="none"/>
        </w:rPr>
      </w:pPr>
      <w:r>
        <w:rPr>
          <w:rFonts w:hint="eastAsia" w:hAnsi="宋体"/>
          <w:sz w:val="24"/>
          <w:highlight w:val="none"/>
        </w:rPr>
        <w:t>买方应根据本合同的规定向卖方购买货物，并支付合同总价，卖方应根据本合同的规定向买方出售、交付货物并提供与货物使用和安装相关的技术资料和技术服务。</w:t>
      </w:r>
    </w:p>
    <w:p w14:paraId="5A708FB7">
      <w:pPr>
        <w:numPr>
          <w:ilvl w:val="0"/>
          <w:numId w:val="4"/>
        </w:numPr>
        <w:tabs>
          <w:tab w:val="left" w:pos="567"/>
          <w:tab w:val="clear" w:pos="2278"/>
        </w:tabs>
        <w:spacing w:before="72" w:beforeLines="30" w:after="72" w:afterLines="30" w:line="360" w:lineRule="auto"/>
        <w:ind w:left="567" w:hanging="567"/>
        <w:rPr>
          <w:rFonts w:hAnsi="宋体"/>
          <w:sz w:val="24"/>
          <w:highlight w:val="none"/>
        </w:rPr>
      </w:pPr>
      <w:r>
        <w:rPr>
          <w:rFonts w:hint="eastAsia" w:hAnsi="宋体"/>
          <w:sz w:val="24"/>
          <w:highlight w:val="none"/>
        </w:rPr>
        <w:t>货物</w:t>
      </w:r>
      <w:r>
        <w:rPr>
          <w:rFonts w:hAnsi="宋体"/>
          <w:sz w:val="24"/>
          <w:highlight w:val="none"/>
        </w:rPr>
        <w:t>将用于</w:t>
      </w:r>
      <w:r>
        <w:rPr>
          <w:rFonts w:hint="eastAsia" w:hAnsi="宋体"/>
          <w:sz w:val="24"/>
          <w:highlight w:val="none"/>
        </w:rPr>
        <w:t>【</w:t>
      </w:r>
      <w:r>
        <w:rPr>
          <w:rFonts w:hint="eastAsia" w:hAnsi="宋体"/>
          <w:i/>
          <w:sz w:val="24"/>
          <w:highlight w:val="none"/>
        </w:rPr>
        <w:t>填入具体的</w:t>
      </w:r>
      <w:r>
        <w:rPr>
          <w:rFonts w:hAnsi="宋体"/>
          <w:i/>
          <w:sz w:val="24"/>
          <w:highlight w:val="none"/>
        </w:rPr>
        <w:t>项目</w:t>
      </w:r>
      <w:r>
        <w:rPr>
          <w:rFonts w:hint="eastAsia" w:hAnsi="宋体"/>
          <w:i/>
          <w:sz w:val="24"/>
          <w:highlight w:val="none"/>
        </w:rPr>
        <w:t>或</w:t>
      </w:r>
      <w:r>
        <w:rPr>
          <w:rFonts w:hAnsi="宋体"/>
          <w:i/>
          <w:sz w:val="24"/>
          <w:highlight w:val="none"/>
        </w:rPr>
        <w:t>工程</w:t>
      </w:r>
      <w:r>
        <w:rPr>
          <w:rFonts w:hint="eastAsia" w:hAnsi="宋体"/>
          <w:sz w:val="24"/>
          <w:highlight w:val="none"/>
        </w:rPr>
        <w:t>】</w:t>
      </w:r>
      <w:r>
        <w:rPr>
          <w:rFonts w:hAnsi="宋体"/>
          <w:sz w:val="24"/>
          <w:highlight w:val="none"/>
        </w:rPr>
        <w:t>。</w:t>
      </w:r>
    </w:p>
    <w:p w14:paraId="047B3E2F">
      <w:pPr>
        <w:pStyle w:val="11"/>
        <w:numPr>
          <w:ilvl w:val="0"/>
          <w:numId w:val="3"/>
        </w:numPr>
        <w:spacing w:before="72" w:beforeLines="30" w:after="72" w:afterLines="30" w:line="360" w:lineRule="auto"/>
        <w:ind w:left="851" w:hanging="851"/>
        <w:jc w:val="left"/>
        <w:rPr>
          <w:sz w:val="24"/>
          <w:szCs w:val="24"/>
          <w:highlight w:val="none"/>
        </w:rPr>
      </w:pPr>
      <w:bookmarkStart w:id="59" w:name="_Toc306354309"/>
      <w:r>
        <w:rPr>
          <w:sz w:val="24"/>
          <w:szCs w:val="24"/>
          <w:highlight w:val="none"/>
        </w:rPr>
        <w:t>合同</w:t>
      </w:r>
      <w:r>
        <w:rPr>
          <w:rFonts w:hint="eastAsia"/>
          <w:sz w:val="24"/>
          <w:szCs w:val="24"/>
          <w:highlight w:val="none"/>
        </w:rPr>
        <w:t>总价</w:t>
      </w:r>
      <w:bookmarkEnd w:id="59"/>
    </w:p>
    <w:p w14:paraId="603A5ABD">
      <w:pPr>
        <w:numPr>
          <w:ilvl w:val="0"/>
          <w:numId w:val="5"/>
        </w:numPr>
        <w:tabs>
          <w:tab w:val="left" w:pos="567"/>
          <w:tab w:val="clear" w:pos="840"/>
        </w:tabs>
        <w:spacing w:before="72" w:beforeLines="30" w:after="72" w:afterLines="30" w:line="360" w:lineRule="auto"/>
        <w:ind w:left="567" w:hanging="567"/>
        <w:rPr>
          <w:sz w:val="24"/>
          <w:highlight w:val="none"/>
        </w:rPr>
      </w:pPr>
      <w:r>
        <w:rPr>
          <w:rFonts w:hint="eastAsia"/>
          <w:sz w:val="24"/>
          <w:highlight w:val="none"/>
        </w:rPr>
        <w:t>双方经协商一致，最终确定合同总价为</w:t>
      </w:r>
      <w:r>
        <w:rPr>
          <w:sz w:val="24"/>
          <w:highlight w:val="none"/>
        </w:rPr>
        <w:t>【</w:t>
      </w:r>
      <w:r>
        <w:rPr>
          <w:rFonts w:hint="eastAsia"/>
          <w:i/>
          <w:sz w:val="24"/>
          <w:highlight w:val="none"/>
        </w:rPr>
        <w:t>填入币种英文简写，如RMB</w:t>
      </w:r>
      <w:r>
        <w:rPr>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w:t>
      </w:r>
      <w:r>
        <w:rPr>
          <w:sz w:val="24"/>
          <w:highlight w:val="none"/>
        </w:rPr>
        <w:t>（大写：【</w:t>
      </w:r>
      <w:r>
        <w:rPr>
          <w:rFonts w:hint="eastAsia"/>
          <w:i/>
          <w:sz w:val="24"/>
          <w:highlight w:val="none"/>
        </w:rPr>
        <w:t>填入币种名称，如人民币</w:t>
      </w:r>
      <w:r>
        <w:rPr>
          <w:sz w:val="24"/>
          <w:highlight w:val="none"/>
        </w:rPr>
        <w:t>】</w:t>
      </w:r>
      <w:r>
        <w:rPr>
          <w:rFonts w:hint="eastAsia"/>
          <w:sz w:val="24"/>
          <w:highlight w:val="none"/>
        </w:rPr>
        <w:t>【</w:t>
      </w:r>
      <w:r>
        <w:rPr>
          <w:rFonts w:hint="eastAsia"/>
          <w:i/>
          <w:sz w:val="24"/>
          <w:highlight w:val="none"/>
        </w:rPr>
        <w:t>填入大写金额</w:t>
      </w:r>
      <w:r>
        <w:rPr>
          <w:rFonts w:hint="eastAsia"/>
          <w:sz w:val="24"/>
          <w:highlight w:val="none"/>
        </w:rPr>
        <w:t>】）。</w:t>
      </w:r>
      <w:bookmarkStart w:id="60" w:name="_Hlk41394068"/>
      <w:r>
        <w:rPr>
          <w:rFonts w:hint="eastAsia"/>
          <w:sz w:val="24"/>
          <w:highlight w:val="none"/>
        </w:rPr>
        <w:t>合同总价为含税（包括增值税）总金额。</w:t>
      </w:r>
      <w:r>
        <w:rPr>
          <w:rFonts w:hint="eastAsia" w:hAnsi="Garamond" w:cs="新宋体-18030"/>
          <w:sz w:val="24"/>
          <w:highlight w:val="none"/>
        </w:rPr>
        <w:t>其中，</w:t>
      </w:r>
      <w:r>
        <w:rPr>
          <w:rFonts w:hint="eastAsia"/>
          <w:sz w:val="24"/>
          <w:highlight w:val="none"/>
        </w:rPr>
        <w:t>不含增值税合同价款为</w:t>
      </w:r>
      <w:r>
        <w:rPr>
          <w:rFonts w:hint="eastAsia" w:hAnsi="宋体"/>
          <w:sz w:val="24"/>
          <w:highlight w:val="none"/>
        </w:rPr>
        <w:t>【</w:t>
      </w:r>
      <w:r>
        <w:rPr>
          <w:rFonts w:hint="eastAsia" w:hAnsi="宋体"/>
          <w:i/>
          <w:sz w:val="24"/>
          <w:highlight w:val="none"/>
        </w:rPr>
        <w:t>填入币种英文简写，如</w:t>
      </w:r>
      <w:r>
        <w:rPr>
          <w:rFonts w:hAnsi="宋体"/>
          <w:i/>
          <w:sz w:val="24"/>
          <w:highlight w:val="none"/>
        </w:rPr>
        <w:t>RMB</w:t>
      </w:r>
      <w:r>
        <w:rPr>
          <w:rFonts w:hint="eastAsia" w:hAnsi="宋体"/>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w:t>
      </w:r>
      <w:r>
        <w:rPr>
          <w:rFonts w:hint="eastAsia" w:hAnsi="宋体"/>
          <w:sz w:val="24"/>
          <w:highlight w:val="none"/>
        </w:rPr>
        <w:t>（大写：【</w:t>
      </w:r>
      <w:r>
        <w:rPr>
          <w:rFonts w:hint="eastAsia" w:hAnsi="宋体"/>
          <w:i/>
          <w:sz w:val="24"/>
          <w:highlight w:val="none"/>
        </w:rPr>
        <w:t>填入币种名称，如人民币</w:t>
      </w:r>
      <w:r>
        <w:rPr>
          <w:rFonts w:hint="eastAsia" w:hAnsi="宋体"/>
          <w:sz w:val="24"/>
          <w:highlight w:val="none"/>
        </w:rPr>
        <w:t>】【</w:t>
      </w:r>
      <w:r>
        <w:rPr>
          <w:rFonts w:hint="eastAsia" w:hAnsi="宋体"/>
          <w:i/>
          <w:sz w:val="24"/>
          <w:highlight w:val="none"/>
        </w:rPr>
        <w:t>填入大写金额</w:t>
      </w:r>
      <w:r>
        <w:rPr>
          <w:rFonts w:hint="eastAsia" w:hAnsi="宋体"/>
          <w:sz w:val="24"/>
          <w:highlight w:val="none"/>
        </w:rPr>
        <w:t>】），</w:t>
      </w:r>
      <w:r>
        <w:rPr>
          <w:rFonts w:hint="eastAsia"/>
          <w:sz w:val="24"/>
          <w:highlight w:val="none"/>
        </w:rPr>
        <w:t>增值税税率为【</w:t>
      </w:r>
      <w:r>
        <w:rPr>
          <w:rFonts w:hint="eastAsia"/>
          <w:i/>
          <w:sz w:val="24"/>
          <w:highlight w:val="none"/>
        </w:rPr>
        <w:t>填入增值税税率</w:t>
      </w:r>
      <w:r>
        <w:rPr>
          <w:rFonts w:hint="eastAsia"/>
          <w:sz w:val="24"/>
          <w:highlight w:val="none"/>
        </w:rPr>
        <w:t>】</w:t>
      </w:r>
      <w:r>
        <w:rPr>
          <w:sz w:val="24"/>
          <w:highlight w:val="none"/>
        </w:rPr>
        <w:t>%</w:t>
      </w:r>
      <w:r>
        <w:rPr>
          <w:rFonts w:hint="eastAsia" w:hAnsi="宋体"/>
          <w:sz w:val="24"/>
          <w:highlight w:val="none"/>
        </w:rPr>
        <w:t>。</w:t>
      </w:r>
      <w:bookmarkEnd w:id="60"/>
      <w:r>
        <w:rPr>
          <w:rFonts w:hint="eastAsia"/>
          <w:sz w:val="24"/>
          <w:highlight w:val="none"/>
        </w:rPr>
        <w:t>合同总价的各分项价格和组成为：</w:t>
      </w:r>
      <w:bookmarkStart w:id="61" w:name="OLE_LINK66"/>
      <w:bookmarkStart w:id="62" w:name="OLE_LINK37"/>
      <w:bookmarkStart w:id="63" w:name="OLE_LINK40"/>
      <w:bookmarkStart w:id="64" w:name="OLE_LINK67"/>
      <w:bookmarkStart w:id="65" w:name="OLE_LINK36"/>
      <w:bookmarkStart w:id="66" w:name="OLE_LINK39"/>
    </w:p>
    <w:p w14:paraId="7C97F6F4">
      <w:pPr>
        <w:tabs>
          <w:tab w:val="left" w:pos="567"/>
        </w:tabs>
        <w:spacing w:before="72" w:beforeLines="30" w:after="72" w:afterLines="30" w:line="360" w:lineRule="auto"/>
        <w:ind w:left="567"/>
        <w:rPr>
          <w:i/>
          <w:sz w:val="24"/>
          <w:highlight w:val="none"/>
          <w:u w:val="single"/>
        </w:rPr>
      </w:pPr>
      <w:r>
        <w:rPr>
          <w:rFonts w:hint="eastAsia"/>
          <w:i/>
          <w:sz w:val="24"/>
          <w:highlight w:val="none"/>
          <w:u w:val="single"/>
        </w:rPr>
        <w:t>请从下列选项中选择一项，并删除不适用的选项：</w:t>
      </w:r>
    </w:p>
    <w:p w14:paraId="2FADE1CD">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sz w:val="24"/>
          <w:highlight w:val="none"/>
        </w:rPr>
      </w:pPr>
      <w:r>
        <w:rPr>
          <w:rFonts w:hint="eastAsia"/>
          <w:i/>
          <w:sz w:val="24"/>
          <w:highlight w:val="none"/>
          <w:u w:val="single"/>
        </w:rPr>
        <w:t>选项一：</w:t>
      </w:r>
      <w:bookmarkEnd w:id="61"/>
      <w:bookmarkEnd w:id="62"/>
      <w:bookmarkEnd w:id="63"/>
      <w:bookmarkEnd w:id="64"/>
      <w:bookmarkEnd w:id="65"/>
      <w:bookmarkEnd w:id="66"/>
      <w:bookmarkStart w:id="67" w:name="OLE_LINK38"/>
      <w:r>
        <w:rPr>
          <w:rFonts w:hint="eastAsia"/>
          <w:i/>
          <w:sz w:val="24"/>
          <w:highlight w:val="none"/>
          <w:u w:val="single"/>
        </w:rPr>
        <w:t>直接填入</w:t>
      </w:r>
    </w:p>
    <w:p w14:paraId="3518657E">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sz w:val="24"/>
          <w:highlight w:val="none"/>
        </w:rPr>
      </w:pPr>
      <w:r>
        <w:rPr>
          <w:rFonts w:hint="eastAsia"/>
          <w:sz w:val="24"/>
          <w:highlight w:val="none"/>
        </w:rPr>
        <w:t>合同总价的各分项价格和组成</w:t>
      </w:r>
      <w:bookmarkEnd w:id="67"/>
      <w:r>
        <w:rPr>
          <w:rFonts w:hint="eastAsia"/>
          <w:sz w:val="24"/>
          <w:highlight w:val="none"/>
        </w:rPr>
        <w:t>为：</w:t>
      </w:r>
      <w:r>
        <w:rPr>
          <w:rFonts w:hint="eastAsia" w:hAnsi="宋体"/>
          <w:sz w:val="24"/>
          <w:highlight w:val="none"/>
        </w:rPr>
        <w:t>【</w:t>
      </w:r>
      <w:r>
        <w:rPr>
          <w:rFonts w:hint="eastAsia" w:hAnsi="宋体"/>
          <w:i/>
          <w:sz w:val="24"/>
          <w:highlight w:val="none"/>
        </w:rPr>
        <w:t>请填入</w:t>
      </w:r>
      <w:r>
        <w:rPr>
          <w:rFonts w:hint="eastAsia"/>
          <w:i/>
          <w:sz w:val="24"/>
          <w:highlight w:val="none"/>
        </w:rPr>
        <w:t>各分项价格和组成</w:t>
      </w:r>
      <w:r>
        <w:rPr>
          <w:rFonts w:hint="eastAsia" w:hAnsi="宋体"/>
          <w:sz w:val="24"/>
          <w:highlight w:val="none"/>
        </w:rPr>
        <w:t>】</w:t>
      </w:r>
      <w:r>
        <w:rPr>
          <w:rFonts w:hint="eastAsia"/>
          <w:sz w:val="24"/>
          <w:highlight w:val="none"/>
        </w:rPr>
        <w:t>。</w:t>
      </w:r>
    </w:p>
    <w:p w14:paraId="297E791D">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i/>
          <w:sz w:val="24"/>
          <w:highlight w:val="none"/>
          <w:u w:val="single"/>
        </w:rPr>
      </w:pPr>
      <w:r>
        <w:rPr>
          <w:rFonts w:hint="eastAsia"/>
          <w:i/>
          <w:sz w:val="24"/>
          <w:highlight w:val="none"/>
          <w:u w:val="single"/>
        </w:rPr>
        <w:t>选项二：附件中列明</w:t>
      </w:r>
    </w:p>
    <w:p w14:paraId="479938B5">
      <w:pPr>
        <w:widowControl/>
        <w:tabs>
          <w:tab w:val="left" w:pos="567"/>
          <w:tab w:val="left" w:pos="1800"/>
        </w:tabs>
        <w:autoSpaceDE w:val="0"/>
        <w:autoSpaceDN w:val="0"/>
        <w:adjustRightInd w:val="0"/>
        <w:spacing w:before="72" w:beforeLines="30" w:after="72" w:afterLines="30" w:line="360" w:lineRule="auto"/>
        <w:ind w:left="567"/>
        <w:textAlignment w:val="bottom"/>
        <w:rPr>
          <w:sz w:val="24"/>
          <w:highlight w:val="none"/>
        </w:rPr>
      </w:pPr>
      <w:r>
        <w:rPr>
          <w:rFonts w:hint="eastAsia"/>
          <w:sz w:val="24"/>
          <w:highlight w:val="none"/>
        </w:rPr>
        <w:t>合同总价的各分项价格和组成：【</w:t>
      </w:r>
      <w:r>
        <w:rPr>
          <w:rFonts w:hint="eastAsia"/>
          <w:i/>
          <w:sz w:val="24"/>
          <w:highlight w:val="none"/>
        </w:rPr>
        <w:t>详见本合同附件一</w:t>
      </w:r>
      <w:r>
        <w:rPr>
          <w:rFonts w:hint="eastAsia"/>
          <w:sz w:val="24"/>
          <w:highlight w:val="none"/>
        </w:rPr>
        <w:t>】。</w:t>
      </w:r>
    </w:p>
    <w:p w14:paraId="0B1D6273">
      <w:pPr>
        <w:numPr>
          <w:ilvl w:val="0"/>
          <w:numId w:val="5"/>
        </w:numPr>
        <w:tabs>
          <w:tab w:val="left" w:pos="567"/>
          <w:tab w:val="clear" w:pos="840"/>
        </w:tabs>
        <w:spacing w:before="72" w:beforeLines="30" w:after="72" w:afterLines="30" w:line="360" w:lineRule="auto"/>
        <w:ind w:left="567" w:hanging="567"/>
        <w:rPr>
          <w:rFonts w:ascii="Arial" w:hAnsi="Arial" w:cs="Arial"/>
          <w:sz w:val="24"/>
          <w:highlight w:val="none"/>
        </w:rPr>
      </w:pPr>
      <w:r>
        <w:rPr>
          <w:rFonts w:hint="eastAsia"/>
          <w:sz w:val="24"/>
          <w:highlight w:val="none"/>
        </w:rPr>
        <w:t>合同总价系卖方交付全部货物，完成全部工作，完整履行本合同，买方应当支付的全部金额。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sz w:val="24"/>
          <w:highlight w:val="none"/>
        </w:rPr>
        <w:t>卖方所有的风险、义务和责任，以及合同中明确说明由卖方承担的成本与费用</w:t>
      </w:r>
      <w:r>
        <w:rPr>
          <w:rFonts w:hint="eastAsia"/>
          <w:sz w:val="24"/>
          <w:highlight w:val="none"/>
        </w:rPr>
        <w:t>等。除买方同意某项费用属于额外的工作项目需另行支付费用外，买方不向卖方支付任何超出合同总价的</w:t>
      </w:r>
      <w:r>
        <w:rPr>
          <w:rFonts w:hint="eastAsia" w:ascii="Arial" w:hAnsi="Arial" w:cs="Arial"/>
          <w:sz w:val="24"/>
          <w:highlight w:val="none"/>
        </w:rPr>
        <w:t>款项。</w:t>
      </w:r>
      <w:r>
        <w:rPr>
          <w:rFonts w:hint="eastAsia"/>
          <w:sz w:val="24"/>
          <w:highlight w:val="none"/>
        </w:rPr>
        <w:t>为免疑义，如果增值税税率因国家增值税税率调整而发生变化，合同总价自动调整，但不含增值税的合同价款保持不变。</w:t>
      </w:r>
    </w:p>
    <w:p w14:paraId="123286A3">
      <w:pPr>
        <w:numPr>
          <w:ilvl w:val="0"/>
          <w:numId w:val="5"/>
        </w:numPr>
        <w:tabs>
          <w:tab w:val="left" w:pos="567"/>
          <w:tab w:val="clear" w:pos="840"/>
        </w:tabs>
        <w:spacing w:before="72" w:beforeLines="30" w:after="72" w:afterLines="30" w:line="360" w:lineRule="auto"/>
        <w:ind w:left="567" w:hanging="567"/>
        <w:rPr>
          <w:sz w:val="24"/>
          <w:highlight w:val="none"/>
        </w:rPr>
      </w:pPr>
      <w:r>
        <w:rPr>
          <w:rFonts w:hint="eastAsia" w:ascii="Arial" w:hAnsi="Arial" w:cs="Arial"/>
          <w:sz w:val="24"/>
          <w:highlight w:val="none"/>
        </w:rPr>
        <w:t>双方应根据法律法规各自承担其应承担的与本合同有关的所有税费。</w:t>
      </w:r>
      <w:r>
        <w:rPr>
          <w:rFonts w:hint="eastAsia"/>
          <w:sz w:val="24"/>
          <w:highlight w:val="none"/>
        </w:rPr>
        <w:t>买方有权根据法律法规和本合同的规定从应支付给卖方的合同总价中扣除应由买方代扣、代缴的卖方应付税费，但应向卖方提供完税证明。</w:t>
      </w:r>
    </w:p>
    <w:p w14:paraId="1B88D037">
      <w:pPr>
        <w:pStyle w:val="11"/>
        <w:numPr>
          <w:ilvl w:val="0"/>
          <w:numId w:val="3"/>
        </w:numPr>
        <w:spacing w:before="72" w:beforeLines="30" w:after="72" w:afterLines="30" w:line="360" w:lineRule="auto"/>
        <w:ind w:left="709" w:hanging="709"/>
        <w:jc w:val="left"/>
        <w:rPr>
          <w:sz w:val="24"/>
          <w:szCs w:val="24"/>
          <w:highlight w:val="none"/>
        </w:rPr>
      </w:pPr>
      <w:r>
        <w:rPr>
          <w:rFonts w:hint="eastAsia"/>
          <w:sz w:val="24"/>
          <w:szCs w:val="24"/>
          <w:highlight w:val="none"/>
        </w:rPr>
        <w:t>付款</w:t>
      </w:r>
    </w:p>
    <w:p w14:paraId="331B1503">
      <w:pPr>
        <w:pStyle w:val="39"/>
        <w:numPr>
          <w:ilvl w:val="0"/>
          <w:numId w:val="6"/>
        </w:numPr>
        <w:tabs>
          <w:tab w:val="left" w:pos="851"/>
        </w:tabs>
        <w:adjustRightInd w:val="0"/>
        <w:spacing w:line="360" w:lineRule="auto"/>
        <w:ind w:firstLineChars="0"/>
        <w:contextualSpacing/>
        <w:rPr>
          <w:rFonts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支付货币：</w:t>
      </w:r>
    </w:p>
    <w:p w14:paraId="76339E04">
      <w:pPr>
        <w:pStyle w:val="39"/>
        <w:tabs>
          <w:tab w:val="left" w:pos="567"/>
        </w:tabs>
        <w:adjustRightInd w:val="0"/>
        <w:spacing w:line="360" w:lineRule="auto"/>
        <w:ind w:left="849" w:leftChars="320" w:hanging="177" w:hangingChars="74"/>
        <w:contextualSpacing/>
        <w:rPr>
          <w:rFonts w:ascii="宋体" w:hAnsi="宋体"/>
          <w:sz w:val="24"/>
          <w:highlight w:val="none"/>
        </w:rPr>
      </w:pPr>
      <w:r>
        <w:rPr>
          <w:rFonts w:hint="eastAsia" w:ascii="宋体" w:hAnsi="宋体"/>
          <w:bCs/>
          <w:i/>
          <w:kern w:val="0"/>
          <w:sz w:val="24"/>
          <w:highlight w:val="none"/>
          <w:u w:val="single"/>
        </w:rPr>
        <w:t>请根据实际情况从下列选项中选择其中一项，并将不适用的删除</w:t>
      </w:r>
    </w:p>
    <w:p w14:paraId="45071419">
      <w:pPr>
        <w:widowControl/>
        <w:tabs>
          <w:tab w:val="left" w:pos="567"/>
        </w:tabs>
        <w:adjustRightInd w:val="0"/>
        <w:spacing w:line="360" w:lineRule="auto"/>
        <w:ind w:left="672" w:leftChars="320" w:firstLine="36" w:firstLineChars="15"/>
        <w:contextualSpacing/>
        <w:jc w:val="left"/>
        <w:rPr>
          <w:color w:val="000000"/>
          <w:sz w:val="24"/>
          <w:highlight w:val="none"/>
        </w:rPr>
      </w:pPr>
      <w:r>
        <w:rPr>
          <w:rFonts w:hint="eastAsia"/>
          <w:color w:val="000000"/>
          <w:sz w:val="24"/>
          <w:highlight w:val="none"/>
        </w:rPr>
        <w:t>选项一：</w:t>
      </w:r>
      <w:r>
        <w:rPr>
          <w:color w:val="000000"/>
          <w:sz w:val="24"/>
          <w:highlight w:val="none"/>
        </w:rPr>
        <w:t xml:space="preserve"> </w:t>
      </w:r>
    </w:p>
    <w:p w14:paraId="595CF94B">
      <w:pPr>
        <w:pStyle w:val="39"/>
        <w:widowControl/>
        <w:tabs>
          <w:tab w:val="left" w:pos="567"/>
        </w:tabs>
        <w:adjustRightInd w:val="0"/>
        <w:spacing w:line="360" w:lineRule="auto"/>
        <w:ind w:left="672" w:leftChars="320" w:firstLine="36" w:firstLineChars="15"/>
        <w:contextualSpacing/>
        <w:jc w:val="left"/>
        <w:rPr>
          <w:rFonts w:ascii="宋体" w:hAnsi="宋体" w:cs="Arial"/>
          <w:bCs/>
          <w:color w:val="44546A"/>
          <w:kern w:val="0"/>
          <w:sz w:val="24"/>
          <w:highlight w:val="none"/>
        </w:rPr>
      </w:pPr>
      <w:r>
        <w:rPr>
          <w:rFonts w:hint="eastAsia"/>
          <w:sz w:val="24"/>
          <w:highlight w:val="none"/>
        </w:rPr>
        <w:t>本合同项下的所有应付款项均应以</w:t>
      </w:r>
      <w:r>
        <w:rPr>
          <w:rFonts w:hint="eastAsia" w:ascii="宋体" w:hAnsi="宋体" w:cs="Arial"/>
          <w:color w:val="44546A"/>
          <w:kern w:val="0"/>
          <w:sz w:val="24"/>
          <w:highlight w:val="none"/>
        </w:rPr>
        <w:t>【</w:t>
      </w:r>
      <w:r>
        <w:rPr>
          <w:rFonts w:hint="eastAsia" w:ascii="宋体" w:hAnsi="宋体" w:cs="Arial"/>
          <w:i/>
          <w:iCs/>
          <w:color w:val="44546A"/>
          <w:kern w:val="0"/>
          <w:sz w:val="24"/>
          <w:highlight w:val="none"/>
        </w:rPr>
        <w:t>人民币</w:t>
      </w:r>
      <w:r>
        <w:rPr>
          <w:rFonts w:hint="eastAsia" w:ascii="宋体" w:hAnsi="宋体" w:cs="Arial"/>
          <w:color w:val="44546A"/>
          <w:kern w:val="0"/>
          <w:sz w:val="24"/>
          <w:highlight w:val="none"/>
        </w:rPr>
        <w:t>】</w:t>
      </w:r>
      <w:r>
        <w:rPr>
          <w:rFonts w:hint="eastAsia"/>
          <w:sz w:val="24"/>
          <w:highlight w:val="none"/>
        </w:rPr>
        <w:t>支付。</w:t>
      </w:r>
    </w:p>
    <w:p w14:paraId="27FC85B3">
      <w:pPr>
        <w:widowControl/>
        <w:tabs>
          <w:tab w:val="left" w:pos="567"/>
        </w:tabs>
        <w:adjustRightInd w:val="0"/>
        <w:spacing w:line="360" w:lineRule="auto"/>
        <w:ind w:left="672" w:leftChars="320" w:firstLine="36" w:firstLineChars="15"/>
        <w:contextualSpacing/>
        <w:jc w:val="left"/>
        <w:rPr>
          <w:color w:val="000000"/>
          <w:sz w:val="24"/>
          <w:highlight w:val="none"/>
        </w:rPr>
      </w:pPr>
      <w:r>
        <w:rPr>
          <w:rFonts w:hint="eastAsia"/>
          <w:color w:val="000000"/>
          <w:sz w:val="24"/>
          <w:highlight w:val="none"/>
        </w:rPr>
        <w:t>选项二：</w:t>
      </w:r>
      <w:r>
        <w:rPr>
          <w:color w:val="000000"/>
          <w:sz w:val="24"/>
          <w:highlight w:val="none"/>
        </w:rPr>
        <w:t xml:space="preserve"> </w:t>
      </w:r>
    </w:p>
    <w:p w14:paraId="478F83FE">
      <w:pPr>
        <w:widowControl/>
        <w:tabs>
          <w:tab w:val="left" w:pos="567"/>
        </w:tabs>
        <w:adjustRightInd w:val="0"/>
        <w:spacing w:line="360" w:lineRule="auto"/>
        <w:ind w:left="672" w:leftChars="320"/>
        <w:contextualSpacing/>
        <w:jc w:val="left"/>
        <w:rPr>
          <w:rFonts w:ascii="宋体" w:hAnsi="宋体" w:cs="Arial"/>
          <w:bCs/>
          <w:color w:val="44546A"/>
          <w:kern w:val="0"/>
          <w:sz w:val="24"/>
          <w:highlight w:val="none"/>
        </w:rPr>
      </w:pPr>
      <w:r>
        <w:rPr>
          <w:rFonts w:hint="eastAsia"/>
          <w:sz w:val="24"/>
          <w:highlight w:val="none"/>
        </w:rPr>
        <w:t>本合同项下的所有应付款项均应以美元支付，前提是如任何付款的一方受适用的法律限制而无法支付美元，则其有权以等值的</w:t>
      </w:r>
      <w:r>
        <w:rPr>
          <w:rFonts w:hint="eastAsia" w:ascii="宋体" w:hAnsi="宋体" w:cs="Arial"/>
          <w:color w:val="44546A"/>
          <w:kern w:val="0"/>
          <w:sz w:val="24"/>
          <w:highlight w:val="none"/>
        </w:rPr>
        <w:t>【</w:t>
      </w:r>
      <w:r>
        <w:rPr>
          <w:rFonts w:hint="eastAsia" w:ascii="宋体" w:hAnsi="宋体" w:cs="Arial"/>
          <w:i/>
          <w:iCs/>
          <w:color w:val="44546A"/>
          <w:kern w:val="0"/>
          <w:sz w:val="24"/>
          <w:highlight w:val="none"/>
        </w:rPr>
        <w:t>人民币</w:t>
      </w:r>
      <w:r>
        <w:rPr>
          <w:rFonts w:hint="eastAsia" w:ascii="宋体" w:hAnsi="宋体" w:cs="Arial"/>
          <w:color w:val="44546A"/>
          <w:kern w:val="0"/>
          <w:sz w:val="24"/>
          <w:highlight w:val="none"/>
        </w:rPr>
        <w:t>】</w:t>
      </w:r>
      <w:r>
        <w:rPr>
          <w:rFonts w:hint="eastAsia"/>
          <w:sz w:val="24"/>
          <w:highlight w:val="none"/>
        </w:rPr>
        <w:t>进行支付。</w:t>
      </w:r>
    </w:p>
    <w:p w14:paraId="0DC35D46">
      <w:pPr>
        <w:numPr>
          <w:ilvl w:val="0"/>
          <w:numId w:val="6"/>
        </w:numPr>
        <w:tabs>
          <w:tab w:val="left" w:pos="709"/>
        </w:tabs>
        <w:spacing w:before="72" w:beforeLines="30" w:after="72" w:afterLines="30" w:line="360" w:lineRule="auto"/>
        <w:rPr>
          <w:sz w:val="24"/>
          <w:highlight w:val="none"/>
        </w:rPr>
      </w:pPr>
      <w:r>
        <w:rPr>
          <w:rFonts w:hint="eastAsia"/>
          <w:sz w:val="24"/>
          <w:highlight w:val="none"/>
        </w:rPr>
        <w:t>本合同项下的</w:t>
      </w:r>
      <w:r>
        <w:rPr>
          <w:color w:val="000000"/>
          <w:sz w:val="24"/>
          <w:highlight w:val="none"/>
        </w:rPr>
        <w:t>付款方式</w:t>
      </w:r>
      <w:r>
        <w:rPr>
          <w:rFonts w:hint="eastAsia"/>
          <w:color w:val="000000"/>
          <w:sz w:val="24"/>
          <w:highlight w:val="none"/>
        </w:rPr>
        <w:t>为</w:t>
      </w:r>
      <w:r>
        <w:rPr>
          <w:color w:val="000000"/>
          <w:sz w:val="24"/>
          <w:highlight w:val="none"/>
        </w:rPr>
        <w:t>：</w:t>
      </w:r>
      <w:r>
        <w:rPr>
          <w:rFonts w:hint="eastAsia"/>
          <w:color w:val="000000"/>
          <w:sz w:val="24"/>
          <w:highlight w:val="none"/>
        </w:rPr>
        <w:t>【□</w:t>
      </w:r>
      <w:r>
        <w:rPr>
          <w:color w:val="000000"/>
          <w:sz w:val="24"/>
          <w:highlight w:val="none"/>
        </w:rPr>
        <w:t>银行电汇；</w:t>
      </w:r>
      <w:r>
        <w:rPr>
          <w:rFonts w:hint="eastAsia"/>
          <w:color w:val="000000"/>
          <w:sz w:val="24"/>
          <w:highlight w:val="none"/>
        </w:rPr>
        <w:t>□其他</w:t>
      </w:r>
      <w:r>
        <w:rPr>
          <w:rFonts w:hint="eastAsia"/>
          <w:color w:val="000000"/>
          <w:sz w:val="24"/>
          <w:highlight w:val="none"/>
          <w:u w:val="single"/>
        </w:rPr>
        <w:t xml:space="preserve">    </w:t>
      </w:r>
      <w:r>
        <w:rPr>
          <w:rFonts w:hint="eastAsia"/>
          <w:color w:val="000000"/>
          <w:sz w:val="24"/>
          <w:highlight w:val="none"/>
        </w:rPr>
        <w:t>】。</w:t>
      </w:r>
    </w:p>
    <w:p w14:paraId="0D59CCC2">
      <w:pPr>
        <w:numPr>
          <w:ilvl w:val="0"/>
          <w:numId w:val="6"/>
        </w:numPr>
        <w:tabs>
          <w:tab w:val="left" w:pos="709"/>
        </w:tabs>
        <w:spacing w:before="72" w:beforeLines="30" w:after="72" w:afterLines="30" w:line="360" w:lineRule="auto"/>
        <w:rPr>
          <w:color w:val="000000"/>
          <w:sz w:val="24"/>
          <w:highlight w:val="none"/>
        </w:rPr>
      </w:pPr>
      <w:r>
        <w:rPr>
          <w:rFonts w:hint="eastAsia"/>
          <w:color w:val="000000"/>
          <w:sz w:val="24"/>
          <w:highlight w:val="none"/>
        </w:rPr>
        <w:t>付款进度</w:t>
      </w:r>
    </w:p>
    <w:p w14:paraId="3AD8157D">
      <w:pPr>
        <w:tabs>
          <w:tab w:val="left" w:pos="567"/>
        </w:tabs>
        <w:spacing w:before="72" w:beforeLines="30" w:after="72" w:afterLines="30" w:line="360" w:lineRule="auto"/>
        <w:ind w:left="567"/>
        <w:rPr>
          <w:rFonts w:asciiTheme="minorEastAsia" w:hAnsiTheme="minorEastAsia" w:eastAsiaTheme="minorEastAsia"/>
          <w:i/>
          <w:color w:val="000000"/>
          <w:sz w:val="24"/>
          <w:highlight w:val="none"/>
          <w:u w:val="single"/>
        </w:rPr>
      </w:pPr>
      <w:r>
        <w:rPr>
          <w:rFonts w:hint="eastAsia" w:asciiTheme="minorEastAsia" w:hAnsiTheme="minorEastAsia" w:eastAsiaTheme="minorEastAsia"/>
          <w:i/>
          <w:color w:val="000000"/>
          <w:sz w:val="24"/>
          <w:highlight w:val="none"/>
          <w:u w:val="single"/>
        </w:rPr>
        <w:t>选项一：直接填入付款进度</w:t>
      </w:r>
    </w:p>
    <w:p w14:paraId="7646082B">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付款进度为：【</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14:paraId="1FF12E3C">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14:paraId="64478B8C">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14:paraId="0B47EC61">
      <w:pPr>
        <w:tabs>
          <w:tab w:val="left" w:pos="567"/>
        </w:tabs>
        <w:spacing w:before="72" w:beforeLines="30" w:after="72" w:afterLines="30" w:line="360" w:lineRule="auto"/>
        <w:ind w:left="567"/>
        <w:rPr>
          <w:rFonts w:asciiTheme="minorEastAsia" w:hAnsiTheme="minorEastAsia" w:eastAsiaTheme="minorEastAsia"/>
          <w:i/>
          <w:color w:val="000000"/>
          <w:sz w:val="24"/>
          <w:highlight w:val="none"/>
          <w:u w:val="single"/>
        </w:rPr>
      </w:pPr>
      <w:r>
        <w:rPr>
          <w:rFonts w:hint="eastAsia" w:asciiTheme="minorEastAsia" w:hAnsiTheme="minorEastAsia" w:eastAsiaTheme="minorEastAsia"/>
          <w:i/>
          <w:color w:val="000000"/>
          <w:sz w:val="24"/>
          <w:highlight w:val="none"/>
          <w:u w:val="single"/>
        </w:rPr>
        <w:t>选项二：到货验收付款+质保金</w:t>
      </w:r>
    </w:p>
    <w:p w14:paraId="24789850">
      <w:pPr>
        <w:pStyle w:val="39"/>
        <w:numPr>
          <w:ilvl w:val="0"/>
          <w:numId w:val="7"/>
        </w:numPr>
        <w:tabs>
          <w:tab w:val="left" w:pos="567"/>
        </w:tabs>
        <w:spacing w:before="72" w:beforeLines="30" w:after="72" w:afterLines="30" w:line="360" w:lineRule="auto"/>
        <w:ind w:firstLineChars="0"/>
        <w:rPr>
          <w:sz w:val="24"/>
          <w:highlight w:val="none"/>
        </w:rPr>
      </w:pPr>
      <w:r>
        <w:rPr>
          <w:rFonts w:hint="eastAsia" w:asciiTheme="minorEastAsia" w:hAnsiTheme="minorEastAsia" w:eastAsiaTheme="minorEastAsia"/>
          <w:sz w:val="24"/>
          <w:highlight w:val="none"/>
        </w:rPr>
        <w:t>卖方在合同规定的期限内将货物运至交货地点，买方在收到货物并签发验收证明后</w:t>
      </w:r>
      <w:r>
        <w:rPr>
          <w:rFonts w:hint="eastAsia"/>
          <w:sz w:val="24"/>
          <w:highlight w:val="none"/>
        </w:rPr>
        <w:t>【</w:t>
      </w:r>
      <w:r>
        <w:rPr>
          <w:rFonts w:hint="eastAsia"/>
          <w:i/>
          <w:sz w:val="24"/>
          <w:highlight w:val="none"/>
        </w:rPr>
        <w:t>填入天数</w:t>
      </w:r>
      <w:r>
        <w:rPr>
          <w:rFonts w:hint="eastAsia"/>
          <w:sz w:val="24"/>
          <w:highlight w:val="none"/>
        </w:rPr>
        <w:t>】</w:t>
      </w:r>
      <w:r>
        <w:rPr>
          <w:rFonts w:hAnsi="宋体"/>
          <w:sz w:val="24"/>
          <w:highlight w:val="none"/>
        </w:rPr>
        <w:t>日内</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买方</w:t>
      </w:r>
      <w:r>
        <w:rPr>
          <w:rFonts w:asciiTheme="minorEastAsia" w:hAnsiTheme="minorEastAsia" w:eastAsiaTheme="minorEastAsia"/>
          <w:sz w:val="24"/>
          <w:highlight w:val="none"/>
        </w:rPr>
        <w:t>支付</w:t>
      </w:r>
      <w:r>
        <w:rPr>
          <w:rFonts w:hint="eastAsia" w:asciiTheme="minorEastAsia" w:hAnsiTheme="minorEastAsia" w:eastAsiaTheme="minorEastAsia"/>
          <w:sz w:val="24"/>
          <w:highlight w:val="none"/>
        </w:rPr>
        <w:t>合同</w:t>
      </w:r>
      <w:r>
        <w:rPr>
          <w:rFonts w:asciiTheme="minorEastAsia" w:hAnsiTheme="minorEastAsia" w:eastAsiaTheme="minorEastAsia"/>
          <w:sz w:val="24"/>
          <w:highlight w:val="none"/>
        </w:rPr>
        <w:t>总价的</w:t>
      </w:r>
      <w:r>
        <w:rPr>
          <w:rFonts w:hint="eastAsia"/>
          <w:sz w:val="24"/>
          <w:highlight w:val="none"/>
        </w:rPr>
        <w:t>【</w:t>
      </w:r>
      <w:r>
        <w:rPr>
          <w:rFonts w:hint="eastAsia"/>
          <w:i/>
          <w:sz w:val="24"/>
          <w:highlight w:val="none"/>
        </w:rPr>
        <w:t>填入百分比</w:t>
      </w:r>
      <w:r>
        <w:rPr>
          <w:rFonts w:hint="eastAsia"/>
          <w:sz w:val="24"/>
          <w:highlight w:val="none"/>
        </w:rPr>
        <w:t>】</w:t>
      </w:r>
      <w:r>
        <w:rPr>
          <w:rFonts w:hAnsi="宋体"/>
          <w:sz w:val="24"/>
          <w:highlight w:val="none"/>
        </w:rPr>
        <w:t>，即</w:t>
      </w:r>
      <w:r>
        <w:rPr>
          <w:rFonts w:hint="eastAsia"/>
          <w:sz w:val="24"/>
          <w:highlight w:val="none"/>
        </w:rPr>
        <w:t>【</w:t>
      </w:r>
      <w:r>
        <w:rPr>
          <w:rFonts w:hint="eastAsia"/>
          <w:i/>
          <w:sz w:val="24"/>
          <w:highlight w:val="none"/>
        </w:rPr>
        <w:t>填入币种英文简写，如</w:t>
      </w:r>
      <w:r>
        <w:rPr>
          <w:i/>
          <w:sz w:val="24"/>
          <w:highlight w:val="none"/>
        </w:rPr>
        <w:t>RMB</w:t>
      </w:r>
      <w:r>
        <w:rPr>
          <w:rFonts w:hint="eastAsia"/>
          <w:sz w:val="24"/>
          <w:highlight w:val="none"/>
        </w:rPr>
        <w:t>】【</w:t>
      </w:r>
      <w:r>
        <w:rPr>
          <w:rFonts w:hint="eastAsia"/>
          <w:i/>
          <w:sz w:val="24"/>
          <w:highlight w:val="none"/>
        </w:rPr>
        <w:t>填入小写金额</w:t>
      </w:r>
      <w:r>
        <w:rPr>
          <w:rFonts w:hint="eastAsia"/>
          <w:sz w:val="24"/>
          <w:highlight w:val="none"/>
        </w:rPr>
        <w:t>】（大写：【</w:t>
      </w:r>
      <w:r>
        <w:rPr>
          <w:rFonts w:hint="eastAsia"/>
          <w:i/>
          <w:sz w:val="24"/>
          <w:highlight w:val="none"/>
        </w:rPr>
        <w:t>填入币种名称，如人民币</w:t>
      </w:r>
      <w:r>
        <w:rPr>
          <w:rFonts w:hint="eastAsia"/>
          <w:sz w:val="24"/>
          <w:highlight w:val="none"/>
        </w:rPr>
        <w:t>】【</w:t>
      </w:r>
      <w:r>
        <w:rPr>
          <w:rFonts w:hint="eastAsia"/>
          <w:i/>
          <w:sz w:val="24"/>
          <w:highlight w:val="none"/>
        </w:rPr>
        <w:t>填入大写金额</w:t>
      </w:r>
      <w:r>
        <w:rPr>
          <w:rFonts w:hint="eastAsia"/>
          <w:sz w:val="24"/>
          <w:highlight w:val="none"/>
        </w:rPr>
        <w:t>】）</w:t>
      </w:r>
      <w:r>
        <w:rPr>
          <w:rFonts w:hAnsi="宋体"/>
          <w:sz w:val="24"/>
          <w:highlight w:val="none"/>
        </w:rPr>
        <w:t>。</w:t>
      </w:r>
    </w:p>
    <w:p w14:paraId="42CFB5E5">
      <w:pPr>
        <w:pStyle w:val="39"/>
        <w:numPr>
          <w:ilvl w:val="0"/>
          <w:numId w:val="7"/>
        </w:numPr>
        <w:tabs>
          <w:tab w:val="left" w:pos="567"/>
        </w:tabs>
        <w:spacing w:before="72" w:beforeLines="30" w:after="72" w:afterLines="30" w:line="360" w:lineRule="auto"/>
        <w:ind w:firstLineChars="0"/>
        <w:rPr>
          <w:i/>
          <w:sz w:val="24"/>
          <w:highlight w:val="none"/>
        </w:rPr>
      </w:pPr>
      <w:r>
        <w:rPr>
          <w:sz w:val="24"/>
          <w:highlight w:val="none"/>
        </w:rPr>
        <w:t>合同总价的</w:t>
      </w:r>
      <w:r>
        <w:rPr>
          <w:rFonts w:hint="eastAsia"/>
          <w:sz w:val="24"/>
          <w:highlight w:val="none"/>
        </w:rPr>
        <w:t>【</w:t>
      </w:r>
      <w:r>
        <w:rPr>
          <w:rFonts w:hint="eastAsia"/>
          <w:i/>
          <w:sz w:val="24"/>
          <w:highlight w:val="none"/>
        </w:rPr>
        <w:t>填入百分比</w:t>
      </w:r>
      <w:r>
        <w:rPr>
          <w:rFonts w:hint="eastAsia"/>
          <w:sz w:val="24"/>
          <w:highlight w:val="none"/>
        </w:rPr>
        <w:t>】，</w:t>
      </w:r>
      <w:r>
        <w:rPr>
          <w:sz w:val="24"/>
          <w:highlight w:val="none"/>
        </w:rPr>
        <w:t>即</w:t>
      </w:r>
      <w:r>
        <w:rPr>
          <w:rFonts w:hint="eastAsia"/>
          <w:sz w:val="24"/>
          <w:highlight w:val="none"/>
        </w:rPr>
        <w:t>【</w:t>
      </w:r>
      <w:r>
        <w:rPr>
          <w:rFonts w:hint="eastAsia"/>
          <w:i/>
          <w:sz w:val="24"/>
          <w:highlight w:val="none"/>
        </w:rPr>
        <w:t>填入币种英文简写，如</w:t>
      </w:r>
      <w:r>
        <w:rPr>
          <w:i/>
          <w:sz w:val="24"/>
          <w:highlight w:val="none"/>
        </w:rPr>
        <w:t>RMB</w:t>
      </w:r>
      <w:r>
        <w:rPr>
          <w:rFonts w:hint="eastAsia"/>
          <w:sz w:val="24"/>
          <w:highlight w:val="none"/>
        </w:rPr>
        <w:t>】【</w:t>
      </w:r>
      <w:r>
        <w:rPr>
          <w:rFonts w:hint="eastAsia"/>
          <w:i/>
          <w:sz w:val="24"/>
          <w:highlight w:val="none"/>
        </w:rPr>
        <w:t>填入小写金额</w:t>
      </w:r>
      <w:r>
        <w:rPr>
          <w:rFonts w:hint="eastAsia"/>
          <w:sz w:val="24"/>
          <w:highlight w:val="none"/>
        </w:rPr>
        <w:t>】（大写：【</w:t>
      </w:r>
      <w:r>
        <w:rPr>
          <w:rFonts w:hint="eastAsia"/>
          <w:i/>
          <w:sz w:val="24"/>
          <w:highlight w:val="none"/>
        </w:rPr>
        <w:t>填入币种名称，如人民币</w:t>
      </w:r>
      <w:r>
        <w:rPr>
          <w:rFonts w:hint="eastAsia"/>
          <w:sz w:val="24"/>
          <w:highlight w:val="none"/>
        </w:rPr>
        <w:t>】【</w:t>
      </w:r>
      <w:r>
        <w:rPr>
          <w:rFonts w:hint="eastAsia"/>
          <w:i/>
          <w:sz w:val="24"/>
          <w:highlight w:val="none"/>
        </w:rPr>
        <w:t>填入大写金额</w:t>
      </w:r>
      <w:r>
        <w:rPr>
          <w:rFonts w:hint="eastAsia"/>
          <w:sz w:val="24"/>
          <w:highlight w:val="none"/>
        </w:rPr>
        <w:t>】）</w:t>
      </w:r>
      <w:r>
        <w:rPr>
          <w:sz w:val="24"/>
          <w:highlight w:val="none"/>
        </w:rPr>
        <w:t>作为质保金</w:t>
      </w:r>
      <w:r>
        <w:rPr>
          <w:rFonts w:hint="eastAsia"/>
          <w:sz w:val="24"/>
          <w:highlight w:val="none"/>
        </w:rPr>
        <w:t>。货物质保期结束且卖方收到买方签发的货物最终接受证书后【</w:t>
      </w:r>
      <w:r>
        <w:rPr>
          <w:rFonts w:hint="eastAsia"/>
          <w:i/>
          <w:sz w:val="24"/>
          <w:highlight w:val="none"/>
        </w:rPr>
        <w:t>填入天数</w:t>
      </w:r>
      <w:r>
        <w:rPr>
          <w:rFonts w:hint="eastAsia"/>
          <w:sz w:val="24"/>
          <w:highlight w:val="none"/>
        </w:rPr>
        <w:t>】日内，买方支付该等质保金。</w:t>
      </w:r>
    </w:p>
    <w:p w14:paraId="216BC181">
      <w:pPr>
        <w:tabs>
          <w:tab w:val="left" w:pos="567"/>
        </w:tabs>
        <w:spacing w:before="72" w:beforeLines="30" w:after="72" w:afterLines="30" w:line="360" w:lineRule="auto"/>
        <w:ind w:left="567"/>
        <w:rPr>
          <w:i/>
          <w:color w:val="000000"/>
          <w:sz w:val="24"/>
          <w:highlight w:val="none"/>
          <w:u w:val="single"/>
        </w:rPr>
      </w:pPr>
      <w:r>
        <w:rPr>
          <w:rFonts w:hint="eastAsia"/>
          <w:i/>
          <w:color w:val="000000"/>
          <w:sz w:val="24"/>
          <w:highlight w:val="none"/>
          <w:u w:val="single"/>
        </w:rPr>
        <w:t>选项三：到货验收后一次性付清款项</w:t>
      </w:r>
    </w:p>
    <w:p w14:paraId="6EED1A9C">
      <w:pPr>
        <w:tabs>
          <w:tab w:val="left" w:pos="567"/>
        </w:tabs>
        <w:spacing w:before="72" w:beforeLines="30" w:after="72" w:afterLines="30" w:line="360" w:lineRule="auto"/>
        <w:ind w:left="567"/>
        <w:rPr>
          <w:rFonts w:asciiTheme="minorEastAsia" w:hAnsiTheme="minorEastAsia" w:eastAsiaTheme="minorEastAsia"/>
          <w:color w:val="000000"/>
          <w:sz w:val="24"/>
          <w:highlight w:val="none"/>
        </w:rPr>
      </w:pPr>
      <w:r>
        <w:rPr>
          <w:rFonts w:hint="eastAsia" w:asciiTheme="minorEastAsia" w:hAnsiTheme="minorEastAsia" w:eastAsiaTheme="minorEastAsia"/>
          <w:sz w:val="24"/>
          <w:highlight w:val="none"/>
        </w:rPr>
        <w:t>卖方在合同规定的期限内将货物运至交货地点，买方在收到货物并签发验收证明后</w:t>
      </w:r>
      <w:r>
        <w:rPr>
          <w:rFonts w:hint="eastAsia"/>
          <w:sz w:val="24"/>
          <w:highlight w:val="none"/>
        </w:rPr>
        <w:t>【</w:t>
      </w:r>
      <w:r>
        <w:rPr>
          <w:rFonts w:hint="eastAsia"/>
          <w:i/>
          <w:sz w:val="24"/>
          <w:highlight w:val="none"/>
        </w:rPr>
        <w:t>填入天数</w:t>
      </w:r>
      <w:r>
        <w:rPr>
          <w:rFonts w:hint="eastAsia"/>
          <w:sz w:val="24"/>
          <w:highlight w:val="none"/>
        </w:rPr>
        <w:t>】</w:t>
      </w:r>
      <w:r>
        <w:rPr>
          <w:rFonts w:hAnsi="宋体"/>
          <w:sz w:val="24"/>
          <w:highlight w:val="none"/>
        </w:rPr>
        <w:t>日内</w:t>
      </w:r>
      <w:r>
        <w:rPr>
          <w:rFonts w:hint="eastAsia" w:asciiTheme="minorEastAsia" w:hAnsiTheme="minorEastAsia" w:eastAsiaTheme="minorEastAsia"/>
          <w:color w:val="000000"/>
          <w:sz w:val="24"/>
          <w:highlight w:val="none"/>
        </w:rPr>
        <w:t>，买方一次性付清全部合同价款。</w:t>
      </w:r>
    </w:p>
    <w:p w14:paraId="14914556">
      <w:pPr>
        <w:numPr>
          <w:ilvl w:val="0"/>
          <w:numId w:val="6"/>
        </w:numPr>
        <w:tabs>
          <w:tab w:val="left" w:pos="567"/>
        </w:tabs>
        <w:spacing w:before="72" w:beforeLines="30" w:after="72" w:afterLines="30" w:line="360" w:lineRule="auto"/>
        <w:rPr>
          <w:color w:val="000000"/>
          <w:sz w:val="24"/>
          <w:highlight w:val="none"/>
        </w:rPr>
      </w:pPr>
      <w:bookmarkStart w:id="68" w:name="OLE_LINK92"/>
      <w:bookmarkStart w:id="69" w:name="OLE_LINK91"/>
      <w:r>
        <w:rPr>
          <w:rFonts w:hint="eastAsia"/>
          <w:color w:val="000000"/>
          <w:sz w:val="24"/>
          <w:highlight w:val="none"/>
        </w:rPr>
        <w:t>卖方应根据合同规定的付款条件和进度，提前向买方开具符合中国法律法规要求的发票并提供相关支持文件。</w:t>
      </w:r>
      <w:r>
        <w:rPr>
          <w:rFonts w:hint="eastAsia"/>
          <w:sz w:val="24"/>
          <w:highlight w:val="none"/>
        </w:rPr>
        <w:t>如乙方提供的服务属于增值税应税范围，乙方应为甲方开具增值税专用发票。</w:t>
      </w:r>
      <w:r>
        <w:rPr>
          <w:rFonts w:hint="eastAsia" w:cs="新宋体-18030"/>
          <w:sz w:val="24"/>
          <w:highlight w:val="none"/>
        </w:rPr>
        <w:t>发票</w:t>
      </w:r>
      <w:r>
        <w:rPr>
          <w:rFonts w:hint="eastAsia"/>
          <w:sz w:val="24"/>
          <w:highlight w:val="none"/>
        </w:rPr>
        <w:t>应注明合同编号且抬头应为：【</w:t>
      </w:r>
      <w:r>
        <w:rPr>
          <w:rFonts w:hint="eastAsia"/>
          <w:i/>
          <w:sz w:val="24"/>
          <w:highlight w:val="none"/>
        </w:rPr>
        <w:t>填入发票编号及抬头</w:t>
      </w:r>
      <w:r>
        <w:rPr>
          <w:rFonts w:hint="eastAsia"/>
          <w:sz w:val="24"/>
          <w:highlight w:val="none"/>
        </w:rPr>
        <w:t>】。</w:t>
      </w:r>
      <w:r>
        <w:rPr>
          <w:rFonts w:hint="eastAsia"/>
          <w:color w:val="000000"/>
          <w:sz w:val="24"/>
          <w:highlight w:val="none"/>
        </w:rPr>
        <w:t>如卖方未开具上述发票并提供相关支持文件，买方有权拒付相关合同价款。如果买方对卖方出具的该等发票和提供的相关支持文件无异议，应于收到该等发票和相关支持文件之日起【</w:t>
      </w:r>
      <w:r>
        <w:rPr>
          <w:rFonts w:hint="eastAsia"/>
          <w:i/>
          <w:color w:val="000000"/>
          <w:sz w:val="24"/>
          <w:highlight w:val="none"/>
        </w:rPr>
        <w:t>填入天数</w:t>
      </w:r>
      <w:r>
        <w:rPr>
          <w:rFonts w:hint="eastAsia"/>
          <w:color w:val="000000"/>
          <w:sz w:val="24"/>
          <w:highlight w:val="none"/>
        </w:rPr>
        <w:t>】日内向卖方付款。</w:t>
      </w:r>
      <w:bookmarkEnd w:id="68"/>
      <w:bookmarkEnd w:id="69"/>
      <w:r>
        <w:rPr>
          <w:rFonts w:hint="eastAsia"/>
          <w:sz w:val="24"/>
          <w:highlight w:val="none"/>
        </w:rPr>
        <w:t>如甲方对乙方开具的该等发票和相关支持文件有异议，应于收到发票及相关支持文件后【</w:t>
      </w:r>
      <w:r>
        <w:rPr>
          <w:rFonts w:hint="eastAsia"/>
          <w:i/>
          <w:sz w:val="24"/>
          <w:highlight w:val="none"/>
        </w:rPr>
        <w:t>填入日期，如十（10）</w:t>
      </w:r>
      <w:r>
        <w:rPr>
          <w:rFonts w:hint="eastAsia"/>
          <w:sz w:val="24"/>
          <w:highlight w:val="none"/>
        </w:rPr>
        <w:t>】日内通知乙方，乙方应重新开具发票和相关支持文件，买方应于收到卖方重新开具的发票和相关支持文件之日起</w:t>
      </w:r>
      <w:r>
        <w:rPr>
          <w:rFonts w:hint="eastAsia"/>
          <w:color w:val="000000"/>
          <w:sz w:val="24"/>
          <w:highlight w:val="none"/>
        </w:rPr>
        <w:t>【</w:t>
      </w:r>
      <w:r>
        <w:rPr>
          <w:rFonts w:hint="eastAsia"/>
          <w:i/>
          <w:color w:val="000000"/>
          <w:sz w:val="24"/>
          <w:highlight w:val="none"/>
        </w:rPr>
        <w:t>填入天数</w:t>
      </w:r>
      <w:r>
        <w:rPr>
          <w:rFonts w:hint="eastAsia"/>
          <w:color w:val="000000"/>
          <w:sz w:val="24"/>
          <w:highlight w:val="none"/>
        </w:rPr>
        <w:t>】日内向卖方付款。</w:t>
      </w:r>
    </w:p>
    <w:p w14:paraId="4AF5A428">
      <w:pPr>
        <w:numPr>
          <w:ilvl w:val="0"/>
          <w:numId w:val="6"/>
        </w:numPr>
        <w:tabs>
          <w:tab w:val="left" w:pos="567"/>
        </w:tabs>
        <w:spacing w:before="72" w:beforeLines="30" w:after="72" w:afterLines="30" w:line="360" w:lineRule="auto"/>
        <w:rPr>
          <w:sz w:val="24"/>
          <w:highlight w:val="none"/>
        </w:rPr>
      </w:pPr>
      <w:r>
        <w:rPr>
          <w:rFonts w:hint="eastAsia" w:hAnsi="宋体"/>
          <w:sz w:val="24"/>
          <w:highlight w:val="none"/>
        </w:rPr>
        <w:t>卖方</w:t>
      </w:r>
      <w:r>
        <w:rPr>
          <w:rFonts w:hAnsi="宋体"/>
          <w:sz w:val="24"/>
          <w:highlight w:val="none"/>
        </w:rPr>
        <w:t>账户</w:t>
      </w:r>
    </w:p>
    <w:p w14:paraId="52B1E94A">
      <w:pPr>
        <w:tabs>
          <w:tab w:val="left" w:pos="567"/>
          <w:tab w:val="left" w:pos="1418"/>
        </w:tabs>
        <w:spacing w:before="72" w:beforeLines="30" w:after="72" w:afterLines="30" w:line="360" w:lineRule="auto"/>
        <w:ind w:left="565" w:leftChars="269"/>
        <w:rPr>
          <w:sz w:val="24"/>
          <w:highlight w:val="none"/>
        </w:rPr>
      </w:pPr>
      <w:r>
        <w:rPr>
          <w:sz w:val="24"/>
          <w:highlight w:val="none"/>
        </w:rPr>
        <w:t>卖方应通过如下账户收取合同总价及其它款项，并通过该账户向买方支付与合同有关的任何款项：</w:t>
      </w:r>
    </w:p>
    <w:p w14:paraId="31B85F95">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卖方名称：</w:t>
      </w:r>
      <w:r>
        <w:rPr>
          <w:rFonts w:hint="eastAsia"/>
          <w:sz w:val="24"/>
          <w:highlight w:val="none"/>
          <w:u w:val="single"/>
        </w:rPr>
        <w:t xml:space="preserve">                            </w:t>
      </w:r>
      <w:r>
        <w:rPr>
          <w:sz w:val="24"/>
          <w:highlight w:val="none"/>
        </w:rPr>
        <w:t xml:space="preserve"> </w:t>
      </w:r>
    </w:p>
    <w:p w14:paraId="3293D3AC">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账号：</w:t>
      </w:r>
      <w:r>
        <w:rPr>
          <w:rFonts w:hint="eastAsia"/>
          <w:sz w:val="24"/>
          <w:highlight w:val="none"/>
          <w:u w:val="single"/>
        </w:rPr>
        <w:t xml:space="preserve">                                </w:t>
      </w:r>
    </w:p>
    <w:p w14:paraId="69D4C2C8">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开户行名称：</w:t>
      </w:r>
      <w:r>
        <w:rPr>
          <w:rFonts w:hint="eastAsia"/>
          <w:sz w:val="24"/>
          <w:highlight w:val="none"/>
          <w:u w:val="single"/>
        </w:rPr>
        <w:t xml:space="preserve">                          </w:t>
      </w:r>
      <w:r>
        <w:rPr>
          <w:sz w:val="24"/>
          <w:highlight w:val="none"/>
        </w:rPr>
        <w:t xml:space="preserve"> </w:t>
      </w:r>
    </w:p>
    <w:p w14:paraId="4F256E4C">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开户行地址：</w:t>
      </w:r>
      <w:bookmarkStart w:id="70" w:name="OLE_LINK45"/>
      <w:bookmarkStart w:id="71" w:name="OLE_LINK46"/>
      <w:r>
        <w:rPr>
          <w:rFonts w:hint="eastAsia"/>
          <w:sz w:val="24"/>
          <w:highlight w:val="none"/>
          <w:u w:val="single"/>
        </w:rPr>
        <w:t xml:space="preserve">                          </w:t>
      </w:r>
      <w:r>
        <w:rPr>
          <w:sz w:val="24"/>
          <w:highlight w:val="none"/>
        </w:rPr>
        <w:t xml:space="preserve"> </w:t>
      </w:r>
      <w:bookmarkEnd w:id="70"/>
      <w:bookmarkEnd w:id="71"/>
    </w:p>
    <w:p w14:paraId="283C594C">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邮政编码：</w:t>
      </w:r>
      <w:bookmarkStart w:id="72" w:name="OLE_LINK53"/>
      <w:bookmarkStart w:id="73" w:name="OLE_LINK52"/>
      <w:r>
        <w:rPr>
          <w:sz w:val="24"/>
          <w:highlight w:val="none"/>
          <w:u w:val="single"/>
        </w:rPr>
        <w:t xml:space="preserve">                          </w:t>
      </w:r>
      <w:bookmarkEnd w:id="72"/>
      <w:bookmarkEnd w:id="73"/>
      <w:r>
        <w:rPr>
          <w:sz w:val="24"/>
          <w:highlight w:val="none"/>
        </w:rPr>
        <w:t xml:space="preserve"> </w:t>
      </w:r>
    </w:p>
    <w:p w14:paraId="456154D3">
      <w:pPr>
        <w:pStyle w:val="11"/>
        <w:numPr>
          <w:ilvl w:val="0"/>
          <w:numId w:val="3"/>
        </w:numPr>
        <w:spacing w:before="72" w:beforeLines="30" w:after="72" w:afterLines="30" w:line="360" w:lineRule="auto"/>
        <w:ind w:left="851" w:hanging="851"/>
        <w:jc w:val="left"/>
        <w:rPr>
          <w:sz w:val="24"/>
          <w:szCs w:val="24"/>
          <w:highlight w:val="none"/>
        </w:rPr>
      </w:pPr>
      <w:bookmarkStart w:id="74" w:name="_Toc306354310"/>
      <w:r>
        <w:rPr>
          <w:rFonts w:hint="eastAsia"/>
          <w:sz w:val="24"/>
          <w:szCs w:val="24"/>
          <w:highlight w:val="none"/>
        </w:rPr>
        <w:t>货物交付</w:t>
      </w:r>
      <w:bookmarkEnd w:id="74"/>
    </w:p>
    <w:p w14:paraId="69AE184F">
      <w:pPr>
        <w:numPr>
          <w:ilvl w:val="0"/>
          <w:numId w:val="8"/>
        </w:numPr>
        <w:tabs>
          <w:tab w:val="left" w:pos="567"/>
          <w:tab w:val="clear" w:pos="562"/>
        </w:tabs>
        <w:spacing w:before="72" w:beforeLines="30" w:after="72" w:afterLines="30" w:line="360" w:lineRule="auto"/>
        <w:ind w:left="567" w:hanging="567"/>
        <w:outlineLvl w:val="0"/>
        <w:rPr>
          <w:b/>
          <w:sz w:val="24"/>
          <w:highlight w:val="none"/>
        </w:rPr>
      </w:pPr>
      <w:r>
        <w:rPr>
          <w:rFonts w:hAnsi="宋体"/>
          <w:b/>
          <w:sz w:val="24"/>
          <w:highlight w:val="none"/>
        </w:rPr>
        <w:t>交货日期</w:t>
      </w:r>
    </w:p>
    <w:p w14:paraId="28EA04A4">
      <w:pPr>
        <w:numPr>
          <w:ilvl w:val="0"/>
          <w:numId w:val="9"/>
        </w:numPr>
        <w:tabs>
          <w:tab w:val="left" w:pos="993"/>
        </w:tabs>
        <w:spacing w:before="72" w:beforeLines="30" w:after="72" w:afterLines="30" w:line="360" w:lineRule="auto"/>
        <w:ind w:left="1047" w:leftChars="268" w:hanging="484" w:hangingChars="202"/>
        <w:outlineLvl w:val="0"/>
        <w:rPr>
          <w:sz w:val="24"/>
          <w:highlight w:val="none"/>
        </w:rPr>
      </w:pPr>
      <w:r>
        <w:rPr>
          <w:rFonts w:hAnsi="宋体"/>
          <w:sz w:val="24"/>
          <w:highlight w:val="none"/>
        </w:rPr>
        <w:t>卖方应在</w:t>
      </w:r>
      <w:r>
        <w:rPr>
          <w:rFonts w:hint="eastAsia"/>
          <w:sz w:val="24"/>
          <w:highlight w:val="none"/>
        </w:rPr>
        <w:t>【</w:t>
      </w:r>
      <w:r>
        <w:rPr>
          <w:rFonts w:hint="eastAsia"/>
          <w:i/>
          <w:sz w:val="24"/>
          <w:highlight w:val="none"/>
        </w:rPr>
        <w:t>填入交货日期</w:t>
      </w:r>
      <w:r>
        <w:rPr>
          <w:rFonts w:hint="eastAsia"/>
          <w:sz w:val="24"/>
          <w:highlight w:val="none"/>
        </w:rPr>
        <w:t>】</w:t>
      </w:r>
      <w:r>
        <w:rPr>
          <w:rFonts w:ascii="宋体" w:hAnsi="宋体"/>
          <w:sz w:val="24"/>
          <w:highlight w:val="none"/>
        </w:rPr>
        <w:t>（“交货日期”）</w:t>
      </w:r>
      <w:r>
        <w:rPr>
          <w:rFonts w:hAnsi="宋体"/>
          <w:sz w:val="24"/>
          <w:highlight w:val="none"/>
        </w:rPr>
        <w:t>前完成货物的交付。</w:t>
      </w:r>
    </w:p>
    <w:p w14:paraId="14621C44">
      <w:pPr>
        <w:numPr>
          <w:ilvl w:val="0"/>
          <w:numId w:val="9"/>
        </w:numPr>
        <w:tabs>
          <w:tab w:val="left" w:pos="993"/>
        </w:tabs>
        <w:spacing w:before="72" w:beforeLines="30" w:after="72" w:afterLines="30" w:line="360" w:lineRule="auto"/>
        <w:ind w:left="1047" w:leftChars="268" w:hanging="484" w:hangingChars="202"/>
        <w:outlineLvl w:val="0"/>
        <w:rPr>
          <w:sz w:val="24"/>
          <w:highlight w:val="none"/>
        </w:rPr>
      </w:pPr>
      <w:r>
        <w:rPr>
          <w:rFonts w:hAnsi="宋体"/>
          <w:sz w:val="24"/>
          <w:highlight w:val="none"/>
        </w:rPr>
        <w:t>买方</w:t>
      </w:r>
      <w:r>
        <w:rPr>
          <w:rFonts w:hint="eastAsia" w:hAnsi="宋体"/>
          <w:sz w:val="24"/>
          <w:highlight w:val="none"/>
        </w:rPr>
        <w:t>有权根据自身</w:t>
      </w:r>
      <w:r>
        <w:rPr>
          <w:rFonts w:hAnsi="宋体"/>
          <w:sz w:val="24"/>
          <w:highlight w:val="none"/>
        </w:rPr>
        <w:t>情况</w:t>
      </w:r>
      <w:r>
        <w:rPr>
          <w:rFonts w:hint="eastAsia" w:hAnsi="宋体"/>
          <w:sz w:val="24"/>
          <w:highlight w:val="none"/>
        </w:rPr>
        <w:t>要求卖方延期交付货物，但买方应在交付日期前</w:t>
      </w:r>
      <w:bookmarkStart w:id="75" w:name="OLE_LINK56"/>
      <w:bookmarkStart w:id="76" w:name="OLE_LINK57"/>
      <w:r>
        <w:rPr>
          <w:rFonts w:hint="eastAsia" w:hAnsi="宋体"/>
          <w:sz w:val="24"/>
          <w:highlight w:val="none"/>
        </w:rPr>
        <w:t>【</w:t>
      </w:r>
      <w:r>
        <w:rPr>
          <w:rFonts w:hint="eastAsia" w:hAnsi="宋体"/>
          <w:i/>
          <w:sz w:val="24"/>
          <w:highlight w:val="none"/>
        </w:rPr>
        <w:t>填入天数</w:t>
      </w:r>
      <w:r>
        <w:rPr>
          <w:rFonts w:hint="eastAsia" w:hAnsi="宋体"/>
          <w:sz w:val="24"/>
          <w:highlight w:val="none"/>
        </w:rPr>
        <w:t>】</w:t>
      </w:r>
      <w:bookmarkEnd w:id="75"/>
      <w:bookmarkEnd w:id="76"/>
      <w:r>
        <w:rPr>
          <w:rFonts w:hint="eastAsia" w:hAnsi="宋体"/>
          <w:sz w:val="24"/>
          <w:highlight w:val="none"/>
        </w:rPr>
        <w:t>日以书面方式</w:t>
      </w:r>
      <w:r>
        <w:rPr>
          <w:rFonts w:hAnsi="宋体"/>
          <w:sz w:val="24"/>
          <w:highlight w:val="none"/>
        </w:rPr>
        <w:t>通知卖方。</w:t>
      </w:r>
      <w:r>
        <w:rPr>
          <w:sz w:val="24"/>
          <w:highlight w:val="none"/>
        </w:rPr>
        <w:t>除非买方调整交货日期</w:t>
      </w:r>
      <w:r>
        <w:rPr>
          <w:rFonts w:hint="eastAsia"/>
          <w:sz w:val="24"/>
          <w:highlight w:val="none"/>
        </w:rPr>
        <w:t>实质性</w:t>
      </w:r>
      <w:r>
        <w:rPr>
          <w:sz w:val="24"/>
          <w:highlight w:val="none"/>
        </w:rPr>
        <w:t>加重卖方义务，否则卖方不得另行向买方主张增加费用。</w:t>
      </w:r>
    </w:p>
    <w:p w14:paraId="6B2104F7">
      <w:pPr>
        <w:numPr>
          <w:ilvl w:val="0"/>
          <w:numId w:val="8"/>
        </w:numPr>
        <w:tabs>
          <w:tab w:val="left" w:pos="567"/>
          <w:tab w:val="left" w:pos="709"/>
          <w:tab w:val="clear" w:pos="562"/>
        </w:tabs>
        <w:spacing w:before="72" w:beforeLines="30" w:after="72" w:afterLines="30" w:line="360" w:lineRule="auto"/>
        <w:ind w:left="567" w:hanging="567"/>
        <w:outlineLvl w:val="0"/>
        <w:rPr>
          <w:sz w:val="24"/>
          <w:highlight w:val="none"/>
        </w:rPr>
      </w:pPr>
      <w:r>
        <w:rPr>
          <w:rFonts w:hAnsi="宋体"/>
          <w:b/>
          <w:sz w:val="24"/>
          <w:highlight w:val="none"/>
        </w:rPr>
        <w:t>交货地点</w:t>
      </w:r>
      <w:r>
        <w:rPr>
          <w:rFonts w:hint="eastAsia" w:hAnsi="宋体"/>
          <w:sz w:val="24"/>
          <w:highlight w:val="none"/>
        </w:rPr>
        <w:t>：</w:t>
      </w:r>
      <w:bookmarkStart w:id="77" w:name="OLE_LINK58"/>
      <w:bookmarkStart w:id="78" w:name="OLE_LINK61"/>
      <w:bookmarkStart w:id="79" w:name="OLE_LINK59"/>
      <w:bookmarkStart w:id="80" w:name="OLE_LINK60"/>
      <w:r>
        <w:rPr>
          <w:rFonts w:hint="eastAsia" w:hAnsi="宋体"/>
          <w:sz w:val="24"/>
          <w:highlight w:val="none"/>
        </w:rPr>
        <w:t>【</w:t>
      </w:r>
      <w:r>
        <w:rPr>
          <w:rFonts w:hint="eastAsia" w:hAnsi="宋体"/>
          <w:i/>
          <w:sz w:val="24"/>
          <w:highlight w:val="none"/>
        </w:rPr>
        <w:t>填入交货地点</w:t>
      </w:r>
      <w:r>
        <w:rPr>
          <w:rFonts w:hint="eastAsia" w:hAnsi="宋体"/>
          <w:sz w:val="24"/>
          <w:highlight w:val="none"/>
        </w:rPr>
        <w:t>】</w:t>
      </w:r>
      <w:bookmarkEnd w:id="77"/>
      <w:bookmarkEnd w:id="78"/>
      <w:bookmarkEnd w:id="79"/>
      <w:bookmarkEnd w:id="80"/>
      <w:r>
        <w:rPr>
          <w:rFonts w:hint="eastAsia"/>
          <w:sz w:val="24"/>
          <w:highlight w:val="none"/>
        </w:rPr>
        <w:t>。</w:t>
      </w:r>
    </w:p>
    <w:p w14:paraId="3F8077E9">
      <w:pPr>
        <w:numPr>
          <w:ilvl w:val="0"/>
          <w:numId w:val="8"/>
        </w:numPr>
        <w:tabs>
          <w:tab w:val="left" w:pos="709"/>
        </w:tabs>
        <w:spacing w:before="72" w:beforeLines="30" w:after="72" w:afterLines="30" w:line="360" w:lineRule="auto"/>
        <w:ind w:left="567" w:hanging="567"/>
        <w:outlineLvl w:val="0"/>
        <w:rPr>
          <w:highlight w:val="none"/>
        </w:rPr>
      </w:pPr>
      <w:r>
        <w:rPr>
          <w:rFonts w:hAnsi="宋体"/>
          <w:sz w:val="24"/>
          <w:highlight w:val="none"/>
        </w:rPr>
        <w:t>每批</w:t>
      </w:r>
      <w:r>
        <w:rPr>
          <w:rFonts w:hint="eastAsia" w:hAnsi="宋体"/>
          <w:sz w:val="24"/>
          <w:highlight w:val="none"/>
        </w:rPr>
        <w:t>货</w:t>
      </w:r>
      <w:r>
        <w:rPr>
          <w:rFonts w:hint="eastAsia"/>
          <w:sz w:val="24"/>
          <w:highlight w:val="none"/>
        </w:rPr>
        <w:t>物</w:t>
      </w:r>
      <w:r>
        <w:rPr>
          <w:sz w:val="24"/>
          <w:highlight w:val="none"/>
        </w:rPr>
        <w:t>交付运输后</w:t>
      </w:r>
      <w:r>
        <w:rPr>
          <w:rFonts w:hint="eastAsia"/>
          <w:sz w:val="24"/>
          <w:highlight w:val="none"/>
        </w:rPr>
        <w:t>【</w:t>
      </w:r>
      <w:r>
        <w:rPr>
          <w:rFonts w:hint="eastAsia"/>
          <w:i/>
          <w:sz w:val="24"/>
          <w:highlight w:val="none"/>
        </w:rPr>
        <w:t>填入小时数</w:t>
      </w:r>
      <w:r>
        <w:rPr>
          <w:rFonts w:hint="eastAsia"/>
          <w:sz w:val="24"/>
          <w:highlight w:val="none"/>
        </w:rPr>
        <w:t>】</w:t>
      </w:r>
      <w:r>
        <w:rPr>
          <w:sz w:val="24"/>
          <w:highlight w:val="none"/>
        </w:rPr>
        <w:t>小时内，卖方应通过将下列</w:t>
      </w:r>
      <w:r>
        <w:rPr>
          <w:rFonts w:hint="eastAsia"/>
          <w:sz w:val="24"/>
          <w:highlight w:val="none"/>
        </w:rPr>
        <w:t>材料、</w:t>
      </w:r>
      <w:r>
        <w:rPr>
          <w:sz w:val="24"/>
          <w:highlight w:val="none"/>
        </w:rPr>
        <w:t>信息通知买方</w:t>
      </w:r>
      <w:r>
        <w:rPr>
          <w:rFonts w:hint="eastAsia"/>
          <w:sz w:val="24"/>
          <w:highlight w:val="none"/>
        </w:rPr>
        <w:t>：</w:t>
      </w:r>
      <w:r>
        <w:rPr>
          <w:sz w:val="24"/>
          <w:highlight w:val="none"/>
        </w:rPr>
        <w:t>合同号</w:t>
      </w:r>
      <w:r>
        <w:rPr>
          <w:rFonts w:hint="eastAsia"/>
          <w:sz w:val="24"/>
          <w:highlight w:val="none"/>
        </w:rPr>
        <w:t>、</w:t>
      </w:r>
      <w:r>
        <w:rPr>
          <w:sz w:val="24"/>
          <w:highlight w:val="none"/>
        </w:rPr>
        <w:t>货物名称及编号</w:t>
      </w:r>
      <w:r>
        <w:rPr>
          <w:rFonts w:hint="eastAsia"/>
          <w:sz w:val="24"/>
          <w:highlight w:val="none"/>
        </w:rPr>
        <w:t>、货物数量、</w:t>
      </w:r>
      <w:r>
        <w:rPr>
          <w:sz w:val="24"/>
          <w:highlight w:val="none"/>
        </w:rPr>
        <w:t>货物总重量</w:t>
      </w:r>
      <w:r>
        <w:rPr>
          <w:rFonts w:hint="eastAsia"/>
          <w:sz w:val="24"/>
          <w:highlight w:val="none"/>
        </w:rPr>
        <w:t>和【</w:t>
      </w:r>
      <w:r>
        <w:rPr>
          <w:rFonts w:hint="eastAsia"/>
          <w:i/>
          <w:sz w:val="24"/>
          <w:highlight w:val="none"/>
        </w:rPr>
        <w:t>填入其它材料或信息</w:t>
      </w:r>
      <w:r>
        <w:rPr>
          <w:rFonts w:hint="eastAsia"/>
          <w:sz w:val="24"/>
          <w:highlight w:val="none"/>
        </w:rPr>
        <w:t>】。</w:t>
      </w:r>
    </w:p>
    <w:p w14:paraId="6EA1BD6A">
      <w:pPr>
        <w:numPr>
          <w:ilvl w:val="0"/>
          <w:numId w:val="8"/>
        </w:numPr>
        <w:tabs>
          <w:tab w:val="left" w:pos="567"/>
          <w:tab w:val="left" w:pos="709"/>
          <w:tab w:val="clear" w:pos="562"/>
        </w:tabs>
        <w:spacing w:before="72" w:beforeLines="30" w:after="72" w:afterLines="30" w:line="360" w:lineRule="auto"/>
        <w:ind w:left="567" w:hanging="567"/>
        <w:outlineLvl w:val="0"/>
        <w:rPr>
          <w:b/>
          <w:sz w:val="24"/>
          <w:highlight w:val="none"/>
        </w:rPr>
      </w:pPr>
      <w:r>
        <w:rPr>
          <w:rFonts w:hint="eastAsia"/>
          <w:b/>
          <w:sz w:val="24"/>
          <w:highlight w:val="none"/>
        </w:rPr>
        <w:t>包装</w:t>
      </w:r>
    </w:p>
    <w:p w14:paraId="61D9D922">
      <w:pPr>
        <w:pStyle w:val="39"/>
        <w:spacing w:line="360" w:lineRule="auto"/>
        <w:ind w:left="567" w:leftChars="270" w:firstLine="0" w:firstLineChars="0"/>
        <w:rPr>
          <w:rFonts w:hAnsi="宋体"/>
          <w:sz w:val="24"/>
          <w:highlight w:val="none"/>
        </w:rPr>
      </w:pPr>
      <w:r>
        <w:rPr>
          <w:rFonts w:hAnsi="宋体"/>
          <w:sz w:val="24"/>
          <w:highlight w:val="none"/>
        </w:rPr>
        <w:t>卖方应提供将货物</w:t>
      </w:r>
      <w:r>
        <w:rPr>
          <w:rFonts w:hint="eastAsia" w:hAnsi="宋体"/>
          <w:sz w:val="24"/>
          <w:highlight w:val="none"/>
        </w:rPr>
        <w:t>、货物资料</w:t>
      </w:r>
      <w:r>
        <w:rPr>
          <w:rFonts w:hAnsi="宋体"/>
          <w:sz w:val="24"/>
          <w:highlight w:val="none"/>
        </w:rPr>
        <w:t>运至</w:t>
      </w:r>
      <w:r>
        <w:rPr>
          <w:rFonts w:hint="eastAsia" w:hAnsi="宋体"/>
          <w:sz w:val="24"/>
          <w:highlight w:val="none"/>
        </w:rPr>
        <w:t>交货</w:t>
      </w:r>
      <w:r>
        <w:rPr>
          <w:rFonts w:hAnsi="宋体"/>
          <w:sz w:val="24"/>
          <w:highlight w:val="none"/>
        </w:rPr>
        <w:t>地点所需要的包装，以防止货物</w:t>
      </w:r>
      <w:r>
        <w:rPr>
          <w:rFonts w:hint="eastAsia" w:hAnsi="宋体"/>
          <w:sz w:val="24"/>
          <w:highlight w:val="none"/>
        </w:rPr>
        <w:t>、货物资料</w:t>
      </w:r>
      <w:r>
        <w:rPr>
          <w:rFonts w:hAnsi="宋体"/>
          <w:sz w:val="24"/>
          <w:highlight w:val="none"/>
        </w:rPr>
        <w:t>在运输中损坏或变质。货物</w:t>
      </w:r>
      <w:r>
        <w:rPr>
          <w:rFonts w:hint="eastAsia" w:hAnsi="宋体"/>
          <w:sz w:val="24"/>
          <w:highlight w:val="none"/>
        </w:rPr>
        <w:t>、货物资料</w:t>
      </w:r>
      <w:r>
        <w:rPr>
          <w:rFonts w:hAnsi="宋体"/>
          <w:sz w:val="24"/>
          <w:highlight w:val="none"/>
        </w:rPr>
        <w:t>的包装应采用防潮、防晒、防锈、防腐蚀、防震动、防野蛮装卸及防止其它损坏的必要保护措施，保护货物</w:t>
      </w:r>
      <w:r>
        <w:rPr>
          <w:rFonts w:hint="eastAsia" w:hAnsi="宋体"/>
          <w:sz w:val="24"/>
          <w:highlight w:val="none"/>
        </w:rPr>
        <w:t>、货物资料</w:t>
      </w:r>
      <w:r>
        <w:rPr>
          <w:rFonts w:hAnsi="宋体"/>
          <w:sz w:val="24"/>
          <w:highlight w:val="none"/>
        </w:rPr>
        <w:t>能够经受多次搬运、装卸及远洋和内陆长途运输。</w:t>
      </w:r>
    </w:p>
    <w:p w14:paraId="2A559E67">
      <w:pPr>
        <w:numPr>
          <w:ilvl w:val="0"/>
          <w:numId w:val="8"/>
        </w:numPr>
        <w:tabs>
          <w:tab w:val="left" w:pos="567"/>
          <w:tab w:val="left" w:pos="709"/>
          <w:tab w:val="clear" w:pos="562"/>
        </w:tabs>
        <w:spacing w:before="72" w:beforeLines="30" w:after="72" w:afterLines="30" w:line="360" w:lineRule="auto"/>
        <w:ind w:left="567" w:hanging="567"/>
        <w:outlineLvl w:val="0"/>
        <w:rPr>
          <w:b/>
          <w:sz w:val="24"/>
          <w:highlight w:val="none"/>
        </w:rPr>
      </w:pPr>
      <w:r>
        <w:rPr>
          <w:rFonts w:hint="eastAsia"/>
          <w:b/>
          <w:sz w:val="24"/>
          <w:highlight w:val="none"/>
        </w:rPr>
        <w:t>货物资料的交付</w:t>
      </w:r>
    </w:p>
    <w:p w14:paraId="17232809">
      <w:pPr>
        <w:pStyle w:val="39"/>
        <w:numPr>
          <w:ilvl w:val="0"/>
          <w:numId w:val="10"/>
        </w:numPr>
        <w:tabs>
          <w:tab w:val="left" w:pos="709"/>
        </w:tabs>
        <w:spacing w:before="72" w:beforeLines="30" w:after="72" w:afterLines="30" w:line="360" w:lineRule="auto"/>
        <w:ind w:firstLineChars="0"/>
        <w:outlineLvl w:val="0"/>
        <w:rPr>
          <w:sz w:val="24"/>
          <w:highlight w:val="none"/>
        </w:rPr>
      </w:pPr>
      <w:r>
        <w:rPr>
          <w:rFonts w:hint="eastAsia"/>
          <w:sz w:val="24"/>
          <w:highlight w:val="none"/>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sz w:val="24"/>
          <w:highlight w:val="none"/>
        </w:rPr>
        <w:t>如买方发现货物资料存在任何</w:t>
      </w:r>
      <w:r>
        <w:rPr>
          <w:rFonts w:hint="eastAsia"/>
          <w:sz w:val="24"/>
          <w:highlight w:val="none"/>
        </w:rPr>
        <w:t>错漏、</w:t>
      </w:r>
      <w:r>
        <w:rPr>
          <w:sz w:val="24"/>
          <w:highlight w:val="none"/>
        </w:rPr>
        <w:t>短缺、损坏、遗失，买方应于收到之日起</w:t>
      </w:r>
      <w:r>
        <w:rPr>
          <w:rFonts w:hint="eastAsia" w:hAnsi="宋体"/>
          <w:sz w:val="24"/>
          <w:highlight w:val="none"/>
        </w:rPr>
        <w:t>合理期限</w:t>
      </w:r>
      <w:r>
        <w:rPr>
          <w:sz w:val="24"/>
          <w:highlight w:val="none"/>
        </w:rPr>
        <w:t>内通知卖方；卖方收到通知后</w:t>
      </w:r>
      <w:r>
        <w:rPr>
          <w:rFonts w:hint="eastAsia" w:hAnsi="宋体"/>
          <w:sz w:val="24"/>
          <w:highlight w:val="none"/>
        </w:rPr>
        <w:t>【</w:t>
      </w:r>
      <w:r>
        <w:rPr>
          <w:rFonts w:hint="eastAsia" w:hAnsi="宋体"/>
          <w:i/>
          <w:sz w:val="24"/>
          <w:highlight w:val="none"/>
        </w:rPr>
        <w:t>填入天数</w:t>
      </w:r>
      <w:r>
        <w:rPr>
          <w:rFonts w:hint="eastAsia" w:hAnsi="宋体"/>
          <w:sz w:val="24"/>
          <w:highlight w:val="none"/>
        </w:rPr>
        <w:t>】</w:t>
      </w:r>
      <w:r>
        <w:rPr>
          <w:sz w:val="24"/>
          <w:highlight w:val="none"/>
        </w:rPr>
        <w:t>日内应</w:t>
      </w:r>
      <w:r>
        <w:rPr>
          <w:rFonts w:hint="eastAsia"/>
          <w:sz w:val="24"/>
          <w:highlight w:val="none"/>
        </w:rPr>
        <w:t>自行承担费用</w:t>
      </w:r>
      <w:r>
        <w:rPr>
          <w:sz w:val="24"/>
          <w:highlight w:val="none"/>
        </w:rPr>
        <w:t>将补充或替换的货物资料送达买方，</w:t>
      </w:r>
      <w:r>
        <w:rPr>
          <w:rFonts w:hint="eastAsia"/>
          <w:sz w:val="24"/>
          <w:highlight w:val="none"/>
        </w:rPr>
        <w:t>并</w:t>
      </w:r>
      <w:r>
        <w:rPr>
          <w:sz w:val="24"/>
          <w:highlight w:val="none"/>
        </w:rPr>
        <w:t>不得因此影响交货进度</w:t>
      </w:r>
      <w:r>
        <w:rPr>
          <w:rFonts w:hint="eastAsia"/>
          <w:sz w:val="24"/>
          <w:highlight w:val="none"/>
        </w:rPr>
        <w:t>。</w:t>
      </w:r>
    </w:p>
    <w:p w14:paraId="546DC9E6">
      <w:pPr>
        <w:pStyle w:val="39"/>
        <w:numPr>
          <w:ilvl w:val="0"/>
          <w:numId w:val="10"/>
        </w:numPr>
        <w:tabs>
          <w:tab w:val="left" w:pos="709"/>
        </w:tabs>
        <w:spacing w:before="72" w:beforeLines="30" w:after="72" w:afterLines="30" w:line="360" w:lineRule="auto"/>
        <w:ind w:firstLineChars="0"/>
        <w:outlineLvl w:val="0"/>
        <w:rPr>
          <w:highlight w:val="none"/>
        </w:rPr>
      </w:pPr>
      <w:r>
        <w:rPr>
          <w:rFonts w:hint="eastAsia"/>
          <w:sz w:val="24"/>
          <w:highlight w:val="none"/>
        </w:rPr>
        <w:t>货物资料的名称、数量及交付时间为：</w:t>
      </w:r>
      <w:r>
        <w:rPr>
          <w:rFonts w:hint="eastAsia" w:hAnsi="宋体"/>
          <w:sz w:val="24"/>
          <w:highlight w:val="none"/>
        </w:rPr>
        <w:t>【</w:t>
      </w:r>
      <w:r>
        <w:rPr>
          <w:rFonts w:hint="eastAsia" w:hAnsi="宋体"/>
          <w:i/>
          <w:sz w:val="24"/>
          <w:highlight w:val="none"/>
        </w:rPr>
        <w:t>填入货物资料的交付信息</w:t>
      </w:r>
      <w:r>
        <w:rPr>
          <w:rFonts w:hint="eastAsia" w:hAnsi="宋体"/>
          <w:sz w:val="24"/>
          <w:highlight w:val="none"/>
        </w:rPr>
        <w:t>】</w:t>
      </w:r>
      <w:r>
        <w:rPr>
          <w:rFonts w:hint="eastAsia"/>
          <w:sz w:val="24"/>
          <w:highlight w:val="none"/>
        </w:rPr>
        <w:t>。</w:t>
      </w:r>
    </w:p>
    <w:p w14:paraId="03754305">
      <w:pPr>
        <w:pStyle w:val="11"/>
        <w:numPr>
          <w:ilvl w:val="0"/>
          <w:numId w:val="3"/>
        </w:numPr>
        <w:tabs>
          <w:tab w:val="left" w:pos="567"/>
        </w:tabs>
        <w:spacing w:before="72" w:beforeLines="30" w:after="72" w:afterLines="30" w:line="360" w:lineRule="auto"/>
        <w:ind w:left="567" w:hanging="567"/>
        <w:jc w:val="left"/>
        <w:rPr>
          <w:sz w:val="24"/>
          <w:szCs w:val="24"/>
          <w:highlight w:val="none"/>
        </w:rPr>
      </w:pPr>
      <w:bookmarkStart w:id="81" w:name="_Toc306354315"/>
      <w:r>
        <w:rPr>
          <w:rFonts w:hint="eastAsia"/>
          <w:sz w:val="24"/>
          <w:szCs w:val="24"/>
          <w:highlight w:val="none"/>
        </w:rPr>
        <w:t>货物要求</w:t>
      </w:r>
    </w:p>
    <w:p w14:paraId="3C3CDBAE">
      <w:pPr>
        <w:pStyle w:val="39"/>
        <w:numPr>
          <w:ilvl w:val="0"/>
          <w:numId w:val="11"/>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卖方应根据合同规定</w:t>
      </w:r>
      <w:r>
        <w:rPr>
          <w:rFonts w:hint="eastAsia" w:hAnsi="宋体"/>
          <w:sz w:val="24"/>
          <w:highlight w:val="none"/>
        </w:rPr>
        <w:t>提供</w:t>
      </w:r>
      <w:r>
        <w:rPr>
          <w:rFonts w:hAnsi="宋体"/>
          <w:sz w:val="24"/>
          <w:highlight w:val="none"/>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sz w:val="24"/>
          <w:highlight w:val="none"/>
        </w:rPr>
        <w:t>适用</w:t>
      </w:r>
      <w:r>
        <w:rPr>
          <w:rFonts w:hAnsi="宋体"/>
          <w:sz w:val="24"/>
          <w:highlight w:val="none"/>
        </w:rPr>
        <w:t>符合本合同目的的标准。</w:t>
      </w:r>
    </w:p>
    <w:p w14:paraId="5F04923B">
      <w:pPr>
        <w:pStyle w:val="39"/>
        <w:numPr>
          <w:ilvl w:val="0"/>
          <w:numId w:val="11"/>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在履行合同过程中，买方接受卖方的有关货物的建议和要求或买方的任何批准、认可不得免除卖方</w:t>
      </w:r>
      <w:r>
        <w:rPr>
          <w:rFonts w:hint="eastAsia" w:hAnsi="宋体"/>
          <w:sz w:val="24"/>
          <w:highlight w:val="none"/>
        </w:rPr>
        <w:t>在本合同项下的任何</w:t>
      </w:r>
      <w:r>
        <w:rPr>
          <w:rFonts w:hAnsi="宋体"/>
          <w:sz w:val="24"/>
          <w:highlight w:val="none"/>
        </w:rPr>
        <w:t>义务（包括卖方对货物应符合本合同</w:t>
      </w:r>
      <w:r>
        <w:rPr>
          <w:rFonts w:hint="eastAsia" w:hAnsi="宋体"/>
          <w:sz w:val="24"/>
          <w:highlight w:val="none"/>
        </w:rPr>
        <w:t>规定的</w:t>
      </w:r>
      <w:r>
        <w:rPr>
          <w:rFonts w:hAnsi="宋体"/>
          <w:sz w:val="24"/>
          <w:highlight w:val="none"/>
        </w:rPr>
        <w:t>质量和规格</w:t>
      </w:r>
      <w:r>
        <w:rPr>
          <w:rFonts w:hint="eastAsia" w:hAnsi="宋体"/>
          <w:sz w:val="24"/>
          <w:highlight w:val="none"/>
        </w:rPr>
        <w:t>等</w:t>
      </w:r>
      <w:r>
        <w:rPr>
          <w:rFonts w:hAnsi="宋体"/>
          <w:sz w:val="24"/>
          <w:highlight w:val="none"/>
        </w:rPr>
        <w:t>要求应承担的责任）。</w:t>
      </w:r>
    </w:p>
    <w:p w14:paraId="4953B183">
      <w:pPr>
        <w:pStyle w:val="11"/>
        <w:numPr>
          <w:ilvl w:val="0"/>
          <w:numId w:val="3"/>
        </w:numPr>
        <w:tabs>
          <w:tab w:val="left" w:pos="567"/>
        </w:tabs>
        <w:spacing w:before="72" w:beforeLines="30" w:after="72" w:afterLines="30" w:line="360" w:lineRule="auto"/>
        <w:ind w:left="567" w:hanging="567"/>
        <w:jc w:val="left"/>
        <w:rPr>
          <w:sz w:val="24"/>
          <w:szCs w:val="24"/>
          <w:highlight w:val="none"/>
        </w:rPr>
      </w:pPr>
      <w:r>
        <w:rPr>
          <w:rFonts w:hint="eastAsia"/>
          <w:sz w:val="24"/>
          <w:szCs w:val="24"/>
          <w:highlight w:val="none"/>
        </w:rPr>
        <w:t>运输和保险</w:t>
      </w:r>
    </w:p>
    <w:p w14:paraId="5FF732C7">
      <w:pPr>
        <w:pStyle w:val="39"/>
        <w:numPr>
          <w:ilvl w:val="0"/>
          <w:numId w:val="12"/>
        </w:numPr>
        <w:spacing w:before="72" w:beforeLines="30" w:after="72" w:afterLines="30" w:line="360" w:lineRule="auto"/>
        <w:ind w:left="567" w:hanging="567" w:firstLineChars="0"/>
        <w:outlineLvl w:val="0"/>
        <w:rPr>
          <w:sz w:val="24"/>
          <w:highlight w:val="none"/>
        </w:rPr>
      </w:pPr>
      <w:r>
        <w:rPr>
          <w:sz w:val="24"/>
          <w:highlight w:val="none"/>
        </w:rPr>
        <w:t>运输</w:t>
      </w:r>
      <w:r>
        <w:rPr>
          <w:rFonts w:hint="eastAsia"/>
          <w:sz w:val="24"/>
          <w:highlight w:val="none"/>
        </w:rPr>
        <w:t>方式：</w:t>
      </w:r>
      <w:r>
        <w:rPr>
          <w:rFonts w:hint="eastAsia" w:hAnsi="宋体"/>
          <w:sz w:val="24"/>
          <w:highlight w:val="none"/>
        </w:rPr>
        <w:t>【</w:t>
      </w:r>
      <w:r>
        <w:rPr>
          <w:rFonts w:hint="eastAsia" w:hAnsi="宋体"/>
          <w:i/>
          <w:sz w:val="24"/>
          <w:highlight w:val="none"/>
        </w:rPr>
        <w:t>填入运输方式</w:t>
      </w:r>
      <w:r>
        <w:rPr>
          <w:rFonts w:hint="eastAsia" w:hAnsi="宋体"/>
          <w:sz w:val="24"/>
          <w:highlight w:val="none"/>
        </w:rPr>
        <w:t>】</w:t>
      </w:r>
      <w:r>
        <w:rPr>
          <w:rFonts w:hint="eastAsia"/>
          <w:sz w:val="24"/>
          <w:highlight w:val="none"/>
        </w:rPr>
        <w:t>。</w:t>
      </w:r>
    </w:p>
    <w:p w14:paraId="6DD523BE">
      <w:pPr>
        <w:pStyle w:val="39"/>
        <w:numPr>
          <w:ilvl w:val="0"/>
          <w:numId w:val="12"/>
        </w:numPr>
        <w:spacing w:before="72" w:beforeLines="30" w:after="72" w:afterLines="30" w:line="360" w:lineRule="auto"/>
        <w:ind w:left="567" w:hanging="567" w:firstLineChars="0"/>
        <w:outlineLvl w:val="0"/>
        <w:rPr>
          <w:rFonts w:hAnsi="宋体"/>
          <w:sz w:val="24"/>
          <w:highlight w:val="none"/>
        </w:rPr>
      </w:pPr>
      <w:r>
        <w:rPr>
          <w:rFonts w:hint="eastAsia"/>
          <w:sz w:val="24"/>
          <w:highlight w:val="none"/>
        </w:rPr>
        <w:t>除非本合同另有明确规定，</w:t>
      </w:r>
      <w:r>
        <w:rPr>
          <w:rFonts w:hAnsi="宋体"/>
          <w:sz w:val="24"/>
          <w:highlight w:val="none"/>
        </w:rPr>
        <w:t>卖方负责将货物</w:t>
      </w:r>
      <w:r>
        <w:rPr>
          <w:rFonts w:hint="eastAsia" w:hAnsi="宋体"/>
          <w:sz w:val="24"/>
          <w:highlight w:val="none"/>
        </w:rPr>
        <w:t>及配套软件、货物资料</w:t>
      </w:r>
      <w:r>
        <w:rPr>
          <w:rFonts w:hAnsi="宋体"/>
          <w:sz w:val="24"/>
          <w:highlight w:val="none"/>
        </w:rPr>
        <w:t>运至交货地点，运输费用全部包含于合同总价中。如卖方需改变本合同规定的运输方式，卖方应提前</w:t>
      </w:r>
      <w:r>
        <w:rPr>
          <w:rFonts w:hint="eastAsia" w:hAnsi="宋体"/>
          <w:sz w:val="24"/>
          <w:highlight w:val="none"/>
        </w:rPr>
        <w:t>【</w:t>
      </w:r>
      <w:r>
        <w:rPr>
          <w:rFonts w:hint="eastAsia" w:hAnsi="宋体"/>
          <w:i/>
          <w:sz w:val="24"/>
          <w:highlight w:val="none"/>
        </w:rPr>
        <w:t>填入天数</w:t>
      </w:r>
      <w:r>
        <w:rPr>
          <w:rFonts w:hint="eastAsia" w:hAnsi="宋体"/>
          <w:sz w:val="24"/>
          <w:highlight w:val="none"/>
        </w:rPr>
        <w:t>】</w:t>
      </w:r>
      <w:r>
        <w:rPr>
          <w:rFonts w:hAnsi="宋体"/>
          <w:sz w:val="24"/>
          <w:highlight w:val="none"/>
        </w:rPr>
        <w:t>通知买方，并获得买方的书面认可</w:t>
      </w:r>
      <w:r>
        <w:rPr>
          <w:rFonts w:hint="eastAsia" w:hAnsi="宋体"/>
          <w:sz w:val="24"/>
          <w:highlight w:val="none"/>
        </w:rPr>
        <w:t>。</w:t>
      </w:r>
    </w:p>
    <w:p w14:paraId="4F99DEAC">
      <w:pPr>
        <w:pStyle w:val="39"/>
        <w:numPr>
          <w:ilvl w:val="0"/>
          <w:numId w:val="12"/>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货物在交货地点的卸货由卖方负责，卸货费用由卖方承担，卖方应在买方指定的地点卸货，且遵守买方有关卸货的指示</w:t>
      </w:r>
      <w:r>
        <w:rPr>
          <w:rFonts w:hint="eastAsia" w:hAnsi="宋体"/>
          <w:sz w:val="24"/>
          <w:highlight w:val="none"/>
        </w:rPr>
        <w:t>。</w:t>
      </w:r>
    </w:p>
    <w:p w14:paraId="0792B628">
      <w:pPr>
        <w:pStyle w:val="39"/>
        <w:numPr>
          <w:ilvl w:val="0"/>
          <w:numId w:val="12"/>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卖方承担与货物</w:t>
      </w:r>
      <w:r>
        <w:rPr>
          <w:rFonts w:hint="eastAsia" w:hAnsi="宋体"/>
          <w:sz w:val="24"/>
          <w:highlight w:val="none"/>
        </w:rPr>
        <w:t>和货物资料</w:t>
      </w:r>
      <w:r>
        <w:rPr>
          <w:rFonts w:hAnsi="宋体"/>
          <w:sz w:val="24"/>
          <w:highlight w:val="none"/>
        </w:rPr>
        <w:t>运输相关的全部费用，该等费用已包含于合同总价中。</w:t>
      </w:r>
    </w:p>
    <w:p w14:paraId="7FBFA28F">
      <w:pPr>
        <w:pStyle w:val="39"/>
        <w:numPr>
          <w:ilvl w:val="0"/>
          <w:numId w:val="12"/>
        </w:numPr>
        <w:spacing w:line="360" w:lineRule="auto"/>
        <w:ind w:left="567" w:hanging="567" w:firstLineChars="0"/>
        <w:rPr>
          <w:sz w:val="24"/>
          <w:highlight w:val="none"/>
        </w:rPr>
      </w:pPr>
      <w:r>
        <w:rPr>
          <w:rFonts w:hint="eastAsia"/>
          <w:sz w:val="24"/>
          <w:highlight w:val="none"/>
        </w:rPr>
        <w:t>运输保险</w:t>
      </w:r>
    </w:p>
    <w:p w14:paraId="2239F262">
      <w:pPr>
        <w:pStyle w:val="39"/>
        <w:spacing w:line="360" w:lineRule="auto"/>
        <w:ind w:left="567" w:firstLine="0" w:firstLineChars="0"/>
        <w:rPr>
          <w:rFonts w:hAnsi="宋体"/>
          <w:bCs/>
          <w:sz w:val="24"/>
          <w:highlight w:val="none"/>
        </w:rPr>
      </w:pPr>
      <w:r>
        <w:rPr>
          <w:rFonts w:hAnsi="宋体"/>
          <w:sz w:val="24"/>
          <w:highlight w:val="none"/>
        </w:rPr>
        <w:t>卖方应</w:t>
      </w:r>
      <w:r>
        <w:rPr>
          <w:rFonts w:hAnsi="宋体"/>
          <w:bCs/>
          <w:sz w:val="24"/>
          <w:highlight w:val="none"/>
        </w:rPr>
        <w:t>根据运输方式，向</w:t>
      </w:r>
      <w:r>
        <w:rPr>
          <w:rFonts w:hint="eastAsia" w:hAnsi="宋体"/>
          <w:bCs/>
          <w:sz w:val="24"/>
          <w:highlight w:val="none"/>
        </w:rPr>
        <w:t>买方认可的、拥有合法资质的著名保险公司投保货物运输一切险或综合险，保险</w:t>
      </w:r>
      <w:r>
        <w:rPr>
          <w:rFonts w:hAnsi="宋体"/>
          <w:bCs/>
          <w:sz w:val="24"/>
          <w:highlight w:val="none"/>
        </w:rPr>
        <w:t>金额不低于合同总价，</w:t>
      </w:r>
      <w:r>
        <w:rPr>
          <w:rFonts w:hint="eastAsia" w:hAnsi="宋体"/>
          <w:bCs/>
          <w:sz w:val="24"/>
          <w:highlight w:val="none"/>
        </w:rPr>
        <w:t>并将买方列为共同被保险人或受益人。保障</w:t>
      </w:r>
      <w:r>
        <w:rPr>
          <w:rFonts w:hAnsi="宋体"/>
          <w:bCs/>
          <w:sz w:val="24"/>
          <w:highlight w:val="none"/>
        </w:rPr>
        <w:t>区段为卖方制造厂存储货物的仓库到项目现场用于存储货物的仓库，</w:t>
      </w:r>
      <w:r>
        <w:rPr>
          <w:rFonts w:hint="eastAsia" w:hAnsi="宋体"/>
          <w:bCs/>
          <w:sz w:val="24"/>
          <w:highlight w:val="none"/>
        </w:rPr>
        <w:t>保险期限</w:t>
      </w:r>
      <w:r>
        <w:rPr>
          <w:rFonts w:hAnsi="宋体"/>
          <w:bCs/>
          <w:sz w:val="24"/>
          <w:highlight w:val="none"/>
        </w:rPr>
        <w:t>始于装货（含装货）止于</w:t>
      </w:r>
      <w:r>
        <w:rPr>
          <w:rFonts w:hint="eastAsia" w:hAnsi="宋体"/>
          <w:bCs/>
          <w:sz w:val="24"/>
          <w:highlight w:val="none"/>
        </w:rPr>
        <w:t>【</w:t>
      </w:r>
      <w:r>
        <w:rPr>
          <w:rFonts w:hint="eastAsia" w:hAnsi="宋体"/>
          <w:bCs/>
          <w:i/>
          <w:sz w:val="24"/>
          <w:highlight w:val="none"/>
        </w:rPr>
        <w:t>填入保险期限截止日期，如</w:t>
      </w:r>
      <w:r>
        <w:rPr>
          <w:rFonts w:hAnsi="宋体"/>
          <w:bCs/>
          <w:i/>
          <w:sz w:val="24"/>
          <w:highlight w:val="none"/>
        </w:rPr>
        <w:t>卸货后</w:t>
      </w:r>
      <w:r>
        <w:rPr>
          <w:rFonts w:hint="eastAsia" w:hAnsi="宋体"/>
          <w:bCs/>
          <w:i/>
          <w:sz w:val="24"/>
          <w:highlight w:val="none"/>
        </w:rPr>
        <w:t>十五（15）</w:t>
      </w:r>
      <w:r>
        <w:rPr>
          <w:rFonts w:hint="eastAsia" w:hAnsi="宋体"/>
          <w:bCs/>
          <w:sz w:val="24"/>
          <w:highlight w:val="none"/>
        </w:rPr>
        <w:t>】</w:t>
      </w:r>
      <w:r>
        <w:rPr>
          <w:rFonts w:hAnsi="宋体"/>
          <w:bCs/>
          <w:sz w:val="24"/>
          <w:highlight w:val="none"/>
        </w:rPr>
        <w:t>日。</w:t>
      </w:r>
    </w:p>
    <w:p w14:paraId="68A04A82">
      <w:pPr>
        <w:pStyle w:val="39"/>
        <w:numPr>
          <w:ilvl w:val="0"/>
          <w:numId w:val="12"/>
        </w:numPr>
        <w:spacing w:line="360" w:lineRule="auto"/>
        <w:ind w:firstLineChars="0"/>
        <w:rPr>
          <w:sz w:val="24"/>
          <w:highlight w:val="none"/>
        </w:rPr>
      </w:pPr>
      <w:r>
        <w:rPr>
          <w:rFonts w:hint="eastAsia"/>
          <w:highlight w:val="none"/>
        </w:rPr>
        <w:t xml:space="preserve"> </w:t>
      </w:r>
      <w:r>
        <w:rPr>
          <w:rFonts w:hint="eastAsia"/>
          <w:sz w:val="24"/>
          <w:highlight w:val="none"/>
        </w:rPr>
        <w:t>关于运输、卸货等内容的特别约定：【</w:t>
      </w:r>
      <w:r>
        <w:rPr>
          <w:rFonts w:hint="eastAsia"/>
          <w:i/>
          <w:sz w:val="24"/>
          <w:highlight w:val="none"/>
        </w:rPr>
        <w:t>如果双方对于运输、卸货等内容有特别约定，请在此处进行约定，同时，如果本条款的约定与本合同中其它条款的约定不一致，应相应进行调整和修改以保持一致</w:t>
      </w:r>
      <w:r>
        <w:rPr>
          <w:rFonts w:hint="eastAsia"/>
          <w:sz w:val="24"/>
          <w:highlight w:val="none"/>
        </w:rPr>
        <w:t>】</w:t>
      </w:r>
    </w:p>
    <w:p w14:paraId="35E29C6E">
      <w:pPr>
        <w:pStyle w:val="11"/>
        <w:numPr>
          <w:ilvl w:val="0"/>
          <w:numId w:val="3"/>
        </w:numPr>
        <w:tabs>
          <w:tab w:val="left" w:pos="567"/>
        </w:tabs>
        <w:spacing w:before="72" w:beforeLines="30" w:after="72" w:afterLines="30" w:line="360" w:lineRule="auto"/>
        <w:ind w:left="567" w:hanging="567"/>
        <w:jc w:val="left"/>
        <w:rPr>
          <w:sz w:val="24"/>
          <w:szCs w:val="24"/>
          <w:highlight w:val="none"/>
        </w:rPr>
      </w:pPr>
      <w:r>
        <w:rPr>
          <w:rFonts w:hint="eastAsia"/>
          <w:sz w:val="24"/>
          <w:szCs w:val="24"/>
          <w:highlight w:val="none"/>
        </w:rPr>
        <w:t>验收</w:t>
      </w:r>
      <w:bookmarkEnd w:id="81"/>
    </w:p>
    <w:p w14:paraId="5FB9B40D">
      <w:pPr>
        <w:numPr>
          <w:ilvl w:val="0"/>
          <w:numId w:val="13"/>
        </w:numPr>
        <w:tabs>
          <w:tab w:val="left" w:pos="567"/>
          <w:tab w:val="left" w:pos="709"/>
          <w:tab w:val="clear" w:pos="1860"/>
        </w:tabs>
        <w:snapToGrid w:val="0"/>
        <w:spacing w:before="72" w:beforeLines="30" w:after="72" w:afterLines="30" w:line="360" w:lineRule="auto"/>
        <w:ind w:left="567" w:hanging="567"/>
        <w:rPr>
          <w:b/>
          <w:sz w:val="24"/>
          <w:highlight w:val="none"/>
        </w:rPr>
      </w:pPr>
      <w:r>
        <w:rPr>
          <w:rFonts w:hint="eastAsia"/>
          <w:sz w:val="24"/>
          <w:highlight w:val="none"/>
        </w:rPr>
        <w:t>合同货物交付前，卖方应对其进行全面检验，并在交付货物时向买方提交货物的质量合格证书。</w:t>
      </w:r>
    </w:p>
    <w:p w14:paraId="75AF923F">
      <w:pPr>
        <w:numPr>
          <w:ilvl w:val="0"/>
          <w:numId w:val="13"/>
        </w:numPr>
        <w:tabs>
          <w:tab w:val="left" w:pos="567"/>
          <w:tab w:val="left" w:pos="709"/>
          <w:tab w:val="clear" w:pos="1860"/>
        </w:tabs>
        <w:snapToGrid w:val="0"/>
        <w:spacing w:before="72" w:beforeLines="30" w:after="72" w:afterLines="30" w:line="360" w:lineRule="auto"/>
        <w:ind w:left="567" w:hanging="567"/>
        <w:rPr>
          <w:b/>
          <w:sz w:val="24"/>
          <w:highlight w:val="none"/>
        </w:rPr>
      </w:pPr>
      <w:r>
        <w:rPr>
          <w:rFonts w:hint="eastAsia" w:hAnsi="宋体"/>
          <w:sz w:val="24"/>
          <w:highlight w:val="none"/>
        </w:rPr>
        <w:t>货物运抵交货地点时，双方应共同对货物进行验收。如果货物通过验收，买方向卖方签发验收证明。如货物不符合本合同的规定，买方有权拒绝接受货物。</w:t>
      </w:r>
    </w:p>
    <w:p w14:paraId="033CC303">
      <w:pPr>
        <w:numPr>
          <w:ilvl w:val="0"/>
          <w:numId w:val="13"/>
        </w:numPr>
        <w:tabs>
          <w:tab w:val="left" w:pos="567"/>
          <w:tab w:val="left" w:pos="709"/>
          <w:tab w:val="clear" w:pos="1860"/>
        </w:tabs>
        <w:snapToGrid w:val="0"/>
        <w:spacing w:before="72" w:beforeLines="30" w:after="72" w:afterLines="30" w:line="360" w:lineRule="auto"/>
        <w:ind w:left="567" w:hanging="567"/>
        <w:rPr>
          <w:sz w:val="24"/>
          <w:highlight w:val="none"/>
        </w:rPr>
      </w:pPr>
      <w:r>
        <w:rPr>
          <w:rFonts w:hint="eastAsia" w:hAnsi="宋体"/>
          <w:sz w:val="24"/>
          <w:highlight w:val="none"/>
        </w:rPr>
        <w:t>买方验收货物不减少、免除卖方在本合同项下的任何义务（包括卖方对货物应符合本合同质量、规格要求应承担的责任）。</w:t>
      </w:r>
    </w:p>
    <w:p w14:paraId="24CD2E54">
      <w:pPr>
        <w:pStyle w:val="11"/>
        <w:numPr>
          <w:ilvl w:val="0"/>
          <w:numId w:val="3"/>
        </w:numPr>
        <w:tabs>
          <w:tab w:val="left" w:pos="567"/>
        </w:tabs>
        <w:spacing w:before="72" w:beforeLines="30" w:after="72" w:afterLines="30" w:line="360" w:lineRule="auto"/>
        <w:ind w:left="567" w:hanging="567"/>
        <w:jc w:val="left"/>
        <w:rPr>
          <w:rFonts w:ascii="Times New Roman" w:hAnsi="Times New Roman"/>
          <w:sz w:val="24"/>
          <w:szCs w:val="24"/>
          <w:highlight w:val="none"/>
        </w:rPr>
      </w:pPr>
      <w:bookmarkStart w:id="82" w:name="_Toc274344115"/>
      <w:bookmarkStart w:id="83" w:name="_Toc274669181"/>
      <w:bookmarkStart w:id="84" w:name="_Toc274343583"/>
      <w:bookmarkStart w:id="85" w:name="_Toc273388514"/>
      <w:bookmarkStart w:id="86" w:name="_Toc273458613"/>
      <w:bookmarkStart w:id="87" w:name="_Toc274403515"/>
      <w:bookmarkStart w:id="88" w:name="_Toc273388613"/>
      <w:bookmarkStart w:id="89" w:name="_Toc306354316"/>
      <w:bookmarkStart w:id="90" w:name="_Toc298158366"/>
      <w:bookmarkStart w:id="91" w:name="_Toc274075980"/>
      <w:bookmarkStart w:id="92" w:name="_Toc273451799"/>
      <w:bookmarkStart w:id="93" w:name="_Toc278875415"/>
      <w:bookmarkStart w:id="94" w:name="_Toc274754050"/>
      <w:bookmarkStart w:id="95" w:name="_Toc274668240"/>
      <w:r>
        <w:rPr>
          <w:rFonts w:ascii="Times New Roman" w:hAnsi="Times New Roman"/>
          <w:sz w:val="24"/>
          <w:szCs w:val="24"/>
          <w:highlight w:val="none"/>
        </w:rPr>
        <w:t>风险和</w:t>
      </w:r>
      <w:r>
        <w:rPr>
          <w:rFonts w:hint="eastAsia" w:ascii="Times New Roman" w:hAnsi="Times New Roman"/>
          <w:sz w:val="24"/>
          <w:szCs w:val="24"/>
          <w:highlight w:val="none"/>
        </w:rPr>
        <w:t>所有</w:t>
      </w:r>
      <w:r>
        <w:rPr>
          <w:rFonts w:ascii="Times New Roman" w:hAnsi="Times New Roman"/>
          <w:sz w:val="24"/>
          <w:szCs w:val="24"/>
          <w:highlight w:val="none"/>
        </w:rPr>
        <w:t>权的转移</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9003ECC">
      <w:pPr>
        <w:numPr>
          <w:ilvl w:val="0"/>
          <w:numId w:val="14"/>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除非本合同另有明确规定，</w:t>
      </w:r>
      <w:r>
        <w:rPr>
          <w:rFonts w:hint="eastAsia"/>
          <w:sz w:val="24"/>
          <w:highlight w:val="none"/>
        </w:rPr>
        <w:t>卖方</w:t>
      </w:r>
      <w:r>
        <w:rPr>
          <w:sz w:val="24"/>
          <w:highlight w:val="none"/>
        </w:rPr>
        <w:t>在指定交货地点</w:t>
      </w:r>
      <w:r>
        <w:rPr>
          <w:rFonts w:hint="eastAsia"/>
          <w:sz w:val="24"/>
          <w:highlight w:val="none"/>
        </w:rPr>
        <w:t>将货物交付给买方且买方签收货物之</w:t>
      </w:r>
      <w:r>
        <w:rPr>
          <w:sz w:val="24"/>
          <w:highlight w:val="none"/>
        </w:rPr>
        <w:t>前</w:t>
      </w:r>
      <w:r>
        <w:rPr>
          <w:rFonts w:hint="eastAsia"/>
          <w:sz w:val="24"/>
          <w:highlight w:val="none"/>
        </w:rPr>
        <w:t>，货物的一切</w:t>
      </w:r>
      <w:r>
        <w:rPr>
          <w:sz w:val="24"/>
          <w:highlight w:val="none"/>
        </w:rPr>
        <w:t>风险</w:t>
      </w:r>
      <w:r>
        <w:rPr>
          <w:rFonts w:hint="eastAsia"/>
          <w:sz w:val="24"/>
          <w:highlight w:val="none"/>
        </w:rPr>
        <w:t>（</w:t>
      </w:r>
      <w:r>
        <w:rPr>
          <w:sz w:val="24"/>
          <w:highlight w:val="none"/>
        </w:rPr>
        <w:t>包括</w:t>
      </w:r>
      <w:r>
        <w:rPr>
          <w:rFonts w:hint="eastAsia"/>
          <w:sz w:val="24"/>
          <w:highlight w:val="none"/>
        </w:rPr>
        <w:t>货物</w:t>
      </w:r>
      <w:r>
        <w:rPr>
          <w:sz w:val="24"/>
          <w:highlight w:val="none"/>
        </w:rPr>
        <w:t>在制造、储存和</w:t>
      </w:r>
      <w:r>
        <w:rPr>
          <w:rFonts w:hint="eastAsia"/>
          <w:sz w:val="24"/>
          <w:highlight w:val="none"/>
        </w:rPr>
        <w:t>自</w:t>
      </w:r>
      <w:r>
        <w:rPr>
          <w:sz w:val="24"/>
          <w:highlight w:val="none"/>
        </w:rPr>
        <w:t>发货地点至指定</w:t>
      </w:r>
      <w:r>
        <w:rPr>
          <w:rFonts w:hint="eastAsia"/>
          <w:sz w:val="24"/>
          <w:highlight w:val="none"/>
        </w:rPr>
        <w:t>交</w:t>
      </w:r>
      <w:r>
        <w:rPr>
          <w:sz w:val="24"/>
          <w:highlight w:val="none"/>
        </w:rPr>
        <w:t>货地点运输</w:t>
      </w:r>
      <w:r>
        <w:rPr>
          <w:rFonts w:hint="eastAsia"/>
          <w:sz w:val="24"/>
          <w:highlight w:val="none"/>
        </w:rPr>
        <w:t>及装卸货</w:t>
      </w:r>
      <w:r>
        <w:rPr>
          <w:sz w:val="24"/>
          <w:highlight w:val="none"/>
        </w:rPr>
        <w:t>过程中</w:t>
      </w:r>
      <w:r>
        <w:rPr>
          <w:rFonts w:hint="eastAsia"/>
          <w:sz w:val="24"/>
          <w:highlight w:val="none"/>
        </w:rPr>
        <w:t>毁损、灭失的</w:t>
      </w:r>
      <w:r>
        <w:rPr>
          <w:sz w:val="24"/>
          <w:highlight w:val="none"/>
        </w:rPr>
        <w:t>风险</w:t>
      </w:r>
      <w:r>
        <w:rPr>
          <w:rFonts w:hint="eastAsia"/>
          <w:sz w:val="24"/>
          <w:highlight w:val="none"/>
        </w:rPr>
        <w:t>）由卖方承担。卖方在指定交货地点将货物交付给买方且买方签收货物之后，货物</w:t>
      </w:r>
      <w:r>
        <w:rPr>
          <w:sz w:val="24"/>
          <w:highlight w:val="none"/>
        </w:rPr>
        <w:t>的</w:t>
      </w:r>
      <w:r>
        <w:rPr>
          <w:rFonts w:hint="eastAsia"/>
          <w:sz w:val="24"/>
          <w:highlight w:val="none"/>
        </w:rPr>
        <w:t>一切</w:t>
      </w:r>
      <w:r>
        <w:rPr>
          <w:sz w:val="24"/>
          <w:highlight w:val="none"/>
        </w:rPr>
        <w:t>风险</w:t>
      </w:r>
      <w:r>
        <w:rPr>
          <w:rFonts w:hint="eastAsia"/>
          <w:sz w:val="24"/>
          <w:highlight w:val="none"/>
        </w:rPr>
        <w:t>由买</w:t>
      </w:r>
      <w:r>
        <w:rPr>
          <w:sz w:val="24"/>
          <w:highlight w:val="none"/>
        </w:rPr>
        <w:t>方</w:t>
      </w:r>
      <w:r>
        <w:rPr>
          <w:rFonts w:hint="eastAsia"/>
          <w:sz w:val="24"/>
          <w:highlight w:val="none"/>
        </w:rPr>
        <w:t>承担</w:t>
      </w:r>
      <w:r>
        <w:rPr>
          <w:sz w:val="24"/>
          <w:highlight w:val="none"/>
        </w:rPr>
        <w:t>。</w:t>
      </w:r>
    </w:p>
    <w:p w14:paraId="4D9858BA">
      <w:pPr>
        <w:numPr>
          <w:ilvl w:val="0"/>
          <w:numId w:val="14"/>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未经买方同意，卖方将货物留置或自行处置，不得视为货物合法、有效地交付买方。未经合法、有效交付，货物的风险仍由卖方承担。</w:t>
      </w:r>
    </w:p>
    <w:p w14:paraId="3D5533EA">
      <w:pPr>
        <w:numPr>
          <w:ilvl w:val="0"/>
          <w:numId w:val="14"/>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虽然有前述规定，但是，如果货物的风险系因卖方违反合同规定、卖方的过错或者其它可归咎于卖方的原因造成的，货物的风险由卖方承担。</w:t>
      </w:r>
    </w:p>
    <w:p w14:paraId="449D7CF7">
      <w:pPr>
        <w:numPr>
          <w:ilvl w:val="0"/>
          <w:numId w:val="14"/>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卖方在</w:t>
      </w:r>
      <w:r>
        <w:rPr>
          <w:rFonts w:hint="eastAsia"/>
          <w:sz w:val="24"/>
          <w:highlight w:val="none"/>
        </w:rPr>
        <w:t>约定</w:t>
      </w:r>
      <w:r>
        <w:rPr>
          <w:sz w:val="24"/>
          <w:highlight w:val="none"/>
        </w:rPr>
        <w:t>交货地点交货后，</w:t>
      </w:r>
      <w:r>
        <w:rPr>
          <w:rFonts w:hint="eastAsia"/>
          <w:sz w:val="24"/>
          <w:highlight w:val="none"/>
        </w:rPr>
        <w:t>货物</w:t>
      </w:r>
      <w:r>
        <w:rPr>
          <w:sz w:val="24"/>
          <w:highlight w:val="none"/>
        </w:rPr>
        <w:t>的</w:t>
      </w:r>
      <w:r>
        <w:rPr>
          <w:rFonts w:hint="eastAsia"/>
          <w:sz w:val="24"/>
          <w:highlight w:val="none"/>
        </w:rPr>
        <w:t>所有</w:t>
      </w:r>
      <w:r>
        <w:rPr>
          <w:sz w:val="24"/>
          <w:highlight w:val="none"/>
        </w:rPr>
        <w:t>权转移</w:t>
      </w:r>
      <w:r>
        <w:rPr>
          <w:rFonts w:hint="eastAsia"/>
          <w:sz w:val="24"/>
          <w:highlight w:val="none"/>
        </w:rPr>
        <w:t>至</w:t>
      </w:r>
      <w:r>
        <w:rPr>
          <w:sz w:val="24"/>
          <w:highlight w:val="none"/>
        </w:rPr>
        <w:t>买方。</w:t>
      </w:r>
    </w:p>
    <w:p w14:paraId="53DBB5EB">
      <w:pPr>
        <w:tabs>
          <w:tab w:val="left" w:pos="709"/>
          <w:tab w:val="left" w:pos="3060"/>
        </w:tabs>
        <w:spacing w:before="72" w:beforeLines="30" w:after="72" w:afterLines="30" w:line="360" w:lineRule="auto"/>
        <w:rPr>
          <w:i/>
          <w:sz w:val="24"/>
          <w:highlight w:val="none"/>
          <w:u w:val="single"/>
        </w:rPr>
      </w:pPr>
      <w:r>
        <w:rPr>
          <w:rFonts w:hint="eastAsia"/>
          <w:i/>
          <w:sz w:val="24"/>
          <w:highlight w:val="none"/>
          <w:u w:val="single"/>
        </w:rPr>
        <w:t>可选择条款—第九条技术服务条款，如不适用请删除</w:t>
      </w:r>
    </w:p>
    <w:p w14:paraId="658F5AEF">
      <w:pPr>
        <w:pStyle w:val="11"/>
        <w:numPr>
          <w:ilvl w:val="0"/>
          <w:numId w:val="3"/>
        </w:numPr>
        <w:tabs>
          <w:tab w:val="left" w:pos="993"/>
        </w:tabs>
        <w:spacing w:before="72" w:beforeLines="30" w:after="72" w:afterLines="30" w:line="360" w:lineRule="auto"/>
        <w:ind w:left="567" w:hanging="567"/>
        <w:jc w:val="left"/>
        <w:rPr>
          <w:rFonts w:ascii="Times New Roman" w:hAnsi="Times New Roman"/>
          <w:sz w:val="24"/>
          <w:szCs w:val="24"/>
          <w:highlight w:val="none"/>
        </w:rPr>
      </w:pPr>
      <w:bookmarkStart w:id="96" w:name="_Toc306354317"/>
      <w:r>
        <w:rPr>
          <w:rFonts w:hint="eastAsia" w:ascii="Times New Roman" w:hAnsi="Times New Roman"/>
          <w:sz w:val="24"/>
          <w:szCs w:val="24"/>
          <w:highlight w:val="none"/>
        </w:rPr>
        <w:t>技术服务</w:t>
      </w:r>
    </w:p>
    <w:p w14:paraId="1916BAB3">
      <w:pPr>
        <w:numPr>
          <w:ilvl w:val="0"/>
          <w:numId w:val="15"/>
        </w:numPr>
        <w:tabs>
          <w:tab w:val="left" w:pos="567"/>
          <w:tab w:val="clear" w:pos="1860"/>
        </w:tabs>
        <w:snapToGrid w:val="0"/>
        <w:spacing w:before="72" w:beforeLines="30" w:after="72" w:afterLines="30" w:line="360" w:lineRule="auto"/>
        <w:ind w:left="567" w:hanging="567"/>
        <w:rPr>
          <w:rFonts w:hAnsi="宋体"/>
          <w:sz w:val="24"/>
          <w:highlight w:val="none"/>
        </w:rPr>
      </w:pPr>
      <w:r>
        <w:rPr>
          <w:rFonts w:hint="eastAsia" w:hAnsi="宋体"/>
          <w:sz w:val="24"/>
          <w:highlight w:val="none"/>
        </w:rPr>
        <w:t>卖方应根据本合同的规定提供技术服务。相关费用已经包含在合同总价中，技术服务的内容和具体要求【</w:t>
      </w:r>
      <w:r>
        <w:rPr>
          <w:rFonts w:hint="eastAsia" w:hAnsi="宋体"/>
          <w:i/>
          <w:sz w:val="24"/>
          <w:highlight w:val="none"/>
        </w:rPr>
        <w:t>详见本合同附件二</w:t>
      </w:r>
      <w:r>
        <w:rPr>
          <w:rFonts w:hint="eastAsia" w:hAnsi="宋体"/>
          <w:sz w:val="24"/>
          <w:highlight w:val="none"/>
        </w:rPr>
        <w:t>】。</w:t>
      </w:r>
    </w:p>
    <w:p w14:paraId="7EAB1560">
      <w:pPr>
        <w:numPr>
          <w:ilvl w:val="0"/>
          <w:numId w:val="15"/>
        </w:numPr>
        <w:tabs>
          <w:tab w:val="left" w:pos="567"/>
        </w:tabs>
        <w:snapToGrid w:val="0"/>
        <w:spacing w:before="72" w:beforeLines="30" w:after="72" w:afterLines="30" w:line="360" w:lineRule="auto"/>
        <w:ind w:left="567" w:hanging="567"/>
        <w:rPr>
          <w:rFonts w:hAnsi="宋体"/>
          <w:sz w:val="24"/>
          <w:highlight w:val="none"/>
        </w:rPr>
      </w:pPr>
      <w:r>
        <w:rPr>
          <w:rFonts w:hint="eastAsia" w:hAnsi="宋体"/>
          <w:sz w:val="24"/>
          <w:highlight w:val="none"/>
        </w:rPr>
        <w:t>卖方应根据买方要求，指派服务人员到项目现场或买方指定的其它地点提供技术服务。</w:t>
      </w:r>
    </w:p>
    <w:p w14:paraId="46048198">
      <w:pPr>
        <w:numPr>
          <w:ilvl w:val="0"/>
          <w:numId w:val="15"/>
        </w:numPr>
        <w:tabs>
          <w:tab w:val="left" w:pos="567"/>
        </w:tabs>
        <w:snapToGrid w:val="0"/>
        <w:spacing w:before="72" w:beforeLines="30" w:after="72" w:afterLines="30" w:line="360" w:lineRule="auto"/>
        <w:ind w:left="567" w:hanging="567"/>
        <w:rPr>
          <w:sz w:val="24"/>
          <w:highlight w:val="none"/>
        </w:rPr>
      </w:pPr>
      <w:bookmarkStart w:id="97" w:name="_DV_C687"/>
      <w:r>
        <w:rPr>
          <w:rFonts w:hint="eastAsia" w:hAnsi="宋体"/>
          <w:sz w:val="24"/>
          <w:highlight w:val="none"/>
        </w:rPr>
        <w:t>如果买方认为卖方指派的服务人员提供的技术服务无法满足本合同的要求，卖方应更换服务人员并负担由此产生的全部费用。</w:t>
      </w:r>
      <w:bookmarkEnd w:id="97"/>
    </w:p>
    <w:p w14:paraId="46AE6B73">
      <w:pPr>
        <w:numPr>
          <w:ilvl w:val="0"/>
          <w:numId w:val="15"/>
        </w:numPr>
        <w:tabs>
          <w:tab w:val="left" w:pos="567"/>
        </w:tabs>
        <w:snapToGrid w:val="0"/>
        <w:spacing w:before="72" w:beforeLines="30" w:after="72" w:afterLines="30" w:line="360" w:lineRule="auto"/>
        <w:ind w:left="567" w:hanging="567"/>
        <w:rPr>
          <w:sz w:val="24"/>
          <w:highlight w:val="none"/>
        </w:rPr>
      </w:pPr>
      <w:r>
        <w:rPr>
          <w:rFonts w:hint="eastAsia"/>
          <w:sz w:val="24"/>
          <w:highlight w:val="none"/>
        </w:rPr>
        <w:t>卖方指派的服务人员在为买方提供技术服务期间所遭受的人身和财产损失由卖方自行承担，除非该人身损害系因买方造成或该财产损失系因买方重大过失造成。</w:t>
      </w:r>
    </w:p>
    <w:p w14:paraId="47E8D5E4">
      <w:pPr>
        <w:pStyle w:val="11"/>
        <w:numPr>
          <w:ilvl w:val="0"/>
          <w:numId w:val="3"/>
        </w:numPr>
        <w:tabs>
          <w:tab w:val="left" w:pos="993"/>
        </w:tabs>
        <w:spacing w:before="72" w:beforeLines="30" w:after="72" w:afterLines="30" w:line="360" w:lineRule="auto"/>
        <w:ind w:left="567" w:hanging="567"/>
        <w:jc w:val="left"/>
        <w:rPr>
          <w:sz w:val="24"/>
          <w:szCs w:val="24"/>
          <w:highlight w:val="none"/>
        </w:rPr>
      </w:pPr>
      <w:r>
        <w:rPr>
          <w:rFonts w:hint="eastAsia"/>
          <w:sz w:val="24"/>
          <w:szCs w:val="24"/>
          <w:highlight w:val="none"/>
        </w:rPr>
        <w:t>权利保证</w:t>
      </w:r>
      <w:bookmarkEnd w:id="96"/>
    </w:p>
    <w:p w14:paraId="7869158A">
      <w:pPr>
        <w:widowControl/>
        <w:numPr>
          <w:ilvl w:val="0"/>
          <w:numId w:val="16"/>
        </w:numPr>
        <w:tabs>
          <w:tab w:val="left" w:pos="567"/>
          <w:tab w:val="left" w:pos="709"/>
        </w:tabs>
        <w:spacing w:before="72" w:beforeLines="30" w:after="72" w:afterLines="30" w:line="360" w:lineRule="auto"/>
        <w:ind w:left="567" w:hanging="567"/>
        <w:rPr>
          <w:sz w:val="24"/>
          <w:highlight w:val="none"/>
        </w:rPr>
      </w:pPr>
      <w:r>
        <w:rPr>
          <w:sz w:val="24"/>
          <w:highlight w:val="none"/>
        </w:rPr>
        <w:t>卖方保证，</w:t>
      </w:r>
      <w:r>
        <w:rPr>
          <w:rFonts w:hint="eastAsia"/>
          <w:sz w:val="24"/>
          <w:highlight w:val="none"/>
        </w:rPr>
        <w:t>货物未</w:t>
      </w:r>
      <w:r>
        <w:rPr>
          <w:sz w:val="24"/>
          <w:highlight w:val="none"/>
        </w:rPr>
        <w:t>侵犯任何第三方的专利权、商标权</w:t>
      </w:r>
      <w:r>
        <w:rPr>
          <w:rFonts w:hint="eastAsia"/>
          <w:sz w:val="24"/>
          <w:highlight w:val="none"/>
        </w:rPr>
        <w:t>或其它知识产</w:t>
      </w:r>
      <w:r>
        <w:rPr>
          <w:sz w:val="24"/>
          <w:highlight w:val="none"/>
        </w:rPr>
        <w:t>权</w:t>
      </w:r>
      <w:r>
        <w:rPr>
          <w:rFonts w:hint="eastAsia"/>
          <w:sz w:val="24"/>
          <w:highlight w:val="none"/>
        </w:rPr>
        <w:t>，货物</w:t>
      </w:r>
      <w:r>
        <w:rPr>
          <w:sz w:val="24"/>
          <w:highlight w:val="none"/>
        </w:rPr>
        <w:t>包含的全部专利、商标</w:t>
      </w:r>
      <w:r>
        <w:rPr>
          <w:rFonts w:hint="eastAsia"/>
          <w:sz w:val="24"/>
          <w:highlight w:val="none"/>
        </w:rPr>
        <w:t>及其它知识产权</w:t>
      </w:r>
      <w:r>
        <w:rPr>
          <w:sz w:val="24"/>
          <w:highlight w:val="none"/>
        </w:rPr>
        <w:t>均为卖方</w:t>
      </w:r>
      <w:r>
        <w:rPr>
          <w:rFonts w:hint="eastAsia"/>
          <w:sz w:val="24"/>
          <w:highlight w:val="none"/>
        </w:rPr>
        <w:t>合法</w:t>
      </w:r>
      <w:r>
        <w:rPr>
          <w:sz w:val="24"/>
          <w:highlight w:val="none"/>
        </w:rPr>
        <w:t>拥有或已获得</w:t>
      </w:r>
      <w:r>
        <w:rPr>
          <w:rFonts w:hint="eastAsia"/>
          <w:sz w:val="24"/>
          <w:highlight w:val="none"/>
        </w:rPr>
        <w:t>第三方</w:t>
      </w:r>
      <w:r>
        <w:rPr>
          <w:sz w:val="24"/>
          <w:highlight w:val="none"/>
        </w:rPr>
        <w:t>的</w:t>
      </w:r>
      <w:r>
        <w:rPr>
          <w:rFonts w:hint="eastAsia"/>
          <w:sz w:val="24"/>
          <w:highlight w:val="none"/>
        </w:rPr>
        <w:t>有效</w:t>
      </w:r>
      <w:r>
        <w:rPr>
          <w:sz w:val="24"/>
          <w:highlight w:val="none"/>
        </w:rPr>
        <w:t>授权。</w:t>
      </w:r>
    </w:p>
    <w:p w14:paraId="3F2598D1">
      <w:pPr>
        <w:widowControl/>
        <w:numPr>
          <w:ilvl w:val="0"/>
          <w:numId w:val="16"/>
        </w:numPr>
        <w:tabs>
          <w:tab w:val="left" w:pos="567"/>
          <w:tab w:val="left" w:pos="709"/>
        </w:tabs>
        <w:spacing w:before="72" w:beforeLines="30" w:after="72" w:afterLines="30" w:line="360" w:lineRule="auto"/>
        <w:ind w:left="567" w:hanging="567"/>
        <w:rPr>
          <w:sz w:val="24"/>
          <w:highlight w:val="none"/>
        </w:rPr>
      </w:pPr>
      <w:r>
        <w:rPr>
          <w:sz w:val="24"/>
          <w:highlight w:val="none"/>
        </w:rPr>
        <w:t>卖方保证，</w:t>
      </w:r>
      <w:r>
        <w:rPr>
          <w:rFonts w:hint="eastAsia"/>
          <w:sz w:val="24"/>
          <w:highlight w:val="none"/>
        </w:rPr>
        <w:t>货物交付前，</w:t>
      </w:r>
      <w:r>
        <w:rPr>
          <w:sz w:val="24"/>
          <w:highlight w:val="none"/>
        </w:rPr>
        <w:t>卖方</w:t>
      </w:r>
      <w:r>
        <w:rPr>
          <w:rFonts w:hint="eastAsia"/>
          <w:sz w:val="24"/>
          <w:highlight w:val="none"/>
        </w:rPr>
        <w:t>对其货物享有完整的所有权，且货物上不存在任何形式的担保物权及其它任何权利负担，亦未</w:t>
      </w:r>
      <w:r>
        <w:rPr>
          <w:sz w:val="24"/>
          <w:highlight w:val="none"/>
        </w:rPr>
        <w:t>侵犯任何第三方的</w:t>
      </w:r>
      <w:r>
        <w:rPr>
          <w:rFonts w:hint="eastAsia"/>
          <w:sz w:val="24"/>
          <w:highlight w:val="none"/>
        </w:rPr>
        <w:t>权利。</w:t>
      </w:r>
    </w:p>
    <w:p w14:paraId="3983E9AD">
      <w:pPr>
        <w:widowControl/>
        <w:numPr>
          <w:ilvl w:val="0"/>
          <w:numId w:val="16"/>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如货物侵犯任何第三方的权利（包括</w:t>
      </w:r>
      <w:r>
        <w:rPr>
          <w:sz w:val="24"/>
          <w:highlight w:val="none"/>
        </w:rPr>
        <w:t>知识产权</w:t>
      </w:r>
      <w:r>
        <w:rPr>
          <w:rFonts w:hint="eastAsia"/>
          <w:sz w:val="24"/>
          <w:highlight w:val="none"/>
        </w:rPr>
        <w:t>）</w:t>
      </w:r>
      <w:r>
        <w:rPr>
          <w:sz w:val="24"/>
          <w:highlight w:val="none"/>
        </w:rPr>
        <w:t>，卖方应根据买方</w:t>
      </w:r>
      <w:r>
        <w:rPr>
          <w:rFonts w:hint="eastAsia"/>
          <w:sz w:val="24"/>
          <w:highlight w:val="none"/>
        </w:rPr>
        <w:t>的</w:t>
      </w:r>
      <w:r>
        <w:rPr>
          <w:sz w:val="24"/>
          <w:highlight w:val="none"/>
        </w:rPr>
        <w:t>要求</w:t>
      </w:r>
      <w:r>
        <w:rPr>
          <w:rFonts w:hint="eastAsia"/>
          <w:sz w:val="24"/>
          <w:highlight w:val="none"/>
        </w:rPr>
        <w:t>自行承担费用</w:t>
      </w:r>
      <w:r>
        <w:rPr>
          <w:sz w:val="24"/>
          <w:highlight w:val="none"/>
        </w:rPr>
        <w:t>采取一切措施确保买方继续获得</w:t>
      </w:r>
      <w:r>
        <w:rPr>
          <w:rFonts w:hint="eastAsia"/>
          <w:sz w:val="24"/>
          <w:highlight w:val="none"/>
        </w:rPr>
        <w:t>货物</w:t>
      </w:r>
      <w:r>
        <w:rPr>
          <w:sz w:val="24"/>
          <w:highlight w:val="none"/>
        </w:rPr>
        <w:t>的权利，包括为买方</w:t>
      </w:r>
      <w:r>
        <w:rPr>
          <w:rFonts w:hint="eastAsia"/>
          <w:sz w:val="24"/>
          <w:highlight w:val="none"/>
        </w:rPr>
        <w:t>的利益</w:t>
      </w:r>
      <w:r>
        <w:rPr>
          <w:sz w:val="24"/>
          <w:highlight w:val="none"/>
        </w:rPr>
        <w:t>购买</w:t>
      </w:r>
      <w:r>
        <w:rPr>
          <w:rFonts w:hint="eastAsia"/>
          <w:sz w:val="24"/>
          <w:highlight w:val="none"/>
        </w:rPr>
        <w:t>货物的全部权益（包括但不限于知识产权），或采用</w:t>
      </w:r>
      <w:r>
        <w:rPr>
          <w:sz w:val="24"/>
          <w:highlight w:val="none"/>
        </w:rPr>
        <w:t>不侵权的材料、零部件、设计、技术、工艺、方法对</w:t>
      </w:r>
      <w:r>
        <w:rPr>
          <w:rFonts w:hint="eastAsia"/>
          <w:sz w:val="24"/>
          <w:highlight w:val="none"/>
        </w:rPr>
        <w:t>货物</w:t>
      </w:r>
      <w:r>
        <w:rPr>
          <w:sz w:val="24"/>
          <w:highlight w:val="none"/>
        </w:rPr>
        <w:t>进行变更，变更后</w:t>
      </w:r>
      <w:r>
        <w:rPr>
          <w:rFonts w:hint="eastAsia"/>
          <w:sz w:val="24"/>
          <w:highlight w:val="none"/>
        </w:rPr>
        <w:t>货物</w:t>
      </w:r>
      <w:r>
        <w:rPr>
          <w:sz w:val="24"/>
          <w:highlight w:val="none"/>
        </w:rPr>
        <w:t>的功能、品质和水平应符合本合同的</w:t>
      </w:r>
      <w:r>
        <w:rPr>
          <w:rFonts w:hint="eastAsia"/>
          <w:sz w:val="24"/>
          <w:highlight w:val="none"/>
        </w:rPr>
        <w:t>规定，且</w:t>
      </w:r>
      <w:r>
        <w:rPr>
          <w:sz w:val="24"/>
          <w:highlight w:val="none"/>
        </w:rPr>
        <w:t>不低于变更前的</w:t>
      </w:r>
      <w:r>
        <w:rPr>
          <w:rFonts w:hint="eastAsia"/>
          <w:sz w:val="24"/>
          <w:highlight w:val="none"/>
        </w:rPr>
        <w:t>货物</w:t>
      </w:r>
      <w:r>
        <w:rPr>
          <w:sz w:val="24"/>
          <w:highlight w:val="none"/>
        </w:rPr>
        <w:t>。</w:t>
      </w:r>
    </w:p>
    <w:p w14:paraId="46AFAACA">
      <w:pPr>
        <w:widowControl/>
        <w:numPr>
          <w:ilvl w:val="0"/>
          <w:numId w:val="16"/>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双方同意，除非本合同另有约定，货物交付且买方按照本合同约定支付合同价款之后，买方</w:t>
      </w:r>
      <w:r>
        <w:rPr>
          <w:rFonts w:hint="eastAsia"/>
          <w:color w:val="000000"/>
          <w:sz w:val="24"/>
          <w:highlight w:val="none"/>
        </w:rPr>
        <w:t>不自动获得并拥有货物自身附有的相关知识产权，但</w:t>
      </w:r>
      <w:r>
        <w:rPr>
          <w:rFonts w:hint="eastAsia"/>
          <w:sz w:val="24"/>
          <w:highlight w:val="none"/>
        </w:rPr>
        <w:t>卖方同意无偿许可买方使用与货物有关的所有知识产权。</w:t>
      </w:r>
    </w:p>
    <w:p w14:paraId="6911532B">
      <w:pPr>
        <w:pStyle w:val="11"/>
        <w:numPr>
          <w:ilvl w:val="0"/>
          <w:numId w:val="3"/>
        </w:numPr>
        <w:tabs>
          <w:tab w:val="left" w:pos="993"/>
        </w:tabs>
        <w:spacing w:before="72" w:beforeLines="30" w:after="72" w:afterLines="30" w:line="360" w:lineRule="auto"/>
        <w:ind w:left="567" w:hanging="567"/>
        <w:jc w:val="left"/>
        <w:rPr>
          <w:sz w:val="24"/>
          <w:szCs w:val="24"/>
          <w:highlight w:val="none"/>
        </w:rPr>
      </w:pPr>
      <w:bookmarkStart w:id="98" w:name="_Toc306354318"/>
      <w:r>
        <w:rPr>
          <w:rFonts w:hint="eastAsia"/>
          <w:sz w:val="24"/>
          <w:szCs w:val="24"/>
          <w:highlight w:val="none"/>
        </w:rPr>
        <w:t xml:space="preserve"> </w:t>
      </w:r>
      <w:r>
        <w:rPr>
          <w:sz w:val="24"/>
          <w:szCs w:val="24"/>
          <w:highlight w:val="none"/>
        </w:rPr>
        <w:t>质量保证</w:t>
      </w:r>
      <w:bookmarkEnd w:id="98"/>
    </w:p>
    <w:p w14:paraId="28186245">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sz w:val="24"/>
          <w:highlight w:val="none"/>
        </w:rPr>
        <w:t>卖方特此保证提供的货物</w:t>
      </w:r>
      <w:r>
        <w:rPr>
          <w:rFonts w:hint="eastAsia"/>
          <w:sz w:val="24"/>
          <w:highlight w:val="none"/>
        </w:rPr>
        <w:t>是崭新、从未使用过的，采用先进技术制造，具备优良的制造工艺和水平，符合本合同规定的要求，不存在任何缺陷。</w:t>
      </w:r>
    </w:p>
    <w:p w14:paraId="11EA685C">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000000"/>
          <w:sz w:val="24"/>
          <w:highlight w:val="none"/>
        </w:rPr>
      </w:pPr>
      <w:r>
        <w:rPr>
          <w:rFonts w:hint="eastAsia"/>
          <w:sz w:val="24"/>
          <w:highlight w:val="none"/>
        </w:rPr>
        <w:t>货物的质保期为货物到货验收合格后</w:t>
      </w:r>
      <w:r>
        <w:rPr>
          <w:rFonts w:hint="eastAsia"/>
          <w:color w:val="000000"/>
          <w:sz w:val="24"/>
          <w:highlight w:val="none"/>
        </w:rPr>
        <w:t>【</w:t>
      </w:r>
      <w:r>
        <w:rPr>
          <w:rFonts w:hint="eastAsia"/>
          <w:i/>
          <w:color w:val="000000"/>
          <w:sz w:val="24"/>
          <w:highlight w:val="none"/>
        </w:rPr>
        <w:t>填入月数</w:t>
      </w:r>
      <w:r>
        <w:rPr>
          <w:rFonts w:hint="eastAsia"/>
          <w:color w:val="000000"/>
          <w:sz w:val="24"/>
          <w:highlight w:val="none"/>
        </w:rPr>
        <w:t>】个月。</w:t>
      </w:r>
    </w:p>
    <w:p w14:paraId="5682D629">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int="eastAsia"/>
          <w:sz w:val="24"/>
          <w:highlight w:val="none"/>
        </w:rPr>
        <w:t>质保期内，如发现货物违反本合同项下的任何保证，买方有权选择且卖方应采取下列补救措施：</w:t>
      </w:r>
    </w:p>
    <w:p w14:paraId="23D18C86">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（1）卖方对货物进行修复使货物符合本合同项下的保证和本合同的约定。卖方承担由此产生的费用。</w:t>
      </w:r>
    </w:p>
    <w:p w14:paraId="191C7478">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（2）卖方对货物进行更换使货物符合本合同项下的保证和本合同的约定。卖方承担由此产生的费用。</w:t>
      </w:r>
    </w:p>
    <w:p w14:paraId="303B9908">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（3）退货。卖方承担由此产生的费用。</w:t>
      </w:r>
    </w:p>
    <w:p w14:paraId="5231F268">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Ansi="宋体"/>
          <w:sz w:val="24"/>
          <w:highlight w:val="none"/>
        </w:rPr>
        <w:t>对于任何修复或更换，卖方应在收到</w:t>
      </w:r>
      <w:r>
        <w:rPr>
          <w:rFonts w:hint="eastAsia" w:hAnsi="宋体"/>
          <w:sz w:val="24"/>
          <w:highlight w:val="none"/>
        </w:rPr>
        <w:t>买方发出的</w:t>
      </w:r>
      <w:r>
        <w:rPr>
          <w:rFonts w:hAnsi="宋体"/>
          <w:sz w:val="24"/>
          <w:highlight w:val="none"/>
        </w:rPr>
        <w:t>货物缺陷通知后</w:t>
      </w:r>
      <w:r>
        <w:rPr>
          <w:rFonts w:hint="eastAsia"/>
          <w:color w:val="000000"/>
          <w:sz w:val="24"/>
          <w:highlight w:val="none"/>
        </w:rPr>
        <w:t>【</w:t>
      </w:r>
      <w:r>
        <w:rPr>
          <w:rFonts w:hint="eastAsia"/>
          <w:i/>
          <w:color w:val="000000"/>
          <w:sz w:val="24"/>
          <w:highlight w:val="none"/>
        </w:rPr>
        <w:t>填入天数</w:t>
      </w:r>
      <w:r>
        <w:rPr>
          <w:rFonts w:hint="eastAsia"/>
          <w:color w:val="000000"/>
          <w:sz w:val="24"/>
          <w:highlight w:val="none"/>
        </w:rPr>
        <w:t>】</w:t>
      </w:r>
      <w:r>
        <w:rPr>
          <w:rFonts w:hint="eastAsia" w:hAnsi="宋体"/>
          <w:sz w:val="24"/>
          <w:highlight w:val="none"/>
        </w:rPr>
        <w:t>日</w:t>
      </w:r>
      <w:r>
        <w:rPr>
          <w:rFonts w:hAnsi="宋体"/>
          <w:sz w:val="24"/>
          <w:highlight w:val="none"/>
        </w:rPr>
        <w:t>内完成。</w:t>
      </w:r>
      <w:r>
        <w:rPr>
          <w:rFonts w:hint="eastAsia" w:hAnsi="宋体"/>
          <w:sz w:val="24"/>
          <w:highlight w:val="none"/>
        </w:rPr>
        <w:t>若卖方到通知后未在规定的时间内及时维修、重作、更换以弥补缺陷，卖方可采取必要的补救措施，但其风险和费用将由买方承担，买方根据合同规定对买方行使的其他权利不受影响。</w:t>
      </w:r>
      <w:r>
        <w:rPr>
          <w:rFonts w:hAnsi="宋体"/>
          <w:sz w:val="24"/>
          <w:highlight w:val="none"/>
        </w:rPr>
        <w:t>如经修复、更换仍无法消除该等缺陷，买方有权要求退货。卖方应赔偿买方因货物存在前述缺陷遭受的全部损失。</w:t>
      </w:r>
    </w:p>
    <w:p w14:paraId="72FA24ED">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Ansi="宋体"/>
          <w:sz w:val="24"/>
          <w:highlight w:val="none"/>
        </w:rPr>
        <w:t>如在质保期内发生</w:t>
      </w:r>
      <w:r>
        <w:rPr>
          <w:rFonts w:hint="eastAsia" w:hAnsi="宋体"/>
          <w:sz w:val="24"/>
          <w:highlight w:val="none"/>
        </w:rPr>
        <w:t>维修、重作、更换以弥补缺陷事件，</w:t>
      </w:r>
      <w:r>
        <w:rPr>
          <w:rFonts w:hAnsi="宋体"/>
          <w:sz w:val="24"/>
          <w:highlight w:val="none"/>
        </w:rPr>
        <w:t>则相应的质保期应重新计算</w:t>
      </w:r>
      <w:r>
        <w:rPr>
          <w:rFonts w:hint="eastAsia" w:hAnsi="宋体"/>
          <w:sz w:val="24"/>
          <w:highlight w:val="none"/>
        </w:rPr>
        <w:t>。</w:t>
      </w:r>
    </w:p>
    <w:p w14:paraId="7B897D26">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int="eastAsia" w:hAnsi="宋体"/>
          <w:sz w:val="24"/>
          <w:highlight w:val="none"/>
        </w:rPr>
        <w:t>质保期结束，买方向卖方签发货物最终接收证书。买方签发最终接收证书不减少、免除卖方在本合同项下的任何义务（包括卖方对货物应符合本合同质量、规格要求应承担的责任）。</w:t>
      </w:r>
    </w:p>
    <w:p w14:paraId="1BFAE9C2">
      <w:pPr>
        <w:pStyle w:val="11"/>
        <w:numPr>
          <w:ilvl w:val="0"/>
          <w:numId w:val="3"/>
        </w:numPr>
        <w:tabs>
          <w:tab w:val="left" w:pos="993"/>
        </w:tabs>
        <w:spacing w:before="72" w:beforeLines="30" w:after="72" w:afterLines="30" w:line="360" w:lineRule="auto"/>
        <w:ind w:left="567" w:hanging="567"/>
        <w:jc w:val="left"/>
        <w:rPr>
          <w:rFonts w:ascii="Times New Roman" w:hAnsi="Times New Roman"/>
          <w:sz w:val="24"/>
          <w:szCs w:val="24"/>
          <w:highlight w:val="none"/>
        </w:rPr>
      </w:pPr>
      <w:bookmarkStart w:id="99" w:name="_Toc273451906"/>
      <w:bookmarkStart w:id="100" w:name="_Toc274075964"/>
      <w:bookmarkStart w:id="101" w:name="_Toc273451839"/>
      <w:bookmarkStart w:id="102" w:name="_Toc306354320"/>
      <w:bookmarkStart w:id="103" w:name="_Toc274403516"/>
      <w:bookmarkStart w:id="104" w:name="_Toc278875417"/>
      <w:bookmarkStart w:id="105" w:name="_Toc274344116"/>
      <w:bookmarkStart w:id="106" w:name="_Toc274076152"/>
      <w:bookmarkStart w:id="107" w:name="_Toc274754051"/>
      <w:bookmarkStart w:id="108" w:name="_Toc298158368"/>
      <w:bookmarkStart w:id="109" w:name="_Toc274343584"/>
      <w:bookmarkStart w:id="110" w:name="_Toc274669182"/>
      <w:bookmarkStart w:id="111" w:name="_Toc274668241"/>
      <w:bookmarkStart w:id="112" w:name="_Toc274075986"/>
      <w:bookmarkStart w:id="113" w:name="_Toc273388519"/>
      <w:bookmarkStart w:id="114" w:name="_Toc273451804"/>
      <w:bookmarkStart w:id="115" w:name="_Toc273458618"/>
      <w:bookmarkStart w:id="116" w:name="_Toc273388618"/>
      <w:r>
        <w:rPr>
          <w:rFonts w:hint="eastAsia" w:ascii="Times New Roman" w:hAnsi="Times New Roman"/>
          <w:sz w:val="24"/>
          <w:szCs w:val="24"/>
          <w:highlight w:val="none"/>
        </w:rPr>
        <w:t xml:space="preserve"> </w:t>
      </w:r>
      <w:r>
        <w:rPr>
          <w:rFonts w:ascii="Times New Roman" w:hAnsi="Times New Roman"/>
          <w:sz w:val="24"/>
          <w:szCs w:val="24"/>
          <w:highlight w:val="none"/>
        </w:rPr>
        <w:t>违约责任</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5CA8024F">
      <w:pPr>
        <w:numPr>
          <w:ilvl w:val="0"/>
          <w:numId w:val="18"/>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卖方发生下列任一违约行为时，应向买方支付合同总价</w:t>
      </w:r>
      <w:bookmarkStart w:id="117" w:name="OLE_LINK65"/>
      <w:bookmarkStart w:id="118" w:name="OLE_LINK64"/>
      <w:r>
        <w:rPr>
          <w:rFonts w:hint="eastAsia"/>
          <w:sz w:val="24"/>
          <w:highlight w:val="none"/>
        </w:rPr>
        <w:t>【</w:t>
      </w:r>
      <w:r>
        <w:rPr>
          <w:rFonts w:hint="eastAsia"/>
          <w:i/>
          <w:sz w:val="24"/>
          <w:highlight w:val="none"/>
        </w:rPr>
        <w:t>填入百分比</w:t>
      </w:r>
      <w:r>
        <w:rPr>
          <w:rFonts w:hint="eastAsia"/>
          <w:sz w:val="24"/>
          <w:highlight w:val="none"/>
        </w:rPr>
        <w:t>】</w:t>
      </w:r>
      <w:bookmarkEnd w:id="117"/>
      <w:bookmarkEnd w:id="118"/>
      <w:r>
        <w:rPr>
          <w:rFonts w:hint="eastAsia"/>
          <w:sz w:val="24"/>
          <w:highlight w:val="none"/>
        </w:rPr>
        <w:t>的违约金，并赔偿买方因此遭受的</w:t>
      </w:r>
      <w:r>
        <w:rPr>
          <w:rFonts w:hint="eastAsia"/>
          <w:bCs/>
          <w:sz w:val="24"/>
          <w:highlight w:val="none"/>
        </w:rPr>
        <w:t>超出违约金数额的</w:t>
      </w:r>
      <w:r>
        <w:rPr>
          <w:rFonts w:hint="eastAsia"/>
          <w:sz w:val="24"/>
          <w:highlight w:val="none"/>
        </w:rPr>
        <w:t>全部损失：</w:t>
      </w:r>
    </w:p>
    <w:p w14:paraId="6A2D2002">
      <w:pPr>
        <w:numPr>
          <w:ilvl w:val="1"/>
          <w:numId w:val="19"/>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卖方未按照合同的规定提供货物和相关服务；</w:t>
      </w:r>
    </w:p>
    <w:p w14:paraId="792A1C75">
      <w:pPr>
        <w:numPr>
          <w:ilvl w:val="1"/>
          <w:numId w:val="19"/>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卖方提供的货物不合格，且卖方未根据合同规定及时更换为合格产品；</w:t>
      </w:r>
    </w:p>
    <w:p w14:paraId="59E73B93">
      <w:pPr>
        <w:numPr>
          <w:ilvl w:val="1"/>
          <w:numId w:val="19"/>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卖方违反本合同规定的承诺、保证或其它义务。</w:t>
      </w:r>
    </w:p>
    <w:p w14:paraId="1EEFCF62">
      <w:pPr>
        <w:numPr>
          <w:ilvl w:val="0"/>
          <w:numId w:val="18"/>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就卖方的上述违约行为</w:t>
      </w:r>
      <w:r>
        <w:rPr>
          <w:rFonts w:hint="eastAsia"/>
          <w:sz w:val="24"/>
          <w:highlight w:val="none"/>
        </w:rPr>
        <w:t>，买方除有权依据本合同第12.1款要求卖方承担违约责任外，有权</w:t>
      </w:r>
      <w:r>
        <w:rPr>
          <w:sz w:val="24"/>
          <w:highlight w:val="none"/>
        </w:rPr>
        <w:t>向卖方出具书面通知，要求卖方进行更正或整改</w:t>
      </w:r>
      <w:r>
        <w:rPr>
          <w:rFonts w:hint="eastAsia"/>
          <w:sz w:val="24"/>
          <w:highlight w:val="none"/>
        </w:rPr>
        <w:t>。如</w:t>
      </w:r>
      <w:r>
        <w:rPr>
          <w:sz w:val="24"/>
          <w:highlight w:val="none"/>
        </w:rPr>
        <w:t>卖方</w:t>
      </w:r>
      <w:r>
        <w:rPr>
          <w:rFonts w:hint="eastAsia"/>
          <w:sz w:val="24"/>
          <w:highlight w:val="none"/>
        </w:rPr>
        <w:t>收到该等通知后【</w:t>
      </w:r>
      <w:r>
        <w:rPr>
          <w:rFonts w:hint="eastAsia"/>
          <w:i/>
          <w:sz w:val="24"/>
          <w:highlight w:val="none"/>
        </w:rPr>
        <w:t>填入工作日数，如十（</w:t>
      </w:r>
      <w:r>
        <w:rPr>
          <w:i/>
          <w:sz w:val="24"/>
          <w:highlight w:val="none"/>
        </w:rPr>
        <w:t>10</w:t>
      </w:r>
      <w:r>
        <w:rPr>
          <w:rFonts w:hint="eastAsia"/>
          <w:i/>
          <w:sz w:val="24"/>
          <w:highlight w:val="none"/>
        </w:rPr>
        <w:t>）</w:t>
      </w:r>
      <w:r>
        <w:rPr>
          <w:rFonts w:hint="eastAsia"/>
          <w:sz w:val="24"/>
          <w:highlight w:val="none"/>
        </w:rPr>
        <w:t>】</w:t>
      </w:r>
      <w:r>
        <w:rPr>
          <w:sz w:val="24"/>
          <w:highlight w:val="none"/>
        </w:rPr>
        <w:t>个工作日内未按照买方要求</w:t>
      </w:r>
      <w:r>
        <w:rPr>
          <w:rFonts w:hint="eastAsia"/>
          <w:sz w:val="24"/>
          <w:highlight w:val="none"/>
        </w:rPr>
        <w:t>作出</w:t>
      </w:r>
      <w:r>
        <w:rPr>
          <w:sz w:val="24"/>
          <w:highlight w:val="none"/>
        </w:rPr>
        <w:t>更正或进行整改的，买方有权立即</w:t>
      </w:r>
      <w:r>
        <w:rPr>
          <w:rFonts w:hint="eastAsia"/>
          <w:sz w:val="24"/>
          <w:highlight w:val="none"/>
        </w:rPr>
        <w:t>解除</w:t>
      </w:r>
      <w:r>
        <w:rPr>
          <w:sz w:val="24"/>
          <w:highlight w:val="none"/>
        </w:rPr>
        <w:t>本合同，卖方应赔偿买方</w:t>
      </w:r>
      <w:r>
        <w:rPr>
          <w:rFonts w:hint="eastAsia"/>
          <w:sz w:val="24"/>
          <w:highlight w:val="none"/>
        </w:rPr>
        <w:t>因此</w:t>
      </w:r>
      <w:r>
        <w:rPr>
          <w:sz w:val="24"/>
          <w:highlight w:val="none"/>
        </w:rPr>
        <w:t>而遭受的</w:t>
      </w:r>
      <w:r>
        <w:rPr>
          <w:rFonts w:hint="eastAsia"/>
          <w:bCs/>
          <w:sz w:val="24"/>
          <w:highlight w:val="none"/>
        </w:rPr>
        <w:t>超出违约金数额的</w:t>
      </w:r>
      <w:r>
        <w:rPr>
          <w:sz w:val="24"/>
          <w:highlight w:val="none"/>
        </w:rPr>
        <w:t>全部损失。</w:t>
      </w:r>
    </w:p>
    <w:p w14:paraId="481054C1">
      <w:pPr>
        <w:numPr>
          <w:ilvl w:val="0"/>
          <w:numId w:val="18"/>
        </w:numPr>
        <w:tabs>
          <w:tab w:val="left" w:pos="567"/>
          <w:tab w:val="left" w:pos="709"/>
          <w:tab w:val="left" w:pos="3060"/>
        </w:tabs>
        <w:spacing w:before="72" w:beforeLines="30" w:after="72" w:afterLines="30" w:line="360" w:lineRule="auto"/>
        <w:ind w:left="567" w:hanging="567"/>
        <w:rPr>
          <w:rFonts w:hAnsi="宋体"/>
          <w:bCs/>
          <w:sz w:val="24"/>
          <w:highlight w:val="none"/>
        </w:rPr>
      </w:pPr>
      <w:r>
        <w:rPr>
          <w:rFonts w:hint="eastAsia"/>
          <w:sz w:val="24"/>
          <w:highlight w:val="none"/>
        </w:rPr>
        <w:t>如卖方未能在交付日期交付货物，每延期交付一日，卖方应向买方支付合同总价的【</w:t>
      </w:r>
      <w:r>
        <w:rPr>
          <w:rFonts w:hint="eastAsia"/>
          <w:i/>
          <w:sz w:val="24"/>
          <w:highlight w:val="none"/>
        </w:rPr>
        <w:t>填入百分比</w:t>
      </w:r>
      <w:r>
        <w:rPr>
          <w:rFonts w:hint="eastAsia"/>
          <w:sz w:val="24"/>
          <w:highlight w:val="none"/>
        </w:rPr>
        <w:t>】作为延期违约金，但是，该等延期违约金最高不得超过合同总价的【</w:t>
      </w:r>
      <w:r>
        <w:rPr>
          <w:rFonts w:hint="eastAsia"/>
          <w:i/>
          <w:sz w:val="24"/>
          <w:highlight w:val="none"/>
        </w:rPr>
        <w:t>填入百分比</w:t>
      </w:r>
      <w:r>
        <w:rPr>
          <w:rFonts w:hint="eastAsia"/>
          <w:sz w:val="24"/>
          <w:highlight w:val="none"/>
        </w:rPr>
        <w:t>】。</w:t>
      </w:r>
      <w:r>
        <w:rPr>
          <w:rFonts w:hint="eastAsia" w:hAnsi="宋体"/>
          <w:bCs/>
          <w:sz w:val="24"/>
          <w:highlight w:val="none"/>
        </w:rPr>
        <w:t>如延期超过</w:t>
      </w:r>
      <w:r>
        <w:rPr>
          <w:rFonts w:hAnsi="宋体"/>
          <w:bCs/>
          <w:sz w:val="24"/>
          <w:highlight w:val="none"/>
        </w:rPr>
        <w:t>【</w:t>
      </w:r>
      <w:r>
        <w:rPr>
          <w:rFonts w:hint="eastAsia" w:hAnsi="宋体"/>
          <w:bCs/>
          <w:i/>
          <w:sz w:val="24"/>
          <w:highlight w:val="none"/>
        </w:rPr>
        <w:t>填入天数</w:t>
      </w:r>
      <w:r>
        <w:rPr>
          <w:rFonts w:hAnsi="宋体"/>
          <w:bCs/>
          <w:sz w:val="24"/>
          <w:highlight w:val="none"/>
        </w:rPr>
        <w:t>】</w:t>
      </w:r>
      <w:r>
        <w:rPr>
          <w:rFonts w:hint="eastAsia" w:hAnsi="宋体"/>
          <w:bCs/>
          <w:sz w:val="24"/>
          <w:highlight w:val="none"/>
        </w:rPr>
        <w:t>日，除要求卖方支付违约金外，买方有权解除本合同，并有权要求卖方赔偿买方因此遭受的</w:t>
      </w:r>
      <w:r>
        <w:rPr>
          <w:rFonts w:hint="eastAsia"/>
          <w:bCs/>
          <w:sz w:val="24"/>
          <w:highlight w:val="none"/>
        </w:rPr>
        <w:t>超出违约金数额的</w:t>
      </w:r>
      <w:r>
        <w:rPr>
          <w:rFonts w:hint="eastAsia" w:hAnsi="宋体"/>
          <w:bCs/>
          <w:sz w:val="24"/>
          <w:highlight w:val="none"/>
        </w:rPr>
        <w:t>全部损失。</w:t>
      </w:r>
    </w:p>
    <w:p w14:paraId="1C090618">
      <w:pPr>
        <w:numPr>
          <w:ilvl w:val="0"/>
          <w:numId w:val="18"/>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如仅因买方原因，买方逾期向卖方付款，卖方应向买方发出书面催款通知，买方应在收到该等通知后【填入天数】日内付款，否则，即应自该等【填入天数】日期间结束之日起，按合同订立时1年期贷款市场报价利率计算并支付应付未付合同价款的利息，最高不超过相关应付未付合同价款的【填入百分比】。双方同意，该等利息的支付是买方就未能如期支付相关合同价款所需承担的全部责任。</w:t>
      </w:r>
    </w:p>
    <w:p w14:paraId="58CD55BB">
      <w:pPr>
        <w:numPr>
          <w:ilvl w:val="0"/>
          <w:numId w:val="18"/>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卖方根据本合同的规定应承担违约金或赔偿责任的，买方有权从合同总价余额</w:t>
      </w:r>
      <w:r>
        <w:rPr>
          <w:rFonts w:hint="eastAsia"/>
          <w:sz w:val="24"/>
          <w:highlight w:val="none"/>
        </w:rPr>
        <w:t>中直接扣除</w:t>
      </w:r>
      <w:r>
        <w:rPr>
          <w:sz w:val="24"/>
          <w:highlight w:val="none"/>
        </w:rPr>
        <w:t>。</w:t>
      </w:r>
    </w:p>
    <w:p w14:paraId="27E02AC9">
      <w:pPr>
        <w:pStyle w:val="11"/>
        <w:numPr>
          <w:ilvl w:val="0"/>
          <w:numId w:val="3"/>
        </w:numPr>
        <w:tabs>
          <w:tab w:val="left" w:pos="993"/>
        </w:tabs>
        <w:spacing w:before="72" w:beforeLines="30" w:after="72" w:afterLines="30" w:line="360" w:lineRule="auto"/>
        <w:ind w:left="567" w:hanging="567"/>
        <w:jc w:val="left"/>
        <w:rPr>
          <w:sz w:val="24"/>
          <w:szCs w:val="24"/>
          <w:highlight w:val="none"/>
        </w:rPr>
      </w:pPr>
      <w:r>
        <w:rPr>
          <w:rFonts w:hint="eastAsia"/>
          <w:sz w:val="24"/>
          <w:highlight w:val="none"/>
        </w:rPr>
        <w:t xml:space="preserve"> </w:t>
      </w:r>
      <w:bookmarkStart w:id="119" w:name="_Toc306354321"/>
      <w:r>
        <w:rPr>
          <w:rFonts w:hint="eastAsia" w:ascii="Times New Roman" w:hAnsi="Times New Roman"/>
          <w:sz w:val="24"/>
          <w:szCs w:val="24"/>
          <w:highlight w:val="none"/>
        </w:rPr>
        <w:t>合同的解除和</w:t>
      </w:r>
      <w:r>
        <w:rPr>
          <w:sz w:val="24"/>
          <w:szCs w:val="24"/>
          <w:highlight w:val="none"/>
        </w:rPr>
        <w:t>终止</w:t>
      </w:r>
      <w:bookmarkEnd w:id="119"/>
    </w:p>
    <w:p w14:paraId="3646892D">
      <w:pPr>
        <w:numPr>
          <w:ilvl w:val="0"/>
          <w:numId w:val="20"/>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如</w:t>
      </w:r>
      <w:r>
        <w:rPr>
          <w:rFonts w:hAnsi="宋体"/>
          <w:color w:val="000000"/>
          <w:sz w:val="24"/>
          <w:highlight w:val="none"/>
        </w:rPr>
        <w:t>发生以下任</w:t>
      </w:r>
      <w:r>
        <w:rPr>
          <w:rFonts w:hint="eastAsia" w:hAnsi="宋体"/>
          <w:color w:val="000000"/>
          <w:sz w:val="24"/>
          <w:highlight w:val="none"/>
        </w:rPr>
        <w:t>一情形，经书面通知卖方，</w:t>
      </w:r>
      <w:r>
        <w:rPr>
          <w:rFonts w:hAnsi="宋体"/>
          <w:color w:val="000000"/>
          <w:sz w:val="24"/>
          <w:highlight w:val="none"/>
        </w:rPr>
        <w:t>买方</w:t>
      </w:r>
      <w:r>
        <w:rPr>
          <w:rFonts w:hint="eastAsia" w:hAnsi="宋体"/>
          <w:color w:val="000000"/>
          <w:sz w:val="24"/>
          <w:highlight w:val="none"/>
        </w:rPr>
        <w:t>有权解除本</w:t>
      </w:r>
      <w:r>
        <w:rPr>
          <w:rFonts w:hAnsi="宋体"/>
          <w:color w:val="000000"/>
          <w:sz w:val="24"/>
          <w:highlight w:val="none"/>
        </w:rPr>
        <w:t>合同：</w:t>
      </w:r>
      <w:r>
        <w:rPr>
          <w:rFonts w:hint="eastAsia" w:hAnsi="宋体"/>
          <w:color w:val="000000"/>
          <w:sz w:val="24"/>
          <w:highlight w:val="none"/>
        </w:rPr>
        <w:t xml:space="preserve"> </w:t>
      </w:r>
    </w:p>
    <w:p w14:paraId="1626B889">
      <w:pPr>
        <w:widowControl/>
        <w:numPr>
          <w:ilvl w:val="0"/>
          <w:numId w:val="21"/>
        </w:numPr>
        <w:tabs>
          <w:tab w:val="left" w:pos="993"/>
          <w:tab w:val="clear" w:pos="840"/>
        </w:tabs>
        <w:spacing w:before="72" w:beforeLines="30" w:after="72" w:afterLines="30" w:line="360" w:lineRule="auto"/>
        <w:ind w:left="1378" w:leftChars="270" w:hanging="811" w:hangingChars="338"/>
        <w:jc w:val="left"/>
        <w:rPr>
          <w:sz w:val="24"/>
          <w:highlight w:val="none"/>
        </w:rPr>
      </w:pPr>
      <w:r>
        <w:rPr>
          <w:rFonts w:hint="eastAsia"/>
          <w:sz w:val="24"/>
          <w:highlight w:val="none"/>
        </w:rPr>
        <w:t>本合同明确规定买方有权解除合同的情形；</w:t>
      </w:r>
    </w:p>
    <w:p w14:paraId="4CEE1BDD">
      <w:pPr>
        <w:widowControl/>
        <w:numPr>
          <w:ilvl w:val="0"/>
          <w:numId w:val="21"/>
        </w:numPr>
        <w:tabs>
          <w:tab w:val="left" w:pos="993"/>
          <w:tab w:val="clear" w:pos="840"/>
        </w:tabs>
        <w:spacing w:before="72" w:beforeLines="30" w:after="72" w:afterLines="30" w:line="360" w:lineRule="auto"/>
        <w:ind w:left="1378" w:leftChars="270" w:hanging="811" w:hangingChars="338"/>
        <w:jc w:val="left"/>
        <w:rPr>
          <w:sz w:val="24"/>
          <w:highlight w:val="none"/>
        </w:rPr>
      </w:pPr>
      <w:r>
        <w:rPr>
          <w:sz w:val="24"/>
          <w:highlight w:val="none"/>
        </w:rPr>
        <w:t>卖方破产、资不抵债、停业清理、解散、被兼并、被查封</w:t>
      </w:r>
      <w:r>
        <w:rPr>
          <w:rFonts w:hint="eastAsia"/>
          <w:sz w:val="24"/>
          <w:highlight w:val="none"/>
        </w:rPr>
        <w:t>；</w:t>
      </w:r>
    </w:p>
    <w:p w14:paraId="583BDC7D">
      <w:pPr>
        <w:widowControl/>
        <w:numPr>
          <w:ilvl w:val="0"/>
          <w:numId w:val="21"/>
        </w:numPr>
        <w:tabs>
          <w:tab w:val="left" w:pos="993"/>
          <w:tab w:val="clear" w:pos="840"/>
        </w:tabs>
        <w:spacing w:before="72" w:beforeLines="30" w:after="72" w:afterLines="30" w:line="360" w:lineRule="auto"/>
        <w:ind w:left="1378" w:leftChars="270" w:hanging="811" w:hangingChars="338"/>
        <w:jc w:val="left"/>
        <w:rPr>
          <w:sz w:val="24"/>
          <w:highlight w:val="none"/>
        </w:rPr>
      </w:pPr>
      <w:r>
        <w:rPr>
          <w:sz w:val="24"/>
          <w:highlight w:val="none"/>
        </w:rPr>
        <w:t>卖方</w:t>
      </w:r>
      <w:r>
        <w:rPr>
          <w:rFonts w:hint="eastAsia"/>
          <w:sz w:val="24"/>
          <w:highlight w:val="none"/>
        </w:rPr>
        <w:t>发生其它严重违约</w:t>
      </w:r>
      <w:r>
        <w:rPr>
          <w:sz w:val="24"/>
          <w:highlight w:val="none"/>
        </w:rPr>
        <w:t>，</w:t>
      </w:r>
      <w:r>
        <w:rPr>
          <w:rFonts w:hint="eastAsia"/>
          <w:sz w:val="24"/>
          <w:highlight w:val="none"/>
        </w:rPr>
        <w:t>且未在买方要求的合理期限内纠正；</w:t>
      </w:r>
    </w:p>
    <w:p w14:paraId="3453C0D6">
      <w:pPr>
        <w:widowControl/>
        <w:numPr>
          <w:ilvl w:val="0"/>
          <w:numId w:val="21"/>
        </w:numPr>
        <w:tabs>
          <w:tab w:val="left" w:pos="993"/>
          <w:tab w:val="clear" w:pos="840"/>
        </w:tabs>
        <w:spacing w:before="72" w:beforeLines="30" w:after="72" w:afterLines="30" w:line="360" w:lineRule="auto"/>
        <w:ind w:left="1378" w:leftChars="270" w:hanging="811" w:hangingChars="338"/>
        <w:jc w:val="left"/>
        <w:rPr>
          <w:sz w:val="24"/>
          <w:highlight w:val="none"/>
        </w:rPr>
      </w:pPr>
      <w:r>
        <w:rPr>
          <w:rFonts w:hint="eastAsia"/>
          <w:sz w:val="24"/>
          <w:highlight w:val="none"/>
        </w:rPr>
        <w:t>不可抗力</w:t>
      </w:r>
      <w:r>
        <w:rPr>
          <w:sz w:val="24"/>
          <w:highlight w:val="none"/>
        </w:rPr>
        <w:t>持续超过【</w:t>
      </w:r>
      <w:r>
        <w:rPr>
          <w:rFonts w:hint="eastAsia"/>
          <w:i/>
          <w:sz w:val="24"/>
          <w:highlight w:val="none"/>
        </w:rPr>
        <w:t>填入天数，如六十（60）</w:t>
      </w:r>
      <w:r>
        <w:rPr>
          <w:sz w:val="24"/>
          <w:highlight w:val="none"/>
        </w:rPr>
        <w:t>】</w:t>
      </w:r>
      <w:r>
        <w:rPr>
          <w:rFonts w:hint="eastAsia"/>
          <w:sz w:val="24"/>
          <w:highlight w:val="none"/>
        </w:rPr>
        <w:t>日。</w:t>
      </w:r>
    </w:p>
    <w:p w14:paraId="3913C476">
      <w:pPr>
        <w:numPr>
          <w:ilvl w:val="0"/>
          <w:numId w:val="20"/>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如因卖方违约买方解除本合同，</w:t>
      </w:r>
      <w:r>
        <w:rPr>
          <w:rFonts w:hAnsi="宋体"/>
          <w:color w:val="000000"/>
          <w:sz w:val="24"/>
          <w:highlight w:val="none"/>
        </w:rPr>
        <w:t>卖方应退回买方已经支付的</w:t>
      </w:r>
      <w:r>
        <w:rPr>
          <w:rFonts w:hint="eastAsia" w:hAnsi="宋体"/>
          <w:color w:val="000000"/>
          <w:sz w:val="24"/>
          <w:highlight w:val="none"/>
        </w:rPr>
        <w:t>全部款项，并根据本合同规定支付违约金，并且买方有权要求卖方赔偿其因此遭受的</w:t>
      </w:r>
      <w:r>
        <w:rPr>
          <w:rFonts w:hint="eastAsia"/>
          <w:bCs/>
          <w:sz w:val="24"/>
          <w:highlight w:val="none"/>
        </w:rPr>
        <w:t>超出违约金数额的</w:t>
      </w:r>
      <w:r>
        <w:rPr>
          <w:rFonts w:hint="eastAsia" w:hAnsi="宋体"/>
          <w:color w:val="000000"/>
          <w:sz w:val="24"/>
          <w:highlight w:val="none"/>
        </w:rPr>
        <w:t>全部损失。</w:t>
      </w:r>
      <w:r>
        <w:rPr>
          <w:rFonts w:hAnsi="宋体"/>
          <w:color w:val="000000"/>
          <w:sz w:val="24"/>
          <w:highlight w:val="none"/>
        </w:rPr>
        <w:t>买方</w:t>
      </w:r>
      <w:r>
        <w:rPr>
          <w:rFonts w:hint="eastAsia" w:hAnsi="宋体"/>
          <w:color w:val="000000"/>
          <w:sz w:val="24"/>
          <w:highlight w:val="none"/>
        </w:rPr>
        <w:t>有权以</w:t>
      </w:r>
      <w:r>
        <w:rPr>
          <w:rFonts w:hAnsi="宋体"/>
          <w:color w:val="000000"/>
          <w:sz w:val="24"/>
          <w:highlight w:val="none"/>
        </w:rPr>
        <w:t>适当的条件和方式</w:t>
      </w:r>
      <w:r>
        <w:rPr>
          <w:rFonts w:hint="eastAsia" w:hAnsi="宋体"/>
          <w:color w:val="000000"/>
          <w:sz w:val="24"/>
          <w:highlight w:val="none"/>
        </w:rPr>
        <w:t>购买同等货物</w:t>
      </w:r>
      <w:r>
        <w:rPr>
          <w:rFonts w:hAnsi="宋体"/>
          <w:color w:val="000000"/>
          <w:sz w:val="24"/>
          <w:highlight w:val="none"/>
        </w:rPr>
        <w:t>，卖方应</w:t>
      </w:r>
      <w:r>
        <w:rPr>
          <w:rFonts w:hint="eastAsia" w:hAnsi="宋体"/>
          <w:color w:val="000000"/>
          <w:sz w:val="24"/>
          <w:highlight w:val="none"/>
        </w:rPr>
        <w:t>承</w:t>
      </w:r>
      <w:r>
        <w:rPr>
          <w:rFonts w:hAnsi="宋体"/>
          <w:color w:val="000000"/>
          <w:sz w:val="24"/>
          <w:highlight w:val="none"/>
        </w:rPr>
        <w:t>担</w:t>
      </w:r>
      <w:r>
        <w:rPr>
          <w:rFonts w:hint="eastAsia" w:hAnsi="宋体"/>
          <w:color w:val="000000"/>
          <w:sz w:val="24"/>
          <w:highlight w:val="none"/>
        </w:rPr>
        <w:t>买方</w:t>
      </w:r>
      <w:r>
        <w:rPr>
          <w:rFonts w:hAnsi="宋体"/>
          <w:color w:val="000000"/>
          <w:sz w:val="24"/>
          <w:highlight w:val="none"/>
        </w:rPr>
        <w:t>购买</w:t>
      </w:r>
      <w:r>
        <w:rPr>
          <w:rFonts w:hint="eastAsia" w:hAnsi="宋体"/>
          <w:color w:val="000000"/>
          <w:sz w:val="24"/>
          <w:highlight w:val="none"/>
        </w:rPr>
        <w:t>同等货物的差额费用</w:t>
      </w:r>
      <w:r>
        <w:rPr>
          <w:rFonts w:hAnsi="宋体"/>
          <w:color w:val="000000"/>
          <w:sz w:val="24"/>
          <w:highlight w:val="none"/>
        </w:rPr>
        <w:t>。</w:t>
      </w:r>
    </w:p>
    <w:p w14:paraId="153DEFFC">
      <w:pPr>
        <w:numPr>
          <w:ilvl w:val="0"/>
          <w:numId w:val="20"/>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无论基于何种原因，经</w:t>
      </w:r>
      <w:r>
        <w:rPr>
          <w:rFonts w:hAnsi="宋体"/>
          <w:color w:val="000000"/>
          <w:sz w:val="24"/>
          <w:highlight w:val="none"/>
        </w:rPr>
        <w:t>提前【</w:t>
      </w:r>
      <w:r>
        <w:rPr>
          <w:rFonts w:hint="eastAsia" w:hAnsi="宋体"/>
          <w:i/>
          <w:color w:val="000000"/>
          <w:sz w:val="24"/>
          <w:highlight w:val="none"/>
        </w:rPr>
        <w:t>填入天数，如十五（15）</w:t>
      </w:r>
      <w:r>
        <w:rPr>
          <w:rFonts w:hAnsi="宋体"/>
          <w:color w:val="000000"/>
          <w:sz w:val="24"/>
          <w:highlight w:val="none"/>
        </w:rPr>
        <w:t>】</w:t>
      </w:r>
      <w:r>
        <w:rPr>
          <w:rFonts w:hint="eastAsia" w:hAnsi="宋体"/>
          <w:color w:val="000000"/>
          <w:sz w:val="24"/>
          <w:highlight w:val="none"/>
        </w:rPr>
        <w:t>日</w:t>
      </w:r>
      <w:r>
        <w:rPr>
          <w:rFonts w:hAnsi="宋体"/>
          <w:color w:val="000000"/>
          <w:sz w:val="24"/>
          <w:highlight w:val="none"/>
        </w:rPr>
        <w:t>书面通知</w:t>
      </w:r>
      <w:r>
        <w:rPr>
          <w:rFonts w:hint="eastAsia" w:hAnsi="宋体"/>
          <w:color w:val="000000"/>
          <w:sz w:val="24"/>
          <w:highlight w:val="none"/>
        </w:rPr>
        <w:t>卖方</w:t>
      </w:r>
      <w:r>
        <w:rPr>
          <w:rFonts w:hAnsi="宋体"/>
          <w:color w:val="000000"/>
          <w:sz w:val="24"/>
          <w:highlight w:val="none"/>
        </w:rPr>
        <w:t>，买方有权随时</w:t>
      </w:r>
      <w:r>
        <w:rPr>
          <w:rFonts w:hint="eastAsia" w:hAnsi="宋体"/>
          <w:color w:val="000000"/>
          <w:sz w:val="24"/>
          <w:highlight w:val="none"/>
        </w:rPr>
        <w:t>终止</w:t>
      </w:r>
      <w:r>
        <w:rPr>
          <w:rFonts w:hAnsi="宋体"/>
          <w:color w:val="000000"/>
          <w:sz w:val="24"/>
          <w:highlight w:val="none"/>
        </w:rPr>
        <w:t>合同。卖方</w:t>
      </w:r>
      <w:r>
        <w:rPr>
          <w:rFonts w:hint="eastAsia" w:hAnsi="宋体"/>
          <w:color w:val="000000"/>
          <w:sz w:val="24"/>
          <w:highlight w:val="none"/>
        </w:rPr>
        <w:t>收到</w:t>
      </w:r>
      <w:r>
        <w:rPr>
          <w:rFonts w:hAnsi="宋体"/>
          <w:color w:val="000000"/>
          <w:sz w:val="24"/>
          <w:highlight w:val="none"/>
        </w:rPr>
        <w:t>买方</w:t>
      </w:r>
      <w:r>
        <w:rPr>
          <w:rFonts w:hint="eastAsia" w:hAnsi="宋体"/>
          <w:color w:val="000000"/>
          <w:sz w:val="24"/>
          <w:highlight w:val="none"/>
        </w:rPr>
        <w:t>终止</w:t>
      </w:r>
      <w:r>
        <w:rPr>
          <w:rFonts w:hAnsi="宋体"/>
          <w:color w:val="000000"/>
          <w:sz w:val="24"/>
          <w:highlight w:val="none"/>
        </w:rPr>
        <w:t>合同的</w:t>
      </w:r>
      <w:r>
        <w:rPr>
          <w:rFonts w:hint="eastAsia" w:hAnsi="宋体"/>
          <w:color w:val="000000"/>
          <w:sz w:val="24"/>
          <w:highlight w:val="none"/>
        </w:rPr>
        <w:t>书面</w:t>
      </w:r>
      <w:r>
        <w:rPr>
          <w:rFonts w:hAnsi="宋体"/>
          <w:color w:val="000000"/>
          <w:sz w:val="24"/>
          <w:highlight w:val="none"/>
        </w:rPr>
        <w:t>通知</w:t>
      </w:r>
      <w:r>
        <w:rPr>
          <w:rFonts w:hint="eastAsia" w:hAnsi="宋体"/>
          <w:color w:val="000000"/>
          <w:sz w:val="24"/>
          <w:highlight w:val="none"/>
        </w:rPr>
        <w:t>后，</w:t>
      </w:r>
      <w:r>
        <w:rPr>
          <w:rFonts w:hAnsi="宋体"/>
          <w:color w:val="000000"/>
          <w:sz w:val="24"/>
          <w:highlight w:val="none"/>
        </w:rPr>
        <w:t>应立即停止</w:t>
      </w:r>
      <w:r>
        <w:rPr>
          <w:rFonts w:hint="eastAsia" w:hAnsi="宋体"/>
          <w:color w:val="000000"/>
          <w:sz w:val="24"/>
          <w:highlight w:val="none"/>
        </w:rPr>
        <w:t>实施与</w:t>
      </w:r>
      <w:r>
        <w:rPr>
          <w:rFonts w:hAnsi="宋体"/>
          <w:color w:val="000000"/>
          <w:sz w:val="24"/>
          <w:highlight w:val="none"/>
        </w:rPr>
        <w:t>本合同</w:t>
      </w:r>
      <w:r>
        <w:rPr>
          <w:rFonts w:hint="eastAsia" w:hAnsi="宋体"/>
          <w:color w:val="000000"/>
          <w:sz w:val="24"/>
          <w:highlight w:val="none"/>
        </w:rPr>
        <w:t>有</w:t>
      </w:r>
      <w:r>
        <w:rPr>
          <w:rFonts w:hAnsi="宋体"/>
          <w:color w:val="000000"/>
          <w:sz w:val="24"/>
          <w:highlight w:val="none"/>
        </w:rPr>
        <w:t>关的工作并对</w:t>
      </w:r>
      <w:r>
        <w:rPr>
          <w:rFonts w:hint="eastAsia" w:hAnsi="宋体"/>
          <w:color w:val="000000"/>
          <w:sz w:val="24"/>
          <w:highlight w:val="none"/>
        </w:rPr>
        <w:t>已履行</w:t>
      </w:r>
      <w:r>
        <w:rPr>
          <w:rFonts w:hAnsi="宋体"/>
          <w:color w:val="000000"/>
          <w:sz w:val="24"/>
          <w:highlight w:val="none"/>
        </w:rPr>
        <w:t>的</w:t>
      </w:r>
      <w:r>
        <w:rPr>
          <w:rFonts w:hint="eastAsia" w:hAnsi="宋体"/>
          <w:color w:val="000000"/>
          <w:sz w:val="24"/>
          <w:highlight w:val="none"/>
        </w:rPr>
        <w:t>部分</w:t>
      </w:r>
      <w:r>
        <w:rPr>
          <w:rFonts w:hAnsi="宋体"/>
          <w:color w:val="000000"/>
          <w:sz w:val="24"/>
          <w:highlight w:val="none"/>
        </w:rPr>
        <w:t>进行结算。买方收到卖方的结算</w:t>
      </w:r>
      <w:r>
        <w:rPr>
          <w:rFonts w:hint="eastAsia" w:hAnsi="宋体"/>
          <w:color w:val="000000"/>
          <w:sz w:val="24"/>
          <w:highlight w:val="none"/>
        </w:rPr>
        <w:t>要求</w:t>
      </w:r>
      <w:r>
        <w:rPr>
          <w:rFonts w:hAnsi="宋体"/>
          <w:color w:val="000000"/>
          <w:sz w:val="24"/>
          <w:highlight w:val="none"/>
        </w:rPr>
        <w:t>后，</w:t>
      </w:r>
      <w:r>
        <w:rPr>
          <w:rFonts w:hint="eastAsia" w:hAnsi="宋体"/>
          <w:color w:val="000000"/>
          <w:sz w:val="24"/>
          <w:highlight w:val="none"/>
        </w:rPr>
        <w:t>应</w:t>
      </w:r>
      <w:r>
        <w:rPr>
          <w:rFonts w:hAnsi="宋体"/>
          <w:color w:val="000000"/>
          <w:sz w:val="24"/>
          <w:highlight w:val="none"/>
        </w:rPr>
        <w:t>与卖方协商结算</w:t>
      </w:r>
      <w:r>
        <w:rPr>
          <w:rFonts w:hint="eastAsia" w:hAnsi="宋体"/>
          <w:color w:val="000000"/>
          <w:sz w:val="24"/>
          <w:highlight w:val="none"/>
        </w:rPr>
        <w:t>数额、</w:t>
      </w:r>
      <w:r>
        <w:rPr>
          <w:rFonts w:hAnsi="宋体"/>
          <w:color w:val="000000"/>
          <w:sz w:val="24"/>
          <w:highlight w:val="none"/>
        </w:rPr>
        <w:t>因买方终止合同</w:t>
      </w:r>
      <w:r>
        <w:rPr>
          <w:rFonts w:hint="eastAsia" w:hAnsi="宋体"/>
          <w:color w:val="000000"/>
          <w:sz w:val="24"/>
          <w:highlight w:val="none"/>
        </w:rPr>
        <w:t>需向</w:t>
      </w:r>
      <w:r>
        <w:rPr>
          <w:rFonts w:hAnsi="宋体"/>
          <w:color w:val="000000"/>
          <w:sz w:val="24"/>
          <w:highlight w:val="none"/>
        </w:rPr>
        <w:t>卖方</w:t>
      </w:r>
      <w:r>
        <w:rPr>
          <w:rFonts w:hint="eastAsia" w:hAnsi="宋体"/>
          <w:color w:val="000000"/>
          <w:sz w:val="24"/>
          <w:highlight w:val="none"/>
        </w:rPr>
        <w:t>支付</w:t>
      </w:r>
      <w:r>
        <w:rPr>
          <w:rFonts w:hAnsi="宋体"/>
          <w:color w:val="000000"/>
          <w:sz w:val="24"/>
          <w:highlight w:val="none"/>
        </w:rPr>
        <w:t>的补偿</w:t>
      </w:r>
      <w:r>
        <w:rPr>
          <w:rFonts w:hint="eastAsia" w:hAnsi="宋体"/>
          <w:color w:val="000000"/>
          <w:sz w:val="24"/>
          <w:highlight w:val="none"/>
        </w:rPr>
        <w:t>款等事项</w:t>
      </w:r>
      <w:r>
        <w:rPr>
          <w:rFonts w:hAnsi="宋体"/>
          <w:color w:val="000000"/>
          <w:sz w:val="24"/>
          <w:highlight w:val="none"/>
        </w:rPr>
        <w:t>。</w:t>
      </w:r>
      <w:r>
        <w:rPr>
          <w:rFonts w:hint="eastAsia" w:hAnsi="宋体"/>
          <w:color w:val="000000"/>
          <w:sz w:val="24"/>
          <w:highlight w:val="none"/>
        </w:rPr>
        <w:t>买方因终止合同向</w:t>
      </w:r>
      <w:r>
        <w:rPr>
          <w:rFonts w:hAnsi="宋体"/>
          <w:color w:val="000000"/>
          <w:sz w:val="24"/>
          <w:highlight w:val="none"/>
        </w:rPr>
        <w:t>卖方</w:t>
      </w:r>
      <w:r>
        <w:rPr>
          <w:rFonts w:hint="eastAsia" w:hAnsi="宋体"/>
          <w:color w:val="000000"/>
          <w:sz w:val="24"/>
          <w:highlight w:val="none"/>
        </w:rPr>
        <w:t>支付的补偿款以卖方为</w:t>
      </w:r>
      <w:r>
        <w:rPr>
          <w:rFonts w:hAnsi="宋体"/>
          <w:color w:val="000000"/>
          <w:sz w:val="24"/>
          <w:highlight w:val="none"/>
        </w:rPr>
        <w:t>履行合同已</w:t>
      </w:r>
      <w:r>
        <w:rPr>
          <w:rFonts w:hint="eastAsia" w:hAnsi="宋体"/>
          <w:color w:val="000000"/>
          <w:sz w:val="24"/>
          <w:highlight w:val="none"/>
        </w:rPr>
        <w:t>实际</w:t>
      </w:r>
      <w:r>
        <w:rPr>
          <w:rFonts w:hAnsi="宋体"/>
          <w:color w:val="000000"/>
          <w:sz w:val="24"/>
          <w:highlight w:val="none"/>
        </w:rPr>
        <w:t>发生</w:t>
      </w:r>
      <w:r>
        <w:rPr>
          <w:rFonts w:hint="eastAsia" w:hAnsi="宋体"/>
          <w:color w:val="000000"/>
          <w:sz w:val="24"/>
          <w:highlight w:val="none"/>
        </w:rPr>
        <w:t>的</w:t>
      </w:r>
      <w:r>
        <w:rPr>
          <w:rFonts w:hAnsi="宋体"/>
          <w:color w:val="000000"/>
          <w:sz w:val="24"/>
          <w:highlight w:val="none"/>
        </w:rPr>
        <w:t>直接、合理费用</w:t>
      </w:r>
      <w:r>
        <w:rPr>
          <w:rFonts w:hint="eastAsia" w:hAnsi="宋体"/>
          <w:color w:val="000000"/>
          <w:sz w:val="24"/>
          <w:highlight w:val="none"/>
        </w:rPr>
        <w:t>为限。</w:t>
      </w:r>
      <w:r>
        <w:rPr>
          <w:rFonts w:hAnsi="宋体"/>
          <w:color w:val="000000"/>
          <w:sz w:val="24"/>
          <w:highlight w:val="none"/>
        </w:rPr>
        <w:t>买方向卖方支付的</w:t>
      </w:r>
      <w:r>
        <w:rPr>
          <w:rFonts w:hint="eastAsia" w:hAnsi="宋体"/>
          <w:color w:val="000000"/>
          <w:sz w:val="24"/>
          <w:highlight w:val="none"/>
        </w:rPr>
        <w:t>该等补偿款</w:t>
      </w:r>
      <w:r>
        <w:rPr>
          <w:rFonts w:hAnsi="宋体"/>
          <w:color w:val="000000"/>
          <w:sz w:val="24"/>
          <w:highlight w:val="none"/>
        </w:rPr>
        <w:t>系买方</w:t>
      </w:r>
      <w:r>
        <w:rPr>
          <w:rFonts w:hint="eastAsia" w:hAnsi="宋体"/>
          <w:color w:val="000000"/>
          <w:sz w:val="24"/>
          <w:highlight w:val="none"/>
        </w:rPr>
        <w:t>根据本款规定</w:t>
      </w:r>
      <w:r>
        <w:rPr>
          <w:rFonts w:hAnsi="宋体"/>
          <w:color w:val="000000"/>
          <w:sz w:val="24"/>
          <w:highlight w:val="none"/>
        </w:rPr>
        <w:t>终止合同时</w:t>
      </w:r>
      <w:r>
        <w:rPr>
          <w:rFonts w:hint="eastAsia" w:hAnsi="宋体"/>
          <w:color w:val="000000"/>
          <w:sz w:val="24"/>
          <w:highlight w:val="none"/>
        </w:rPr>
        <w:t>，</w:t>
      </w:r>
      <w:r>
        <w:rPr>
          <w:rFonts w:hAnsi="宋体"/>
          <w:color w:val="000000"/>
          <w:sz w:val="24"/>
          <w:highlight w:val="none"/>
        </w:rPr>
        <w:t>卖方可获得的</w:t>
      </w:r>
      <w:r>
        <w:rPr>
          <w:rFonts w:hint="eastAsia" w:hAnsi="宋体"/>
          <w:color w:val="000000"/>
          <w:sz w:val="24"/>
          <w:highlight w:val="none"/>
        </w:rPr>
        <w:t>全部赔偿。任何时候卖方均无权要求买方赔偿因合同终止引起的预期利润的损失或损害。</w:t>
      </w:r>
    </w:p>
    <w:p w14:paraId="122FA043">
      <w:pPr>
        <w:numPr>
          <w:ilvl w:val="0"/>
          <w:numId w:val="20"/>
        </w:numPr>
        <w:tabs>
          <w:tab w:val="left" w:pos="567"/>
          <w:tab w:val="left" w:pos="709"/>
        </w:tabs>
        <w:spacing w:before="72" w:beforeLines="30" w:after="72" w:afterLines="30" w:line="360" w:lineRule="auto"/>
        <w:ind w:left="567" w:hanging="567"/>
        <w:rPr>
          <w:rFonts w:hAnsi="宋体"/>
          <w:color w:val="000000"/>
          <w:sz w:val="24"/>
          <w:highlight w:val="none"/>
        </w:rPr>
      </w:pPr>
      <w:bookmarkStart w:id="120" w:name="_DV_C932"/>
      <w:r>
        <w:rPr>
          <w:rFonts w:hint="eastAsia" w:hAnsi="宋体"/>
          <w:color w:val="000000"/>
          <w:sz w:val="24"/>
          <w:highlight w:val="none"/>
        </w:rPr>
        <w:t>如果本合同根据本条第13</w:t>
      </w:r>
      <w:r>
        <w:rPr>
          <w:rFonts w:hAnsi="宋体"/>
          <w:color w:val="000000"/>
          <w:sz w:val="24"/>
          <w:highlight w:val="none"/>
        </w:rPr>
        <w:t>.3款</w:t>
      </w:r>
      <w:r>
        <w:rPr>
          <w:rFonts w:hint="eastAsia" w:hAnsi="宋体"/>
          <w:color w:val="000000"/>
          <w:sz w:val="24"/>
          <w:highlight w:val="none"/>
        </w:rPr>
        <w:t>终止，对于合同终止前买方已经支付合同价款或提供补偿费用的货物，卖方应立即移交给买方，买方拥有相关货物的全部权益。</w:t>
      </w:r>
      <w:bookmarkEnd w:id="120"/>
    </w:p>
    <w:p w14:paraId="16BDC930">
      <w:pPr>
        <w:pStyle w:val="11"/>
        <w:numPr>
          <w:ilvl w:val="0"/>
          <w:numId w:val="3"/>
        </w:numPr>
        <w:tabs>
          <w:tab w:val="left" w:pos="993"/>
        </w:tabs>
        <w:spacing w:before="72" w:beforeLines="30" w:after="72" w:afterLines="30" w:line="360" w:lineRule="auto"/>
        <w:ind w:left="567" w:hanging="567"/>
        <w:jc w:val="left"/>
        <w:rPr>
          <w:sz w:val="24"/>
          <w:szCs w:val="24"/>
          <w:highlight w:val="none"/>
        </w:rPr>
      </w:pPr>
      <w:bookmarkStart w:id="121" w:name="_Toc306354322"/>
      <w:r>
        <w:rPr>
          <w:rFonts w:hint="eastAsia"/>
          <w:sz w:val="24"/>
          <w:szCs w:val="24"/>
          <w:highlight w:val="none"/>
        </w:rPr>
        <w:t xml:space="preserve"> 健康、安全和环保</w:t>
      </w:r>
      <w:bookmarkEnd w:id="121"/>
    </w:p>
    <w:p w14:paraId="414006E0">
      <w:pPr>
        <w:numPr>
          <w:ilvl w:val="0"/>
          <w:numId w:val="22"/>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卖方应确保在货物制造过程中使用的材料和制作工艺符合国家标准</w:t>
      </w:r>
      <w:r>
        <w:rPr>
          <w:rFonts w:hint="eastAsia"/>
          <w:sz w:val="24"/>
          <w:highlight w:val="none"/>
        </w:rPr>
        <w:t>，保证货物制造现场符合法律法规的要求</w:t>
      </w:r>
      <w:r>
        <w:rPr>
          <w:sz w:val="24"/>
          <w:highlight w:val="none"/>
        </w:rPr>
        <w:t>。</w:t>
      </w:r>
    </w:p>
    <w:p w14:paraId="2DED76F2">
      <w:pPr>
        <w:numPr>
          <w:ilvl w:val="0"/>
          <w:numId w:val="22"/>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卖方向买方提供的货物必须符合</w:t>
      </w:r>
      <w:r>
        <w:rPr>
          <w:rFonts w:hint="eastAsia"/>
          <w:sz w:val="24"/>
          <w:highlight w:val="none"/>
        </w:rPr>
        <w:t>中国</w:t>
      </w:r>
      <w:r>
        <w:rPr>
          <w:sz w:val="24"/>
          <w:highlight w:val="none"/>
        </w:rPr>
        <w:t>有关健康、安全、环保法律法规的规定。对</w:t>
      </w:r>
      <w:r>
        <w:rPr>
          <w:rFonts w:hint="eastAsia"/>
          <w:sz w:val="24"/>
          <w:highlight w:val="none"/>
        </w:rPr>
        <w:t>于</w:t>
      </w:r>
      <w:r>
        <w:rPr>
          <w:sz w:val="24"/>
          <w:highlight w:val="none"/>
        </w:rPr>
        <w:t>根据有关法律法规必须持证生产或经营的</w:t>
      </w:r>
      <w:r>
        <w:rPr>
          <w:rFonts w:hint="eastAsia"/>
          <w:sz w:val="24"/>
          <w:highlight w:val="none"/>
        </w:rPr>
        <w:t>货物</w:t>
      </w:r>
      <w:r>
        <w:rPr>
          <w:sz w:val="24"/>
          <w:highlight w:val="none"/>
        </w:rPr>
        <w:t>，卖方在生产或经营时应持有全套有效的生产许可证或经营许可证。</w:t>
      </w:r>
    </w:p>
    <w:p w14:paraId="24D02557">
      <w:pPr>
        <w:pStyle w:val="11"/>
        <w:numPr>
          <w:ilvl w:val="0"/>
          <w:numId w:val="3"/>
        </w:numPr>
        <w:tabs>
          <w:tab w:val="left" w:pos="993"/>
        </w:tabs>
        <w:spacing w:before="72" w:beforeLines="30" w:after="72" w:afterLines="30" w:line="360" w:lineRule="auto"/>
        <w:ind w:left="567" w:hanging="567"/>
        <w:jc w:val="left"/>
        <w:rPr>
          <w:sz w:val="24"/>
          <w:szCs w:val="24"/>
          <w:highlight w:val="none"/>
        </w:rPr>
      </w:pPr>
      <w:bookmarkStart w:id="122" w:name="_Toc306354323"/>
      <w:r>
        <w:rPr>
          <w:rFonts w:hint="eastAsia" w:ascii="Times New Roman" w:hAnsi="Times New Roman"/>
          <w:sz w:val="24"/>
          <w:szCs w:val="24"/>
          <w:highlight w:val="none"/>
        </w:rPr>
        <w:t xml:space="preserve"> 转让</w:t>
      </w:r>
      <w:r>
        <w:rPr>
          <w:rFonts w:hint="eastAsia"/>
          <w:sz w:val="24"/>
          <w:szCs w:val="24"/>
          <w:highlight w:val="none"/>
        </w:rPr>
        <w:t>和分包</w:t>
      </w:r>
      <w:bookmarkEnd w:id="122"/>
    </w:p>
    <w:p w14:paraId="41D40B04">
      <w:pPr>
        <w:widowControl/>
        <w:numPr>
          <w:ilvl w:val="0"/>
          <w:numId w:val="23"/>
        </w:numPr>
        <w:tabs>
          <w:tab w:val="left" w:pos="567"/>
          <w:tab w:val="left" w:pos="709"/>
        </w:tabs>
        <w:spacing w:before="72" w:beforeLines="30" w:after="72" w:afterLines="30" w:line="360" w:lineRule="auto"/>
        <w:ind w:left="567" w:hanging="567"/>
        <w:rPr>
          <w:sz w:val="24"/>
          <w:highlight w:val="none"/>
        </w:rPr>
      </w:pPr>
      <w:r>
        <w:rPr>
          <w:sz w:val="24"/>
          <w:highlight w:val="none"/>
        </w:rPr>
        <w:t>未经买方</w:t>
      </w:r>
      <w:r>
        <w:rPr>
          <w:rFonts w:hint="eastAsia"/>
          <w:sz w:val="24"/>
          <w:highlight w:val="none"/>
        </w:rPr>
        <w:t>事先</w:t>
      </w:r>
      <w:r>
        <w:rPr>
          <w:sz w:val="24"/>
          <w:highlight w:val="none"/>
        </w:rPr>
        <w:t>书面同意，卖方不得</w:t>
      </w:r>
      <w:r>
        <w:rPr>
          <w:rFonts w:hint="eastAsia"/>
          <w:sz w:val="24"/>
          <w:highlight w:val="none"/>
        </w:rPr>
        <w:t>将</w:t>
      </w:r>
      <w:r>
        <w:rPr>
          <w:sz w:val="24"/>
          <w:highlight w:val="none"/>
        </w:rPr>
        <w:t>其</w:t>
      </w:r>
      <w:r>
        <w:rPr>
          <w:rFonts w:hint="eastAsia"/>
          <w:sz w:val="24"/>
          <w:highlight w:val="none"/>
        </w:rPr>
        <w:t>在本</w:t>
      </w:r>
      <w:r>
        <w:rPr>
          <w:sz w:val="24"/>
          <w:highlight w:val="none"/>
        </w:rPr>
        <w:t>合同</w:t>
      </w:r>
      <w:r>
        <w:rPr>
          <w:rFonts w:hint="eastAsia"/>
          <w:sz w:val="24"/>
          <w:highlight w:val="none"/>
        </w:rPr>
        <w:t>项下</w:t>
      </w:r>
      <w:r>
        <w:rPr>
          <w:sz w:val="24"/>
          <w:highlight w:val="none"/>
        </w:rPr>
        <w:t>的</w:t>
      </w:r>
      <w:r>
        <w:rPr>
          <w:rFonts w:hint="eastAsia"/>
          <w:sz w:val="24"/>
          <w:highlight w:val="none"/>
        </w:rPr>
        <w:t>任何权利和</w:t>
      </w:r>
      <w:r>
        <w:rPr>
          <w:sz w:val="24"/>
          <w:highlight w:val="none"/>
        </w:rPr>
        <w:t>义务</w:t>
      </w:r>
      <w:r>
        <w:rPr>
          <w:rFonts w:hint="eastAsia"/>
          <w:sz w:val="24"/>
          <w:highlight w:val="none"/>
        </w:rPr>
        <w:t>全部或部分转让给任何第三方，包括卖方的关联企业</w:t>
      </w:r>
      <w:r>
        <w:rPr>
          <w:sz w:val="24"/>
          <w:highlight w:val="none"/>
        </w:rPr>
        <w:t>。</w:t>
      </w:r>
      <w:r>
        <w:rPr>
          <w:rFonts w:hint="eastAsia"/>
          <w:sz w:val="24"/>
          <w:highlight w:val="none"/>
        </w:rPr>
        <w:t>买方</w:t>
      </w:r>
      <w:r>
        <w:rPr>
          <w:sz w:val="24"/>
          <w:highlight w:val="none"/>
        </w:rPr>
        <w:t>可以</w:t>
      </w:r>
      <w:r>
        <w:rPr>
          <w:rFonts w:hint="eastAsia"/>
          <w:sz w:val="24"/>
          <w:highlight w:val="none"/>
        </w:rPr>
        <w:t>将其在</w:t>
      </w:r>
      <w:r>
        <w:rPr>
          <w:sz w:val="24"/>
          <w:highlight w:val="none"/>
        </w:rPr>
        <w:t>本合同</w:t>
      </w:r>
      <w:r>
        <w:rPr>
          <w:rFonts w:hint="eastAsia"/>
          <w:sz w:val="24"/>
          <w:highlight w:val="none"/>
        </w:rPr>
        <w:t>项下的</w:t>
      </w:r>
      <w:r>
        <w:rPr>
          <w:sz w:val="24"/>
          <w:highlight w:val="none"/>
        </w:rPr>
        <w:t>权利和义务</w:t>
      </w:r>
      <w:r>
        <w:rPr>
          <w:rFonts w:hint="eastAsia"/>
          <w:sz w:val="24"/>
          <w:highlight w:val="none"/>
        </w:rPr>
        <w:t>全部或部分</w:t>
      </w:r>
      <w:r>
        <w:rPr>
          <w:sz w:val="24"/>
          <w:highlight w:val="none"/>
        </w:rPr>
        <w:t>转让给</w:t>
      </w:r>
      <w:r>
        <w:rPr>
          <w:rFonts w:hint="eastAsia"/>
          <w:sz w:val="24"/>
          <w:highlight w:val="none"/>
        </w:rPr>
        <w:t>其关联企业</w:t>
      </w:r>
      <w:r>
        <w:rPr>
          <w:sz w:val="24"/>
          <w:highlight w:val="none"/>
        </w:rPr>
        <w:t>，</w:t>
      </w:r>
      <w:r>
        <w:rPr>
          <w:rFonts w:hint="eastAsia"/>
          <w:sz w:val="24"/>
          <w:highlight w:val="none"/>
        </w:rPr>
        <w:t>且无需</w:t>
      </w:r>
      <w:r>
        <w:rPr>
          <w:sz w:val="24"/>
          <w:highlight w:val="none"/>
        </w:rPr>
        <w:t>事先征得</w:t>
      </w:r>
      <w:r>
        <w:rPr>
          <w:rFonts w:hint="eastAsia"/>
          <w:sz w:val="24"/>
          <w:highlight w:val="none"/>
        </w:rPr>
        <w:t>卖方</w:t>
      </w:r>
      <w:r>
        <w:rPr>
          <w:sz w:val="24"/>
          <w:highlight w:val="none"/>
        </w:rPr>
        <w:t>的同意，但应书面通知</w:t>
      </w:r>
      <w:r>
        <w:rPr>
          <w:rFonts w:hint="eastAsia"/>
          <w:sz w:val="24"/>
          <w:highlight w:val="none"/>
        </w:rPr>
        <w:t>卖方</w:t>
      </w:r>
      <w:r>
        <w:rPr>
          <w:sz w:val="24"/>
          <w:highlight w:val="none"/>
        </w:rPr>
        <w:t>。</w:t>
      </w:r>
    </w:p>
    <w:p w14:paraId="6626F4F0">
      <w:pPr>
        <w:widowControl/>
        <w:numPr>
          <w:ilvl w:val="0"/>
          <w:numId w:val="23"/>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未经买方事先书面同意，卖方不得将其在本合同项下的任何义务分包给任何第三方，包括卖方的关联企业。</w:t>
      </w:r>
      <w:bookmarkStart w:id="123" w:name="_DV_C867"/>
      <w:r>
        <w:rPr>
          <w:rFonts w:hint="eastAsia"/>
          <w:sz w:val="24"/>
          <w:highlight w:val="none"/>
        </w:rPr>
        <w:t>卖方不得将本合同转包给任何第三方，包括其关联企业。</w:t>
      </w:r>
      <w:bookmarkEnd w:id="123"/>
    </w:p>
    <w:bookmarkEnd w:id="112"/>
    <w:bookmarkEnd w:id="113"/>
    <w:bookmarkEnd w:id="114"/>
    <w:bookmarkEnd w:id="115"/>
    <w:bookmarkEnd w:id="116"/>
    <w:p w14:paraId="37931134">
      <w:pPr>
        <w:pStyle w:val="11"/>
        <w:numPr>
          <w:ilvl w:val="0"/>
          <w:numId w:val="3"/>
        </w:numPr>
        <w:tabs>
          <w:tab w:val="left" w:pos="993"/>
        </w:tabs>
        <w:spacing w:before="72" w:beforeLines="30" w:after="72" w:afterLines="30" w:line="360" w:lineRule="auto"/>
        <w:ind w:left="567" w:hanging="567"/>
        <w:jc w:val="left"/>
        <w:rPr>
          <w:rFonts w:hAnsi="宋体"/>
          <w:color w:val="000000"/>
          <w:sz w:val="24"/>
          <w:szCs w:val="24"/>
          <w:highlight w:val="none"/>
        </w:rPr>
      </w:pPr>
      <w:bookmarkStart w:id="124" w:name="_Toc306354324"/>
      <w:r>
        <w:rPr>
          <w:rFonts w:hint="eastAsia" w:hAnsi="宋体"/>
          <w:color w:val="000000"/>
          <w:sz w:val="24"/>
          <w:szCs w:val="24"/>
          <w:highlight w:val="none"/>
        </w:rPr>
        <w:t xml:space="preserve"> 不可抗力</w:t>
      </w:r>
      <w:bookmarkEnd w:id="124"/>
    </w:p>
    <w:p w14:paraId="6254390E">
      <w:pPr>
        <w:pStyle w:val="10"/>
        <w:widowControl/>
        <w:numPr>
          <w:ilvl w:val="0"/>
          <w:numId w:val="24"/>
        </w:numPr>
        <w:tabs>
          <w:tab w:val="left" w:pos="567"/>
        </w:tabs>
        <w:spacing w:before="72" w:beforeLines="30" w:after="72" w:afterLines="30" w:line="360" w:lineRule="auto"/>
        <w:ind w:left="567" w:hanging="567"/>
        <w:rPr>
          <w:sz w:val="24"/>
          <w:highlight w:val="none"/>
        </w:rPr>
      </w:pPr>
      <w:r>
        <w:rPr>
          <w:rFonts w:hint="eastAsia"/>
          <w:sz w:val="24"/>
          <w:highlight w:val="none"/>
        </w:rPr>
        <w:t>不可抗力系指本合同的履行过程中，任何一方经合理努力仍不可预见、不可避免并不能克服的客观情况。</w:t>
      </w:r>
      <w:r>
        <w:rPr>
          <w:sz w:val="24"/>
          <w:highlight w:val="none"/>
        </w:rPr>
        <w:t>任何一方因不可抗力不能或延迟履行本合同，不承担违约责任。</w:t>
      </w:r>
    </w:p>
    <w:p w14:paraId="71AACED7">
      <w:pPr>
        <w:pStyle w:val="10"/>
        <w:widowControl/>
        <w:numPr>
          <w:ilvl w:val="0"/>
          <w:numId w:val="24"/>
        </w:numPr>
        <w:tabs>
          <w:tab w:val="left" w:pos="567"/>
        </w:tabs>
        <w:spacing w:before="72" w:beforeLines="30" w:after="72" w:afterLines="30" w:line="360" w:lineRule="auto"/>
        <w:ind w:left="567" w:hanging="567"/>
        <w:rPr>
          <w:sz w:val="24"/>
          <w:highlight w:val="none"/>
        </w:rPr>
      </w:pPr>
      <w:r>
        <w:rPr>
          <w:sz w:val="24"/>
          <w:highlight w:val="none"/>
        </w:rPr>
        <w:t>如果一方遭受不可抗力，应立即（不迟于24小时内）通知另一方，并采取一切合理、必要的措施减少损失及不可抗力的影响，恢复合同的履行。</w:t>
      </w:r>
      <w:r>
        <w:rPr>
          <w:rFonts w:hint="eastAsia"/>
          <w:sz w:val="24"/>
          <w:highlight w:val="none"/>
        </w:rPr>
        <w:t>不可抗力结束后</w:t>
      </w:r>
      <w:r>
        <w:rPr>
          <w:sz w:val="24"/>
          <w:highlight w:val="none"/>
        </w:rPr>
        <w:t>48</w:t>
      </w:r>
      <w:r>
        <w:rPr>
          <w:rFonts w:hint="eastAsia"/>
          <w:sz w:val="24"/>
          <w:highlight w:val="none"/>
        </w:rPr>
        <w:t>小时内，遭受不可抗力的一方应向另一方通报不可抗力的情况，包括不可抗力造成的损害、延续时间、合同设备受影响的范围、补救措施等，如不可抗力持续发生，遭受不可抗力的一方应及时更新该等信息。</w:t>
      </w:r>
    </w:p>
    <w:p w14:paraId="5F573CDE">
      <w:pPr>
        <w:pStyle w:val="10"/>
        <w:widowControl/>
        <w:numPr>
          <w:ilvl w:val="0"/>
          <w:numId w:val="24"/>
        </w:numPr>
        <w:tabs>
          <w:tab w:val="left" w:pos="567"/>
        </w:tabs>
        <w:spacing w:before="72" w:beforeLines="30" w:after="72" w:afterLines="30" w:line="360" w:lineRule="auto"/>
        <w:ind w:left="567" w:hanging="567"/>
        <w:rPr>
          <w:sz w:val="24"/>
          <w:highlight w:val="none"/>
        </w:rPr>
      </w:pPr>
      <w:r>
        <w:rPr>
          <w:rFonts w:hint="eastAsia"/>
          <w:sz w:val="24"/>
          <w:highlight w:val="none"/>
        </w:rPr>
        <w:t>如发生不可抗力，双方各自承担其人员和财产损失。一旦不可抗力停止或者影响消除，双方应立即履行其义务，合同的期限应该相应顺延。如果不可抗力的影响持续超过【</w:t>
      </w:r>
      <w:r>
        <w:rPr>
          <w:rFonts w:hint="eastAsia"/>
          <w:i/>
          <w:sz w:val="24"/>
          <w:highlight w:val="none"/>
        </w:rPr>
        <w:t>填入天数</w:t>
      </w:r>
      <w:r>
        <w:rPr>
          <w:rFonts w:hint="eastAsia"/>
          <w:sz w:val="24"/>
          <w:highlight w:val="none"/>
        </w:rPr>
        <w:t>】日，双方应该共同商议应对措施。</w:t>
      </w:r>
    </w:p>
    <w:p w14:paraId="496C40E1">
      <w:pPr>
        <w:pStyle w:val="10"/>
        <w:widowControl/>
        <w:numPr>
          <w:ilvl w:val="0"/>
          <w:numId w:val="24"/>
        </w:numPr>
        <w:tabs>
          <w:tab w:val="left" w:pos="567"/>
        </w:tabs>
        <w:spacing w:before="72" w:beforeLines="30" w:after="72" w:afterLines="30" w:line="360" w:lineRule="auto"/>
        <w:ind w:left="567" w:hanging="567"/>
        <w:rPr>
          <w:sz w:val="24"/>
          <w:highlight w:val="none"/>
        </w:rPr>
      </w:pPr>
      <w:r>
        <w:rPr>
          <w:rFonts w:hint="eastAsia"/>
          <w:sz w:val="24"/>
          <w:highlight w:val="none"/>
        </w:rPr>
        <w:t>任何一方迟延履行合同后遭受不可抗力的，不得减少、免除该方在本合同项下的任何义务和责任。</w:t>
      </w:r>
    </w:p>
    <w:p w14:paraId="15E841C1">
      <w:pPr>
        <w:pStyle w:val="11"/>
        <w:numPr>
          <w:ilvl w:val="0"/>
          <w:numId w:val="3"/>
        </w:numPr>
        <w:tabs>
          <w:tab w:val="left" w:pos="993"/>
        </w:tabs>
        <w:spacing w:before="72" w:beforeLines="30" w:after="72" w:afterLines="30" w:line="360" w:lineRule="auto"/>
        <w:ind w:left="567" w:hanging="567"/>
        <w:jc w:val="left"/>
        <w:rPr>
          <w:sz w:val="24"/>
          <w:szCs w:val="24"/>
          <w:highlight w:val="none"/>
        </w:rPr>
      </w:pPr>
      <w:bookmarkStart w:id="125" w:name="_Toc306354326"/>
      <w:bookmarkStart w:id="126" w:name="_Toc298158360"/>
      <w:r>
        <w:rPr>
          <w:rFonts w:hint="eastAsia"/>
          <w:sz w:val="24"/>
          <w:szCs w:val="24"/>
          <w:highlight w:val="none"/>
        </w:rPr>
        <w:t xml:space="preserve"> 保密</w:t>
      </w:r>
      <w:bookmarkEnd w:id="125"/>
      <w:bookmarkEnd w:id="126"/>
    </w:p>
    <w:p w14:paraId="158B885A">
      <w:pPr>
        <w:numPr>
          <w:ilvl w:val="0"/>
          <w:numId w:val="25"/>
        </w:numPr>
        <w:tabs>
          <w:tab w:val="left" w:pos="567"/>
          <w:tab w:val="left" w:pos="709"/>
        </w:tabs>
        <w:spacing w:before="72" w:beforeLines="30" w:after="72" w:afterLines="30" w:line="360" w:lineRule="auto"/>
        <w:ind w:left="567" w:hanging="567"/>
        <w:rPr>
          <w:sz w:val="24"/>
          <w:highlight w:val="none"/>
        </w:rPr>
      </w:pPr>
      <w:r>
        <w:rPr>
          <w:sz w:val="24"/>
          <w:highlight w:val="none"/>
        </w:rPr>
        <w:t>除非法律法规、政府机关另行强制要求，未经</w:t>
      </w:r>
      <w:r>
        <w:rPr>
          <w:rFonts w:hint="eastAsia"/>
          <w:sz w:val="24"/>
          <w:highlight w:val="none"/>
        </w:rPr>
        <w:t>买方</w:t>
      </w:r>
      <w:r>
        <w:rPr>
          <w:sz w:val="24"/>
          <w:highlight w:val="none"/>
        </w:rPr>
        <w:t>同意，</w:t>
      </w:r>
      <w:r>
        <w:rPr>
          <w:rFonts w:hint="eastAsia"/>
          <w:sz w:val="24"/>
          <w:highlight w:val="none"/>
        </w:rPr>
        <w:t>卖方</w:t>
      </w:r>
      <w:r>
        <w:rPr>
          <w:sz w:val="24"/>
          <w:highlight w:val="none"/>
        </w:rPr>
        <w:t>不得将</w:t>
      </w:r>
      <w:r>
        <w:rPr>
          <w:rFonts w:hint="eastAsia"/>
          <w:sz w:val="24"/>
          <w:highlight w:val="none"/>
        </w:rPr>
        <w:t>买</w:t>
      </w:r>
      <w:r>
        <w:rPr>
          <w:sz w:val="24"/>
          <w:highlight w:val="none"/>
        </w:rPr>
        <w:t>方保密信息披露给任何第三方（包括与合同无关的</w:t>
      </w:r>
      <w:r>
        <w:rPr>
          <w:rFonts w:hint="eastAsia"/>
          <w:sz w:val="24"/>
          <w:highlight w:val="none"/>
        </w:rPr>
        <w:t>卖</w:t>
      </w:r>
      <w:r>
        <w:rPr>
          <w:sz w:val="24"/>
          <w:highlight w:val="none"/>
        </w:rPr>
        <w:t>方员工和政府部门），亦不得将该等信息用于与本合同无关的用途。保密信息包括但不限于：合同内容；</w:t>
      </w:r>
      <w:r>
        <w:rPr>
          <w:rFonts w:hint="eastAsia"/>
          <w:sz w:val="24"/>
          <w:highlight w:val="none"/>
        </w:rPr>
        <w:t>买方提供的</w:t>
      </w:r>
      <w:r>
        <w:rPr>
          <w:sz w:val="24"/>
          <w:highlight w:val="none"/>
        </w:rPr>
        <w:t>与本合同有关的任何技术信息、图纸、样本、资料等；</w:t>
      </w:r>
      <w:r>
        <w:rPr>
          <w:rFonts w:hint="eastAsia"/>
          <w:sz w:val="24"/>
          <w:highlight w:val="none"/>
        </w:rPr>
        <w:t>买方</w:t>
      </w:r>
      <w:r>
        <w:rPr>
          <w:sz w:val="24"/>
          <w:highlight w:val="none"/>
        </w:rPr>
        <w:t>提供的或</w:t>
      </w:r>
      <w:r>
        <w:rPr>
          <w:rFonts w:hint="eastAsia"/>
          <w:sz w:val="24"/>
          <w:highlight w:val="none"/>
        </w:rPr>
        <w:t>卖方</w:t>
      </w:r>
      <w:r>
        <w:rPr>
          <w:sz w:val="24"/>
          <w:highlight w:val="none"/>
        </w:rPr>
        <w:t>获得的与项目或买方有关的任何技术和商务信息。</w:t>
      </w:r>
    </w:p>
    <w:p w14:paraId="3993E629">
      <w:pPr>
        <w:pStyle w:val="11"/>
        <w:numPr>
          <w:ilvl w:val="0"/>
          <w:numId w:val="3"/>
        </w:numPr>
        <w:tabs>
          <w:tab w:val="left" w:pos="993"/>
        </w:tabs>
        <w:spacing w:before="72" w:beforeLines="30" w:after="72" w:afterLines="30" w:line="360" w:lineRule="auto"/>
        <w:ind w:left="567" w:hanging="567"/>
        <w:jc w:val="left"/>
        <w:rPr>
          <w:sz w:val="24"/>
          <w:szCs w:val="24"/>
          <w:highlight w:val="none"/>
        </w:rPr>
      </w:pPr>
      <w:bookmarkStart w:id="127" w:name="_Toc306354328"/>
      <w:r>
        <w:rPr>
          <w:rFonts w:hint="eastAsia"/>
          <w:sz w:val="24"/>
          <w:szCs w:val="24"/>
          <w:highlight w:val="none"/>
        </w:rPr>
        <w:t xml:space="preserve"> 审计、禁止商业贿赂和反腐败</w:t>
      </w:r>
    </w:p>
    <w:p w14:paraId="7A80B96D">
      <w:pPr>
        <w:pStyle w:val="39"/>
        <w:numPr>
          <w:ilvl w:val="0"/>
          <w:numId w:val="26"/>
        </w:numPr>
        <w:adjustRightInd w:val="0"/>
        <w:snapToGrid w:val="0"/>
        <w:spacing w:before="72" w:beforeLines="30" w:after="72" w:afterLines="30"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rPr>
        <w:t>卖方应根据买方要求，接受和配合买方或买方委</w:t>
      </w:r>
      <w:r>
        <w:rPr>
          <w:rFonts w:hint="eastAsia" w:asciiTheme="minorEastAsia" w:hAnsiTheme="minorEastAsia" w:eastAsiaTheme="minorEastAsia"/>
          <w:sz w:val="24"/>
          <w:highlight w:val="none"/>
        </w:rPr>
        <w:t>托的会计师事务所进行的与本合同相关的审计。</w:t>
      </w:r>
    </w:p>
    <w:p w14:paraId="3BB87559">
      <w:pPr>
        <w:pStyle w:val="39"/>
        <w:numPr>
          <w:ilvl w:val="0"/>
          <w:numId w:val="26"/>
        </w:numPr>
        <w:adjustRightInd w:val="0"/>
        <w:snapToGrid w:val="0"/>
        <w:spacing w:before="72" w:beforeLines="30" w:after="72" w:afterLines="30"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rPr>
        <w:t>卖方应保存与本合同相关的记录和账目，保存期限为本合同终止后【</w:t>
      </w:r>
      <w:r>
        <w:rPr>
          <w:rFonts w:hint="eastAsia" w:asciiTheme="minorEastAsia" w:hAnsiTheme="minorEastAsia" w:eastAsiaTheme="minorEastAsia"/>
          <w:i/>
          <w:kern w:val="0"/>
          <w:sz w:val="24"/>
          <w:highlight w:val="none"/>
        </w:rPr>
        <w:t>填入年数，如十（</w:t>
      </w:r>
      <w:r>
        <w:rPr>
          <w:rFonts w:asciiTheme="minorEastAsia" w:hAnsiTheme="minorEastAsia" w:eastAsiaTheme="minorEastAsia"/>
          <w:i/>
          <w:kern w:val="0"/>
          <w:sz w:val="24"/>
          <w:highlight w:val="none"/>
        </w:rPr>
        <w:t>10</w:t>
      </w:r>
      <w:r>
        <w:rPr>
          <w:rFonts w:hint="eastAsia" w:asciiTheme="minorEastAsia" w:hAnsiTheme="minorEastAsia" w:eastAsiaTheme="minorEastAsia"/>
          <w:i/>
          <w:kern w:val="0"/>
          <w:sz w:val="24"/>
          <w:highlight w:val="none"/>
        </w:rPr>
        <w:t>）</w:t>
      </w:r>
      <w:r>
        <w:rPr>
          <w:rFonts w:hint="eastAsia" w:asciiTheme="minorEastAsia" w:hAnsiTheme="minorEastAsia" w:eastAsiaTheme="minorEastAsia"/>
          <w:kern w:val="0"/>
          <w:sz w:val="24"/>
          <w:highlight w:val="none"/>
        </w:rPr>
        <w:t>】年或遵从所在国相关规定。经提前通知，买方或买方委托的会计师事务所有权检查并复制该等记录和账目。</w:t>
      </w:r>
    </w:p>
    <w:p w14:paraId="63D04093">
      <w:pPr>
        <w:pStyle w:val="39"/>
        <w:numPr>
          <w:ilvl w:val="0"/>
          <w:numId w:val="26"/>
        </w:numPr>
        <w:spacing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14:paraId="1DB7C6C3">
      <w:pPr>
        <w:pStyle w:val="11"/>
        <w:numPr>
          <w:ilvl w:val="0"/>
          <w:numId w:val="3"/>
        </w:numPr>
        <w:tabs>
          <w:tab w:val="left" w:pos="993"/>
        </w:tabs>
        <w:spacing w:before="72" w:beforeLines="30" w:after="72" w:afterLines="30" w:line="360" w:lineRule="auto"/>
        <w:ind w:left="567" w:hanging="567"/>
        <w:jc w:val="left"/>
        <w:rPr>
          <w:sz w:val="24"/>
          <w:szCs w:val="24"/>
          <w:highlight w:val="none"/>
        </w:rPr>
      </w:pPr>
      <w:r>
        <w:rPr>
          <w:rFonts w:hint="eastAsia"/>
          <w:sz w:val="24"/>
          <w:szCs w:val="24"/>
          <w:highlight w:val="none"/>
        </w:rPr>
        <w:t xml:space="preserve"> 通知</w:t>
      </w:r>
      <w:bookmarkEnd w:id="127"/>
    </w:p>
    <w:p w14:paraId="6BAFEEE7">
      <w:pPr>
        <w:widowControl/>
        <w:numPr>
          <w:ilvl w:val="0"/>
          <w:numId w:val="27"/>
        </w:numPr>
        <w:tabs>
          <w:tab w:val="left" w:pos="567"/>
          <w:tab w:val="left" w:pos="709"/>
        </w:tabs>
        <w:autoSpaceDE w:val="0"/>
        <w:autoSpaceDN w:val="0"/>
        <w:spacing w:before="72" w:beforeLines="30" w:after="72" w:afterLines="30" w:line="360" w:lineRule="auto"/>
        <w:ind w:left="567" w:hanging="567"/>
        <w:jc w:val="left"/>
        <w:textAlignment w:val="bottom"/>
        <w:rPr>
          <w:sz w:val="24"/>
          <w:highlight w:val="none"/>
        </w:rPr>
      </w:pPr>
      <w:r>
        <w:rPr>
          <w:rFonts w:hint="eastAsia"/>
          <w:sz w:val="24"/>
          <w:highlight w:val="none"/>
        </w:rPr>
        <w:t>通知应根据本合同规定以亲自递送、特快专递、传真等方式送达。</w:t>
      </w:r>
      <w:r>
        <w:rPr>
          <w:sz w:val="24"/>
          <w:highlight w:val="none"/>
        </w:rPr>
        <w:t>通知在下列情况视为</w:t>
      </w:r>
      <w:r>
        <w:rPr>
          <w:rFonts w:hint="eastAsia"/>
          <w:sz w:val="24"/>
          <w:highlight w:val="none"/>
        </w:rPr>
        <w:t>送达</w:t>
      </w:r>
      <w:r>
        <w:rPr>
          <w:sz w:val="24"/>
          <w:highlight w:val="none"/>
        </w:rPr>
        <w:t>：</w:t>
      </w:r>
    </w:p>
    <w:p w14:paraId="2FF99039">
      <w:pPr>
        <w:widowControl/>
        <w:numPr>
          <w:ilvl w:val="1"/>
          <w:numId w:val="28"/>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w:t>
      </w:r>
      <w:r>
        <w:rPr>
          <w:sz w:val="24"/>
          <w:highlight w:val="none"/>
        </w:rPr>
        <w:t>亲自递送方式，于</w:t>
      </w:r>
      <w:r>
        <w:rPr>
          <w:rFonts w:hint="eastAsia"/>
          <w:sz w:val="24"/>
          <w:highlight w:val="none"/>
        </w:rPr>
        <w:t>签收确认</w:t>
      </w:r>
      <w:r>
        <w:rPr>
          <w:sz w:val="24"/>
          <w:highlight w:val="none"/>
        </w:rPr>
        <w:t>之时；</w:t>
      </w:r>
    </w:p>
    <w:p w14:paraId="0215000B">
      <w:pPr>
        <w:widowControl/>
        <w:numPr>
          <w:ilvl w:val="1"/>
          <w:numId w:val="28"/>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用特快专递</w:t>
      </w:r>
      <w:r>
        <w:rPr>
          <w:sz w:val="24"/>
          <w:highlight w:val="none"/>
        </w:rPr>
        <w:t>方式，于</w:t>
      </w:r>
      <w:r>
        <w:rPr>
          <w:rFonts w:hint="eastAsia"/>
          <w:sz w:val="24"/>
          <w:highlight w:val="none"/>
        </w:rPr>
        <w:t>收件人签收</w:t>
      </w:r>
      <w:r>
        <w:rPr>
          <w:sz w:val="24"/>
          <w:highlight w:val="none"/>
        </w:rPr>
        <w:t>之时</w:t>
      </w:r>
      <w:r>
        <w:rPr>
          <w:rFonts w:hint="eastAsia"/>
          <w:sz w:val="24"/>
          <w:highlight w:val="none"/>
        </w:rPr>
        <w:t>；</w:t>
      </w:r>
    </w:p>
    <w:p w14:paraId="66C4A512">
      <w:pPr>
        <w:widowControl/>
        <w:numPr>
          <w:ilvl w:val="1"/>
          <w:numId w:val="28"/>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w:t>
      </w:r>
      <w:r>
        <w:rPr>
          <w:sz w:val="24"/>
          <w:highlight w:val="none"/>
        </w:rPr>
        <w:t>传真方式，于确认传输之时</w:t>
      </w:r>
      <w:r>
        <w:rPr>
          <w:rFonts w:hint="eastAsia"/>
          <w:sz w:val="24"/>
          <w:highlight w:val="none"/>
        </w:rPr>
        <w:t>。</w:t>
      </w:r>
    </w:p>
    <w:p w14:paraId="233F4CCA">
      <w:pPr>
        <w:widowControl/>
        <w:numPr>
          <w:ilvl w:val="0"/>
          <w:numId w:val="27"/>
        </w:numPr>
        <w:tabs>
          <w:tab w:val="left" w:pos="567"/>
          <w:tab w:val="left" w:pos="709"/>
        </w:tabs>
        <w:autoSpaceDE w:val="0"/>
        <w:autoSpaceDN w:val="0"/>
        <w:spacing w:before="72" w:beforeLines="30" w:after="72" w:afterLines="30" w:line="360" w:lineRule="auto"/>
        <w:ind w:left="567" w:hanging="567"/>
        <w:jc w:val="left"/>
        <w:textAlignment w:val="bottom"/>
        <w:rPr>
          <w:sz w:val="24"/>
          <w:highlight w:val="none"/>
        </w:rPr>
      </w:pPr>
      <w:r>
        <w:rPr>
          <w:rFonts w:ascii="宋体" w:hAnsi="宋体"/>
          <w:sz w:val="24"/>
          <w:highlight w:val="none"/>
        </w:rPr>
        <w:t>除非一方另行</w:t>
      </w:r>
      <w:r>
        <w:rPr>
          <w:rFonts w:hint="eastAsia" w:ascii="宋体" w:hAnsi="宋体"/>
          <w:sz w:val="24"/>
          <w:highlight w:val="none"/>
        </w:rPr>
        <w:t>明确</w:t>
      </w:r>
      <w:r>
        <w:rPr>
          <w:rFonts w:ascii="宋体" w:hAnsi="宋体"/>
          <w:sz w:val="24"/>
          <w:highlight w:val="none"/>
        </w:rPr>
        <w:t>要求，双方可通过互联网电子邮件进行通讯联系或传送文件。因不能合理控制的原因导致任何互联网电子邮件遗失、延误、被截取、破坏或修改的，</w:t>
      </w:r>
      <w:r>
        <w:rPr>
          <w:rFonts w:hint="eastAsia" w:ascii="宋体" w:hAnsi="宋体"/>
          <w:sz w:val="24"/>
          <w:highlight w:val="none"/>
        </w:rPr>
        <w:t>通知发出方不承担</w:t>
      </w:r>
      <w:r>
        <w:rPr>
          <w:rFonts w:ascii="宋体" w:hAnsi="宋体"/>
          <w:sz w:val="24"/>
          <w:highlight w:val="none"/>
        </w:rPr>
        <w:t>因此造成的任何损失、损害、费用、伤害或不便。</w:t>
      </w:r>
    </w:p>
    <w:p w14:paraId="150ED5DB">
      <w:pPr>
        <w:numPr>
          <w:ilvl w:val="0"/>
          <w:numId w:val="27"/>
        </w:numPr>
        <w:adjustRightInd w:val="0"/>
        <w:snapToGrid w:val="0"/>
        <w:spacing w:line="360" w:lineRule="auto"/>
        <w:ind w:left="567" w:hanging="567"/>
        <w:jc w:val="left"/>
        <w:textAlignment w:val="baseline"/>
        <w:outlineLvl w:val="3"/>
        <w:rPr>
          <w:sz w:val="24"/>
          <w:highlight w:val="none"/>
        </w:rPr>
      </w:pPr>
      <w:r>
        <w:rPr>
          <w:rFonts w:hint="eastAsia" w:hAnsi="宋体"/>
          <w:bCs/>
          <w:kern w:val="0"/>
          <w:sz w:val="24"/>
          <w:highlight w:val="none"/>
        </w:rPr>
        <w:t>本合同送达地址适用范围包括就本合同发生争议时相关文件和法律文书的 送达（包括在争议进入仲裁、民事诉讼程序后的一审、二审、再审和执行程序）。</w:t>
      </w:r>
    </w:p>
    <w:p w14:paraId="0D82C86F">
      <w:pPr>
        <w:pStyle w:val="11"/>
        <w:numPr>
          <w:ilvl w:val="0"/>
          <w:numId w:val="3"/>
        </w:numPr>
        <w:tabs>
          <w:tab w:val="left" w:pos="567"/>
        </w:tabs>
        <w:spacing w:before="72" w:beforeLines="30" w:after="72" w:afterLines="30" w:line="360" w:lineRule="auto"/>
        <w:ind w:left="567" w:hanging="567"/>
        <w:jc w:val="left"/>
        <w:rPr>
          <w:sz w:val="24"/>
          <w:szCs w:val="24"/>
          <w:highlight w:val="none"/>
        </w:rPr>
      </w:pPr>
      <w:bookmarkStart w:id="128" w:name="_Toc306354329"/>
      <w:r>
        <w:rPr>
          <w:sz w:val="24"/>
          <w:szCs w:val="24"/>
          <w:highlight w:val="none"/>
        </w:rPr>
        <w:t>法律适用</w:t>
      </w:r>
      <w:r>
        <w:rPr>
          <w:rFonts w:hint="eastAsia"/>
          <w:sz w:val="24"/>
          <w:szCs w:val="24"/>
          <w:highlight w:val="none"/>
        </w:rPr>
        <w:t>和</w:t>
      </w:r>
      <w:r>
        <w:rPr>
          <w:sz w:val="24"/>
          <w:szCs w:val="24"/>
          <w:highlight w:val="none"/>
        </w:rPr>
        <w:t>争议解决</w:t>
      </w:r>
      <w:bookmarkEnd w:id="128"/>
    </w:p>
    <w:p w14:paraId="57A92B5B">
      <w:pPr>
        <w:numPr>
          <w:ilvl w:val="1"/>
          <w:numId w:val="29"/>
        </w:numPr>
        <w:tabs>
          <w:tab w:val="left" w:pos="567"/>
        </w:tabs>
        <w:spacing w:before="72" w:beforeLines="30" w:after="72" w:afterLines="30" w:line="360" w:lineRule="auto"/>
        <w:ind w:left="567" w:hanging="567"/>
        <w:rPr>
          <w:rFonts w:ascii="宋体" w:hAnsi="宋体"/>
          <w:sz w:val="24"/>
          <w:highlight w:val="none"/>
        </w:rPr>
      </w:pPr>
      <w:bookmarkStart w:id="129" w:name="_Toc296959346"/>
      <w:bookmarkStart w:id="130" w:name="_Toc296955884"/>
      <w:r>
        <w:rPr>
          <w:rFonts w:hint="eastAsia" w:ascii="宋体" w:hAnsi="宋体"/>
          <w:sz w:val="24"/>
          <w:highlight w:val="none"/>
        </w:rPr>
        <w:t>本合同适用中华人民共和国（不含香港特别行政区、澳门特别行政区和台湾地区）法律。</w:t>
      </w:r>
    </w:p>
    <w:p w14:paraId="2E642184">
      <w:pPr>
        <w:numPr>
          <w:ilvl w:val="1"/>
          <w:numId w:val="29"/>
        </w:numPr>
        <w:tabs>
          <w:tab w:val="left" w:pos="567"/>
        </w:tabs>
        <w:spacing w:before="72" w:beforeLines="30" w:after="72" w:afterLines="30" w:line="360" w:lineRule="auto"/>
        <w:ind w:left="567" w:hanging="567"/>
        <w:rPr>
          <w:rFonts w:ascii="宋体" w:hAnsi="宋体"/>
          <w:sz w:val="24"/>
          <w:highlight w:val="none"/>
        </w:rPr>
      </w:pPr>
      <w:r>
        <w:rPr>
          <w:rFonts w:ascii="宋体" w:hAnsi="宋体"/>
          <w:sz w:val="24"/>
          <w:highlight w:val="none"/>
        </w:rPr>
        <w:t>因履行</w:t>
      </w:r>
      <w:r>
        <w:rPr>
          <w:rFonts w:hint="eastAsia" w:ascii="宋体" w:hAnsi="宋体"/>
          <w:sz w:val="24"/>
          <w:highlight w:val="none"/>
        </w:rPr>
        <w:t>本</w:t>
      </w:r>
      <w:r>
        <w:rPr>
          <w:rFonts w:ascii="宋体" w:hAnsi="宋体"/>
          <w:sz w:val="24"/>
          <w:highlight w:val="none"/>
        </w:rPr>
        <w:t>合同发生的或与本合同有关的一切争议，双方</w:t>
      </w:r>
      <w:r>
        <w:rPr>
          <w:rFonts w:hint="eastAsia" w:ascii="宋体" w:hAnsi="宋体"/>
          <w:sz w:val="24"/>
          <w:highlight w:val="none"/>
        </w:rPr>
        <w:t>首先应</w:t>
      </w:r>
      <w:r>
        <w:rPr>
          <w:rFonts w:ascii="宋体" w:hAnsi="宋体"/>
          <w:sz w:val="24"/>
          <w:highlight w:val="none"/>
        </w:rPr>
        <w:t>友好协商解决，</w:t>
      </w:r>
      <w:r>
        <w:rPr>
          <w:rFonts w:hint="eastAsia" w:ascii="宋体" w:hAnsi="宋体"/>
          <w:sz w:val="24"/>
          <w:highlight w:val="none"/>
        </w:rPr>
        <w:t>如</w:t>
      </w:r>
      <w:r>
        <w:rPr>
          <w:rFonts w:ascii="宋体" w:hAnsi="宋体"/>
          <w:sz w:val="24"/>
          <w:highlight w:val="none"/>
        </w:rPr>
        <w:t>经协商</w:t>
      </w:r>
      <w:r>
        <w:rPr>
          <w:rFonts w:hint="eastAsia" w:ascii="宋体" w:hAnsi="宋体"/>
          <w:sz w:val="24"/>
          <w:highlight w:val="none"/>
        </w:rPr>
        <w:t>【</w:t>
      </w:r>
      <w:r>
        <w:rPr>
          <w:rFonts w:hint="eastAsia" w:ascii="宋体" w:hAnsi="宋体"/>
          <w:i/>
          <w:sz w:val="24"/>
          <w:highlight w:val="none"/>
        </w:rPr>
        <w:t>填入天数，如</w:t>
      </w:r>
      <w:r>
        <w:rPr>
          <w:rFonts w:hAnsi="宋体"/>
          <w:i/>
          <w:sz w:val="24"/>
          <w:highlight w:val="none"/>
        </w:rPr>
        <w:t>六十（</w:t>
      </w:r>
      <w:r>
        <w:rPr>
          <w:i/>
          <w:sz w:val="24"/>
          <w:highlight w:val="none"/>
        </w:rPr>
        <w:t>60</w:t>
      </w:r>
      <w:r>
        <w:rPr>
          <w:rFonts w:hAnsi="宋体"/>
          <w:i/>
          <w:sz w:val="24"/>
          <w:highlight w:val="none"/>
        </w:rPr>
        <w:t>）</w:t>
      </w:r>
      <w:r>
        <w:rPr>
          <w:rFonts w:hint="eastAsia" w:ascii="宋体" w:hAnsi="宋体"/>
          <w:sz w:val="24"/>
          <w:highlight w:val="none"/>
        </w:rPr>
        <w:t>】日内</w:t>
      </w:r>
      <w:r>
        <w:rPr>
          <w:rFonts w:ascii="宋体" w:hAnsi="宋体"/>
          <w:sz w:val="24"/>
          <w:highlight w:val="none"/>
        </w:rPr>
        <w:t>仍不能解决</w:t>
      </w:r>
      <w:r>
        <w:rPr>
          <w:rFonts w:hint="eastAsia" w:ascii="宋体" w:hAnsi="宋体"/>
          <w:sz w:val="24"/>
          <w:highlight w:val="none"/>
        </w:rPr>
        <w:t>，</w:t>
      </w:r>
      <w:r>
        <w:rPr>
          <w:rFonts w:ascii="宋体" w:hAnsi="宋体"/>
          <w:sz w:val="24"/>
          <w:highlight w:val="none"/>
        </w:rPr>
        <w:t>双方同意：</w:t>
      </w:r>
    </w:p>
    <w:p w14:paraId="3EC88DA4">
      <w:pPr>
        <w:spacing w:before="72" w:beforeLines="30" w:after="72" w:afterLines="30" w:line="360" w:lineRule="auto"/>
        <w:ind w:left="567"/>
        <w:rPr>
          <w:bCs/>
          <w:i/>
          <w:kern w:val="0"/>
          <w:sz w:val="24"/>
          <w:highlight w:val="none"/>
          <w:u w:val="single"/>
        </w:rPr>
      </w:pPr>
      <w:r>
        <w:rPr>
          <w:rFonts w:hint="eastAsia"/>
          <w:bCs/>
          <w:i/>
          <w:kern w:val="0"/>
          <w:sz w:val="24"/>
          <w:highlight w:val="none"/>
          <w:u w:val="single"/>
        </w:rPr>
        <w:t>请根据实际情况从下列选项中选择其中一项，并将不适用的删除</w:t>
      </w:r>
    </w:p>
    <w:p w14:paraId="607DBC68">
      <w:pPr>
        <w:spacing w:before="72" w:beforeLines="30" w:after="72" w:afterLines="30" w:line="360" w:lineRule="auto"/>
        <w:ind w:left="567"/>
        <w:rPr>
          <w:rFonts w:ascii="宋体" w:hAnsi="宋体"/>
          <w:i/>
          <w:sz w:val="24"/>
          <w:highlight w:val="none"/>
          <w:u w:val="single"/>
        </w:rPr>
      </w:pPr>
      <w:r>
        <w:rPr>
          <w:rFonts w:hint="eastAsia" w:ascii="宋体" w:hAnsi="宋体"/>
          <w:i/>
          <w:sz w:val="24"/>
          <w:highlight w:val="none"/>
          <w:u w:val="single"/>
        </w:rPr>
        <w:t>选项一:诉讼</w:t>
      </w:r>
    </w:p>
    <w:p w14:paraId="15B4DFE8">
      <w:pPr>
        <w:spacing w:before="72" w:beforeLines="30" w:after="72" w:afterLines="30" w:line="360" w:lineRule="auto"/>
        <w:ind w:left="567"/>
        <w:rPr>
          <w:rFonts w:ascii="宋体" w:hAnsi="宋体"/>
          <w:sz w:val="24"/>
          <w:highlight w:val="none"/>
        </w:rPr>
      </w:pPr>
      <w:r>
        <w:rPr>
          <w:rFonts w:ascii="宋体" w:hAnsi="宋体"/>
          <w:sz w:val="24"/>
          <w:highlight w:val="none"/>
        </w:rPr>
        <w:t>向买方所在地人民法院起诉。</w:t>
      </w:r>
    </w:p>
    <w:p w14:paraId="243C560C">
      <w:pPr>
        <w:spacing w:before="72" w:beforeLines="30" w:after="72" w:afterLines="30" w:line="360" w:lineRule="auto"/>
        <w:ind w:left="567"/>
        <w:rPr>
          <w:rFonts w:ascii="宋体" w:hAnsi="宋体"/>
          <w:i/>
          <w:sz w:val="24"/>
          <w:highlight w:val="none"/>
          <w:u w:val="single"/>
        </w:rPr>
      </w:pPr>
      <w:r>
        <w:rPr>
          <w:rFonts w:hint="eastAsia" w:ascii="宋体" w:hAnsi="宋体"/>
          <w:i/>
          <w:sz w:val="24"/>
          <w:highlight w:val="none"/>
          <w:u w:val="single"/>
        </w:rPr>
        <w:t>选项二：仲裁</w:t>
      </w:r>
    </w:p>
    <w:p w14:paraId="533D088A">
      <w:pPr>
        <w:spacing w:before="72" w:beforeLines="30" w:after="72" w:afterLines="30" w:line="360" w:lineRule="auto"/>
        <w:ind w:left="567"/>
        <w:rPr>
          <w:sz w:val="24"/>
          <w:highlight w:val="none"/>
        </w:rPr>
      </w:pPr>
      <w:r>
        <w:rPr>
          <w:rFonts w:ascii="宋体" w:hAnsi="宋体"/>
          <w:sz w:val="24"/>
          <w:highlight w:val="none"/>
        </w:rPr>
        <w:t>提交</w:t>
      </w:r>
      <w:r>
        <w:rPr>
          <w:rFonts w:hint="eastAsia" w:ascii="宋体" w:hAnsi="宋体"/>
          <w:sz w:val="24"/>
          <w:highlight w:val="none"/>
        </w:rPr>
        <w:t>【□中国国际经济贸易仲裁委员会；□北京仲裁委员会；□天津仲裁委员会】</w:t>
      </w:r>
      <w:r>
        <w:rPr>
          <w:rFonts w:ascii="宋体" w:hAnsi="宋体"/>
          <w:sz w:val="24"/>
          <w:highlight w:val="none"/>
        </w:rPr>
        <w:t>进行仲裁。</w:t>
      </w:r>
      <w:r>
        <w:rPr>
          <w:rFonts w:hint="eastAsia"/>
          <w:bCs/>
          <w:sz w:val="24"/>
          <w:highlight w:val="none"/>
        </w:rPr>
        <w:t>仲裁应根据申请仲裁时该仲裁委员会现行有效的仲裁规则进行。仲裁员人数为【</w:t>
      </w:r>
      <w:r>
        <w:rPr>
          <w:rFonts w:hint="eastAsia"/>
          <w:bCs/>
          <w:i/>
          <w:sz w:val="24"/>
          <w:highlight w:val="none"/>
        </w:rPr>
        <w:t>请根据选择的仲裁机构现行有效的规定填写，简单合同可选择独任仲裁员</w:t>
      </w:r>
      <w:r>
        <w:rPr>
          <w:rFonts w:hint="eastAsia"/>
          <w:bCs/>
          <w:sz w:val="24"/>
          <w:highlight w:val="none"/>
        </w:rPr>
        <w:t>】名。庭审地为【</w:t>
      </w:r>
      <w:r>
        <w:rPr>
          <w:rFonts w:hint="eastAsia"/>
          <w:bCs/>
          <w:i/>
          <w:sz w:val="24"/>
          <w:highlight w:val="none"/>
        </w:rPr>
        <w:t>根据委托方所在地，从委托方便利的角度填入庭审地</w:t>
      </w:r>
      <w:r>
        <w:rPr>
          <w:rFonts w:hint="eastAsia"/>
          <w:bCs/>
          <w:sz w:val="24"/>
          <w:highlight w:val="none"/>
        </w:rPr>
        <w:t>】。仲裁裁决是终局的，对双方均有约束力。</w:t>
      </w:r>
    </w:p>
    <w:p w14:paraId="12D0B23F">
      <w:pPr>
        <w:numPr>
          <w:ilvl w:val="1"/>
          <w:numId w:val="29"/>
        </w:numPr>
        <w:tabs>
          <w:tab w:val="left" w:pos="567"/>
        </w:tabs>
        <w:spacing w:before="72" w:beforeLines="30" w:after="72" w:afterLines="30" w:line="360" w:lineRule="auto"/>
        <w:ind w:left="567" w:hanging="567"/>
        <w:rPr>
          <w:b/>
          <w:sz w:val="24"/>
          <w:highlight w:val="none"/>
        </w:rPr>
      </w:pPr>
      <w:r>
        <w:rPr>
          <w:rFonts w:hint="eastAsia" w:ascii="宋体" w:hAnsi="宋体"/>
          <w:sz w:val="24"/>
          <w:highlight w:val="none"/>
        </w:rPr>
        <w:t>争议解决期间</w:t>
      </w:r>
      <w:r>
        <w:rPr>
          <w:rFonts w:ascii="宋体" w:hAnsi="宋体"/>
          <w:sz w:val="24"/>
          <w:highlight w:val="none"/>
        </w:rPr>
        <w:t>，除争议事项外，双方应继续履行本合同。</w:t>
      </w:r>
    </w:p>
    <w:bookmarkEnd w:id="129"/>
    <w:bookmarkEnd w:id="130"/>
    <w:p w14:paraId="6BACCA0D">
      <w:pPr>
        <w:pStyle w:val="11"/>
        <w:numPr>
          <w:ilvl w:val="0"/>
          <w:numId w:val="3"/>
        </w:numPr>
        <w:tabs>
          <w:tab w:val="left" w:pos="567"/>
        </w:tabs>
        <w:spacing w:before="72" w:beforeLines="30" w:after="72" w:afterLines="30" w:line="360" w:lineRule="auto"/>
        <w:ind w:left="567" w:hanging="567"/>
        <w:jc w:val="left"/>
        <w:rPr>
          <w:sz w:val="24"/>
          <w:szCs w:val="24"/>
          <w:highlight w:val="none"/>
        </w:rPr>
      </w:pPr>
      <w:bookmarkStart w:id="131" w:name="_Toc306354330"/>
      <w:r>
        <w:rPr>
          <w:rFonts w:hint="eastAsia"/>
          <w:sz w:val="24"/>
          <w:szCs w:val="24"/>
          <w:highlight w:val="none"/>
        </w:rPr>
        <w:t xml:space="preserve"> </w:t>
      </w:r>
      <w:r>
        <w:rPr>
          <w:sz w:val="24"/>
          <w:szCs w:val="24"/>
          <w:highlight w:val="none"/>
        </w:rPr>
        <w:t>其它</w:t>
      </w:r>
      <w:bookmarkEnd w:id="131"/>
    </w:p>
    <w:p w14:paraId="2C685787">
      <w:pPr>
        <w:numPr>
          <w:ilvl w:val="1"/>
          <w:numId w:val="30"/>
        </w:numPr>
        <w:tabs>
          <w:tab w:val="left" w:pos="567"/>
        </w:tabs>
        <w:spacing w:before="72" w:beforeLines="30" w:after="72" w:afterLines="30" w:line="360" w:lineRule="auto"/>
        <w:ind w:left="567" w:hanging="567"/>
        <w:rPr>
          <w:sz w:val="24"/>
          <w:highlight w:val="none"/>
        </w:rPr>
      </w:pPr>
      <w:r>
        <w:rPr>
          <w:rFonts w:hint="eastAsia"/>
          <w:sz w:val="24"/>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14:paraId="125547CB">
      <w:pPr>
        <w:numPr>
          <w:ilvl w:val="1"/>
          <w:numId w:val="30"/>
        </w:numPr>
        <w:tabs>
          <w:tab w:val="left" w:pos="567"/>
        </w:tabs>
        <w:spacing w:before="72" w:beforeLines="30" w:after="72" w:afterLines="30" w:line="360" w:lineRule="auto"/>
        <w:ind w:left="567" w:hanging="567"/>
        <w:rPr>
          <w:sz w:val="24"/>
          <w:highlight w:val="none"/>
        </w:rPr>
      </w:pPr>
      <w:r>
        <w:rPr>
          <w:sz w:val="24"/>
          <w:highlight w:val="none"/>
        </w:rPr>
        <w:t>本合同自买卖双方</w:t>
      </w:r>
      <w:r>
        <w:rPr>
          <w:rFonts w:hint="eastAsia"/>
          <w:sz w:val="24"/>
          <w:highlight w:val="none"/>
        </w:rPr>
        <w:t>法定代表人或授权代表</w:t>
      </w:r>
      <w:r>
        <w:rPr>
          <w:sz w:val="24"/>
          <w:highlight w:val="none"/>
        </w:rPr>
        <w:t>签</w:t>
      </w:r>
      <w:r>
        <w:rPr>
          <w:rFonts w:hint="eastAsia"/>
          <w:sz w:val="24"/>
          <w:highlight w:val="none"/>
        </w:rPr>
        <w:t>字并盖章</w:t>
      </w:r>
      <w:r>
        <w:rPr>
          <w:sz w:val="24"/>
          <w:highlight w:val="none"/>
        </w:rPr>
        <w:t>之日起生效</w:t>
      </w:r>
      <w:r>
        <w:rPr>
          <w:rFonts w:hint="eastAsia"/>
          <w:sz w:val="24"/>
          <w:highlight w:val="none"/>
        </w:rPr>
        <w:t>，</w:t>
      </w:r>
      <w:bookmarkStart w:id="132" w:name="OLE_LINK12"/>
      <w:bookmarkStart w:id="133" w:name="OLE_LINK11"/>
      <w:r>
        <w:rPr>
          <w:rFonts w:hint="eastAsia" w:ascii="宋体" w:hAnsi="宋体"/>
          <w:sz w:val="24"/>
          <w:highlight w:val="none"/>
        </w:rPr>
        <w:t>自双方履行完本合同项下全部权利和义务后终止</w:t>
      </w:r>
      <w:bookmarkEnd w:id="132"/>
      <w:bookmarkEnd w:id="133"/>
      <w:r>
        <w:rPr>
          <w:sz w:val="24"/>
          <w:highlight w:val="none"/>
        </w:rPr>
        <w:t>。</w:t>
      </w:r>
    </w:p>
    <w:p w14:paraId="2575376F">
      <w:pPr>
        <w:numPr>
          <w:ilvl w:val="1"/>
          <w:numId w:val="30"/>
        </w:numPr>
        <w:tabs>
          <w:tab w:val="left" w:pos="567"/>
        </w:tabs>
        <w:spacing w:before="72" w:beforeLines="30" w:after="72" w:afterLines="30" w:line="360" w:lineRule="auto"/>
        <w:ind w:left="567" w:hanging="567"/>
        <w:rPr>
          <w:sz w:val="24"/>
          <w:highlight w:val="none"/>
        </w:rPr>
      </w:pPr>
      <w:r>
        <w:rPr>
          <w:rFonts w:hint="eastAsia"/>
          <w:sz w:val="24"/>
          <w:highlight w:val="none"/>
        </w:rPr>
        <w:t>本合同签署以前双方就本合同约定的货物买卖及</w:t>
      </w:r>
      <w:r>
        <w:rPr>
          <w:sz w:val="24"/>
          <w:highlight w:val="none"/>
        </w:rPr>
        <w:t>相关事宜</w:t>
      </w:r>
      <w:r>
        <w:rPr>
          <w:rFonts w:hint="eastAsia"/>
          <w:sz w:val="24"/>
          <w:highlight w:val="none"/>
        </w:rPr>
        <w:t>达成的所有口头和</w:t>
      </w:r>
      <w:r>
        <w:rPr>
          <w:sz w:val="24"/>
          <w:highlight w:val="none"/>
        </w:rPr>
        <w:t>/</w:t>
      </w:r>
      <w:r>
        <w:rPr>
          <w:rFonts w:hint="eastAsia"/>
          <w:sz w:val="24"/>
          <w:highlight w:val="none"/>
        </w:rPr>
        <w:t>或书面的声明、文件、信件及双方其它形式的通信在本合同生效后自动失效。</w:t>
      </w:r>
    </w:p>
    <w:p w14:paraId="746D7BF8">
      <w:pPr>
        <w:numPr>
          <w:ilvl w:val="1"/>
          <w:numId w:val="30"/>
        </w:numPr>
        <w:tabs>
          <w:tab w:val="left" w:pos="567"/>
        </w:tabs>
        <w:spacing w:before="72" w:beforeLines="30" w:after="72" w:afterLines="30" w:line="360" w:lineRule="auto"/>
        <w:ind w:left="567" w:hanging="567"/>
        <w:rPr>
          <w:rFonts w:ascii="宋体" w:hAnsi="宋体"/>
          <w:sz w:val="24"/>
          <w:highlight w:val="none"/>
        </w:rPr>
      </w:pPr>
      <w:r>
        <w:rPr>
          <w:rFonts w:ascii="宋体" w:hAnsi="宋体"/>
          <w:sz w:val="24"/>
          <w:highlight w:val="none"/>
        </w:rPr>
        <w:t>未经另一方事先书面同意，任何一方不得以任何方式使用另一方的名称、商品商标、服务商标、企业标志、商号或品牌。</w:t>
      </w:r>
    </w:p>
    <w:p w14:paraId="066626E4">
      <w:pPr>
        <w:numPr>
          <w:ilvl w:val="1"/>
          <w:numId w:val="30"/>
        </w:numPr>
        <w:tabs>
          <w:tab w:val="left" w:pos="567"/>
        </w:tabs>
        <w:spacing w:before="72" w:beforeLines="30" w:after="72" w:afterLines="30" w:line="360" w:lineRule="auto"/>
        <w:ind w:left="567" w:hanging="567"/>
        <w:rPr>
          <w:sz w:val="24"/>
          <w:highlight w:val="none"/>
        </w:rPr>
      </w:pPr>
      <w:r>
        <w:rPr>
          <w:sz w:val="24"/>
          <w:highlight w:val="none"/>
        </w:rPr>
        <w:t>如</w:t>
      </w:r>
      <w:r>
        <w:rPr>
          <w:rFonts w:hint="eastAsia"/>
          <w:sz w:val="24"/>
          <w:highlight w:val="none"/>
        </w:rPr>
        <w:t>果</w:t>
      </w:r>
      <w:r>
        <w:rPr>
          <w:sz w:val="24"/>
          <w:highlight w:val="none"/>
        </w:rPr>
        <w:t>本合同</w:t>
      </w:r>
      <w:r>
        <w:rPr>
          <w:rFonts w:hint="eastAsia"/>
          <w:sz w:val="24"/>
          <w:highlight w:val="none"/>
        </w:rPr>
        <w:t>的</w:t>
      </w:r>
      <w:r>
        <w:rPr>
          <w:sz w:val="24"/>
          <w:highlight w:val="none"/>
        </w:rPr>
        <w:t>任何条款</w:t>
      </w:r>
      <w:r>
        <w:rPr>
          <w:rFonts w:hint="eastAsia"/>
          <w:sz w:val="24"/>
          <w:highlight w:val="none"/>
        </w:rPr>
        <w:t>或规定</w:t>
      </w:r>
      <w:r>
        <w:rPr>
          <w:sz w:val="24"/>
          <w:highlight w:val="none"/>
        </w:rPr>
        <w:t>被裁定</w:t>
      </w:r>
      <w:r>
        <w:rPr>
          <w:rFonts w:hint="eastAsia"/>
          <w:sz w:val="24"/>
          <w:highlight w:val="none"/>
        </w:rPr>
        <w:t>为</w:t>
      </w:r>
      <w:r>
        <w:rPr>
          <w:sz w:val="24"/>
          <w:highlight w:val="none"/>
        </w:rPr>
        <w:t>无效、不合法或不可</w:t>
      </w:r>
      <w:r>
        <w:rPr>
          <w:rFonts w:hint="eastAsia"/>
          <w:sz w:val="24"/>
          <w:highlight w:val="none"/>
        </w:rPr>
        <w:t>强制</w:t>
      </w:r>
      <w:r>
        <w:rPr>
          <w:sz w:val="24"/>
          <w:highlight w:val="none"/>
        </w:rPr>
        <w:t>执行，</w:t>
      </w:r>
      <w:r>
        <w:rPr>
          <w:rFonts w:hint="eastAsia"/>
          <w:sz w:val="24"/>
          <w:highlight w:val="none"/>
        </w:rPr>
        <w:t>该条款或规定应视为被删除，本合同</w:t>
      </w:r>
      <w:r>
        <w:rPr>
          <w:sz w:val="24"/>
          <w:highlight w:val="none"/>
        </w:rPr>
        <w:t>其它条款</w:t>
      </w:r>
      <w:r>
        <w:rPr>
          <w:rFonts w:hint="eastAsia"/>
          <w:sz w:val="24"/>
          <w:highlight w:val="none"/>
        </w:rPr>
        <w:t>不受影响，</w:t>
      </w:r>
      <w:r>
        <w:rPr>
          <w:sz w:val="24"/>
          <w:highlight w:val="none"/>
        </w:rPr>
        <w:t>仍</w:t>
      </w:r>
      <w:r>
        <w:rPr>
          <w:rFonts w:hint="eastAsia"/>
          <w:sz w:val="24"/>
          <w:highlight w:val="none"/>
        </w:rPr>
        <w:t>继续</w:t>
      </w:r>
      <w:r>
        <w:rPr>
          <w:sz w:val="24"/>
          <w:highlight w:val="none"/>
        </w:rPr>
        <w:t>有效。</w:t>
      </w:r>
    </w:p>
    <w:p w14:paraId="37B78CFE">
      <w:pPr>
        <w:numPr>
          <w:ilvl w:val="1"/>
          <w:numId w:val="30"/>
        </w:numPr>
        <w:tabs>
          <w:tab w:val="left" w:pos="567"/>
        </w:tabs>
        <w:spacing w:before="72" w:beforeLines="30" w:after="72" w:afterLines="30" w:line="360" w:lineRule="auto"/>
        <w:ind w:left="567" w:hanging="567"/>
        <w:rPr>
          <w:sz w:val="24"/>
          <w:highlight w:val="none"/>
        </w:rPr>
      </w:pPr>
      <w:r>
        <w:rPr>
          <w:sz w:val="24"/>
          <w:highlight w:val="none"/>
        </w:rPr>
        <w:t>本合同履行过程中，</w:t>
      </w:r>
      <w:r>
        <w:rPr>
          <w:rFonts w:hint="eastAsia"/>
          <w:sz w:val="24"/>
          <w:highlight w:val="none"/>
        </w:rPr>
        <w:t>如</w:t>
      </w:r>
      <w:r>
        <w:rPr>
          <w:sz w:val="24"/>
          <w:highlight w:val="none"/>
        </w:rPr>
        <w:t>卖方</w:t>
      </w:r>
      <w:r>
        <w:rPr>
          <w:rFonts w:hint="eastAsia"/>
          <w:sz w:val="24"/>
          <w:highlight w:val="none"/>
        </w:rPr>
        <w:t>发生重组、</w:t>
      </w:r>
      <w:r>
        <w:rPr>
          <w:sz w:val="24"/>
          <w:highlight w:val="none"/>
        </w:rPr>
        <w:t>合并、</w:t>
      </w:r>
      <w:r>
        <w:rPr>
          <w:rFonts w:hint="eastAsia"/>
          <w:sz w:val="24"/>
          <w:highlight w:val="none"/>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14:paraId="01F08F30">
      <w:pPr>
        <w:numPr>
          <w:ilvl w:val="1"/>
          <w:numId w:val="30"/>
        </w:numPr>
        <w:tabs>
          <w:tab w:val="left" w:pos="567"/>
        </w:tabs>
        <w:spacing w:before="72" w:beforeLines="30" w:after="72" w:afterLines="30" w:line="360" w:lineRule="auto"/>
        <w:ind w:left="567" w:hanging="567"/>
        <w:rPr>
          <w:sz w:val="24"/>
          <w:highlight w:val="none"/>
        </w:rPr>
      </w:pPr>
      <w:r>
        <w:rPr>
          <w:sz w:val="24"/>
          <w:highlight w:val="none"/>
        </w:rPr>
        <w:t>本合同</w:t>
      </w:r>
      <w:r>
        <w:rPr>
          <w:rFonts w:hint="eastAsia"/>
          <w:sz w:val="24"/>
          <w:highlight w:val="none"/>
        </w:rPr>
        <w:t>解除或终止</w:t>
      </w:r>
      <w:r>
        <w:rPr>
          <w:sz w:val="24"/>
          <w:highlight w:val="none"/>
        </w:rPr>
        <w:t>后</w:t>
      </w:r>
      <w:r>
        <w:rPr>
          <w:rFonts w:hint="eastAsia"/>
          <w:sz w:val="24"/>
          <w:highlight w:val="none"/>
        </w:rPr>
        <w:t>，本合同项下关于知识产权、保密、保证、责任、法律适用、争议解决和其它具有持续性效力的条款继续</w:t>
      </w:r>
      <w:r>
        <w:rPr>
          <w:sz w:val="24"/>
          <w:highlight w:val="none"/>
        </w:rPr>
        <w:t>有效。</w:t>
      </w:r>
    </w:p>
    <w:p w14:paraId="45FDF1EF">
      <w:pPr>
        <w:numPr>
          <w:ilvl w:val="1"/>
          <w:numId w:val="30"/>
        </w:numPr>
        <w:tabs>
          <w:tab w:val="left" w:pos="567"/>
        </w:tabs>
        <w:spacing w:before="72" w:beforeLines="30" w:after="72" w:afterLines="30" w:line="360" w:lineRule="auto"/>
        <w:ind w:left="567" w:hanging="567"/>
        <w:rPr>
          <w:sz w:val="24"/>
          <w:highlight w:val="none"/>
        </w:rPr>
      </w:pPr>
      <w:r>
        <w:rPr>
          <w:rFonts w:hint="eastAsia"/>
          <w:sz w:val="24"/>
          <w:highlight w:val="none"/>
        </w:rPr>
        <w:t>本</w:t>
      </w:r>
      <w:r>
        <w:rPr>
          <w:sz w:val="24"/>
          <w:highlight w:val="none"/>
        </w:rPr>
        <w:t>合同未尽事宜，应由双方协商</w:t>
      </w:r>
      <w:r>
        <w:rPr>
          <w:rFonts w:hint="eastAsia"/>
          <w:sz w:val="24"/>
          <w:highlight w:val="none"/>
        </w:rPr>
        <w:t>确定</w:t>
      </w:r>
      <w:r>
        <w:rPr>
          <w:sz w:val="24"/>
          <w:highlight w:val="none"/>
        </w:rPr>
        <w:t>，并签订补充协议，补充协议与本合同具有同等法律效力。</w:t>
      </w:r>
    </w:p>
    <w:p w14:paraId="635A1BAE">
      <w:pPr>
        <w:numPr>
          <w:ilvl w:val="1"/>
          <w:numId w:val="30"/>
        </w:numPr>
        <w:tabs>
          <w:tab w:val="left" w:pos="567"/>
        </w:tabs>
        <w:spacing w:before="72" w:beforeLines="30" w:after="72" w:afterLines="30" w:line="360" w:lineRule="auto"/>
        <w:ind w:left="567" w:hanging="567"/>
        <w:rPr>
          <w:sz w:val="24"/>
          <w:highlight w:val="none"/>
        </w:rPr>
      </w:pPr>
      <w:r>
        <w:rPr>
          <w:sz w:val="24"/>
          <w:highlight w:val="none"/>
        </w:rPr>
        <w:t>本合同的任何变更、修改或增减，须经双方协商</w:t>
      </w:r>
      <w:r>
        <w:rPr>
          <w:rFonts w:hint="eastAsia"/>
          <w:sz w:val="24"/>
          <w:highlight w:val="none"/>
        </w:rPr>
        <w:t>一致、法定代表人或</w:t>
      </w:r>
      <w:r>
        <w:rPr>
          <w:sz w:val="24"/>
          <w:highlight w:val="none"/>
        </w:rPr>
        <w:t>授权代表签署书面文件</w:t>
      </w:r>
      <w:r>
        <w:rPr>
          <w:rFonts w:hint="eastAsia"/>
          <w:sz w:val="24"/>
          <w:highlight w:val="none"/>
        </w:rPr>
        <w:t>并盖章</w:t>
      </w:r>
      <w:r>
        <w:rPr>
          <w:sz w:val="24"/>
          <w:highlight w:val="none"/>
        </w:rPr>
        <w:t>后</w:t>
      </w:r>
      <w:r>
        <w:rPr>
          <w:rFonts w:hint="eastAsia"/>
          <w:sz w:val="24"/>
          <w:highlight w:val="none"/>
        </w:rPr>
        <w:t>生</w:t>
      </w:r>
      <w:r>
        <w:rPr>
          <w:sz w:val="24"/>
          <w:highlight w:val="none"/>
        </w:rPr>
        <w:t>效。</w:t>
      </w:r>
    </w:p>
    <w:p w14:paraId="6A34D3FE">
      <w:pPr>
        <w:numPr>
          <w:ilvl w:val="1"/>
          <w:numId w:val="30"/>
        </w:numPr>
        <w:tabs>
          <w:tab w:val="left" w:pos="567"/>
        </w:tabs>
        <w:spacing w:before="72" w:beforeLines="30" w:after="72" w:afterLines="30" w:line="360" w:lineRule="auto"/>
        <w:ind w:left="567" w:hanging="567"/>
        <w:rPr>
          <w:sz w:val="24"/>
          <w:highlight w:val="none"/>
        </w:rPr>
      </w:pPr>
      <w:r>
        <w:rPr>
          <w:rFonts w:hint="eastAsia"/>
          <w:sz w:val="24"/>
          <w:highlight w:val="none"/>
        </w:rPr>
        <w:t>任何一方未行使或延迟行使本合同项下的任何权利，不视为该方对该等权利的放弃。任何一方部分行使其在本合同项下的任何权利不妨碍其将来进一步行使该等权利或合同约定的其它权利。</w:t>
      </w:r>
    </w:p>
    <w:p w14:paraId="3C7F0A76">
      <w:pPr>
        <w:numPr>
          <w:ilvl w:val="1"/>
          <w:numId w:val="30"/>
        </w:numPr>
        <w:tabs>
          <w:tab w:val="left" w:pos="567"/>
        </w:tabs>
        <w:spacing w:before="72" w:beforeLines="30" w:after="72" w:afterLines="30" w:line="360" w:lineRule="auto"/>
        <w:ind w:left="567" w:hanging="567"/>
        <w:rPr>
          <w:sz w:val="24"/>
          <w:highlight w:val="none"/>
        </w:rPr>
      </w:pPr>
      <w:r>
        <w:rPr>
          <w:rFonts w:hint="eastAsia"/>
          <w:sz w:val="24"/>
          <w:highlight w:val="none"/>
        </w:rPr>
        <w:t>本合同系双方协商、讨论的结果，合同内容非一方当事人单方拟定。本合同不属于格式合同，条款内容不属于格式条款。</w:t>
      </w:r>
    </w:p>
    <w:p w14:paraId="5F233BE7">
      <w:pPr>
        <w:numPr>
          <w:ilvl w:val="1"/>
          <w:numId w:val="30"/>
        </w:numPr>
        <w:tabs>
          <w:tab w:val="left" w:pos="567"/>
        </w:tabs>
        <w:spacing w:before="72" w:beforeLines="30" w:after="72" w:afterLines="30" w:line="360" w:lineRule="auto"/>
        <w:ind w:left="567" w:hanging="567"/>
        <w:rPr>
          <w:sz w:val="24"/>
          <w:highlight w:val="none"/>
        </w:rPr>
      </w:pPr>
      <w:r>
        <w:rPr>
          <w:rFonts w:hint="eastAsia"/>
          <w:sz w:val="24"/>
          <w:highlight w:val="none"/>
        </w:rPr>
        <w:t>本合同正文、附件及其后的修改文件和补充文件均应采用中文书写。附件及其后的修改文件和补充文件作为本合同不可分割的组成部分，与本合同正文具有同等法律效力。</w:t>
      </w:r>
    </w:p>
    <w:p w14:paraId="3752112A">
      <w:pPr>
        <w:widowControl/>
        <w:numPr>
          <w:ilvl w:val="1"/>
          <w:numId w:val="30"/>
        </w:numPr>
        <w:tabs>
          <w:tab w:val="left" w:pos="567"/>
        </w:tabs>
        <w:spacing w:before="72" w:beforeLines="30" w:after="72" w:afterLines="30" w:line="360" w:lineRule="auto"/>
        <w:ind w:left="567" w:hanging="567"/>
        <w:jc w:val="left"/>
        <w:rPr>
          <w:sz w:val="24"/>
          <w:highlight w:val="none"/>
        </w:rPr>
      </w:pPr>
      <w:r>
        <w:rPr>
          <w:sz w:val="24"/>
          <w:highlight w:val="none"/>
        </w:rPr>
        <w:t>本合同一式</w:t>
      </w:r>
      <w:r>
        <w:rPr>
          <w:rFonts w:hint="eastAsia"/>
          <w:sz w:val="24"/>
          <w:highlight w:val="none"/>
        </w:rPr>
        <w:t>【</w:t>
      </w:r>
      <w:r>
        <w:rPr>
          <w:rFonts w:hint="eastAsia"/>
          <w:i/>
          <w:sz w:val="24"/>
          <w:highlight w:val="none"/>
        </w:rPr>
        <w:t>填入合同份数</w:t>
      </w:r>
      <w:r>
        <w:rPr>
          <w:rFonts w:hint="eastAsia"/>
          <w:sz w:val="24"/>
          <w:highlight w:val="none"/>
        </w:rPr>
        <w:t>】</w:t>
      </w:r>
      <w:r>
        <w:rPr>
          <w:sz w:val="24"/>
          <w:highlight w:val="none"/>
        </w:rPr>
        <w:t>份，</w:t>
      </w:r>
      <w:r>
        <w:rPr>
          <w:rFonts w:hint="eastAsia"/>
          <w:sz w:val="24"/>
          <w:highlight w:val="none"/>
        </w:rPr>
        <w:t>买卖双方各持【</w:t>
      </w:r>
      <w:r>
        <w:rPr>
          <w:rFonts w:hint="eastAsia"/>
          <w:i/>
          <w:sz w:val="24"/>
          <w:highlight w:val="none"/>
        </w:rPr>
        <w:t>填入合同份数</w:t>
      </w:r>
      <w:r>
        <w:rPr>
          <w:rFonts w:hint="eastAsia"/>
          <w:sz w:val="24"/>
          <w:highlight w:val="none"/>
        </w:rPr>
        <w:t>】份</w:t>
      </w:r>
      <w:r>
        <w:rPr>
          <w:sz w:val="24"/>
          <w:highlight w:val="none"/>
        </w:rPr>
        <w:t>，具有同等效力。</w:t>
      </w:r>
    </w:p>
    <w:p w14:paraId="6C4D68F5">
      <w:pPr>
        <w:widowControl/>
        <w:spacing w:before="72" w:beforeLines="30" w:after="72" w:afterLines="30" w:line="360" w:lineRule="auto"/>
        <w:jc w:val="left"/>
        <w:rPr>
          <w:sz w:val="24"/>
          <w:highlight w:val="none"/>
        </w:rPr>
      </w:pPr>
      <w:r>
        <w:rPr>
          <w:sz w:val="24"/>
          <w:highlight w:val="none"/>
        </w:rPr>
        <w:br w:type="page"/>
      </w:r>
    </w:p>
    <w:p w14:paraId="4E01942C">
      <w:pPr>
        <w:tabs>
          <w:tab w:val="left" w:pos="850"/>
        </w:tabs>
        <w:autoSpaceDE w:val="0"/>
        <w:autoSpaceDN w:val="0"/>
        <w:spacing w:before="72" w:beforeLines="30" w:after="72" w:afterLines="30" w:line="360" w:lineRule="auto"/>
        <w:jc w:val="center"/>
        <w:textAlignment w:val="bottom"/>
        <w:rPr>
          <w:b/>
          <w:sz w:val="24"/>
          <w:highlight w:val="none"/>
        </w:rPr>
      </w:pPr>
      <w:r>
        <w:rPr>
          <w:rFonts w:hint="eastAsia"/>
          <w:b/>
          <w:sz w:val="24"/>
          <w:highlight w:val="none"/>
        </w:rPr>
        <w:t>（本页无正文，为签章页）</w:t>
      </w:r>
    </w:p>
    <w:p w14:paraId="555192A6">
      <w:pPr>
        <w:tabs>
          <w:tab w:val="left" w:pos="850"/>
        </w:tabs>
        <w:autoSpaceDE w:val="0"/>
        <w:autoSpaceDN w:val="0"/>
        <w:spacing w:before="72" w:beforeLines="30" w:after="72" w:afterLines="30" w:line="360" w:lineRule="auto"/>
        <w:ind w:firstLine="600"/>
        <w:textAlignment w:val="bottom"/>
        <w:rPr>
          <w:sz w:val="24"/>
          <w:highlight w:val="none"/>
        </w:rPr>
      </w:pPr>
    </w:p>
    <w:tbl>
      <w:tblPr>
        <w:tblStyle w:val="20"/>
        <w:tblW w:w="5000" w:type="pct"/>
        <w:tblInd w:w="0" w:type="dxa"/>
        <w:tblLayout w:type="autofit"/>
        <w:tblCellMar>
          <w:top w:w="0" w:type="dxa"/>
          <w:left w:w="108" w:type="dxa"/>
          <w:bottom w:w="0" w:type="dxa"/>
          <w:right w:w="108" w:type="dxa"/>
        </w:tblCellMar>
      </w:tblPr>
      <w:tblGrid>
        <w:gridCol w:w="4655"/>
        <w:gridCol w:w="4287"/>
      </w:tblGrid>
      <w:tr w14:paraId="3B10A909">
        <w:tblPrEx>
          <w:tblCellMar>
            <w:top w:w="0" w:type="dxa"/>
            <w:left w:w="108" w:type="dxa"/>
            <w:bottom w:w="0" w:type="dxa"/>
            <w:right w:w="108" w:type="dxa"/>
          </w:tblCellMar>
        </w:tblPrEx>
        <w:trPr>
          <w:trHeight w:val="2653" w:hRule="atLeast"/>
        </w:trPr>
        <w:tc>
          <w:tcPr>
            <w:tcW w:w="2603" w:type="pct"/>
          </w:tcPr>
          <w:p w14:paraId="72A7D444">
            <w:pPr>
              <w:tabs>
                <w:tab w:val="left" w:pos="850"/>
              </w:tabs>
              <w:autoSpaceDE w:val="0"/>
              <w:autoSpaceDN w:val="0"/>
              <w:spacing w:before="72" w:beforeLines="30" w:after="72" w:afterLines="30" w:line="360" w:lineRule="auto"/>
              <w:textAlignment w:val="bottom"/>
              <w:rPr>
                <w:sz w:val="24"/>
                <w:highlight w:val="none"/>
              </w:rPr>
            </w:pPr>
          </w:p>
          <w:p w14:paraId="6429657C">
            <w:pPr>
              <w:tabs>
                <w:tab w:val="left" w:pos="850"/>
              </w:tabs>
              <w:autoSpaceDE w:val="0"/>
              <w:autoSpaceDN w:val="0"/>
              <w:spacing w:before="72" w:beforeLines="30" w:after="72" w:afterLines="30" w:line="360" w:lineRule="auto"/>
              <w:textAlignment w:val="bottom"/>
              <w:rPr>
                <w:sz w:val="24"/>
                <w:highlight w:val="none"/>
              </w:rPr>
            </w:pPr>
          </w:p>
          <w:p w14:paraId="31A90D98">
            <w:pPr>
              <w:tabs>
                <w:tab w:val="left" w:pos="850"/>
              </w:tabs>
              <w:autoSpaceDE w:val="0"/>
              <w:autoSpaceDN w:val="0"/>
              <w:spacing w:before="72" w:beforeLines="30" w:after="72" w:afterLines="30" w:line="360" w:lineRule="auto"/>
              <w:textAlignment w:val="bottom"/>
              <w:rPr>
                <w:sz w:val="24"/>
                <w:highlight w:val="none"/>
              </w:rPr>
            </w:pPr>
            <w:r>
              <w:rPr>
                <w:sz w:val="24"/>
                <w:highlight w:val="none"/>
              </w:rPr>
              <w:t>买方</w:t>
            </w:r>
            <w:r>
              <w:rPr>
                <w:rFonts w:hint="eastAsia"/>
                <w:sz w:val="24"/>
                <w:highlight w:val="none"/>
              </w:rPr>
              <w:t>（盖章）</w:t>
            </w:r>
          </w:p>
        </w:tc>
        <w:tc>
          <w:tcPr>
            <w:tcW w:w="2397" w:type="pct"/>
          </w:tcPr>
          <w:p w14:paraId="0443E1A7">
            <w:pPr>
              <w:tabs>
                <w:tab w:val="left" w:pos="850"/>
              </w:tabs>
              <w:autoSpaceDE w:val="0"/>
              <w:autoSpaceDN w:val="0"/>
              <w:spacing w:before="72" w:beforeLines="30" w:after="72" w:afterLines="30" w:line="360" w:lineRule="auto"/>
              <w:textAlignment w:val="bottom"/>
              <w:rPr>
                <w:sz w:val="24"/>
                <w:highlight w:val="none"/>
              </w:rPr>
            </w:pPr>
          </w:p>
          <w:p w14:paraId="0086DF3C">
            <w:pPr>
              <w:tabs>
                <w:tab w:val="left" w:pos="850"/>
              </w:tabs>
              <w:autoSpaceDE w:val="0"/>
              <w:autoSpaceDN w:val="0"/>
              <w:spacing w:before="72" w:beforeLines="30" w:after="72" w:afterLines="30" w:line="360" w:lineRule="auto"/>
              <w:textAlignment w:val="bottom"/>
              <w:rPr>
                <w:sz w:val="24"/>
                <w:highlight w:val="none"/>
              </w:rPr>
            </w:pPr>
          </w:p>
          <w:p w14:paraId="3082DB5F">
            <w:pPr>
              <w:tabs>
                <w:tab w:val="left" w:pos="850"/>
              </w:tabs>
              <w:autoSpaceDE w:val="0"/>
              <w:autoSpaceDN w:val="0"/>
              <w:spacing w:before="72" w:beforeLines="30" w:after="72" w:afterLines="30" w:line="360" w:lineRule="auto"/>
              <w:textAlignment w:val="bottom"/>
              <w:rPr>
                <w:sz w:val="24"/>
                <w:highlight w:val="none"/>
              </w:rPr>
            </w:pPr>
            <w:r>
              <w:rPr>
                <w:sz w:val="24"/>
                <w:highlight w:val="none"/>
              </w:rPr>
              <w:t>卖方</w:t>
            </w:r>
            <w:r>
              <w:rPr>
                <w:rFonts w:hint="eastAsia"/>
                <w:sz w:val="24"/>
                <w:highlight w:val="none"/>
              </w:rPr>
              <w:t>（盖章）</w:t>
            </w:r>
          </w:p>
          <w:p w14:paraId="299BD84C">
            <w:pPr>
              <w:tabs>
                <w:tab w:val="left" w:pos="850"/>
              </w:tabs>
              <w:autoSpaceDE w:val="0"/>
              <w:autoSpaceDN w:val="0"/>
              <w:spacing w:before="72" w:beforeLines="30" w:after="72" w:afterLines="30" w:line="360" w:lineRule="auto"/>
              <w:textAlignment w:val="bottom"/>
              <w:rPr>
                <w:sz w:val="24"/>
                <w:highlight w:val="none"/>
              </w:rPr>
            </w:pPr>
          </w:p>
        </w:tc>
      </w:tr>
      <w:tr w14:paraId="6B2A959A">
        <w:tblPrEx>
          <w:tblCellMar>
            <w:top w:w="0" w:type="dxa"/>
            <w:left w:w="108" w:type="dxa"/>
            <w:bottom w:w="0" w:type="dxa"/>
            <w:right w:w="108" w:type="dxa"/>
          </w:tblCellMar>
        </w:tblPrEx>
        <w:trPr>
          <w:trHeight w:val="1084" w:hRule="atLeast"/>
        </w:trPr>
        <w:tc>
          <w:tcPr>
            <w:tcW w:w="2603" w:type="pct"/>
            <w:vAlign w:val="center"/>
          </w:tcPr>
          <w:p w14:paraId="1AAEFBAA">
            <w:pPr>
              <w:tabs>
                <w:tab w:val="left" w:pos="850"/>
              </w:tabs>
              <w:autoSpaceDE w:val="0"/>
              <w:autoSpaceDN w:val="0"/>
              <w:spacing w:before="72" w:beforeLines="30" w:after="72" w:afterLines="30" w:line="360" w:lineRule="auto"/>
              <w:textAlignment w:val="bottom"/>
              <w:rPr>
                <w:sz w:val="24"/>
                <w:highlight w:val="none"/>
              </w:rPr>
            </w:pPr>
            <w:r>
              <w:rPr>
                <w:sz w:val="24"/>
                <w:highlight w:val="none"/>
              </w:rPr>
              <w:t>法定代表人或授权代表签字：</w:t>
            </w:r>
          </w:p>
          <w:p w14:paraId="136E3500">
            <w:pPr>
              <w:tabs>
                <w:tab w:val="left" w:pos="850"/>
              </w:tabs>
              <w:autoSpaceDE w:val="0"/>
              <w:autoSpaceDN w:val="0"/>
              <w:spacing w:before="72" w:beforeLines="30" w:after="72" w:afterLines="30" w:line="360" w:lineRule="auto"/>
              <w:textAlignment w:val="bottom"/>
              <w:rPr>
                <w:sz w:val="24"/>
                <w:highlight w:val="none"/>
              </w:rPr>
            </w:pPr>
          </w:p>
          <w:p w14:paraId="10161EED">
            <w:pPr>
              <w:tabs>
                <w:tab w:val="left" w:pos="850"/>
              </w:tabs>
              <w:autoSpaceDE w:val="0"/>
              <w:autoSpaceDN w:val="0"/>
              <w:spacing w:before="72" w:beforeLines="30" w:after="72" w:afterLines="30" w:line="360" w:lineRule="auto"/>
              <w:textAlignment w:val="bottom"/>
              <w:rPr>
                <w:sz w:val="24"/>
                <w:highlight w:val="none"/>
              </w:rPr>
            </w:pPr>
          </w:p>
          <w:p w14:paraId="16D7509C">
            <w:pPr>
              <w:tabs>
                <w:tab w:val="left" w:pos="850"/>
              </w:tabs>
              <w:autoSpaceDE w:val="0"/>
              <w:autoSpaceDN w:val="0"/>
              <w:spacing w:before="72" w:beforeLines="30" w:after="72" w:afterLines="30" w:line="360" w:lineRule="auto"/>
              <w:textAlignment w:val="bottom"/>
              <w:rPr>
                <w:sz w:val="24"/>
                <w:highlight w:val="none"/>
              </w:rPr>
            </w:pPr>
          </w:p>
          <w:p w14:paraId="752C4160">
            <w:pPr>
              <w:tabs>
                <w:tab w:val="left" w:pos="850"/>
              </w:tabs>
              <w:autoSpaceDE w:val="0"/>
              <w:autoSpaceDN w:val="0"/>
              <w:spacing w:before="72" w:beforeLines="30" w:after="72" w:afterLines="30"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c>
          <w:tcPr>
            <w:tcW w:w="2397" w:type="pct"/>
            <w:vAlign w:val="center"/>
          </w:tcPr>
          <w:p w14:paraId="7C569ACA">
            <w:pPr>
              <w:tabs>
                <w:tab w:val="left" w:pos="850"/>
              </w:tabs>
              <w:autoSpaceDE w:val="0"/>
              <w:autoSpaceDN w:val="0"/>
              <w:spacing w:before="72" w:beforeLines="30" w:after="72" w:afterLines="30" w:line="360" w:lineRule="auto"/>
              <w:textAlignment w:val="bottom"/>
              <w:rPr>
                <w:sz w:val="24"/>
                <w:highlight w:val="none"/>
              </w:rPr>
            </w:pPr>
            <w:r>
              <w:rPr>
                <w:sz w:val="24"/>
                <w:highlight w:val="none"/>
              </w:rPr>
              <w:t>法定代表人或授权代表签字：</w:t>
            </w:r>
          </w:p>
          <w:p w14:paraId="0EADC1E5">
            <w:pPr>
              <w:tabs>
                <w:tab w:val="left" w:pos="850"/>
              </w:tabs>
              <w:autoSpaceDE w:val="0"/>
              <w:autoSpaceDN w:val="0"/>
              <w:spacing w:before="72" w:beforeLines="30" w:after="72" w:afterLines="30" w:line="360" w:lineRule="auto"/>
              <w:textAlignment w:val="bottom"/>
              <w:rPr>
                <w:sz w:val="24"/>
                <w:highlight w:val="none"/>
              </w:rPr>
            </w:pPr>
          </w:p>
          <w:p w14:paraId="49D1289E">
            <w:pPr>
              <w:tabs>
                <w:tab w:val="left" w:pos="850"/>
              </w:tabs>
              <w:autoSpaceDE w:val="0"/>
              <w:autoSpaceDN w:val="0"/>
              <w:spacing w:before="72" w:beforeLines="30" w:after="72" w:afterLines="30" w:line="360" w:lineRule="auto"/>
              <w:textAlignment w:val="bottom"/>
              <w:rPr>
                <w:sz w:val="24"/>
                <w:highlight w:val="none"/>
              </w:rPr>
            </w:pPr>
          </w:p>
          <w:p w14:paraId="5C71810A">
            <w:pPr>
              <w:tabs>
                <w:tab w:val="left" w:pos="850"/>
              </w:tabs>
              <w:autoSpaceDE w:val="0"/>
              <w:autoSpaceDN w:val="0"/>
              <w:spacing w:before="72" w:beforeLines="30" w:after="72" w:afterLines="30" w:line="360" w:lineRule="auto"/>
              <w:textAlignment w:val="bottom"/>
              <w:rPr>
                <w:sz w:val="24"/>
                <w:highlight w:val="none"/>
              </w:rPr>
            </w:pPr>
          </w:p>
          <w:p w14:paraId="5CB0A74D">
            <w:pPr>
              <w:tabs>
                <w:tab w:val="left" w:pos="850"/>
              </w:tabs>
              <w:autoSpaceDE w:val="0"/>
              <w:autoSpaceDN w:val="0"/>
              <w:spacing w:before="72" w:beforeLines="30" w:after="72" w:afterLines="30"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r>
    </w:tbl>
    <w:p w14:paraId="7E91DFD6">
      <w:pPr>
        <w:spacing w:before="72" w:beforeLines="30" w:after="72" w:afterLines="30" w:line="360" w:lineRule="auto"/>
        <w:rPr>
          <w:sz w:val="24"/>
          <w:highlight w:val="none"/>
        </w:rPr>
      </w:pPr>
      <w:r>
        <w:rPr>
          <w:rFonts w:hint="eastAsia"/>
          <w:sz w:val="24"/>
          <w:highlight w:val="none"/>
        </w:rPr>
        <w:t>姓名：</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姓名：</w:t>
      </w:r>
      <w:r>
        <w:rPr>
          <w:rFonts w:hint="eastAsia"/>
          <w:sz w:val="24"/>
          <w:highlight w:val="none"/>
          <w:u w:val="single"/>
        </w:rPr>
        <w:t xml:space="preserve">                       </w:t>
      </w:r>
    </w:p>
    <w:p w14:paraId="56B365D0">
      <w:pPr>
        <w:spacing w:before="72" w:beforeLines="30" w:after="72" w:afterLines="30" w:line="360" w:lineRule="auto"/>
        <w:rPr>
          <w:sz w:val="24"/>
          <w:highlight w:val="none"/>
        </w:rPr>
      </w:pPr>
      <w:r>
        <w:rPr>
          <w:rFonts w:hint="eastAsia"/>
          <w:sz w:val="24"/>
          <w:highlight w:val="none"/>
        </w:rPr>
        <w:t>职务：</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职务：</w:t>
      </w:r>
      <w:r>
        <w:rPr>
          <w:rFonts w:hint="eastAsia"/>
          <w:sz w:val="24"/>
          <w:highlight w:val="none"/>
          <w:u w:val="single"/>
        </w:rPr>
        <w:t xml:space="preserve">                       </w:t>
      </w:r>
    </w:p>
    <w:p w14:paraId="39C2E7A0">
      <w:pPr>
        <w:widowControl/>
        <w:spacing w:before="72" w:beforeLines="30" w:after="72" w:afterLines="30" w:line="360" w:lineRule="auto"/>
        <w:jc w:val="left"/>
        <w:rPr>
          <w:sz w:val="24"/>
          <w:highlight w:val="none"/>
        </w:rPr>
      </w:pPr>
    </w:p>
    <w:p w14:paraId="22C6A021">
      <w:pPr>
        <w:widowControl/>
        <w:spacing w:before="72" w:beforeLines="30" w:after="72" w:afterLines="30" w:line="360" w:lineRule="auto"/>
        <w:jc w:val="left"/>
        <w:rPr>
          <w:sz w:val="24"/>
          <w:highlight w:val="none"/>
        </w:rPr>
      </w:pPr>
    </w:p>
    <w:p w14:paraId="2243477E">
      <w:pPr>
        <w:widowControl/>
        <w:spacing w:before="72" w:beforeLines="30" w:after="72" w:afterLines="30" w:line="360" w:lineRule="auto"/>
        <w:jc w:val="left"/>
        <w:rPr>
          <w:sz w:val="24"/>
          <w:highlight w:val="none"/>
        </w:rPr>
      </w:pPr>
    </w:p>
    <w:p w14:paraId="7CA50757">
      <w:pPr>
        <w:widowControl/>
        <w:spacing w:before="72" w:beforeLines="30" w:after="72" w:afterLines="30" w:line="360" w:lineRule="auto"/>
        <w:jc w:val="left"/>
        <w:rPr>
          <w:sz w:val="24"/>
          <w:highlight w:val="none"/>
        </w:rPr>
      </w:pPr>
    </w:p>
    <w:p w14:paraId="281026B4">
      <w:pPr>
        <w:widowControl/>
        <w:spacing w:before="72" w:beforeLines="30" w:after="72" w:afterLines="30" w:line="360" w:lineRule="auto"/>
        <w:jc w:val="left"/>
        <w:rPr>
          <w:sz w:val="24"/>
          <w:highlight w:val="none"/>
        </w:rPr>
      </w:pPr>
    </w:p>
    <w:p w14:paraId="32A0BA24">
      <w:pPr>
        <w:widowControl/>
        <w:spacing w:before="72" w:beforeLines="30" w:after="72" w:afterLines="30" w:line="360" w:lineRule="auto"/>
        <w:jc w:val="left"/>
        <w:rPr>
          <w:sz w:val="24"/>
          <w:highlight w:val="none"/>
        </w:rPr>
      </w:pPr>
    </w:p>
    <w:p w14:paraId="11544BA2">
      <w:pPr>
        <w:widowControl/>
        <w:spacing w:before="72" w:beforeLines="30" w:after="72" w:afterLines="30" w:line="360" w:lineRule="auto"/>
        <w:jc w:val="left"/>
        <w:rPr>
          <w:sz w:val="24"/>
          <w:highlight w:val="none"/>
        </w:rPr>
      </w:pPr>
    </w:p>
    <w:p w14:paraId="007B3D19">
      <w:pPr>
        <w:widowControl/>
        <w:spacing w:before="72" w:beforeLines="30" w:after="72" w:afterLines="30" w:line="360" w:lineRule="auto"/>
        <w:jc w:val="left"/>
        <w:rPr>
          <w:sz w:val="24"/>
          <w:highlight w:val="none"/>
        </w:rPr>
      </w:pPr>
    </w:p>
    <w:p w14:paraId="5AD9BA7F">
      <w:pPr>
        <w:widowControl/>
        <w:spacing w:before="72" w:beforeLines="30" w:after="72" w:afterLines="30" w:line="360" w:lineRule="auto"/>
        <w:jc w:val="left"/>
        <w:rPr>
          <w:sz w:val="24"/>
          <w:highlight w:val="none"/>
        </w:rPr>
      </w:pPr>
    </w:p>
    <w:p w14:paraId="16CE394B">
      <w:pPr>
        <w:widowControl/>
        <w:spacing w:before="72" w:beforeLines="30" w:after="72" w:afterLines="30" w:line="360" w:lineRule="auto"/>
        <w:jc w:val="left"/>
        <w:rPr>
          <w:sz w:val="24"/>
          <w:highlight w:val="none"/>
        </w:rPr>
      </w:pPr>
    </w:p>
    <w:p w14:paraId="22E8C305">
      <w:pPr>
        <w:widowControl/>
        <w:spacing w:before="72" w:beforeLines="30" w:after="72" w:afterLines="30" w:line="360" w:lineRule="auto"/>
        <w:jc w:val="left"/>
        <w:rPr>
          <w:sz w:val="24"/>
          <w:highlight w:val="none"/>
        </w:rPr>
      </w:pPr>
    </w:p>
    <w:p w14:paraId="09CDB3AB">
      <w:pPr>
        <w:widowControl/>
        <w:spacing w:before="72" w:beforeLines="30" w:after="72" w:afterLines="30" w:line="360" w:lineRule="auto"/>
        <w:jc w:val="left"/>
        <w:rPr>
          <w:sz w:val="24"/>
          <w:highlight w:val="none"/>
        </w:rPr>
      </w:pPr>
    </w:p>
    <w:p w14:paraId="78FA86A9">
      <w:pPr>
        <w:widowControl/>
        <w:spacing w:before="72" w:beforeLines="30" w:after="72" w:afterLines="30" w:line="360" w:lineRule="auto"/>
        <w:jc w:val="left"/>
        <w:rPr>
          <w:b/>
          <w:bCs/>
          <w:iCs/>
          <w:kern w:val="0"/>
          <w:sz w:val="24"/>
          <w:highlight w:val="none"/>
        </w:rPr>
      </w:pPr>
      <w:bookmarkStart w:id="134" w:name="_Toc291435885"/>
      <w:bookmarkStart w:id="135" w:name="_Toc296955897"/>
      <w:bookmarkStart w:id="136" w:name="_Toc358987523"/>
      <w:bookmarkStart w:id="137" w:name="_Toc366251493"/>
      <w:bookmarkStart w:id="138" w:name="_Toc300670376"/>
      <w:bookmarkStart w:id="139" w:name="_Toc300670448"/>
      <w:bookmarkStart w:id="140" w:name="_Toc291435952"/>
      <w:r>
        <w:rPr>
          <w:rFonts w:hint="eastAsia"/>
          <w:b/>
          <w:bCs/>
          <w:iCs/>
          <w:kern w:val="0"/>
          <w:sz w:val="24"/>
          <w:highlight w:val="none"/>
        </w:rPr>
        <w:t>附件一：</w:t>
      </w:r>
      <w:bookmarkEnd w:id="134"/>
      <w:bookmarkEnd w:id="135"/>
      <w:bookmarkEnd w:id="136"/>
      <w:bookmarkEnd w:id="137"/>
      <w:bookmarkEnd w:id="138"/>
      <w:bookmarkEnd w:id="139"/>
      <w:bookmarkEnd w:id="140"/>
      <w:r>
        <w:rPr>
          <w:rFonts w:hint="eastAsia"/>
          <w:b/>
          <w:bCs/>
          <w:iCs/>
          <w:kern w:val="0"/>
          <w:sz w:val="24"/>
          <w:highlight w:val="none"/>
        </w:rPr>
        <w:t>价格表</w:t>
      </w:r>
    </w:p>
    <w:p w14:paraId="0B1DD00A">
      <w:pPr>
        <w:widowControl/>
        <w:spacing w:before="72" w:beforeLines="30" w:after="72" w:afterLines="30" w:line="360" w:lineRule="auto"/>
        <w:jc w:val="left"/>
        <w:rPr>
          <w:sz w:val="24"/>
          <w:highlight w:val="none"/>
        </w:rPr>
      </w:pPr>
      <w:r>
        <w:rPr>
          <w:rFonts w:hint="eastAsia"/>
          <w:b/>
          <w:bCs/>
          <w:iCs/>
          <w:kern w:val="0"/>
          <w:sz w:val="24"/>
          <w:highlight w:val="none"/>
        </w:rPr>
        <w:t>附件二：技术服务</w:t>
      </w:r>
    </w:p>
    <w:p w14:paraId="2FA6B622">
      <w:pPr>
        <w:rPr>
          <w:highlight w:val="none"/>
          <w:lang w:val="en-US" w:eastAsia="zh-CN"/>
        </w:rPr>
      </w:pPr>
      <w:r>
        <w:rPr>
          <w:rFonts w:hint="eastAsia"/>
          <w:b/>
          <w:bCs/>
          <w:iCs/>
          <w:kern w:val="0"/>
          <w:sz w:val="24"/>
          <w:highlight w:val="none"/>
        </w:rPr>
        <w:t>附件三：付款进度</w:t>
      </w:r>
    </w:p>
    <w:p w14:paraId="2516E933">
      <w:pPr>
        <w:pStyle w:val="8"/>
        <w:rPr>
          <w:highlight w:val="none"/>
          <w:lang w:val="en-US" w:eastAsia="zh-CN"/>
        </w:rPr>
      </w:pPr>
    </w:p>
    <w:p w14:paraId="3A6B0042">
      <w:pPr>
        <w:rPr>
          <w:highlight w:val="none"/>
          <w:lang w:val="en-US" w:eastAsia="zh-CN"/>
        </w:rPr>
      </w:pPr>
    </w:p>
    <w:p w14:paraId="0F89BCE8">
      <w:pPr>
        <w:pStyle w:val="8"/>
        <w:rPr>
          <w:highlight w:val="none"/>
          <w:lang w:val="en-US" w:eastAsia="zh-CN"/>
        </w:rPr>
      </w:pPr>
    </w:p>
    <w:p w14:paraId="1E8A44FD">
      <w:pPr>
        <w:pStyle w:val="8"/>
        <w:rPr>
          <w:highlight w:val="none"/>
          <w:lang w:val="en-US" w:eastAsia="zh-CN"/>
        </w:rPr>
      </w:pPr>
    </w:p>
    <w:p w14:paraId="5C12467F">
      <w:pPr>
        <w:rPr>
          <w:rFonts w:hint="eastAsia"/>
          <w:b/>
          <w:strike w:val="0"/>
          <w:dstrike w:val="0"/>
          <w:sz w:val="24"/>
          <w:highlight w:val="none"/>
          <w:lang w:val="en-US" w:eastAsia="zh-CN"/>
        </w:rPr>
      </w:pPr>
      <w:r>
        <w:rPr>
          <w:rFonts w:hint="eastAsia"/>
          <w:b/>
          <w:strike w:val="0"/>
          <w:dstrike w:val="0"/>
          <w:sz w:val="24"/>
          <w:highlight w:val="none"/>
          <w:lang w:val="en-US" w:eastAsia="zh-CN"/>
        </w:rPr>
        <w:br w:type="page"/>
      </w:r>
    </w:p>
    <w:p w14:paraId="58318C13">
      <w:pPr>
        <w:pStyle w:val="39"/>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highlight w:val="none"/>
        </w:rPr>
      </w:pPr>
      <w:r>
        <w:rPr>
          <w:rFonts w:hint="eastAsia"/>
          <w:b/>
          <w:strike w:val="0"/>
          <w:dstrike w:val="0"/>
          <w:sz w:val="24"/>
          <w:highlight w:val="none"/>
          <w:lang w:val="en-US" w:eastAsia="zh-CN"/>
        </w:rPr>
        <w:t xml:space="preserve">附件4： </w:t>
      </w:r>
      <w:r>
        <w:rPr>
          <w:rFonts w:hint="eastAsia"/>
          <w:b/>
          <w:strike w:val="0"/>
          <w:dstrike w:val="0"/>
          <w:sz w:val="24"/>
          <w:highlight w:val="none"/>
        </w:rPr>
        <w:t>供应商履约异常处罚方式</w:t>
      </w:r>
    </w:p>
    <w:p w14:paraId="5046A6F0">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highlight w:val="none"/>
          <w:lang w:eastAsia="zh-CN"/>
        </w:rPr>
      </w:pPr>
      <w:r>
        <w:rPr>
          <w:rFonts w:hint="eastAsia"/>
          <w:b/>
          <w:strike w:val="0"/>
          <w:dstrike w:val="0"/>
          <w:sz w:val="24"/>
          <w:highlight w:val="none"/>
          <w:lang w:val="en-US" w:eastAsia="zh-CN"/>
        </w:rPr>
        <w:t>4.1海油发展供应商处理情形和处理标准</w:t>
      </w:r>
    </w:p>
    <w:tbl>
      <w:tblPr>
        <w:tblStyle w:val="20"/>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14:paraId="20F7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14:paraId="4B66EB91">
            <w:pPr>
              <w:jc w:val="center"/>
              <w:textAlignment w:val="center"/>
              <w:rPr>
                <w:b/>
                <w:bCs/>
                <w:color w:val="000000"/>
                <w:sz w:val="22"/>
                <w:szCs w:val="22"/>
                <w:highlight w:val="none"/>
              </w:rPr>
            </w:pPr>
            <w:r>
              <w:rPr>
                <w:rFonts w:hint="eastAsia"/>
                <w:b/>
                <w:bCs/>
                <w:color w:val="000000"/>
                <w:sz w:val="22"/>
                <w:szCs w:val="22"/>
                <w:highlight w:val="none"/>
                <w:lang w:bidi="ar"/>
              </w:rPr>
              <w:t>序号</w:t>
            </w:r>
          </w:p>
        </w:tc>
        <w:tc>
          <w:tcPr>
            <w:tcW w:w="1266" w:type="dxa"/>
            <w:shd w:val="clear" w:color="auto" w:fill="auto"/>
            <w:vAlign w:val="center"/>
          </w:tcPr>
          <w:p w14:paraId="478AD495">
            <w:pPr>
              <w:jc w:val="center"/>
              <w:textAlignment w:val="center"/>
              <w:rPr>
                <w:b/>
                <w:bCs/>
                <w:color w:val="000000"/>
                <w:sz w:val="22"/>
                <w:szCs w:val="22"/>
                <w:highlight w:val="none"/>
              </w:rPr>
            </w:pPr>
            <w:r>
              <w:rPr>
                <w:rFonts w:hint="eastAsia"/>
                <w:b/>
                <w:bCs/>
                <w:color w:val="000000"/>
                <w:sz w:val="22"/>
                <w:szCs w:val="22"/>
                <w:highlight w:val="none"/>
                <w:lang w:bidi="ar"/>
              </w:rPr>
              <w:t>违规类型</w:t>
            </w:r>
          </w:p>
        </w:tc>
        <w:tc>
          <w:tcPr>
            <w:tcW w:w="5484" w:type="dxa"/>
            <w:shd w:val="clear" w:color="auto" w:fill="auto"/>
            <w:vAlign w:val="center"/>
          </w:tcPr>
          <w:p w14:paraId="48B8E67B">
            <w:pPr>
              <w:jc w:val="center"/>
              <w:textAlignment w:val="center"/>
              <w:rPr>
                <w:b/>
                <w:bCs/>
                <w:color w:val="000000"/>
                <w:sz w:val="22"/>
                <w:szCs w:val="22"/>
                <w:highlight w:val="none"/>
              </w:rPr>
            </w:pPr>
            <w:r>
              <w:rPr>
                <w:rFonts w:hint="eastAsia"/>
                <w:b/>
                <w:bCs/>
                <w:color w:val="000000"/>
                <w:sz w:val="22"/>
                <w:szCs w:val="22"/>
                <w:highlight w:val="none"/>
                <w:lang w:bidi="ar"/>
              </w:rPr>
              <w:t>违规情形说明</w:t>
            </w:r>
          </w:p>
        </w:tc>
        <w:tc>
          <w:tcPr>
            <w:tcW w:w="1281" w:type="dxa"/>
            <w:shd w:val="clear" w:color="auto" w:fill="auto"/>
            <w:vAlign w:val="center"/>
          </w:tcPr>
          <w:p w14:paraId="05E22EAD">
            <w:pPr>
              <w:textAlignment w:val="center"/>
              <w:rPr>
                <w:b/>
                <w:bCs/>
                <w:color w:val="000000"/>
                <w:sz w:val="22"/>
                <w:szCs w:val="22"/>
                <w:highlight w:val="none"/>
              </w:rPr>
            </w:pPr>
            <w:r>
              <w:rPr>
                <w:rFonts w:hint="eastAsia"/>
                <w:b/>
                <w:bCs/>
                <w:color w:val="000000"/>
                <w:sz w:val="22"/>
                <w:szCs w:val="22"/>
                <w:highlight w:val="none"/>
                <w:lang w:bidi="ar"/>
              </w:rPr>
              <w:t>处理方式</w:t>
            </w:r>
          </w:p>
        </w:tc>
      </w:tr>
      <w:tr w14:paraId="2D45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14:paraId="37F3565E">
            <w:pPr>
              <w:jc w:val="center"/>
              <w:textAlignment w:val="center"/>
              <w:rPr>
                <w:color w:val="000000"/>
                <w:sz w:val="20"/>
                <w:szCs w:val="20"/>
                <w:highlight w:val="none"/>
              </w:rPr>
            </w:pPr>
            <w:r>
              <w:rPr>
                <w:rFonts w:hint="eastAsia"/>
                <w:color w:val="000000"/>
                <w:sz w:val="20"/>
                <w:szCs w:val="20"/>
                <w:highlight w:val="none"/>
                <w:lang w:bidi="ar"/>
              </w:rPr>
              <w:t>1</w:t>
            </w:r>
          </w:p>
        </w:tc>
        <w:tc>
          <w:tcPr>
            <w:tcW w:w="1266" w:type="dxa"/>
            <w:vMerge w:val="restart"/>
            <w:shd w:val="clear" w:color="auto" w:fill="auto"/>
            <w:vAlign w:val="center"/>
          </w:tcPr>
          <w:p w14:paraId="50DE5908">
            <w:pPr>
              <w:jc w:val="center"/>
              <w:textAlignment w:val="center"/>
              <w:rPr>
                <w:color w:val="000000"/>
                <w:sz w:val="20"/>
                <w:szCs w:val="20"/>
                <w:highlight w:val="none"/>
              </w:rPr>
            </w:pPr>
            <w:r>
              <w:rPr>
                <w:rFonts w:hint="eastAsia"/>
                <w:color w:val="000000"/>
                <w:sz w:val="20"/>
                <w:szCs w:val="20"/>
                <w:highlight w:val="none"/>
                <w:lang w:bidi="ar"/>
              </w:rPr>
              <w:t>提供虚假资料</w:t>
            </w:r>
          </w:p>
        </w:tc>
        <w:tc>
          <w:tcPr>
            <w:tcW w:w="5484" w:type="dxa"/>
            <w:shd w:val="clear" w:color="auto" w:fill="auto"/>
            <w:vAlign w:val="center"/>
          </w:tcPr>
          <w:p w14:paraId="21AC6315">
            <w:pPr>
              <w:textAlignment w:val="center"/>
              <w:rPr>
                <w:color w:val="000000"/>
                <w:sz w:val="20"/>
                <w:szCs w:val="20"/>
                <w:highlight w:val="none"/>
              </w:rPr>
            </w:pPr>
            <w:r>
              <w:rPr>
                <w:rFonts w:hint="eastAsia"/>
                <w:color w:val="000000"/>
                <w:sz w:val="20"/>
                <w:szCs w:val="20"/>
                <w:highlight w:val="none"/>
                <w:lang w:bidi="ar"/>
              </w:rPr>
              <w:t>提供虚假材料（资质文件、业绩、财务状况、书面承诺等）进行供应商注册、准入或参与采购项目，未造成损失的</w:t>
            </w:r>
          </w:p>
        </w:tc>
        <w:tc>
          <w:tcPr>
            <w:tcW w:w="1281" w:type="dxa"/>
            <w:shd w:val="clear" w:color="auto" w:fill="auto"/>
            <w:vAlign w:val="center"/>
          </w:tcPr>
          <w:p w14:paraId="0D0C2E75">
            <w:pPr>
              <w:textAlignment w:val="center"/>
              <w:rPr>
                <w:color w:val="000000"/>
                <w:sz w:val="20"/>
                <w:szCs w:val="20"/>
                <w:highlight w:val="none"/>
              </w:rPr>
            </w:pPr>
            <w:r>
              <w:rPr>
                <w:rFonts w:hint="eastAsia"/>
                <w:color w:val="000000"/>
                <w:sz w:val="20"/>
                <w:szCs w:val="20"/>
                <w:highlight w:val="none"/>
                <w:lang w:bidi="ar"/>
              </w:rPr>
              <w:t>禁用一年</w:t>
            </w:r>
          </w:p>
        </w:tc>
      </w:tr>
      <w:tr w14:paraId="7AF5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14:paraId="63E1FDD9">
            <w:pPr>
              <w:jc w:val="center"/>
              <w:textAlignment w:val="center"/>
              <w:rPr>
                <w:color w:val="000000"/>
                <w:sz w:val="20"/>
                <w:szCs w:val="20"/>
                <w:highlight w:val="none"/>
              </w:rPr>
            </w:pPr>
            <w:r>
              <w:rPr>
                <w:rFonts w:hint="eastAsia"/>
                <w:color w:val="000000"/>
                <w:sz w:val="20"/>
                <w:szCs w:val="20"/>
                <w:highlight w:val="none"/>
                <w:lang w:bidi="ar"/>
              </w:rPr>
              <w:t>2</w:t>
            </w:r>
          </w:p>
        </w:tc>
        <w:tc>
          <w:tcPr>
            <w:tcW w:w="1266" w:type="dxa"/>
            <w:vMerge w:val="continue"/>
            <w:shd w:val="clear" w:color="auto" w:fill="auto"/>
            <w:vAlign w:val="center"/>
          </w:tcPr>
          <w:p w14:paraId="729CDA60">
            <w:pPr>
              <w:jc w:val="center"/>
              <w:rPr>
                <w:color w:val="000000"/>
                <w:sz w:val="20"/>
                <w:szCs w:val="20"/>
                <w:highlight w:val="none"/>
              </w:rPr>
            </w:pPr>
          </w:p>
        </w:tc>
        <w:tc>
          <w:tcPr>
            <w:tcW w:w="5484" w:type="dxa"/>
            <w:shd w:val="clear" w:color="auto" w:fill="auto"/>
            <w:vAlign w:val="center"/>
          </w:tcPr>
          <w:p w14:paraId="5948DE1E">
            <w:pPr>
              <w:textAlignment w:val="center"/>
              <w:rPr>
                <w:rFonts w:hint="default" w:eastAsia="宋体"/>
                <w:color w:val="000000"/>
                <w:sz w:val="20"/>
                <w:szCs w:val="20"/>
                <w:highlight w:val="none"/>
                <w:lang w:val="en-US" w:eastAsia="zh-CN"/>
              </w:rPr>
            </w:pPr>
            <w:r>
              <w:rPr>
                <w:rFonts w:hint="eastAsia"/>
                <w:b/>
                <w:bCs/>
                <w:color w:val="000000"/>
                <w:sz w:val="20"/>
                <w:szCs w:val="20"/>
                <w:highlight w:val="none"/>
                <w:lang w:bidi="ar"/>
              </w:rPr>
              <w:t>提供虚假材料</w:t>
            </w:r>
            <w:r>
              <w:rPr>
                <w:rFonts w:hint="eastAsia"/>
                <w:color w:val="000000"/>
                <w:sz w:val="20"/>
                <w:szCs w:val="20"/>
                <w:highlight w:val="none"/>
                <w:lang w:bidi="ar"/>
              </w:rPr>
              <w:t>（</w:t>
            </w:r>
            <w:r>
              <w:rPr>
                <w:rFonts w:hint="eastAsia"/>
                <w:b/>
                <w:bCs/>
                <w:color w:val="000000"/>
                <w:sz w:val="20"/>
                <w:szCs w:val="20"/>
                <w:highlight w:val="none"/>
                <w:lang w:bidi="ar"/>
              </w:rPr>
              <w:t>资质文件、业绩、财务状况、书面承诺</w:t>
            </w:r>
            <w:r>
              <w:rPr>
                <w:rFonts w:hint="eastAsia"/>
                <w:color w:val="000000"/>
                <w:sz w:val="20"/>
                <w:szCs w:val="20"/>
                <w:highlight w:val="none"/>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14:paraId="18159D39">
            <w:pPr>
              <w:textAlignment w:val="center"/>
              <w:rPr>
                <w:color w:val="000000"/>
                <w:sz w:val="20"/>
                <w:szCs w:val="20"/>
                <w:highlight w:val="none"/>
              </w:rPr>
            </w:pPr>
            <w:r>
              <w:rPr>
                <w:rFonts w:hint="eastAsia"/>
                <w:b/>
                <w:bCs/>
                <w:color w:val="000000"/>
                <w:sz w:val="20"/>
                <w:szCs w:val="20"/>
                <w:highlight w:val="none"/>
                <w:lang w:bidi="ar"/>
              </w:rPr>
              <w:t>禁用两年</w:t>
            </w:r>
          </w:p>
        </w:tc>
      </w:tr>
      <w:tr w14:paraId="0310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14:paraId="78ACC1BF">
            <w:pPr>
              <w:jc w:val="center"/>
              <w:textAlignment w:val="center"/>
              <w:rPr>
                <w:color w:val="000000"/>
                <w:sz w:val="20"/>
                <w:szCs w:val="20"/>
                <w:highlight w:val="none"/>
              </w:rPr>
            </w:pPr>
            <w:r>
              <w:rPr>
                <w:rFonts w:hint="eastAsia"/>
                <w:color w:val="000000"/>
                <w:sz w:val="20"/>
                <w:szCs w:val="20"/>
                <w:highlight w:val="none"/>
                <w:lang w:bidi="ar"/>
              </w:rPr>
              <w:t>3</w:t>
            </w:r>
          </w:p>
        </w:tc>
        <w:tc>
          <w:tcPr>
            <w:tcW w:w="1266" w:type="dxa"/>
            <w:vMerge w:val="restart"/>
            <w:shd w:val="clear" w:color="auto" w:fill="auto"/>
            <w:vAlign w:val="center"/>
          </w:tcPr>
          <w:p w14:paraId="1420E4A6">
            <w:pPr>
              <w:jc w:val="center"/>
              <w:textAlignment w:val="center"/>
              <w:rPr>
                <w:color w:val="000000"/>
                <w:sz w:val="20"/>
                <w:szCs w:val="20"/>
                <w:highlight w:val="none"/>
              </w:rPr>
            </w:pPr>
            <w:r>
              <w:rPr>
                <w:rFonts w:hint="eastAsia"/>
                <w:color w:val="000000"/>
                <w:sz w:val="20"/>
                <w:szCs w:val="20"/>
                <w:highlight w:val="none"/>
                <w:lang w:bidi="ar"/>
              </w:rPr>
              <w:t>恶意串通</w:t>
            </w:r>
          </w:p>
        </w:tc>
        <w:tc>
          <w:tcPr>
            <w:tcW w:w="5484" w:type="dxa"/>
            <w:shd w:val="clear" w:color="auto" w:fill="auto"/>
            <w:vAlign w:val="center"/>
          </w:tcPr>
          <w:p w14:paraId="622051AA">
            <w:pPr>
              <w:textAlignment w:val="center"/>
              <w:rPr>
                <w:color w:val="000000"/>
                <w:sz w:val="20"/>
                <w:szCs w:val="20"/>
                <w:highlight w:val="none"/>
              </w:rPr>
            </w:pPr>
            <w:r>
              <w:rPr>
                <w:rFonts w:hint="eastAsia"/>
                <w:color w:val="000000"/>
                <w:sz w:val="20"/>
                <w:szCs w:val="20"/>
                <w:highlight w:val="none"/>
                <w:lang w:bidi="ar"/>
              </w:rPr>
              <w:t>为达到不正当目的</w:t>
            </w:r>
            <w:r>
              <w:rPr>
                <w:rFonts w:hint="eastAsia"/>
                <w:b/>
                <w:bCs/>
                <w:color w:val="000000"/>
                <w:sz w:val="20"/>
                <w:szCs w:val="20"/>
                <w:highlight w:val="none"/>
                <w:lang w:bidi="ar"/>
              </w:rPr>
              <w:t>相互恶意串通</w:t>
            </w:r>
            <w:r>
              <w:rPr>
                <w:rFonts w:hint="eastAsia"/>
                <w:color w:val="000000"/>
                <w:sz w:val="20"/>
                <w:szCs w:val="20"/>
                <w:highlight w:val="none"/>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14:paraId="38C8BA0A">
            <w:pPr>
              <w:textAlignment w:val="center"/>
              <w:rPr>
                <w:color w:val="000000"/>
                <w:sz w:val="20"/>
                <w:szCs w:val="20"/>
                <w:highlight w:val="none"/>
              </w:rPr>
            </w:pPr>
            <w:r>
              <w:rPr>
                <w:rFonts w:hint="eastAsia"/>
                <w:b/>
                <w:bCs/>
                <w:color w:val="000000"/>
                <w:sz w:val="20"/>
                <w:szCs w:val="20"/>
                <w:highlight w:val="none"/>
                <w:lang w:bidi="ar"/>
              </w:rPr>
              <w:t>禁用两年</w:t>
            </w:r>
          </w:p>
        </w:tc>
      </w:tr>
      <w:tr w14:paraId="1452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14:paraId="109EC642">
            <w:pPr>
              <w:jc w:val="center"/>
              <w:textAlignment w:val="center"/>
              <w:rPr>
                <w:color w:val="000000"/>
                <w:sz w:val="20"/>
                <w:szCs w:val="20"/>
                <w:highlight w:val="none"/>
              </w:rPr>
            </w:pPr>
            <w:r>
              <w:rPr>
                <w:rFonts w:hint="eastAsia"/>
                <w:color w:val="000000"/>
                <w:sz w:val="20"/>
                <w:szCs w:val="20"/>
                <w:highlight w:val="none"/>
                <w:lang w:bidi="ar"/>
              </w:rPr>
              <w:t>4</w:t>
            </w:r>
          </w:p>
        </w:tc>
        <w:tc>
          <w:tcPr>
            <w:tcW w:w="1266" w:type="dxa"/>
            <w:vMerge w:val="continue"/>
            <w:shd w:val="clear" w:color="auto" w:fill="auto"/>
            <w:vAlign w:val="center"/>
          </w:tcPr>
          <w:p w14:paraId="105A3235">
            <w:pPr>
              <w:jc w:val="center"/>
              <w:rPr>
                <w:color w:val="000000"/>
                <w:sz w:val="20"/>
                <w:szCs w:val="20"/>
                <w:highlight w:val="none"/>
              </w:rPr>
            </w:pPr>
          </w:p>
        </w:tc>
        <w:tc>
          <w:tcPr>
            <w:tcW w:w="5484" w:type="dxa"/>
            <w:shd w:val="clear" w:color="auto" w:fill="auto"/>
            <w:vAlign w:val="center"/>
          </w:tcPr>
          <w:p w14:paraId="16E22EF5">
            <w:pPr>
              <w:textAlignment w:val="center"/>
              <w:rPr>
                <w:color w:val="000000"/>
                <w:sz w:val="20"/>
                <w:szCs w:val="20"/>
                <w:highlight w:val="none"/>
              </w:rPr>
            </w:pPr>
            <w:r>
              <w:rPr>
                <w:rFonts w:hint="eastAsia"/>
                <w:color w:val="000000"/>
                <w:sz w:val="20"/>
                <w:szCs w:val="20"/>
                <w:highlight w:val="none"/>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14:paraId="58689E59">
            <w:pPr>
              <w:textAlignment w:val="center"/>
              <w:rPr>
                <w:color w:val="000000"/>
                <w:sz w:val="20"/>
                <w:szCs w:val="20"/>
                <w:highlight w:val="none"/>
              </w:rPr>
            </w:pPr>
            <w:r>
              <w:rPr>
                <w:rFonts w:hint="eastAsia"/>
                <w:color w:val="000000"/>
                <w:sz w:val="20"/>
                <w:szCs w:val="20"/>
                <w:highlight w:val="none"/>
                <w:lang w:bidi="ar"/>
              </w:rPr>
              <w:t>长期禁用</w:t>
            </w:r>
          </w:p>
        </w:tc>
      </w:tr>
      <w:tr w14:paraId="4A9E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14:paraId="696A837B">
            <w:pPr>
              <w:jc w:val="center"/>
              <w:textAlignment w:val="center"/>
              <w:rPr>
                <w:color w:val="000000"/>
                <w:sz w:val="20"/>
                <w:szCs w:val="20"/>
                <w:highlight w:val="none"/>
              </w:rPr>
            </w:pPr>
            <w:r>
              <w:rPr>
                <w:rFonts w:hint="eastAsia"/>
                <w:color w:val="000000"/>
                <w:sz w:val="20"/>
                <w:szCs w:val="20"/>
                <w:highlight w:val="none"/>
                <w:lang w:bidi="ar"/>
              </w:rPr>
              <w:t>5</w:t>
            </w:r>
          </w:p>
        </w:tc>
        <w:tc>
          <w:tcPr>
            <w:tcW w:w="1266" w:type="dxa"/>
            <w:vMerge w:val="restart"/>
            <w:shd w:val="clear" w:color="auto" w:fill="auto"/>
            <w:vAlign w:val="center"/>
          </w:tcPr>
          <w:p w14:paraId="19482D47">
            <w:pPr>
              <w:jc w:val="center"/>
              <w:textAlignment w:val="center"/>
              <w:rPr>
                <w:color w:val="000000"/>
                <w:sz w:val="20"/>
                <w:szCs w:val="20"/>
                <w:highlight w:val="none"/>
              </w:rPr>
            </w:pPr>
            <w:r>
              <w:rPr>
                <w:rFonts w:hint="eastAsia"/>
                <w:color w:val="000000"/>
                <w:sz w:val="20"/>
                <w:szCs w:val="20"/>
                <w:highlight w:val="none"/>
                <w:lang w:bidi="ar"/>
              </w:rPr>
              <w:t>中途撤销投标</w:t>
            </w:r>
          </w:p>
        </w:tc>
        <w:tc>
          <w:tcPr>
            <w:tcW w:w="5484" w:type="dxa"/>
            <w:shd w:val="clear" w:color="auto" w:fill="auto"/>
            <w:vAlign w:val="center"/>
          </w:tcPr>
          <w:p w14:paraId="19DBEBA5">
            <w:pPr>
              <w:textAlignment w:val="center"/>
              <w:rPr>
                <w:color w:val="000000"/>
                <w:sz w:val="20"/>
                <w:szCs w:val="20"/>
                <w:highlight w:val="none"/>
              </w:rPr>
            </w:pPr>
            <w:r>
              <w:rPr>
                <w:rFonts w:hint="eastAsia"/>
                <w:color w:val="000000"/>
                <w:sz w:val="20"/>
                <w:szCs w:val="20"/>
                <w:highlight w:val="none"/>
                <w:lang w:bidi="ar"/>
              </w:rPr>
              <w:t>非公开采办方式，具有参与意向，但未投标/响应的，未对采办过程造成影响的</w:t>
            </w:r>
          </w:p>
        </w:tc>
        <w:tc>
          <w:tcPr>
            <w:tcW w:w="1281" w:type="dxa"/>
            <w:shd w:val="clear" w:color="auto" w:fill="auto"/>
            <w:vAlign w:val="center"/>
          </w:tcPr>
          <w:p w14:paraId="551B969C">
            <w:pPr>
              <w:textAlignment w:val="center"/>
              <w:rPr>
                <w:color w:val="000000"/>
                <w:sz w:val="20"/>
                <w:szCs w:val="20"/>
                <w:highlight w:val="none"/>
              </w:rPr>
            </w:pPr>
            <w:r>
              <w:rPr>
                <w:rFonts w:hint="eastAsia"/>
                <w:color w:val="000000"/>
                <w:sz w:val="20"/>
                <w:szCs w:val="20"/>
                <w:highlight w:val="none"/>
                <w:lang w:bidi="ar"/>
              </w:rPr>
              <w:t>约谈</w:t>
            </w:r>
          </w:p>
        </w:tc>
      </w:tr>
      <w:tr w14:paraId="6DFC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14:paraId="2E60A04E">
            <w:pPr>
              <w:jc w:val="center"/>
              <w:textAlignment w:val="center"/>
              <w:rPr>
                <w:color w:val="000000"/>
                <w:sz w:val="20"/>
                <w:szCs w:val="20"/>
                <w:highlight w:val="none"/>
              </w:rPr>
            </w:pPr>
            <w:r>
              <w:rPr>
                <w:rFonts w:hint="eastAsia"/>
                <w:color w:val="000000"/>
                <w:sz w:val="20"/>
                <w:szCs w:val="20"/>
                <w:highlight w:val="none"/>
                <w:lang w:bidi="ar"/>
              </w:rPr>
              <w:t>6</w:t>
            </w:r>
          </w:p>
        </w:tc>
        <w:tc>
          <w:tcPr>
            <w:tcW w:w="1266" w:type="dxa"/>
            <w:vMerge w:val="continue"/>
            <w:shd w:val="clear" w:color="auto" w:fill="auto"/>
            <w:vAlign w:val="center"/>
          </w:tcPr>
          <w:p w14:paraId="69888B78">
            <w:pPr>
              <w:jc w:val="center"/>
              <w:rPr>
                <w:color w:val="000000"/>
                <w:sz w:val="20"/>
                <w:szCs w:val="20"/>
                <w:highlight w:val="none"/>
              </w:rPr>
            </w:pPr>
          </w:p>
        </w:tc>
        <w:tc>
          <w:tcPr>
            <w:tcW w:w="5484" w:type="dxa"/>
            <w:shd w:val="clear" w:color="auto" w:fill="auto"/>
            <w:vAlign w:val="center"/>
          </w:tcPr>
          <w:p w14:paraId="327B7035">
            <w:pPr>
              <w:textAlignment w:val="center"/>
              <w:rPr>
                <w:color w:val="000000"/>
                <w:sz w:val="20"/>
                <w:szCs w:val="20"/>
                <w:highlight w:val="none"/>
              </w:rPr>
            </w:pPr>
            <w:r>
              <w:rPr>
                <w:rFonts w:hint="eastAsia"/>
                <w:color w:val="000000"/>
                <w:sz w:val="20"/>
                <w:szCs w:val="20"/>
                <w:highlight w:val="none"/>
                <w:lang w:bidi="ar"/>
              </w:rPr>
              <w:t>非公开采办方式，具有参与意向，但未投标/响应的，且对采办过程造成影响的</w:t>
            </w:r>
          </w:p>
        </w:tc>
        <w:tc>
          <w:tcPr>
            <w:tcW w:w="1281" w:type="dxa"/>
            <w:shd w:val="clear" w:color="auto" w:fill="auto"/>
            <w:vAlign w:val="center"/>
          </w:tcPr>
          <w:p w14:paraId="622E4ABE">
            <w:pPr>
              <w:textAlignment w:val="center"/>
              <w:rPr>
                <w:color w:val="000000"/>
                <w:sz w:val="20"/>
                <w:szCs w:val="20"/>
                <w:highlight w:val="none"/>
              </w:rPr>
            </w:pPr>
            <w:r>
              <w:rPr>
                <w:rFonts w:hint="eastAsia"/>
                <w:color w:val="000000"/>
                <w:sz w:val="20"/>
                <w:szCs w:val="20"/>
                <w:highlight w:val="none"/>
                <w:lang w:bidi="ar"/>
              </w:rPr>
              <w:t>警告</w:t>
            </w:r>
          </w:p>
        </w:tc>
      </w:tr>
      <w:tr w14:paraId="1524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14:paraId="4CEF96AC">
            <w:pPr>
              <w:jc w:val="center"/>
              <w:textAlignment w:val="center"/>
              <w:rPr>
                <w:color w:val="000000"/>
                <w:sz w:val="20"/>
                <w:szCs w:val="20"/>
                <w:highlight w:val="none"/>
              </w:rPr>
            </w:pPr>
            <w:r>
              <w:rPr>
                <w:rFonts w:hint="eastAsia"/>
                <w:color w:val="000000"/>
                <w:sz w:val="20"/>
                <w:szCs w:val="20"/>
                <w:highlight w:val="none"/>
                <w:lang w:bidi="ar"/>
              </w:rPr>
              <w:t>7</w:t>
            </w:r>
          </w:p>
        </w:tc>
        <w:tc>
          <w:tcPr>
            <w:tcW w:w="1266" w:type="dxa"/>
            <w:vMerge w:val="continue"/>
            <w:shd w:val="clear" w:color="auto" w:fill="auto"/>
            <w:vAlign w:val="center"/>
          </w:tcPr>
          <w:p w14:paraId="58B1A44F">
            <w:pPr>
              <w:jc w:val="center"/>
              <w:rPr>
                <w:color w:val="000000"/>
                <w:sz w:val="20"/>
                <w:szCs w:val="20"/>
                <w:highlight w:val="none"/>
              </w:rPr>
            </w:pPr>
          </w:p>
        </w:tc>
        <w:tc>
          <w:tcPr>
            <w:tcW w:w="5484" w:type="dxa"/>
            <w:shd w:val="clear" w:color="auto" w:fill="auto"/>
            <w:vAlign w:val="center"/>
          </w:tcPr>
          <w:p w14:paraId="2D83E122">
            <w:pPr>
              <w:textAlignment w:val="center"/>
              <w:rPr>
                <w:color w:val="000000"/>
                <w:sz w:val="20"/>
                <w:szCs w:val="20"/>
                <w:highlight w:val="none"/>
              </w:rPr>
            </w:pPr>
            <w:r>
              <w:rPr>
                <w:rFonts w:hint="eastAsia"/>
                <w:color w:val="000000"/>
                <w:sz w:val="20"/>
                <w:szCs w:val="20"/>
                <w:highlight w:val="none"/>
                <w:lang w:bidi="ar"/>
              </w:rPr>
              <w:t>开标后在有效期内中途撤销投标的，未对采办过程造成影响的</w:t>
            </w:r>
          </w:p>
        </w:tc>
        <w:tc>
          <w:tcPr>
            <w:tcW w:w="1281" w:type="dxa"/>
            <w:shd w:val="clear" w:color="auto" w:fill="auto"/>
            <w:vAlign w:val="center"/>
          </w:tcPr>
          <w:p w14:paraId="18081ADD">
            <w:pPr>
              <w:textAlignment w:val="center"/>
              <w:rPr>
                <w:color w:val="000000"/>
                <w:sz w:val="20"/>
                <w:szCs w:val="20"/>
                <w:highlight w:val="none"/>
              </w:rPr>
            </w:pPr>
            <w:r>
              <w:rPr>
                <w:rFonts w:hint="eastAsia"/>
                <w:color w:val="000000"/>
                <w:sz w:val="20"/>
                <w:szCs w:val="20"/>
                <w:highlight w:val="none"/>
                <w:lang w:bidi="ar"/>
              </w:rPr>
              <w:t>警告</w:t>
            </w:r>
          </w:p>
        </w:tc>
      </w:tr>
      <w:tr w14:paraId="3987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14:paraId="07C3DB76">
            <w:pPr>
              <w:jc w:val="center"/>
              <w:textAlignment w:val="center"/>
              <w:rPr>
                <w:color w:val="000000"/>
                <w:sz w:val="20"/>
                <w:szCs w:val="20"/>
                <w:highlight w:val="none"/>
              </w:rPr>
            </w:pPr>
            <w:r>
              <w:rPr>
                <w:rFonts w:hint="eastAsia"/>
                <w:color w:val="000000"/>
                <w:sz w:val="20"/>
                <w:szCs w:val="20"/>
                <w:highlight w:val="none"/>
                <w:lang w:bidi="ar"/>
              </w:rPr>
              <w:t>8</w:t>
            </w:r>
          </w:p>
        </w:tc>
        <w:tc>
          <w:tcPr>
            <w:tcW w:w="1266" w:type="dxa"/>
            <w:vMerge w:val="continue"/>
            <w:shd w:val="clear" w:color="auto" w:fill="auto"/>
            <w:vAlign w:val="center"/>
          </w:tcPr>
          <w:p w14:paraId="5A281988">
            <w:pPr>
              <w:jc w:val="center"/>
              <w:rPr>
                <w:color w:val="000000"/>
                <w:sz w:val="20"/>
                <w:szCs w:val="20"/>
                <w:highlight w:val="none"/>
              </w:rPr>
            </w:pPr>
          </w:p>
        </w:tc>
        <w:tc>
          <w:tcPr>
            <w:tcW w:w="5484" w:type="dxa"/>
            <w:shd w:val="clear" w:color="auto" w:fill="auto"/>
            <w:vAlign w:val="center"/>
          </w:tcPr>
          <w:p w14:paraId="02AB270A">
            <w:pPr>
              <w:textAlignment w:val="center"/>
              <w:rPr>
                <w:color w:val="000000"/>
                <w:sz w:val="20"/>
                <w:szCs w:val="20"/>
                <w:highlight w:val="none"/>
              </w:rPr>
            </w:pPr>
            <w:r>
              <w:rPr>
                <w:rFonts w:hint="eastAsia"/>
                <w:b/>
                <w:bCs/>
                <w:color w:val="000000"/>
                <w:sz w:val="20"/>
                <w:szCs w:val="20"/>
                <w:highlight w:val="none"/>
                <w:lang w:bidi="ar"/>
              </w:rPr>
              <w:t>开标后在有效期内中途撤销投标的</w:t>
            </w:r>
            <w:r>
              <w:rPr>
                <w:rFonts w:hint="eastAsia"/>
                <w:color w:val="000000"/>
                <w:sz w:val="20"/>
                <w:szCs w:val="20"/>
                <w:highlight w:val="none"/>
                <w:lang w:bidi="ar"/>
              </w:rPr>
              <w:t>，且对采办过程造成影响的</w:t>
            </w:r>
          </w:p>
        </w:tc>
        <w:tc>
          <w:tcPr>
            <w:tcW w:w="1281" w:type="dxa"/>
            <w:shd w:val="clear" w:color="auto" w:fill="auto"/>
            <w:vAlign w:val="center"/>
          </w:tcPr>
          <w:p w14:paraId="51D4B584">
            <w:pPr>
              <w:textAlignment w:val="center"/>
              <w:rPr>
                <w:color w:val="000000"/>
                <w:sz w:val="20"/>
                <w:szCs w:val="20"/>
                <w:highlight w:val="none"/>
              </w:rPr>
            </w:pPr>
            <w:r>
              <w:rPr>
                <w:rFonts w:hint="eastAsia"/>
                <w:b/>
                <w:bCs/>
                <w:color w:val="000000"/>
                <w:sz w:val="20"/>
                <w:szCs w:val="20"/>
                <w:highlight w:val="none"/>
                <w:lang w:bidi="ar"/>
              </w:rPr>
              <w:t>禁用一年</w:t>
            </w:r>
          </w:p>
        </w:tc>
      </w:tr>
      <w:tr w14:paraId="27B8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14:paraId="6ECA740C">
            <w:pPr>
              <w:jc w:val="center"/>
              <w:textAlignment w:val="center"/>
              <w:rPr>
                <w:color w:val="000000"/>
                <w:sz w:val="20"/>
                <w:szCs w:val="20"/>
                <w:highlight w:val="none"/>
              </w:rPr>
            </w:pPr>
            <w:r>
              <w:rPr>
                <w:rFonts w:hint="eastAsia"/>
                <w:color w:val="000000"/>
                <w:sz w:val="20"/>
                <w:szCs w:val="20"/>
                <w:highlight w:val="none"/>
                <w:lang w:bidi="ar"/>
              </w:rPr>
              <w:t>9</w:t>
            </w:r>
          </w:p>
        </w:tc>
        <w:tc>
          <w:tcPr>
            <w:tcW w:w="1266" w:type="dxa"/>
            <w:vMerge w:val="restart"/>
            <w:shd w:val="clear" w:color="auto" w:fill="auto"/>
            <w:vAlign w:val="center"/>
          </w:tcPr>
          <w:p w14:paraId="6898ED88">
            <w:pPr>
              <w:jc w:val="center"/>
              <w:textAlignment w:val="center"/>
              <w:rPr>
                <w:color w:val="000000"/>
                <w:sz w:val="20"/>
                <w:szCs w:val="20"/>
                <w:highlight w:val="none"/>
              </w:rPr>
            </w:pPr>
            <w:r>
              <w:rPr>
                <w:rFonts w:hint="eastAsia"/>
                <w:b/>
                <w:bCs/>
                <w:color w:val="000000"/>
                <w:sz w:val="20"/>
                <w:szCs w:val="20"/>
                <w:highlight w:val="none"/>
                <w:lang w:bidi="ar"/>
              </w:rPr>
              <w:t>投标文件质量差</w:t>
            </w:r>
          </w:p>
        </w:tc>
        <w:tc>
          <w:tcPr>
            <w:tcW w:w="5484" w:type="dxa"/>
            <w:shd w:val="clear" w:color="auto" w:fill="auto"/>
            <w:vAlign w:val="center"/>
          </w:tcPr>
          <w:p w14:paraId="30301352">
            <w:pPr>
              <w:textAlignment w:val="center"/>
              <w:rPr>
                <w:color w:val="000000"/>
                <w:sz w:val="20"/>
                <w:szCs w:val="20"/>
                <w:highlight w:val="none"/>
              </w:rPr>
            </w:pPr>
            <w:r>
              <w:rPr>
                <w:rFonts w:hint="eastAsia"/>
                <w:color w:val="000000"/>
                <w:sz w:val="20"/>
                <w:szCs w:val="20"/>
                <w:highlight w:val="none"/>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14:paraId="512012E7">
            <w:pPr>
              <w:jc w:val="both"/>
              <w:textAlignment w:val="center"/>
              <w:rPr>
                <w:color w:val="000000"/>
                <w:sz w:val="20"/>
                <w:szCs w:val="20"/>
                <w:highlight w:val="none"/>
              </w:rPr>
            </w:pPr>
            <w:r>
              <w:rPr>
                <w:rFonts w:hint="eastAsia"/>
                <w:color w:val="000000"/>
                <w:sz w:val="20"/>
                <w:szCs w:val="20"/>
                <w:highlight w:val="none"/>
                <w:lang w:bidi="ar"/>
              </w:rPr>
              <w:t>初次出现对供应商进行“约谈”，一年内出现两次给予</w:t>
            </w:r>
            <w:r>
              <w:rPr>
                <w:rFonts w:hint="eastAsia"/>
                <w:b/>
                <w:bCs/>
                <w:color w:val="000000"/>
                <w:sz w:val="20"/>
                <w:szCs w:val="20"/>
                <w:highlight w:val="none"/>
                <w:lang w:bidi="ar"/>
              </w:rPr>
              <w:t>“警告”</w:t>
            </w:r>
            <w:r>
              <w:rPr>
                <w:rFonts w:hint="eastAsia"/>
                <w:color w:val="000000"/>
                <w:sz w:val="20"/>
                <w:szCs w:val="20"/>
                <w:highlight w:val="none"/>
                <w:lang w:bidi="ar"/>
              </w:rPr>
              <w:t>处理</w:t>
            </w:r>
          </w:p>
        </w:tc>
      </w:tr>
      <w:tr w14:paraId="23EB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14:paraId="6214A618">
            <w:pPr>
              <w:jc w:val="center"/>
              <w:textAlignment w:val="center"/>
              <w:rPr>
                <w:color w:val="000000"/>
                <w:sz w:val="20"/>
                <w:szCs w:val="20"/>
                <w:highlight w:val="none"/>
              </w:rPr>
            </w:pPr>
            <w:r>
              <w:rPr>
                <w:rFonts w:hint="eastAsia"/>
                <w:color w:val="000000"/>
                <w:sz w:val="20"/>
                <w:szCs w:val="20"/>
                <w:highlight w:val="none"/>
                <w:lang w:bidi="ar"/>
              </w:rPr>
              <w:t>10</w:t>
            </w:r>
          </w:p>
        </w:tc>
        <w:tc>
          <w:tcPr>
            <w:tcW w:w="1266" w:type="dxa"/>
            <w:vMerge w:val="continue"/>
            <w:shd w:val="clear" w:color="auto" w:fill="auto"/>
            <w:vAlign w:val="center"/>
          </w:tcPr>
          <w:p w14:paraId="3E05B081">
            <w:pPr>
              <w:jc w:val="center"/>
              <w:rPr>
                <w:color w:val="000000"/>
                <w:sz w:val="20"/>
                <w:szCs w:val="20"/>
                <w:highlight w:val="none"/>
              </w:rPr>
            </w:pPr>
          </w:p>
        </w:tc>
        <w:tc>
          <w:tcPr>
            <w:tcW w:w="5484" w:type="dxa"/>
            <w:shd w:val="clear" w:color="auto" w:fill="auto"/>
            <w:vAlign w:val="center"/>
          </w:tcPr>
          <w:p w14:paraId="5CE1BE6D">
            <w:pPr>
              <w:textAlignment w:val="center"/>
              <w:rPr>
                <w:color w:val="000000"/>
                <w:sz w:val="20"/>
                <w:szCs w:val="20"/>
                <w:highlight w:val="none"/>
              </w:rPr>
            </w:pPr>
            <w:r>
              <w:rPr>
                <w:rFonts w:hint="eastAsia"/>
                <w:color w:val="000000"/>
                <w:sz w:val="20"/>
                <w:szCs w:val="20"/>
                <w:highlight w:val="none"/>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14:paraId="23CCB168">
            <w:pPr>
              <w:textAlignment w:val="center"/>
              <w:rPr>
                <w:color w:val="000000"/>
                <w:sz w:val="20"/>
                <w:szCs w:val="20"/>
                <w:highlight w:val="none"/>
              </w:rPr>
            </w:pPr>
            <w:r>
              <w:rPr>
                <w:rFonts w:hint="eastAsia"/>
                <w:color w:val="000000"/>
                <w:sz w:val="20"/>
                <w:szCs w:val="20"/>
                <w:highlight w:val="none"/>
                <w:lang w:bidi="ar"/>
              </w:rPr>
              <w:t>警告</w:t>
            </w:r>
          </w:p>
        </w:tc>
      </w:tr>
      <w:tr w14:paraId="3CD5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14:paraId="2B5A0D13">
            <w:pPr>
              <w:jc w:val="center"/>
              <w:textAlignment w:val="center"/>
              <w:rPr>
                <w:color w:val="000000"/>
                <w:sz w:val="20"/>
                <w:szCs w:val="20"/>
                <w:highlight w:val="none"/>
              </w:rPr>
            </w:pPr>
            <w:r>
              <w:rPr>
                <w:rFonts w:hint="eastAsia"/>
                <w:color w:val="000000"/>
                <w:sz w:val="20"/>
                <w:szCs w:val="20"/>
                <w:highlight w:val="none"/>
                <w:lang w:bidi="ar"/>
              </w:rPr>
              <w:t>11</w:t>
            </w:r>
          </w:p>
        </w:tc>
        <w:tc>
          <w:tcPr>
            <w:tcW w:w="1266" w:type="dxa"/>
            <w:shd w:val="clear" w:color="auto" w:fill="auto"/>
            <w:vAlign w:val="center"/>
          </w:tcPr>
          <w:p w14:paraId="01AF2B62">
            <w:pPr>
              <w:jc w:val="center"/>
              <w:textAlignment w:val="center"/>
              <w:rPr>
                <w:color w:val="000000"/>
                <w:sz w:val="20"/>
                <w:szCs w:val="20"/>
                <w:highlight w:val="none"/>
              </w:rPr>
            </w:pPr>
            <w:r>
              <w:rPr>
                <w:rFonts w:hint="eastAsia"/>
                <w:color w:val="000000"/>
                <w:sz w:val="20"/>
                <w:szCs w:val="20"/>
                <w:highlight w:val="none"/>
                <w:lang w:bidi="ar"/>
              </w:rPr>
              <w:t>排挤其他供应商</w:t>
            </w:r>
          </w:p>
        </w:tc>
        <w:tc>
          <w:tcPr>
            <w:tcW w:w="5484" w:type="dxa"/>
            <w:shd w:val="clear" w:color="auto" w:fill="auto"/>
            <w:vAlign w:val="center"/>
          </w:tcPr>
          <w:p w14:paraId="325428AB">
            <w:pPr>
              <w:textAlignment w:val="center"/>
              <w:rPr>
                <w:color w:val="000000"/>
                <w:sz w:val="20"/>
                <w:szCs w:val="20"/>
                <w:highlight w:val="none"/>
              </w:rPr>
            </w:pPr>
            <w:r>
              <w:rPr>
                <w:rFonts w:hint="eastAsia"/>
                <w:color w:val="000000"/>
                <w:sz w:val="20"/>
                <w:szCs w:val="20"/>
                <w:highlight w:val="none"/>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14:paraId="67684390">
            <w:pPr>
              <w:textAlignment w:val="center"/>
              <w:rPr>
                <w:color w:val="000000"/>
                <w:sz w:val="20"/>
                <w:szCs w:val="20"/>
                <w:highlight w:val="none"/>
              </w:rPr>
            </w:pPr>
            <w:r>
              <w:rPr>
                <w:rFonts w:hint="eastAsia"/>
                <w:color w:val="000000"/>
                <w:sz w:val="20"/>
                <w:szCs w:val="20"/>
                <w:highlight w:val="none"/>
                <w:lang w:bidi="ar"/>
              </w:rPr>
              <w:t>禁用一年</w:t>
            </w:r>
          </w:p>
        </w:tc>
      </w:tr>
      <w:tr w14:paraId="423C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14:paraId="04150190">
            <w:pPr>
              <w:jc w:val="center"/>
              <w:textAlignment w:val="center"/>
              <w:rPr>
                <w:color w:val="000000"/>
                <w:sz w:val="20"/>
                <w:szCs w:val="20"/>
                <w:highlight w:val="none"/>
              </w:rPr>
            </w:pPr>
            <w:r>
              <w:rPr>
                <w:rFonts w:hint="eastAsia"/>
                <w:color w:val="000000"/>
                <w:sz w:val="20"/>
                <w:szCs w:val="20"/>
                <w:highlight w:val="none"/>
                <w:lang w:bidi="ar"/>
              </w:rPr>
              <w:t>12</w:t>
            </w:r>
          </w:p>
        </w:tc>
        <w:tc>
          <w:tcPr>
            <w:tcW w:w="1266" w:type="dxa"/>
            <w:shd w:val="clear" w:color="auto" w:fill="auto"/>
            <w:vAlign w:val="center"/>
          </w:tcPr>
          <w:p w14:paraId="0743BF11">
            <w:pPr>
              <w:jc w:val="center"/>
              <w:textAlignment w:val="center"/>
              <w:rPr>
                <w:color w:val="000000"/>
                <w:sz w:val="20"/>
                <w:szCs w:val="20"/>
                <w:highlight w:val="none"/>
              </w:rPr>
            </w:pPr>
            <w:r>
              <w:rPr>
                <w:rFonts w:hint="eastAsia"/>
                <w:color w:val="000000"/>
                <w:sz w:val="20"/>
                <w:szCs w:val="20"/>
                <w:highlight w:val="none"/>
                <w:lang w:bidi="ar"/>
              </w:rPr>
              <w:t>不遵守招投标纪律</w:t>
            </w:r>
          </w:p>
        </w:tc>
        <w:tc>
          <w:tcPr>
            <w:tcW w:w="5484" w:type="dxa"/>
            <w:shd w:val="clear" w:color="auto" w:fill="auto"/>
            <w:vAlign w:val="center"/>
          </w:tcPr>
          <w:p w14:paraId="501EF58D">
            <w:pPr>
              <w:textAlignment w:val="center"/>
              <w:rPr>
                <w:color w:val="000000"/>
                <w:sz w:val="20"/>
                <w:szCs w:val="20"/>
                <w:highlight w:val="none"/>
              </w:rPr>
            </w:pPr>
            <w:r>
              <w:rPr>
                <w:rStyle w:val="53"/>
                <w:rFonts w:hint="default"/>
                <w:highlight w:val="none"/>
                <w:lang w:bidi="ar"/>
              </w:rPr>
              <w:t>不遵守招投标相关纪律：如在开标、评标现场无理取闹，违反招投标程序</w:t>
            </w:r>
            <w:r>
              <w:rPr>
                <w:rFonts w:ascii="Times New Roman" w:hAnsi="Times New Roman" w:cs="Times New Roman"/>
                <w:color w:val="000000"/>
                <w:sz w:val="20"/>
                <w:szCs w:val="20"/>
                <w:highlight w:val="none"/>
                <w:lang w:bidi="ar"/>
              </w:rPr>
              <w:t>,</w:t>
            </w:r>
            <w:r>
              <w:rPr>
                <w:rStyle w:val="53"/>
                <w:rFonts w:hint="default"/>
                <w:highlight w:val="none"/>
                <w:lang w:bidi="ar"/>
              </w:rPr>
              <w:t>破坏招投标秩序等情形的</w:t>
            </w:r>
          </w:p>
        </w:tc>
        <w:tc>
          <w:tcPr>
            <w:tcW w:w="1281" w:type="dxa"/>
            <w:shd w:val="clear" w:color="auto" w:fill="auto"/>
            <w:vAlign w:val="center"/>
          </w:tcPr>
          <w:p w14:paraId="20C17871">
            <w:pPr>
              <w:textAlignment w:val="center"/>
              <w:rPr>
                <w:color w:val="000000"/>
                <w:sz w:val="20"/>
                <w:szCs w:val="20"/>
                <w:highlight w:val="none"/>
              </w:rPr>
            </w:pPr>
            <w:r>
              <w:rPr>
                <w:rFonts w:hint="eastAsia"/>
                <w:color w:val="000000"/>
                <w:sz w:val="20"/>
                <w:szCs w:val="20"/>
                <w:highlight w:val="none"/>
                <w:lang w:bidi="ar"/>
              </w:rPr>
              <w:t>禁用一年</w:t>
            </w:r>
          </w:p>
        </w:tc>
      </w:tr>
      <w:tr w14:paraId="09CE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14:paraId="2D79E668">
            <w:pPr>
              <w:jc w:val="center"/>
              <w:textAlignment w:val="center"/>
              <w:rPr>
                <w:color w:val="000000"/>
                <w:sz w:val="20"/>
                <w:szCs w:val="20"/>
                <w:highlight w:val="none"/>
              </w:rPr>
            </w:pPr>
            <w:r>
              <w:rPr>
                <w:rFonts w:hint="eastAsia"/>
                <w:color w:val="000000"/>
                <w:sz w:val="20"/>
                <w:szCs w:val="20"/>
                <w:highlight w:val="none"/>
                <w:lang w:bidi="ar"/>
              </w:rPr>
              <w:t>13</w:t>
            </w:r>
          </w:p>
        </w:tc>
        <w:tc>
          <w:tcPr>
            <w:tcW w:w="1266" w:type="dxa"/>
            <w:shd w:val="clear" w:color="auto" w:fill="auto"/>
            <w:vAlign w:val="center"/>
          </w:tcPr>
          <w:p w14:paraId="4F74C2F5">
            <w:pPr>
              <w:jc w:val="center"/>
              <w:textAlignment w:val="center"/>
              <w:rPr>
                <w:color w:val="000000"/>
                <w:sz w:val="20"/>
                <w:szCs w:val="20"/>
                <w:highlight w:val="none"/>
              </w:rPr>
            </w:pPr>
            <w:r>
              <w:rPr>
                <w:rFonts w:hint="eastAsia"/>
                <w:b/>
                <w:bCs/>
                <w:color w:val="000000"/>
                <w:sz w:val="20"/>
                <w:szCs w:val="20"/>
                <w:highlight w:val="none"/>
                <w:lang w:bidi="ar"/>
              </w:rPr>
              <w:t>拒不签订合同</w:t>
            </w:r>
          </w:p>
        </w:tc>
        <w:tc>
          <w:tcPr>
            <w:tcW w:w="5484" w:type="dxa"/>
            <w:shd w:val="clear" w:color="auto" w:fill="auto"/>
            <w:vAlign w:val="center"/>
          </w:tcPr>
          <w:p w14:paraId="55745D12">
            <w:pPr>
              <w:textAlignment w:val="center"/>
              <w:rPr>
                <w:color w:val="000000"/>
                <w:sz w:val="20"/>
                <w:szCs w:val="20"/>
                <w:highlight w:val="none"/>
              </w:rPr>
            </w:pPr>
            <w:r>
              <w:rPr>
                <w:rFonts w:hint="eastAsia"/>
                <w:color w:val="000000"/>
                <w:sz w:val="20"/>
                <w:szCs w:val="20"/>
                <w:highlight w:val="none"/>
                <w:lang w:bidi="ar"/>
              </w:rPr>
              <w:t>获取中标资格或成交资格拒绝签订合同的</w:t>
            </w:r>
          </w:p>
        </w:tc>
        <w:tc>
          <w:tcPr>
            <w:tcW w:w="1281" w:type="dxa"/>
            <w:shd w:val="clear" w:color="auto" w:fill="auto"/>
            <w:vAlign w:val="center"/>
          </w:tcPr>
          <w:p w14:paraId="043F4CA4">
            <w:pPr>
              <w:textAlignment w:val="center"/>
              <w:rPr>
                <w:color w:val="000000"/>
                <w:sz w:val="20"/>
                <w:szCs w:val="20"/>
                <w:highlight w:val="none"/>
              </w:rPr>
            </w:pPr>
            <w:r>
              <w:rPr>
                <w:rFonts w:hint="eastAsia"/>
                <w:b/>
                <w:bCs/>
                <w:color w:val="000000"/>
                <w:sz w:val="20"/>
                <w:szCs w:val="20"/>
                <w:highlight w:val="none"/>
                <w:lang w:bidi="ar"/>
              </w:rPr>
              <w:t>禁用两年</w:t>
            </w:r>
          </w:p>
        </w:tc>
      </w:tr>
      <w:tr w14:paraId="73CE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14:paraId="44EB4064">
            <w:pPr>
              <w:jc w:val="center"/>
              <w:textAlignment w:val="center"/>
              <w:rPr>
                <w:color w:val="000000"/>
                <w:sz w:val="20"/>
                <w:szCs w:val="20"/>
                <w:highlight w:val="none"/>
              </w:rPr>
            </w:pPr>
            <w:r>
              <w:rPr>
                <w:rFonts w:hint="eastAsia"/>
                <w:color w:val="000000"/>
                <w:sz w:val="20"/>
                <w:szCs w:val="20"/>
                <w:highlight w:val="none"/>
                <w:lang w:bidi="ar"/>
              </w:rPr>
              <w:t>14</w:t>
            </w:r>
          </w:p>
        </w:tc>
        <w:tc>
          <w:tcPr>
            <w:tcW w:w="1266" w:type="dxa"/>
            <w:vMerge w:val="restart"/>
            <w:shd w:val="clear" w:color="auto" w:fill="auto"/>
            <w:vAlign w:val="center"/>
          </w:tcPr>
          <w:p w14:paraId="720F6476">
            <w:pPr>
              <w:jc w:val="center"/>
              <w:textAlignment w:val="center"/>
              <w:rPr>
                <w:color w:val="000000"/>
                <w:sz w:val="20"/>
                <w:szCs w:val="20"/>
                <w:highlight w:val="none"/>
              </w:rPr>
            </w:pPr>
            <w:r>
              <w:rPr>
                <w:rFonts w:hint="eastAsia"/>
                <w:color w:val="000000"/>
                <w:sz w:val="20"/>
                <w:szCs w:val="20"/>
                <w:highlight w:val="none"/>
                <w:lang w:bidi="ar"/>
              </w:rPr>
              <w:t>供应商对评标结果提出异议</w:t>
            </w:r>
          </w:p>
        </w:tc>
        <w:tc>
          <w:tcPr>
            <w:tcW w:w="5484" w:type="dxa"/>
            <w:shd w:val="clear" w:color="auto" w:fill="auto"/>
            <w:vAlign w:val="center"/>
          </w:tcPr>
          <w:p w14:paraId="044619ED">
            <w:pPr>
              <w:textAlignment w:val="center"/>
              <w:rPr>
                <w:color w:val="000000"/>
                <w:sz w:val="20"/>
                <w:szCs w:val="20"/>
                <w:highlight w:val="none"/>
              </w:rPr>
            </w:pPr>
            <w:r>
              <w:rPr>
                <w:rFonts w:hint="eastAsia"/>
                <w:color w:val="000000"/>
                <w:sz w:val="20"/>
                <w:szCs w:val="20"/>
                <w:highlight w:val="none"/>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14:paraId="358BB930">
            <w:pPr>
              <w:textAlignment w:val="center"/>
              <w:rPr>
                <w:color w:val="000000"/>
                <w:sz w:val="20"/>
                <w:szCs w:val="20"/>
                <w:highlight w:val="none"/>
              </w:rPr>
            </w:pPr>
            <w:r>
              <w:rPr>
                <w:rFonts w:hint="eastAsia"/>
                <w:color w:val="000000"/>
                <w:sz w:val="20"/>
                <w:szCs w:val="20"/>
                <w:highlight w:val="none"/>
                <w:lang w:bidi="ar"/>
              </w:rPr>
              <w:t>警告</w:t>
            </w:r>
          </w:p>
        </w:tc>
      </w:tr>
      <w:tr w14:paraId="0912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14:paraId="3E42F36B">
            <w:pPr>
              <w:jc w:val="center"/>
              <w:textAlignment w:val="center"/>
              <w:rPr>
                <w:color w:val="000000"/>
                <w:sz w:val="20"/>
                <w:szCs w:val="20"/>
                <w:highlight w:val="none"/>
              </w:rPr>
            </w:pPr>
            <w:r>
              <w:rPr>
                <w:rFonts w:hint="eastAsia"/>
                <w:color w:val="000000"/>
                <w:sz w:val="20"/>
                <w:szCs w:val="20"/>
                <w:highlight w:val="none"/>
                <w:lang w:bidi="ar"/>
              </w:rPr>
              <w:t>15</w:t>
            </w:r>
          </w:p>
        </w:tc>
        <w:tc>
          <w:tcPr>
            <w:tcW w:w="1266" w:type="dxa"/>
            <w:vMerge w:val="continue"/>
            <w:shd w:val="clear" w:color="auto" w:fill="auto"/>
            <w:vAlign w:val="center"/>
          </w:tcPr>
          <w:p w14:paraId="692B4001">
            <w:pPr>
              <w:jc w:val="center"/>
              <w:rPr>
                <w:color w:val="000000"/>
                <w:sz w:val="20"/>
                <w:szCs w:val="20"/>
                <w:highlight w:val="none"/>
              </w:rPr>
            </w:pPr>
          </w:p>
        </w:tc>
        <w:tc>
          <w:tcPr>
            <w:tcW w:w="5484" w:type="dxa"/>
            <w:shd w:val="clear" w:color="auto" w:fill="auto"/>
            <w:vAlign w:val="center"/>
          </w:tcPr>
          <w:p w14:paraId="5C40B140">
            <w:pPr>
              <w:textAlignment w:val="center"/>
              <w:rPr>
                <w:color w:val="000000"/>
                <w:sz w:val="20"/>
                <w:szCs w:val="20"/>
                <w:highlight w:val="none"/>
              </w:rPr>
            </w:pPr>
            <w:r>
              <w:rPr>
                <w:rFonts w:hint="eastAsia"/>
                <w:color w:val="000000"/>
                <w:sz w:val="20"/>
                <w:szCs w:val="20"/>
                <w:highlight w:val="none"/>
                <w:lang w:bidi="ar"/>
              </w:rPr>
              <w:t>采取邀请招标/竞争性谈判/邀请询价采办方式，评标结束后，供应商提出异议并要求复议（如对中标供应商的投标文件提出异议），</w:t>
            </w:r>
            <w:r>
              <w:rPr>
                <w:rFonts w:hint="eastAsia"/>
                <w:b/>
                <w:bCs/>
                <w:color w:val="000000"/>
                <w:sz w:val="20"/>
                <w:szCs w:val="20"/>
                <w:highlight w:val="none"/>
                <w:lang w:bidi="ar"/>
              </w:rPr>
              <w:t>经核查后异议不实的或提出异议却无法提供证明文件的</w:t>
            </w:r>
            <w:r>
              <w:rPr>
                <w:rFonts w:hint="eastAsia"/>
                <w:color w:val="000000"/>
                <w:sz w:val="20"/>
                <w:szCs w:val="20"/>
                <w:highlight w:val="none"/>
                <w:lang w:bidi="ar"/>
              </w:rPr>
              <w:t>。造成影响的。</w:t>
            </w:r>
          </w:p>
        </w:tc>
        <w:tc>
          <w:tcPr>
            <w:tcW w:w="1281" w:type="dxa"/>
            <w:shd w:val="clear" w:color="auto" w:fill="auto"/>
            <w:vAlign w:val="center"/>
          </w:tcPr>
          <w:p w14:paraId="384DB25C">
            <w:pPr>
              <w:textAlignment w:val="center"/>
              <w:rPr>
                <w:color w:val="000000"/>
                <w:sz w:val="20"/>
                <w:szCs w:val="20"/>
                <w:highlight w:val="none"/>
              </w:rPr>
            </w:pPr>
            <w:r>
              <w:rPr>
                <w:rFonts w:hint="eastAsia"/>
                <w:b/>
                <w:bCs/>
                <w:color w:val="000000"/>
                <w:sz w:val="20"/>
                <w:szCs w:val="20"/>
                <w:highlight w:val="none"/>
                <w:lang w:bidi="ar"/>
              </w:rPr>
              <w:t>禁用一年</w:t>
            </w:r>
          </w:p>
        </w:tc>
      </w:tr>
      <w:tr w14:paraId="6CB9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14:paraId="31DA5AD0">
            <w:pPr>
              <w:jc w:val="center"/>
              <w:textAlignment w:val="center"/>
              <w:rPr>
                <w:color w:val="000000"/>
                <w:sz w:val="20"/>
                <w:szCs w:val="20"/>
                <w:highlight w:val="none"/>
              </w:rPr>
            </w:pPr>
            <w:r>
              <w:rPr>
                <w:rFonts w:hint="eastAsia"/>
                <w:color w:val="000000"/>
                <w:sz w:val="20"/>
                <w:szCs w:val="20"/>
                <w:highlight w:val="none"/>
                <w:lang w:bidi="ar"/>
              </w:rPr>
              <w:t>16</w:t>
            </w:r>
          </w:p>
        </w:tc>
        <w:tc>
          <w:tcPr>
            <w:tcW w:w="1266" w:type="dxa"/>
            <w:vMerge w:val="restart"/>
            <w:shd w:val="clear" w:color="auto" w:fill="auto"/>
            <w:vAlign w:val="center"/>
          </w:tcPr>
          <w:p w14:paraId="28761DCE">
            <w:pPr>
              <w:jc w:val="center"/>
              <w:textAlignment w:val="center"/>
              <w:rPr>
                <w:color w:val="000000"/>
                <w:sz w:val="20"/>
                <w:szCs w:val="20"/>
                <w:highlight w:val="none"/>
              </w:rPr>
            </w:pPr>
            <w:r>
              <w:rPr>
                <w:rFonts w:hint="eastAsia"/>
                <w:color w:val="000000"/>
                <w:sz w:val="20"/>
                <w:szCs w:val="20"/>
                <w:highlight w:val="none"/>
                <w:lang w:bidi="ar"/>
              </w:rPr>
              <w:t>无事实依据对采购过程或采购结果进行乱投诉、举报的</w:t>
            </w:r>
          </w:p>
        </w:tc>
        <w:tc>
          <w:tcPr>
            <w:tcW w:w="5484" w:type="dxa"/>
            <w:shd w:val="clear" w:color="auto" w:fill="auto"/>
            <w:vAlign w:val="center"/>
          </w:tcPr>
          <w:p w14:paraId="306D3553">
            <w:pPr>
              <w:textAlignment w:val="center"/>
              <w:rPr>
                <w:color w:val="000000"/>
                <w:sz w:val="20"/>
                <w:szCs w:val="20"/>
                <w:highlight w:val="none"/>
              </w:rPr>
            </w:pPr>
            <w:r>
              <w:rPr>
                <w:rFonts w:hint="eastAsia"/>
                <w:color w:val="000000"/>
                <w:sz w:val="20"/>
                <w:szCs w:val="20"/>
                <w:highlight w:val="none"/>
                <w:lang w:bidi="ar"/>
              </w:rPr>
              <w:t>情节较轻的</w:t>
            </w:r>
          </w:p>
        </w:tc>
        <w:tc>
          <w:tcPr>
            <w:tcW w:w="1281" w:type="dxa"/>
            <w:shd w:val="clear" w:color="auto" w:fill="auto"/>
            <w:vAlign w:val="center"/>
          </w:tcPr>
          <w:p w14:paraId="016C9AE4">
            <w:pPr>
              <w:textAlignment w:val="center"/>
              <w:rPr>
                <w:color w:val="000000"/>
                <w:sz w:val="20"/>
                <w:szCs w:val="20"/>
                <w:highlight w:val="none"/>
              </w:rPr>
            </w:pPr>
            <w:r>
              <w:rPr>
                <w:rFonts w:hint="eastAsia"/>
                <w:color w:val="000000"/>
                <w:sz w:val="20"/>
                <w:szCs w:val="20"/>
                <w:highlight w:val="none"/>
                <w:lang w:bidi="ar"/>
              </w:rPr>
              <w:t>警告</w:t>
            </w:r>
          </w:p>
        </w:tc>
      </w:tr>
      <w:tr w14:paraId="1142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14:paraId="0551AB9A">
            <w:pPr>
              <w:jc w:val="center"/>
              <w:textAlignment w:val="center"/>
              <w:rPr>
                <w:color w:val="000000"/>
                <w:sz w:val="20"/>
                <w:szCs w:val="20"/>
                <w:highlight w:val="none"/>
              </w:rPr>
            </w:pPr>
            <w:r>
              <w:rPr>
                <w:rFonts w:hint="eastAsia"/>
                <w:color w:val="000000"/>
                <w:sz w:val="20"/>
                <w:szCs w:val="20"/>
                <w:highlight w:val="none"/>
                <w:lang w:bidi="ar"/>
              </w:rPr>
              <w:t>17</w:t>
            </w:r>
          </w:p>
        </w:tc>
        <w:tc>
          <w:tcPr>
            <w:tcW w:w="1266" w:type="dxa"/>
            <w:vMerge w:val="continue"/>
            <w:shd w:val="clear" w:color="auto" w:fill="auto"/>
            <w:vAlign w:val="center"/>
          </w:tcPr>
          <w:p w14:paraId="3CFA1A6C">
            <w:pPr>
              <w:jc w:val="center"/>
              <w:rPr>
                <w:color w:val="000000"/>
                <w:sz w:val="20"/>
                <w:szCs w:val="20"/>
                <w:highlight w:val="none"/>
              </w:rPr>
            </w:pPr>
          </w:p>
        </w:tc>
        <w:tc>
          <w:tcPr>
            <w:tcW w:w="5484" w:type="dxa"/>
            <w:shd w:val="clear" w:color="auto" w:fill="auto"/>
            <w:vAlign w:val="center"/>
          </w:tcPr>
          <w:p w14:paraId="08B772EB">
            <w:pPr>
              <w:textAlignment w:val="center"/>
              <w:rPr>
                <w:color w:val="000000"/>
                <w:sz w:val="20"/>
                <w:szCs w:val="20"/>
                <w:highlight w:val="none"/>
              </w:rPr>
            </w:pPr>
            <w:r>
              <w:rPr>
                <w:rFonts w:hint="eastAsia"/>
                <w:b/>
                <w:bCs/>
                <w:color w:val="000000"/>
                <w:sz w:val="20"/>
                <w:szCs w:val="20"/>
                <w:highlight w:val="none"/>
                <w:lang w:bidi="ar"/>
              </w:rPr>
              <w:t>恶意投诉、举报的</w:t>
            </w:r>
          </w:p>
        </w:tc>
        <w:tc>
          <w:tcPr>
            <w:tcW w:w="1281" w:type="dxa"/>
            <w:shd w:val="clear" w:color="auto" w:fill="auto"/>
            <w:vAlign w:val="center"/>
          </w:tcPr>
          <w:p w14:paraId="43EA8473">
            <w:pPr>
              <w:textAlignment w:val="center"/>
              <w:rPr>
                <w:color w:val="000000"/>
                <w:sz w:val="20"/>
                <w:szCs w:val="20"/>
                <w:highlight w:val="none"/>
              </w:rPr>
            </w:pPr>
            <w:r>
              <w:rPr>
                <w:rFonts w:hint="eastAsia"/>
                <w:b/>
                <w:bCs/>
                <w:color w:val="000000"/>
                <w:sz w:val="20"/>
                <w:szCs w:val="20"/>
                <w:highlight w:val="none"/>
                <w:lang w:bidi="ar"/>
              </w:rPr>
              <w:t>禁用一年</w:t>
            </w:r>
          </w:p>
        </w:tc>
      </w:tr>
      <w:tr w14:paraId="7ABE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14:paraId="52CECECD">
            <w:pPr>
              <w:jc w:val="center"/>
              <w:textAlignment w:val="center"/>
              <w:rPr>
                <w:color w:val="000000"/>
                <w:sz w:val="20"/>
                <w:szCs w:val="20"/>
                <w:highlight w:val="none"/>
              </w:rPr>
            </w:pPr>
            <w:r>
              <w:rPr>
                <w:rFonts w:hint="eastAsia"/>
                <w:color w:val="000000"/>
                <w:sz w:val="20"/>
                <w:szCs w:val="20"/>
                <w:highlight w:val="none"/>
                <w:lang w:bidi="ar"/>
              </w:rPr>
              <w:t>18</w:t>
            </w:r>
          </w:p>
        </w:tc>
        <w:tc>
          <w:tcPr>
            <w:tcW w:w="1266" w:type="dxa"/>
            <w:vMerge w:val="continue"/>
            <w:shd w:val="clear" w:color="auto" w:fill="auto"/>
            <w:vAlign w:val="center"/>
          </w:tcPr>
          <w:p w14:paraId="7945753B">
            <w:pPr>
              <w:jc w:val="center"/>
              <w:rPr>
                <w:color w:val="000000"/>
                <w:sz w:val="20"/>
                <w:szCs w:val="20"/>
                <w:highlight w:val="none"/>
              </w:rPr>
            </w:pPr>
          </w:p>
        </w:tc>
        <w:tc>
          <w:tcPr>
            <w:tcW w:w="5484" w:type="dxa"/>
            <w:shd w:val="clear" w:color="auto" w:fill="auto"/>
            <w:vAlign w:val="center"/>
          </w:tcPr>
          <w:p w14:paraId="54A88739">
            <w:pPr>
              <w:textAlignment w:val="center"/>
              <w:rPr>
                <w:color w:val="000000"/>
                <w:sz w:val="20"/>
                <w:szCs w:val="20"/>
                <w:highlight w:val="none"/>
              </w:rPr>
            </w:pPr>
            <w:r>
              <w:rPr>
                <w:rFonts w:hint="eastAsia"/>
                <w:color w:val="000000"/>
                <w:sz w:val="20"/>
                <w:szCs w:val="20"/>
                <w:highlight w:val="none"/>
                <w:lang w:bidi="ar"/>
              </w:rPr>
              <w:t>对伪造证据、捏造事实、诬陷招标方或供应商管理、供应商使用单位人员的，一经查证</w:t>
            </w:r>
          </w:p>
        </w:tc>
        <w:tc>
          <w:tcPr>
            <w:tcW w:w="1281" w:type="dxa"/>
            <w:shd w:val="clear" w:color="auto" w:fill="auto"/>
            <w:vAlign w:val="center"/>
          </w:tcPr>
          <w:p w14:paraId="3DB6A3CC">
            <w:pPr>
              <w:textAlignment w:val="center"/>
              <w:rPr>
                <w:color w:val="000000"/>
                <w:sz w:val="20"/>
                <w:szCs w:val="20"/>
                <w:highlight w:val="none"/>
              </w:rPr>
            </w:pPr>
            <w:r>
              <w:rPr>
                <w:rFonts w:hint="eastAsia"/>
                <w:color w:val="000000"/>
                <w:sz w:val="20"/>
                <w:szCs w:val="20"/>
                <w:highlight w:val="none"/>
                <w:lang w:bidi="ar"/>
              </w:rPr>
              <w:t>长期禁用</w:t>
            </w:r>
          </w:p>
        </w:tc>
      </w:tr>
      <w:tr w14:paraId="1CA2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14:paraId="391DEF82">
            <w:pPr>
              <w:jc w:val="center"/>
              <w:textAlignment w:val="center"/>
              <w:rPr>
                <w:color w:val="000000"/>
                <w:sz w:val="20"/>
                <w:szCs w:val="20"/>
                <w:highlight w:val="none"/>
              </w:rPr>
            </w:pPr>
            <w:r>
              <w:rPr>
                <w:rFonts w:hint="eastAsia"/>
                <w:color w:val="000000"/>
                <w:sz w:val="20"/>
                <w:szCs w:val="20"/>
                <w:highlight w:val="none"/>
                <w:lang w:bidi="ar"/>
              </w:rPr>
              <w:t>19</w:t>
            </w:r>
          </w:p>
        </w:tc>
        <w:tc>
          <w:tcPr>
            <w:tcW w:w="1266" w:type="dxa"/>
            <w:vMerge w:val="restart"/>
            <w:shd w:val="clear" w:color="auto" w:fill="auto"/>
            <w:vAlign w:val="center"/>
          </w:tcPr>
          <w:p w14:paraId="1CD0734F">
            <w:pPr>
              <w:jc w:val="center"/>
              <w:textAlignment w:val="center"/>
              <w:rPr>
                <w:color w:val="000000"/>
                <w:sz w:val="20"/>
                <w:szCs w:val="20"/>
                <w:highlight w:val="none"/>
              </w:rPr>
            </w:pPr>
            <w:r>
              <w:rPr>
                <w:rFonts w:hint="eastAsia"/>
                <w:color w:val="000000"/>
                <w:sz w:val="20"/>
                <w:szCs w:val="20"/>
                <w:highlight w:val="none"/>
                <w:lang w:bidi="ar"/>
              </w:rPr>
              <w:t>擅自变更、</w:t>
            </w:r>
            <w:r>
              <w:rPr>
                <w:rFonts w:hint="eastAsia"/>
                <w:b/>
                <w:bCs/>
                <w:color w:val="000000"/>
                <w:sz w:val="20"/>
                <w:szCs w:val="20"/>
                <w:highlight w:val="none"/>
                <w:lang w:bidi="ar"/>
              </w:rPr>
              <w:t>不按照合同规定履行或者擅自终止合同的</w:t>
            </w:r>
          </w:p>
        </w:tc>
        <w:tc>
          <w:tcPr>
            <w:tcW w:w="5484" w:type="dxa"/>
            <w:shd w:val="clear" w:color="auto" w:fill="auto"/>
            <w:vAlign w:val="center"/>
          </w:tcPr>
          <w:p w14:paraId="00ADFB47">
            <w:pPr>
              <w:textAlignment w:val="center"/>
              <w:rPr>
                <w:color w:val="000000"/>
                <w:sz w:val="20"/>
                <w:szCs w:val="20"/>
                <w:highlight w:val="none"/>
              </w:rPr>
            </w:pPr>
            <w:r>
              <w:rPr>
                <w:rFonts w:hint="eastAsia"/>
                <w:color w:val="000000"/>
                <w:sz w:val="20"/>
                <w:szCs w:val="20"/>
                <w:highlight w:val="none"/>
                <w:lang w:bidi="ar"/>
              </w:rPr>
              <w:t>损失较轻或对安全生产影响较小的</w:t>
            </w:r>
          </w:p>
        </w:tc>
        <w:tc>
          <w:tcPr>
            <w:tcW w:w="1281" w:type="dxa"/>
            <w:shd w:val="clear" w:color="auto" w:fill="auto"/>
            <w:vAlign w:val="center"/>
          </w:tcPr>
          <w:p w14:paraId="13F2F5CD">
            <w:pPr>
              <w:textAlignment w:val="center"/>
              <w:rPr>
                <w:color w:val="000000"/>
                <w:sz w:val="20"/>
                <w:szCs w:val="20"/>
                <w:highlight w:val="none"/>
              </w:rPr>
            </w:pPr>
            <w:r>
              <w:rPr>
                <w:rFonts w:hint="eastAsia"/>
                <w:color w:val="000000"/>
                <w:sz w:val="20"/>
                <w:szCs w:val="20"/>
                <w:highlight w:val="none"/>
                <w:lang w:bidi="ar"/>
              </w:rPr>
              <w:t>禁用两年</w:t>
            </w:r>
          </w:p>
        </w:tc>
      </w:tr>
      <w:tr w14:paraId="4AAA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14:paraId="3403FB0B">
            <w:pPr>
              <w:jc w:val="center"/>
              <w:textAlignment w:val="center"/>
              <w:rPr>
                <w:color w:val="000000"/>
                <w:sz w:val="20"/>
                <w:szCs w:val="20"/>
                <w:highlight w:val="none"/>
              </w:rPr>
            </w:pPr>
            <w:r>
              <w:rPr>
                <w:rFonts w:hint="eastAsia"/>
                <w:color w:val="000000"/>
                <w:sz w:val="20"/>
                <w:szCs w:val="20"/>
                <w:highlight w:val="none"/>
                <w:lang w:bidi="ar"/>
              </w:rPr>
              <w:t>20</w:t>
            </w:r>
          </w:p>
        </w:tc>
        <w:tc>
          <w:tcPr>
            <w:tcW w:w="1266" w:type="dxa"/>
            <w:vMerge w:val="continue"/>
            <w:shd w:val="clear" w:color="auto" w:fill="auto"/>
            <w:vAlign w:val="center"/>
          </w:tcPr>
          <w:p w14:paraId="45A066FB">
            <w:pPr>
              <w:jc w:val="center"/>
              <w:rPr>
                <w:color w:val="000000"/>
                <w:sz w:val="20"/>
                <w:szCs w:val="20"/>
                <w:highlight w:val="none"/>
              </w:rPr>
            </w:pPr>
          </w:p>
        </w:tc>
        <w:tc>
          <w:tcPr>
            <w:tcW w:w="5484" w:type="dxa"/>
            <w:shd w:val="clear" w:color="auto" w:fill="auto"/>
            <w:vAlign w:val="center"/>
          </w:tcPr>
          <w:p w14:paraId="1CE577B7">
            <w:pPr>
              <w:textAlignment w:val="center"/>
              <w:rPr>
                <w:color w:val="000000"/>
                <w:sz w:val="20"/>
                <w:szCs w:val="20"/>
                <w:highlight w:val="none"/>
              </w:rPr>
            </w:pPr>
            <w:r>
              <w:rPr>
                <w:rFonts w:hint="eastAsia"/>
                <w:color w:val="000000"/>
                <w:sz w:val="20"/>
                <w:szCs w:val="20"/>
                <w:highlight w:val="none"/>
                <w:lang w:bidi="ar"/>
              </w:rPr>
              <w:t>损失较大或对安全生产影响较大的</w:t>
            </w:r>
          </w:p>
        </w:tc>
        <w:tc>
          <w:tcPr>
            <w:tcW w:w="1281" w:type="dxa"/>
            <w:shd w:val="clear" w:color="auto" w:fill="auto"/>
            <w:vAlign w:val="center"/>
          </w:tcPr>
          <w:p w14:paraId="7B94CD36">
            <w:pPr>
              <w:textAlignment w:val="center"/>
              <w:rPr>
                <w:color w:val="000000"/>
                <w:sz w:val="20"/>
                <w:szCs w:val="20"/>
                <w:highlight w:val="none"/>
              </w:rPr>
            </w:pPr>
            <w:r>
              <w:rPr>
                <w:rFonts w:hint="eastAsia"/>
                <w:b/>
                <w:bCs/>
                <w:color w:val="000000"/>
                <w:sz w:val="20"/>
                <w:szCs w:val="20"/>
                <w:highlight w:val="none"/>
                <w:lang w:bidi="ar"/>
              </w:rPr>
              <w:t>长期禁用</w:t>
            </w:r>
          </w:p>
        </w:tc>
      </w:tr>
      <w:tr w14:paraId="5762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14:paraId="7D5008B0">
            <w:pPr>
              <w:jc w:val="center"/>
              <w:textAlignment w:val="center"/>
              <w:rPr>
                <w:color w:val="000000"/>
                <w:sz w:val="20"/>
                <w:szCs w:val="20"/>
                <w:highlight w:val="none"/>
              </w:rPr>
            </w:pPr>
            <w:r>
              <w:rPr>
                <w:rFonts w:hint="eastAsia"/>
                <w:color w:val="000000"/>
                <w:sz w:val="20"/>
                <w:szCs w:val="20"/>
                <w:highlight w:val="none"/>
                <w:lang w:bidi="ar"/>
              </w:rPr>
              <w:t>21</w:t>
            </w:r>
          </w:p>
        </w:tc>
        <w:tc>
          <w:tcPr>
            <w:tcW w:w="1266" w:type="dxa"/>
            <w:vMerge w:val="restart"/>
            <w:shd w:val="clear" w:color="auto" w:fill="auto"/>
            <w:vAlign w:val="center"/>
          </w:tcPr>
          <w:p w14:paraId="017361AA">
            <w:pPr>
              <w:jc w:val="center"/>
              <w:textAlignment w:val="center"/>
              <w:rPr>
                <w:color w:val="000000"/>
                <w:sz w:val="20"/>
                <w:szCs w:val="20"/>
                <w:highlight w:val="none"/>
              </w:rPr>
            </w:pPr>
            <w:r>
              <w:rPr>
                <w:rFonts w:hint="eastAsia"/>
                <w:b/>
                <w:bCs/>
                <w:color w:val="000000"/>
                <w:sz w:val="20"/>
                <w:szCs w:val="20"/>
                <w:highlight w:val="none"/>
                <w:lang w:bidi="ar"/>
              </w:rPr>
              <w:t>擅自降低标的功能标准或改变功能结构</w:t>
            </w:r>
          </w:p>
        </w:tc>
        <w:tc>
          <w:tcPr>
            <w:tcW w:w="5484" w:type="dxa"/>
            <w:shd w:val="clear" w:color="auto" w:fill="auto"/>
            <w:vAlign w:val="center"/>
          </w:tcPr>
          <w:p w14:paraId="74CF2331">
            <w:pPr>
              <w:textAlignment w:val="center"/>
              <w:rPr>
                <w:color w:val="000000"/>
                <w:sz w:val="20"/>
                <w:szCs w:val="20"/>
                <w:highlight w:val="none"/>
              </w:rPr>
            </w:pPr>
            <w:r>
              <w:rPr>
                <w:rFonts w:hint="eastAsia"/>
                <w:color w:val="000000"/>
                <w:sz w:val="20"/>
                <w:szCs w:val="20"/>
                <w:highlight w:val="none"/>
                <w:lang w:bidi="ar"/>
              </w:rPr>
              <w:t>及时整改未造成影响的</w:t>
            </w:r>
          </w:p>
        </w:tc>
        <w:tc>
          <w:tcPr>
            <w:tcW w:w="1281" w:type="dxa"/>
            <w:shd w:val="clear" w:color="auto" w:fill="auto"/>
            <w:vAlign w:val="center"/>
          </w:tcPr>
          <w:p w14:paraId="6E2D70BD">
            <w:pPr>
              <w:textAlignment w:val="center"/>
              <w:rPr>
                <w:color w:val="000000"/>
                <w:sz w:val="20"/>
                <w:szCs w:val="20"/>
                <w:highlight w:val="none"/>
              </w:rPr>
            </w:pPr>
            <w:r>
              <w:rPr>
                <w:rFonts w:hint="eastAsia"/>
                <w:color w:val="000000"/>
                <w:sz w:val="20"/>
                <w:szCs w:val="20"/>
                <w:highlight w:val="none"/>
                <w:lang w:bidi="ar"/>
              </w:rPr>
              <w:t>警告</w:t>
            </w:r>
          </w:p>
        </w:tc>
      </w:tr>
      <w:tr w14:paraId="32F2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14:paraId="1A091014">
            <w:pPr>
              <w:jc w:val="center"/>
              <w:textAlignment w:val="center"/>
              <w:rPr>
                <w:color w:val="000000"/>
                <w:sz w:val="20"/>
                <w:szCs w:val="20"/>
                <w:highlight w:val="none"/>
              </w:rPr>
            </w:pPr>
            <w:r>
              <w:rPr>
                <w:rFonts w:hint="eastAsia"/>
                <w:color w:val="000000"/>
                <w:sz w:val="20"/>
                <w:szCs w:val="20"/>
                <w:highlight w:val="none"/>
                <w:lang w:bidi="ar"/>
              </w:rPr>
              <w:t>22</w:t>
            </w:r>
          </w:p>
        </w:tc>
        <w:tc>
          <w:tcPr>
            <w:tcW w:w="1266" w:type="dxa"/>
            <w:vMerge w:val="continue"/>
            <w:shd w:val="clear" w:color="auto" w:fill="auto"/>
            <w:vAlign w:val="center"/>
          </w:tcPr>
          <w:p w14:paraId="24198170">
            <w:pPr>
              <w:jc w:val="center"/>
              <w:rPr>
                <w:color w:val="000000"/>
                <w:sz w:val="20"/>
                <w:szCs w:val="20"/>
                <w:highlight w:val="none"/>
              </w:rPr>
            </w:pPr>
          </w:p>
        </w:tc>
        <w:tc>
          <w:tcPr>
            <w:tcW w:w="5484" w:type="dxa"/>
            <w:shd w:val="clear" w:color="auto" w:fill="auto"/>
            <w:vAlign w:val="center"/>
          </w:tcPr>
          <w:p w14:paraId="01BB58BC">
            <w:pPr>
              <w:textAlignment w:val="center"/>
              <w:rPr>
                <w:color w:val="000000"/>
                <w:sz w:val="20"/>
                <w:szCs w:val="20"/>
                <w:highlight w:val="none"/>
              </w:rPr>
            </w:pPr>
            <w:r>
              <w:rPr>
                <w:rFonts w:hint="eastAsia"/>
                <w:color w:val="000000"/>
                <w:sz w:val="20"/>
                <w:szCs w:val="20"/>
                <w:highlight w:val="none"/>
                <w:lang w:bidi="ar"/>
              </w:rPr>
              <w:t>损失较大或对安全生产影响较大的</w:t>
            </w:r>
          </w:p>
        </w:tc>
        <w:tc>
          <w:tcPr>
            <w:tcW w:w="1281" w:type="dxa"/>
            <w:shd w:val="clear" w:color="auto" w:fill="auto"/>
            <w:vAlign w:val="center"/>
          </w:tcPr>
          <w:p w14:paraId="1B8C7F81">
            <w:pPr>
              <w:textAlignment w:val="center"/>
              <w:rPr>
                <w:color w:val="000000"/>
                <w:sz w:val="20"/>
                <w:szCs w:val="20"/>
                <w:highlight w:val="none"/>
              </w:rPr>
            </w:pPr>
            <w:r>
              <w:rPr>
                <w:rFonts w:hint="eastAsia"/>
                <w:b/>
                <w:bCs/>
                <w:color w:val="000000"/>
                <w:sz w:val="20"/>
                <w:szCs w:val="20"/>
                <w:highlight w:val="none"/>
                <w:lang w:bidi="ar"/>
              </w:rPr>
              <w:t>长期禁用</w:t>
            </w:r>
          </w:p>
        </w:tc>
      </w:tr>
      <w:tr w14:paraId="1ED0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14:paraId="16D8588E">
            <w:pPr>
              <w:jc w:val="center"/>
              <w:textAlignment w:val="center"/>
              <w:rPr>
                <w:color w:val="000000"/>
                <w:sz w:val="20"/>
                <w:szCs w:val="20"/>
                <w:highlight w:val="none"/>
              </w:rPr>
            </w:pPr>
            <w:r>
              <w:rPr>
                <w:rFonts w:hint="eastAsia"/>
                <w:color w:val="000000"/>
                <w:sz w:val="20"/>
                <w:szCs w:val="20"/>
                <w:highlight w:val="none"/>
                <w:lang w:bidi="ar"/>
              </w:rPr>
              <w:t>23</w:t>
            </w:r>
          </w:p>
        </w:tc>
        <w:tc>
          <w:tcPr>
            <w:tcW w:w="1266" w:type="dxa"/>
            <w:vMerge w:val="continue"/>
            <w:shd w:val="clear" w:color="auto" w:fill="auto"/>
            <w:vAlign w:val="center"/>
          </w:tcPr>
          <w:p w14:paraId="7721B51C">
            <w:pPr>
              <w:jc w:val="center"/>
              <w:rPr>
                <w:color w:val="000000"/>
                <w:sz w:val="20"/>
                <w:szCs w:val="20"/>
                <w:highlight w:val="none"/>
              </w:rPr>
            </w:pPr>
          </w:p>
        </w:tc>
        <w:tc>
          <w:tcPr>
            <w:tcW w:w="5484" w:type="dxa"/>
            <w:shd w:val="clear" w:color="auto" w:fill="auto"/>
            <w:vAlign w:val="center"/>
          </w:tcPr>
          <w:p w14:paraId="733CDDB4">
            <w:pPr>
              <w:textAlignment w:val="center"/>
              <w:rPr>
                <w:color w:val="000000"/>
                <w:sz w:val="20"/>
                <w:szCs w:val="20"/>
                <w:highlight w:val="none"/>
              </w:rPr>
            </w:pPr>
            <w:r>
              <w:rPr>
                <w:rFonts w:hint="eastAsia"/>
                <w:color w:val="000000"/>
                <w:sz w:val="20"/>
                <w:szCs w:val="20"/>
                <w:highlight w:val="none"/>
                <w:lang w:bidi="ar"/>
              </w:rPr>
              <w:t>及时整改但造成一定影响的</w:t>
            </w:r>
          </w:p>
        </w:tc>
        <w:tc>
          <w:tcPr>
            <w:tcW w:w="1281" w:type="dxa"/>
            <w:shd w:val="clear" w:color="auto" w:fill="auto"/>
            <w:vAlign w:val="center"/>
          </w:tcPr>
          <w:p w14:paraId="22571212">
            <w:pPr>
              <w:textAlignment w:val="center"/>
              <w:rPr>
                <w:color w:val="000000"/>
                <w:sz w:val="20"/>
                <w:szCs w:val="20"/>
                <w:highlight w:val="none"/>
              </w:rPr>
            </w:pPr>
            <w:r>
              <w:rPr>
                <w:rFonts w:hint="eastAsia"/>
                <w:color w:val="000000"/>
                <w:sz w:val="20"/>
                <w:szCs w:val="20"/>
                <w:highlight w:val="none"/>
                <w:lang w:bidi="ar"/>
              </w:rPr>
              <w:t>禁用一年</w:t>
            </w:r>
          </w:p>
        </w:tc>
      </w:tr>
      <w:tr w14:paraId="1CD2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14:paraId="5288A93A">
            <w:pPr>
              <w:jc w:val="center"/>
              <w:textAlignment w:val="center"/>
              <w:rPr>
                <w:color w:val="000000"/>
                <w:sz w:val="20"/>
                <w:szCs w:val="20"/>
                <w:highlight w:val="none"/>
              </w:rPr>
            </w:pPr>
            <w:r>
              <w:rPr>
                <w:rFonts w:hint="eastAsia"/>
                <w:color w:val="000000"/>
                <w:sz w:val="20"/>
                <w:szCs w:val="20"/>
                <w:highlight w:val="none"/>
                <w:lang w:bidi="ar"/>
              </w:rPr>
              <w:t>24</w:t>
            </w:r>
          </w:p>
        </w:tc>
        <w:tc>
          <w:tcPr>
            <w:tcW w:w="1266" w:type="dxa"/>
            <w:vMerge w:val="continue"/>
            <w:shd w:val="clear" w:color="auto" w:fill="auto"/>
            <w:vAlign w:val="center"/>
          </w:tcPr>
          <w:p w14:paraId="4831AF08">
            <w:pPr>
              <w:jc w:val="center"/>
              <w:rPr>
                <w:color w:val="000000"/>
                <w:sz w:val="20"/>
                <w:szCs w:val="20"/>
                <w:highlight w:val="none"/>
              </w:rPr>
            </w:pPr>
          </w:p>
        </w:tc>
        <w:tc>
          <w:tcPr>
            <w:tcW w:w="5484" w:type="dxa"/>
            <w:shd w:val="clear" w:color="auto" w:fill="auto"/>
            <w:vAlign w:val="center"/>
          </w:tcPr>
          <w:p w14:paraId="54364EBD">
            <w:pPr>
              <w:textAlignment w:val="center"/>
              <w:rPr>
                <w:color w:val="000000"/>
                <w:sz w:val="20"/>
                <w:szCs w:val="20"/>
                <w:highlight w:val="none"/>
              </w:rPr>
            </w:pPr>
            <w:r>
              <w:rPr>
                <w:rFonts w:hint="eastAsia"/>
                <w:color w:val="000000"/>
                <w:sz w:val="20"/>
                <w:szCs w:val="20"/>
                <w:highlight w:val="none"/>
                <w:lang w:bidi="ar"/>
              </w:rPr>
              <w:t>及时整改但影响较重的</w:t>
            </w:r>
          </w:p>
        </w:tc>
        <w:tc>
          <w:tcPr>
            <w:tcW w:w="1281" w:type="dxa"/>
            <w:shd w:val="clear" w:color="auto" w:fill="auto"/>
            <w:vAlign w:val="center"/>
          </w:tcPr>
          <w:p w14:paraId="2EF3665D">
            <w:pPr>
              <w:textAlignment w:val="center"/>
              <w:rPr>
                <w:color w:val="000000"/>
                <w:sz w:val="20"/>
                <w:szCs w:val="20"/>
                <w:highlight w:val="none"/>
              </w:rPr>
            </w:pPr>
            <w:r>
              <w:rPr>
                <w:rFonts w:hint="eastAsia"/>
                <w:color w:val="000000"/>
                <w:sz w:val="20"/>
                <w:szCs w:val="20"/>
                <w:highlight w:val="none"/>
                <w:lang w:bidi="ar"/>
              </w:rPr>
              <w:t>禁用两年</w:t>
            </w:r>
          </w:p>
        </w:tc>
      </w:tr>
      <w:tr w14:paraId="6AA6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14:paraId="0DB41E61">
            <w:pPr>
              <w:jc w:val="center"/>
              <w:textAlignment w:val="center"/>
              <w:rPr>
                <w:color w:val="000000"/>
                <w:sz w:val="20"/>
                <w:szCs w:val="20"/>
                <w:highlight w:val="none"/>
              </w:rPr>
            </w:pPr>
            <w:r>
              <w:rPr>
                <w:rFonts w:hint="eastAsia"/>
                <w:color w:val="000000"/>
                <w:sz w:val="20"/>
                <w:szCs w:val="20"/>
                <w:highlight w:val="none"/>
                <w:lang w:bidi="ar"/>
              </w:rPr>
              <w:t>25</w:t>
            </w:r>
          </w:p>
        </w:tc>
        <w:tc>
          <w:tcPr>
            <w:tcW w:w="1266" w:type="dxa"/>
            <w:vMerge w:val="continue"/>
            <w:shd w:val="clear" w:color="auto" w:fill="auto"/>
            <w:vAlign w:val="center"/>
          </w:tcPr>
          <w:p w14:paraId="20C8AF59">
            <w:pPr>
              <w:jc w:val="center"/>
              <w:rPr>
                <w:color w:val="000000"/>
                <w:sz w:val="20"/>
                <w:szCs w:val="20"/>
                <w:highlight w:val="none"/>
              </w:rPr>
            </w:pPr>
          </w:p>
        </w:tc>
        <w:tc>
          <w:tcPr>
            <w:tcW w:w="5484" w:type="dxa"/>
            <w:shd w:val="clear" w:color="auto" w:fill="auto"/>
            <w:vAlign w:val="center"/>
          </w:tcPr>
          <w:p w14:paraId="083E1123">
            <w:pPr>
              <w:textAlignment w:val="center"/>
              <w:rPr>
                <w:color w:val="000000"/>
                <w:sz w:val="20"/>
                <w:szCs w:val="20"/>
                <w:highlight w:val="none"/>
              </w:rPr>
            </w:pPr>
            <w:r>
              <w:rPr>
                <w:rFonts w:hint="eastAsia"/>
                <w:color w:val="000000"/>
                <w:sz w:val="20"/>
                <w:szCs w:val="20"/>
                <w:highlight w:val="none"/>
                <w:lang w:bidi="ar"/>
              </w:rPr>
              <w:t>拒不整改的</w:t>
            </w:r>
          </w:p>
        </w:tc>
        <w:tc>
          <w:tcPr>
            <w:tcW w:w="1281" w:type="dxa"/>
            <w:shd w:val="clear" w:color="auto" w:fill="auto"/>
            <w:vAlign w:val="center"/>
          </w:tcPr>
          <w:p w14:paraId="28AB8590">
            <w:pPr>
              <w:textAlignment w:val="center"/>
              <w:rPr>
                <w:color w:val="000000"/>
                <w:sz w:val="20"/>
                <w:szCs w:val="20"/>
                <w:highlight w:val="none"/>
              </w:rPr>
            </w:pPr>
            <w:r>
              <w:rPr>
                <w:rFonts w:hint="eastAsia"/>
                <w:color w:val="000000"/>
                <w:sz w:val="20"/>
                <w:szCs w:val="20"/>
                <w:highlight w:val="none"/>
                <w:lang w:bidi="ar"/>
              </w:rPr>
              <w:t>长期禁用</w:t>
            </w:r>
          </w:p>
        </w:tc>
      </w:tr>
      <w:tr w14:paraId="584D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14:paraId="4BA56017">
            <w:pPr>
              <w:jc w:val="center"/>
              <w:textAlignment w:val="center"/>
              <w:rPr>
                <w:color w:val="000000"/>
                <w:sz w:val="20"/>
                <w:szCs w:val="20"/>
                <w:highlight w:val="none"/>
              </w:rPr>
            </w:pPr>
            <w:r>
              <w:rPr>
                <w:rFonts w:hint="eastAsia"/>
                <w:color w:val="000000"/>
                <w:sz w:val="20"/>
                <w:szCs w:val="20"/>
                <w:highlight w:val="none"/>
                <w:lang w:bidi="ar"/>
              </w:rPr>
              <w:t>26</w:t>
            </w:r>
          </w:p>
        </w:tc>
        <w:tc>
          <w:tcPr>
            <w:tcW w:w="1266" w:type="dxa"/>
            <w:vMerge w:val="restart"/>
            <w:shd w:val="clear" w:color="auto" w:fill="auto"/>
            <w:vAlign w:val="center"/>
          </w:tcPr>
          <w:p w14:paraId="15A40377">
            <w:pPr>
              <w:textAlignment w:val="center"/>
              <w:rPr>
                <w:color w:val="000000"/>
                <w:sz w:val="20"/>
                <w:szCs w:val="20"/>
                <w:highlight w:val="none"/>
              </w:rPr>
            </w:pPr>
            <w:r>
              <w:rPr>
                <w:rFonts w:hint="eastAsia"/>
                <w:color w:val="000000"/>
                <w:sz w:val="20"/>
                <w:szCs w:val="20"/>
                <w:highlight w:val="none"/>
                <w:lang w:bidi="ar"/>
              </w:rPr>
              <w:t>假冒其他厂家品牌，</w:t>
            </w:r>
            <w:r>
              <w:rPr>
                <w:rFonts w:hint="eastAsia"/>
                <w:b/>
                <w:bCs/>
                <w:color w:val="000000"/>
                <w:sz w:val="20"/>
                <w:szCs w:val="20"/>
                <w:highlight w:val="none"/>
                <w:lang w:bidi="ar"/>
              </w:rPr>
              <w:t>提供伪劣商品</w:t>
            </w:r>
            <w:r>
              <w:rPr>
                <w:rFonts w:hint="eastAsia"/>
                <w:color w:val="000000"/>
                <w:sz w:val="20"/>
                <w:szCs w:val="20"/>
                <w:highlight w:val="none"/>
                <w:lang w:bidi="ar"/>
              </w:rPr>
              <w:t>、以假乱真弄虚作假的</w:t>
            </w:r>
          </w:p>
        </w:tc>
        <w:tc>
          <w:tcPr>
            <w:tcW w:w="5484" w:type="dxa"/>
            <w:shd w:val="clear" w:color="auto" w:fill="auto"/>
            <w:vAlign w:val="center"/>
          </w:tcPr>
          <w:p w14:paraId="1E2807E0">
            <w:pPr>
              <w:textAlignment w:val="center"/>
              <w:rPr>
                <w:color w:val="000000"/>
                <w:sz w:val="20"/>
                <w:szCs w:val="20"/>
                <w:highlight w:val="none"/>
              </w:rPr>
            </w:pPr>
            <w:r>
              <w:rPr>
                <w:rFonts w:hint="eastAsia"/>
                <w:color w:val="000000"/>
                <w:sz w:val="20"/>
                <w:szCs w:val="20"/>
                <w:highlight w:val="none"/>
                <w:lang w:bidi="ar"/>
              </w:rPr>
              <w:t>对生产经营造成影响较小</w:t>
            </w:r>
          </w:p>
        </w:tc>
        <w:tc>
          <w:tcPr>
            <w:tcW w:w="1281" w:type="dxa"/>
            <w:shd w:val="clear" w:color="auto" w:fill="auto"/>
            <w:vAlign w:val="center"/>
          </w:tcPr>
          <w:p w14:paraId="392D5FF3">
            <w:pPr>
              <w:textAlignment w:val="center"/>
              <w:rPr>
                <w:color w:val="000000"/>
                <w:sz w:val="20"/>
                <w:szCs w:val="20"/>
                <w:highlight w:val="none"/>
              </w:rPr>
            </w:pPr>
            <w:r>
              <w:rPr>
                <w:rFonts w:hint="eastAsia"/>
                <w:color w:val="000000"/>
                <w:sz w:val="20"/>
                <w:szCs w:val="20"/>
                <w:highlight w:val="none"/>
                <w:lang w:bidi="ar"/>
              </w:rPr>
              <w:t>禁用两年</w:t>
            </w:r>
          </w:p>
        </w:tc>
      </w:tr>
      <w:tr w14:paraId="09D7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14:paraId="4F9F431B">
            <w:pPr>
              <w:jc w:val="center"/>
              <w:textAlignment w:val="center"/>
              <w:rPr>
                <w:color w:val="000000"/>
                <w:sz w:val="20"/>
                <w:szCs w:val="20"/>
                <w:highlight w:val="none"/>
              </w:rPr>
            </w:pPr>
            <w:r>
              <w:rPr>
                <w:rFonts w:hint="eastAsia"/>
                <w:color w:val="000000"/>
                <w:sz w:val="20"/>
                <w:szCs w:val="20"/>
                <w:highlight w:val="none"/>
                <w:lang w:bidi="ar"/>
              </w:rPr>
              <w:t>27</w:t>
            </w:r>
          </w:p>
        </w:tc>
        <w:tc>
          <w:tcPr>
            <w:tcW w:w="1266" w:type="dxa"/>
            <w:vMerge w:val="continue"/>
            <w:shd w:val="clear" w:color="auto" w:fill="auto"/>
            <w:vAlign w:val="center"/>
          </w:tcPr>
          <w:p w14:paraId="35EA61CC">
            <w:pPr>
              <w:rPr>
                <w:color w:val="000000"/>
                <w:sz w:val="20"/>
                <w:szCs w:val="20"/>
                <w:highlight w:val="none"/>
              </w:rPr>
            </w:pPr>
          </w:p>
        </w:tc>
        <w:tc>
          <w:tcPr>
            <w:tcW w:w="5484" w:type="dxa"/>
            <w:shd w:val="clear" w:color="auto" w:fill="auto"/>
            <w:vAlign w:val="center"/>
          </w:tcPr>
          <w:p w14:paraId="0829D043">
            <w:pPr>
              <w:textAlignment w:val="center"/>
              <w:rPr>
                <w:color w:val="000000"/>
                <w:sz w:val="20"/>
                <w:szCs w:val="20"/>
                <w:highlight w:val="none"/>
              </w:rPr>
            </w:pPr>
            <w:r>
              <w:rPr>
                <w:rFonts w:hint="eastAsia"/>
                <w:color w:val="000000"/>
                <w:sz w:val="20"/>
                <w:szCs w:val="20"/>
                <w:highlight w:val="none"/>
                <w:lang w:bidi="ar"/>
              </w:rPr>
              <w:t>对生产经营影响较大；或虽然对生产经营影响较小，但拒绝整改的</w:t>
            </w:r>
          </w:p>
        </w:tc>
        <w:tc>
          <w:tcPr>
            <w:tcW w:w="1281" w:type="dxa"/>
            <w:shd w:val="clear" w:color="auto" w:fill="auto"/>
            <w:vAlign w:val="center"/>
          </w:tcPr>
          <w:p w14:paraId="721AFAB4">
            <w:pPr>
              <w:textAlignment w:val="center"/>
              <w:rPr>
                <w:color w:val="000000"/>
                <w:sz w:val="20"/>
                <w:szCs w:val="20"/>
                <w:highlight w:val="none"/>
              </w:rPr>
            </w:pPr>
            <w:r>
              <w:rPr>
                <w:rFonts w:hint="eastAsia"/>
                <w:b/>
                <w:bCs/>
                <w:color w:val="000000"/>
                <w:sz w:val="20"/>
                <w:szCs w:val="20"/>
                <w:highlight w:val="none"/>
                <w:lang w:bidi="ar"/>
              </w:rPr>
              <w:t>长期禁用</w:t>
            </w:r>
          </w:p>
        </w:tc>
      </w:tr>
      <w:tr w14:paraId="08D9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14:paraId="354BF0C6">
            <w:pPr>
              <w:jc w:val="center"/>
              <w:textAlignment w:val="center"/>
              <w:rPr>
                <w:color w:val="000000"/>
                <w:sz w:val="20"/>
                <w:szCs w:val="20"/>
                <w:highlight w:val="none"/>
              </w:rPr>
            </w:pPr>
            <w:r>
              <w:rPr>
                <w:rFonts w:hint="eastAsia"/>
                <w:color w:val="000000"/>
                <w:sz w:val="20"/>
                <w:szCs w:val="20"/>
                <w:highlight w:val="none"/>
                <w:lang w:bidi="ar"/>
              </w:rPr>
              <w:t>28</w:t>
            </w:r>
          </w:p>
        </w:tc>
        <w:tc>
          <w:tcPr>
            <w:tcW w:w="1266" w:type="dxa"/>
            <w:vMerge w:val="restart"/>
            <w:shd w:val="clear" w:color="auto" w:fill="auto"/>
            <w:vAlign w:val="center"/>
          </w:tcPr>
          <w:p w14:paraId="00655753">
            <w:pPr>
              <w:textAlignment w:val="center"/>
              <w:rPr>
                <w:color w:val="000000"/>
                <w:sz w:val="20"/>
                <w:szCs w:val="20"/>
                <w:highlight w:val="none"/>
              </w:rPr>
            </w:pPr>
            <w:r>
              <w:rPr>
                <w:rFonts w:hint="eastAsia"/>
                <w:color w:val="000000"/>
                <w:sz w:val="20"/>
                <w:szCs w:val="20"/>
                <w:highlight w:val="none"/>
                <w:lang w:bidi="ar"/>
              </w:rPr>
              <w:t>出现供给不足（即“</w:t>
            </w:r>
            <w:r>
              <w:rPr>
                <w:rFonts w:hint="eastAsia"/>
                <w:b/>
                <w:bCs/>
                <w:color w:val="000000"/>
                <w:sz w:val="20"/>
                <w:szCs w:val="20"/>
                <w:highlight w:val="none"/>
                <w:lang w:bidi="ar"/>
              </w:rPr>
              <w:t>短斤少两</w:t>
            </w:r>
            <w:r>
              <w:rPr>
                <w:rFonts w:hint="eastAsia"/>
                <w:color w:val="000000"/>
                <w:sz w:val="20"/>
                <w:szCs w:val="20"/>
                <w:highlight w:val="none"/>
                <w:lang w:bidi="ar"/>
              </w:rPr>
              <w:t>”行为）</w:t>
            </w:r>
          </w:p>
        </w:tc>
        <w:tc>
          <w:tcPr>
            <w:tcW w:w="5484" w:type="dxa"/>
            <w:shd w:val="clear" w:color="auto" w:fill="auto"/>
            <w:vAlign w:val="center"/>
          </w:tcPr>
          <w:p w14:paraId="0AA0B521">
            <w:pPr>
              <w:textAlignment w:val="center"/>
              <w:rPr>
                <w:color w:val="000000"/>
                <w:sz w:val="20"/>
                <w:szCs w:val="20"/>
                <w:highlight w:val="none"/>
              </w:rPr>
            </w:pPr>
            <w:r>
              <w:rPr>
                <w:rFonts w:hint="eastAsia"/>
                <w:color w:val="000000"/>
                <w:sz w:val="20"/>
                <w:szCs w:val="20"/>
                <w:highlight w:val="none"/>
                <w:lang w:bidi="ar"/>
              </w:rPr>
              <w:t>及时整改未产生影响的</w:t>
            </w:r>
          </w:p>
        </w:tc>
        <w:tc>
          <w:tcPr>
            <w:tcW w:w="1281" w:type="dxa"/>
            <w:shd w:val="clear" w:color="auto" w:fill="auto"/>
            <w:vAlign w:val="center"/>
          </w:tcPr>
          <w:p w14:paraId="6307D56B">
            <w:pPr>
              <w:textAlignment w:val="center"/>
              <w:rPr>
                <w:color w:val="000000"/>
                <w:sz w:val="20"/>
                <w:szCs w:val="20"/>
                <w:highlight w:val="none"/>
              </w:rPr>
            </w:pPr>
            <w:r>
              <w:rPr>
                <w:rFonts w:hint="eastAsia"/>
                <w:color w:val="000000"/>
                <w:sz w:val="20"/>
                <w:szCs w:val="20"/>
                <w:highlight w:val="none"/>
                <w:lang w:bidi="ar"/>
              </w:rPr>
              <w:t>约谈</w:t>
            </w:r>
          </w:p>
        </w:tc>
      </w:tr>
      <w:tr w14:paraId="464B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14:paraId="3B1F6A01">
            <w:pPr>
              <w:jc w:val="center"/>
              <w:textAlignment w:val="center"/>
              <w:rPr>
                <w:color w:val="000000"/>
                <w:sz w:val="20"/>
                <w:szCs w:val="20"/>
                <w:highlight w:val="none"/>
              </w:rPr>
            </w:pPr>
            <w:r>
              <w:rPr>
                <w:rFonts w:hint="eastAsia"/>
                <w:color w:val="000000"/>
                <w:sz w:val="20"/>
                <w:szCs w:val="20"/>
                <w:highlight w:val="none"/>
                <w:lang w:bidi="ar"/>
              </w:rPr>
              <w:t>29</w:t>
            </w:r>
          </w:p>
        </w:tc>
        <w:tc>
          <w:tcPr>
            <w:tcW w:w="1266" w:type="dxa"/>
            <w:vMerge w:val="continue"/>
            <w:shd w:val="clear" w:color="auto" w:fill="auto"/>
            <w:vAlign w:val="center"/>
          </w:tcPr>
          <w:p w14:paraId="35B7FB64">
            <w:pPr>
              <w:rPr>
                <w:color w:val="000000"/>
                <w:sz w:val="20"/>
                <w:szCs w:val="20"/>
                <w:highlight w:val="none"/>
              </w:rPr>
            </w:pPr>
          </w:p>
        </w:tc>
        <w:tc>
          <w:tcPr>
            <w:tcW w:w="5484" w:type="dxa"/>
            <w:shd w:val="clear" w:color="auto" w:fill="auto"/>
            <w:vAlign w:val="center"/>
          </w:tcPr>
          <w:p w14:paraId="5BEE9845">
            <w:pPr>
              <w:textAlignment w:val="center"/>
              <w:rPr>
                <w:color w:val="000000"/>
                <w:sz w:val="20"/>
                <w:szCs w:val="20"/>
                <w:highlight w:val="none"/>
              </w:rPr>
            </w:pPr>
            <w:r>
              <w:rPr>
                <w:rFonts w:hint="eastAsia"/>
                <w:color w:val="000000"/>
                <w:sz w:val="20"/>
                <w:szCs w:val="20"/>
                <w:highlight w:val="none"/>
                <w:lang w:bidi="ar"/>
              </w:rPr>
              <w:t>整改但产生影响的</w:t>
            </w:r>
          </w:p>
        </w:tc>
        <w:tc>
          <w:tcPr>
            <w:tcW w:w="1281" w:type="dxa"/>
            <w:shd w:val="clear" w:color="auto" w:fill="auto"/>
            <w:vAlign w:val="center"/>
          </w:tcPr>
          <w:p w14:paraId="4D802BF9">
            <w:pPr>
              <w:textAlignment w:val="center"/>
              <w:rPr>
                <w:color w:val="000000"/>
                <w:sz w:val="20"/>
                <w:szCs w:val="20"/>
                <w:highlight w:val="none"/>
              </w:rPr>
            </w:pPr>
            <w:r>
              <w:rPr>
                <w:rFonts w:hint="eastAsia"/>
                <w:b/>
                <w:bCs/>
                <w:color w:val="000000"/>
                <w:sz w:val="20"/>
                <w:szCs w:val="20"/>
                <w:highlight w:val="none"/>
                <w:lang w:bidi="ar"/>
              </w:rPr>
              <w:t>禁用一年</w:t>
            </w:r>
          </w:p>
        </w:tc>
      </w:tr>
      <w:tr w14:paraId="2DD4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14:paraId="60CC2880">
            <w:pPr>
              <w:jc w:val="center"/>
              <w:textAlignment w:val="center"/>
              <w:rPr>
                <w:color w:val="000000"/>
                <w:sz w:val="20"/>
                <w:szCs w:val="20"/>
                <w:highlight w:val="none"/>
              </w:rPr>
            </w:pPr>
            <w:r>
              <w:rPr>
                <w:rFonts w:hint="eastAsia"/>
                <w:color w:val="000000"/>
                <w:sz w:val="20"/>
                <w:szCs w:val="20"/>
                <w:highlight w:val="none"/>
                <w:lang w:bidi="ar"/>
              </w:rPr>
              <w:t>30</w:t>
            </w:r>
          </w:p>
        </w:tc>
        <w:tc>
          <w:tcPr>
            <w:tcW w:w="1266" w:type="dxa"/>
            <w:vMerge w:val="continue"/>
            <w:shd w:val="clear" w:color="auto" w:fill="auto"/>
            <w:vAlign w:val="center"/>
          </w:tcPr>
          <w:p w14:paraId="0FE2F2B1">
            <w:pPr>
              <w:rPr>
                <w:color w:val="000000"/>
                <w:sz w:val="20"/>
                <w:szCs w:val="20"/>
                <w:highlight w:val="none"/>
              </w:rPr>
            </w:pPr>
          </w:p>
        </w:tc>
        <w:tc>
          <w:tcPr>
            <w:tcW w:w="5484" w:type="dxa"/>
            <w:shd w:val="clear" w:color="auto" w:fill="auto"/>
            <w:vAlign w:val="center"/>
          </w:tcPr>
          <w:p w14:paraId="16D1536C">
            <w:pPr>
              <w:textAlignment w:val="center"/>
              <w:rPr>
                <w:color w:val="000000"/>
                <w:sz w:val="20"/>
                <w:szCs w:val="20"/>
                <w:highlight w:val="none"/>
              </w:rPr>
            </w:pPr>
            <w:r>
              <w:rPr>
                <w:rFonts w:hint="eastAsia"/>
                <w:color w:val="000000"/>
                <w:sz w:val="20"/>
                <w:szCs w:val="20"/>
                <w:highlight w:val="none"/>
                <w:lang w:bidi="ar"/>
              </w:rPr>
              <w:t>拒不更正的</w:t>
            </w:r>
          </w:p>
        </w:tc>
        <w:tc>
          <w:tcPr>
            <w:tcW w:w="1281" w:type="dxa"/>
            <w:shd w:val="clear" w:color="auto" w:fill="auto"/>
            <w:vAlign w:val="center"/>
          </w:tcPr>
          <w:p w14:paraId="5F1423BD">
            <w:pPr>
              <w:textAlignment w:val="center"/>
              <w:rPr>
                <w:color w:val="000000"/>
                <w:sz w:val="20"/>
                <w:szCs w:val="20"/>
                <w:highlight w:val="none"/>
              </w:rPr>
            </w:pPr>
            <w:r>
              <w:rPr>
                <w:rFonts w:hint="eastAsia"/>
                <w:color w:val="000000"/>
                <w:sz w:val="20"/>
                <w:szCs w:val="20"/>
                <w:highlight w:val="none"/>
                <w:lang w:bidi="ar"/>
              </w:rPr>
              <w:t>长期禁用</w:t>
            </w:r>
          </w:p>
        </w:tc>
      </w:tr>
      <w:tr w14:paraId="0AA0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14:paraId="3803898D">
            <w:pPr>
              <w:jc w:val="center"/>
              <w:textAlignment w:val="center"/>
              <w:rPr>
                <w:color w:val="000000"/>
                <w:sz w:val="20"/>
                <w:szCs w:val="20"/>
                <w:highlight w:val="none"/>
              </w:rPr>
            </w:pPr>
            <w:r>
              <w:rPr>
                <w:rFonts w:hint="eastAsia"/>
                <w:color w:val="000000"/>
                <w:sz w:val="20"/>
                <w:szCs w:val="20"/>
                <w:highlight w:val="none"/>
                <w:lang w:bidi="ar"/>
              </w:rPr>
              <w:t>31</w:t>
            </w:r>
          </w:p>
        </w:tc>
        <w:tc>
          <w:tcPr>
            <w:tcW w:w="1266" w:type="dxa"/>
            <w:vMerge w:val="restart"/>
            <w:shd w:val="clear" w:color="auto" w:fill="auto"/>
            <w:vAlign w:val="center"/>
          </w:tcPr>
          <w:p w14:paraId="6D08263E">
            <w:pPr>
              <w:textAlignment w:val="center"/>
              <w:rPr>
                <w:color w:val="000000"/>
                <w:sz w:val="20"/>
                <w:szCs w:val="20"/>
                <w:highlight w:val="none"/>
              </w:rPr>
            </w:pPr>
            <w:r>
              <w:rPr>
                <w:rFonts w:hint="eastAsia"/>
                <w:color w:val="000000"/>
                <w:sz w:val="20"/>
                <w:szCs w:val="20"/>
                <w:highlight w:val="none"/>
                <w:lang w:bidi="ar"/>
              </w:rPr>
              <w:t>所提供的产品</w:t>
            </w:r>
            <w:r>
              <w:rPr>
                <w:rFonts w:hint="eastAsia"/>
                <w:b/>
                <w:bCs/>
                <w:color w:val="000000"/>
                <w:sz w:val="20"/>
                <w:szCs w:val="20"/>
                <w:highlight w:val="none"/>
                <w:lang w:bidi="ar"/>
              </w:rPr>
              <w:t>存在严重质量问题</w:t>
            </w:r>
            <w:r>
              <w:rPr>
                <w:rFonts w:hint="eastAsia"/>
                <w:color w:val="000000"/>
                <w:sz w:val="20"/>
                <w:szCs w:val="20"/>
                <w:highlight w:val="none"/>
                <w:lang w:bidi="ar"/>
              </w:rPr>
              <w:t>，影响安全生产或对工程建设造成实质性影响的</w:t>
            </w:r>
          </w:p>
        </w:tc>
        <w:tc>
          <w:tcPr>
            <w:tcW w:w="5484" w:type="dxa"/>
            <w:shd w:val="clear" w:color="auto" w:fill="auto"/>
            <w:vAlign w:val="center"/>
          </w:tcPr>
          <w:p w14:paraId="2ADA998C">
            <w:pPr>
              <w:textAlignment w:val="center"/>
              <w:rPr>
                <w:color w:val="000000"/>
                <w:sz w:val="20"/>
                <w:szCs w:val="20"/>
                <w:highlight w:val="none"/>
              </w:rPr>
            </w:pPr>
            <w:r>
              <w:rPr>
                <w:rFonts w:hint="eastAsia"/>
                <w:color w:val="000000"/>
                <w:sz w:val="20"/>
                <w:szCs w:val="20"/>
                <w:highlight w:val="none"/>
                <w:lang w:bidi="ar"/>
              </w:rPr>
              <w:t>对安全生产或工程建设影响较轻的</w:t>
            </w:r>
          </w:p>
        </w:tc>
        <w:tc>
          <w:tcPr>
            <w:tcW w:w="1281" w:type="dxa"/>
            <w:shd w:val="clear" w:color="auto" w:fill="auto"/>
            <w:vAlign w:val="center"/>
          </w:tcPr>
          <w:p w14:paraId="11DF27FE">
            <w:pPr>
              <w:textAlignment w:val="center"/>
              <w:rPr>
                <w:color w:val="000000"/>
                <w:sz w:val="20"/>
                <w:szCs w:val="20"/>
                <w:highlight w:val="none"/>
              </w:rPr>
            </w:pPr>
            <w:r>
              <w:rPr>
                <w:rFonts w:hint="eastAsia"/>
                <w:color w:val="000000"/>
                <w:sz w:val="20"/>
                <w:szCs w:val="20"/>
                <w:highlight w:val="none"/>
                <w:lang w:bidi="ar"/>
              </w:rPr>
              <w:t>禁用一年</w:t>
            </w:r>
          </w:p>
        </w:tc>
      </w:tr>
      <w:tr w14:paraId="78E6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14:paraId="5F8D105D">
            <w:pPr>
              <w:jc w:val="center"/>
              <w:textAlignment w:val="center"/>
              <w:rPr>
                <w:color w:val="000000"/>
                <w:sz w:val="20"/>
                <w:szCs w:val="20"/>
                <w:highlight w:val="none"/>
              </w:rPr>
            </w:pPr>
            <w:r>
              <w:rPr>
                <w:rFonts w:hint="eastAsia"/>
                <w:color w:val="000000"/>
                <w:sz w:val="20"/>
                <w:szCs w:val="20"/>
                <w:highlight w:val="none"/>
                <w:lang w:bidi="ar"/>
              </w:rPr>
              <w:t>32</w:t>
            </w:r>
          </w:p>
        </w:tc>
        <w:tc>
          <w:tcPr>
            <w:tcW w:w="1266" w:type="dxa"/>
            <w:vMerge w:val="continue"/>
            <w:shd w:val="clear" w:color="auto" w:fill="auto"/>
            <w:vAlign w:val="center"/>
          </w:tcPr>
          <w:p w14:paraId="00E14161">
            <w:pPr>
              <w:rPr>
                <w:color w:val="000000"/>
                <w:sz w:val="20"/>
                <w:szCs w:val="20"/>
                <w:highlight w:val="none"/>
              </w:rPr>
            </w:pPr>
          </w:p>
        </w:tc>
        <w:tc>
          <w:tcPr>
            <w:tcW w:w="5484" w:type="dxa"/>
            <w:shd w:val="clear" w:color="auto" w:fill="auto"/>
            <w:vAlign w:val="center"/>
          </w:tcPr>
          <w:p w14:paraId="12E00AA9">
            <w:pPr>
              <w:textAlignment w:val="center"/>
              <w:rPr>
                <w:color w:val="000000"/>
                <w:sz w:val="20"/>
                <w:szCs w:val="20"/>
                <w:highlight w:val="none"/>
              </w:rPr>
            </w:pPr>
            <w:r>
              <w:rPr>
                <w:rFonts w:hint="eastAsia"/>
                <w:color w:val="000000"/>
                <w:sz w:val="20"/>
                <w:szCs w:val="20"/>
                <w:highlight w:val="none"/>
                <w:lang w:bidi="ar"/>
              </w:rPr>
              <w:t>对安全生产或工程建设影响较重的</w:t>
            </w:r>
          </w:p>
        </w:tc>
        <w:tc>
          <w:tcPr>
            <w:tcW w:w="1281" w:type="dxa"/>
            <w:shd w:val="clear" w:color="auto" w:fill="auto"/>
            <w:vAlign w:val="center"/>
          </w:tcPr>
          <w:p w14:paraId="74D6B3B8">
            <w:pPr>
              <w:textAlignment w:val="center"/>
              <w:rPr>
                <w:color w:val="000000"/>
                <w:sz w:val="20"/>
                <w:szCs w:val="20"/>
                <w:highlight w:val="none"/>
              </w:rPr>
            </w:pPr>
            <w:r>
              <w:rPr>
                <w:rFonts w:hint="eastAsia"/>
                <w:b/>
                <w:bCs/>
                <w:color w:val="000000"/>
                <w:sz w:val="20"/>
                <w:szCs w:val="20"/>
                <w:highlight w:val="none"/>
                <w:lang w:bidi="ar"/>
              </w:rPr>
              <w:t>禁用两年</w:t>
            </w:r>
          </w:p>
        </w:tc>
      </w:tr>
      <w:tr w14:paraId="24BA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14:paraId="0659B1B1">
            <w:pPr>
              <w:jc w:val="center"/>
              <w:textAlignment w:val="center"/>
              <w:rPr>
                <w:color w:val="000000"/>
                <w:sz w:val="20"/>
                <w:szCs w:val="20"/>
                <w:highlight w:val="none"/>
              </w:rPr>
            </w:pPr>
            <w:r>
              <w:rPr>
                <w:rFonts w:hint="eastAsia"/>
                <w:color w:val="000000"/>
                <w:sz w:val="20"/>
                <w:szCs w:val="20"/>
                <w:highlight w:val="none"/>
                <w:lang w:bidi="ar"/>
              </w:rPr>
              <w:t>33</w:t>
            </w:r>
          </w:p>
        </w:tc>
        <w:tc>
          <w:tcPr>
            <w:tcW w:w="1266" w:type="dxa"/>
            <w:shd w:val="clear" w:color="auto" w:fill="auto"/>
            <w:vAlign w:val="center"/>
          </w:tcPr>
          <w:p w14:paraId="5C553494">
            <w:pPr>
              <w:textAlignment w:val="center"/>
              <w:rPr>
                <w:color w:val="000000"/>
                <w:sz w:val="20"/>
                <w:szCs w:val="20"/>
                <w:highlight w:val="none"/>
              </w:rPr>
            </w:pPr>
            <w:r>
              <w:rPr>
                <w:rFonts w:hint="eastAsia"/>
                <w:color w:val="000000"/>
                <w:sz w:val="20"/>
                <w:szCs w:val="20"/>
                <w:highlight w:val="none"/>
                <w:lang w:bidi="ar"/>
              </w:rPr>
              <w:t>提供的产品/服务出现</w:t>
            </w:r>
            <w:r>
              <w:rPr>
                <w:rFonts w:hint="eastAsia"/>
                <w:b/>
                <w:bCs/>
                <w:color w:val="000000"/>
                <w:sz w:val="20"/>
                <w:szCs w:val="20"/>
                <w:highlight w:val="none"/>
                <w:lang w:bidi="ar"/>
              </w:rPr>
              <w:t>严重安全隐患</w:t>
            </w:r>
            <w:r>
              <w:rPr>
                <w:rFonts w:hint="eastAsia"/>
                <w:color w:val="000000"/>
                <w:sz w:val="20"/>
                <w:szCs w:val="20"/>
                <w:highlight w:val="none"/>
                <w:lang w:bidi="ar"/>
              </w:rPr>
              <w:t>，且拒绝整改或整改不及时、不到位的</w:t>
            </w:r>
          </w:p>
        </w:tc>
        <w:tc>
          <w:tcPr>
            <w:tcW w:w="5484" w:type="dxa"/>
            <w:shd w:val="clear" w:color="auto" w:fill="auto"/>
            <w:vAlign w:val="center"/>
          </w:tcPr>
          <w:p w14:paraId="1108648A">
            <w:pPr>
              <w:textAlignment w:val="center"/>
              <w:rPr>
                <w:color w:val="000000"/>
                <w:sz w:val="20"/>
                <w:szCs w:val="20"/>
                <w:highlight w:val="none"/>
              </w:rPr>
            </w:pPr>
            <w:r>
              <w:rPr>
                <w:rFonts w:hint="eastAsia"/>
                <w:color w:val="000000"/>
                <w:sz w:val="20"/>
                <w:szCs w:val="20"/>
                <w:highlight w:val="none"/>
                <w:lang w:bidi="ar"/>
              </w:rPr>
              <w:t>提供的产品/服务出现严重安全隐患，且拒绝整改或整改不及时、不到位的</w:t>
            </w:r>
          </w:p>
        </w:tc>
        <w:tc>
          <w:tcPr>
            <w:tcW w:w="1281" w:type="dxa"/>
            <w:shd w:val="clear" w:color="auto" w:fill="auto"/>
            <w:vAlign w:val="center"/>
          </w:tcPr>
          <w:p w14:paraId="73B2D88A">
            <w:pPr>
              <w:textAlignment w:val="center"/>
              <w:rPr>
                <w:color w:val="000000"/>
                <w:sz w:val="20"/>
                <w:szCs w:val="20"/>
                <w:highlight w:val="none"/>
              </w:rPr>
            </w:pPr>
            <w:r>
              <w:rPr>
                <w:rFonts w:hint="eastAsia"/>
                <w:b/>
                <w:bCs/>
                <w:color w:val="000000"/>
                <w:sz w:val="20"/>
                <w:szCs w:val="20"/>
                <w:highlight w:val="none"/>
                <w:lang w:bidi="ar"/>
              </w:rPr>
              <w:t>长期禁用</w:t>
            </w:r>
          </w:p>
        </w:tc>
      </w:tr>
      <w:tr w14:paraId="291A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14:paraId="135BF65E">
            <w:pPr>
              <w:jc w:val="center"/>
              <w:textAlignment w:val="center"/>
              <w:rPr>
                <w:color w:val="000000"/>
                <w:sz w:val="20"/>
                <w:szCs w:val="20"/>
                <w:highlight w:val="none"/>
              </w:rPr>
            </w:pPr>
            <w:r>
              <w:rPr>
                <w:rFonts w:hint="eastAsia"/>
                <w:color w:val="000000"/>
                <w:sz w:val="20"/>
                <w:szCs w:val="20"/>
                <w:highlight w:val="none"/>
                <w:lang w:bidi="ar"/>
              </w:rPr>
              <w:t>34</w:t>
            </w:r>
          </w:p>
        </w:tc>
        <w:tc>
          <w:tcPr>
            <w:tcW w:w="1266" w:type="dxa"/>
            <w:vMerge w:val="restart"/>
            <w:shd w:val="clear" w:color="auto" w:fill="auto"/>
            <w:vAlign w:val="center"/>
          </w:tcPr>
          <w:p w14:paraId="4AFD7327">
            <w:pPr>
              <w:textAlignment w:val="center"/>
              <w:rPr>
                <w:color w:val="000000"/>
                <w:sz w:val="20"/>
                <w:szCs w:val="20"/>
                <w:highlight w:val="none"/>
              </w:rPr>
            </w:pPr>
            <w:r>
              <w:rPr>
                <w:rFonts w:hint="eastAsia"/>
                <w:b/>
                <w:bCs/>
                <w:color w:val="000000"/>
                <w:sz w:val="20"/>
                <w:szCs w:val="20"/>
                <w:highlight w:val="none"/>
                <w:lang w:bidi="ar"/>
              </w:rPr>
              <w:t>提供虚假进度报告</w:t>
            </w:r>
          </w:p>
        </w:tc>
        <w:tc>
          <w:tcPr>
            <w:tcW w:w="5484" w:type="dxa"/>
            <w:shd w:val="clear" w:color="auto" w:fill="auto"/>
            <w:vAlign w:val="center"/>
          </w:tcPr>
          <w:p w14:paraId="4C3FE6D6">
            <w:pPr>
              <w:textAlignment w:val="center"/>
              <w:rPr>
                <w:color w:val="000000"/>
                <w:sz w:val="20"/>
                <w:szCs w:val="20"/>
                <w:highlight w:val="none"/>
              </w:rPr>
            </w:pPr>
            <w:r>
              <w:rPr>
                <w:rFonts w:hint="eastAsia"/>
                <w:color w:val="000000"/>
                <w:sz w:val="20"/>
                <w:szCs w:val="20"/>
                <w:highlight w:val="none"/>
                <w:lang w:bidi="ar"/>
              </w:rPr>
              <w:t>未造成实质影响的</w:t>
            </w:r>
          </w:p>
        </w:tc>
        <w:tc>
          <w:tcPr>
            <w:tcW w:w="1281" w:type="dxa"/>
            <w:shd w:val="clear" w:color="auto" w:fill="auto"/>
            <w:vAlign w:val="center"/>
          </w:tcPr>
          <w:p w14:paraId="7FB5EB97">
            <w:pPr>
              <w:textAlignment w:val="center"/>
              <w:rPr>
                <w:color w:val="000000"/>
                <w:sz w:val="20"/>
                <w:szCs w:val="20"/>
                <w:highlight w:val="none"/>
              </w:rPr>
            </w:pPr>
            <w:r>
              <w:rPr>
                <w:rFonts w:hint="eastAsia"/>
                <w:color w:val="000000"/>
                <w:sz w:val="20"/>
                <w:szCs w:val="20"/>
                <w:highlight w:val="none"/>
                <w:lang w:bidi="ar"/>
              </w:rPr>
              <w:t>禁用一年</w:t>
            </w:r>
          </w:p>
        </w:tc>
      </w:tr>
      <w:tr w14:paraId="07AC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14:paraId="48F654AB">
            <w:pPr>
              <w:jc w:val="center"/>
              <w:textAlignment w:val="center"/>
              <w:rPr>
                <w:color w:val="000000"/>
                <w:sz w:val="20"/>
                <w:szCs w:val="20"/>
                <w:highlight w:val="none"/>
              </w:rPr>
            </w:pPr>
            <w:r>
              <w:rPr>
                <w:rFonts w:hint="eastAsia"/>
                <w:color w:val="000000"/>
                <w:sz w:val="20"/>
                <w:szCs w:val="20"/>
                <w:highlight w:val="none"/>
                <w:lang w:bidi="ar"/>
              </w:rPr>
              <w:t>35</w:t>
            </w:r>
          </w:p>
        </w:tc>
        <w:tc>
          <w:tcPr>
            <w:tcW w:w="1266" w:type="dxa"/>
            <w:vMerge w:val="continue"/>
            <w:shd w:val="clear" w:color="auto" w:fill="auto"/>
            <w:vAlign w:val="center"/>
          </w:tcPr>
          <w:p w14:paraId="23608E78">
            <w:pPr>
              <w:rPr>
                <w:color w:val="000000"/>
                <w:sz w:val="20"/>
                <w:szCs w:val="20"/>
                <w:highlight w:val="none"/>
              </w:rPr>
            </w:pPr>
          </w:p>
        </w:tc>
        <w:tc>
          <w:tcPr>
            <w:tcW w:w="5484" w:type="dxa"/>
            <w:shd w:val="clear" w:color="auto" w:fill="auto"/>
            <w:vAlign w:val="center"/>
          </w:tcPr>
          <w:p w14:paraId="31C47624">
            <w:pPr>
              <w:textAlignment w:val="center"/>
              <w:rPr>
                <w:color w:val="000000"/>
                <w:sz w:val="20"/>
                <w:szCs w:val="20"/>
                <w:highlight w:val="none"/>
              </w:rPr>
            </w:pPr>
            <w:r>
              <w:rPr>
                <w:rFonts w:hint="eastAsia"/>
                <w:color w:val="000000"/>
                <w:sz w:val="20"/>
                <w:szCs w:val="20"/>
                <w:highlight w:val="none"/>
                <w:lang w:bidi="ar"/>
              </w:rPr>
              <w:t>造成实质性影响的</w:t>
            </w:r>
          </w:p>
        </w:tc>
        <w:tc>
          <w:tcPr>
            <w:tcW w:w="1281" w:type="dxa"/>
            <w:shd w:val="clear" w:color="auto" w:fill="auto"/>
            <w:vAlign w:val="center"/>
          </w:tcPr>
          <w:p w14:paraId="778890FC">
            <w:pPr>
              <w:textAlignment w:val="center"/>
              <w:rPr>
                <w:color w:val="000000"/>
                <w:sz w:val="20"/>
                <w:szCs w:val="20"/>
                <w:highlight w:val="none"/>
              </w:rPr>
            </w:pPr>
            <w:r>
              <w:rPr>
                <w:rFonts w:hint="eastAsia"/>
                <w:b/>
                <w:bCs/>
                <w:color w:val="000000"/>
                <w:sz w:val="20"/>
                <w:szCs w:val="20"/>
                <w:highlight w:val="none"/>
                <w:lang w:bidi="ar"/>
              </w:rPr>
              <w:t>禁用两年</w:t>
            </w:r>
          </w:p>
        </w:tc>
      </w:tr>
      <w:tr w14:paraId="29D4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14:paraId="39975DA0">
            <w:pPr>
              <w:jc w:val="center"/>
              <w:textAlignment w:val="center"/>
              <w:rPr>
                <w:color w:val="000000"/>
                <w:sz w:val="20"/>
                <w:szCs w:val="20"/>
                <w:highlight w:val="none"/>
              </w:rPr>
            </w:pPr>
            <w:r>
              <w:rPr>
                <w:rFonts w:hint="eastAsia"/>
                <w:color w:val="000000"/>
                <w:sz w:val="20"/>
                <w:szCs w:val="20"/>
                <w:highlight w:val="none"/>
                <w:lang w:bidi="ar"/>
              </w:rPr>
              <w:t>36</w:t>
            </w:r>
          </w:p>
        </w:tc>
        <w:tc>
          <w:tcPr>
            <w:tcW w:w="1266" w:type="dxa"/>
            <w:vMerge w:val="restart"/>
            <w:shd w:val="clear" w:color="auto" w:fill="auto"/>
            <w:vAlign w:val="center"/>
          </w:tcPr>
          <w:p w14:paraId="04D359B8">
            <w:pPr>
              <w:jc w:val="center"/>
              <w:textAlignment w:val="center"/>
              <w:rPr>
                <w:color w:val="000000"/>
                <w:sz w:val="20"/>
                <w:szCs w:val="20"/>
                <w:highlight w:val="none"/>
              </w:rPr>
            </w:pPr>
            <w:r>
              <w:rPr>
                <w:rFonts w:hint="eastAsia"/>
                <w:color w:val="000000"/>
                <w:sz w:val="20"/>
                <w:szCs w:val="20"/>
                <w:highlight w:val="none"/>
                <w:lang w:bidi="ar"/>
              </w:rPr>
              <w:t>在允许分包项目中，违反分包承诺进行</w:t>
            </w:r>
            <w:r>
              <w:rPr>
                <w:rFonts w:hint="eastAsia"/>
                <w:b/>
                <w:bCs/>
                <w:color w:val="000000"/>
                <w:sz w:val="20"/>
                <w:szCs w:val="20"/>
                <w:highlight w:val="none"/>
                <w:lang w:bidi="ar"/>
              </w:rPr>
              <w:t>分包</w:t>
            </w:r>
            <w:r>
              <w:rPr>
                <w:rFonts w:hint="eastAsia"/>
                <w:color w:val="000000"/>
                <w:sz w:val="20"/>
                <w:szCs w:val="20"/>
                <w:highlight w:val="none"/>
                <w:lang w:bidi="ar"/>
              </w:rPr>
              <w:t>的</w:t>
            </w:r>
          </w:p>
        </w:tc>
        <w:tc>
          <w:tcPr>
            <w:tcW w:w="5484" w:type="dxa"/>
            <w:shd w:val="clear" w:color="auto" w:fill="auto"/>
            <w:vAlign w:val="center"/>
          </w:tcPr>
          <w:p w14:paraId="46C86EAA">
            <w:pPr>
              <w:textAlignment w:val="center"/>
              <w:rPr>
                <w:color w:val="000000"/>
                <w:sz w:val="20"/>
                <w:szCs w:val="20"/>
                <w:highlight w:val="none"/>
              </w:rPr>
            </w:pPr>
            <w:r>
              <w:rPr>
                <w:rFonts w:hint="eastAsia"/>
                <w:color w:val="000000"/>
                <w:sz w:val="20"/>
                <w:szCs w:val="20"/>
                <w:highlight w:val="none"/>
                <w:lang w:bidi="ar"/>
              </w:rPr>
              <w:t>及时更正其违规行为的</w:t>
            </w:r>
          </w:p>
        </w:tc>
        <w:tc>
          <w:tcPr>
            <w:tcW w:w="1281" w:type="dxa"/>
            <w:shd w:val="clear" w:color="auto" w:fill="auto"/>
            <w:vAlign w:val="center"/>
          </w:tcPr>
          <w:p w14:paraId="499F6B82">
            <w:pPr>
              <w:textAlignment w:val="center"/>
              <w:rPr>
                <w:color w:val="000000"/>
                <w:sz w:val="20"/>
                <w:szCs w:val="20"/>
                <w:highlight w:val="none"/>
              </w:rPr>
            </w:pPr>
            <w:r>
              <w:rPr>
                <w:rFonts w:hint="eastAsia"/>
                <w:color w:val="000000"/>
                <w:sz w:val="20"/>
                <w:szCs w:val="20"/>
                <w:highlight w:val="none"/>
                <w:lang w:bidi="ar"/>
              </w:rPr>
              <w:t>警告</w:t>
            </w:r>
          </w:p>
        </w:tc>
      </w:tr>
      <w:tr w14:paraId="4235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14:paraId="7CF04D28">
            <w:pPr>
              <w:jc w:val="center"/>
              <w:textAlignment w:val="center"/>
              <w:rPr>
                <w:color w:val="000000"/>
                <w:sz w:val="20"/>
                <w:szCs w:val="20"/>
                <w:highlight w:val="none"/>
              </w:rPr>
            </w:pPr>
            <w:r>
              <w:rPr>
                <w:rFonts w:hint="eastAsia"/>
                <w:color w:val="000000"/>
                <w:sz w:val="20"/>
                <w:szCs w:val="20"/>
                <w:highlight w:val="none"/>
                <w:lang w:bidi="ar"/>
              </w:rPr>
              <w:t>37</w:t>
            </w:r>
          </w:p>
        </w:tc>
        <w:tc>
          <w:tcPr>
            <w:tcW w:w="1266" w:type="dxa"/>
            <w:vMerge w:val="continue"/>
            <w:shd w:val="clear" w:color="auto" w:fill="auto"/>
            <w:vAlign w:val="center"/>
          </w:tcPr>
          <w:p w14:paraId="02F46AA2">
            <w:pPr>
              <w:jc w:val="center"/>
              <w:rPr>
                <w:color w:val="000000"/>
                <w:sz w:val="20"/>
                <w:szCs w:val="20"/>
                <w:highlight w:val="none"/>
              </w:rPr>
            </w:pPr>
          </w:p>
        </w:tc>
        <w:tc>
          <w:tcPr>
            <w:tcW w:w="5484" w:type="dxa"/>
            <w:shd w:val="clear" w:color="auto" w:fill="auto"/>
            <w:vAlign w:val="center"/>
          </w:tcPr>
          <w:p w14:paraId="40D3DA30">
            <w:pPr>
              <w:textAlignment w:val="center"/>
              <w:rPr>
                <w:color w:val="000000"/>
                <w:sz w:val="20"/>
                <w:szCs w:val="20"/>
                <w:highlight w:val="none"/>
              </w:rPr>
            </w:pPr>
            <w:r>
              <w:rPr>
                <w:rFonts w:hint="eastAsia"/>
                <w:color w:val="000000"/>
                <w:sz w:val="20"/>
                <w:szCs w:val="20"/>
                <w:highlight w:val="none"/>
                <w:lang w:bidi="ar"/>
              </w:rPr>
              <w:t>未及时更正其违规行为的</w:t>
            </w:r>
          </w:p>
        </w:tc>
        <w:tc>
          <w:tcPr>
            <w:tcW w:w="1281" w:type="dxa"/>
            <w:shd w:val="clear" w:color="auto" w:fill="auto"/>
            <w:vAlign w:val="center"/>
          </w:tcPr>
          <w:p w14:paraId="6DB82C5A">
            <w:pPr>
              <w:textAlignment w:val="center"/>
              <w:rPr>
                <w:color w:val="000000"/>
                <w:sz w:val="20"/>
                <w:szCs w:val="20"/>
                <w:highlight w:val="none"/>
              </w:rPr>
            </w:pPr>
            <w:r>
              <w:rPr>
                <w:rFonts w:hint="eastAsia"/>
                <w:b/>
                <w:bCs/>
                <w:color w:val="000000"/>
                <w:sz w:val="20"/>
                <w:szCs w:val="20"/>
                <w:highlight w:val="none"/>
                <w:lang w:bidi="ar"/>
              </w:rPr>
              <w:t>禁用一年</w:t>
            </w:r>
          </w:p>
        </w:tc>
      </w:tr>
      <w:tr w14:paraId="45B1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14:paraId="3A4153F2">
            <w:pPr>
              <w:jc w:val="center"/>
              <w:textAlignment w:val="center"/>
              <w:rPr>
                <w:color w:val="000000"/>
                <w:sz w:val="20"/>
                <w:szCs w:val="20"/>
                <w:highlight w:val="none"/>
              </w:rPr>
            </w:pPr>
            <w:r>
              <w:rPr>
                <w:rFonts w:hint="eastAsia"/>
                <w:color w:val="000000"/>
                <w:sz w:val="20"/>
                <w:szCs w:val="20"/>
                <w:highlight w:val="none"/>
                <w:lang w:bidi="ar"/>
              </w:rPr>
              <w:t>38</w:t>
            </w:r>
          </w:p>
        </w:tc>
        <w:tc>
          <w:tcPr>
            <w:tcW w:w="1266" w:type="dxa"/>
            <w:vMerge w:val="continue"/>
            <w:shd w:val="clear" w:color="auto" w:fill="auto"/>
            <w:vAlign w:val="center"/>
          </w:tcPr>
          <w:p w14:paraId="36AFE7A9">
            <w:pPr>
              <w:jc w:val="center"/>
              <w:rPr>
                <w:color w:val="000000"/>
                <w:sz w:val="20"/>
                <w:szCs w:val="20"/>
                <w:highlight w:val="none"/>
              </w:rPr>
            </w:pPr>
          </w:p>
        </w:tc>
        <w:tc>
          <w:tcPr>
            <w:tcW w:w="5484" w:type="dxa"/>
            <w:shd w:val="clear" w:color="auto" w:fill="auto"/>
            <w:vAlign w:val="center"/>
          </w:tcPr>
          <w:p w14:paraId="79F1B8A1">
            <w:pPr>
              <w:textAlignment w:val="center"/>
              <w:rPr>
                <w:color w:val="000000"/>
                <w:sz w:val="20"/>
                <w:szCs w:val="20"/>
                <w:highlight w:val="none"/>
              </w:rPr>
            </w:pPr>
            <w:r>
              <w:rPr>
                <w:rFonts w:hint="eastAsia"/>
                <w:color w:val="000000"/>
                <w:sz w:val="20"/>
                <w:szCs w:val="20"/>
                <w:highlight w:val="none"/>
                <w:lang w:bidi="ar"/>
              </w:rPr>
              <w:t>拒绝更正其违规行为的</w:t>
            </w:r>
          </w:p>
        </w:tc>
        <w:tc>
          <w:tcPr>
            <w:tcW w:w="1281" w:type="dxa"/>
            <w:shd w:val="clear" w:color="auto" w:fill="auto"/>
            <w:vAlign w:val="center"/>
          </w:tcPr>
          <w:p w14:paraId="5AC11204">
            <w:pPr>
              <w:textAlignment w:val="center"/>
              <w:rPr>
                <w:color w:val="000000"/>
                <w:sz w:val="20"/>
                <w:szCs w:val="20"/>
                <w:highlight w:val="none"/>
              </w:rPr>
            </w:pPr>
            <w:r>
              <w:rPr>
                <w:rFonts w:hint="eastAsia"/>
                <w:color w:val="000000"/>
                <w:sz w:val="20"/>
                <w:szCs w:val="20"/>
                <w:highlight w:val="none"/>
                <w:lang w:bidi="ar"/>
              </w:rPr>
              <w:t>长期禁用</w:t>
            </w:r>
          </w:p>
        </w:tc>
      </w:tr>
      <w:tr w14:paraId="6D5A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14:paraId="0E3672BE">
            <w:pPr>
              <w:jc w:val="center"/>
              <w:textAlignment w:val="center"/>
              <w:rPr>
                <w:color w:val="000000"/>
                <w:sz w:val="20"/>
                <w:szCs w:val="20"/>
                <w:highlight w:val="none"/>
              </w:rPr>
            </w:pPr>
            <w:r>
              <w:rPr>
                <w:rFonts w:hint="eastAsia"/>
                <w:color w:val="000000"/>
                <w:sz w:val="20"/>
                <w:szCs w:val="20"/>
                <w:highlight w:val="none"/>
                <w:lang w:bidi="ar"/>
              </w:rPr>
              <w:t>39</w:t>
            </w:r>
          </w:p>
        </w:tc>
        <w:tc>
          <w:tcPr>
            <w:tcW w:w="1266" w:type="dxa"/>
            <w:vMerge w:val="restart"/>
            <w:shd w:val="clear" w:color="auto" w:fill="auto"/>
            <w:vAlign w:val="center"/>
          </w:tcPr>
          <w:p w14:paraId="63571B23">
            <w:pPr>
              <w:textAlignment w:val="center"/>
              <w:rPr>
                <w:color w:val="000000"/>
                <w:sz w:val="20"/>
                <w:szCs w:val="20"/>
                <w:highlight w:val="none"/>
              </w:rPr>
            </w:pPr>
            <w:r>
              <w:rPr>
                <w:rFonts w:hint="eastAsia"/>
                <w:color w:val="000000"/>
                <w:sz w:val="20"/>
                <w:szCs w:val="20"/>
                <w:highlight w:val="none"/>
                <w:lang w:bidi="ar"/>
              </w:rPr>
              <w:t>违反规定</w:t>
            </w:r>
            <w:r>
              <w:rPr>
                <w:rFonts w:hint="eastAsia"/>
                <w:b/>
                <w:bCs/>
                <w:color w:val="000000"/>
                <w:sz w:val="20"/>
                <w:szCs w:val="20"/>
                <w:highlight w:val="none"/>
                <w:lang w:bidi="ar"/>
              </w:rPr>
              <w:t>擅自把中标项目或合同转让、转包、分包</w:t>
            </w:r>
          </w:p>
        </w:tc>
        <w:tc>
          <w:tcPr>
            <w:tcW w:w="5484" w:type="dxa"/>
            <w:shd w:val="clear" w:color="auto" w:fill="auto"/>
            <w:vAlign w:val="center"/>
          </w:tcPr>
          <w:p w14:paraId="7B780E8A">
            <w:pPr>
              <w:textAlignment w:val="center"/>
              <w:rPr>
                <w:color w:val="000000"/>
                <w:sz w:val="20"/>
                <w:szCs w:val="20"/>
                <w:highlight w:val="none"/>
              </w:rPr>
            </w:pPr>
            <w:r>
              <w:rPr>
                <w:rFonts w:hint="eastAsia"/>
                <w:color w:val="000000"/>
                <w:sz w:val="20"/>
                <w:szCs w:val="20"/>
                <w:highlight w:val="none"/>
                <w:lang w:bidi="ar"/>
              </w:rPr>
              <w:t>及时更正其违规行为的</w:t>
            </w:r>
          </w:p>
        </w:tc>
        <w:tc>
          <w:tcPr>
            <w:tcW w:w="1281" w:type="dxa"/>
            <w:shd w:val="clear" w:color="auto" w:fill="auto"/>
            <w:vAlign w:val="center"/>
          </w:tcPr>
          <w:p w14:paraId="0FA61EC9">
            <w:pPr>
              <w:textAlignment w:val="center"/>
              <w:rPr>
                <w:color w:val="000000"/>
                <w:sz w:val="20"/>
                <w:szCs w:val="20"/>
                <w:highlight w:val="none"/>
              </w:rPr>
            </w:pPr>
            <w:r>
              <w:rPr>
                <w:rFonts w:hint="eastAsia"/>
                <w:color w:val="000000"/>
                <w:sz w:val="20"/>
                <w:szCs w:val="20"/>
                <w:highlight w:val="none"/>
                <w:lang w:bidi="ar"/>
              </w:rPr>
              <w:t>警告</w:t>
            </w:r>
          </w:p>
        </w:tc>
      </w:tr>
      <w:tr w14:paraId="78DB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14:paraId="7AD00E47">
            <w:pPr>
              <w:jc w:val="center"/>
              <w:textAlignment w:val="center"/>
              <w:rPr>
                <w:color w:val="000000"/>
                <w:sz w:val="20"/>
                <w:szCs w:val="20"/>
                <w:highlight w:val="none"/>
              </w:rPr>
            </w:pPr>
            <w:r>
              <w:rPr>
                <w:rFonts w:hint="eastAsia"/>
                <w:color w:val="000000"/>
                <w:sz w:val="20"/>
                <w:szCs w:val="20"/>
                <w:highlight w:val="none"/>
                <w:lang w:bidi="ar"/>
              </w:rPr>
              <w:t>40</w:t>
            </w:r>
          </w:p>
        </w:tc>
        <w:tc>
          <w:tcPr>
            <w:tcW w:w="1266" w:type="dxa"/>
            <w:vMerge w:val="continue"/>
            <w:shd w:val="clear" w:color="auto" w:fill="auto"/>
            <w:vAlign w:val="center"/>
          </w:tcPr>
          <w:p w14:paraId="0B3CD839">
            <w:pPr>
              <w:rPr>
                <w:color w:val="000000"/>
                <w:sz w:val="20"/>
                <w:szCs w:val="20"/>
                <w:highlight w:val="none"/>
              </w:rPr>
            </w:pPr>
          </w:p>
        </w:tc>
        <w:tc>
          <w:tcPr>
            <w:tcW w:w="5484" w:type="dxa"/>
            <w:shd w:val="clear" w:color="auto" w:fill="auto"/>
            <w:vAlign w:val="center"/>
          </w:tcPr>
          <w:p w14:paraId="3A453E0A">
            <w:pPr>
              <w:textAlignment w:val="center"/>
              <w:rPr>
                <w:color w:val="000000"/>
                <w:sz w:val="20"/>
                <w:szCs w:val="20"/>
                <w:highlight w:val="none"/>
              </w:rPr>
            </w:pPr>
            <w:r>
              <w:rPr>
                <w:rFonts w:hint="eastAsia"/>
                <w:color w:val="000000"/>
                <w:sz w:val="20"/>
                <w:szCs w:val="20"/>
                <w:highlight w:val="none"/>
                <w:lang w:bidi="ar"/>
              </w:rPr>
              <w:t>未及时更正其违规行为的</w:t>
            </w:r>
          </w:p>
        </w:tc>
        <w:tc>
          <w:tcPr>
            <w:tcW w:w="1281" w:type="dxa"/>
            <w:shd w:val="clear" w:color="auto" w:fill="auto"/>
            <w:vAlign w:val="center"/>
          </w:tcPr>
          <w:p w14:paraId="36C52760">
            <w:pPr>
              <w:textAlignment w:val="center"/>
              <w:rPr>
                <w:color w:val="000000"/>
                <w:sz w:val="20"/>
                <w:szCs w:val="20"/>
                <w:highlight w:val="none"/>
              </w:rPr>
            </w:pPr>
            <w:r>
              <w:rPr>
                <w:rFonts w:hint="eastAsia"/>
                <w:color w:val="000000"/>
                <w:sz w:val="20"/>
                <w:szCs w:val="20"/>
                <w:highlight w:val="none"/>
                <w:lang w:bidi="ar"/>
              </w:rPr>
              <w:t>禁用一年</w:t>
            </w:r>
          </w:p>
        </w:tc>
      </w:tr>
      <w:tr w14:paraId="6A8F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14:paraId="42D6F704">
            <w:pPr>
              <w:jc w:val="center"/>
              <w:textAlignment w:val="center"/>
              <w:rPr>
                <w:color w:val="000000"/>
                <w:sz w:val="20"/>
                <w:szCs w:val="20"/>
                <w:highlight w:val="none"/>
              </w:rPr>
            </w:pPr>
            <w:r>
              <w:rPr>
                <w:rFonts w:hint="eastAsia"/>
                <w:color w:val="000000"/>
                <w:sz w:val="20"/>
                <w:szCs w:val="20"/>
                <w:highlight w:val="none"/>
                <w:lang w:bidi="ar"/>
              </w:rPr>
              <w:t>41</w:t>
            </w:r>
          </w:p>
        </w:tc>
        <w:tc>
          <w:tcPr>
            <w:tcW w:w="1266" w:type="dxa"/>
            <w:vMerge w:val="continue"/>
            <w:shd w:val="clear" w:color="auto" w:fill="auto"/>
            <w:vAlign w:val="center"/>
          </w:tcPr>
          <w:p w14:paraId="7704E8FE">
            <w:pPr>
              <w:rPr>
                <w:color w:val="000000"/>
                <w:sz w:val="20"/>
                <w:szCs w:val="20"/>
                <w:highlight w:val="none"/>
              </w:rPr>
            </w:pPr>
          </w:p>
        </w:tc>
        <w:tc>
          <w:tcPr>
            <w:tcW w:w="5484" w:type="dxa"/>
            <w:shd w:val="clear" w:color="auto" w:fill="auto"/>
            <w:vAlign w:val="center"/>
          </w:tcPr>
          <w:p w14:paraId="5B67C333">
            <w:pPr>
              <w:textAlignment w:val="center"/>
              <w:rPr>
                <w:color w:val="000000"/>
                <w:sz w:val="20"/>
                <w:szCs w:val="20"/>
                <w:highlight w:val="none"/>
              </w:rPr>
            </w:pPr>
            <w:r>
              <w:rPr>
                <w:rFonts w:hint="eastAsia"/>
                <w:color w:val="000000"/>
                <w:sz w:val="20"/>
                <w:szCs w:val="20"/>
                <w:highlight w:val="none"/>
                <w:lang w:bidi="ar"/>
              </w:rPr>
              <w:t>拒绝更正其违规行为的</w:t>
            </w:r>
          </w:p>
        </w:tc>
        <w:tc>
          <w:tcPr>
            <w:tcW w:w="1281" w:type="dxa"/>
            <w:shd w:val="clear" w:color="auto" w:fill="auto"/>
            <w:vAlign w:val="center"/>
          </w:tcPr>
          <w:p w14:paraId="51FE01CE">
            <w:pPr>
              <w:textAlignment w:val="center"/>
              <w:rPr>
                <w:color w:val="000000"/>
                <w:sz w:val="20"/>
                <w:szCs w:val="20"/>
                <w:highlight w:val="none"/>
              </w:rPr>
            </w:pPr>
            <w:r>
              <w:rPr>
                <w:rFonts w:hint="eastAsia"/>
                <w:b/>
                <w:bCs/>
                <w:color w:val="000000"/>
                <w:sz w:val="20"/>
                <w:szCs w:val="20"/>
                <w:highlight w:val="none"/>
                <w:lang w:bidi="ar"/>
              </w:rPr>
              <w:t>长期禁用</w:t>
            </w:r>
          </w:p>
        </w:tc>
      </w:tr>
      <w:tr w14:paraId="3246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14:paraId="146F2B46">
            <w:pPr>
              <w:jc w:val="center"/>
              <w:textAlignment w:val="center"/>
              <w:rPr>
                <w:color w:val="000000"/>
                <w:sz w:val="20"/>
                <w:szCs w:val="20"/>
                <w:highlight w:val="none"/>
              </w:rPr>
            </w:pPr>
            <w:r>
              <w:rPr>
                <w:rFonts w:hint="eastAsia"/>
                <w:color w:val="000000"/>
                <w:sz w:val="20"/>
                <w:szCs w:val="20"/>
                <w:highlight w:val="none"/>
                <w:lang w:bidi="ar"/>
              </w:rPr>
              <w:t>42</w:t>
            </w:r>
          </w:p>
        </w:tc>
        <w:tc>
          <w:tcPr>
            <w:tcW w:w="1266" w:type="dxa"/>
            <w:vMerge w:val="restart"/>
            <w:shd w:val="clear" w:color="auto" w:fill="auto"/>
            <w:vAlign w:val="center"/>
          </w:tcPr>
          <w:p w14:paraId="16D53C0C">
            <w:pPr>
              <w:textAlignment w:val="center"/>
              <w:rPr>
                <w:color w:val="000000"/>
                <w:sz w:val="20"/>
                <w:szCs w:val="20"/>
                <w:highlight w:val="none"/>
              </w:rPr>
            </w:pPr>
            <w:r>
              <w:rPr>
                <w:rFonts w:hint="eastAsia"/>
                <w:color w:val="000000"/>
                <w:sz w:val="20"/>
                <w:szCs w:val="20"/>
                <w:highlight w:val="none"/>
                <w:lang w:bidi="ar"/>
              </w:rPr>
              <w:t>未经同意拖延交工、交货日期，</w:t>
            </w:r>
            <w:r>
              <w:rPr>
                <w:rFonts w:hint="eastAsia"/>
                <w:b/>
                <w:bCs/>
                <w:color w:val="000000"/>
                <w:sz w:val="20"/>
                <w:szCs w:val="20"/>
                <w:highlight w:val="none"/>
                <w:lang w:bidi="ar"/>
              </w:rPr>
              <w:t>延缓执行合同的期限</w:t>
            </w:r>
          </w:p>
        </w:tc>
        <w:tc>
          <w:tcPr>
            <w:tcW w:w="5484" w:type="dxa"/>
            <w:shd w:val="clear" w:color="auto" w:fill="auto"/>
            <w:vAlign w:val="center"/>
          </w:tcPr>
          <w:p w14:paraId="14CD487F">
            <w:pPr>
              <w:textAlignment w:val="center"/>
              <w:rPr>
                <w:color w:val="000000"/>
                <w:sz w:val="20"/>
                <w:szCs w:val="20"/>
                <w:highlight w:val="none"/>
              </w:rPr>
            </w:pPr>
            <w:r>
              <w:rPr>
                <w:rFonts w:hint="eastAsia"/>
                <w:color w:val="000000"/>
                <w:sz w:val="20"/>
                <w:szCs w:val="20"/>
                <w:highlight w:val="none"/>
                <w:lang w:bidi="ar"/>
              </w:rPr>
              <w:t>未造成严重影响且愿意协商解决或</w:t>
            </w:r>
            <w:r>
              <w:rPr>
                <w:rFonts w:hint="eastAsia"/>
                <w:b/>
                <w:bCs/>
                <w:color w:val="000000"/>
                <w:sz w:val="20"/>
                <w:szCs w:val="20"/>
                <w:highlight w:val="none"/>
                <w:lang w:bidi="ar"/>
              </w:rPr>
              <w:t>承担赔偿责任的</w:t>
            </w:r>
          </w:p>
        </w:tc>
        <w:tc>
          <w:tcPr>
            <w:tcW w:w="1281" w:type="dxa"/>
            <w:shd w:val="clear" w:color="auto" w:fill="auto"/>
            <w:vAlign w:val="center"/>
          </w:tcPr>
          <w:p w14:paraId="0781E03F">
            <w:pPr>
              <w:textAlignment w:val="center"/>
              <w:rPr>
                <w:color w:val="000000"/>
                <w:sz w:val="20"/>
                <w:szCs w:val="20"/>
                <w:highlight w:val="none"/>
              </w:rPr>
            </w:pPr>
            <w:r>
              <w:rPr>
                <w:rFonts w:hint="eastAsia"/>
                <w:color w:val="000000"/>
                <w:sz w:val="20"/>
                <w:szCs w:val="20"/>
                <w:highlight w:val="none"/>
                <w:lang w:bidi="ar"/>
              </w:rPr>
              <w:t>依据合同条款进行处理，合同条款中未做约定的，可以不予处理。</w:t>
            </w:r>
          </w:p>
        </w:tc>
      </w:tr>
      <w:tr w14:paraId="430F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14:paraId="2C1730FB">
            <w:pPr>
              <w:jc w:val="center"/>
              <w:textAlignment w:val="center"/>
              <w:rPr>
                <w:color w:val="000000"/>
                <w:sz w:val="20"/>
                <w:szCs w:val="20"/>
                <w:highlight w:val="none"/>
              </w:rPr>
            </w:pPr>
            <w:r>
              <w:rPr>
                <w:rFonts w:hint="eastAsia"/>
                <w:color w:val="000000"/>
                <w:sz w:val="20"/>
                <w:szCs w:val="20"/>
                <w:highlight w:val="none"/>
                <w:lang w:bidi="ar"/>
              </w:rPr>
              <w:t>43</w:t>
            </w:r>
          </w:p>
        </w:tc>
        <w:tc>
          <w:tcPr>
            <w:tcW w:w="1266" w:type="dxa"/>
            <w:vMerge w:val="continue"/>
            <w:shd w:val="clear" w:color="auto" w:fill="auto"/>
            <w:vAlign w:val="center"/>
          </w:tcPr>
          <w:p w14:paraId="6912FDE4">
            <w:pPr>
              <w:rPr>
                <w:color w:val="000000"/>
                <w:sz w:val="20"/>
                <w:szCs w:val="20"/>
                <w:highlight w:val="none"/>
              </w:rPr>
            </w:pPr>
          </w:p>
        </w:tc>
        <w:tc>
          <w:tcPr>
            <w:tcW w:w="5484" w:type="dxa"/>
            <w:shd w:val="clear" w:color="auto" w:fill="auto"/>
            <w:vAlign w:val="center"/>
          </w:tcPr>
          <w:p w14:paraId="2ABBE240">
            <w:pPr>
              <w:textAlignment w:val="center"/>
              <w:rPr>
                <w:color w:val="000000"/>
                <w:sz w:val="20"/>
                <w:szCs w:val="20"/>
                <w:highlight w:val="none"/>
              </w:rPr>
            </w:pPr>
            <w:r>
              <w:rPr>
                <w:rFonts w:hint="eastAsia"/>
                <w:color w:val="000000"/>
                <w:sz w:val="20"/>
                <w:szCs w:val="20"/>
                <w:highlight w:val="none"/>
                <w:lang w:bidi="ar"/>
              </w:rPr>
              <w:t>造成实质影响但愿意协商解决的，根据影响程度</w:t>
            </w:r>
          </w:p>
        </w:tc>
        <w:tc>
          <w:tcPr>
            <w:tcW w:w="1281" w:type="dxa"/>
            <w:shd w:val="clear" w:color="auto" w:fill="auto"/>
            <w:vAlign w:val="center"/>
          </w:tcPr>
          <w:p w14:paraId="2C56DCD2">
            <w:pPr>
              <w:textAlignment w:val="center"/>
              <w:rPr>
                <w:color w:val="000000"/>
                <w:sz w:val="20"/>
                <w:szCs w:val="20"/>
                <w:highlight w:val="none"/>
              </w:rPr>
            </w:pPr>
            <w:r>
              <w:rPr>
                <w:rFonts w:hint="eastAsia"/>
                <w:color w:val="000000"/>
                <w:sz w:val="20"/>
                <w:szCs w:val="20"/>
                <w:highlight w:val="none"/>
                <w:lang w:bidi="ar"/>
              </w:rPr>
              <w:t>对供应商给予</w:t>
            </w:r>
            <w:r>
              <w:rPr>
                <w:rFonts w:hint="eastAsia"/>
                <w:b/>
                <w:bCs/>
                <w:color w:val="000000"/>
                <w:sz w:val="20"/>
                <w:szCs w:val="20"/>
                <w:highlight w:val="none"/>
                <w:lang w:bidi="ar"/>
              </w:rPr>
              <w:t>禁用一年至禁用两年”处理</w:t>
            </w:r>
          </w:p>
        </w:tc>
      </w:tr>
      <w:tr w14:paraId="17E9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14:paraId="3B8F333B">
            <w:pPr>
              <w:jc w:val="center"/>
              <w:textAlignment w:val="center"/>
              <w:rPr>
                <w:color w:val="000000"/>
                <w:sz w:val="20"/>
                <w:szCs w:val="20"/>
                <w:highlight w:val="none"/>
              </w:rPr>
            </w:pPr>
            <w:r>
              <w:rPr>
                <w:rFonts w:hint="eastAsia"/>
                <w:color w:val="000000"/>
                <w:sz w:val="20"/>
                <w:szCs w:val="20"/>
                <w:highlight w:val="none"/>
                <w:lang w:bidi="ar"/>
              </w:rPr>
              <w:t>44</w:t>
            </w:r>
          </w:p>
        </w:tc>
        <w:tc>
          <w:tcPr>
            <w:tcW w:w="1266" w:type="dxa"/>
            <w:vMerge w:val="continue"/>
            <w:shd w:val="clear" w:color="auto" w:fill="auto"/>
            <w:vAlign w:val="center"/>
          </w:tcPr>
          <w:p w14:paraId="2446E974">
            <w:pPr>
              <w:rPr>
                <w:color w:val="000000"/>
                <w:sz w:val="20"/>
                <w:szCs w:val="20"/>
                <w:highlight w:val="none"/>
              </w:rPr>
            </w:pPr>
          </w:p>
        </w:tc>
        <w:tc>
          <w:tcPr>
            <w:tcW w:w="5484" w:type="dxa"/>
            <w:shd w:val="clear" w:color="auto" w:fill="auto"/>
            <w:vAlign w:val="center"/>
          </w:tcPr>
          <w:p w14:paraId="11C000B4">
            <w:pPr>
              <w:textAlignment w:val="center"/>
              <w:rPr>
                <w:color w:val="000000"/>
                <w:sz w:val="20"/>
                <w:szCs w:val="20"/>
                <w:highlight w:val="none"/>
              </w:rPr>
            </w:pPr>
            <w:r>
              <w:rPr>
                <w:rFonts w:hint="eastAsia"/>
                <w:color w:val="000000"/>
                <w:sz w:val="20"/>
                <w:szCs w:val="20"/>
                <w:highlight w:val="none"/>
                <w:lang w:bidi="ar"/>
              </w:rPr>
              <w:t>造成较重或严重影响且拒绝协商解决的</w:t>
            </w:r>
          </w:p>
        </w:tc>
        <w:tc>
          <w:tcPr>
            <w:tcW w:w="1281" w:type="dxa"/>
            <w:shd w:val="clear" w:color="auto" w:fill="auto"/>
            <w:vAlign w:val="center"/>
          </w:tcPr>
          <w:p w14:paraId="73464E93">
            <w:pPr>
              <w:textAlignment w:val="center"/>
              <w:rPr>
                <w:color w:val="000000"/>
                <w:sz w:val="20"/>
                <w:szCs w:val="20"/>
                <w:highlight w:val="none"/>
              </w:rPr>
            </w:pPr>
            <w:r>
              <w:rPr>
                <w:rFonts w:hint="eastAsia"/>
                <w:color w:val="000000"/>
                <w:sz w:val="20"/>
                <w:szCs w:val="20"/>
                <w:highlight w:val="none"/>
                <w:lang w:bidi="ar"/>
              </w:rPr>
              <w:t>长期禁用</w:t>
            </w:r>
          </w:p>
        </w:tc>
      </w:tr>
      <w:tr w14:paraId="4A80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14:paraId="5241EFF4">
            <w:pPr>
              <w:jc w:val="center"/>
              <w:textAlignment w:val="center"/>
              <w:rPr>
                <w:color w:val="000000"/>
                <w:sz w:val="20"/>
                <w:szCs w:val="20"/>
                <w:highlight w:val="none"/>
              </w:rPr>
            </w:pPr>
            <w:r>
              <w:rPr>
                <w:rFonts w:hint="eastAsia"/>
                <w:color w:val="000000"/>
                <w:sz w:val="20"/>
                <w:szCs w:val="20"/>
                <w:highlight w:val="none"/>
                <w:lang w:bidi="ar"/>
              </w:rPr>
              <w:t>45</w:t>
            </w:r>
          </w:p>
        </w:tc>
        <w:tc>
          <w:tcPr>
            <w:tcW w:w="1266" w:type="dxa"/>
            <w:shd w:val="clear" w:color="auto" w:fill="auto"/>
            <w:vAlign w:val="center"/>
          </w:tcPr>
          <w:p w14:paraId="079175D1">
            <w:pPr>
              <w:textAlignment w:val="center"/>
              <w:rPr>
                <w:color w:val="000000"/>
                <w:sz w:val="20"/>
                <w:szCs w:val="20"/>
                <w:highlight w:val="none"/>
              </w:rPr>
            </w:pPr>
            <w:r>
              <w:rPr>
                <w:rFonts w:hint="eastAsia"/>
                <w:b/>
                <w:bCs/>
                <w:color w:val="000000"/>
                <w:sz w:val="20"/>
                <w:szCs w:val="20"/>
                <w:highlight w:val="none"/>
                <w:lang w:bidi="ar"/>
              </w:rPr>
              <w:t>拒绝履行售后义务</w:t>
            </w:r>
          </w:p>
        </w:tc>
        <w:tc>
          <w:tcPr>
            <w:tcW w:w="5484" w:type="dxa"/>
            <w:shd w:val="clear" w:color="auto" w:fill="auto"/>
            <w:vAlign w:val="center"/>
          </w:tcPr>
          <w:p w14:paraId="590CCCAD">
            <w:pPr>
              <w:textAlignment w:val="center"/>
              <w:rPr>
                <w:color w:val="000000"/>
                <w:sz w:val="20"/>
                <w:szCs w:val="20"/>
                <w:highlight w:val="none"/>
              </w:rPr>
            </w:pPr>
            <w:r>
              <w:rPr>
                <w:rFonts w:hint="eastAsia"/>
                <w:color w:val="000000"/>
                <w:sz w:val="20"/>
                <w:szCs w:val="20"/>
                <w:highlight w:val="none"/>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14:paraId="4538C0E3">
            <w:pPr>
              <w:textAlignment w:val="center"/>
              <w:rPr>
                <w:color w:val="000000"/>
                <w:sz w:val="20"/>
                <w:szCs w:val="20"/>
                <w:highlight w:val="none"/>
              </w:rPr>
            </w:pPr>
            <w:r>
              <w:rPr>
                <w:rFonts w:hint="eastAsia"/>
                <w:color w:val="000000"/>
                <w:sz w:val="20"/>
                <w:szCs w:val="20"/>
                <w:highlight w:val="none"/>
                <w:lang w:bidi="ar"/>
              </w:rPr>
              <w:t>长期禁用</w:t>
            </w:r>
          </w:p>
        </w:tc>
      </w:tr>
      <w:tr w14:paraId="49CB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14:paraId="25BE1267">
            <w:pPr>
              <w:jc w:val="center"/>
              <w:textAlignment w:val="center"/>
              <w:rPr>
                <w:color w:val="000000"/>
                <w:sz w:val="20"/>
                <w:szCs w:val="20"/>
                <w:highlight w:val="none"/>
              </w:rPr>
            </w:pPr>
            <w:r>
              <w:rPr>
                <w:rFonts w:hint="eastAsia"/>
                <w:color w:val="000000"/>
                <w:sz w:val="20"/>
                <w:szCs w:val="20"/>
                <w:highlight w:val="none"/>
                <w:lang w:bidi="ar"/>
              </w:rPr>
              <w:t>46</w:t>
            </w:r>
          </w:p>
        </w:tc>
        <w:tc>
          <w:tcPr>
            <w:tcW w:w="1266" w:type="dxa"/>
            <w:shd w:val="clear" w:color="auto" w:fill="auto"/>
            <w:vAlign w:val="center"/>
          </w:tcPr>
          <w:p w14:paraId="17186459">
            <w:pPr>
              <w:textAlignment w:val="center"/>
              <w:rPr>
                <w:color w:val="000000"/>
                <w:sz w:val="20"/>
                <w:szCs w:val="20"/>
                <w:highlight w:val="none"/>
              </w:rPr>
            </w:pPr>
            <w:r>
              <w:rPr>
                <w:rFonts w:hint="eastAsia"/>
                <w:b/>
                <w:bCs/>
                <w:color w:val="000000"/>
                <w:sz w:val="20"/>
                <w:szCs w:val="20"/>
                <w:highlight w:val="none"/>
                <w:lang w:bidi="ar"/>
              </w:rPr>
              <w:t>拒不配合</w:t>
            </w:r>
          </w:p>
        </w:tc>
        <w:tc>
          <w:tcPr>
            <w:tcW w:w="5484" w:type="dxa"/>
            <w:shd w:val="clear" w:color="auto" w:fill="auto"/>
            <w:vAlign w:val="center"/>
          </w:tcPr>
          <w:p w14:paraId="4606E44A">
            <w:pPr>
              <w:textAlignment w:val="center"/>
              <w:rPr>
                <w:color w:val="000000"/>
                <w:sz w:val="20"/>
                <w:szCs w:val="20"/>
                <w:highlight w:val="none"/>
              </w:rPr>
            </w:pPr>
            <w:r>
              <w:rPr>
                <w:rFonts w:hint="eastAsia"/>
                <w:color w:val="000000"/>
                <w:sz w:val="20"/>
                <w:szCs w:val="20"/>
                <w:highlight w:val="none"/>
                <w:lang w:bidi="ar"/>
              </w:rPr>
              <w:t>拒绝中国海油管理部门的监督检查或不如实反映情况、提供材料的</w:t>
            </w:r>
          </w:p>
        </w:tc>
        <w:tc>
          <w:tcPr>
            <w:tcW w:w="1281" w:type="dxa"/>
            <w:shd w:val="clear" w:color="auto" w:fill="auto"/>
            <w:vAlign w:val="center"/>
          </w:tcPr>
          <w:p w14:paraId="23AC0D17">
            <w:pPr>
              <w:textAlignment w:val="center"/>
              <w:rPr>
                <w:color w:val="000000"/>
                <w:sz w:val="20"/>
                <w:szCs w:val="20"/>
                <w:highlight w:val="none"/>
              </w:rPr>
            </w:pPr>
            <w:r>
              <w:rPr>
                <w:rFonts w:hint="eastAsia"/>
                <w:color w:val="000000"/>
                <w:sz w:val="20"/>
                <w:szCs w:val="20"/>
                <w:highlight w:val="none"/>
                <w:lang w:bidi="ar"/>
              </w:rPr>
              <w:t>禁用两年</w:t>
            </w:r>
          </w:p>
        </w:tc>
      </w:tr>
      <w:tr w14:paraId="10B6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14:paraId="69623F9F">
            <w:pPr>
              <w:jc w:val="center"/>
              <w:textAlignment w:val="center"/>
              <w:rPr>
                <w:color w:val="000000"/>
                <w:sz w:val="20"/>
                <w:szCs w:val="20"/>
                <w:highlight w:val="none"/>
              </w:rPr>
            </w:pPr>
            <w:r>
              <w:rPr>
                <w:rFonts w:hint="eastAsia"/>
                <w:color w:val="000000"/>
                <w:sz w:val="20"/>
                <w:szCs w:val="20"/>
                <w:highlight w:val="none"/>
                <w:lang w:bidi="ar"/>
              </w:rPr>
              <w:t>47</w:t>
            </w:r>
          </w:p>
        </w:tc>
        <w:tc>
          <w:tcPr>
            <w:tcW w:w="1266" w:type="dxa"/>
            <w:shd w:val="clear" w:color="auto" w:fill="auto"/>
            <w:vAlign w:val="center"/>
          </w:tcPr>
          <w:p w14:paraId="77106F78">
            <w:pPr>
              <w:textAlignment w:val="center"/>
              <w:rPr>
                <w:color w:val="000000"/>
                <w:sz w:val="20"/>
                <w:szCs w:val="20"/>
                <w:highlight w:val="none"/>
              </w:rPr>
            </w:pPr>
            <w:r>
              <w:rPr>
                <w:rFonts w:hint="eastAsia"/>
                <w:b/>
                <w:bCs/>
                <w:color w:val="000000"/>
                <w:sz w:val="20"/>
                <w:szCs w:val="20"/>
                <w:highlight w:val="none"/>
                <w:lang w:bidi="ar"/>
              </w:rPr>
              <w:t>行贿</w:t>
            </w:r>
          </w:p>
        </w:tc>
        <w:tc>
          <w:tcPr>
            <w:tcW w:w="5484" w:type="dxa"/>
            <w:shd w:val="clear" w:color="auto" w:fill="auto"/>
            <w:vAlign w:val="center"/>
          </w:tcPr>
          <w:p w14:paraId="4319C09A">
            <w:pPr>
              <w:textAlignment w:val="center"/>
              <w:rPr>
                <w:color w:val="000000"/>
                <w:sz w:val="20"/>
                <w:szCs w:val="20"/>
                <w:highlight w:val="none"/>
              </w:rPr>
            </w:pPr>
            <w:r>
              <w:rPr>
                <w:rFonts w:hint="eastAsia"/>
                <w:color w:val="000000"/>
                <w:sz w:val="20"/>
                <w:szCs w:val="20"/>
                <w:highlight w:val="none"/>
                <w:lang w:bidi="ar"/>
              </w:rPr>
              <w:t>向采购交易所涉及的相关方或能产生实际影响的相关方行贿,行贿判定的依据为检察院或法院书面判定</w:t>
            </w:r>
          </w:p>
        </w:tc>
        <w:tc>
          <w:tcPr>
            <w:tcW w:w="1281" w:type="dxa"/>
            <w:shd w:val="clear" w:color="auto" w:fill="auto"/>
            <w:vAlign w:val="center"/>
          </w:tcPr>
          <w:p w14:paraId="6895D228">
            <w:pPr>
              <w:textAlignment w:val="center"/>
              <w:rPr>
                <w:color w:val="000000"/>
                <w:sz w:val="20"/>
                <w:szCs w:val="20"/>
                <w:highlight w:val="none"/>
              </w:rPr>
            </w:pPr>
            <w:r>
              <w:rPr>
                <w:rFonts w:hint="eastAsia"/>
                <w:color w:val="000000"/>
                <w:sz w:val="20"/>
                <w:szCs w:val="20"/>
                <w:highlight w:val="none"/>
                <w:lang w:bidi="ar"/>
              </w:rPr>
              <w:t>长期禁用</w:t>
            </w:r>
          </w:p>
        </w:tc>
      </w:tr>
      <w:tr w14:paraId="6298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14:paraId="638CB133">
            <w:pPr>
              <w:jc w:val="center"/>
              <w:textAlignment w:val="center"/>
              <w:rPr>
                <w:color w:val="000000"/>
                <w:sz w:val="20"/>
                <w:szCs w:val="20"/>
                <w:highlight w:val="none"/>
              </w:rPr>
            </w:pPr>
            <w:r>
              <w:rPr>
                <w:rFonts w:hint="eastAsia"/>
                <w:color w:val="000000"/>
                <w:sz w:val="20"/>
                <w:szCs w:val="20"/>
                <w:highlight w:val="none"/>
                <w:lang w:bidi="ar"/>
              </w:rPr>
              <w:t>48</w:t>
            </w:r>
          </w:p>
        </w:tc>
        <w:tc>
          <w:tcPr>
            <w:tcW w:w="1266" w:type="dxa"/>
            <w:shd w:val="clear" w:color="auto" w:fill="auto"/>
            <w:vAlign w:val="center"/>
          </w:tcPr>
          <w:p w14:paraId="182BD2A3">
            <w:pPr>
              <w:textAlignment w:val="center"/>
              <w:rPr>
                <w:color w:val="000000"/>
                <w:sz w:val="20"/>
                <w:szCs w:val="20"/>
                <w:highlight w:val="none"/>
              </w:rPr>
            </w:pPr>
            <w:r>
              <w:rPr>
                <w:rFonts w:hint="eastAsia"/>
                <w:color w:val="000000"/>
                <w:sz w:val="20"/>
                <w:szCs w:val="20"/>
                <w:highlight w:val="none"/>
                <w:lang w:bidi="ar"/>
              </w:rPr>
              <w:t>使用禁用供应商</w:t>
            </w:r>
          </w:p>
        </w:tc>
        <w:tc>
          <w:tcPr>
            <w:tcW w:w="5484" w:type="dxa"/>
            <w:shd w:val="clear" w:color="auto" w:fill="auto"/>
            <w:vAlign w:val="center"/>
          </w:tcPr>
          <w:p w14:paraId="6AF88E88">
            <w:pPr>
              <w:textAlignment w:val="center"/>
              <w:rPr>
                <w:color w:val="000000"/>
                <w:sz w:val="20"/>
                <w:szCs w:val="20"/>
                <w:highlight w:val="none"/>
              </w:rPr>
            </w:pPr>
            <w:r>
              <w:rPr>
                <w:rFonts w:hint="eastAsia"/>
                <w:color w:val="000000"/>
                <w:sz w:val="20"/>
                <w:szCs w:val="20"/>
                <w:highlight w:val="none"/>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14:paraId="7F51FB41">
            <w:pPr>
              <w:textAlignment w:val="center"/>
              <w:rPr>
                <w:color w:val="000000"/>
                <w:sz w:val="20"/>
                <w:szCs w:val="20"/>
                <w:highlight w:val="none"/>
              </w:rPr>
            </w:pPr>
            <w:r>
              <w:rPr>
                <w:rFonts w:hint="eastAsia"/>
                <w:b/>
                <w:bCs/>
                <w:color w:val="000000"/>
                <w:sz w:val="20"/>
                <w:szCs w:val="20"/>
                <w:highlight w:val="none"/>
                <w:lang w:bidi="ar"/>
              </w:rPr>
              <w:t>禁用一年</w:t>
            </w:r>
          </w:p>
        </w:tc>
      </w:tr>
      <w:tr w14:paraId="4D56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14:paraId="5153F563">
            <w:pPr>
              <w:jc w:val="center"/>
              <w:textAlignment w:val="center"/>
              <w:rPr>
                <w:color w:val="000000"/>
                <w:sz w:val="20"/>
                <w:szCs w:val="20"/>
                <w:highlight w:val="none"/>
              </w:rPr>
            </w:pPr>
            <w:r>
              <w:rPr>
                <w:rFonts w:hint="eastAsia"/>
                <w:color w:val="000000"/>
                <w:sz w:val="20"/>
                <w:szCs w:val="20"/>
                <w:highlight w:val="none"/>
                <w:lang w:bidi="ar"/>
              </w:rPr>
              <w:t>49</w:t>
            </w:r>
          </w:p>
        </w:tc>
        <w:tc>
          <w:tcPr>
            <w:tcW w:w="1266" w:type="dxa"/>
            <w:vMerge w:val="restart"/>
            <w:shd w:val="clear" w:color="auto" w:fill="auto"/>
            <w:vAlign w:val="center"/>
          </w:tcPr>
          <w:p w14:paraId="2F15E012">
            <w:pPr>
              <w:textAlignment w:val="center"/>
              <w:rPr>
                <w:color w:val="000000"/>
                <w:sz w:val="20"/>
                <w:szCs w:val="20"/>
                <w:highlight w:val="none"/>
              </w:rPr>
            </w:pPr>
            <w:r>
              <w:rPr>
                <w:rFonts w:hint="eastAsia"/>
                <w:color w:val="000000"/>
                <w:sz w:val="20"/>
                <w:szCs w:val="20"/>
                <w:highlight w:val="none"/>
                <w:lang w:bidi="ar"/>
              </w:rPr>
              <w:t>未经许可，对外</w:t>
            </w:r>
            <w:r>
              <w:rPr>
                <w:rFonts w:hint="eastAsia"/>
                <w:b/>
                <w:bCs/>
                <w:color w:val="000000"/>
                <w:sz w:val="20"/>
                <w:szCs w:val="20"/>
                <w:highlight w:val="none"/>
                <w:lang w:bidi="ar"/>
              </w:rPr>
              <w:t>披露中国海油商业秘密</w:t>
            </w:r>
            <w:r>
              <w:rPr>
                <w:rFonts w:hint="eastAsia"/>
                <w:color w:val="000000"/>
                <w:sz w:val="20"/>
                <w:szCs w:val="20"/>
                <w:highlight w:val="none"/>
                <w:lang w:bidi="ar"/>
              </w:rPr>
              <w:t>信息的</w:t>
            </w:r>
          </w:p>
        </w:tc>
        <w:tc>
          <w:tcPr>
            <w:tcW w:w="5484" w:type="dxa"/>
            <w:shd w:val="clear" w:color="auto" w:fill="auto"/>
            <w:vAlign w:val="center"/>
          </w:tcPr>
          <w:p w14:paraId="4381B3B2">
            <w:pPr>
              <w:textAlignment w:val="center"/>
              <w:rPr>
                <w:color w:val="000000"/>
                <w:sz w:val="20"/>
                <w:szCs w:val="20"/>
                <w:highlight w:val="none"/>
              </w:rPr>
            </w:pPr>
            <w:r>
              <w:rPr>
                <w:rFonts w:hint="eastAsia"/>
                <w:color w:val="000000"/>
                <w:sz w:val="20"/>
                <w:szCs w:val="20"/>
                <w:highlight w:val="none"/>
                <w:lang w:bidi="ar"/>
              </w:rPr>
              <w:t>未造成经济损失或名誉损失的</w:t>
            </w:r>
          </w:p>
        </w:tc>
        <w:tc>
          <w:tcPr>
            <w:tcW w:w="1281" w:type="dxa"/>
            <w:shd w:val="clear" w:color="auto" w:fill="auto"/>
            <w:vAlign w:val="center"/>
          </w:tcPr>
          <w:p w14:paraId="3EE7912B">
            <w:pPr>
              <w:textAlignment w:val="center"/>
              <w:rPr>
                <w:color w:val="000000"/>
                <w:sz w:val="20"/>
                <w:szCs w:val="20"/>
                <w:highlight w:val="none"/>
              </w:rPr>
            </w:pPr>
            <w:r>
              <w:rPr>
                <w:rFonts w:hint="eastAsia"/>
                <w:color w:val="000000"/>
                <w:sz w:val="20"/>
                <w:szCs w:val="20"/>
                <w:highlight w:val="none"/>
                <w:lang w:bidi="ar"/>
              </w:rPr>
              <w:t>禁用一年</w:t>
            </w:r>
          </w:p>
        </w:tc>
      </w:tr>
      <w:tr w14:paraId="0363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14:paraId="11DEF0A2">
            <w:pPr>
              <w:jc w:val="center"/>
              <w:textAlignment w:val="center"/>
              <w:rPr>
                <w:color w:val="000000"/>
                <w:sz w:val="20"/>
                <w:szCs w:val="20"/>
                <w:highlight w:val="none"/>
              </w:rPr>
            </w:pPr>
            <w:r>
              <w:rPr>
                <w:rFonts w:hint="eastAsia"/>
                <w:color w:val="000000"/>
                <w:sz w:val="20"/>
                <w:szCs w:val="20"/>
                <w:highlight w:val="none"/>
                <w:lang w:bidi="ar"/>
              </w:rPr>
              <w:t>50</w:t>
            </w:r>
          </w:p>
        </w:tc>
        <w:tc>
          <w:tcPr>
            <w:tcW w:w="1266" w:type="dxa"/>
            <w:vMerge w:val="continue"/>
            <w:shd w:val="clear" w:color="auto" w:fill="auto"/>
            <w:vAlign w:val="center"/>
          </w:tcPr>
          <w:p w14:paraId="16A2E310">
            <w:pPr>
              <w:rPr>
                <w:color w:val="000000"/>
                <w:sz w:val="20"/>
                <w:szCs w:val="20"/>
                <w:highlight w:val="none"/>
              </w:rPr>
            </w:pPr>
          </w:p>
        </w:tc>
        <w:tc>
          <w:tcPr>
            <w:tcW w:w="5484" w:type="dxa"/>
            <w:shd w:val="clear" w:color="auto" w:fill="auto"/>
            <w:vAlign w:val="center"/>
          </w:tcPr>
          <w:p w14:paraId="1A32D368">
            <w:pPr>
              <w:textAlignment w:val="center"/>
              <w:rPr>
                <w:color w:val="000000"/>
                <w:sz w:val="20"/>
                <w:szCs w:val="20"/>
                <w:highlight w:val="none"/>
              </w:rPr>
            </w:pPr>
            <w:r>
              <w:rPr>
                <w:rFonts w:hint="eastAsia"/>
                <w:color w:val="000000"/>
                <w:sz w:val="20"/>
                <w:szCs w:val="20"/>
                <w:highlight w:val="none"/>
                <w:lang w:bidi="ar"/>
              </w:rPr>
              <w:t>造成经济损失或名誉损失的</w:t>
            </w:r>
          </w:p>
        </w:tc>
        <w:tc>
          <w:tcPr>
            <w:tcW w:w="1281" w:type="dxa"/>
            <w:shd w:val="clear" w:color="auto" w:fill="auto"/>
            <w:vAlign w:val="center"/>
          </w:tcPr>
          <w:p w14:paraId="74DCC571">
            <w:pPr>
              <w:textAlignment w:val="center"/>
              <w:rPr>
                <w:color w:val="000000"/>
                <w:sz w:val="20"/>
                <w:szCs w:val="20"/>
                <w:highlight w:val="none"/>
              </w:rPr>
            </w:pPr>
            <w:r>
              <w:rPr>
                <w:rFonts w:hint="eastAsia"/>
                <w:b/>
                <w:bCs/>
                <w:color w:val="000000"/>
                <w:sz w:val="20"/>
                <w:szCs w:val="20"/>
                <w:highlight w:val="none"/>
                <w:lang w:bidi="ar"/>
              </w:rPr>
              <w:t>长期禁用</w:t>
            </w:r>
          </w:p>
        </w:tc>
      </w:tr>
      <w:tr w14:paraId="2FE3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14:paraId="78E7E362">
            <w:pPr>
              <w:jc w:val="center"/>
              <w:textAlignment w:val="center"/>
              <w:rPr>
                <w:color w:val="000000"/>
                <w:sz w:val="20"/>
                <w:szCs w:val="20"/>
                <w:highlight w:val="none"/>
              </w:rPr>
            </w:pPr>
            <w:r>
              <w:rPr>
                <w:rFonts w:hint="eastAsia"/>
                <w:color w:val="000000"/>
                <w:sz w:val="20"/>
                <w:szCs w:val="20"/>
                <w:highlight w:val="none"/>
                <w:lang w:bidi="ar"/>
              </w:rPr>
              <w:t>51</w:t>
            </w:r>
          </w:p>
        </w:tc>
        <w:tc>
          <w:tcPr>
            <w:tcW w:w="1266" w:type="dxa"/>
            <w:shd w:val="clear" w:color="auto" w:fill="auto"/>
            <w:vAlign w:val="center"/>
          </w:tcPr>
          <w:p w14:paraId="6135007B">
            <w:pPr>
              <w:textAlignment w:val="center"/>
              <w:rPr>
                <w:color w:val="000000"/>
                <w:sz w:val="20"/>
                <w:szCs w:val="20"/>
                <w:highlight w:val="none"/>
              </w:rPr>
            </w:pPr>
            <w:r>
              <w:rPr>
                <w:rFonts w:hint="eastAsia"/>
                <w:color w:val="000000"/>
                <w:sz w:val="20"/>
                <w:szCs w:val="20"/>
                <w:highlight w:val="none"/>
                <w:lang w:bidi="ar"/>
              </w:rPr>
              <w:t>由于供应商的过失，与</w:t>
            </w:r>
            <w:r>
              <w:rPr>
                <w:rFonts w:hint="eastAsia"/>
                <w:b/>
                <w:bCs/>
                <w:color w:val="000000"/>
                <w:sz w:val="20"/>
                <w:szCs w:val="20"/>
                <w:highlight w:val="none"/>
                <w:lang w:bidi="ar"/>
              </w:rPr>
              <w:t>中国海油及所属单位产生法律诉讼的</w:t>
            </w:r>
          </w:p>
        </w:tc>
        <w:tc>
          <w:tcPr>
            <w:tcW w:w="5484" w:type="dxa"/>
            <w:shd w:val="clear" w:color="auto" w:fill="auto"/>
            <w:vAlign w:val="center"/>
          </w:tcPr>
          <w:p w14:paraId="074BCCF0">
            <w:pPr>
              <w:textAlignment w:val="center"/>
              <w:rPr>
                <w:color w:val="000000"/>
                <w:sz w:val="20"/>
                <w:szCs w:val="20"/>
                <w:highlight w:val="none"/>
              </w:rPr>
            </w:pPr>
            <w:r>
              <w:rPr>
                <w:rFonts w:hint="eastAsia"/>
                <w:color w:val="000000"/>
                <w:sz w:val="20"/>
                <w:szCs w:val="20"/>
                <w:highlight w:val="none"/>
                <w:lang w:bidi="ar"/>
              </w:rPr>
              <w:t>由于供应商的过失，与中国海油及所属单位产生法律诉讼的</w:t>
            </w:r>
          </w:p>
        </w:tc>
        <w:tc>
          <w:tcPr>
            <w:tcW w:w="1281" w:type="dxa"/>
            <w:shd w:val="clear" w:color="auto" w:fill="auto"/>
            <w:vAlign w:val="center"/>
          </w:tcPr>
          <w:p w14:paraId="69041733">
            <w:pPr>
              <w:textAlignment w:val="center"/>
              <w:rPr>
                <w:color w:val="000000"/>
                <w:sz w:val="20"/>
                <w:szCs w:val="20"/>
                <w:highlight w:val="none"/>
              </w:rPr>
            </w:pPr>
            <w:r>
              <w:rPr>
                <w:rFonts w:hint="eastAsia"/>
                <w:b/>
                <w:bCs/>
                <w:color w:val="000000"/>
                <w:sz w:val="20"/>
                <w:szCs w:val="20"/>
                <w:highlight w:val="none"/>
                <w:lang w:bidi="ar"/>
              </w:rPr>
              <w:t>禁用两年</w:t>
            </w:r>
          </w:p>
        </w:tc>
      </w:tr>
      <w:tr w14:paraId="51D6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14:paraId="075EF27B">
            <w:pPr>
              <w:jc w:val="center"/>
              <w:textAlignment w:val="center"/>
              <w:rPr>
                <w:color w:val="000000"/>
                <w:sz w:val="20"/>
                <w:szCs w:val="20"/>
                <w:highlight w:val="none"/>
              </w:rPr>
            </w:pPr>
            <w:r>
              <w:rPr>
                <w:rFonts w:hint="eastAsia"/>
                <w:color w:val="000000"/>
                <w:sz w:val="20"/>
                <w:szCs w:val="20"/>
                <w:highlight w:val="none"/>
                <w:lang w:bidi="ar"/>
              </w:rPr>
              <w:t>52</w:t>
            </w:r>
          </w:p>
        </w:tc>
        <w:tc>
          <w:tcPr>
            <w:tcW w:w="1266" w:type="dxa"/>
            <w:shd w:val="clear" w:color="auto" w:fill="auto"/>
            <w:vAlign w:val="center"/>
          </w:tcPr>
          <w:p w14:paraId="201D59FB">
            <w:pPr>
              <w:textAlignment w:val="center"/>
              <w:rPr>
                <w:color w:val="000000"/>
                <w:sz w:val="20"/>
                <w:szCs w:val="20"/>
                <w:highlight w:val="none"/>
              </w:rPr>
            </w:pPr>
            <w:r>
              <w:rPr>
                <w:rFonts w:hint="eastAsia"/>
                <w:color w:val="000000"/>
                <w:sz w:val="20"/>
                <w:szCs w:val="20"/>
                <w:highlight w:val="none"/>
                <w:lang w:bidi="ar"/>
              </w:rPr>
              <w:t>三年内记满10分的供应商，或连续三个合同执行过程中均发生“C级”事故</w:t>
            </w:r>
          </w:p>
        </w:tc>
        <w:tc>
          <w:tcPr>
            <w:tcW w:w="5484" w:type="dxa"/>
            <w:shd w:val="clear" w:color="auto" w:fill="auto"/>
            <w:vAlign w:val="center"/>
          </w:tcPr>
          <w:p w14:paraId="07A1A284">
            <w:pPr>
              <w:textAlignment w:val="center"/>
              <w:rPr>
                <w:color w:val="000000"/>
                <w:sz w:val="20"/>
                <w:szCs w:val="20"/>
                <w:highlight w:val="none"/>
              </w:rPr>
            </w:pPr>
            <w:r>
              <w:rPr>
                <w:rFonts w:hint="eastAsia"/>
                <w:color w:val="000000"/>
                <w:sz w:val="20"/>
                <w:szCs w:val="20"/>
                <w:highlight w:val="none"/>
                <w:lang w:bidi="ar"/>
              </w:rPr>
              <w:t>公司安全生产部将通知采办共享中心，采办共享中心书面通知供应商，并按程序清理出公司供应商库</w:t>
            </w:r>
          </w:p>
        </w:tc>
        <w:tc>
          <w:tcPr>
            <w:tcW w:w="1281" w:type="dxa"/>
            <w:shd w:val="clear" w:color="auto" w:fill="auto"/>
            <w:vAlign w:val="center"/>
          </w:tcPr>
          <w:p w14:paraId="7E81DD9F">
            <w:pPr>
              <w:textAlignment w:val="center"/>
              <w:rPr>
                <w:color w:val="000000"/>
                <w:sz w:val="20"/>
                <w:szCs w:val="20"/>
                <w:highlight w:val="none"/>
              </w:rPr>
            </w:pPr>
            <w:r>
              <w:rPr>
                <w:rFonts w:hint="eastAsia"/>
                <w:color w:val="000000"/>
                <w:sz w:val="20"/>
                <w:szCs w:val="20"/>
                <w:highlight w:val="none"/>
                <w:lang w:bidi="ar"/>
              </w:rPr>
              <w:t>对供应商给予“禁用三年”</w:t>
            </w:r>
            <w:r>
              <w:rPr>
                <w:rFonts w:hint="eastAsia"/>
                <w:color w:val="000000"/>
                <w:sz w:val="20"/>
                <w:szCs w:val="20"/>
                <w:highlight w:val="none"/>
                <w:lang w:val="en-US" w:eastAsia="zh-CN" w:bidi="ar"/>
              </w:rPr>
              <w:t>处理</w:t>
            </w:r>
            <w:r>
              <w:rPr>
                <w:rFonts w:hint="eastAsia"/>
                <w:color w:val="000000"/>
                <w:sz w:val="20"/>
                <w:szCs w:val="20"/>
                <w:highlight w:val="none"/>
                <w:lang w:bidi="ar"/>
              </w:rPr>
              <w:t>；情节严重的，</w:t>
            </w:r>
            <w:r>
              <w:rPr>
                <w:rFonts w:hint="eastAsia"/>
                <w:b/>
                <w:bCs/>
                <w:color w:val="000000"/>
                <w:sz w:val="20"/>
                <w:szCs w:val="20"/>
                <w:highlight w:val="none"/>
                <w:lang w:bidi="ar"/>
              </w:rPr>
              <w:t>长期禁用</w:t>
            </w:r>
          </w:p>
        </w:tc>
      </w:tr>
      <w:tr w14:paraId="4013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14:paraId="4B34275F">
            <w:pPr>
              <w:jc w:val="center"/>
              <w:textAlignment w:val="center"/>
              <w:rPr>
                <w:color w:val="000000"/>
                <w:sz w:val="20"/>
                <w:szCs w:val="20"/>
                <w:highlight w:val="none"/>
              </w:rPr>
            </w:pPr>
            <w:r>
              <w:rPr>
                <w:rFonts w:hint="eastAsia"/>
                <w:color w:val="000000"/>
                <w:sz w:val="20"/>
                <w:szCs w:val="20"/>
                <w:highlight w:val="none"/>
                <w:lang w:bidi="ar"/>
              </w:rPr>
              <w:t>53</w:t>
            </w:r>
          </w:p>
        </w:tc>
        <w:tc>
          <w:tcPr>
            <w:tcW w:w="1266" w:type="dxa"/>
            <w:vMerge w:val="restart"/>
            <w:shd w:val="clear" w:color="auto" w:fill="auto"/>
            <w:vAlign w:val="center"/>
          </w:tcPr>
          <w:p w14:paraId="2F491035">
            <w:pPr>
              <w:textAlignment w:val="center"/>
              <w:rPr>
                <w:color w:val="000000"/>
                <w:sz w:val="20"/>
                <w:szCs w:val="20"/>
                <w:highlight w:val="none"/>
              </w:rPr>
            </w:pPr>
            <w:r>
              <w:rPr>
                <w:rFonts w:hint="eastAsia"/>
                <w:color w:val="000000"/>
                <w:sz w:val="20"/>
                <w:szCs w:val="20"/>
                <w:highlight w:val="none"/>
                <w:lang w:bidi="ar"/>
              </w:rPr>
              <w:t>供应商在提报中国海油员工、</w:t>
            </w:r>
            <w:r>
              <w:rPr>
                <w:rFonts w:hint="eastAsia"/>
                <w:b/>
                <w:bCs/>
                <w:color w:val="000000"/>
                <w:sz w:val="20"/>
                <w:szCs w:val="20"/>
                <w:highlight w:val="none"/>
                <w:lang w:bidi="ar"/>
              </w:rPr>
              <w:t>员工亲属、离职退休的领导人员在本单位的任职</w:t>
            </w:r>
            <w:r>
              <w:rPr>
                <w:rFonts w:hint="eastAsia"/>
                <w:color w:val="000000"/>
                <w:sz w:val="20"/>
                <w:szCs w:val="20"/>
                <w:highlight w:val="none"/>
                <w:lang w:bidi="ar"/>
              </w:rPr>
              <w:t>和持股情况时</w:t>
            </w:r>
          </w:p>
        </w:tc>
        <w:tc>
          <w:tcPr>
            <w:tcW w:w="5484" w:type="dxa"/>
            <w:shd w:val="clear" w:color="auto" w:fill="auto"/>
            <w:vAlign w:val="center"/>
          </w:tcPr>
          <w:p w14:paraId="27C5B914">
            <w:pPr>
              <w:textAlignment w:val="center"/>
              <w:rPr>
                <w:color w:val="000000"/>
                <w:sz w:val="20"/>
                <w:szCs w:val="20"/>
                <w:highlight w:val="none"/>
              </w:rPr>
            </w:pPr>
            <w:r>
              <w:rPr>
                <w:rFonts w:hint="eastAsia"/>
                <w:color w:val="000000"/>
                <w:sz w:val="20"/>
                <w:szCs w:val="20"/>
                <w:highlight w:val="none"/>
                <w:lang w:bidi="ar"/>
              </w:rPr>
              <w:t>存在瞒报相关情况的</w:t>
            </w:r>
          </w:p>
        </w:tc>
        <w:tc>
          <w:tcPr>
            <w:tcW w:w="1281" w:type="dxa"/>
            <w:shd w:val="clear" w:color="auto" w:fill="auto"/>
            <w:vAlign w:val="center"/>
          </w:tcPr>
          <w:p w14:paraId="1CC2F0B3">
            <w:pPr>
              <w:textAlignment w:val="center"/>
              <w:rPr>
                <w:color w:val="000000"/>
                <w:sz w:val="20"/>
                <w:szCs w:val="20"/>
                <w:highlight w:val="none"/>
              </w:rPr>
            </w:pPr>
            <w:r>
              <w:rPr>
                <w:rFonts w:hint="eastAsia"/>
                <w:color w:val="000000"/>
                <w:sz w:val="20"/>
                <w:szCs w:val="20"/>
                <w:highlight w:val="none"/>
                <w:lang w:bidi="ar"/>
              </w:rPr>
              <w:t>禁用一年</w:t>
            </w:r>
          </w:p>
        </w:tc>
      </w:tr>
      <w:tr w14:paraId="4A29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14:paraId="2BABC810">
            <w:pPr>
              <w:jc w:val="center"/>
              <w:textAlignment w:val="center"/>
              <w:rPr>
                <w:color w:val="000000"/>
                <w:sz w:val="20"/>
                <w:szCs w:val="20"/>
                <w:highlight w:val="none"/>
              </w:rPr>
            </w:pPr>
            <w:r>
              <w:rPr>
                <w:rFonts w:hint="eastAsia"/>
                <w:color w:val="000000"/>
                <w:sz w:val="20"/>
                <w:szCs w:val="20"/>
                <w:highlight w:val="none"/>
                <w:lang w:bidi="ar"/>
              </w:rPr>
              <w:t>54</w:t>
            </w:r>
          </w:p>
        </w:tc>
        <w:tc>
          <w:tcPr>
            <w:tcW w:w="1266" w:type="dxa"/>
            <w:vMerge w:val="continue"/>
            <w:shd w:val="clear" w:color="auto" w:fill="auto"/>
            <w:vAlign w:val="center"/>
          </w:tcPr>
          <w:p w14:paraId="65D33E44">
            <w:pPr>
              <w:rPr>
                <w:color w:val="000000"/>
                <w:sz w:val="20"/>
                <w:szCs w:val="20"/>
                <w:highlight w:val="none"/>
              </w:rPr>
            </w:pPr>
          </w:p>
        </w:tc>
        <w:tc>
          <w:tcPr>
            <w:tcW w:w="5484" w:type="dxa"/>
            <w:shd w:val="clear" w:color="auto" w:fill="auto"/>
            <w:vAlign w:val="center"/>
          </w:tcPr>
          <w:p w14:paraId="43BBB465">
            <w:pPr>
              <w:textAlignment w:val="center"/>
              <w:rPr>
                <w:color w:val="000000"/>
                <w:sz w:val="20"/>
                <w:szCs w:val="20"/>
                <w:highlight w:val="none"/>
              </w:rPr>
            </w:pPr>
            <w:r>
              <w:rPr>
                <w:rFonts w:hint="eastAsia"/>
                <w:color w:val="000000"/>
                <w:sz w:val="20"/>
                <w:szCs w:val="20"/>
                <w:highlight w:val="none"/>
                <w:lang w:bidi="ar"/>
              </w:rPr>
              <w:t>存在利用中国海油人员的职务之便牟取不正当利益情形的</w:t>
            </w:r>
          </w:p>
        </w:tc>
        <w:tc>
          <w:tcPr>
            <w:tcW w:w="1281" w:type="dxa"/>
            <w:shd w:val="clear" w:color="auto" w:fill="auto"/>
            <w:vAlign w:val="center"/>
          </w:tcPr>
          <w:p w14:paraId="360AFFC2">
            <w:pPr>
              <w:textAlignment w:val="center"/>
              <w:rPr>
                <w:color w:val="000000"/>
                <w:sz w:val="20"/>
                <w:szCs w:val="20"/>
                <w:highlight w:val="none"/>
              </w:rPr>
            </w:pPr>
            <w:r>
              <w:rPr>
                <w:rFonts w:hint="eastAsia"/>
                <w:b/>
                <w:bCs/>
                <w:color w:val="000000"/>
                <w:sz w:val="20"/>
                <w:szCs w:val="20"/>
                <w:highlight w:val="none"/>
                <w:lang w:bidi="ar"/>
              </w:rPr>
              <w:t>长期禁用</w:t>
            </w:r>
          </w:p>
        </w:tc>
      </w:tr>
      <w:tr w14:paraId="35BF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14:paraId="182BC4C0">
            <w:pPr>
              <w:jc w:val="center"/>
              <w:textAlignment w:val="center"/>
              <w:rPr>
                <w:color w:val="000000"/>
                <w:sz w:val="20"/>
                <w:szCs w:val="20"/>
                <w:highlight w:val="none"/>
              </w:rPr>
            </w:pPr>
            <w:r>
              <w:rPr>
                <w:rFonts w:hint="eastAsia"/>
                <w:color w:val="000000"/>
                <w:sz w:val="20"/>
                <w:szCs w:val="20"/>
                <w:highlight w:val="none"/>
                <w:lang w:bidi="ar"/>
              </w:rPr>
              <w:t>55</w:t>
            </w:r>
          </w:p>
        </w:tc>
        <w:tc>
          <w:tcPr>
            <w:tcW w:w="1266" w:type="dxa"/>
            <w:shd w:val="clear" w:color="auto" w:fill="auto"/>
            <w:vAlign w:val="center"/>
          </w:tcPr>
          <w:p w14:paraId="1C3B5F98">
            <w:pPr>
              <w:textAlignment w:val="center"/>
              <w:rPr>
                <w:color w:val="000000"/>
                <w:sz w:val="20"/>
                <w:szCs w:val="20"/>
                <w:highlight w:val="none"/>
              </w:rPr>
            </w:pPr>
            <w:r>
              <w:rPr>
                <w:rFonts w:hint="eastAsia"/>
                <w:b/>
                <w:bCs/>
                <w:color w:val="000000"/>
                <w:sz w:val="20"/>
                <w:szCs w:val="20"/>
                <w:highlight w:val="none"/>
                <w:lang w:bidi="ar"/>
              </w:rPr>
              <w:t>经营状况异常</w:t>
            </w:r>
          </w:p>
        </w:tc>
        <w:tc>
          <w:tcPr>
            <w:tcW w:w="5484" w:type="dxa"/>
            <w:shd w:val="clear" w:color="auto" w:fill="auto"/>
            <w:vAlign w:val="center"/>
          </w:tcPr>
          <w:p w14:paraId="112AF7C8">
            <w:pPr>
              <w:textAlignment w:val="center"/>
              <w:rPr>
                <w:color w:val="000000"/>
                <w:sz w:val="20"/>
                <w:szCs w:val="20"/>
                <w:highlight w:val="none"/>
              </w:rPr>
            </w:pPr>
            <w:r>
              <w:rPr>
                <w:rFonts w:hint="eastAsia"/>
                <w:color w:val="000000"/>
                <w:sz w:val="20"/>
                <w:szCs w:val="20"/>
                <w:highlight w:val="none"/>
                <w:lang w:bidi="ar"/>
              </w:rPr>
              <w:t>国家机关、权威机构网站公布的严重违法失信企业，或被列入失信人名单等情形</w:t>
            </w:r>
          </w:p>
        </w:tc>
        <w:tc>
          <w:tcPr>
            <w:tcW w:w="1281" w:type="dxa"/>
            <w:shd w:val="clear" w:color="auto" w:fill="auto"/>
            <w:vAlign w:val="center"/>
          </w:tcPr>
          <w:p w14:paraId="5C1D2CB4">
            <w:pPr>
              <w:textAlignment w:val="center"/>
              <w:rPr>
                <w:color w:val="000000"/>
                <w:sz w:val="20"/>
                <w:szCs w:val="20"/>
                <w:highlight w:val="none"/>
              </w:rPr>
            </w:pPr>
            <w:r>
              <w:rPr>
                <w:rFonts w:hint="eastAsia"/>
                <w:color w:val="000000"/>
                <w:sz w:val="20"/>
                <w:szCs w:val="20"/>
                <w:highlight w:val="none"/>
                <w:lang w:bidi="ar"/>
              </w:rPr>
              <w:t>给予“无固定期禁用”处理，直至其经营风险被解除</w:t>
            </w:r>
          </w:p>
        </w:tc>
      </w:tr>
      <w:tr w14:paraId="1A7E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14:paraId="200F71C5">
            <w:pPr>
              <w:jc w:val="center"/>
              <w:textAlignment w:val="center"/>
              <w:rPr>
                <w:color w:val="000000"/>
                <w:sz w:val="20"/>
                <w:szCs w:val="20"/>
                <w:highlight w:val="none"/>
              </w:rPr>
            </w:pPr>
            <w:r>
              <w:rPr>
                <w:rFonts w:hint="eastAsia"/>
                <w:color w:val="000000"/>
                <w:sz w:val="20"/>
                <w:szCs w:val="20"/>
                <w:highlight w:val="none"/>
                <w:lang w:bidi="ar"/>
              </w:rPr>
              <w:t>56</w:t>
            </w:r>
          </w:p>
        </w:tc>
        <w:tc>
          <w:tcPr>
            <w:tcW w:w="1266" w:type="dxa"/>
            <w:vMerge w:val="restart"/>
            <w:shd w:val="clear" w:color="auto" w:fill="auto"/>
            <w:vAlign w:val="center"/>
          </w:tcPr>
          <w:p w14:paraId="5299F136">
            <w:pPr>
              <w:textAlignment w:val="center"/>
              <w:rPr>
                <w:color w:val="000000"/>
                <w:sz w:val="20"/>
                <w:szCs w:val="20"/>
                <w:highlight w:val="none"/>
              </w:rPr>
            </w:pPr>
            <w:r>
              <w:rPr>
                <w:rFonts w:hint="eastAsia"/>
                <w:color w:val="000000"/>
                <w:sz w:val="20"/>
                <w:szCs w:val="20"/>
                <w:highlight w:val="none"/>
                <w:lang w:bidi="ar"/>
              </w:rPr>
              <w:t>其它违反国家、集团公司及海油发展规章制度的行为</w:t>
            </w:r>
          </w:p>
        </w:tc>
        <w:tc>
          <w:tcPr>
            <w:tcW w:w="5484" w:type="dxa"/>
            <w:shd w:val="clear" w:color="auto" w:fill="auto"/>
            <w:vAlign w:val="center"/>
          </w:tcPr>
          <w:p w14:paraId="7DF2D66B">
            <w:pPr>
              <w:textAlignment w:val="center"/>
              <w:rPr>
                <w:color w:val="000000"/>
                <w:sz w:val="20"/>
                <w:szCs w:val="20"/>
                <w:highlight w:val="none"/>
              </w:rPr>
            </w:pPr>
            <w:r>
              <w:rPr>
                <w:rFonts w:hint="eastAsia"/>
                <w:color w:val="000000"/>
                <w:sz w:val="20"/>
                <w:szCs w:val="20"/>
                <w:highlight w:val="none"/>
                <w:lang w:bidi="ar"/>
              </w:rPr>
              <w:t>违反国家政策、法律法规，存在不与农民工签订合同，或</w:t>
            </w:r>
            <w:r>
              <w:rPr>
                <w:rFonts w:hint="eastAsia"/>
                <w:b/>
                <w:bCs/>
                <w:color w:val="000000"/>
                <w:sz w:val="20"/>
                <w:szCs w:val="20"/>
                <w:highlight w:val="none"/>
                <w:lang w:bidi="ar"/>
              </w:rPr>
              <w:t>存在拖欠农民工工资问题</w:t>
            </w:r>
            <w:r>
              <w:rPr>
                <w:rFonts w:hint="eastAsia"/>
                <w:color w:val="000000"/>
                <w:sz w:val="20"/>
                <w:szCs w:val="20"/>
                <w:highlight w:val="none"/>
                <w:lang w:bidi="ar"/>
              </w:rPr>
              <w:t>的。</w:t>
            </w:r>
          </w:p>
        </w:tc>
        <w:tc>
          <w:tcPr>
            <w:tcW w:w="1281" w:type="dxa"/>
            <w:shd w:val="clear" w:color="auto" w:fill="auto"/>
            <w:vAlign w:val="center"/>
          </w:tcPr>
          <w:p w14:paraId="0BD3CE7F">
            <w:pPr>
              <w:textAlignment w:val="center"/>
              <w:rPr>
                <w:color w:val="000000"/>
                <w:sz w:val="20"/>
                <w:szCs w:val="20"/>
                <w:highlight w:val="none"/>
              </w:rPr>
            </w:pPr>
            <w:r>
              <w:rPr>
                <w:rFonts w:hint="eastAsia"/>
                <w:b/>
                <w:bCs/>
                <w:color w:val="000000"/>
                <w:sz w:val="20"/>
                <w:szCs w:val="20"/>
                <w:highlight w:val="none"/>
                <w:lang w:bidi="ar"/>
              </w:rPr>
              <w:t>长期禁用</w:t>
            </w:r>
          </w:p>
        </w:tc>
      </w:tr>
      <w:tr w14:paraId="76A2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14:paraId="61174FD6">
            <w:pPr>
              <w:jc w:val="center"/>
              <w:textAlignment w:val="center"/>
              <w:rPr>
                <w:color w:val="000000"/>
                <w:sz w:val="20"/>
                <w:szCs w:val="20"/>
                <w:highlight w:val="none"/>
              </w:rPr>
            </w:pPr>
            <w:r>
              <w:rPr>
                <w:rFonts w:hint="eastAsia"/>
                <w:color w:val="000000"/>
                <w:sz w:val="20"/>
                <w:szCs w:val="20"/>
                <w:highlight w:val="none"/>
                <w:lang w:bidi="ar"/>
              </w:rPr>
              <w:t>57</w:t>
            </w:r>
          </w:p>
        </w:tc>
        <w:tc>
          <w:tcPr>
            <w:tcW w:w="1266" w:type="dxa"/>
            <w:vMerge w:val="continue"/>
            <w:shd w:val="clear" w:color="auto" w:fill="auto"/>
            <w:vAlign w:val="center"/>
          </w:tcPr>
          <w:p w14:paraId="7892E8FF">
            <w:pPr>
              <w:rPr>
                <w:color w:val="000000"/>
                <w:sz w:val="20"/>
                <w:szCs w:val="20"/>
                <w:highlight w:val="none"/>
              </w:rPr>
            </w:pPr>
          </w:p>
        </w:tc>
        <w:tc>
          <w:tcPr>
            <w:tcW w:w="5484" w:type="dxa"/>
            <w:shd w:val="clear" w:color="auto" w:fill="auto"/>
            <w:vAlign w:val="center"/>
          </w:tcPr>
          <w:p w14:paraId="4F325C68">
            <w:pPr>
              <w:textAlignment w:val="center"/>
              <w:rPr>
                <w:color w:val="000000"/>
                <w:sz w:val="20"/>
                <w:szCs w:val="20"/>
                <w:highlight w:val="none"/>
              </w:rPr>
            </w:pPr>
            <w:r>
              <w:rPr>
                <w:rFonts w:hint="eastAsia"/>
                <w:color w:val="000000"/>
                <w:sz w:val="20"/>
                <w:szCs w:val="20"/>
                <w:highlight w:val="none"/>
                <w:lang w:bidi="ar"/>
              </w:rPr>
              <w:t>违反国家政策、法律法规，对破坏生态环境，</w:t>
            </w:r>
            <w:r>
              <w:rPr>
                <w:rFonts w:hint="eastAsia"/>
                <w:b/>
                <w:bCs/>
                <w:color w:val="000000"/>
                <w:sz w:val="20"/>
                <w:szCs w:val="20"/>
                <w:highlight w:val="none"/>
                <w:lang w:bidi="ar"/>
              </w:rPr>
              <w:t>对环境造成污染的</w:t>
            </w:r>
          </w:p>
        </w:tc>
        <w:tc>
          <w:tcPr>
            <w:tcW w:w="1281" w:type="dxa"/>
            <w:shd w:val="clear" w:color="auto" w:fill="auto"/>
            <w:vAlign w:val="center"/>
          </w:tcPr>
          <w:p w14:paraId="20261543">
            <w:pPr>
              <w:textAlignment w:val="center"/>
              <w:rPr>
                <w:color w:val="000000"/>
                <w:sz w:val="20"/>
                <w:szCs w:val="20"/>
                <w:highlight w:val="none"/>
              </w:rPr>
            </w:pPr>
            <w:r>
              <w:rPr>
                <w:rFonts w:hint="eastAsia"/>
                <w:b/>
                <w:bCs/>
                <w:color w:val="000000"/>
                <w:sz w:val="20"/>
                <w:szCs w:val="20"/>
                <w:highlight w:val="none"/>
                <w:lang w:bidi="ar"/>
              </w:rPr>
              <w:t>长期禁用</w:t>
            </w:r>
          </w:p>
        </w:tc>
      </w:tr>
      <w:tr w14:paraId="0951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14:paraId="17944798">
            <w:pPr>
              <w:jc w:val="center"/>
              <w:textAlignment w:val="center"/>
              <w:rPr>
                <w:color w:val="000000"/>
                <w:sz w:val="20"/>
                <w:szCs w:val="20"/>
                <w:highlight w:val="none"/>
              </w:rPr>
            </w:pPr>
            <w:r>
              <w:rPr>
                <w:rFonts w:hint="eastAsia"/>
                <w:color w:val="000000"/>
                <w:sz w:val="20"/>
                <w:szCs w:val="20"/>
                <w:highlight w:val="none"/>
                <w:lang w:bidi="ar"/>
              </w:rPr>
              <w:t>58</w:t>
            </w:r>
          </w:p>
        </w:tc>
        <w:tc>
          <w:tcPr>
            <w:tcW w:w="1266" w:type="dxa"/>
            <w:vMerge w:val="continue"/>
            <w:shd w:val="clear" w:color="auto" w:fill="auto"/>
            <w:vAlign w:val="center"/>
          </w:tcPr>
          <w:p w14:paraId="41BD8009">
            <w:pPr>
              <w:rPr>
                <w:color w:val="000000"/>
                <w:sz w:val="20"/>
                <w:szCs w:val="20"/>
                <w:highlight w:val="none"/>
              </w:rPr>
            </w:pPr>
          </w:p>
        </w:tc>
        <w:tc>
          <w:tcPr>
            <w:tcW w:w="5484" w:type="dxa"/>
            <w:shd w:val="clear" w:color="auto" w:fill="auto"/>
            <w:vAlign w:val="center"/>
          </w:tcPr>
          <w:p w14:paraId="5842CDD7">
            <w:pPr>
              <w:textAlignment w:val="center"/>
              <w:rPr>
                <w:color w:val="000000"/>
                <w:sz w:val="20"/>
                <w:szCs w:val="20"/>
                <w:highlight w:val="none"/>
              </w:rPr>
            </w:pPr>
            <w:r>
              <w:rPr>
                <w:rFonts w:hint="eastAsia"/>
                <w:b/>
                <w:bCs/>
                <w:color w:val="000000"/>
                <w:sz w:val="20"/>
                <w:szCs w:val="20"/>
                <w:highlight w:val="none"/>
                <w:lang w:bidi="ar"/>
              </w:rPr>
              <w:t>违反劳动法</w:t>
            </w:r>
            <w:r>
              <w:rPr>
                <w:rFonts w:hint="eastAsia"/>
                <w:color w:val="000000"/>
                <w:sz w:val="20"/>
                <w:szCs w:val="20"/>
                <w:highlight w:val="none"/>
                <w:lang w:bidi="ar"/>
              </w:rPr>
              <w:t>等法规，引起员工仲裁并对中国海油造成不良影响的</w:t>
            </w:r>
          </w:p>
        </w:tc>
        <w:tc>
          <w:tcPr>
            <w:tcW w:w="1281" w:type="dxa"/>
            <w:shd w:val="clear" w:color="auto" w:fill="auto"/>
            <w:vAlign w:val="center"/>
          </w:tcPr>
          <w:p w14:paraId="541AD7E8">
            <w:pPr>
              <w:textAlignment w:val="center"/>
              <w:rPr>
                <w:color w:val="000000"/>
                <w:sz w:val="20"/>
                <w:szCs w:val="20"/>
                <w:highlight w:val="none"/>
              </w:rPr>
            </w:pPr>
            <w:r>
              <w:rPr>
                <w:rFonts w:hint="eastAsia"/>
                <w:b/>
                <w:bCs/>
                <w:color w:val="000000"/>
                <w:sz w:val="20"/>
                <w:szCs w:val="20"/>
                <w:highlight w:val="none"/>
                <w:lang w:bidi="ar"/>
              </w:rPr>
              <w:t>长期禁用</w:t>
            </w:r>
          </w:p>
        </w:tc>
      </w:tr>
      <w:tr w14:paraId="3E73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14:paraId="6E805C6F">
            <w:pPr>
              <w:jc w:val="center"/>
              <w:textAlignment w:val="center"/>
              <w:rPr>
                <w:color w:val="000000"/>
                <w:sz w:val="20"/>
                <w:szCs w:val="20"/>
                <w:highlight w:val="none"/>
              </w:rPr>
            </w:pPr>
            <w:r>
              <w:rPr>
                <w:rFonts w:hint="eastAsia"/>
                <w:color w:val="000000"/>
                <w:sz w:val="20"/>
                <w:szCs w:val="20"/>
                <w:highlight w:val="none"/>
                <w:lang w:bidi="ar"/>
              </w:rPr>
              <w:t>59</w:t>
            </w:r>
          </w:p>
        </w:tc>
        <w:tc>
          <w:tcPr>
            <w:tcW w:w="1266" w:type="dxa"/>
            <w:vMerge w:val="continue"/>
            <w:shd w:val="clear" w:color="auto" w:fill="auto"/>
            <w:vAlign w:val="center"/>
          </w:tcPr>
          <w:p w14:paraId="5C8FB3BC">
            <w:pPr>
              <w:rPr>
                <w:color w:val="000000"/>
                <w:sz w:val="20"/>
                <w:szCs w:val="20"/>
                <w:highlight w:val="none"/>
              </w:rPr>
            </w:pPr>
          </w:p>
        </w:tc>
        <w:tc>
          <w:tcPr>
            <w:tcW w:w="5484" w:type="dxa"/>
            <w:shd w:val="clear" w:color="auto" w:fill="auto"/>
            <w:vAlign w:val="center"/>
          </w:tcPr>
          <w:p w14:paraId="069BD009">
            <w:pPr>
              <w:textAlignment w:val="center"/>
              <w:rPr>
                <w:color w:val="000000"/>
                <w:sz w:val="20"/>
                <w:szCs w:val="20"/>
                <w:highlight w:val="none"/>
              </w:rPr>
            </w:pPr>
            <w:r>
              <w:rPr>
                <w:rFonts w:hint="eastAsia"/>
                <w:b/>
                <w:bCs/>
                <w:color w:val="000000"/>
                <w:sz w:val="20"/>
                <w:szCs w:val="20"/>
                <w:highlight w:val="none"/>
                <w:lang w:bidi="ar"/>
              </w:rPr>
              <w:t>对存在其它不当行为可能给中国海油带来风险的</w:t>
            </w:r>
          </w:p>
        </w:tc>
        <w:tc>
          <w:tcPr>
            <w:tcW w:w="1281" w:type="dxa"/>
            <w:shd w:val="clear" w:color="auto" w:fill="auto"/>
            <w:vAlign w:val="center"/>
          </w:tcPr>
          <w:p w14:paraId="5BAA29FE">
            <w:pPr>
              <w:textAlignment w:val="center"/>
              <w:rPr>
                <w:color w:val="000000"/>
                <w:sz w:val="20"/>
                <w:szCs w:val="20"/>
                <w:highlight w:val="none"/>
              </w:rPr>
            </w:pPr>
            <w:r>
              <w:rPr>
                <w:rFonts w:hint="eastAsia"/>
                <w:color w:val="000000"/>
                <w:sz w:val="20"/>
                <w:szCs w:val="20"/>
                <w:highlight w:val="none"/>
                <w:lang w:bidi="ar"/>
              </w:rPr>
              <w:t>根据情况或问题程度，对供应商进行“约谈”或“警告”处理</w:t>
            </w:r>
          </w:p>
        </w:tc>
      </w:tr>
      <w:tr w14:paraId="5150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14:paraId="4FD9CD8F">
            <w:pPr>
              <w:jc w:val="center"/>
              <w:textAlignment w:val="center"/>
              <w:rPr>
                <w:color w:val="000000"/>
                <w:sz w:val="20"/>
                <w:szCs w:val="20"/>
                <w:highlight w:val="none"/>
              </w:rPr>
            </w:pPr>
            <w:r>
              <w:rPr>
                <w:rFonts w:hint="eastAsia"/>
                <w:color w:val="000000"/>
                <w:sz w:val="20"/>
                <w:szCs w:val="20"/>
                <w:highlight w:val="none"/>
                <w:lang w:bidi="ar"/>
              </w:rPr>
              <w:t>60</w:t>
            </w:r>
          </w:p>
        </w:tc>
        <w:tc>
          <w:tcPr>
            <w:tcW w:w="1266" w:type="dxa"/>
            <w:vMerge w:val="continue"/>
            <w:shd w:val="clear" w:color="auto" w:fill="auto"/>
            <w:vAlign w:val="center"/>
          </w:tcPr>
          <w:p w14:paraId="106FD1A4">
            <w:pPr>
              <w:rPr>
                <w:color w:val="000000"/>
                <w:sz w:val="20"/>
                <w:szCs w:val="20"/>
                <w:highlight w:val="none"/>
              </w:rPr>
            </w:pPr>
          </w:p>
        </w:tc>
        <w:tc>
          <w:tcPr>
            <w:tcW w:w="5484" w:type="dxa"/>
            <w:shd w:val="clear" w:color="auto" w:fill="auto"/>
            <w:vAlign w:val="center"/>
          </w:tcPr>
          <w:p w14:paraId="53F07B8F">
            <w:pPr>
              <w:textAlignment w:val="center"/>
              <w:rPr>
                <w:color w:val="000000"/>
                <w:sz w:val="20"/>
                <w:szCs w:val="20"/>
                <w:highlight w:val="none"/>
              </w:rPr>
            </w:pPr>
            <w:r>
              <w:rPr>
                <w:rFonts w:hint="eastAsia"/>
                <w:color w:val="000000"/>
                <w:sz w:val="20"/>
                <w:szCs w:val="20"/>
                <w:highlight w:val="none"/>
                <w:lang w:bidi="ar"/>
              </w:rPr>
              <w:t>对存在其它不当行为已经给中国海油带来风险的</w:t>
            </w:r>
          </w:p>
        </w:tc>
        <w:tc>
          <w:tcPr>
            <w:tcW w:w="1281" w:type="dxa"/>
            <w:shd w:val="clear" w:color="auto" w:fill="auto"/>
            <w:vAlign w:val="center"/>
          </w:tcPr>
          <w:p w14:paraId="1F31370F">
            <w:pPr>
              <w:textAlignment w:val="center"/>
              <w:rPr>
                <w:color w:val="000000"/>
                <w:sz w:val="20"/>
                <w:szCs w:val="20"/>
                <w:highlight w:val="none"/>
              </w:rPr>
            </w:pPr>
            <w:r>
              <w:rPr>
                <w:rFonts w:hint="eastAsia"/>
                <w:color w:val="000000"/>
                <w:sz w:val="20"/>
                <w:szCs w:val="20"/>
                <w:highlight w:val="none"/>
                <w:lang w:bidi="ar"/>
              </w:rPr>
              <w:t>根据情况或问题程度，依据风险情形，对供应商进行“禁用一年”至“长期禁用”处理</w:t>
            </w:r>
          </w:p>
        </w:tc>
      </w:tr>
      <w:tr w14:paraId="587F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14:paraId="580303A0">
            <w:pPr>
              <w:jc w:val="center"/>
              <w:textAlignment w:val="center"/>
              <w:rPr>
                <w:color w:val="000000"/>
                <w:sz w:val="20"/>
                <w:szCs w:val="20"/>
                <w:highlight w:val="none"/>
              </w:rPr>
            </w:pPr>
            <w:r>
              <w:rPr>
                <w:rFonts w:hint="eastAsia"/>
                <w:color w:val="000000"/>
                <w:sz w:val="20"/>
                <w:szCs w:val="20"/>
                <w:highlight w:val="none"/>
                <w:lang w:bidi="ar"/>
              </w:rPr>
              <w:t>61</w:t>
            </w:r>
          </w:p>
        </w:tc>
        <w:tc>
          <w:tcPr>
            <w:tcW w:w="1266" w:type="dxa"/>
            <w:vMerge w:val="continue"/>
            <w:shd w:val="clear" w:color="auto" w:fill="auto"/>
            <w:vAlign w:val="center"/>
          </w:tcPr>
          <w:p w14:paraId="7BB77333">
            <w:pPr>
              <w:rPr>
                <w:color w:val="000000"/>
                <w:sz w:val="20"/>
                <w:szCs w:val="20"/>
                <w:highlight w:val="none"/>
              </w:rPr>
            </w:pPr>
          </w:p>
        </w:tc>
        <w:tc>
          <w:tcPr>
            <w:tcW w:w="5484" w:type="dxa"/>
            <w:shd w:val="clear" w:color="auto" w:fill="auto"/>
            <w:vAlign w:val="center"/>
          </w:tcPr>
          <w:p w14:paraId="7E67126F">
            <w:pPr>
              <w:textAlignment w:val="center"/>
              <w:rPr>
                <w:color w:val="000000"/>
                <w:sz w:val="20"/>
                <w:szCs w:val="20"/>
                <w:highlight w:val="none"/>
              </w:rPr>
            </w:pPr>
            <w:r>
              <w:rPr>
                <w:rFonts w:hint="eastAsia"/>
                <w:color w:val="000000"/>
                <w:sz w:val="20"/>
                <w:szCs w:val="20"/>
                <w:highlight w:val="none"/>
                <w:lang w:bidi="ar"/>
              </w:rPr>
              <w:t>其它</w:t>
            </w:r>
            <w:r>
              <w:rPr>
                <w:rFonts w:hint="eastAsia"/>
                <w:b/>
                <w:bCs/>
                <w:color w:val="000000"/>
                <w:sz w:val="20"/>
                <w:szCs w:val="20"/>
                <w:highlight w:val="none"/>
                <w:lang w:bidi="ar"/>
              </w:rPr>
              <w:t>违反国家法律法规及集团公司规章制度</w:t>
            </w:r>
            <w:r>
              <w:rPr>
                <w:rFonts w:hint="eastAsia"/>
                <w:color w:val="000000"/>
                <w:sz w:val="20"/>
                <w:szCs w:val="20"/>
                <w:highlight w:val="none"/>
                <w:lang w:bidi="ar"/>
              </w:rPr>
              <w:t>的行为，包括国家、审计、纪检监察、巡视等函件反映问题等</w:t>
            </w:r>
          </w:p>
        </w:tc>
        <w:tc>
          <w:tcPr>
            <w:tcW w:w="1281" w:type="dxa"/>
            <w:shd w:val="clear" w:color="auto" w:fill="auto"/>
            <w:vAlign w:val="center"/>
          </w:tcPr>
          <w:p w14:paraId="08ACAD1D">
            <w:pPr>
              <w:textAlignment w:val="center"/>
              <w:rPr>
                <w:color w:val="000000"/>
                <w:sz w:val="20"/>
                <w:szCs w:val="20"/>
                <w:highlight w:val="none"/>
              </w:rPr>
            </w:pPr>
            <w:r>
              <w:rPr>
                <w:rFonts w:hint="eastAsia"/>
                <w:color w:val="000000"/>
                <w:sz w:val="20"/>
                <w:szCs w:val="20"/>
                <w:highlight w:val="none"/>
                <w:lang w:bidi="ar"/>
              </w:rPr>
              <w:t>由集团公司工程与物装部或集团公司工程与物装部组织相关管理部门及所属单位，对供应商问题性质及业务实际情况判定，进行相应处理</w:t>
            </w:r>
          </w:p>
        </w:tc>
      </w:tr>
    </w:tbl>
    <w:p w14:paraId="171F57CA">
      <w:pPr>
        <w:rPr>
          <w:rFonts w:asciiTheme="minorEastAsia" w:hAnsiTheme="minorEastAsia"/>
          <w:sz w:val="24"/>
          <w:szCs w:val="24"/>
          <w:highlight w:val="none"/>
        </w:rPr>
      </w:pPr>
    </w:p>
    <w:p w14:paraId="6B3FDC73">
      <w:pPr>
        <w:pStyle w:val="8"/>
        <w:rPr>
          <w:rFonts w:asciiTheme="minorEastAsia" w:hAnsiTheme="minorEastAsia"/>
          <w:sz w:val="24"/>
          <w:szCs w:val="24"/>
          <w:highlight w:val="none"/>
        </w:rPr>
      </w:pPr>
    </w:p>
    <w:p w14:paraId="7DDED2FD">
      <w:pPr>
        <w:rPr>
          <w:rFonts w:hint="eastAsia" w:asciiTheme="minorEastAsia" w:hAnsiTheme="minorEastAsia"/>
          <w:sz w:val="24"/>
          <w:szCs w:val="24"/>
          <w:highlight w:val="none"/>
          <w:lang w:val="en-US" w:eastAsia="zh-CN"/>
        </w:rPr>
      </w:pPr>
    </w:p>
    <w:p w14:paraId="7A6F0C1A">
      <w:pPr>
        <w:rPr>
          <w:rFonts w:hint="eastAsia" w:asciiTheme="minorEastAsia" w:hAnsiTheme="minorEastAsia"/>
          <w:sz w:val="24"/>
          <w:szCs w:val="24"/>
          <w:highlight w:val="none"/>
          <w:lang w:val="en-US" w:eastAsia="zh-CN"/>
        </w:rPr>
      </w:pPr>
    </w:p>
    <w:p w14:paraId="6015466D">
      <w:pPr>
        <w:rPr>
          <w:rFonts w:hint="eastAsia" w:asciiTheme="minorEastAsia" w:hAnsiTheme="minorEastAsia"/>
          <w:sz w:val="24"/>
          <w:szCs w:val="24"/>
          <w:highlight w:val="none"/>
          <w:lang w:val="en-US" w:eastAsia="zh-CN"/>
        </w:rPr>
      </w:pPr>
    </w:p>
    <w:p w14:paraId="39B553B0">
      <w:pPr>
        <w:outlineLvl w:val="9"/>
        <w:rPr>
          <w:rFonts w:hint="eastAsia" w:ascii="黑体" w:hAnsi="黑体" w:eastAsia="黑体"/>
          <w:sz w:val="24"/>
          <w:szCs w:val="22"/>
          <w:highlight w:val="none"/>
          <w:lang w:val="en-US" w:eastAsia="zh-CN"/>
        </w:rPr>
      </w:pPr>
      <w:r>
        <w:rPr>
          <w:rFonts w:hint="eastAsia" w:ascii="黑体" w:hAnsi="黑体" w:eastAsia="黑体"/>
          <w:sz w:val="24"/>
          <w:szCs w:val="22"/>
          <w:highlight w:val="none"/>
          <w:lang w:val="en-US" w:eastAsia="zh-CN"/>
        </w:rPr>
        <w:br w:type="page"/>
      </w:r>
    </w:p>
    <w:p w14:paraId="0BDA885B">
      <w:pPr>
        <w:outlineLvl w:val="1"/>
        <w:rPr>
          <w:rFonts w:hint="default" w:asciiTheme="minorEastAsia" w:hAnsiTheme="minorEastAsia" w:eastAsiaTheme="minorEastAsia"/>
          <w:sz w:val="24"/>
          <w:szCs w:val="24"/>
          <w:highlight w:val="none"/>
          <w:lang w:val="en-US" w:eastAsia="zh-CN"/>
        </w:rPr>
      </w:pPr>
      <w:r>
        <w:rPr>
          <w:rFonts w:hint="eastAsia" w:ascii="黑体" w:hAnsi="黑体" w:eastAsia="黑体"/>
          <w:sz w:val="24"/>
          <w:szCs w:val="22"/>
          <w:highlight w:val="none"/>
          <w:lang w:val="en-US" w:eastAsia="zh-CN"/>
        </w:rPr>
        <w:t>4.2集团公司</w:t>
      </w:r>
      <w:r>
        <w:rPr>
          <w:rFonts w:hint="eastAsia" w:ascii="黑体" w:hAnsi="黑体" w:eastAsia="黑体"/>
          <w:sz w:val="24"/>
          <w:highlight w:val="none"/>
        </w:rPr>
        <w:t>供应商处理情形和处理标准</w:t>
      </w:r>
    </w:p>
    <w:p w14:paraId="5AB2D0B8">
      <w:pPr>
        <w:pStyle w:val="8"/>
        <w:rPr>
          <w:rFonts w:asciiTheme="minorEastAsia" w:hAnsiTheme="minorEastAsia"/>
          <w:sz w:val="24"/>
          <w:szCs w:val="24"/>
          <w:highlight w:val="none"/>
        </w:rPr>
      </w:pPr>
    </w:p>
    <w:tbl>
      <w:tblPr>
        <w:tblStyle w:val="20"/>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14:paraId="74D4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14:paraId="12F889A0">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序号</w:t>
            </w:r>
          </w:p>
        </w:tc>
        <w:tc>
          <w:tcPr>
            <w:tcW w:w="4015" w:type="dxa"/>
            <w:shd w:val="clear" w:color="auto" w:fill="auto"/>
            <w:vAlign w:val="center"/>
          </w:tcPr>
          <w:p w14:paraId="3DA8D99C">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违规类型</w:t>
            </w:r>
          </w:p>
        </w:tc>
        <w:tc>
          <w:tcPr>
            <w:tcW w:w="4012" w:type="dxa"/>
            <w:shd w:val="clear" w:color="auto" w:fill="auto"/>
            <w:vAlign w:val="center"/>
          </w:tcPr>
          <w:p w14:paraId="628A2845">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处理标准</w:t>
            </w:r>
          </w:p>
        </w:tc>
      </w:tr>
      <w:tr w14:paraId="69DD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14:paraId="509D196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4015" w:type="dxa"/>
            <w:shd w:val="clear" w:color="auto" w:fill="auto"/>
            <w:vAlign w:val="center"/>
          </w:tcPr>
          <w:p w14:paraId="2B209DF7">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14:paraId="7980D099">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未造成损失的，对供应商给予“禁用一年”或“禁用两年”处理；造成损失根据损失程度再增加对其处理。</w:t>
            </w:r>
          </w:p>
        </w:tc>
      </w:tr>
      <w:tr w14:paraId="7F16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14:paraId="361E8242">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4015" w:type="dxa"/>
            <w:shd w:val="clear" w:color="auto" w:fill="auto"/>
            <w:vAlign w:val="center"/>
          </w:tcPr>
          <w:p w14:paraId="44655EE5">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14:paraId="2DB0380C">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根据影响程度，对供应商给予“禁用两年”或“长期禁用”处理；</w:t>
            </w:r>
          </w:p>
          <w:p w14:paraId="350F9BB2">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注册供应商发生围标串标给予“长期禁用”处理。</w:t>
            </w:r>
          </w:p>
        </w:tc>
      </w:tr>
      <w:tr w14:paraId="6F2E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14:paraId="6A0C1C9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w:t>
            </w:r>
          </w:p>
        </w:tc>
        <w:tc>
          <w:tcPr>
            <w:tcW w:w="4015" w:type="dxa"/>
            <w:shd w:val="clear" w:color="auto" w:fill="auto"/>
            <w:vAlign w:val="center"/>
          </w:tcPr>
          <w:p w14:paraId="055D3DCD">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向采购交易所涉及的相关方或能产生实际影响的相关方行贿。</w:t>
            </w:r>
          </w:p>
        </w:tc>
        <w:tc>
          <w:tcPr>
            <w:tcW w:w="4012" w:type="dxa"/>
            <w:shd w:val="clear" w:color="auto" w:fill="auto"/>
            <w:vAlign w:val="center"/>
          </w:tcPr>
          <w:p w14:paraId="07D8C764">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对供应商给予“禁用两年”或“长期禁用”处理，行贿判定的依据为公司内部执纪部门书面通知等。</w:t>
            </w:r>
          </w:p>
        </w:tc>
      </w:tr>
      <w:tr w14:paraId="3ADD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14:paraId="290DF105">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4</w:t>
            </w:r>
          </w:p>
        </w:tc>
        <w:tc>
          <w:tcPr>
            <w:tcW w:w="4015" w:type="dxa"/>
            <w:shd w:val="clear" w:color="auto" w:fill="auto"/>
            <w:vAlign w:val="center"/>
          </w:tcPr>
          <w:p w14:paraId="055287E8">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14:paraId="55EB4BDB">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对供应商给予“禁用一年”处理。</w:t>
            </w:r>
          </w:p>
        </w:tc>
      </w:tr>
      <w:tr w14:paraId="085D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14:paraId="4EF7BAD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5</w:t>
            </w:r>
          </w:p>
        </w:tc>
        <w:tc>
          <w:tcPr>
            <w:tcW w:w="4015" w:type="dxa"/>
            <w:shd w:val="clear" w:color="auto" w:fill="auto"/>
            <w:vAlign w:val="center"/>
          </w:tcPr>
          <w:p w14:paraId="435B3604">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softHyphen/>
            </w:r>
            <w:r>
              <w:rPr>
                <w:rFonts w:hint="eastAsia" w:ascii="宋体" w:hAnsi="宋体" w:eastAsia="宋体" w:cs="宋体"/>
                <w:color w:val="000000" w:themeColor="text1"/>
                <w:kern w:val="0"/>
                <w:sz w:val="20"/>
                <w:szCs w:val="20"/>
                <w:highlight w:val="none"/>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14:paraId="609CDF02">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根据影响程度，对供应商给予“禁用一年”或“禁用两年”处理。</w:t>
            </w:r>
          </w:p>
        </w:tc>
      </w:tr>
      <w:tr w14:paraId="058D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14:paraId="183A6DE6">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6</w:t>
            </w:r>
          </w:p>
        </w:tc>
        <w:tc>
          <w:tcPr>
            <w:tcW w:w="4015" w:type="dxa"/>
            <w:shd w:val="clear" w:color="auto" w:fill="auto"/>
            <w:vAlign w:val="center"/>
          </w:tcPr>
          <w:p w14:paraId="35F5E599">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获取中标资格或成交资格拒绝签订合同。</w:t>
            </w:r>
          </w:p>
        </w:tc>
        <w:tc>
          <w:tcPr>
            <w:tcW w:w="4012" w:type="dxa"/>
            <w:shd w:val="clear" w:color="auto" w:fill="auto"/>
            <w:vAlign w:val="center"/>
          </w:tcPr>
          <w:p w14:paraId="0E42A214">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对供应商给予“禁用两年”处理。</w:t>
            </w:r>
          </w:p>
        </w:tc>
      </w:tr>
      <w:tr w14:paraId="7B26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14:paraId="1C75C24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7</w:t>
            </w:r>
          </w:p>
        </w:tc>
        <w:tc>
          <w:tcPr>
            <w:tcW w:w="4015" w:type="dxa"/>
            <w:shd w:val="clear" w:color="auto" w:fill="auto"/>
            <w:vAlign w:val="center"/>
          </w:tcPr>
          <w:p w14:paraId="5B8012BE">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14:paraId="6FF957AA">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对供应商给予“禁用一年”处理。</w:t>
            </w:r>
          </w:p>
        </w:tc>
      </w:tr>
      <w:tr w14:paraId="71D0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14:paraId="7DA6956A">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8</w:t>
            </w:r>
          </w:p>
        </w:tc>
        <w:tc>
          <w:tcPr>
            <w:tcW w:w="4015" w:type="dxa"/>
            <w:shd w:val="clear" w:color="auto" w:fill="auto"/>
            <w:vAlign w:val="center"/>
          </w:tcPr>
          <w:p w14:paraId="2BD563E1">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14:paraId="7230DDFF">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14:paraId="1356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14:paraId="185D86CC">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9</w:t>
            </w:r>
          </w:p>
        </w:tc>
        <w:tc>
          <w:tcPr>
            <w:tcW w:w="4015" w:type="dxa"/>
            <w:shd w:val="clear" w:color="auto" w:fill="auto"/>
            <w:vAlign w:val="center"/>
          </w:tcPr>
          <w:p w14:paraId="0C166FBE">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擅自变更、不按照合同规定履行或者擅自终止合同。</w:t>
            </w:r>
          </w:p>
        </w:tc>
        <w:tc>
          <w:tcPr>
            <w:tcW w:w="4012" w:type="dxa"/>
            <w:shd w:val="clear" w:color="auto" w:fill="auto"/>
            <w:vAlign w:val="center"/>
          </w:tcPr>
          <w:p w14:paraId="082EF679">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情节较轻的，对供应商给予“禁用两年”处理；情节严重的，对供应商给予“长期禁用”处理</w:t>
            </w:r>
          </w:p>
        </w:tc>
      </w:tr>
      <w:tr w14:paraId="6DEF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14:paraId="78C02D7F">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10</w:t>
            </w:r>
          </w:p>
        </w:tc>
        <w:tc>
          <w:tcPr>
            <w:tcW w:w="4015" w:type="dxa"/>
            <w:shd w:val="clear" w:color="auto" w:fill="auto"/>
            <w:vAlign w:val="center"/>
          </w:tcPr>
          <w:p w14:paraId="082C5439">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14:paraId="26A2A05F">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14:paraId="4149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14:paraId="1985F957">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4015" w:type="dxa"/>
            <w:shd w:val="clear" w:color="auto" w:fill="auto"/>
            <w:vAlign w:val="center"/>
          </w:tcPr>
          <w:p w14:paraId="364D36E6">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假冒其他厂家品牌，提供伪劣商品、以假乱真弄虚作假。</w:t>
            </w:r>
          </w:p>
        </w:tc>
        <w:tc>
          <w:tcPr>
            <w:tcW w:w="4012" w:type="dxa"/>
            <w:shd w:val="clear" w:color="auto" w:fill="auto"/>
            <w:vAlign w:val="center"/>
          </w:tcPr>
          <w:p w14:paraId="7E2D4107">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视情形对供应商给予“禁用两年”或“长期禁用”处理。</w:t>
            </w:r>
          </w:p>
        </w:tc>
      </w:tr>
      <w:tr w14:paraId="7361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14:paraId="28AEE9C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12</w:t>
            </w:r>
          </w:p>
        </w:tc>
        <w:tc>
          <w:tcPr>
            <w:tcW w:w="4015" w:type="dxa"/>
            <w:shd w:val="clear" w:color="auto" w:fill="auto"/>
            <w:vAlign w:val="center"/>
          </w:tcPr>
          <w:p w14:paraId="62A67C7F">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出现供给不足（即“短斤少两”行为）。</w:t>
            </w:r>
          </w:p>
        </w:tc>
        <w:tc>
          <w:tcPr>
            <w:tcW w:w="4012" w:type="dxa"/>
            <w:shd w:val="clear" w:color="auto" w:fill="auto"/>
            <w:vAlign w:val="center"/>
          </w:tcPr>
          <w:p w14:paraId="366A6857">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及时整改未产生影响的可以不予处理；整改但产生影响的，对供应商或相关品类给予“禁用一年”处理；拒不更正的，对供应商给予“长期禁用”处理。</w:t>
            </w:r>
          </w:p>
        </w:tc>
      </w:tr>
      <w:tr w14:paraId="74E3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14:paraId="62E61E4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13</w:t>
            </w:r>
          </w:p>
        </w:tc>
        <w:tc>
          <w:tcPr>
            <w:tcW w:w="4015" w:type="dxa"/>
            <w:shd w:val="clear" w:color="auto" w:fill="auto"/>
            <w:vAlign w:val="center"/>
          </w:tcPr>
          <w:p w14:paraId="07BFFA3C">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提供虚假进度报告。</w:t>
            </w:r>
          </w:p>
        </w:tc>
        <w:tc>
          <w:tcPr>
            <w:tcW w:w="4012" w:type="dxa"/>
            <w:shd w:val="clear" w:color="auto" w:fill="auto"/>
            <w:vAlign w:val="center"/>
          </w:tcPr>
          <w:p w14:paraId="6E669E38">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未造成实质影响的给予供应商“禁用一年”处理；造成实质性影响的，对供应商给予“禁用两年”处理。</w:t>
            </w:r>
          </w:p>
        </w:tc>
      </w:tr>
      <w:tr w14:paraId="0C97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14:paraId="4F962DD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14</w:t>
            </w:r>
          </w:p>
        </w:tc>
        <w:tc>
          <w:tcPr>
            <w:tcW w:w="4015" w:type="dxa"/>
            <w:shd w:val="clear" w:color="auto" w:fill="auto"/>
            <w:vAlign w:val="center"/>
          </w:tcPr>
          <w:p w14:paraId="45DF31A2">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违反规定将中标项目或合同转让、转包、分包。</w:t>
            </w:r>
          </w:p>
        </w:tc>
        <w:tc>
          <w:tcPr>
            <w:tcW w:w="4012" w:type="dxa"/>
            <w:shd w:val="clear" w:color="auto" w:fill="auto"/>
            <w:vAlign w:val="center"/>
          </w:tcPr>
          <w:p w14:paraId="04E5B6FD">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及时更正其违规行为的，视情形对供应商给予“警告至禁用一年”处理；拒绝更正其违规行为的，对供应商给予“长期禁用”处理。</w:t>
            </w:r>
          </w:p>
        </w:tc>
      </w:tr>
      <w:tr w14:paraId="2C2C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14:paraId="526BABB8">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15</w:t>
            </w:r>
          </w:p>
        </w:tc>
        <w:tc>
          <w:tcPr>
            <w:tcW w:w="4015" w:type="dxa"/>
            <w:shd w:val="clear" w:color="auto" w:fill="auto"/>
            <w:vAlign w:val="center"/>
          </w:tcPr>
          <w:p w14:paraId="14B4B5E0">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未经同意拖延完工、交货日期，延缓执行合同的期限。</w:t>
            </w:r>
          </w:p>
        </w:tc>
        <w:tc>
          <w:tcPr>
            <w:tcW w:w="4012" w:type="dxa"/>
            <w:shd w:val="clear" w:color="auto" w:fill="auto"/>
            <w:vAlign w:val="center"/>
          </w:tcPr>
          <w:p w14:paraId="5A9117AB">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14:paraId="730A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14:paraId="353254AD">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16</w:t>
            </w:r>
          </w:p>
        </w:tc>
        <w:tc>
          <w:tcPr>
            <w:tcW w:w="4015" w:type="dxa"/>
            <w:shd w:val="clear" w:color="auto" w:fill="auto"/>
            <w:vAlign w:val="center"/>
          </w:tcPr>
          <w:p w14:paraId="530EDEDD">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拒绝中国海油管理部门的监督检查或不如实反映情况、提供材料。</w:t>
            </w:r>
          </w:p>
        </w:tc>
        <w:tc>
          <w:tcPr>
            <w:tcW w:w="4012" w:type="dxa"/>
            <w:shd w:val="clear" w:color="auto" w:fill="auto"/>
            <w:vAlign w:val="center"/>
          </w:tcPr>
          <w:p w14:paraId="439CB9BE">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视情形对供应商给予“禁用一年”或“禁用两年”处理。</w:t>
            </w:r>
          </w:p>
        </w:tc>
      </w:tr>
      <w:tr w14:paraId="0AE6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14:paraId="2396F854">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17</w:t>
            </w:r>
          </w:p>
        </w:tc>
        <w:tc>
          <w:tcPr>
            <w:tcW w:w="4015" w:type="dxa"/>
            <w:shd w:val="clear" w:color="auto" w:fill="auto"/>
            <w:vAlign w:val="center"/>
          </w:tcPr>
          <w:p w14:paraId="37854696">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14:paraId="09A67546">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对该供应商给予“禁用一年”处理。</w:t>
            </w:r>
          </w:p>
        </w:tc>
      </w:tr>
      <w:tr w14:paraId="182D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14:paraId="6E3A2609">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18</w:t>
            </w:r>
          </w:p>
        </w:tc>
        <w:tc>
          <w:tcPr>
            <w:tcW w:w="4015" w:type="dxa"/>
            <w:shd w:val="clear" w:color="auto" w:fill="auto"/>
            <w:vAlign w:val="center"/>
          </w:tcPr>
          <w:p w14:paraId="66197D60">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14:paraId="2193E620">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对供应商给予“长期禁用”处理。</w:t>
            </w:r>
          </w:p>
        </w:tc>
      </w:tr>
      <w:tr w14:paraId="68BB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14:paraId="204846F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19</w:t>
            </w:r>
          </w:p>
        </w:tc>
        <w:tc>
          <w:tcPr>
            <w:tcW w:w="4015" w:type="dxa"/>
            <w:shd w:val="clear" w:color="auto" w:fill="auto"/>
            <w:vAlign w:val="center"/>
          </w:tcPr>
          <w:p w14:paraId="163E2DB8">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14:paraId="6DF49C07">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根据专业机构调查结论，对供应商</w:t>
            </w:r>
            <w:r>
              <w:rPr>
                <w:rFonts w:hint="eastAsia" w:ascii="宋体" w:hAnsi="宋体" w:eastAsia="宋体" w:cs="宋体"/>
                <w:sz w:val="20"/>
                <w:szCs w:val="20"/>
                <w:highlight w:val="none"/>
              </w:rPr>
              <w:t>或相关品类</w:t>
            </w:r>
            <w:r>
              <w:rPr>
                <w:rFonts w:hint="eastAsia" w:ascii="宋体" w:hAnsi="宋体" w:eastAsia="宋体" w:cs="宋体"/>
                <w:color w:val="000000" w:themeColor="text1"/>
                <w:kern w:val="0"/>
                <w:sz w:val="20"/>
                <w:szCs w:val="20"/>
                <w:highlight w:val="none"/>
                <w14:textFill>
                  <w14:solidFill>
                    <w14:schemeClr w14:val="tx1"/>
                  </w14:solidFill>
                </w14:textFill>
              </w:rPr>
              <w:t>给予“禁用两年”或“长期禁用”处理。</w:t>
            </w:r>
          </w:p>
        </w:tc>
      </w:tr>
      <w:tr w14:paraId="18C8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14:paraId="166068D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20</w:t>
            </w:r>
          </w:p>
        </w:tc>
        <w:tc>
          <w:tcPr>
            <w:tcW w:w="4015" w:type="dxa"/>
            <w:shd w:val="clear" w:color="auto" w:fill="auto"/>
            <w:vAlign w:val="center"/>
          </w:tcPr>
          <w:p w14:paraId="7E050488">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提供的产品/服务出现安全隐患，且拒绝整改或整改不及时、不到位。</w:t>
            </w:r>
          </w:p>
        </w:tc>
        <w:tc>
          <w:tcPr>
            <w:tcW w:w="4012" w:type="dxa"/>
            <w:shd w:val="clear" w:color="auto" w:fill="auto"/>
            <w:vAlign w:val="center"/>
          </w:tcPr>
          <w:p w14:paraId="60DFE5BA">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存在安全隐患且整改不到位的，给予供应商“禁用两年”处理；存在严重安全隐患且整改不到位的，对供应商给予“长期禁用”处理。</w:t>
            </w:r>
          </w:p>
        </w:tc>
      </w:tr>
      <w:tr w14:paraId="0811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14:paraId="5C1CBC3B">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21</w:t>
            </w:r>
          </w:p>
        </w:tc>
        <w:tc>
          <w:tcPr>
            <w:tcW w:w="4015" w:type="dxa"/>
            <w:shd w:val="clear" w:color="auto" w:fill="auto"/>
            <w:vAlign w:val="center"/>
          </w:tcPr>
          <w:p w14:paraId="251EE9DB">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未经许可，对外披露中国海油商业秘密信息。</w:t>
            </w:r>
          </w:p>
        </w:tc>
        <w:tc>
          <w:tcPr>
            <w:tcW w:w="4012" w:type="dxa"/>
            <w:shd w:val="clear" w:color="auto" w:fill="auto"/>
            <w:vAlign w:val="center"/>
          </w:tcPr>
          <w:p w14:paraId="4CD2962A">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情节较轻的，供应商给予“禁用一年”处理；情节较重的，供应商给予“禁用两年”处理；情节严重的，对供应商给予“长期禁用”处理。</w:t>
            </w:r>
          </w:p>
        </w:tc>
      </w:tr>
      <w:tr w14:paraId="68F5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14:paraId="6466C6F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22</w:t>
            </w:r>
          </w:p>
        </w:tc>
        <w:tc>
          <w:tcPr>
            <w:tcW w:w="4015" w:type="dxa"/>
            <w:shd w:val="clear" w:color="auto" w:fill="auto"/>
            <w:vAlign w:val="center"/>
          </w:tcPr>
          <w:p w14:paraId="01E441E7">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由于供应商的原因，与中国海油及所属单位产生法律诉讼。</w:t>
            </w:r>
          </w:p>
        </w:tc>
        <w:tc>
          <w:tcPr>
            <w:tcW w:w="4012" w:type="dxa"/>
            <w:shd w:val="clear" w:color="auto" w:fill="auto"/>
            <w:vAlign w:val="center"/>
          </w:tcPr>
          <w:p w14:paraId="544F5747">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对供应商给予“禁用一年”或“禁用两年”处理。</w:t>
            </w:r>
          </w:p>
        </w:tc>
      </w:tr>
      <w:tr w14:paraId="7541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14:paraId="331981B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23</w:t>
            </w:r>
          </w:p>
        </w:tc>
        <w:tc>
          <w:tcPr>
            <w:tcW w:w="4015" w:type="dxa"/>
            <w:shd w:val="clear" w:color="auto" w:fill="auto"/>
            <w:vAlign w:val="center"/>
          </w:tcPr>
          <w:p w14:paraId="38C3D8A2">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发生“一般A级”及以上安全事故且负主要责任的供应商。</w:t>
            </w:r>
          </w:p>
        </w:tc>
        <w:tc>
          <w:tcPr>
            <w:tcW w:w="4012" w:type="dxa"/>
            <w:shd w:val="clear" w:color="auto" w:fill="auto"/>
            <w:vAlign w:val="center"/>
          </w:tcPr>
          <w:p w14:paraId="44321684">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14:paraId="2D99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14:paraId="2829135E">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24</w:t>
            </w:r>
          </w:p>
        </w:tc>
        <w:tc>
          <w:tcPr>
            <w:tcW w:w="4015" w:type="dxa"/>
            <w:shd w:val="clear" w:color="auto" w:fill="auto"/>
            <w:vAlign w:val="center"/>
          </w:tcPr>
          <w:p w14:paraId="539FF9BA">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14:paraId="0203D529">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存在瞒报相关情况的，对供应商给予“禁用一年”处理；发现利用中国海油人员的职务之便牟取不正当利益情形的，对供应商给予“长期禁用”处理。</w:t>
            </w:r>
          </w:p>
        </w:tc>
      </w:tr>
      <w:tr w14:paraId="7059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14:paraId="4472BAD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25</w:t>
            </w:r>
          </w:p>
        </w:tc>
        <w:tc>
          <w:tcPr>
            <w:tcW w:w="4015" w:type="dxa"/>
            <w:shd w:val="clear" w:color="auto" w:fill="auto"/>
            <w:vAlign w:val="center"/>
          </w:tcPr>
          <w:p w14:paraId="2A2612F1">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在承揽的中国海油业务中，存在拖欠农民工工资行为的。</w:t>
            </w:r>
          </w:p>
        </w:tc>
        <w:tc>
          <w:tcPr>
            <w:tcW w:w="4012" w:type="dxa"/>
            <w:shd w:val="clear" w:color="auto" w:fill="auto"/>
            <w:vAlign w:val="center"/>
          </w:tcPr>
          <w:p w14:paraId="4A6152FA">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未造成不良影响并及时整改的，对供应商给予“警告”处理；整改不及时或影响较大的，对供应商给予“禁用一年”或“禁用两年”处理。</w:t>
            </w:r>
          </w:p>
        </w:tc>
      </w:tr>
      <w:tr w14:paraId="6839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14:paraId="7E269A71">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26</w:t>
            </w:r>
          </w:p>
        </w:tc>
        <w:tc>
          <w:tcPr>
            <w:tcW w:w="4015" w:type="dxa"/>
            <w:shd w:val="clear" w:color="auto" w:fill="auto"/>
            <w:vAlign w:val="center"/>
          </w:tcPr>
          <w:p w14:paraId="52D76299">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对存在其他不当行为可能给中国海油带来风险。</w:t>
            </w:r>
          </w:p>
        </w:tc>
        <w:tc>
          <w:tcPr>
            <w:tcW w:w="4012" w:type="dxa"/>
            <w:shd w:val="clear" w:color="auto" w:fill="auto"/>
            <w:vAlign w:val="center"/>
          </w:tcPr>
          <w:p w14:paraId="28C9C64F">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根据情况或问题程度，约谈供应商，或“警告”处理。</w:t>
            </w:r>
          </w:p>
        </w:tc>
      </w:tr>
      <w:tr w14:paraId="12EB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14:paraId="59A92CF3">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27</w:t>
            </w:r>
          </w:p>
        </w:tc>
        <w:tc>
          <w:tcPr>
            <w:tcW w:w="4015" w:type="dxa"/>
            <w:shd w:val="clear" w:color="auto" w:fill="auto"/>
            <w:vAlign w:val="center"/>
          </w:tcPr>
          <w:p w14:paraId="1F1E6B96">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14:paraId="7A439FFC">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由工程与物装部组织相关管理部门及所属单位，对供应商问题性质及业务实际情况判定，进行相应处理。</w:t>
            </w:r>
          </w:p>
        </w:tc>
      </w:tr>
    </w:tbl>
    <w:p w14:paraId="566F1AF6">
      <w:pPr>
        <w:pStyle w:val="10"/>
        <w:ind w:left="0" w:leftChars="0" w:firstLine="0" w:firstLineChars="0"/>
        <w:rPr>
          <w:rFonts w:hint="eastAsia" w:ascii="宋体" w:hAnsi="宋体" w:cs="宋体"/>
          <w:sz w:val="20"/>
          <w:szCs w:val="20"/>
          <w:highlight w:val="none"/>
          <w:lang w:eastAsia="zh-CN"/>
        </w:rPr>
      </w:pPr>
    </w:p>
    <w:p w14:paraId="6A95CAF4">
      <w:pPr>
        <w:pStyle w:val="8"/>
        <w:ind w:firstLine="0" w:firstLineChars="0"/>
        <w:rPr>
          <w:rFonts w:hint="default" w:eastAsia="宋体"/>
          <w:highlight w:val="none"/>
          <w:lang w:val="en-US" w:eastAsia="zh-CN"/>
        </w:rPr>
      </w:pPr>
      <w:r>
        <w:rPr>
          <w:rFonts w:hint="eastAsia" w:eastAsia="宋体"/>
          <w:highlight w:val="none"/>
          <w:lang w:val="en-US" w:eastAsia="zh-CN"/>
        </w:rPr>
        <w:t>供应商处理结果以集团公司审批为准，本附件仅作为风险提示。</w:t>
      </w:r>
    </w:p>
    <w:p w14:paraId="44FF501A">
      <w:pPr>
        <w:rPr>
          <w:highlight w:val="none"/>
        </w:rPr>
      </w:pPr>
    </w:p>
    <w:p w14:paraId="2063A238">
      <w:pPr>
        <w:pStyle w:val="8"/>
        <w:rPr>
          <w:highlight w:val="none"/>
        </w:rPr>
      </w:pPr>
    </w:p>
    <w:p w14:paraId="562084F7">
      <w:pPr>
        <w:rPr>
          <w:highlight w:val="none"/>
        </w:rPr>
      </w:pPr>
    </w:p>
    <w:p w14:paraId="08CA7584">
      <w:pPr>
        <w:pStyle w:val="8"/>
        <w:rPr>
          <w:highlight w:val="none"/>
        </w:rPr>
      </w:pPr>
    </w:p>
    <w:p w14:paraId="7745B782">
      <w:pPr>
        <w:rPr>
          <w:highlight w:val="none"/>
        </w:rPr>
      </w:pPr>
    </w:p>
    <w:p w14:paraId="7D6B2741">
      <w:pPr>
        <w:pStyle w:val="8"/>
        <w:rPr>
          <w:highlight w:val="none"/>
        </w:rPr>
      </w:pPr>
    </w:p>
    <w:p w14:paraId="1CA42339">
      <w:pPr>
        <w:rPr>
          <w:highlight w:val="none"/>
        </w:rPr>
      </w:pPr>
    </w:p>
    <w:p w14:paraId="26C93DAF">
      <w:pPr>
        <w:pStyle w:val="8"/>
        <w:rPr>
          <w:highlight w:val="none"/>
        </w:rPr>
      </w:pPr>
    </w:p>
    <w:p w14:paraId="5E4FA86B">
      <w:pPr>
        <w:rPr>
          <w:highlight w:val="none"/>
        </w:rPr>
      </w:pPr>
    </w:p>
    <w:p w14:paraId="7B97D78F">
      <w:pPr>
        <w:pStyle w:val="8"/>
        <w:rPr>
          <w:highlight w:val="none"/>
        </w:rPr>
      </w:pPr>
    </w:p>
    <w:p w14:paraId="24890461">
      <w:pPr>
        <w:rPr>
          <w:highlight w:val="none"/>
        </w:rPr>
      </w:pPr>
    </w:p>
    <w:p w14:paraId="20DDE637">
      <w:pPr>
        <w:pStyle w:val="8"/>
        <w:rPr>
          <w:highlight w:val="none"/>
        </w:rPr>
      </w:pPr>
    </w:p>
    <w:p w14:paraId="16BA9880">
      <w:pPr>
        <w:rPr>
          <w:highlight w:val="none"/>
        </w:rPr>
      </w:pPr>
    </w:p>
    <w:p w14:paraId="69E5B514">
      <w:pPr>
        <w:pStyle w:val="8"/>
        <w:rPr>
          <w:highlight w:val="none"/>
        </w:rPr>
      </w:pPr>
    </w:p>
    <w:p w14:paraId="086A6453">
      <w:pPr>
        <w:rPr>
          <w:highlight w:val="none"/>
        </w:rPr>
      </w:pPr>
    </w:p>
    <w:p w14:paraId="485989E2">
      <w:pPr>
        <w:pStyle w:val="8"/>
        <w:rPr>
          <w:highlight w:val="none"/>
        </w:rPr>
      </w:pPr>
    </w:p>
    <w:p w14:paraId="53622323">
      <w:pPr>
        <w:rPr>
          <w:highlight w:val="none"/>
        </w:rPr>
      </w:pPr>
    </w:p>
    <w:p w14:paraId="38A33339">
      <w:pPr>
        <w:pStyle w:val="8"/>
        <w:rPr>
          <w:highlight w:val="none"/>
        </w:rPr>
      </w:pPr>
    </w:p>
    <w:p w14:paraId="4A0151F0">
      <w:pPr>
        <w:rPr>
          <w:highlight w:val="none"/>
        </w:rPr>
      </w:pPr>
    </w:p>
    <w:p w14:paraId="15A62D96">
      <w:pPr>
        <w:pStyle w:val="8"/>
        <w:rPr>
          <w:highlight w:val="none"/>
        </w:rPr>
      </w:pPr>
    </w:p>
    <w:p w14:paraId="210AC499">
      <w:pPr>
        <w:rPr>
          <w:highlight w:val="none"/>
        </w:rPr>
      </w:pPr>
    </w:p>
    <w:p w14:paraId="583D724F">
      <w:pPr>
        <w:pStyle w:val="8"/>
        <w:rPr>
          <w:highlight w:val="none"/>
        </w:rPr>
      </w:pPr>
    </w:p>
    <w:p w14:paraId="6BCE8AC2">
      <w:pPr>
        <w:rPr>
          <w:highlight w:val="none"/>
        </w:rPr>
      </w:pPr>
    </w:p>
    <w:p w14:paraId="0CDE9F65">
      <w:pPr>
        <w:pStyle w:val="8"/>
        <w:rPr>
          <w:highlight w:val="none"/>
        </w:rPr>
      </w:pPr>
    </w:p>
    <w:p w14:paraId="2B3C4F20">
      <w:pPr>
        <w:rPr>
          <w:highlight w:val="none"/>
        </w:rPr>
      </w:pPr>
    </w:p>
    <w:p w14:paraId="7633EDD6">
      <w:pPr>
        <w:pStyle w:val="8"/>
        <w:rPr>
          <w:highlight w:val="none"/>
        </w:rPr>
      </w:pPr>
    </w:p>
    <w:p w14:paraId="5C1D1B81">
      <w:pPr>
        <w:rPr>
          <w:highlight w:val="none"/>
        </w:rPr>
      </w:pPr>
    </w:p>
    <w:p w14:paraId="71890230">
      <w:pPr>
        <w:pStyle w:val="8"/>
        <w:rPr>
          <w:highlight w:val="none"/>
        </w:rPr>
      </w:pPr>
    </w:p>
    <w:p w14:paraId="3F68408E">
      <w:pPr>
        <w:rPr>
          <w:highlight w:val="none"/>
          <w:lang w:val="en-US" w:eastAsia="zh-CN"/>
        </w:rPr>
      </w:pPr>
    </w:p>
    <w:p w14:paraId="2BA28461">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14:paraId="5ABCE889">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t>附件5：商务文件</w:t>
      </w:r>
    </w:p>
    <w:p w14:paraId="16B8F1C3">
      <w:pPr>
        <w:pStyle w:val="38"/>
        <w:rPr>
          <w:rFonts w:hint="eastAsia"/>
          <w:highlight w:val="none"/>
          <w:lang w:val="en-US" w:eastAsia="zh-CN"/>
        </w:rPr>
      </w:pPr>
    </w:p>
    <w:p w14:paraId="04553BB5">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14:paraId="0A2F3DB0">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highlight w:val="none"/>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highlight w:val="none"/>
          <w:lang w:val="en-US" w:eastAsia="zh-CN" w:bidi="ar-SA"/>
        </w:rPr>
        <w:t>——详见附件</w:t>
      </w:r>
    </w:p>
    <w:p w14:paraId="580D3602">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highlight w:val="none"/>
          <w:lang w:val="en-US" w:eastAsia="zh-CN" w:bidi="ar-SA"/>
        </w:rPr>
        <w:t>——详见附件</w:t>
      </w:r>
    </w:p>
    <w:p w14:paraId="34AA0C74">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14:paraId="14AB76FA">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14:paraId="61F088BF">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highlight w:val="none"/>
          <w:lang w:val="en-US" w:eastAsia="zh-CN" w:bidi="ar-SA"/>
        </w:rPr>
        <w:t>——详见附件</w:t>
      </w:r>
    </w:p>
    <w:p w14:paraId="0F866D01">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highlight w:val="none"/>
          <w:lang w:val="en-US" w:eastAsia="zh-CN" w:bidi="ar-SA"/>
        </w:rPr>
        <w:t>——详见附件</w:t>
      </w:r>
    </w:p>
    <w:p w14:paraId="5688867A">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14:paraId="16691BF5">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highlight w:val="none"/>
          <w:lang w:val="en-US" w:eastAsia="zh-CN"/>
        </w:rPr>
        <w:t>5.9： 制造商承诺书及相关支持文件</w:t>
      </w:r>
      <w:r>
        <w:rPr>
          <w:rFonts w:hint="eastAsia" w:ascii="宋体" w:hAnsi="宋体" w:cstheme="minorBidi"/>
          <w:color w:val="000000"/>
          <w:kern w:val="2"/>
          <w:sz w:val="21"/>
          <w:szCs w:val="22"/>
          <w:highlight w:val="none"/>
          <w:lang w:val="en-US" w:eastAsia="zh-CN" w:bidi="ar-SA"/>
        </w:rPr>
        <w:t>——详见附件</w:t>
      </w:r>
    </w:p>
    <w:p w14:paraId="0950D315">
      <w:pPr>
        <w:adjustRightInd/>
        <w:jc w:val="both"/>
        <w:outlineLvl w:val="0"/>
        <w:rPr>
          <w:rFonts w:hint="eastAsia" w:ascii="宋体" w:hAnsi="宋体" w:eastAsiaTheme="minorEastAsia"/>
          <w:color w:val="000000"/>
          <w:sz w:val="21"/>
          <w:szCs w:val="22"/>
          <w:highlight w:val="none"/>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14:paraId="217F5033">
      <w:pPr>
        <w:adjustRightInd/>
        <w:jc w:val="both"/>
        <w:outlineLvl w:val="0"/>
        <w:rPr>
          <w:rFonts w:hint="eastAsia" w:ascii="宋体" w:hAnsi="宋体" w:cstheme="minorBidi"/>
          <w:color w:val="000000"/>
          <w:kern w:val="2"/>
          <w:sz w:val="21"/>
          <w:szCs w:val="22"/>
          <w:highlight w:val="none"/>
          <w:lang w:val="en-US" w:eastAsia="zh-CN" w:bidi="ar-SA"/>
        </w:rPr>
      </w:pPr>
      <w:r>
        <w:rPr>
          <w:rFonts w:hint="eastAsia" w:ascii="宋体" w:hAnsi="宋体" w:eastAsiaTheme="minorEastAsia"/>
          <w:color w:val="000000"/>
          <w:sz w:val="21"/>
          <w:szCs w:val="22"/>
          <w:highlight w:val="none"/>
          <w:lang w:val="en-US" w:eastAsia="zh-CN"/>
        </w:rPr>
        <w:t>5.</w:t>
      </w:r>
      <w:r>
        <w:rPr>
          <w:rFonts w:hint="eastAsia" w:ascii="宋体" w:hAnsi="宋体"/>
          <w:color w:val="000000"/>
          <w:sz w:val="21"/>
          <w:szCs w:val="22"/>
          <w:highlight w:val="none"/>
          <w:lang w:val="en-US" w:eastAsia="zh-CN"/>
        </w:rPr>
        <w:t>11</w:t>
      </w:r>
      <w:r>
        <w:rPr>
          <w:rFonts w:hint="eastAsia" w:ascii="宋体" w:hAnsi="宋体" w:eastAsiaTheme="minorEastAsia"/>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highlight w:val="none"/>
          <w:lang w:val="en-US" w:eastAsia="zh-CN" w:bidi="ar-SA"/>
        </w:rPr>
        <w:t>——详见附件</w:t>
      </w:r>
    </w:p>
    <w:p w14:paraId="1C5E102D">
      <w:pPr>
        <w:pStyle w:val="38"/>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highlight w:val="none"/>
          <w:lang w:val="en-US" w:eastAsia="zh-CN" w:bidi="ar-SA"/>
        </w:rPr>
        <w:t>5.12：其他补充</w:t>
      </w:r>
    </w:p>
    <w:p w14:paraId="0A4B6F43">
      <w:pPr>
        <w:rPr>
          <w:rFonts w:hint="eastAsia"/>
          <w:highlight w:val="none"/>
          <w:lang w:val="en-US" w:eastAsia="zh-CN"/>
        </w:rPr>
      </w:pPr>
    </w:p>
    <w:p w14:paraId="4ACCA906">
      <w:pPr>
        <w:pStyle w:val="38"/>
        <w:rPr>
          <w:rFonts w:hint="eastAsia"/>
          <w:highlight w:val="none"/>
          <w:lang w:val="en-US" w:eastAsia="zh-CN"/>
        </w:rPr>
      </w:pPr>
    </w:p>
    <w:p w14:paraId="689B9299">
      <w:pPr>
        <w:rPr>
          <w:rFonts w:hint="eastAsia"/>
          <w:highlight w:val="none"/>
          <w:lang w:val="en-US" w:eastAsia="zh-CN"/>
        </w:rPr>
      </w:pPr>
    </w:p>
    <w:p w14:paraId="4D954A0D">
      <w:pPr>
        <w:pStyle w:val="38"/>
        <w:rPr>
          <w:rFonts w:hint="eastAsia"/>
          <w:highlight w:val="none"/>
          <w:lang w:val="en-US" w:eastAsia="zh-CN"/>
        </w:rPr>
      </w:pPr>
    </w:p>
    <w:p w14:paraId="2C6B87F7">
      <w:pPr>
        <w:rPr>
          <w:rFonts w:hint="eastAsia"/>
          <w:highlight w:val="none"/>
          <w:lang w:val="en-US" w:eastAsia="zh-CN"/>
        </w:rPr>
      </w:pPr>
    </w:p>
    <w:p w14:paraId="376D2D5B">
      <w:pPr>
        <w:pStyle w:val="38"/>
        <w:rPr>
          <w:rFonts w:hint="eastAsia"/>
          <w:highlight w:val="none"/>
          <w:lang w:val="en-US" w:eastAsia="zh-CN"/>
        </w:rPr>
      </w:pPr>
    </w:p>
    <w:p w14:paraId="3A3187A1">
      <w:pPr>
        <w:rPr>
          <w:rFonts w:hint="eastAsia"/>
          <w:highlight w:val="none"/>
          <w:lang w:val="en-US" w:eastAsia="zh-CN"/>
        </w:rPr>
      </w:pPr>
    </w:p>
    <w:p w14:paraId="6F277E22">
      <w:pPr>
        <w:pStyle w:val="38"/>
        <w:rPr>
          <w:rFonts w:hint="eastAsia"/>
          <w:highlight w:val="none"/>
          <w:lang w:val="en-US" w:eastAsia="zh-CN"/>
        </w:rPr>
      </w:pPr>
    </w:p>
    <w:p w14:paraId="6CCF57A4">
      <w:pPr>
        <w:rPr>
          <w:rFonts w:hint="eastAsia"/>
          <w:highlight w:val="none"/>
          <w:lang w:val="en-US" w:eastAsia="zh-CN"/>
        </w:rPr>
      </w:pPr>
    </w:p>
    <w:p w14:paraId="1178E8C8">
      <w:pPr>
        <w:pStyle w:val="38"/>
        <w:rPr>
          <w:rFonts w:hint="eastAsia"/>
          <w:highlight w:val="none"/>
          <w:lang w:val="en-US" w:eastAsia="zh-CN"/>
        </w:rPr>
      </w:pPr>
    </w:p>
    <w:p w14:paraId="7AC88AA5">
      <w:pPr>
        <w:rPr>
          <w:rFonts w:hint="eastAsia"/>
          <w:highlight w:val="none"/>
          <w:lang w:val="en-US" w:eastAsia="zh-CN"/>
        </w:rPr>
      </w:pPr>
    </w:p>
    <w:p w14:paraId="26B3B6B9">
      <w:pPr>
        <w:pStyle w:val="38"/>
        <w:rPr>
          <w:rFonts w:hint="eastAsia"/>
          <w:highlight w:val="none"/>
          <w:lang w:val="en-US" w:eastAsia="zh-CN"/>
        </w:rPr>
      </w:pPr>
    </w:p>
    <w:p w14:paraId="0425768A">
      <w:pPr>
        <w:rPr>
          <w:rFonts w:hint="eastAsia"/>
          <w:highlight w:val="none"/>
          <w:lang w:val="en-US" w:eastAsia="zh-CN"/>
        </w:rPr>
      </w:pPr>
    </w:p>
    <w:p w14:paraId="0844D6FF">
      <w:pPr>
        <w:pStyle w:val="38"/>
        <w:rPr>
          <w:rFonts w:hint="eastAsia"/>
          <w:highlight w:val="none"/>
          <w:lang w:val="en-US" w:eastAsia="zh-CN"/>
        </w:rPr>
      </w:pPr>
    </w:p>
    <w:p w14:paraId="24F2C398">
      <w:pPr>
        <w:rPr>
          <w:rFonts w:hint="eastAsia"/>
          <w:highlight w:val="none"/>
          <w:lang w:val="en-US" w:eastAsia="zh-CN"/>
        </w:rPr>
      </w:pPr>
    </w:p>
    <w:p w14:paraId="58D090DD">
      <w:pPr>
        <w:pStyle w:val="38"/>
        <w:rPr>
          <w:rFonts w:hint="eastAsia"/>
          <w:highlight w:val="none"/>
          <w:lang w:val="en-US" w:eastAsia="zh-CN"/>
        </w:rPr>
      </w:pPr>
    </w:p>
    <w:p w14:paraId="4BBA6F82">
      <w:pPr>
        <w:rPr>
          <w:rFonts w:hint="eastAsia"/>
          <w:highlight w:val="none"/>
          <w:lang w:val="en-US" w:eastAsia="zh-CN"/>
        </w:rPr>
      </w:pPr>
    </w:p>
    <w:p w14:paraId="7E67A2CD">
      <w:pPr>
        <w:pStyle w:val="38"/>
        <w:rPr>
          <w:rFonts w:hint="eastAsia"/>
          <w:highlight w:val="none"/>
          <w:lang w:val="en-US" w:eastAsia="zh-CN"/>
        </w:rPr>
      </w:pPr>
    </w:p>
    <w:p w14:paraId="06299744">
      <w:pPr>
        <w:rPr>
          <w:rFonts w:hint="eastAsia"/>
          <w:highlight w:val="none"/>
          <w:lang w:val="en-US" w:eastAsia="zh-CN"/>
        </w:rPr>
      </w:pPr>
    </w:p>
    <w:p w14:paraId="3664B056">
      <w:pPr>
        <w:pStyle w:val="38"/>
        <w:rPr>
          <w:rFonts w:hint="eastAsia"/>
          <w:highlight w:val="none"/>
          <w:lang w:val="en-US" w:eastAsia="zh-CN"/>
        </w:rPr>
      </w:pPr>
    </w:p>
    <w:p w14:paraId="7CAE6DB0">
      <w:pPr>
        <w:rPr>
          <w:rFonts w:hint="eastAsia"/>
          <w:highlight w:val="none"/>
          <w:lang w:val="en-US" w:eastAsia="zh-CN"/>
        </w:rPr>
      </w:pPr>
    </w:p>
    <w:p w14:paraId="6B95A6CE">
      <w:pPr>
        <w:pStyle w:val="38"/>
        <w:rPr>
          <w:rFonts w:hint="eastAsia"/>
          <w:highlight w:val="none"/>
          <w:lang w:val="en-US" w:eastAsia="zh-CN"/>
        </w:rPr>
      </w:pPr>
    </w:p>
    <w:p w14:paraId="15322942">
      <w:pPr>
        <w:rPr>
          <w:rFonts w:hint="eastAsia"/>
          <w:highlight w:val="none"/>
          <w:lang w:val="en-US" w:eastAsia="zh-CN"/>
        </w:rPr>
      </w:pPr>
    </w:p>
    <w:p w14:paraId="2B7F5417">
      <w:pPr>
        <w:pStyle w:val="38"/>
        <w:rPr>
          <w:rFonts w:hint="eastAsia"/>
          <w:highlight w:val="none"/>
          <w:lang w:val="en-US" w:eastAsia="zh-CN"/>
        </w:rPr>
      </w:pPr>
    </w:p>
    <w:p w14:paraId="138067C6">
      <w:pPr>
        <w:rPr>
          <w:rFonts w:hint="eastAsia"/>
          <w:highlight w:val="none"/>
          <w:lang w:val="en-US" w:eastAsia="zh-CN"/>
        </w:rPr>
      </w:pPr>
    </w:p>
    <w:p w14:paraId="220DA97A">
      <w:pPr>
        <w:pStyle w:val="38"/>
        <w:rPr>
          <w:rFonts w:hint="eastAsia"/>
          <w:highlight w:val="none"/>
          <w:lang w:val="en-US" w:eastAsia="zh-CN"/>
        </w:rPr>
      </w:pPr>
    </w:p>
    <w:p w14:paraId="4C637C3B">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83D126F">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highlight w:val="none"/>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highlight w:val="none"/>
          <w:lang w:val="en-US" w:eastAsia="zh-CN"/>
        </w:rPr>
        <w:t>：法定代表人（单位负责人）身份证明</w:t>
      </w:r>
    </w:p>
    <w:p w14:paraId="277E14BF">
      <w:pPr>
        <w:pStyle w:val="10"/>
        <w:keepNext w:val="0"/>
        <w:keepLines w:val="0"/>
        <w:pageBreakBefore w:val="0"/>
        <w:widowControl w:val="0"/>
        <w:kinsoku/>
        <w:wordWrap/>
        <w:overflowPunct/>
        <w:topLinePunct w:val="0"/>
        <w:autoSpaceDE/>
        <w:autoSpaceDN/>
        <w:bidi w:val="0"/>
        <w:adjustRightInd/>
        <w:snapToGrid/>
        <w:ind w:left="782"/>
        <w:textAlignment w:val="auto"/>
        <w:rPr>
          <w:rFonts w:hint="eastAsia"/>
          <w:highlight w:val="none"/>
          <w:lang w:val="en-US" w:eastAsia="zh-CN"/>
        </w:rPr>
      </w:pPr>
    </w:p>
    <w:p w14:paraId="0C0FDB64">
      <w:pPr>
        <w:pStyle w:val="8"/>
        <w:rPr>
          <w:rFonts w:ascii="微软雅黑" w:hAnsi="微软雅黑" w:eastAsia="微软雅黑"/>
          <w:b/>
          <w:spacing w:val="2"/>
          <w:sz w:val="32"/>
          <w:szCs w:val="32"/>
          <w:highlight w:val="none"/>
        </w:rPr>
      </w:pPr>
    </w:p>
    <w:p w14:paraId="78EA8E3C">
      <w:pPr>
        <w:pStyle w:val="8"/>
        <w:rPr>
          <w:rFonts w:ascii="微软雅黑" w:hAnsi="微软雅黑" w:eastAsia="微软雅黑"/>
          <w:b/>
          <w:spacing w:val="2"/>
          <w:sz w:val="32"/>
          <w:szCs w:val="32"/>
          <w:highlight w:val="none"/>
        </w:rPr>
      </w:pPr>
    </w:p>
    <w:p w14:paraId="47CB5A8B">
      <w:pPr>
        <w:spacing w:before="120" w:beforeLines="50" w:after="120" w:afterLines="50"/>
        <w:ind w:right="11"/>
        <w:jc w:val="center"/>
        <w:rPr>
          <w:rFonts w:ascii="微软雅黑" w:hAnsi="微软雅黑" w:eastAsia="微软雅黑"/>
          <w:b/>
          <w:sz w:val="32"/>
          <w:szCs w:val="32"/>
          <w:highlight w:val="none"/>
        </w:rPr>
      </w:pPr>
      <w:r>
        <w:rPr>
          <w:rFonts w:ascii="微软雅黑" w:hAnsi="微软雅黑" w:eastAsia="微软雅黑"/>
          <w:b/>
          <w:spacing w:val="2"/>
          <w:sz w:val="32"/>
          <w:szCs w:val="32"/>
          <w:highlight w:val="none"/>
        </w:rPr>
        <w:t>法定代表</w:t>
      </w:r>
      <w:r>
        <w:rPr>
          <w:rFonts w:ascii="微软雅黑" w:hAnsi="微软雅黑" w:eastAsia="微软雅黑"/>
          <w:b/>
          <w:sz w:val="32"/>
          <w:szCs w:val="32"/>
          <w:highlight w:val="none"/>
        </w:rPr>
        <w:t>人</w:t>
      </w:r>
      <w:r>
        <w:rPr>
          <w:rFonts w:ascii="微软雅黑" w:hAnsi="微软雅黑" w:eastAsia="微软雅黑"/>
          <w:b/>
          <w:spacing w:val="2"/>
          <w:sz w:val="32"/>
          <w:szCs w:val="32"/>
          <w:highlight w:val="none"/>
        </w:rPr>
        <w:t>（单位负责人</w:t>
      </w:r>
      <w:r>
        <w:rPr>
          <w:rFonts w:ascii="微软雅黑" w:hAnsi="微软雅黑" w:eastAsia="微软雅黑"/>
          <w:b/>
          <w:sz w:val="32"/>
          <w:szCs w:val="32"/>
          <w:highlight w:val="none"/>
        </w:rPr>
        <w:t>）</w:t>
      </w:r>
      <w:r>
        <w:rPr>
          <w:rFonts w:ascii="微软雅黑" w:hAnsi="微软雅黑" w:eastAsia="微软雅黑"/>
          <w:b/>
          <w:spacing w:val="2"/>
          <w:sz w:val="32"/>
          <w:szCs w:val="32"/>
          <w:highlight w:val="none"/>
        </w:rPr>
        <w:t>身份证</w:t>
      </w:r>
      <w:r>
        <w:rPr>
          <w:rFonts w:ascii="微软雅黑" w:hAnsi="微软雅黑" w:eastAsia="微软雅黑"/>
          <w:b/>
          <w:sz w:val="32"/>
          <w:szCs w:val="32"/>
          <w:highlight w:val="none"/>
        </w:rPr>
        <w:t>明</w:t>
      </w:r>
    </w:p>
    <w:p w14:paraId="4D9804DB">
      <w:pPr>
        <w:tabs>
          <w:tab w:val="left" w:pos="142"/>
        </w:tabs>
        <w:spacing w:line="200" w:lineRule="exact"/>
        <w:ind w:right="11"/>
        <w:jc w:val="center"/>
        <w:rPr>
          <w:rFonts w:ascii="微软雅黑" w:hAnsi="微软雅黑" w:eastAsia="微软雅黑"/>
          <w:sz w:val="20"/>
          <w:szCs w:val="20"/>
          <w:highlight w:val="none"/>
        </w:rPr>
      </w:pPr>
    </w:p>
    <w:p w14:paraId="5BFB13C8">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highlight w:val="none"/>
          <w:lang w:val="en-US" w:eastAsia="zh-CN" w:bidi="ar-SA"/>
        </w:rPr>
      </w:pPr>
    </w:p>
    <w:p w14:paraId="3209620F">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highlight w:val="none"/>
          <w:lang w:val="en-US" w:eastAsia="zh-CN" w:bidi="ar-SA"/>
        </w:rPr>
      </w:pPr>
    </w:p>
    <w:p w14:paraId="19C18029">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名</w:t>
      </w:r>
      <w:r>
        <w:rPr>
          <w:rFonts w:ascii="微软雅黑" w:hAnsi="微软雅黑" w:eastAsia="微软雅黑" w:cstheme="minorBidi"/>
          <w:spacing w:val="-3"/>
          <w:kern w:val="0"/>
          <w:sz w:val="24"/>
          <w:szCs w:val="24"/>
          <w:highlight w:val="none"/>
          <w:lang w:val="en-US" w:eastAsia="zh-CN" w:bidi="ar-SA"/>
        </w:rPr>
        <w:t>称</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w w:val="225"/>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u w:val="single" w:color="000000"/>
          <w:lang w:val="en-US" w:eastAsia="zh-CN" w:bidi="ar-SA"/>
        </w:rPr>
        <w:tab/>
      </w:r>
    </w:p>
    <w:p w14:paraId="0F454302">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姓名</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性别</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年</w:t>
      </w:r>
      <w:r>
        <w:rPr>
          <w:rFonts w:ascii="微软雅黑" w:hAnsi="微软雅黑" w:eastAsia="微软雅黑" w:cstheme="minorBidi"/>
          <w:spacing w:val="-3"/>
          <w:kern w:val="0"/>
          <w:sz w:val="24"/>
          <w:szCs w:val="24"/>
          <w:highlight w:val="none"/>
          <w:lang w:val="en-US" w:eastAsia="zh-CN" w:bidi="ar-SA"/>
        </w:rPr>
        <w:t>龄</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职</w:t>
      </w:r>
      <w:r>
        <w:rPr>
          <w:rFonts w:ascii="微软雅黑" w:hAnsi="微软雅黑" w:eastAsia="微软雅黑" w:cstheme="minorBidi"/>
          <w:spacing w:val="-3"/>
          <w:kern w:val="0"/>
          <w:sz w:val="24"/>
          <w:szCs w:val="24"/>
          <w:highlight w:val="none"/>
          <w:lang w:val="en-US" w:eastAsia="zh-CN" w:bidi="ar-SA"/>
        </w:rPr>
        <w:t>务</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w w:val="225"/>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u w:val="single" w:color="000000"/>
          <w:lang w:val="en-US" w:eastAsia="zh-CN" w:bidi="ar-SA"/>
        </w:rPr>
        <w:tab/>
      </w:r>
    </w:p>
    <w:p w14:paraId="2F601A31">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spacing w:val="-1"/>
          <w:kern w:val="0"/>
          <w:sz w:val="24"/>
          <w:szCs w:val="24"/>
          <w:highlight w:val="none"/>
          <w:lang w:val="en-US" w:eastAsia="zh-CN" w:bidi="ar-SA"/>
        </w:rPr>
        <w:t>系</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spacing w:val="-3"/>
          <w:kern w:val="0"/>
          <w:sz w:val="24"/>
          <w:szCs w:val="24"/>
          <w:highlight w:val="none"/>
          <w:lang w:val="en-US" w:eastAsia="zh-CN" w:bidi="ar-SA"/>
        </w:rPr>
        <w:t>（</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名</w:t>
      </w:r>
      <w:r>
        <w:rPr>
          <w:rFonts w:ascii="微软雅黑" w:hAnsi="微软雅黑" w:eastAsia="微软雅黑" w:cstheme="minorBidi"/>
          <w:kern w:val="0"/>
          <w:sz w:val="24"/>
          <w:szCs w:val="24"/>
          <w:highlight w:val="none"/>
          <w:lang w:val="en-US" w:eastAsia="zh-CN" w:bidi="ar-SA"/>
        </w:rPr>
        <w:t>称</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的</w:t>
      </w:r>
      <w:r>
        <w:rPr>
          <w:rFonts w:ascii="微软雅黑" w:hAnsi="微软雅黑" w:eastAsia="微软雅黑" w:cstheme="minorBidi"/>
          <w:spacing w:val="-3"/>
          <w:kern w:val="0"/>
          <w:sz w:val="24"/>
          <w:szCs w:val="24"/>
          <w:highlight w:val="none"/>
          <w:lang w:val="en-US" w:eastAsia="zh-CN" w:bidi="ar-SA"/>
        </w:rPr>
        <w:t>法定</w:t>
      </w:r>
      <w:r>
        <w:rPr>
          <w:rFonts w:ascii="微软雅黑" w:hAnsi="微软雅黑" w:eastAsia="微软雅黑" w:cstheme="minorBidi"/>
          <w:kern w:val="0"/>
          <w:sz w:val="24"/>
          <w:szCs w:val="24"/>
          <w:highlight w:val="none"/>
          <w:lang w:val="en-US" w:eastAsia="zh-CN" w:bidi="ar-SA"/>
        </w:rPr>
        <w:t>代表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6"/>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w:t>
      </w:r>
    </w:p>
    <w:p w14:paraId="6B0130D1">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特此</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明。</w:t>
      </w:r>
    </w:p>
    <w:p w14:paraId="7F07C3B2">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p>
    <w:p w14:paraId="06E30C53">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14:paraId="7D4A674C">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p>
    <w:p w14:paraId="2C40BFDC">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w:t>
      </w:r>
      <w:r>
        <w:rPr>
          <w:rFonts w:ascii="微软雅黑" w:hAnsi="微软雅黑" w:eastAsia="微软雅黑" w:cstheme="minorBidi"/>
          <w:spacing w:val="-3"/>
          <w:kern w:val="0"/>
          <w:sz w:val="24"/>
          <w:szCs w:val="24"/>
          <w:highlight w:val="none"/>
          <w:lang w:val="en-US" w:eastAsia="zh-CN" w:bidi="ar-SA"/>
        </w:rPr>
        <w:t>本</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明</w:t>
      </w:r>
      <w:r>
        <w:rPr>
          <w:rFonts w:ascii="微软雅黑" w:hAnsi="微软雅黑" w:eastAsia="微软雅黑" w:cstheme="minorBidi"/>
          <w:kern w:val="0"/>
          <w:sz w:val="24"/>
          <w:szCs w:val="24"/>
          <w:highlight w:val="none"/>
          <w:lang w:val="en-US" w:eastAsia="zh-CN" w:bidi="ar-SA"/>
        </w:rPr>
        <w:t>需</w:t>
      </w:r>
      <w:r>
        <w:rPr>
          <w:rFonts w:ascii="微软雅黑" w:hAnsi="微软雅黑" w:eastAsia="微软雅黑" w:cstheme="minorBidi"/>
          <w:spacing w:val="-3"/>
          <w:kern w:val="0"/>
          <w:sz w:val="24"/>
          <w:szCs w:val="24"/>
          <w:highlight w:val="none"/>
          <w:lang w:val="en-US" w:eastAsia="zh-CN" w:bidi="ar-SA"/>
        </w:rPr>
        <w:t>由</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w:t>
      </w:r>
      <w:r>
        <w:rPr>
          <w:rFonts w:ascii="微软雅黑" w:hAnsi="微软雅黑" w:eastAsia="微软雅黑" w:cstheme="minorBidi"/>
          <w:spacing w:val="-3"/>
          <w:kern w:val="0"/>
          <w:sz w:val="24"/>
          <w:szCs w:val="24"/>
          <w:highlight w:val="none"/>
          <w:lang w:val="en-US" w:eastAsia="zh-CN" w:bidi="ar-SA"/>
        </w:rPr>
        <w:t>盖</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14:paraId="5BD9DA81">
      <w:pPr>
        <w:tabs>
          <w:tab w:val="left" w:pos="142"/>
        </w:tabs>
        <w:ind w:right="11"/>
        <w:rPr>
          <w:rFonts w:ascii="微软雅黑" w:hAnsi="微软雅黑" w:eastAsia="微软雅黑"/>
          <w:sz w:val="24"/>
          <w:szCs w:val="24"/>
          <w:highlight w:val="none"/>
        </w:rPr>
      </w:pPr>
    </w:p>
    <w:p w14:paraId="6CECF287">
      <w:pPr>
        <w:tabs>
          <w:tab w:val="left" w:pos="142"/>
        </w:tabs>
        <w:ind w:right="11"/>
        <w:rPr>
          <w:rFonts w:ascii="微软雅黑" w:hAnsi="微软雅黑" w:eastAsia="微软雅黑"/>
          <w:sz w:val="24"/>
          <w:szCs w:val="24"/>
          <w:highlight w:val="none"/>
        </w:rPr>
      </w:pPr>
    </w:p>
    <w:p w14:paraId="62EBCB04">
      <w:pPr>
        <w:tabs>
          <w:tab w:val="left" w:pos="142"/>
        </w:tabs>
        <w:ind w:right="11"/>
        <w:rPr>
          <w:rFonts w:ascii="微软雅黑" w:hAnsi="微软雅黑" w:eastAsia="微软雅黑"/>
          <w:sz w:val="24"/>
          <w:szCs w:val="24"/>
          <w:highlight w:val="none"/>
        </w:rPr>
      </w:pPr>
    </w:p>
    <w:p w14:paraId="267C0EA1">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spacing w:val="-1"/>
          <w:kern w:val="0"/>
          <w:sz w:val="24"/>
          <w:szCs w:val="24"/>
          <w:highlight w:val="none"/>
          <w:lang w:val="en-US" w:eastAsia="zh-CN" w:bidi="ar-SA"/>
        </w:rPr>
        <w:t>：</w:t>
      </w:r>
      <w:r>
        <w:rPr>
          <w:rFonts w:hint="eastAsia" w:ascii="微软雅黑" w:hAnsi="微软雅黑" w:eastAsia="微软雅黑" w:cstheme="minorBidi"/>
          <w:spacing w:val="-1"/>
          <w:kern w:val="0"/>
          <w:sz w:val="24"/>
          <w:szCs w:val="24"/>
          <w:highlight w:val="none"/>
          <w:u w:val="single"/>
          <w:lang w:val="en-US" w:eastAsia="zh-CN" w:bidi="ar-SA"/>
        </w:rPr>
        <w:t xml:space="preserve">                   </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14:paraId="63DD2D2F">
      <w:pPr>
        <w:widowControl w:val="0"/>
        <w:tabs>
          <w:tab w:val="left" w:pos="142"/>
          <w:tab w:val="left" w:pos="5352"/>
          <w:tab w:val="left" w:pos="6192"/>
          <w:tab w:val="left" w:pos="7032"/>
        </w:tabs>
        <w:spacing w:before="36" w:after="120" w:afterLines="50"/>
        <w:ind w:left="780" w:right="11" w:firstLine="1080"/>
        <w:jc w:val="right"/>
        <w:rPr>
          <w:highlight w:val="none"/>
        </w:rPr>
      </w:pPr>
      <w:r>
        <w:rPr>
          <w:rFonts w:hint="eastAsia" w:ascii="微软雅黑" w:hAnsi="微软雅黑" w:eastAsia="微软雅黑" w:cstheme="minorBidi"/>
          <w:w w:val="225"/>
          <w:kern w:val="0"/>
          <w:sz w:val="24"/>
          <w:szCs w:val="24"/>
          <w:highlight w:val="none"/>
          <w:lang w:val="en-US" w:eastAsia="zh-CN" w:bidi="ar-SA"/>
        </w:rPr>
        <w:t>____</w:t>
      </w:r>
      <w:r>
        <w:rPr>
          <w:rFonts w:ascii="微软雅黑" w:hAnsi="微软雅黑" w:eastAsia="微软雅黑" w:cstheme="minorBidi"/>
          <w:kern w:val="0"/>
          <w:sz w:val="24"/>
          <w:szCs w:val="24"/>
          <w:highlight w:val="none"/>
          <w:lang w:val="en-US" w:eastAsia="zh-CN" w:bidi="ar-SA"/>
        </w:rPr>
        <w:t>年</w:t>
      </w:r>
      <w:r>
        <w:rPr>
          <w:rFonts w:hint="eastAsia" w:ascii="微软雅黑" w:hAnsi="微软雅黑" w:eastAsia="微软雅黑" w:cstheme="minorBidi"/>
          <w:kern w:val="0"/>
          <w:sz w:val="24"/>
          <w:szCs w:val="24"/>
          <w:highlight w:val="none"/>
          <w:lang w:val="en-US" w:eastAsia="zh-CN" w:bidi="ar-SA"/>
        </w:rPr>
        <w:t>_______</w:t>
      </w:r>
      <w:r>
        <w:rPr>
          <w:rFonts w:ascii="微软雅黑" w:hAnsi="微软雅黑" w:eastAsia="微软雅黑" w:cstheme="minorBidi"/>
          <w:kern w:val="0"/>
          <w:sz w:val="24"/>
          <w:szCs w:val="24"/>
          <w:highlight w:val="none"/>
          <w:lang w:val="en-US" w:eastAsia="zh-CN" w:bidi="ar-SA"/>
        </w:rPr>
        <w:t>月</w:t>
      </w:r>
      <w:r>
        <w:rPr>
          <w:rFonts w:hint="eastAsia" w:ascii="微软雅黑" w:hAnsi="微软雅黑" w:eastAsia="微软雅黑" w:cstheme="minorBidi"/>
          <w:kern w:val="0"/>
          <w:sz w:val="24"/>
          <w:szCs w:val="24"/>
          <w:highlight w:val="none"/>
          <w:lang w:val="en-US" w:eastAsia="zh-CN" w:bidi="ar-SA"/>
        </w:rPr>
        <w:t>______</w:t>
      </w:r>
      <w:r>
        <w:rPr>
          <w:rFonts w:ascii="微软雅黑" w:hAnsi="微软雅黑" w:eastAsia="微软雅黑" w:cstheme="minorBidi"/>
          <w:kern w:val="0"/>
          <w:sz w:val="24"/>
          <w:szCs w:val="24"/>
          <w:highlight w:val="none"/>
          <w:lang w:val="en-US" w:eastAsia="zh-CN" w:bidi="ar-SA"/>
        </w:rPr>
        <w:t>日</w:t>
      </w:r>
    </w:p>
    <w:p w14:paraId="1852CD0B">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p>
    <w:p w14:paraId="5249BB71">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p>
    <w:p w14:paraId="7C0C99C9">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14:paraId="6E33E516">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t>5.3：授权委托书</w:t>
      </w:r>
    </w:p>
    <w:p w14:paraId="7EE8DE99">
      <w:pPr>
        <w:pStyle w:val="51"/>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highlight w:val="none"/>
          <w:lang w:eastAsia="zh-CN"/>
        </w:rPr>
      </w:pPr>
    </w:p>
    <w:p w14:paraId="6F9F92E8">
      <w:pPr>
        <w:pStyle w:val="51"/>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highlight w:val="none"/>
          <w:lang w:eastAsia="zh-CN"/>
        </w:rPr>
      </w:pPr>
      <w:r>
        <w:rPr>
          <w:rFonts w:ascii="微软雅黑" w:hAnsi="微软雅黑" w:eastAsia="微软雅黑"/>
          <w:b/>
          <w:spacing w:val="2"/>
          <w:highlight w:val="none"/>
          <w:lang w:eastAsia="zh-CN"/>
        </w:rPr>
        <w:t>授权委托书</w:t>
      </w:r>
    </w:p>
    <w:p w14:paraId="1AA46424">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本人</w:t>
      </w:r>
      <w:r>
        <w:rPr>
          <w:rFonts w:ascii="微软雅黑" w:hAnsi="微软雅黑" w:eastAsia="微软雅黑" w:cstheme="minorBidi"/>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姓</w:t>
      </w:r>
      <w:r>
        <w:rPr>
          <w:rFonts w:ascii="微软雅黑" w:hAnsi="微软雅黑" w:eastAsia="微软雅黑" w:cstheme="minorBidi"/>
          <w:kern w:val="0"/>
          <w:sz w:val="24"/>
          <w:szCs w:val="24"/>
          <w:highlight w:val="none"/>
          <w:lang w:val="en-US" w:eastAsia="zh-CN" w:bidi="ar-SA"/>
        </w:rPr>
        <w:t>名）</w:t>
      </w:r>
      <w:r>
        <w:rPr>
          <w:rFonts w:ascii="微软雅黑" w:hAnsi="微软雅黑" w:eastAsia="微软雅黑" w:cstheme="minorBidi"/>
          <w:spacing w:val="-1"/>
          <w:kern w:val="0"/>
          <w:sz w:val="24"/>
          <w:szCs w:val="24"/>
          <w:highlight w:val="none"/>
          <w:lang w:val="en-US" w:eastAsia="zh-CN" w:bidi="ar-SA"/>
        </w:rPr>
        <w:t>系</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名</w:t>
      </w:r>
      <w:r>
        <w:rPr>
          <w:rFonts w:ascii="微软雅黑" w:hAnsi="微软雅黑" w:eastAsia="微软雅黑" w:cstheme="minorBidi"/>
          <w:kern w:val="0"/>
          <w:sz w:val="24"/>
          <w:szCs w:val="24"/>
          <w:highlight w:val="none"/>
          <w:lang w:val="en-US" w:eastAsia="zh-CN" w:bidi="ar-SA"/>
        </w:rPr>
        <w:t>称）的</w:t>
      </w:r>
      <w:r>
        <w:rPr>
          <w:rFonts w:ascii="微软雅黑" w:hAnsi="微软雅黑" w:eastAsia="微软雅黑" w:cstheme="minorBidi"/>
          <w:spacing w:val="-3"/>
          <w:kern w:val="0"/>
          <w:sz w:val="24"/>
          <w:szCs w:val="24"/>
          <w:highlight w:val="none"/>
          <w:lang w:val="en-US" w:eastAsia="zh-CN" w:bidi="ar-SA"/>
        </w:rPr>
        <w:t>法定</w:t>
      </w:r>
      <w:r>
        <w:rPr>
          <w:rFonts w:ascii="微软雅黑" w:hAnsi="微软雅黑" w:eastAsia="微软雅黑" w:cstheme="minorBidi"/>
          <w:kern w:val="0"/>
          <w:sz w:val="24"/>
          <w:szCs w:val="24"/>
          <w:highlight w:val="none"/>
          <w:lang w:val="en-US" w:eastAsia="zh-CN" w:bidi="ar-SA"/>
        </w:rPr>
        <w:t>代表人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单位负责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4"/>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现</w:t>
      </w:r>
      <w:r>
        <w:rPr>
          <w:rFonts w:ascii="微软雅黑" w:hAnsi="微软雅黑" w:eastAsia="微软雅黑" w:cstheme="minorBidi"/>
          <w:kern w:val="0"/>
          <w:sz w:val="24"/>
          <w:szCs w:val="24"/>
          <w:highlight w:val="none"/>
          <w:lang w:val="en-US" w:eastAsia="zh-CN" w:bidi="ar-SA"/>
        </w:rPr>
        <w:t>委</w:t>
      </w:r>
      <w:r>
        <w:rPr>
          <w:rFonts w:ascii="微软雅黑" w:hAnsi="微软雅黑" w:eastAsia="微软雅黑" w:cstheme="minorBidi"/>
          <w:spacing w:val="-1"/>
          <w:kern w:val="0"/>
          <w:sz w:val="24"/>
          <w:szCs w:val="24"/>
          <w:highlight w:val="none"/>
          <w:lang w:val="en-US" w:eastAsia="zh-CN" w:bidi="ar-SA"/>
        </w:rPr>
        <w:t>托</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（姓名）为我</w:t>
      </w:r>
      <w:r>
        <w:rPr>
          <w:rFonts w:ascii="微软雅黑" w:hAnsi="微软雅黑" w:eastAsia="微软雅黑" w:cstheme="minorBidi"/>
          <w:spacing w:val="-3"/>
          <w:kern w:val="0"/>
          <w:sz w:val="24"/>
          <w:szCs w:val="24"/>
          <w:highlight w:val="none"/>
          <w:lang w:val="en-US" w:eastAsia="zh-CN" w:bidi="ar-SA"/>
        </w:rPr>
        <w:t>方代</w:t>
      </w:r>
      <w:r>
        <w:rPr>
          <w:rFonts w:ascii="微软雅黑" w:hAnsi="微软雅黑" w:eastAsia="微软雅黑" w:cstheme="minorBidi"/>
          <w:kern w:val="0"/>
          <w:sz w:val="24"/>
          <w:szCs w:val="24"/>
          <w:highlight w:val="none"/>
          <w:lang w:val="en-US" w:eastAsia="zh-CN" w:bidi="ar-SA"/>
        </w:rPr>
        <w:t>理人。代理</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根据授</w:t>
      </w:r>
      <w:r>
        <w:rPr>
          <w:rFonts w:ascii="微软雅黑" w:hAnsi="微软雅黑" w:eastAsia="微软雅黑" w:cstheme="minorBidi"/>
          <w:spacing w:val="-3"/>
          <w:kern w:val="0"/>
          <w:sz w:val="24"/>
          <w:szCs w:val="24"/>
          <w:highlight w:val="none"/>
          <w:lang w:val="en-US" w:eastAsia="zh-CN" w:bidi="ar-SA"/>
        </w:rPr>
        <w:t>权，</w:t>
      </w:r>
      <w:r>
        <w:rPr>
          <w:rFonts w:ascii="微软雅黑" w:hAnsi="微软雅黑" w:eastAsia="微软雅黑" w:cstheme="minorBidi"/>
          <w:kern w:val="0"/>
          <w:sz w:val="24"/>
          <w:szCs w:val="24"/>
          <w:highlight w:val="none"/>
          <w:lang w:val="en-US" w:eastAsia="zh-CN" w:bidi="ar-SA"/>
        </w:rPr>
        <w:t>以我方名义</w:t>
      </w:r>
      <w:r>
        <w:rPr>
          <w:rFonts w:ascii="微软雅黑" w:hAnsi="微软雅黑" w:eastAsia="微软雅黑" w:cstheme="minorBidi"/>
          <w:spacing w:val="-3"/>
          <w:kern w:val="0"/>
          <w:sz w:val="24"/>
          <w:szCs w:val="24"/>
          <w:highlight w:val="none"/>
          <w:lang w:val="en-US" w:eastAsia="zh-CN" w:bidi="ar-SA"/>
        </w:rPr>
        <w:t>签</w:t>
      </w:r>
      <w:r>
        <w:rPr>
          <w:rFonts w:ascii="微软雅黑" w:hAnsi="微软雅黑" w:eastAsia="微软雅黑" w:cstheme="minorBidi"/>
          <w:kern w:val="0"/>
          <w:sz w:val="24"/>
          <w:szCs w:val="24"/>
          <w:highlight w:val="none"/>
          <w:lang w:val="en-US" w:eastAsia="zh-CN" w:bidi="ar-SA"/>
        </w:rPr>
        <w:t>署、澄清</w:t>
      </w:r>
      <w:r>
        <w:rPr>
          <w:rFonts w:hint="eastAsia"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确认、递交</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撤回</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修改</w:t>
      </w:r>
      <w:r>
        <w:rPr>
          <w:rFonts w:hint="eastAsia" w:ascii="微软雅黑" w:hAnsi="微软雅黑" w:eastAsia="微软雅黑" w:cstheme="minorBidi"/>
          <w:kern w:val="0"/>
          <w:sz w:val="24"/>
          <w:szCs w:val="24"/>
          <w:highlight w:val="none"/>
          <w:lang w:val="en-US" w:eastAsia="zh-CN" w:bidi="ar-SA"/>
        </w:rPr>
        <w:t>服务</w:t>
      </w:r>
      <w:r>
        <w:rPr>
          <w:rFonts w:ascii="微软雅黑" w:hAnsi="微软雅黑" w:eastAsia="微软雅黑" w:cstheme="minorBidi"/>
          <w:kern w:val="0"/>
          <w:sz w:val="24"/>
          <w:szCs w:val="24"/>
          <w:highlight w:val="none"/>
          <w:lang w:val="en-US" w:eastAsia="zh-CN" w:bidi="ar-SA"/>
        </w:rPr>
        <w:t>采购询价项目</w:t>
      </w:r>
      <w:r>
        <w:rPr>
          <w:rFonts w:hint="eastAsia" w:ascii="微软雅黑" w:hAnsi="微软雅黑" w:eastAsia="微软雅黑" w:cstheme="minorBidi"/>
          <w:kern w:val="0"/>
          <w:sz w:val="24"/>
          <w:szCs w:val="24"/>
          <w:highlight w:val="none"/>
          <w:lang w:val="en-US" w:eastAsia="zh-CN" w:bidi="ar-SA"/>
        </w:rPr>
        <w:t>报价</w:t>
      </w:r>
      <w:r>
        <w:rPr>
          <w:rFonts w:ascii="微软雅黑" w:hAnsi="微软雅黑" w:eastAsia="微软雅黑" w:cstheme="minorBidi"/>
          <w:kern w:val="0"/>
          <w:sz w:val="24"/>
          <w:szCs w:val="24"/>
          <w:highlight w:val="none"/>
          <w:lang w:val="en-US" w:eastAsia="zh-CN" w:bidi="ar-SA"/>
        </w:rPr>
        <w:t>文件、签订合</w:t>
      </w:r>
      <w:r>
        <w:rPr>
          <w:rFonts w:ascii="微软雅黑" w:hAnsi="微软雅黑" w:eastAsia="微软雅黑" w:cstheme="minorBidi"/>
          <w:spacing w:val="-3"/>
          <w:kern w:val="0"/>
          <w:sz w:val="24"/>
          <w:szCs w:val="24"/>
          <w:highlight w:val="none"/>
          <w:lang w:val="en-US" w:eastAsia="zh-CN" w:bidi="ar-SA"/>
        </w:rPr>
        <w:t>同</w:t>
      </w:r>
      <w:r>
        <w:rPr>
          <w:rFonts w:ascii="微软雅黑" w:hAnsi="微软雅黑" w:eastAsia="微软雅黑" w:cstheme="minorBidi"/>
          <w:kern w:val="0"/>
          <w:sz w:val="24"/>
          <w:szCs w:val="24"/>
          <w:highlight w:val="none"/>
          <w:lang w:val="en-US" w:eastAsia="zh-CN" w:bidi="ar-SA"/>
        </w:rPr>
        <w:t>和处</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有关事宜，其</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律后果</w:t>
      </w:r>
      <w:r>
        <w:rPr>
          <w:rFonts w:ascii="微软雅黑" w:hAnsi="微软雅黑" w:eastAsia="微软雅黑" w:cstheme="minorBidi"/>
          <w:spacing w:val="-3"/>
          <w:kern w:val="0"/>
          <w:sz w:val="24"/>
          <w:szCs w:val="24"/>
          <w:highlight w:val="none"/>
          <w:lang w:val="en-US" w:eastAsia="zh-CN" w:bidi="ar-SA"/>
        </w:rPr>
        <w:t>由</w:t>
      </w:r>
      <w:r>
        <w:rPr>
          <w:rFonts w:ascii="微软雅黑" w:hAnsi="微软雅黑" w:eastAsia="微软雅黑" w:cstheme="minorBidi"/>
          <w:kern w:val="0"/>
          <w:sz w:val="24"/>
          <w:szCs w:val="24"/>
          <w:highlight w:val="none"/>
          <w:lang w:val="en-US" w:eastAsia="zh-CN" w:bidi="ar-SA"/>
        </w:rPr>
        <w:t>我</w:t>
      </w:r>
      <w:r>
        <w:rPr>
          <w:rFonts w:ascii="微软雅黑" w:hAnsi="微软雅黑" w:eastAsia="微软雅黑" w:cstheme="minorBidi"/>
          <w:spacing w:val="-3"/>
          <w:kern w:val="0"/>
          <w:sz w:val="24"/>
          <w:szCs w:val="24"/>
          <w:highlight w:val="none"/>
          <w:lang w:val="en-US" w:eastAsia="zh-CN" w:bidi="ar-SA"/>
        </w:rPr>
        <w:t>方</w:t>
      </w:r>
      <w:r>
        <w:rPr>
          <w:rFonts w:ascii="微软雅黑" w:hAnsi="微软雅黑" w:eastAsia="微软雅黑" w:cstheme="minorBidi"/>
          <w:kern w:val="0"/>
          <w:sz w:val="24"/>
          <w:szCs w:val="24"/>
          <w:highlight w:val="none"/>
          <w:lang w:val="en-US" w:eastAsia="zh-CN" w:bidi="ar-SA"/>
        </w:rPr>
        <w:t>承</w:t>
      </w:r>
      <w:r>
        <w:rPr>
          <w:rFonts w:ascii="微软雅黑" w:hAnsi="微软雅黑" w:eastAsia="微软雅黑" w:cstheme="minorBidi"/>
          <w:spacing w:val="-3"/>
          <w:kern w:val="0"/>
          <w:sz w:val="24"/>
          <w:szCs w:val="24"/>
          <w:highlight w:val="none"/>
          <w:lang w:val="en-US" w:eastAsia="zh-CN" w:bidi="ar-SA"/>
        </w:rPr>
        <w:t>担</w:t>
      </w:r>
      <w:r>
        <w:rPr>
          <w:rFonts w:ascii="微软雅黑" w:hAnsi="微软雅黑" w:eastAsia="微软雅黑" w:cstheme="minorBidi"/>
          <w:kern w:val="0"/>
          <w:sz w:val="24"/>
          <w:szCs w:val="24"/>
          <w:highlight w:val="none"/>
          <w:lang w:val="en-US" w:eastAsia="zh-CN" w:bidi="ar-SA"/>
        </w:rPr>
        <w:t>。</w:t>
      </w:r>
    </w:p>
    <w:p w14:paraId="3F029716">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委托</w:t>
      </w:r>
      <w:r>
        <w:rPr>
          <w:rFonts w:ascii="微软雅黑" w:hAnsi="微软雅黑" w:eastAsia="微软雅黑" w:cstheme="minorBidi"/>
          <w:spacing w:val="-3"/>
          <w:kern w:val="0"/>
          <w:sz w:val="24"/>
          <w:szCs w:val="24"/>
          <w:highlight w:val="none"/>
          <w:lang w:val="en-US" w:eastAsia="zh-CN" w:bidi="ar-SA"/>
        </w:rPr>
        <w:t>期</w:t>
      </w:r>
      <w:r>
        <w:rPr>
          <w:rFonts w:ascii="微软雅黑" w:hAnsi="微软雅黑" w:eastAsia="微软雅黑" w:cstheme="minorBidi"/>
          <w:kern w:val="0"/>
          <w:sz w:val="24"/>
          <w:szCs w:val="24"/>
          <w:highlight w:val="none"/>
          <w:lang w:val="en-US" w:eastAsia="zh-CN" w:bidi="ar-SA"/>
        </w:rPr>
        <w:t>限</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p>
    <w:p w14:paraId="1512F1E4">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代理</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无</w:t>
      </w:r>
      <w:r>
        <w:rPr>
          <w:rFonts w:ascii="微软雅黑" w:hAnsi="微软雅黑" w:eastAsia="微软雅黑" w:cstheme="minorBidi"/>
          <w:spacing w:val="-3"/>
          <w:kern w:val="0"/>
          <w:sz w:val="24"/>
          <w:szCs w:val="24"/>
          <w:highlight w:val="none"/>
          <w:lang w:val="en-US" w:eastAsia="zh-CN" w:bidi="ar-SA"/>
        </w:rPr>
        <w:t>转</w:t>
      </w:r>
      <w:r>
        <w:rPr>
          <w:rFonts w:ascii="微软雅黑" w:hAnsi="微软雅黑" w:eastAsia="微软雅黑" w:cstheme="minorBidi"/>
          <w:kern w:val="0"/>
          <w:sz w:val="24"/>
          <w:szCs w:val="24"/>
          <w:highlight w:val="none"/>
          <w:lang w:val="en-US" w:eastAsia="zh-CN" w:bidi="ar-SA"/>
        </w:rPr>
        <w:t>委</w:t>
      </w:r>
      <w:r>
        <w:rPr>
          <w:rFonts w:ascii="微软雅黑" w:hAnsi="微软雅黑" w:eastAsia="微软雅黑" w:cstheme="minorBidi"/>
          <w:spacing w:val="-3"/>
          <w:kern w:val="0"/>
          <w:sz w:val="24"/>
          <w:szCs w:val="24"/>
          <w:highlight w:val="none"/>
          <w:lang w:val="en-US" w:eastAsia="zh-CN" w:bidi="ar-SA"/>
        </w:rPr>
        <w:t>托</w:t>
      </w:r>
      <w:r>
        <w:rPr>
          <w:rFonts w:ascii="微软雅黑" w:hAnsi="微软雅黑" w:eastAsia="微软雅黑" w:cstheme="minorBidi"/>
          <w:kern w:val="0"/>
          <w:sz w:val="24"/>
          <w:szCs w:val="24"/>
          <w:highlight w:val="none"/>
          <w:lang w:val="en-US" w:eastAsia="zh-CN" w:bidi="ar-SA"/>
        </w:rPr>
        <w:t xml:space="preserve">权。 </w:t>
      </w:r>
    </w:p>
    <w:p w14:paraId="4BE792B3">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14:paraId="17E15841">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14:paraId="0CE57F99">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highlight w:val="none"/>
        </w:rPr>
      </w:pPr>
    </w:p>
    <w:p w14:paraId="2B020B52">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highlight w:val="none"/>
        </w:rPr>
      </w:pPr>
    </w:p>
    <w:p w14:paraId="6F6F1B39">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w:t>
      </w:r>
      <w:r>
        <w:rPr>
          <w:rFonts w:hint="eastAsia" w:ascii="微软雅黑" w:hAnsi="微软雅黑" w:eastAsia="微软雅黑" w:cstheme="minorBidi"/>
          <w:spacing w:val="-3"/>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14:paraId="2F766F05">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法定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8"/>
          <w:kern w:val="0"/>
          <w:sz w:val="24"/>
          <w:szCs w:val="24"/>
          <w:highlight w:val="none"/>
          <w:lang w:val="en-US" w:eastAsia="zh-CN" w:bidi="ar-SA"/>
        </w:rPr>
        <w:t>）</w:t>
      </w:r>
      <w:r>
        <w:rPr>
          <w:rFonts w:ascii="微软雅黑" w:hAnsi="微软雅黑" w:eastAsia="微软雅黑" w:cstheme="minorBidi"/>
          <w:spacing w:val="-1"/>
          <w:kern w:val="0"/>
          <w:sz w:val="24"/>
          <w:szCs w:val="24"/>
          <w:highlight w:val="none"/>
          <w:lang w:val="en-US" w:eastAsia="zh-CN" w:bidi="ar-SA"/>
        </w:rPr>
        <w:t>：</w:t>
      </w:r>
      <w:r>
        <w:rPr>
          <w:rFonts w:hint="eastAsia" w:ascii="微软雅黑" w:hAnsi="微软雅黑" w:eastAsia="微软雅黑" w:cstheme="minorBidi"/>
          <w:spacing w:val="-1"/>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（签</w:t>
      </w:r>
      <w:r>
        <w:rPr>
          <w:rFonts w:ascii="微软雅黑" w:hAnsi="微软雅黑" w:eastAsia="微软雅黑" w:cstheme="minorBidi"/>
          <w:spacing w:val="-3"/>
          <w:kern w:val="0"/>
          <w:sz w:val="24"/>
          <w:szCs w:val="24"/>
          <w:highlight w:val="none"/>
          <w:lang w:val="en-US" w:eastAsia="zh-CN" w:bidi="ar-SA"/>
        </w:rPr>
        <w:t>字</w:t>
      </w:r>
      <w:r>
        <w:rPr>
          <w:rFonts w:ascii="微软雅黑" w:hAnsi="微软雅黑" w:eastAsia="微软雅黑" w:cstheme="minorBidi"/>
          <w:kern w:val="0"/>
          <w:sz w:val="24"/>
          <w:szCs w:val="24"/>
          <w:highlight w:val="none"/>
          <w:lang w:val="en-US" w:eastAsia="zh-CN" w:bidi="ar-SA"/>
        </w:rPr>
        <w:t>）</w:t>
      </w:r>
    </w:p>
    <w:p w14:paraId="39DA2527">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 xml:space="preserve"> </w:t>
      </w:r>
      <w:r>
        <w:rPr>
          <w:rFonts w:ascii="微软雅黑" w:hAnsi="微软雅黑" w:eastAsia="微软雅黑" w:cstheme="minorBidi"/>
          <w:kern w:val="0"/>
          <w:sz w:val="24"/>
          <w:szCs w:val="24"/>
          <w:highlight w:val="none"/>
          <w:lang w:val="en-US" w:eastAsia="zh-CN" w:bidi="ar-SA"/>
        </w:rPr>
        <w:t>身份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号</w:t>
      </w:r>
      <w:r>
        <w:rPr>
          <w:rFonts w:ascii="微软雅黑" w:hAnsi="微软雅黑" w:eastAsia="微软雅黑" w:cstheme="minorBidi"/>
          <w:spacing w:val="-3"/>
          <w:kern w:val="0"/>
          <w:sz w:val="24"/>
          <w:szCs w:val="24"/>
          <w:highlight w:val="none"/>
          <w:lang w:val="en-US" w:eastAsia="zh-CN" w:bidi="ar-SA"/>
        </w:rPr>
        <w:t>码：</w:t>
      </w:r>
      <w:r>
        <w:rPr>
          <w:rFonts w:hint="eastAsia" w:ascii="微软雅黑" w:hAnsi="微软雅黑" w:eastAsia="微软雅黑" w:cstheme="minorBidi"/>
          <w:w w:val="225"/>
          <w:kern w:val="0"/>
          <w:sz w:val="24"/>
          <w:szCs w:val="24"/>
          <w:highlight w:val="none"/>
          <w:u w:val="single" w:color="000000"/>
          <w:lang w:val="en-US" w:eastAsia="zh-CN" w:bidi="ar-SA"/>
        </w:rPr>
        <w:t xml:space="preserve">                    </w:t>
      </w:r>
    </w:p>
    <w:p w14:paraId="631FEDB1">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委托</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理</w:t>
      </w:r>
      <w:r>
        <w:rPr>
          <w:rFonts w:ascii="微软雅黑" w:hAnsi="微软雅黑" w:eastAsia="微软雅黑" w:cstheme="minorBidi"/>
          <w:spacing w:val="-3"/>
          <w:kern w:val="0"/>
          <w:sz w:val="24"/>
          <w:szCs w:val="24"/>
          <w:highlight w:val="none"/>
          <w:lang w:val="en-US" w:eastAsia="zh-CN" w:bidi="ar-SA"/>
        </w:rPr>
        <w:t>人：</w:t>
      </w:r>
      <w:r>
        <w:rPr>
          <w:rFonts w:hint="eastAsia" w:ascii="微软雅黑" w:hAnsi="微软雅黑" w:eastAsia="微软雅黑" w:cstheme="minorBidi"/>
          <w:spacing w:val="-3"/>
          <w:kern w:val="0"/>
          <w:sz w:val="24"/>
          <w:szCs w:val="24"/>
          <w:highlight w:val="none"/>
          <w:u w:val="single"/>
          <w:lang w:val="en-US" w:eastAsia="zh-CN" w:bidi="ar-SA"/>
        </w:rPr>
        <w:t xml:space="preserve">                                      </w:t>
      </w:r>
      <w:r>
        <w:rPr>
          <w:rFonts w:ascii="微软雅黑" w:hAnsi="微软雅黑" w:eastAsia="微软雅黑" w:cstheme="minorBidi"/>
          <w:kern w:val="0"/>
          <w:sz w:val="24"/>
          <w:szCs w:val="24"/>
          <w:highlight w:val="none"/>
          <w:lang w:val="en-US" w:eastAsia="zh-CN" w:bidi="ar-SA"/>
        </w:rPr>
        <w:t>（签</w:t>
      </w:r>
      <w:r>
        <w:rPr>
          <w:rFonts w:ascii="微软雅黑" w:hAnsi="微软雅黑" w:eastAsia="微软雅黑" w:cstheme="minorBidi"/>
          <w:spacing w:val="-3"/>
          <w:kern w:val="0"/>
          <w:sz w:val="24"/>
          <w:szCs w:val="24"/>
          <w:highlight w:val="none"/>
          <w:lang w:val="en-US" w:eastAsia="zh-CN" w:bidi="ar-SA"/>
        </w:rPr>
        <w:t>字</w:t>
      </w:r>
      <w:r>
        <w:rPr>
          <w:rFonts w:ascii="微软雅黑" w:hAnsi="微软雅黑" w:eastAsia="微软雅黑" w:cstheme="minorBidi"/>
          <w:kern w:val="0"/>
          <w:sz w:val="24"/>
          <w:szCs w:val="24"/>
          <w:highlight w:val="none"/>
          <w:lang w:val="en-US" w:eastAsia="zh-CN" w:bidi="ar-SA"/>
        </w:rPr>
        <w:t>）</w:t>
      </w:r>
    </w:p>
    <w:p w14:paraId="0A20A418">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 xml:space="preserve">  身份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号</w:t>
      </w:r>
      <w:r>
        <w:rPr>
          <w:rFonts w:ascii="微软雅黑" w:hAnsi="微软雅黑" w:eastAsia="微软雅黑" w:cstheme="minorBidi"/>
          <w:spacing w:val="-3"/>
          <w:kern w:val="0"/>
          <w:sz w:val="24"/>
          <w:szCs w:val="24"/>
          <w:highlight w:val="none"/>
          <w:lang w:val="en-US" w:eastAsia="zh-CN" w:bidi="ar-SA"/>
        </w:rPr>
        <w:t>码：</w:t>
      </w:r>
      <w:r>
        <w:rPr>
          <w:rFonts w:hint="eastAsia" w:ascii="微软雅黑" w:hAnsi="微软雅黑" w:eastAsia="微软雅黑" w:cstheme="minorBidi"/>
          <w:spacing w:val="-3"/>
          <w:kern w:val="0"/>
          <w:sz w:val="24"/>
          <w:szCs w:val="24"/>
          <w:highlight w:val="none"/>
          <w:u w:val="single"/>
          <w:lang w:val="en-US" w:eastAsia="zh-CN" w:bidi="ar-SA"/>
        </w:rPr>
        <w:t xml:space="preserve">                                               </w:t>
      </w:r>
    </w:p>
    <w:p w14:paraId="0711516E">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rPr>
          <w:highlight w:val="none"/>
        </w:rPr>
      </w:pP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hint="eastAsia" w:ascii="微软雅黑" w:hAnsi="微软雅黑" w:eastAsia="微软雅黑" w:cstheme="minorBidi"/>
          <w:kern w:val="0"/>
          <w:sz w:val="24"/>
          <w:szCs w:val="24"/>
          <w:highlight w:val="none"/>
          <w:lang w:val="en-US" w:eastAsia="zh-CN" w:bidi="ar-SA"/>
        </w:rPr>
        <w:t>年</w:t>
      </w: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ascii="微软雅黑" w:hAnsi="微软雅黑" w:eastAsia="微软雅黑" w:cstheme="minorBidi"/>
          <w:spacing w:val="-3"/>
          <w:kern w:val="0"/>
          <w:sz w:val="24"/>
          <w:szCs w:val="24"/>
          <w:highlight w:val="none"/>
          <w:lang w:val="en-US" w:eastAsia="zh-CN" w:bidi="ar-SA"/>
        </w:rPr>
        <w:t>月</w:t>
      </w: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日</w:t>
      </w:r>
    </w:p>
    <w:p w14:paraId="6A879696">
      <w:pPr>
        <w:rPr>
          <w:rFonts w:hint="eastAsia"/>
          <w:highlight w:val="none"/>
          <w:lang w:val="en-US" w:eastAsia="zh-CN"/>
        </w:rPr>
      </w:pPr>
    </w:p>
    <w:p w14:paraId="3BE0EF6C">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14:paraId="1043BFA0">
      <w:pPr>
        <w:rPr>
          <w:rFonts w:hint="eastAsia"/>
          <w:highlight w:val="none"/>
          <w:lang w:val="en-US" w:eastAsia="zh-CN"/>
        </w:rPr>
      </w:pPr>
    </w:p>
    <w:p w14:paraId="49C2C144">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14:paraId="03D986CE">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14:paraId="35068207">
      <w:pPr>
        <w:rPr>
          <w:rFonts w:hint="eastAsia"/>
          <w:highlight w:val="none"/>
          <w:lang w:val="en-US" w:eastAsia="zh-CN"/>
        </w:rPr>
      </w:pPr>
    </w:p>
    <w:p w14:paraId="5DC7BD5D">
      <w:pPr>
        <w:rPr>
          <w:rFonts w:hint="eastAsia"/>
          <w:highlight w:val="none"/>
          <w:lang w:val="en-US" w:eastAsia="zh-CN"/>
        </w:rPr>
      </w:pPr>
    </w:p>
    <w:p w14:paraId="01E3D9DB">
      <w:pPr>
        <w:rPr>
          <w:highlight w:val="none"/>
          <w:lang w:val="en-US" w:eastAsia="zh-CN"/>
        </w:rPr>
      </w:pPr>
    </w:p>
    <w:p w14:paraId="1354AEB7">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5CB790EC">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61720A7">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7BE8DA3F">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78359417">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48DD217">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178F4E2E">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68CBD096">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9E534EE">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ED86F66">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53664726">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11D76D8B">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15018528">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99B7CA1">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36B82E13">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734CD793">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5B9EBD52">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A69F36F">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6EB2412B">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6B21DCB6">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8BAA209">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623148B">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4FF9E94">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5ED1DD19">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05E0F2A7">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1559A265">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34E6451C">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08D7B9FA">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6733FCB">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1075555D">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569859A">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662651A1">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297B5C1">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324084A">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14:paraId="223644B4">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14:paraId="07500F6A">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14:paraId="535A21D3">
      <w:pPr>
        <w:rPr>
          <w:color w:val="000000" w:themeColor="text1"/>
          <w:highlight w:val="none"/>
          <w14:textFill>
            <w14:solidFill>
              <w14:schemeClr w14:val="tx1"/>
            </w14:solidFill>
          </w14:textFill>
        </w:rPr>
      </w:pPr>
    </w:p>
    <w:p w14:paraId="23ED43E2">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14:paraId="408E52B5">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14:paraId="257C9C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14:paraId="00B38C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14:paraId="5CDAA0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14:paraId="54573B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14:paraId="6928E0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14:paraId="4289BF3A">
      <w:pPr>
        <w:spacing w:line="360" w:lineRule="auto"/>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6、我公司如涉及雇用农民工，承诺与农民工签订劳动合同，及时、足额发放工资、缴纳社会保险费用。</w:t>
      </w:r>
    </w:p>
    <w:p w14:paraId="10470BB0">
      <w:pPr>
        <w:pStyle w:val="10"/>
        <w:ind w:left="0" w:firstLine="420" w:firstLineChars="200"/>
        <w:rPr>
          <w:rFonts w:hint="default" w:eastAsia="宋体"/>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highlight w:val="none"/>
          <w:lang w:eastAsia="zh-CN"/>
        </w:rPr>
        <w:t>积极响应国家节能减排和绿色环保政策，切实推进绿色供应链建设</w:t>
      </w:r>
      <w:r>
        <w:rPr>
          <w:rFonts w:hint="eastAsia" w:cs="宋体"/>
          <w:highlight w:val="none"/>
          <w:lang w:eastAsia="zh-CN"/>
        </w:rPr>
        <w:t>。</w:t>
      </w:r>
    </w:p>
    <w:p w14:paraId="62607B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14:paraId="5F94E4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14:paraId="3A0D4B66">
      <w:pPr>
        <w:pStyle w:val="10"/>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14:paraId="5E46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14:paraId="7433720D">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14:paraId="373E8C54">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14:paraId="032844FB">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14:paraId="1D8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14:paraId="26D37B30">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14:paraId="7468936D">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14:paraId="269D51A1">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14:paraId="57228134">
            <w:pPr>
              <w:jc w:val="center"/>
              <w:rPr>
                <w:color w:val="000000" w:themeColor="text1"/>
                <w:sz w:val="21"/>
                <w:szCs w:val="21"/>
                <w:highlight w:val="none"/>
                <w:lang w:eastAsia="zh-CN"/>
                <w14:textFill>
                  <w14:solidFill>
                    <w14:schemeClr w14:val="tx1"/>
                  </w14:solidFill>
                </w14:textFill>
              </w:rPr>
            </w:pPr>
          </w:p>
        </w:tc>
      </w:tr>
      <w:tr w14:paraId="12C8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14:paraId="4DC28CCB">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14:paraId="45BFBE80">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14:paraId="041F75D2">
            <w:pPr>
              <w:rPr>
                <w:color w:val="000000" w:themeColor="text1"/>
                <w:sz w:val="21"/>
                <w:szCs w:val="21"/>
                <w:highlight w:val="none"/>
                <w:lang w:eastAsia="zh-CN"/>
                <w14:textFill>
                  <w14:solidFill>
                    <w14:schemeClr w14:val="tx1"/>
                  </w14:solidFill>
                </w14:textFill>
              </w:rPr>
            </w:pPr>
          </w:p>
        </w:tc>
        <w:tc>
          <w:tcPr>
            <w:tcW w:w="2558" w:type="dxa"/>
            <w:vMerge w:val="continue"/>
          </w:tcPr>
          <w:p w14:paraId="2626A37A">
            <w:pPr>
              <w:rPr>
                <w:color w:val="000000" w:themeColor="text1"/>
                <w:sz w:val="21"/>
                <w:szCs w:val="21"/>
                <w:highlight w:val="none"/>
                <w:lang w:eastAsia="zh-CN"/>
                <w14:textFill>
                  <w14:solidFill>
                    <w14:schemeClr w14:val="tx1"/>
                  </w14:solidFill>
                </w14:textFill>
              </w:rPr>
            </w:pPr>
          </w:p>
        </w:tc>
      </w:tr>
    </w:tbl>
    <w:p w14:paraId="62450C93">
      <w:pPr>
        <w:pStyle w:val="10"/>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1"/>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14:paraId="59D8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14:paraId="68DA2AA7">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14:paraId="514ED433">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14:paraId="50410BAC">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14:paraId="4A007FFF">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14:paraId="01978571">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14:paraId="56CF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14:paraId="58B47D15">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14:paraId="207C9FB8">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14:paraId="3B30C2E5">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14:paraId="7BD1BD8D">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14:paraId="012B154B">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14:paraId="72C74349">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14:paraId="3CBAB858">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14:paraId="7160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14:paraId="2A51F0B0">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14:paraId="363A2307">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14:paraId="5547020D">
            <w:pPr>
              <w:rPr>
                <w:color w:val="000000" w:themeColor="text1"/>
                <w:sz w:val="21"/>
                <w:szCs w:val="21"/>
                <w:highlight w:val="none"/>
                <w:lang w:eastAsia="zh-CN"/>
                <w14:textFill>
                  <w14:solidFill>
                    <w14:schemeClr w14:val="tx1"/>
                  </w14:solidFill>
                </w14:textFill>
              </w:rPr>
            </w:pPr>
          </w:p>
        </w:tc>
        <w:tc>
          <w:tcPr>
            <w:tcW w:w="1444" w:type="dxa"/>
            <w:vMerge w:val="continue"/>
          </w:tcPr>
          <w:p w14:paraId="0ACC2BF1">
            <w:pPr>
              <w:rPr>
                <w:color w:val="000000" w:themeColor="text1"/>
                <w:sz w:val="21"/>
                <w:szCs w:val="21"/>
                <w:highlight w:val="none"/>
                <w:lang w:eastAsia="zh-CN"/>
                <w14:textFill>
                  <w14:solidFill>
                    <w14:schemeClr w14:val="tx1"/>
                  </w14:solidFill>
                </w14:textFill>
              </w:rPr>
            </w:pPr>
          </w:p>
        </w:tc>
        <w:tc>
          <w:tcPr>
            <w:tcW w:w="1060" w:type="dxa"/>
            <w:vMerge w:val="continue"/>
          </w:tcPr>
          <w:p w14:paraId="18A64799">
            <w:pPr>
              <w:rPr>
                <w:color w:val="000000" w:themeColor="text1"/>
                <w:sz w:val="21"/>
                <w:szCs w:val="21"/>
                <w:highlight w:val="none"/>
                <w:lang w:eastAsia="zh-CN"/>
                <w14:textFill>
                  <w14:solidFill>
                    <w14:schemeClr w14:val="tx1"/>
                  </w14:solidFill>
                </w14:textFill>
              </w:rPr>
            </w:pPr>
          </w:p>
        </w:tc>
        <w:tc>
          <w:tcPr>
            <w:tcW w:w="1650" w:type="dxa"/>
            <w:vMerge w:val="continue"/>
          </w:tcPr>
          <w:p w14:paraId="02954BB6">
            <w:pPr>
              <w:rPr>
                <w:color w:val="000000" w:themeColor="text1"/>
                <w:sz w:val="21"/>
                <w:szCs w:val="21"/>
                <w:highlight w:val="none"/>
                <w:lang w:eastAsia="zh-CN"/>
                <w14:textFill>
                  <w14:solidFill>
                    <w14:schemeClr w14:val="tx1"/>
                  </w14:solidFill>
                </w14:textFill>
              </w:rPr>
            </w:pPr>
          </w:p>
        </w:tc>
      </w:tr>
    </w:tbl>
    <w:p w14:paraId="7965802A">
      <w:pPr>
        <w:pStyle w:val="10"/>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1"/>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14:paraId="04F4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14:paraId="6722CA48">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14:paraId="532572B1">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14:paraId="2C071F3A">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14:paraId="4169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14:paraId="6E5D3D83">
            <w:pPr>
              <w:rPr>
                <w:b/>
                <w:color w:val="000000" w:themeColor="text1"/>
                <w:sz w:val="21"/>
                <w:szCs w:val="21"/>
                <w:highlight w:val="none"/>
                <w:lang w:eastAsia="zh-CN"/>
                <w14:textFill>
                  <w14:solidFill>
                    <w14:schemeClr w14:val="tx1"/>
                  </w14:solidFill>
                </w14:textFill>
              </w:rPr>
            </w:pPr>
          </w:p>
        </w:tc>
        <w:tc>
          <w:tcPr>
            <w:tcW w:w="2552" w:type="dxa"/>
          </w:tcPr>
          <w:p w14:paraId="0140291E">
            <w:pPr>
              <w:rPr>
                <w:b/>
                <w:color w:val="000000" w:themeColor="text1"/>
                <w:sz w:val="21"/>
                <w:szCs w:val="21"/>
                <w:highlight w:val="none"/>
                <w:lang w:eastAsia="zh-CN"/>
                <w14:textFill>
                  <w14:solidFill>
                    <w14:schemeClr w14:val="tx1"/>
                  </w14:solidFill>
                </w14:textFill>
              </w:rPr>
            </w:pPr>
          </w:p>
        </w:tc>
        <w:tc>
          <w:tcPr>
            <w:tcW w:w="3228" w:type="dxa"/>
          </w:tcPr>
          <w:p w14:paraId="6A9E0366">
            <w:pPr>
              <w:rPr>
                <w:b/>
                <w:color w:val="000000" w:themeColor="text1"/>
                <w:sz w:val="21"/>
                <w:szCs w:val="21"/>
                <w:highlight w:val="none"/>
                <w:lang w:eastAsia="zh-CN"/>
                <w14:textFill>
                  <w14:solidFill>
                    <w14:schemeClr w14:val="tx1"/>
                  </w14:solidFill>
                </w14:textFill>
              </w:rPr>
            </w:pPr>
          </w:p>
        </w:tc>
      </w:tr>
    </w:tbl>
    <w:p w14:paraId="5AB1D6BF">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14:paraId="0395A540">
      <w:pPr>
        <w:pStyle w:val="10"/>
        <w:rPr>
          <w:rFonts w:hint="eastAsia"/>
          <w:color w:val="000000" w:themeColor="text1"/>
          <w:sz w:val="21"/>
          <w:szCs w:val="21"/>
          <w:highlight w:val="none"/>
          <w14:textFill>
            <w14:solidFill>
              <w14:schemeClr w14:val="tx1"/>
            </w14:solidFill>
          </w14:textFill>
        </w:rPr>
      </w:pPr>
    </w:p>
    <w:p w14:paraId="392BA98C">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14:paraId="629DE16A">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14:paraId="02C7D82A">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532CD909">
      <w:pPr>
        <w:pStyle w:val="10"/>
        <w:rPr>
          <w:rFonts w:hint="eastAsia"/>
          <w:color w:val="000000" w:themeColor="text1"/>
          <w:sz w:val="21"/>
          <w:szCs w:val="21"/>
          <w:highlight w:val="none"/>
          <w:lang w:eastAsia="zh-CN"/>
          <w14:textFill>
            <w14:solidFill>
              <w14:schemeClr w14:val="tx1"/>
            </w14:solidFill>
          </w14:textFill>
        </w:rPr>
      </w:pPr>
    </w:p>
    <w:p w14:paraId="4E2F9C9D">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4FB6C512">
      <w:pPr>
        <w:pStyle w:val="10"/>
        <w:rPr>
          <w:rFonts w:hint="eastAsia"/>
          <w:color w:val="000000" w:themeColor="text1"/>
          <w:sz w:val="21"/>
          <w:szCs w:val="21"/>
          <w:highlight w:val="none"/>
          <w:lang w:eastAsia="zh-CN"/>
          <w14:textFill>
            <w14:solidFill>
              <w14:schemeClr w14:val="tx1"/>
            </w14:solidFill>
          </w14:textFill>
        </w:rPr>
      </w:pPr>
    </w:p>
    <w:p w14:paraId="3EA45573">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58FD4F36">
      <w:pPr>
        <w:rPr>
          <w:highlight w:val="none"/>
        </w:rPr>
      </w:pPr>
    </w:p>
    <w:p w14:paraId="3FF47453">
      <w:pPr>
        <w:pStyle w:val="8"/>
        <w:ind w:firstLine="0" w:firstLineChars="0"/>
        <w:rPr>
          <w:highlight w:val="none"/>
          <w:lang w:val="en-US" w:eastAsia="zh-CN"/>
        </w:rPr>
      </w:pPr>
    </w:p>
    <w:p w14:paraId="08FD691F">
      <w:pPr>
        <w:pStyle w:val="8"/>
        <w:ind w:firstLine="0" w:firstLineChars="0"/>
        <w:rPr>
          <w:highlight w:val="none"/>
          <w:lang w:val="en-US" w:eastAsia="zh-CN"/>
        </w:rPr>
      </w:pPr>
    </w:p>
    <w:p w14:paraId="7FEB8AF1">
      <w:pPr>
        <w:pStyle w:val="8"/>
        <w:ind w:firstLine="0" w:firstLineChars="0"/>
        <w:rPr>
          <w:highlight w:val="none"/>
          <w:lang w:val="en-US" w:eastAsia="zh-CN"/>
        </w:rPr>
      </w:pPr>
    </w:p>
    <w:p w14:paraId="33F6B282">
      <w:pPr>
        <w:pStyle w:val="8"/>
        <w:ind w:firstLine="0" w:firstLineChars="0"/>
        <w:rPr>
          <w:highlight w:val="none"/>
          <w:lang w:val="en-US" w:eastAsia="zh-CN"/>
        </w:rPr>
      </w:pPr>
    </w:p>
    <w:p w14:paraId="30FEBBDA">
      <w:pPr>
        <w:pStyle w:val="8"/>
        <w:ind w:firstLine="0" w:firstLineChars="0"/>
        <w:rPr>
          <w:highlight w:val="none"/>
          <w:lang w:val="en-US" w:eastAsia="zh-CN"/>
        </w:rPr>
      </w:pPr>
    </w:p>
    <w:p w14:paraId="76FFC3E1">
      <w:pPr>
        <w:pStyle w:val="8"/>
        <w:ind w:firstLine="0" w:firstLineChars="0"/>
        <w:rPr>
          <w:highlight w:val="none"/>
          <w:lang w:val="en-US" w:eastAsia="zh-CN"/>
        </w:rPr>
      </w:pPr>
    </w:p>
    <w:p w14:paraId="74E631C9">
      <w:pPr>
        <w:pStyle w:val="8"/>
        <w:ind w:firstLine="0" w:firstLineChars="0"/>
        <w:rPr>
          <w:highlight w:val="none"/>
          <w:lang w:val="en-US" w:eastAsia="zh-CN"/>
        </w:rPr>
      </w:pPr>
    </w:p>
    <w:p w14:paraId="600ADBD6">
      <w:pPr>
        <w:pStyle w:val="8"/>
        <w:ind w:firstLine="0" w:firstLineChars="0"/>
        <w:rPr>
          <w:highlight w:val="none"/>
          <w:lang w:val="en-US" w:eastAsia="zh-CN"/>
        </w:rPr>
      </w:pPr>
    </w:p>
    <w:p w14:paraId="5D5A9685">
      <w:pPr>
        <w:pStyle w:val="8"/>
        <w:ind w:firstLine="0" w:firstLineChars="0"/>
        <w:rPr>
          <w:highlight w:val="none"/>
          <w:lang w:val="en-US" w:eastAsia="zh-CN"/>
        </w:rPr>
      </w:pPr>
    </w:p>
    <w:p w14:paraId="44B616DA">
      <w:pPr>
        <w:pStyle w:val="8"/>
        <w:ind w:firstLine="0" w:firstLineChars="0"/>
        <w:rPr>
          <w:highlight w:val="none"/>
          <w:lang w:val="en-US" w:eastAsia="zh-CN"/>
        </w:rPr>
      </w:pPr>
    </w:p>
    <w:p w14:paraId="09E8BA53">
      <w:pPr>
        <w:pStyle w:val="8"/>
        <w:ind w:firstLine="0" w:firstLineChars="0"/>
        <w:rPr>
          <w:highlight w:val="none"/>
          <w:lang w:val="en-US" w:eastAsia="zh-CN"/>
        </w:rPr>
      </w:pPr>
    </w:p>
    <w:p w14:paraId="48BE7965">
      <w:pPr>
        <w:pStyle w:val="8"/>
        <w:ind w:firstLine="0" w:firstLineChars="0"/>
        <w:rPr>
          <w:highlight w:val="none"/>
          <w:lang w:val="en-US" w:eastAsia="zh-CN"/>
        </w:rPr>
      </w:pPr>
    </w:p>
    <w:p w14:paraId="3B0DF5F7">
      <w:pPr>
        <w:pStyle w:val="8"/>
        <w:ind w:firstLine="0" w:firstLineChars="0"/>
        <w:rPr>
          <w:highlight w:val="none"/>
          <w:lang w:val="en-US" w:eastAsia="zh-CN"/>
        </w:rPr>
      </w:pPr>
    </w:p>
    <w:p w14:paraId="322B98C2">
      <w:pPr>
        <w:pStyle w:val="8"/>
        <w:ind w:firstLine="0" w:firstLineChars="0"/>
        <w:rPr>
          <w:highlight w:val="none"/>
          <w:lang w:val="en-US" w:eastAsia="zh-CN"/>
        </w:rPr>
      </w:pPr>
    </w:p>
    <w:p w14:paraId="473ACE0E">
      <w:pPr>
        <w:pStyle w:val="8"/>
        <w:ind w:firstLine="0" w:firstLineChars="0"/>
        <w:rPr>
          <w:highlight w:val="none"/>
          <w:lang w:val="en-US" w:eastAsia="zh-CN"/>
        </w:rPr>
      </w:pPr>
    </w:p>
    <w:p w14:paraId="6BEBC2C7">
      <w:pPr>
        <w:pStyle w:val="8"/>
        <w:ind w:firstLine="0" w:firstLineChars="0"/>
        <w:rPr>
          <w:highlight w:val="none"/>
          <w:lang w:val="en-US" w:eastAsia="zh-CN"/>
        </w:rPr>
      </w:pPr>
    </w:p>
    <w:p w14:paraId="16B6C07D">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14:paraId="32A22E75">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14:paraId="6C2A58BE">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14:paraId="5D55B099">
      <w:pPr>
        <w:keepNext w:val="0"/>
        <w:keepLines w:val="0"/>
        <w:widowControl/>
        <w:suppressLineNumbers w:val="0"/>
        <w:jc w:val="left"/>
        <w:outlineLvl w:val="1"/>
        <w:rPr>
          <w:rFonts w:hint="default" w:ascii="仿宋" w:hAnsi="仿宋" w:eastAsia="仿宋" w:cs="仿宋"/>
          <w:b/>
          <w:bCs w:val="0"/>
          <w:sz w:val="28"/>
          <w:szCs w:val="28"/>
          <w:highlight w:val="none"/>
          <w:lang w:val="en-US" w:eastAsia="zh-CN"/>
        </w:rPr>
      </w:pPr>
      <w:r>
        <w:rPr>
          <w:rFonts w:hint="eastAsia" w:ascii="黑体" w:hAnsi="黑体" w:eastAsia="黑体" w:cstheme="minorBidi"/>
          <w:b/>
          <w:bCs/>
          <w:color w:val="auto"/>
          <w:kern w:val="2"/>
          <w:sz w:val="24"/>
          <w:szCs w:val="24"/>
          <w:highlight w:val="none"/>
          <w:lang w:val="en-US" w:eastAsia="zh-CN" w:bidi="ar-SA"/>
        </w:rPr>
        <w:t>5.9：制造商承诺书</w:t>
      </w:r>
    </w:p>
    <w:p w14:paraId="22959BC9">
      <w:pPr>
        <w:keepNext w:val="0"/>
        <w:keepLines w:val="0"/>
        <w:widowControl/>
        <w:suppressLineNumbers w:val="0"/>
        <w:jc w:val="center"/>
        <w:rPr>
          <w:rFonts w:hint="eastAsia" w:ascii="仿宋" w:hAnsi="仿宋" w:eastAsia="仿宋" w:cs="仿宋"/>
          <w:b/>
          <w:bCs/>
          <w:sz w:val="44"/>
          <w:szCs w:val="44"/>
          <w:highlight w:val="none"/>
          <w:lang w:val="en-US" w:eastAsia="zh-CN"/>
        </w:rPr>
      </w:pPr>
    </w:p>
    <w:p w14:paraId="11234DE7">
      <w:pPr>
        <w:keepNext w:val="0"/>
        <w:keepLines w:val="0"/>
        <w:widowControl/>
        <w:suppressLineNumbers w:val="0"/>
        <w:jc w:val="center"/>
        <w:rPr>
          <w:rFonts w:hint="eastAsia" w:ascii="仿宋" w:hAnsi="仿宋" w:eastAsia="仿宋" w:cs="仿宋"/>
          <w:sz w:val="28"/>
          <w:szCs w:val="28"/>
          <w:highlight w:val="none"/>
          <w:lang w:val="en-US" w:eastAsia="zh-CN"/>
        </w:rPr>
      </w:pPr>
      <w:r>
        <w:rPr>
          <w:rFonts w:hint="eastAsia" w:ascii="仿宋" w:hAnsi="仿宋" w:eastAsia="仿宋" w:cs="仿宋"/>
          <w:b/>
          <w:bCs/>
          <w:sz w:val="44"/>
          <w:szCs w:val="44"/>
          <w:highlight w:val="none"/>
          <w:lang w:val="en-US" w:eastAsia="zh-CN"/>
        </w:rPr>
        <w:t>制造商承诺书</w:t>
      </w:r>
    </w:p>
    <w:p w14:paraId="75D41CD1">
      <w:pPr>
        <w:keepNext w:val="0"/>
        <w:keepLines w:val="0"/>
        <w:widowControl/>
        <w:suppressLineNumbers w:val="0"/>
        <w:jc w:val="center"/>
        <w:rPr>
          <w:rFonts w:hint="eastAsia" w:ascii="仿宋" w:hAnsi="仿宋" w:eastAsia="仿宋" w:cs="仿宋"/>
          <w:sz w:val="28"/>
          <w:szCs w:val="28"/>
          <w:highlight w:val="none"/>
          <w:lang w:val="en-US" w:eastAsia="zh-CN"/>
        </w:rPr>
      </w:pPr>
    </w:p>
    <w:p w14:paraId="68CF64E2">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致：</w:t>
      </w:r>
      <w:r>
        <w:rPr>
          <w:rFonts w:hint="eastAsia" w:ascii="仿宋" w:hAnsi="仿宋" w:eastAsia="仿宋" w:cs="仿宋"/>
          <w:sz w:val="28"/>
          <w:szCs w:val="28"/>
          <w:highlight w:val="none"/>
          <w:u w:val="single"/>
          <w:lang w:val="en-US" w:eastAsia="zh-CN"/>
        </w:rPr>
        <w:t xml:space="preserve">  招标人/招标代理机构   </w:t>
      </w:r>
    </w:p>
    <w:p w14:paraId="60AD5755">
      <w:pPr>
        <w:keepNext w:val="0"/>
        <w:keepLines w:val="0"/>
        <w:widowControl/>
        <w:suppressLineNumbers w:val="0"/>
        <w:ind w:firstLine="560" w:firstLineChars="200"/>
        <w:jc w:val="both"/>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我们</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公司名称）</w:t>
      </w:r>
      <w:r>
        <w:rPr>
          <w:rFonts w:hint="eastAsia" w:ascii="仿宋" w:hAnsi="仿宋" w:eastAsia="仿宋" w:cs="仿宋"/>
          <w:sz w:val="28"/>
          <w:szCs w:val="28"/>
          <w:highlight w:val="none"/>
          <w:lang w:val="en-US" w:eastAsia="zh-CN"/>
        </w:rPr>
        <w:t>是按中华人民共和国法律于</w:t>
      </w:r>
      <w:r>
        <w:rPr>
          <w:rFonts w:hint="eastAsia" w:ascii="仿宋" w:hAnsi="仿宋" w:eastAsia="仿宋" w:cs="仿宋"/>
          <w:sz w:val="28"/>
          <w:szCs w:val="28"/>
          <w:highlight w:val="none"/>
          <w:u w:val="single"/>
          <w:lang w:val="en-US" w:eastAsia="zh-CN"/>
        </w:rPr>
        <w:t xml:space="preserve">    年 月 日</w:t>
      </w:r>
      <w:r>
        <w:rPr>
          <w:rFonts w:hint="eastAsia" w:ascii="仿宋" w:hAnsi="仿宋" w:eastAsia="仿宋" w:cs="仿宋"/>
          <w:sz w:val="28"/>
          <w:szCs w:val="28"/>
          <w:highlight w:val="none"/>
          <w:lang w:val="en-US" w:eastAsia="zh-CN"/>
        </w:rPr>
        <w:t>成立的一家制造商，主要营业地点设在</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。兹声明我司就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项目(招标编号：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）使用我公司 □自行生产制造/ □</w:t>
      </w:r>
      <w:r>
        <w:rPr>
          <w:rFonts w:hint="eastAsia" w:ascii="仿宋" w:hAnsi="仿宋" w:eastAsia="仿宋" w:cs="仿宋"/>
          <w:sz w:val="28"/>
          <w:szCs w:val="28"/>
          <w:highlight w:val="none"/>
          <w:lang w:val="en-US" w:eastAsia="zh-Hans"/>
        </w:rPr>
        <w:t>代工方式</w:t>
      </w:r>
      <w:r>
        <w:rPr>
          <w:rFonts w:hint="eastAsia" w:ascii="仿宋" w:hAnsi="仿宋" w:eastAsia="仿宋" w:cs="仿宋"/>
          <w:sz w:val="28"/>
          <w:szCs w:val="28"/>
          <w:highlight w:val="none"/>
          <w:lang w:val="en-US" w:eastAsia="zh-CN"/>
        </w:rPr>
        <w:t>/□集成方式</w:t>
      </w:r>
      <w:r>
        <w:rPr>
          <w:rFonts w:hint="eastAsia" w:ascii="仿宋" w:hAnsi="仿宋" w:eastAsia="仿宋" w:cs="仿宋"/>
          <w:sz w:val="28"/>
          <w:szCs w:val="28"/>
          <w:highlight w:val="none"/>
          <w:lang w:val="en-US" w:eastAsia="zh-Hans"/>
        </w:rPr>
        <w:t>生产</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u w:val="single"/>
          <w:lang w:val="en-US" w:eastAsia="zh-CN"/>
        </w:rPr>
        <w:t xml:space="preserve">                                                                </w:t>
      </w:r>
    </w:p>
    <w:p w14:paraId="6F082B6D">
      <w:pPr>
        <w:keepNext w:val="0"/>
        <w:keepLines w:val="0"/>
        <w:widowControl/>
        <w:suppressLineNumbers w:val="0"/>
        <w:ind w:left="0" w:leftChars="0" w:firstLine="0" w:firstLineChars="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u w:val="none"/>
          <w:lang w:val="en-US" w:eastAsia="zh-CN"/>
        </w:rPr>
        <w:t>产品</w:t>
      </w:r>
      <w:r>
        <w:rPr>
          <w:rFonts w:hint="eastAsia" w:ascii="仿宋" w:hAnsi="仿宋" w:eastAsia="仿宋" w:cs="仿宋"/>
          <w:sz w:val="28"/>
          <w:szCs w:val="28"/>
          <w:highlight w:val="none"/>
          <w:lang w:val="en-US" w:eastAsia="zh-CN"/>
        </w:rPr>
        <w:t>参与投标。</w:t>
      </w:r>
    </w:p>
    <w:p w14:paraId="4DF06F34">
      <w:pPr>
        <w:keepNext w:val="0"/>
        <w:keepLines w:val="0"/>
        <w:widowControl/>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我公司就项目承诺如下：</w:t>
      </w:r>
    </w:p>
    <w:p w14:paraId="1E57AD63">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 我公司为</w:t>
      </w:r>
      <w:r>
        <w:rPr>
          <w:rFonts w:hint="eastAsia" w:ascii="仿宋" w:hAnsi="仿宋" w:eastAsia="仿宋" w:cs="仿宋"/>
          <w:b/>
          <w:bCs/>
          <w:sz w:val="28"/>
          <w:szCs w:val="28"/>
          <w:highlight w:val="none"/>
          <w:lang w:val="en-US" w:eastAsia="zh-CN"/>
        </w:rPr>
        <w:t>传统型制造商，</w:t>
      </w:r>
      <w:r>
        <w:rPr>
          <w:rFonts w:hint="eastAsia" w:ascii="仿宋" w:hAnsi="仿宋" w:eastAsia="仿宋" w:cs="仿宋"/>
          <w:sz w:val="28"/>
          <w:szCs w:val="28"/>
          <w:highlight w:val="none"/>
          <w:lang w:val="en-US" w:eastAsia="zh-CN"/>
        </w:rPr>
        <w:t>投标产品系我公司自行生产制造，我公司具备制造必须的资质、厂房、设备、人力等资源。</w:t>
      </w:r>
    </w:p>
    <w:p w14:paraId="285CC0DA">
      <w:pPr>
        <w:keepNext w:val="0"/>
        <w:keepLines w:val="0"/>
        <w:widowControl/>
        <w:numPr>
          <w:ilvl w:val="0"/>
          <w:numId w:val="0"/>
        </w:numPr>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 xml:space="preserve"> 我公司为</w:t>
      </w:r>
      <w:r>
        <w:rPr>
          <w:rFonts w:hint="eastAsia" w:ascii="仿宋" w:hAnsi="仿宋" w:eastAsia="仿宋" w:cs="仿宋"/>
          <w:b/>
          <w:bCs/>
          <w:sz w:val="28"/>
          <w:szCs w:val="28"/>
          <w:highlight w:val="none"/>
          <w:lang w:val="en-US" w:eastAsia="zh-CN"/>
        </w:rPr>
        <w:t>OEM型制造商，</w:t>
      </w:r>
      <w:r>
        <w:rPr>
          <w:rFonts w:hint="eastAsia" w:ascii="仿宋" w:hAnsi="仿宋" w:eastAsia="仿宋" w:cs="仿宋"/>
          <w:sz w:val="28"/>
          <w:szCs w:val="28"/>
          <w:highlight w:val="none"/>
          <w:lang w:val="en-US" w:eastAsia="zh-CN"/>
        </w:rPr>
        <w:t>投标产品系我公司以</w:t>
      </w:r>
      <w:r>
        <w:rPr>
          <w:rFonts w:hint="eastAsia" w:ascii="仿宋" w:hAnsi="仿宋" w:eastAsia="仿宋" w:cs="仿宋"/>
          <w:sz w:val="28"/>
          <w:szCs w:val="28"/>
          <w:highlight w:val="none"/>
          <w:lang w:val="en-US" w:eastAsia="zh-Hans"/>
        </w:rPr>
        <w:t>代工方式生产</w:t>
      </w:r>
      <w:r>
        <w:rPr>
          <w:rFonts w:hint="eastAsia" w:ascii="仿宋" w:hAnsi="仿宋" w:eastAsia="仿宋" w:cs="仿宋"/>
          <w:sz w:val="28"/>
          <w:szCs w:val="28"/>
          <w:highlight w:val="none"/>
          <w:lang w:val="en-US" w:eastAsia="zh-CN"/>
        </w:rPr>
        <w:t>，我公司具备供货的资质和能力。</w:t>
      </w:r>
    </w:p>
    <w:p w14:paraId="70C93636">
      <w:pPr>
        <w:keepNext w:val="0"/>
        <w:keepLines w:val="0"/>
        <w:widowControl/>
        <w:numPr>
          <w:ilvl w:val="0"/>
          <w:numId w:val="0"/>
        </w:numPr>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 xml:space="preserve"> 我公司为</w:t>
      </w:r>
      <w:r>
        <w:rPr>
          <w:rFonts w:hint="eastAsia" w:ascii="仿宋" w:hAnsi="仿宋" w:eastAsia="仿宋" w:cs="仿宋"/>
          <w:b/>
          <w:bCs/>
          <w:sz w:val="28"/>
          <w:szCs w:val="28"/>
          <w:highlight w:val="none"/>
          <w:lang w:val="en-US" w:eastAsia="zh-CN"/>
        </w:rPr>
        <w:t>集成型制造商，</w:t>
      </w:r>
      <w:r>
        <w:rPr>
          <w:rFonts w:hint="eastAsia" w:ascii="仿宋" w:hAnsi="仿宋" w:eastAsia="仿宋" w:cs="仿宋"/>
          <w:sz w:val="28"/>
          <w:szCs w:val="28"/>
          <w:highlight w:val="none"/>
          <w:lang w:val="en-US" w:eastAsia="zh-CN"/>
        </w:rPr>
        <w:t>投标产品系我公司集成</w:t>
      </w:r>
      <w:r>
        <w:rPr>
          <w:rFonts w:hint="eastAsia" w:ascii="仿宋" w:hAnsi="仿宋" w:eastAsia="仿宋" w:cs="仿宋"/>
          <w:sz w:val="28"/>
          <w:szCs w:val="28"/>
          <w:highlight w:val="none"/>
          <w:lang w:val="en-US" w:eastAsia="zh-Hans"/>
        </w:rPr>
        <w:t>方式生产</w:t>
      </w:r>
      <w:r>
        <w:rPr>
          <w:rFonts w:hint="eastAsia" w:ascii="仿宋" w:hAnsi="仿宋" w:eastAsia="仿宋" w:cs="仿宋"/>
          <w:sz w:val="28"/>
          <w:szCs w:val="28"/>
          <w:highlight w:val="none"/>
          <w:lang w:val="en-US" w:eastAsia="zh-CN"/>
        </w:rPr>
        <w:t>，我公司具备集成必须的资质、厂房、设备、人力等资源。</w:t>
      </w:r>
    </w:p>
    <w:p w14:paraId="4E15580D">
      <w:pPr>
        <w:keepNext w:val="0"/>
        <w:keepLines w:val="0"/>
        <w:widowControl/>
        <w:suppressLineNumbers w:val="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（2）我司对所投产品拥有知识产权和产品销售权。</w:t>
      </w:r>
    </w:p>
    <w:p w14:paraId="39EBAD2A">
      <w:pPr>
        <w:keepNext w:val="0"/>
        <w:keepLines w:val="0"/>
        <w:widowControl/>
        <w:suppressLineNumbers w:val="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（3）后附我公司相关证明材料真实有效。</w:t>
      </w:r>
    </w:p>
    <w:p w14:paraId="28BCDBB8">
      <w:pPr>
        <w:keepNext w:val="0"/>
        <w:keepLines w:val="0"/>
        <w:widowControl/>
        <w:suppressLineNumbers w:val="0"/>
        <w:wordWrap w:val="0"/>
        <w:jc w:val="right"/>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投标人名称（盖章）：</w:t>
      </w:r>
      <w:r>
        <w:rPr>
          <w:rFonts w:hint="eastAsia" w:ascii="仿宋" w:hAnsi="仿宋" w:eastAsia="仿宋" w:cs="仿宋"/>
          <w:sz w:val="28"/>
          <w:szCs w:val="28"/>
          <w:highlight w:val="none"/>
          <w:u w:val="single"/>
          <w:lang w:val="en-US" w:eastAsia="zh-CN"/>
        </w:rPr>
        <w:t xml:space="preserve">                 </w:t>
      </w:r>
    </w:p>
    <w:p w14:paraId="1013A8E0">
      <w:pPr>
        <w:keepNext w:val="0"/>
        <w:keepLines w:val="0"/>
        <w:widowControl/>
        <w:suppressLineNumbers w:val="0"/>
        <w:wordWrap w:val="0"/>
        <w:jc w:val="right"/>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法定代表人或授权人签章：</w:t>
      </w:r>
      <w:r>
        <w:rPr>
          <w:rFonts w:hint="eastAsia" w:ascii="仿宋" w:hAnsi="仿宋" w:eastAsia="仿宋" w:cs="仿宋"/>
          <w:sz w:val="28"/>
          <w:szCs w:val="28"/>
          <w:highlight w:val="none"/>
          <w:u w:val="single"/>
          <w:lang w:val="en-US" w:eastAsia="zh-CN"/>
        </w:rPr>
        <w:t xml:space="preserve">                 </w:t>
      </w:r>
    </w:p>
    <w:p w14:paraId="27419271">
      <w:pPr>
        <w:keepNext w:val="0"/>
        <w:keepLines w:val="0"/>
        <w:widowControl/>
        <w:suppressLineNumbers w:val="0"/>
        <w:wordWrap w:val="0"/>
        <w:jc w:val="right"/>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none"/>
          <w:lang w:val="en-US" w:eastAsia="zh-CN"/>
        </w:rPr>
        <w:t>日   期：</w:t>
      </w:r>
      <w:r>
        <w:rPr>
          <w:rFonts w:hint="eastAsia" w:ascii="仿宋" w:hAnsi="仿宋" w:eastAsia="仿宋" w:cs="仿宋"/>
          <w:sz w:val="28"/>
          <w:szCs w:val="28"/>
          <w:highlight w:val="none"/>
          <w:u w:val="single"/>
          <w:lang w:val="en-US" w:eastAsia="zh-CN"/>
        </w:rPr>
        <w:t xml:space="preserve">                 </w:t>
      </w:r>
    </w:p>
    <w:p w14:paraId="4A278384">
      <w:pPr>
        <w:keepNext w:val="0"/>
        <w:keepLines w:val="0"/>
        <w:widowControl/>
        <w:suppressLineNumbers w:val="0"/>
        <w:ind w:firstLine="440" w:firstLineChars="100"/>
        <w:jc w:val="left"/>
        <w:rPr>
          <w:rFonts w:hint="eastAsia" w:ascii="仿宋" w:hAnsi="仿宋" w:eastAsia="仿宋" w:cs="仿宋"/>
          <w:b w:val="0"/>
          <w:bCs w:val="0"/>
          <w:sz w:val="44"/>
          <w:szCs w:val="44"/>
          <w:highlight w:val="none"/>
          <w:lang w:val="en-US" w:eastAsia="zh-CN"/>
        </w:rPr>
      </w:pPr>
      <w:r>
        <w:rPr>
          <w:rFonts w:hint="eastAsia" w:ascii="仿宋" w:hAnsi="仿宋" w:eastAsia="仿宋" w:cs="仿宋"/>
          <w:b w:val="0"/>
          <w:bCs w:val="0"/>
          <w:sz w:val="44"/>
          <w:szCs w:val="44"/>
          <w:highlight w:val="none"/>
          <w:lang w:val="en-US" w:eastAsia="zh-CN"/>
        </w:rPr>
        <w:t>制造商证明相关材料</w:t>
      </w:r>
    </w:p>
    <w:p w14:paraId="619C4151">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14:paraId="217222B6">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14:paraId="0028501E">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14:paraId="7077E81A">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14:paraId="3C72B0D9">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14:paraId="713BC18D">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14:paraId="1F40CFDD">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14:paraId="05E4D7BE">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14:paraId="3F48C209">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生产工艺（需提供****工艺介绍和供流程图）：</w:t>
      </w:r>
    </w:p>
    <w:p w14:paraId="48EAFE65">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14:paraId="22D2C7AE">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14:paraId="3032EF3F">
      <w:pPr>
        <w:keepNext w:val="0"/>
        <w:keepLines w:val="0"/>
        <w:widowControl/>
        <w:numPr>
          <w:ilvl w:val="0"/>
          <w:numId w:val="31"/>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14:paraId="1D7E3CC4">
      <w:pPr>
        <w:keepNext w:val="0"/>
        <w:keepLines w:val="0"/>
        <w:widowControl/>
        <w:numPr>
          <w:ilvl w:val="0"/>
          <w:numId w:val="31"/>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14:paraId="29851844">
      <w:pPr>
        <w:keepNext w:val="0"/>
        <w:keepLines w:val="0"/>
        <w:widowControl/>
        <w:numPr>
          <w:ilvl w:val="0"/>
          <w:numId w:val="0"/>
        </w:numPr>
        <w:suppressLineNumbers w:val="0"/>
        <w:jc w:val="both"/>
        <w:rPr>
          <w:rFonts w:hint="eastAsia" w:ascii="仿宋" w:hAnsi="仿宋" w:eastAsia="仿宋" w:cs="仿宋"/>
          <w:b w:val="0"/>
          <w:bCs w:val="0"/>
          <w:sz w:val="28"/>
          <w:szCs w:val="28"/>
          <w:highlight w:val="none"/>
          <w:lang w:val="en-US" w:eastAsia="zh-CN"/>
        </w:rPr>
      </w:pPr>
    </w:p>
    <w:p w14:paraId="1C5D1546">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14:paraId="1F952517">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14:paraId="5495499A">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14:paraId="7A83B1B9">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代工协议：</w:t>
      </w:r>
    </w:p>
    <w:p w14:paraId="23E75438">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14:paraId="39FC6BCA">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14:paraId="65BAB5C2">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14:paraId="3800AF9F">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生产工艺（需提供****工艺介绍和流程图）：</w:t>
      </w:r>
    </w:p>
    <w:p w14:paraId="3BEFA669">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14:paraId="039552B4">
      <w:pPr>
        <w:keepNext w:val="0"/>
        <w:keepLines w:val="0"/>
        <w:widowControl/>
        <w:numPr>
          <w:ilvl w:val="0"/>
          <w:numId w:val="32"/>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14:paraId="1E4CB67D">
      <w:pPr>
        <w:keepNext w:val="0"/>
        <w:keepLines w:val="0"/>
        <w:widowControl/>
        <w:numPr>
          <w:ilvl w:val="0"/>
          <w:numId w:val="32"/>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14:paraId="028AEDBA">
      <w:pPr>
        <w:keepNext w:val="0"/>
        <w:keepLines w:val="0"/>
        <w:widowControl/>
        <w:numPr>
          <w:ilvl w:val="0"/>
          <w:numId w:val="0"/>
        </w:numPr>
        <w:suppressLineNumbers w:val="0"/>
        <w:jc w:val="both"/>
        <w:rPr>
          <w:rFonts w:hint="eastAsia" w:ascii="仿宋" w:hAnsi="仿宋" w:eastAsia="仿宋" w:cs="仿宋"/>
          <w:b w:val="0"/>
          <w:bCs w:val="0"/>
          <w:sz w:val="28"/>
          <w:szCs w:val="28"/>
          <w:highlight w:val="none"/>
          <w:lang w:val="en-US" w:eastAsia="zh-CN"/>
        </w:rPr>
      </w:pPr>
    </w:p>
    <w:p w14:paraId="4416D7F0">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14:paraId="26244BC8">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14:paraId="02564865">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14:paraId="479E6C5C">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14:paraId="4188B153">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14:paraId="6197F99C">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14:paraId="6F4E9599">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生产工艺（需提供****工艺介绍和流程图）：</w:t>
      </w:r>
    </w:p>
    <w:p w14:paraId="14EF0DF1">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14:paraId="267FF2BA">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14:paraId="3A7682AC">
      <w:pPr>
        <w:keepNext w:val="0"/>
        <w:keepLines w:val="0"/>
        <w:widowControl/>
        <w:numPr>
          <w:ilvl w:val="0"/>
          <w:numId w:val="33"/>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14:paraId="589A8F37">
      <w:pPr>
        <w:keepNext w:val="0"/>
        <w:keepLines w:val="0"/>
        <w:widowControl/>
        <w:suppressLineNumbers w:val="0"/>
        <w:jc w:val="both"/>
        <w:rPr>
          <w:rFonts w:hint="default" w:ascii="仿宋" w:hAnsi="仿宋" w:eastAsia="仿宋" w:cs="仿宋"/>
          <w:b/>
          <w:bCs/>
          <w:sz w:val="28"/>
          <w:szCs w:val="28"/>
          <w:highlight w:val="none"/>
          <w:lang w:val="en-US" w:eastAsia="zh-CN"/>
        </w:rPr>
      </w:pPr>
    </w:p>
    <w:p w14:paraId="40E6E180">
      <w:pPr>
        <w:pStyle w:val="8"/>
        <w:ind w:firstLine="0" w:firstLineChars="0"/>
        <w:rPr>
          <w:highlight w:val="none"/>
          <w:lang w:val="en-US" w:eastAsia="zh-CN"/>
        </w:rPr>
      </w:pPr>
    </w:p>
    <w:p w14:paraId="21F65F13">
      <w:pPr>
        <w:pStyle w:val="8"/>
        <w:ind w:firstLine="0" w:firstLineChars="0"/>
        <w:rPr>
          <w:highlight w:val="none"/>
          <w:lang w:val="en-US" w:eastAsia="zh-CN"/>
        </w:rPr>
      </w:pPr>
    </w:p>
    <w:p w14:paraId="5BDCFD83">
      <w:pPr>
        <w:pStyle w:val="8"/>
        <w:ind w:firstLine="0" w:firstLineChars="0"/>
        <w:rPr>
          <w:highlight w:val="none"/>
          <w:lang w:val="en-US" w:eastAsia="zh-CN"/>
        </w:rPr>
      </w:pPr>
    </w:p>
    <w:p w14:paraId="06F47A11">
      <w:pPr>
        <w:pStyle w:val="8"/>
        <w:ind w:firstLine="0" w:firstLineChars="0"/>
        <w:rPr>
          <w:highlight w:val="none"/>
          <w:lang w:val="en-US" w:eastAsia="zh-CN"/>
        </w:rPr>
      </w:pPr>
    </w:p>
    <w:p w14:paraId="7C29E06D">
      <w:pPr>
        <w:pStyle w:val="8"/>
        <w:ind w:firstLine="0" w:firstLineChars="0"/>
        <w:rPr>
          <w:highlight w:val="none"/>
          <w:lang w:val="en-US" w:eastAsia="zh-CN"/>
        </w:rPr>
      </w:pPr>
    </w:p>
    <w:p w14:paraId="7548AEDA">
      <w:pPr>
        <w:pStyle w:val="8"/>
        <w:ind w:firstLine="0" w:firstLineChars="0"/>
        <w:rPr>
          <w:highlight w:val="none"/>
          <w:lang w:val="en-US" w:eastAsia="zh-CN"/>
        </w:rPr>
      </w:pPr>
    </w:p>
    <w:p w14:paraId="4D53C14F">
      <w:pPr>
        <w:pStyle w:val="8"/>
        <w:ind w:firstLine="0" w:firstLineChars="0"/>
        <w:rPr>
          <w:highlight w:val="none"/>
          <w:lang w:val="en-US" w:eastAsia="zh-CN"/>
        </w:rPr>
      </w:pPr>
    </w:p>
    <w:p w14:paraId="09D2749A">
      <w:pPr>
        <w:pStyle w:val="8"/>
        <w:ind w:firstLine="0" w:firstLineChars="0"/>
        <w:rPr>
          <w:highlight w:val="none"/>
          <w:lang w:val="en-US" w:eastAsia="zh-CN"/>
        </w:rPr>
      </w:pPr>
    </w:p>
    <w:p w14:paraId="6089426B">
      <w:pPr>
        <w:pStyle w:val="8"/>
        <w:ind w:firstLine="0" w:firstLineChars="0"/>
        <w:rPr>
          <w:highlight w:val="none"/>
          <w:lang w:val="en-US" w:eastAsia="zh-CN"/>
        </w:rPr>
      </w:pPr>
    </w:p>
    <w:p w14:paraId="084EF778">
      <w:pPr>
        <w:pStyle w:val="8"/>
        <w:ind w:firstLine="0" w:firstLineChars="0"/>
        <w:rPr>
          <w:highlight w:val="none"/>
          <w:lang w:val="en-US" w:eastAsia="zh-CN"/>
        </w:rPr>
      </w:pPr>
    </w:p>
    <w:p w14:paraId="30C0D317">
      <w:pPr>
        <w:pStyle w:val="8"/>
        <w:ind w:firstLine="0" w:firstLineChars="0"/>
        <w:rPr>
          <w:highlight w:val="none"/>
          <w:lang w:val="en-US" w:eastAsia="zh-CN"/>
        </w:rPr>
      </w:pPr>
    </w:p>
    <w:p w14:paraId="3AC53546">
      <w:pPr>
        <w:pStyle w:val="8"/>
        <w:ind w:firstLine="0" w:firstLineChars="0"/>
        <w:rPr>
          <w:highlight w:val="none"/>
          <w:lang w:val="en-US" w:eastAsia="zh-CN"/>
        </w:rPr>
      </w:pPr>
    </w:p>
    <w:p w14:paraId="756FE7F3">
      <w:pPr>
        <w:pStyle w:val="8"/>
        <w:ind w:firstLine="0" w:firstLineChars="0"/>
        <w:rPr>
          <w:highlight w:val="none"/>
          <w:lang w:val="en-US" w:eastAsia="zh-CN"/>
        </w:rPr>
      </w:pPr>
    </w:p>
    <w:p w14:paraId="0991C409">
      <w:pPr>
        <w:pStyle w:val="8"/>
        <w:ind w:firstLine="0" w:firstLineChars="0"/>
        <w:rPr>
          <w:highlight w:val="none"/>
          <w:lang w:val="en-US" w:eastAsia="zh-CN"/>
        </w:rPr>
      </w:pPr>
    </w:p>
    <w:p w14:paraId="6A45CBA9">
      <w:pPr>
        <w:pStyle w:val="8"/>
        <w:ind w:firstLine="0" w:firstLineChars="0"/>
        <w:rPr>
          <w:highlight w:val="none"/>
          <w:lang w:val="en-US" w:eastAsia="zh-CN"/>
        </w:rPr>
      </w:pPr>
    </w:p>
    <w:p w14:paraId="3B2C77C0">
      <w:pPr>
        <w:pStyle w:val="8"/>
        <w:ind w:firstLine="0" w:firstLineChars="0"/>
        <w:rPr>
          <w:highlight w:val="none"/>
          <w:lang w:val="en-US" w:eastAsia="zh-CN"/>
        </w:rPr>
      </w:pPr>
    </w:p>
    <w:p w14:paraId="1A21C1AC">
      <w:pPr>
        <w:pStyle w:val="8"/>
        <w:ind w:firstLine="0" w:firstLineChars="0"/>
        <w:rPr>
          <w:highlight w:val="none"/>
          <w:lang w:val="en-US" w:eastAsia="zh-CN"/>
        </w:rPr>
      </w:pPr>
    </w:p>
    <w:p w14:paraId="321AD6CC">
      <w:pPr>
        <w:pStyle w:val="8"/>
        <w:ind w:firstLine="0" w:firstLineChars="0"/>
        <w:rPr>
          <w:highlight w:val="none"/>
          <w:lang w:val="en-US" w:eastAsia="zh-CN"/>
        </w:rPr>
      </w:pPr>
    </w:p>
    <w:p w14:paraId="43BF2D19">
      <w:pPr>
        <w:pStyle w:val="52"/>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14:paraId="1CC1243E">
      <w:pPr>
        <w:pStyle w:val="52"/>
        <w:adjustRightInd/>
        <w:jc w:val="center"/>
        <w:rPr>
          <w:rFonts w:hint="eastAsia" w:hAnsi="宋体" w:eastAsiaTheme="minorEastAsia" w:cstheme="minorBidi"/>
          <w:b w:val="0"/>
          <w:kern w:val="2"/>
          <w:sz w:val="21"/>
          <w:szCs w:val="22"/>
          <w:highlight w:val="none"/>
          <w:lang w:eastAsia="zh-CN"/>
        </w:rPr>
      </w:pPr>
      <w:r>
        <w:rPr>
          <w:rFonts w:hint="eastAsia" w:hAnsi="宋体"/>
          <w:b/>
          <w:sz w:val="21"/>
          <w:szCs w:val="21"/>
          <w:highlight w:val="none"/>
        </w:rPr>
        <w:t>商务偏离条款</w:t>
      </w:r>
      <w:r>
        <w:rPr>
          <w:rFonts w:hint="eastAsia" w:hAnsi="宋体" w:eastAsiaTheme="minorEastAsia" w:cstheme="minorBidi"/>
          <w:kern w:val="2"/>
          <w:sz w:val="21"/>
          <w:szCs w:val="22"/>
          <w:highlight w:val="none"/>
          <w:lang w:eastAsia="zh-CN"/>
        </w:rPr>
        <w:t>（</w:t>
      </w:r>
      <w:r>
        <w:rPr>
          <w:rFonts w:hint="eastAsia" w:hAnsi="宋体" w:eastAsiaTheme="minorEastAsia" w:cstheme="minorBidi"/>
          <w:kern w:val="2"/>
          <w:sz w:val="21"/>
          <w:szCs w:val="22"/>
          <w:highlight w:val="none"/>
          <w:lang w:val="en-US" w:eastAsia="zh-CN"/>
        </w:rPr>
        <w:t>内容仅供参考，具体业务具体编制</w:t>
      </w:r>
      <w:r>
        <w:rPr>
          <w:rFonts w:hint="eastAsia" w:hAnsi="宋体" w:eastAsiaTheme="minorEastAsia" w:cstheme="minorBidi"/>
          <w:kern w:val="2"/>
          <w:sz w:val="21"/>
          <w:szCs w:val="22"/>
          <w:highlight w:val="none"/>
          <w:lang w:eastAsia="zh-CN"/>
        </w:rPr>
        <w:t>）</w:t>
      </w:r>
    </w:p>
    <w:p w14:paraId="23FD9501">
      <w:pPr>
        <w:pStyle w:val="52"/>
        <w:adjustRightInd/>
        <w:jc w:val="center"/>
        <w:rPr>
          <w:rFonts w:hAnsi="宋体"/>
          <w:b/>
          <w:sz w:val="21"/>
          <w:szCs w:val="21"/>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14:paraId="0113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67F1A4F3">
            <w:pPr>
              <w:spacing w:line="360" w:lineRule="auto"/>
              <w:jc w:val="center"/>
              <w:rPr>
                <w:rFonts w:ascii="宋体" w:hAnsi="宋体"/>
                <w:color w:val="000000"/>
                <w:highlight w:val="none"/>
              </w:rPr>
            </w:pPr>
            <w:r>
              <w:rPr>
                <w:rFonts w:hint="eastAsia" w:ascii="宋体" w:hAnsi="宋体"/>
                <w:color w:val="000000"/>
                <w:highlight w:val="none"/>
              </w:rPr>
              <w:t>序号</w:t>
            </w:r>
          </w:p>
        </w:tc>
        <w:tc>
          <w:tcPr>
            <w:tcW w:w="1792" w:type="dxa"/>
            <w:vAlign w:val="center"/>
          </w:tcPr>
          <w:p w14:paraId="3C4F0CE3">
            <w:pPr>
              <w:spacing w:line="360" w:lineRule="auto"/>
              <w:jc w:val="center"/>
              <w:rPr>
                <w:rFonts w:ascii="宋体" w:hAnsi="宋体"/>
                <w:color w:val="000000"/>
                <w:highlight w:val="none"/>
              </w:rPr>
            </w:pPr>
            <w:r>
              <w:rPr>
                <w:rFonts w:hint="eastAsia" w:ascii="宋体" w:hAnsi="宋体"/>
                <w:color w:val="000000"/>
                <w:highlight w:val="none"/>
              </w:rPr>
              <w:t>商务参数</w:t>
            </w:r>
          </w:p>
        </w:tc>
        <w:tc>
          <w:tcPr>
            <w:tcW w:w="1560" w:type="dxa"/>
            <w:vAlign w:val="center"/>
          </w:tcPr>
          <w:p w14:paraId="3DEB874C">
            <w:pPr>
              <w:spacing w:line="360" w:lineRule="auto"/>
              <w:jc w:val="center"/>
              <w:rPr>
                <w:rFonts w:ascii="宋体" w:hAnsi="宋体"/>
                <w:color w:val="000000"/>
                <w:highlight w:val="none"/>
              </w:rPr>
            </w:pPr>
            <w:r>
              <w:rPr>
                <w:rFonts w:hint="eastAsia" w:ascii="宋体" w:hAnsi="宋体"/>
                <w:color w:val="000000"/>
                <w:highlight w:val="none"/>
              </w:rPr>
              <w:t>是否存在异议</w:t>
            </w:r>
          </w:p>
        </w:tc>
        <w:tc>
          <w:tcPr>
            <w:tcW w:w="2979" w:type="dxa"/>
            <w:vAlign w:val="center"/>
          </w:tcPr>
          <w:p w14:paraId="3CB7925C">
            <w:pPr>
              <w:spacing w:line="360" w:lineRule="auto"/>
              <w:jc w:val="center"/>
              <w:rPr>
                <w:rFonts w:ascii="宋体" w:hAnsi="宋体"/>
                <w:color w:val="000000"/>
                <w:highlight w:val="none"/>
              </w:rPr>
            </w:pPr>
            <w:r>
              <w:rPr>
                <w:rFonts w:hint="eastAsia" w:ascii="宋体" w:hAnsi="宋体"/>
                <w:color w:val="000000"/>
                <w:highlight w:val="none"/>
              </w:rPr>
              <w:t>解决方法</w:t>
            </w:r>
          </w:p>
          <w:p w14:paraId="4DCE9ACC">
            <w:pPr>
              <w:spacing w:line="360" w:lineRule="auto"/>
              <w:jc w:val="center"/>
              <w:rPr>
                <w:rFonts w:ascii="宋体" w:hAnsi="宋体"/>
                <w:color w:val="000000"/>
                <w:highlight w:val="none"/>
              </w:rPr>
            </w:pPr>
            <w:r>
              <w:rPr>
                <w:rFonts w:hint="eastAsia" w:ascii="宋体" w:hAnsi="宋体"/>
                <w:color w:val="000000"/>
                <w:highlight w:val="none"/>
              </w:rPr>
              <w:t>（不接受/协商/接受询价方条件）</w:t>
            </w:r>
          </w:p>
        </w:tc>
        <w:tc>
          <w:tcPr>
            <w:tcW w:w="1242" w:type="dxa"/>
            <w:vAlign w:val="center"/>
          </w:tcPr>
          <w:p w14:paraId="157DDE50">
            <w:pPr>
              <w:spacing w:line="360" w:lineRule="auto"/>
              <w:jc w:val="center"/>
              <w:rPr>
                <w:rFonts w:ascii="宋体" w:hAnsi="宋体"/>
                <w:color w:val="000000"/>
                <w:highlight w:val="none"/>
              </w:rPr>
            </w:pPr>
            <w:r>
              <w:rPr>
                <w:rFonts w:hint="eastAsia" w:ascii="宋体" w:hAnsi="宋体"/>
                <w:color w:val="000000"/>
                <w:highlight w:val="none"/>
              </w:rPr>
              <w:t>说明</w:t>
            </w:r>
          </w:p>
        </w:tc>
      </w:tr>
      <w:tr w14:paraId="40C5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2231042A">
            <w:pPr>
              <w:spacing w:line="360" w:lineRule="auto"/>
              <w:jc w:val="center"/>
              <w:rPr>
                <w:rFonts w:ascii="宋体" w:hAnsi="宋体"/>
                <w:color w:val="000000"/>
                <w:highlight w:val="none"/>
              </w:rPr>
            </w:pPr>
            <w:r>
              <w:rPr>
                <w:rFonts w:hint="eastAsia" w:ascii="宋体" w:hAnsi="宋体"/>
                <w:color w:val="000000"/>
                <w:highlight w:val="none"/>
              </w:rPr>
              <w:t>1</w:t>
            </w:r>
          </w:p>
        </w:tc>
        <w:tc>
          <w:tcPr>
            <w:tcW w:w="1792" w:type="dxa"/>
            <w:vAlign w:val="center"/>
          </w:tcPr>
          <w:p w14:paraId="34D823BB">
            <w:pPr>
              <w:spacing w:line="360" w:lineRule="auto"/>
              <w:jc w:val="center"/>
              <w:rPr>
                <w:rFonts w:ascii="宋体" w:hAnsi="宋体"/>
                <w:color w:val="000000"/>
                <w:highlight w:val="none"/>
              </w:rPr>
            </w:pPr>
            <w:r>
              <w:rPr>
                <w:rFonts w:hint="eastAsia" w:ascii="宋体" w:hAnsi="宋体"/>
                <w:color w:val="000000"/>
                <w:highlight w:val="none"/>
              </w:rPr>
              <w:t>违约条款</w:t>
            </w:r>
          </w:p>
        </w:tc>
        <w:tc>
          <w:tcPr>
            <w:tcW w:w="1560" w:type="dxa"/>
            <w:vAlign w:val="center"/>
          </w:tcPr>
          <w:p w14:paraId="24846ED8">
            <w:pPr>
              <w:spacing w:line="360" w:lineRule="auto"/>
              <w:jc w:val="center"/>
              <w:rPr>
                <w:rFonts w:ascii="宋体" w:hAnsi="宋体"/>
                <w:color w:val="000000"/>
                <w:highlight w:val="none"/>
              </w:rPr>
            </w:pPr>
          </w:p>
        </w:tc>
        <w:tc>
          <w:tcPr>
            <w:tcW w:w="2979" w:type="dxa"/>
            <w:vAlign w:val="center"/>
          </w:tcPr>
          <w:p w14:paraId="3EE3D9F5">
            <w:pPr>
              <w:spacing w:line="360" w:lineRule="auto"/>
              <w:jc w:val="center"/>
              <w:rPr>
                <w:rFonts w:ascii="宋体" w:hAnsi="宋体"/>
                <w:color w:val="000000"/>
                <w:highlight w:val="none"/>
              </w:rPr>
            </w:pPr>
          </w:p>
        </w:tc>
        <w:tc>
          <w:tcPr>
            <w:tcW w:w="1242" w:type="dxa"/>
            <w:vAlign w:val="center"/>
          </w:tcPr>
          <w:p w14:paraId="6545322E">
            <w:pPr>
              <w:spacing w:line="360" w:lineRule="auto"/>
              <w:jc w:val="center"/>
              <w:rPr>
                <w:rFonts w:ascii="宋体" w:hAnsi="宋体"/>
                <w:color w:val="000000"/>
                <w:highlight w:val="none"/>
              </w:rPr>
            </w:pPr>
          </w:p>
        </w:tc>
      </w:tr>
      <w:tr w14:paraId="1410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2A033798">
            <w:pPr>
              <w:spacing w:line="360" w:lineRule="auto"/>
              <w:jc w:val="center"/>
              <w:rPr>
                <w:rFonts w:ascii="宋体" w:hAnsi="宋体"/>
                <w:color w:val="000000"/>
                <w:highlight w:val="none"/>
              </w:rPr>
            </w:pPr>
            <w:r>
              <w:rPr>
                <w:rFonts w:hint="eastAsia" w:ascii="宋体" w:hAnsi="宋体"/>
                <w:color w:val="000000"/>
                <w:highlight w:val="none"/>
              </w:rPr>
              <w:t>2</w:t>
            </w:r>
          </w:p>
        </w:tc>
        <w:tc>
          <w:tcPr>
            <w:tcW w:w="1792" w:type="dxa"/>
            <w:vAlign w:val="center"/>
          </w:tcPr>
          <w:p w14:paraId="1FFBB45D">
            <w:pPr>
              <w:spacing w:line="360" w:lineRule="auto"/>
              <w:jc w:val="center"/>
              <w:rPr>
                <w:rFonts w:ascii="宋体" w:hAnsi="宋体"/>
                <w:color w:val="000000"/>
                <w:highlight w:val="none"/>
              </w:rPr>
            </w:pPr>
            <w:r>
              <w:rPr>
                <w:rFonts w:hint="eastAsia" w:ascii="宋体" w:hAnsi="宋体"/>
                <w:color w:val="000000"/>
                <w:highlight w:val="none"/>
              </w:rPr>
              <w:t>付款方式</w:t>
            </w:r>
          </w:p>
        </w:tc>
        <w:tc>
          <w:tcPr>
            <w:tcW w:w="1560" w:type="dxa"/>
            <w:vAlign w:val="center"/>
          </w:tcPr>
          <w:p w14:paraId="5BEF4072">
            <w:pPr>
              <w:spacing w:line="360" w:lineRule="auto"/>
              <w:jc w:val="center"/>
              <w:rPr>
                <w:rFonts w:ascii="宋体" w:hAnsi="宋体"/>
                <w:color w:val="000000"/>
                <w:highlight w:val="none"/>
              </w:rPr>
            </w:pPr>
          </w:p>
        </w:tc>
        <w:tc>
          <w:tcPr>
            <w:tcW w:w="2979" w:type="dxa"/>
            <w:vAlign w:val="center"/>
          </w:tcPr>
          <w:p w14:paraId="3E723749">
            <w:pPr>
              <w:spacing w:line="360" w:lineRule="auto"/>
              <w:jc w:val="center"/>
              <w:rPr>
                <w:rFonts w:ascii="宋体" w:hAnsi="宋体"/>
                <w:color w:val="000000"/>
                <w:highlight w:val="none"/>
              </w:rPr>
            </w:pPr>
          </w:p>
        </w:tc>
        <w:tc>
          <w:tcPr>
            <w:tcW w:w="1242" w:type="dxa"/>
            <w:vAlign w:val="center"/>
          </w:tcPr>
          <w:p w14:paraId="2E46518D">
            <w:pPr>
              <w:spacing w:line="360" w:lineRule="auto"/>
              <w:jc w:val="center"/>
              <w:rPr>
                <w:rFonts w:ascii="宋体" w:hAnsi="宋体"/>
                <w:color w:val="000000"/>
                <w:highlight w:val="none"/>
              </w:rPr>
            </w:pPr>
          </w:p>
        </w:tc>
      </w:tr>
      <w:tr w14:paraId="5807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5E7E4076">
            <w:pPr>
              <w:spacing w:line="360" w:lineRule="auto"/>
              <w:jc w:val="center"/>
              <w:rPr>
                <w:rFonts w:ascii="宋体" w:hAnsi="宋体"/>
                <w:color w:val="000000"/>
                <w:highlight w:val="none"/>
              </w:rPr>
            </w:pPr>
            <w:r>
              <w:rPr>
                <w:rFonts w:hint="eastAsia" w:ascii="宋体" w:hAnsi="宋体"/>
                <w:color w:val="000000"/>
                <w:highlight w:val="none"/>
              </w:rPr>
              <w:t>3</w:t>
            </w:r>
          </w:p>
        </w:tc>
        <w:tc>
          <w:tcPr>
            <w:tcW w:w="1792" w:type="dxa"/>
            <w:vAlign w:val="center"/>
          </w:tcPr>
          <w:p w14:paraId="2F1E59B0">
            <w:pPr>
              <w:spacing w:line="360" w:lineRule="auto"/>
              <w:jc w:val="center"/>
              <w:rPr>
                <w:rFonts w:ascii="宋体" w:hAnsi="宋体"/>
                <w:color w:val="000000"/>
                <w:highlight w:val="none"/>
              </w:rPr>
            </w:pPr>
            <w:r>
              <w:rPr>
                <w:rFonts w:hint="eastAsia" w:ascii="宋体" w:hAnsi="宋体"/>
                <w:color w:val="000000"/>
                <w:highlight w:val="none"/>
              </w:rPr>
              <w:t>服务期</w:t>
            </w:r>
          </w:p>
        </w:tc>
        <w:tc>
          <w:tcPr>
            <w:tcW w:w="1560" w:type="dxa"/>
            <w:vAlign w:val="center"/>
          </w:tcPr>
          <w:p w14:paraId="4421287F">
            <w:pPr>
              <w:spacing w:line="360" w:lineRule="auto"/>
              <w:jc w:val="center"/>
              <w:rPr>
                <w:rFonts w:ascii="宋体" w:hAnsi="宋体"/>
                <w:color w:val="000000"/>
                <w:highlight w:val="none"/>
              </w:rPr>
            </w:pPr>
          </w:p>
        </w:tc>
        <w:tc>
          <w:tcPr>
            <w:tcW w:w="2979" w:type="dxa"/>
            <w:vAlign w:val="center"/>
          </w:tcPr>
          <w:p w14:paraId="1BCA0F71">
            <w:pPr>
              <w:spacing w:line="360" w:lineRule="auto"/>
              <w:jc w:val="center"/>
              <w:rPr>
                <w:rFonts w:ascii="宋体" w:hAnsi="宋体"/>
                <w:color w:val="000000"/>
                <w:highlight w:val="none"/>
              </w:rPr>
            </w:pPr>
          </w:p>
        </w:tc>
        <w:tc>
          <w:tcPr>
            <w:tcW w:w="1242" w:type="dxa"/>
            <w:vAlign w:val="center"/>
          </w:tcPr>
          <w:p w14:paraId="3E29C2F1">
            <w:pPr>
              <w:spacing w:line="360" w:lineRule="auto"/>
              <w:jc w:val="center"/>
              <w:rPr>
                <w:rFonts w:ascii="宋体" w:hAnsi="宋体"/>
                <w:color w:val="000000"/>
                <w:highlight w:val="none"/>
              </w:rPr>
            </w:pPr>
          </w:p>
        </w:tc>
      </w:tr>
      <w:tr w14:paraId="1685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7F88E186">
            <w:pPr>
              <w:spacing w:line="360" w:lineRule="auto"/>
              <w:jc w:val="center"/>
              <w:rPr>
                <w:rFonts w:ascii="宋体" w:hAnsi="宋体"/>
                <w:color w:val="000000"/>
                <w:highlight w:val="none"/>
              </w:rPr>
            </w:pPr>
            <w:r>
              <w:rPr>
                <w:rFonts w:hint="eastAsia" w:ascii="宋体" w:hAnsi="宋体"/>
                <w:color w:val="000000"/>
                <w:highlight w:val="none"/>
              </w:rPr>
              <w:t>4</w:t>
            </w:r>
          </w:p>
        </w:tc>
        <w:tc>
          <w:tcPr>
            <w:tcW w:w="1792" w:type="dxa"/>
            <w:vAlign w:val="center"/>
          </w:tcPr>
          <w:p w14:paraId="453D5C44">
            <w:pPr>
              <w:spacing w:line="360" w:lineRule="auto"/>
              <w:jc w:val="center"/>
              <w:rPr>
                <w:rFonts w:ascii="宋体" w:hAnsi="宋体"/>
                <w:color w:val="000000"/>
                <w:highlight w:val="none"/>
              </w:rPr>
            </w:pPr>
            <w:r>
              <w:rPr>
                <w:rFonts w:hint="eastAsia" w:ascii="宋体" w:hAnsi="宋体"/>
                <w:color w:val="000000"/>
                <w:highlight w:val="none"/>
              </w:rPr>
              <w:t>报价有效期</w:t>
            </w:r>
          </w:p>
        </w:tc>
        <w:tc>
          <w:tcPr>
            <w:tcW w:w="1560" w:type="dxa"/>
            <w:vAlign w:val="center"/>
          </w:tcPr>
          <w:p w14:paraId="5FF42EF4">
            <w:pPr>
              <w:spacing w:line="360" w:lineRule="auto"/>
              <w:jc w:val="center"/>
              <w:rPr>
                <w:rFonts w:ascii="宋体" w:hAnsi="宋体"/>
                <w:color w:val="000000"/>
                <w:highlight w:val="none"/>
              </w:rPr>
            </w:pPr>
          </w:p>
        </w:tc>
        <w:tc>
          <w:tcPr>
            <w:tcW w:w="2979" w:type="dxa"/>
            <w:vAlign w:val="center"/>
          </w:tcPr>
          <w:p w14:paraId="4DF35ADC">
            <w:pPr>
              <w:spacing w:line="360" w:lineRule="auto"/>
              <w:jc w:val="center"/>
              <w:rPr>
                <w:rFonts w:ascii="宋体" w:hAnsi="宋体"/>
                <w:color w:val="000000"/>
                <w:highlight w:val="none"/>
              </w:rPr>
            </w:pPr>
          </w:p>
        </w:tc>
        <w:tc>
          <w:tcPr>
            <w:tcW w:w="1242" w:type="dxa"/>
            <w:vAlign w:val="center"/>
          </w:tcPr>
          <w:p w14:paraId="5D26FA03">
            <w:pPr>
              <w:spacing w:line="360" w:lineRule="auto"/>
              <w:jc w:val="center"/>
              <w:rPr>
                <w:rFonts w:ascii="宋体" w:hAnsi="宋体"/>
                <w:color w:val="000000"/>
                <w:highlight w:val="none"/>
              </w:rPr>
            </w:pPr>
          </w:p>
        </w:tc>
      </w:tr>
      <w:tr w14:paraId="5E9B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62CA4531">
            <w:pPr>
              <w:spacing w:line="360" w:lineRule="auto"/>
              <w:jc w:val="center"/>
              <w:rPr>
                <w:rFonts w:ascii="宋体" w:hAnsi="宋体"/>
                <w:color w:val="000000"/>
                <w:highlight w:val="none"/>
              </w:rPr>
            </w:pPr>
            <w:r>
              <w:rPr>
                <w:rFonts w:hint="eastAsia" w:ascii="宋体" w:hAnsi="宋体"/>
                <w:color w:val="000000"/>
                <w:highlight w:val="none"/>
              </w:rPr>
              <w:t>5</w:t>
            </w:r>
          </w:p>
        </w:tc>
        <w:tc>
          <w:tcPr>
            <w:tcW w:w="1792" w:type="dxa"/>
            <w:vAlign w:val="center"/>
          </w:tcPr>
          <w:p w14:paraId="46B29FBF">
            <w:pPr>
              <w:spacing w:line="360" w:lineRule="auto"/>
              <w:jc w:val="center"/>
              <w:rPr>
                <w:rFonts w:ascii="宋体" w:hAnsi="宋体"/>
                <w:color w:val="000000"/>
                <w:highlight w:val="none"/>
              </w:rPr>
            </w:pPr>
            <w:r>
              <w:rPr>
                <w:rFonts w:hint="eastAsia" w:ascii="宋体" w:hAnsi="宋体"/>
                <w:color w:val="000000"/>
                <w:highlight w:val="none"/>
              </w:rPr>
              <w:t>合同条款</w:t>
            </w:r>
          </w:p>
        </w:tc>
        <w:tc>
          <w:tcPr>
            <w:tcW w:w="1560" w:type="dxa"/>
            <w:vAlign w:val="center"/>
          </w:tcPr>
          <w:p w14:paraId="31718F81">
            <w:pPr>
              <w:spacing w:line="360" w:lineRule="auto"/>
              <w:jc w:val="center"/>
              <w:rPr>
                <w:rFonts w:ascii="宋体" w:hAnsi="宋体"/>
                <w:color w:val="000000"/>
                <w:highlight w:val="none"/>
              </w:rPr>
            </w:pPr>
          </w:p>
        </w:tc>
        <w:tc>
          <w:tcPr>
            <w:tcW w:w="2979" w:type="dxa"/>
            <w:vAlign w:val="center"/>
          </w:tcPr>
          <w:p w14:paraId="2D927844">
            <w:pPr>
              <w:spacing w:line="360" w:lineRule="auto"/>
              <w:jc w:val="center"/>
              <w:rPr>
                <w:rFonts w:ascii="宋体" w:hAnsi="宋体"/>
                <w:color w:val="000000"/>
                <w:highlight w:val="none"/>
              </w:rPr>
            </w:pPr>
          </w:p>
        </w:tc>
        <w:tc>
          <w:tcPr>
            <w:tcW w:w="1242" w:type="dxa"/>
            <w:vAlign w:val="center"/>
          </w:tcPr>
          <w:p w14:paraId="7C6FBF51">
            <w:pPr>
              <w:spacing w:line="360" w:lineRule="auto"/>
              <w:jc w:val="center"/>
              <w:rPr>
                <w:rFonts w:ascii="宋体" w:hAnsi="宋体"/>
                <w:color w:val="000000"/>
                <w:highlight w:val="none"/>
              </w:rPr>
            </w:pPr>
          </w:p>
        </w:tc>
      </w:tr>
      <w:tr w14:paraId="3355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1F1B99CC">
            <w:pPr>
              <w:spacing w:line="360" w:lineRule="auto"/>
              <w:jc w:val="center"/>
              <w:rPr>
                <w:rFonts w:ascii="宋体" w:hAnsi="宋体"/>
                <w:color w:val="000000"/>
                <w:highlight w:val="none"/>
              </w:rPr>
            </w:pPr>
            <w:r>
              <w:rPr>
                <w:rFonts w:hint="eastAsia" w:ascii="宋体" w:hAnsi="宋体"/>
                <w:color w:val="000000"/>
                <w:highlight w:val="none"/>
              </w:rPr>
              <w:t>6</w:t>
            </w:r>
          </w:p>
        </w:tc>
        <w:tc>
          <w:tcPr>
            <w:tcW w:w="1792" w:type="dxa"/>
            <w:vAlign w:val="center"/>
          </w:tcPr>
          <w:p w14:paraId="5960144B">
            <w:pPr>
              <w:spacing w:line="360" w:lineRule="auto"/>
              <w:jc w:val="center"/>
              <w:rPr>
                <w:rFonts w:ascii="宋体" w:hAnsi="宋体"/>
                <w:color w:val="000000"/>
                <w:highlight w:val="none"/>
              </w:rPr>
            </w:pPr>
            <w:r>
              <w:rPr>
                <w:rFonts w:hint="eastAsia" w:ascii="宋体" w:hAnsi="宋体"/>
                <w:color w:val="000000"/>
                <w:highlight w:val="none"/>
              </w:rPr>
              <w:t>其他</w:t>
            </w:r>
          </w:p>
        </w:tc>
        <w:tc>
          <w:tcPr>
            <w:tcW w:w="1560" w:type="dxa"/>
            <w:vAlign w:val="center"/>
          </w:tcPr>
          <w:p w14:paraId="44007076">
            <w:pPr>
              <w:spacing w:line="360" w:lineRule="auto"/>
              <w:jc w:val="center"/>
              <w:rPr>
                <w:rFonts w:ascii="宋体" w:hAnsi="宋体"/>
                <w:color w:val="000000"/>
                <w:highlight w:val="none"/>
              </w:rPr>
            </w:pPr>
          </w:p>
        </w:tc>
        <w:tc>
          <w:tcPr>
            <w:tcW w:w="2979" w:type="dxa"/>
            <w:vAlign w:val="center"/>
          </w:tcPr>
          <w:p w14:paraId="0A0CE85E">
            <w:pPr>
              <w:spacing w:line="360" w:lineRule="auto"/>
              <w:jc w:val="center"/>
              <w:rPr>
                <w:rFonts w:ascii="宋体" w:hAnsi="宋体"/>
                <w:color w:val="000000"/>
                <w:highlight w:val="none"/>
              </w:rPr>
            </w:pPr>
          </w:p>
        </w:tc>
        <w:tc>
          <w:tcPr>
            <w:tcW w:w="1242" w:type="dxa"/>
            <w:vAlign w:val="center"/>
          </w:tcPr>
          <w:p w14:paraId="561813A6">
            <w:pPr>
              <w:spacing w:line="360" w:lineRule="auto"/>
              <w:jc w:val="center"/>
              <w:rPr>
                <w:rFonts w:ascii="宋体" w:hAnsi="宋体"/>
                <w:color w:val="000000"/>
                <w:highlight w:val="none"/>
              </w:rPr>
            </w:pPr>
          </w:p>
        </w:tc>
      </w:tr>
    </w:tbl>
    <w:p w14:paraId="1DA942A8">
      <w:pPr>
        <w:spacing w:line="360" w:lineRule="auto"/>
        <w:rPr>
          <w:rFonts w:ascii="宋体" w:hAnsi="宋体"/>
          <w:color w:val="000000"/>
          <w:szCs w:val="21"/>
          <w:highlight w:val="none"/>
        </w:rPr>
      </w:pPr>
    </w:p>
    <w:p w14:paraId="3F18CEA0">
      <w:pPr>
        <w:spacing w:line="360" w:lineRule="auto"/>
        <w:rPr>
          <w:rFonts w:ascii="宋体" w:hAnsi="宋体"/>
          <w:color w:val="000000"/>
          <w:szCs w:val="21"/>
          <w:highlight w:val="none"/>
        </w:rPr>
      </w:pPr>
      <w:r>
        <w:rPr>
          <w:rFonts w:hint="eastAsia" w:ascii="宋体" w:hAnsi="宋体"/>
          <w:color w:val="000000"/>
          <w:szCs w:val="21"/>
          <w:highlight w:val="none"/>
        </w:rPr>
        <w:t>注：如果</w:t>
      </w:r>
      <w:r>
        <w:rPr>
          <w:rFonts w:hint="eastAsia" w:ascii="宋体" w:hAnsi="宋体"/>
          <w:color w:val="000000"/>
          <w:szCs w:val="21"/>
          <w:highlight w:val="none"/>
          <w:lang w:val="en-US" w:eastAsia="zh-CN"/>
        </w:rPr>
        <w:t>应答</w:t>
      </w:r>
      <w:r>
        <w:rPr>
          <w:rFonts w:hint="eastAsia" w:ascii="宋体" w:hAnsi="宋体"/>
          <w:color w:val="000000"/>
          <w:szCs w:val="21"/>
          <w:highlight w:val="none"/>
        </w:rPr>
        <w:t>人对询价文件的商务条款有异议，请在此处一一列出，</w:t>
      </w:r>
      <w:r>
        <w:rPr>
          <w:rFonts w:hint="eastAsia" w:ascii="宋体" w:hAnsi="宋体"/>
          <w:color w:val="000000"/>
          <w:szCs w:val="21"/>
          <w:highlight w:val="none"/>
          <w:lang w:val="en-US" w:eastAsia="zh-CN"/>
        </w:rPr>
        <w:t>应答</w:t>
      </w:r>
      <w:r>
        <w:rPr>
          <w:rFonts w:hint="eastAsia" w:ascii="宋体" w:hAnsi="宋体"/>
          <w:color w:val="000000"/>
          <w:szCs w:val="21"/>
          <w:highlight w:val="none"/>
        </w:rPr>
        <w:t>人的商务偏离条款将作为评标的依据之一；如若没有异议请标明“无”，否则视为放弃。</w:t>
      </w:r>
    </w:p>
    <w:p w14:paraId="55D6274B">
      <w:pPr>
        <w:spacing w:before="120" w:line="360" w:lineRule="auto"/>
        <w:rPr>
          <w:rFonts w:ascii="宋体" w:hAnsi="宋体"/>
          <w:b/>
          <w:bCs/>
          <w:color w:val="000000"/>
          <w:szCs w:val="21"/>
          <w:highlight w:val="none"/>
        </w:rPr>
      </w:pPr>
    </w:p>
    <w:p w14:paraId="0057E57C">
      <w:pPr>
        <w:spacing w:line="360" w:lineRule="auto"/>
        <w:rPr>
          <w:rFonts w:ascii="宋体" w:hAnsi="宋体"/>
          <w:color w:val="000000"/>
          <w:szCs w:val="21"/>
          <w:highlight w:val="none"/>
        </w:rPr>
      </w:pPr>
    </w:p>
    <w:p w14:paraId="53C46078">
      <w:pPr>
        <w:spacing w:line="360" w:lineRule="auto"/>
        <w:ind w:right="840"/>
        <w:jc w:val="center"/>
        <w:rPr>
          <w:rFonts w:ascii="宋体" w:hAnsi="宋体"/>
          <w:color w:val="000000"/>
          <w:szCs w:val="21"/>
          <w:highlight w:val="none"/>
        </w:rPr>
      </w:pPr>
      <w:r>
        <w:rPr>
          <w:rFonts w:hint="eastAsia" w:ascii="宋体" w:hAnsi="宋体"/>
          <w:color w:val="000000"/>
          <w:szCs w:val="21"/>
          <w:highlight w:val="none"/>
        </w:rPr>
        <w:t xml:space="preserve">                 </w:t>
      </w:r>
      <w:r>
        <w:rPr>
          <w:rFonts w:hint="eastAsia" w:ascii="宋体" w:hAnsi="宋体"/>
          <w:color w:val="000000"/>
          <w:szCs w:val="21"/>
          <w:highlight w:val="none"/>
          <w:lang w:eastAsia="zh-CN"/>
        </w:rPr>
        <w:t>应答人</w:t>
      </w:r>
      <w:r>
        <w:rPr>
          <w:rFonts w:ascii="宋体" w:hAnsi="宋体"/>
          <w:color w:val="000000"/>
          <w:szCs w:val="21"/>
          <w:highlight w:val="none"/>
        </w:rPr>
        <w:t>：（盖章）</w:t>
      </w:r>
    </w:p>
    <w:p w14:paraId="1104A2E7">
      <w:pPr>
        <w:spacing w:line="360" w:lineRule="auto"/>
        <w:jc w:val="right"/>
        <w:rPr>
          <w:rFonts w:ascii="宋体" w:hAnsi="宋体"/>
          <w:color w:val="000000"/>
          <w:szCs w:val="21"/>
          <w:highlight w:val="none"/>
        </w:rPr>
      </w:pPr>
    </w:p>
    <w:p w14:paraId="50A03C47">
      <w:pPr>
        <w:spacing w:line="360" w:lineRule="auto"/>
        <w:ind w:right="1680"/>
        <w:jc w:val="center"/>
        <w:rPr>
          <w:rFonts w:ascii="宋体" w:hAnsi="宋体"/>
          <w:color w:val="000000"/>
          <w:szCs w:val="21"/>
          <w:highlight w:val="none"/>
        </w:rPr>
      </w:pPr>
      <w:r>
        <w:rPr>
          <w:rFonts w:hint="eastAsia" w:ascii="宋体" w:hAnsi="宋体"/>
          <w:color w:val="000000"/>
          <w:szCs w:val="21"/>
          <w:highlight w:val="none"/>
        </w:rPr>
        <w:t xml:space="preserve">                               </w:t>
      </w:r>
      <w:r>
        <w:rPr>
          <w:rFonts w:ascii="宋体" w:hAnsi="宋体"/>
          <w:color w:val="000000"/>
          <w:szCs w:val="21"/>
          <w:highlight w:val="none"/>
        </w:rPr>
        <w:t>法定代表人或委托代理人：（签字）</w:t>
      </w:r>
    </w:p>
    <w:p w14:paraId="23AC8925">
      <w:pPr>
        <w:rPr>
          <w:highlight w:val="none"/>
        </w:rPr>
      </w:pPr>
    </w:p>
    <w:p w14:paraId="636E1669">
      <w:pPr>
        <w:pStyle w:val="8"/>
        <w:rPr>
          <w:highlight w:val="none"/>
          <w:lang w:val="en-US" w:eastAsia="zh-CN"/>
        </w:rPr>
      </w:pPr>
    </w:p>
    <w:p w14:paraId="676B871D">
      <w:pPr>
        <w:rPr>
          <w:highlight w:val="none"/>
          <w:lang w:val="en-US" w:eastAsia="zh-CN"/>
        </w:rPr>
      </w:pPr>
    </w:p>
    <w:p w14:paraId="14CDD74A">
      <w:pPr>
        <w:pStyle w:val="8"/>
        <w:rPr>
          <w:highlight w:val="none"/>
          <w:lang w:val="en-US" w:eastAsia="zh-CN"/>
        </w:rPr>
      </w:pPr>
    </w:p>
    <w:p w14:paraId="58A3B9EA">
      <w:pPr>
        <w:rPr>
          <w:highlight w:val="none"/>
          <w:lang w:val="en-US" w:eastAsia="zh-CN"/>
        </w:rPr>
      </w:pPr>
    </w:p>
    <w:p w14:paraId="66D3FE93">
      <w:pPr>
        <w:pStyle w:val="8"/>
        <w:rPr>
          <w:highlight w:val="none"/>
          <w:lang w:val="en-US" w:eastAsia="zh-CN"/>
        </w:rPr>
      </w:pPr>
    </w:p>
    <w:p w14:paraId="17F840E4">
      <w:pPr>
        <w:rPr>
          <w:highlight w:val="none"/>
          <w:lang w:val="en-US" w:eastAsia="zh-CN"/>
        </w:rPr>
      </w:pPr>
    </w:p>
    <w:p w14:paraId="357235D2">
      <w:pPr>
        <w:pStyle w:val="8"/>
        <w:rPr>
          <w:highlight w:val="none"/>
          <w:lang w:val="en-US" w:eastAsia="zh-CN"/>
        </w:rPr>
      </w:pPr>
    </w:p>
    <w:p w14:paraId="333DE0B0">
      <w:pPr>
        <w:rPr>
          <w:highlight w:val="none"/>
          <w:lang w:val="en-US" w:eastAsia="zh-CN"/>
        </w:rPr>
      </w:pPr>
    </w:p>
    <w:p w14:paraId="4262BBD6">
      <w:pPr>
        <w:pStyle w:val="8"/>
        <w:rPr>
          <w:highlight w:val="none"/>
          <w:lang w:val="en-US" w:eastAsia="zh-CN"/>
        </w:rPr>
      </w:pPr>
    </w:p>
    <w:p w14:paraId="6A4E773A">
      <w:pPr>
        <w:rPr>
          <w:highlight w:val="none"/>
          <w:lang w:val="en-US" w:eastAsia="zh-CN"/>
        </w:rPr>
      </w:pPr>
    </w:p>
    <w:p w14:paraId="6A8CC69D">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14:paraId="0A21C552">
      <w:pPr>
        <w:rPr>
          <w:highlight w:val="none"/>
        </w:rPr>
      </w:pPr>
    </w:p>
    <w:p w14:paraId="78BA9FCB">
      <w:pPr>
        <w:pStyle w:val="8"/>
        <w:ind w:firstLine="0" w:firstLineChars="0"/>
        <w:rPr>
          <w:highlight w:val="none"/>
          <w:lang w:val="en-US" w:eastAsia="zh-CN"/>
        </w:rPr>
      </w:pPr>
    </w:p>
    <w:p w14:paraId="01001FCE">
      <w:pPr>
        <w:pStyle w:val="8"/>
        <w:ind w:firstLine="0" w:firstLineChars="0"/>
        <w:rPr>
          <w:highlight w:val="none"/>
          <w:lang w:val="en-US" w:eastAsia="zh-CN"/>
        </w:rPr>
      </w:pPr>
    </w:p>
    <w:p w14:paraId="64301F28">
      <w:pPr>
        <w:pStyle w:val="8"/>
        <w:ind w:firstLine="0" w:firstLineChars="0"/>
        <w:rPr>
          <w:highlight w:val="none"/>
          <w:lang w:val="en-US" w:eastAsia="zh-CN"/>
        </w:rPr>
      </w:pPr>
    </w:p>
    <w:p w14:paraId="720D9749">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highlight w:val="none"/>
          <w:lang w:val="en-US" w:eastAsia="zh-CN"/>
        </w:rPr>
      </w:pPr>
      <w:r>
        <w:rPr>
          <w:rFonts w:hint="eastAsia" w:ascii="黑体" w:hAnsi="黑体" w:eastAsia="黑体"/>
          <w:b/>
          <w:bCs/>
          <w:sz w:val="24"/>
          <w:szCs w:val="24"/>
          <w:highlight w:val="none"/>
        </w:rPr>
        <w:t>附件</w:t>
      </w:r>
      <w:r>
        <w:rPr>
          <w:rFonts w:hint="eastAsia" w:ascii="黑体" w:hAnsi="黑体" w:eastAsia="黑体"/>
          <w:b/>
          <w:bCs/>
          <w:sz w:val="24"/>
          <w:szCs w:val="24"/>
          <w:highlight w:val="none"/>
          <w:lang w:val="en-US" w:eastAsia="zh-CN"/>
        </w:rPr>
        <w:t>6：</w:t>
      </w:r>
      <w:r>
        <w:rPr>
          <w:rFonts w:hint="eastAsia" w:ascii="黑体" w:hAnsi="黑体" w:eastAsia="黑体"/>
          <w:b/>
          <w:bCs/>
          <w:sz w:val="24"/>
          <w:szCs w:val="24"/>
          <w:highlight w:val="none"/>
        </w:rPr>
        <w:t xml:space="preserve"> </w:t>
      </w:r>
      <w:r>
        <w:rPr>
          <w:rFonts w:hint="eastAsia" w:ascii="黑体" w:hAnsi="黑体" w:eastAsia="黑体"/>
          <w:b/>
          <w:bCs/>
          <w:sz w:val="24"/>
          <w:szCs w:val="24"/>
          <w:highlight w:val="none"/>
          <w:lang w:val="en-US" w:eastAsia="zh-CN"/>
        </w:rPr>
        <w:t>技术文件</w:t>
      </w:r>
    </w:p>
    <w:p w14:paraId="164A3D60">
      <w:pPr>
        <w:rPr>
          <w:rFonts w:hint="eastAsia" w:ascii="黑体" w:hAnsi="黑体" w:eastAsia="黑体"/>
          <w:sz w:val="24"/>
          <w:szCs w:val="24"/>
          <w:highlight w:val="none"/>
          <w:lang w:val="en-US" w:eastAsia="zh-CN"/>
        </w:rPr>
      </w:pPr>
    </w:p>
    <w:p w14:paraId="1EFD6DA5">
      <w:pPr>
        <w:widowControl w:val="0"/>
        <w:numPr>
          <w:ilvl w:val="0"/>
          <w:numId w:val="0"/>
        </w:numPr>
        <w:jc w:val="both"/>
        <w:rPr>
          <w:rFonts w:hint="default"/>
          <w:highlight w:val="none"/>
          <w:lang w:val="en-US" w:eastAsia="zh-CN"/>
        </w:rPr>
      </w:pPr>
    </w:p>
    <w:p w14:paraId="32F34673">
      <w:pPr>
        <w:tabs>
          <w:tab w:val="left" w:pos="6480"/>
          <w:tab w:val="left" w:pos="6660"/>
          <w:tab w:val="left" w:pos="9360"/>
        </w:tabs>
        <w:spacing w:line="360" w:lineRule="auto"/>
        <w:ind w:right="36" w:rightChars="17"/>
        <w:jc w:val="center"/>
        <w:rPr>
          <w:rFonts w:ascii="宋体" w:hAnsi="宋体"/>
          <w:b/>
          <w:color w:val="000000"/>
          <w:szCs w:val="21"/>
          <w:highlight w:val="none"/>
        </w:rPr>
      </w:pPr>
      <w:r>
        <w:rPr>
          <w:rFonts w:hint="eastAsia" w:ascii="宋体" w:hAnsi="宋体"/>
          <w:b/>
          <w:color w:val="000000"/>
          <w:szCs w:val="21"/>
          <w:highlight w:val="none"/>
        </w:rPr>
        <w:t>技术</w:t>
      </w:r>
      <w:r>
        <w:rPr>
          <w:rFonts w:hint="eastAsia" w:ascii="宋体" w:hAnsi="宋体"/>
          <w:b/>
          <w:color w:val="000000"/>
          <w:szCs w:val="21"/>
          <w:highlight w:val="none"/>
          <w:lang w:val="en-US" w:eastAsia="zh-CN"/>
        </w:rPr>
        <w:t>偏离</w:t>
      </w:r>
      <w:r>
        <w:rPr>
          <w:rFonts w:hint="eastAsia" w:ascii="宋体" w:hAnsi="宋体"/>
          <w:b/>
          <w:color w:val="000000"/>
          <w:szCs w:val="21"/>
          <w:highlight w:val="none"/>
        </w:rPr>
        <w:t>表</w:t>
      </w:r>
    </w:p>
    <w:tbl>
      <w:tblPr>
        <w:tblStyle w:val="20"/>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14:paraId="02D8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1A750A4A">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序号</w:t>
            </w:r>
          </w:p>
        </w:tc>
        <w:tc>
          <w:tcPr>
            <w:tcW w:w="3969" w:type="dxa"/>
            <w:vAlign w:val="center"/>
          </w:tcPr>
          <w:p w14:paraId="6A0E6774">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技术参数</w:t>
            </w:r>
          </w:p>
        </w:tc>
        <w:tc>
          <w:tcPr>
            <w:tcW w:w="992" w:type="dxa"/>
            <w:vAlign w:val="center"/>
          </w:tcPr>
          <w:p w14:paraId="6B007B31">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是否存在异议</w:t>
            </w:r>
          </w:p>
        </w:tc>
        <w:tc>
          <w:tcPr>
            <w:tcW w:w="1701" w:type="dxa"/>
            <w:vAlign w:val="center"/>
          </w:tcPr>
          <w:p w14:paraId="4C527CCC">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解决方法</w:t>
            </w:r>
          </w:p>
          <w:p w14:paraId="5E473BA3">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（不接受/协商/接受询价方条件）</w:t>
            </w:r>
          </w:p>
        </w:tc>
        <w:tc>
          <w:tcPr>
            <w:tcW w:w="1292" w:type="dxa"/>
            <w:vAlign w:val="center"/>
          </w:tcPr>
          <w:p w14:paraId="11854954">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说明</w:t>
            </w:r>
          </w:p>
        </w:tc>
      </w:tr>
      <w:tr w14:paraId="43D2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356A708E">
            <w:pPr>
              <w:pStyle w:val="5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14:paraId="05A49705">
            <w:pPr>
              <w:pStyle w:val="5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14:paraId="48F55B76">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14:paraId="6EE94F6A">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14:paraId="75C90F72">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none"/>
                <w:lang w:val="en-US" w:eastAsia="zh-CN"/>
              </w:rPr>
            </w:pPr>
          </w:p>
        </w:tc>
      </w:tr>
      <w:tr w14:paraId="7F5C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7203E480">
            <w:pPr>
              <w:pStyle w:val="5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14:paraId="07088EA7">
            <w:pPr>
              <w:pStyle w:val="5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14:paraId="65EF61E0">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14:paraId="3DF16C40">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14:paraId="3526BECE">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14:paraId="58F6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127C0A95">
            <w:pPr>
              <w:pStyle w:val="5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14:paraId="5BB9D1D8">
            <w:pPr>
              <w:pStyle w:val="5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14:paraId="271AF370">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14:paraId="653DD4A3">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14:paraId="483A66CD">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14:paraId="265C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1E1D915B">
            <w:pPr>
              <w:pStyle w:val="5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14:paraId="1E862C23">
            <w:pPr>
              <w:pStyle w:val="5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14:paraId="01EBBB8D">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14:paraId="1EBA0499">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14:paraId="7C87667C">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14:paraId="2109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2044CAEE">
            <w:pPr>
              <w:pStyle w:val="5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14:paraId="561D99C7">
            <w:pPr>
              <w:pStyle w:val="5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14:paraId="295DFFD5">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14:paraId="23B3920C">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14:paraId="374DF899">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14:paraId="3565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6044EA9B">
            <w:pPr>
              <w:pStyle w:val="5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14:paraId="53E6CDE9">
            <w:pPr>
              <w:pStyle w:val="50"/>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none"/>
                <w:lang w:val="en-US" w:eastAsia="zh-CN" w:bidi="ar-SA"/>
              </w:rPr>
            </w:pPr>
          </w:p>
        </w:tc>
        <w:tc>
          <w:tcPr>
            <w:tcW w:w="992" w:type="dxa"/>
            <w:vAlign w:val="center"/>
          </w:tcPr>
          <w:p w14:paraId="6E8CCC5F">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14:paraId="41902904">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14:paraId="2609878F">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bl>
    <w:p w14:paraId="673F1637">
      <w:pPr>
        <w:spacing w:before="50" w:line="360" w:lineRule="auto"/>
        <w:ind w:firstLine="3885" w:firstLineChars="1850"/>
        <w:rPr>
          <w:rFonts w:ascii="宋体" w:hAnsi="宋体"/>
          <w:color w:val="000000"/>
          <w:szCs w:val="21"/>
          <w:highlight w:val="none"/>
        </w:rPr>
      </w:pPr>
    </w:p>
    <w:p w14:paraId="6DCA93C3">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highlight w:val="none"/>
        </w:rPr>
      </w:pPr>
      <w:r>
        <w:rPr>
          <w:rFonts w:hint="eastAsia" w:ascii="宋体" w:hAnsi="宋体"/>
          <w:color w:val="000000"/>
          <w:szCs w:val="21"/>
          <w:highlight w:val="none"/>
        </w:rPr>
        <w:t>说明：</w:t>
      </w:r>
    </w:p>
    <w:p w14:paraId="26A94892">
      <w:pPr>
        <w:keepNext w:val="0"/>
        <w:keepLines w:val="0"/>
        <w:pageBreakBefore w:val="0"/>
        <w:widowControl w:val="0"/>
        <w:numPr>
          <w:ilvl w:val="0"/>
          <w:numId w:val="3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以上技术如无偏差，则都填“无”字。</w:t>
      </w:r>
    </w:p>
    <w:p w14:paraId="65E5BD00">
      <w:pPr>
        <w:keepNext w:val="0"/>
        <w:keepLines w:val="0"/>
        <w:pageBreakBefore w:val="0"/>
        <w:widowControl w:val="0"/>
        <w:numPr>
          <w:ilvl w:val="0"/>
          <w:numId w:val="3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技术标准以技术要求为基准。</w:t>
      </w:r>
    </w:p>
    <w:p w14:paraId="293D9C96">
      <w:pPr>
        <w:keepNext w:val="0"/>
        <w:keepLines w:val="0"/>
        <w:pageBreakBefore w:val="0"/>
        <w:widowControl w:val="0"/>
        <w:numPr>
          <w:ilvl w:val="0"/>
          <w:numId w:val="3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以上技术偏差将作为</w:t>
      </w:r>
      <w:r>
        <w:rPr>
          <w:rFonts w:hint="eastAsia" w:ascii="宋体" w:hAnsi="宋体"/>
          <w:color w:val="000000"/>
          <w:szCs w:val="21"/>
          <w:highlight w:val="none"/>
          <w:lang w:val="en-US" w:eastAsia="zh-CN"/>
        </w:rPr>
        <w:t>采购</w:t>
      </w:r>
      <w:r>
        <w:rPr>
          <w:rFonts w:hint="eastAsia" w:ascii="宋体" w:hAnsi="宋体"/>
          <w:color w:val="000000"/>
          <w:szCs w:val="21"/>
          <w:highlight w:val="none"/>
        </w:rPr>
        <w:t>人判断应答人报价的重要依据，请慎重考虑、酌情填写。</w:t>
      </w:r>
    </w:p>
    <w:p w14:paraId="484AF6C4">
      <w:pPr>
        <w:spacing w:line="360" w:lineRule="auto"/>
        <w:rPr>
          <w:rFonts w:ascii="宋体" w:hAnsi="宋体"/>
          <w:color w:val="000000"/>
          <w:szCs w:val="21"/>
          <w:highlight w:val="none"/>
        </w:rPr>
      </w:pPr>
    </w:p>
    <w:p w14:paraId="5CED7F93">
      <w:pPr>
        <w:tabs>
          <w:tab w:val="left" w:pos="0"/>
        </w:tabs>
        <w:spacing w:line="360" w:lineRule="auto"/>
        <w:ind w:firstLine="3570" w:firstLineChars="1700"/>
        <w:rPr>
          <w:rFonts w:ascii="宋体" w:hAnsi="宋体"/>
          <w:color w:val="000000"/>
          <w:szCs w:val="21"/>
          <w:highlight w:val="none"/>
          <w:u w:val="single"/>
        </w:rPr>
      </w:pPr>
      <w:r>
        <w:rPr>
          <w:rFonts w:hint="eastAsia" w:ascii="宋体" w:hAnsi="宋体"/>
          <w:color w:val="000000"/>
          <w:szCs w:val="21"/>
          <w:highlight w:val="none"/>
          <w:lang w:eastAsia="zh-CN"/>
        </w:rPr>
        <w:t>应答人</w:t>
      </w:r>
      <w:r>
        <w:rPr>
          <w:rFonts w:hint="eastAsia" w:ascii="宋体" w:hAnsi="宋体"/>
          <w:color w:val="000000"/>
          <w:szCs w:val="21"/>
          <w:highlight w:val="none"/>
        </w:rPr>
        <w:t>：（盖章）</w:t>
      </w:r>
    </w:p>
    <w:p w14:paraId="30E80368">
      <w:pPr>
        <w:tabs>
          <w:tab w:val="left" w:pos="4320"/>
        </w:tabs>
        <w:spacing w:line="360" w:lineRule="auto"/>
        <w:ind w:firstLine="3465" w:firstLineChars="1650"/>
        <w:jc w:val="center"/>
        <w:rPr>
          <w:rFonts w:ascii="宋体" w:hAnsi="宋体"/>
          <w:color w:val="000000"/>
          <w:szCs w:val="21"/>
          <w:highlight w:val="none"/>
        </w:rPr>
      </w:pPr>
    </w:p>
    <w:p w14:paraId="7D210936">
      <w:pPr>
        <w:tabs>
          <w:tab w:val="left" w:pos="4320"/>
        </w:tabs>
        <w:spacing w:line="360" w:lineRule="auto"/>
        <w:ind w:firstLine="3570" w:firstLineChars="1700"/>
        <w:rPr>
          <w:rFonts w:hint="eastAsia" w:ascii="宋体" w:hAnsi="宋体"/>
          <w:color w:val="000000"/>
          <w:szCs w:val="21"/>
          <w:highlight w:val="none"/>
        </w:rPr>
      </w:pPr>
      <w:r>
        <w:rPr>
          <w:rFonts w:ascii="宋体" w:hAnsi="宋体"/>
          <w:color w:val="000000"/>
          <w:szCs w:val="21"/>
          <w:highlight w:val="none"/>
        </w:rPr>
        <w:t>法定代表人或委托代理人：（签字</w:t>
      </w:r>
      <w:r>
        <w:rPr>
          <w:rFonts w:hint="eastAsia" w:ascii="宋体" w:hAnsi="宋体"/>
          <w:color w:val="000000"/>
          <w:szCs w:val="21"/>
          <w:highlight w:val="none"/>
        </w:rPr>
        <w:t>）</w:t>
      </w:r>
    </w:p>
    <w:p w14:paraId="704C2682">
      <w:pPr>
        <w:rPr>
          <w:highlight w:val="none"/>
        </w:rPr>
      </w:pPr>
    </w:p>
    <w:p w14:paraId="733C5BF4">
      <w:pPr>
        <w:pStyle w:val="8"/>
        <w:ind w:firstLine="0" w:firstLineChars="0"/>
        <w:rPr>
          <w:highlight w:val="none"/>
          <w:lang w:val="en-US" w:eastAsia="zh-CN"/>
        </w:rPr>
      </w:pPr>
    </w:p>
    <w:p w14:paraId="0BF780C9">
      <w:pPr>
        <w:pStyle w:val="8"/>
        <w:ind w:firstLine="0" w:firstLineChars="0"/>
        <w:rPr>
          <w:highlight w:val="none"/>
          <w:lang w:val="en-US" w:eastAsia="zh-CN"/>
        </w:rPr>
      </w:pPr>
    </w:p>
    <w:p w14:paraId="42D29250">
      <w:pPr>
        <w:pStyle w:val="8"/>
        <w:ind w:firstLine="0" w:firstLineChars="0"/>
        <w:rPr>
          <w:highlight w:val="none"/>
          <w:lang w:val="en-US" w:eastAsia="zh-CN"/>
        </w:rPr>
      </w:pPr>
    </w:p>
    <w:p w14:paraId="2F97CC5B">
      <w:pPr>
        <w:pStyle w:val="8"/>
        <w:ind w:firstLine="0" w:firstLineChars="0"/>
        <w:rPr>
          <w:highlight w:val="none"/>
          <w:lang w:val="en-US" w:eastAsia="zh-CN"/>
        </w:rPr>
      </w:pPr>
    </w:p>
    <w:p w14:paraId="5471F13C">
      <w:pPr>
        <w:pStyle w:val="8"/>
        <w:ind w:firstLine="0" w:firstLineChars="0"/>
        <w:rPr>
          <w:highlight w:val="none"/>
          <w:lang w:val="en-US" w:eastAsia="zh-CN"/>
        </w:rPr>
      </w:pPr>
    </w:p>
    <w:p w14:paraId="48B2468D">
      <w:pPr>
        <w:pStyle w:val="8"/>
        <w:ind w:firstLine="0" w:firstLineChars="0"/>
        <w:rPr>
          <w:highlight w:val="none"/>
          <w:lang w:val="en-US" w:eastAsia="zh-CN"/>
        </w:rPr>
      </w:pPr>
    </w:p>
    <w:p w14:paraId="2653B8B9">
      <w:pPr>
        <w:pStyle w:val="8"/>
        <w:ind w:firstLine="0" w:firstLineChars="0"/>
        <w:rPr>
          <w:highlight w:val="none"/>
          <w:lang w:val="en-US" w:eastAsia="zh-CN"/>
        </w:rPr>
      </w:pPr>
    </w:p>
    <w:p w14:paraId="776F908A">
      <w:pPr>
        <w:pStyle w:val="8"/>
        <w:ind w:firstLine="0" w:firstLineChars="0"/>
        <w:rPr>
          <w:highlight w:val="none"/>
          <w:lang w:val="en-US" w:eastAsia="zh-CN"/>
        </w:rPr>
      </w:pPr>
    </w:p>
    <w:p w14:paraId="332EC7FB">
      <w:pPr>
        <w:pStyle w:val="8"/>
        <w:ind w:firstLine="0" w:firstLineChars="0"/>
        <w:rPr>
          <w:highlight w:val="none"/>
          <w:lang w:val="en-US" w:eastAsia="zh-CN"/>
        </w:rPr>
      </w:pPr>
    </w:p>
    <w:p w14:paraId="4DF887AD">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14:paraId="23C7DAD8">
      <w:pPr>
        <w:rPr>
          <w:rFonts w:ascii="黑体" w:hAnsi="黑体" w:eastAsia="黑体"/>
          <w:color w:val="000000" w:themeColor="text1"/>
          <w:sz w:val="21"/>
          <w:szCs w:val="21"/>
          <w:highlight w:val="none"/>
          <w14:textFill>
            <w14:solidFill>
              <w14:schemeClr w14:val="tx1"/>
            </w14:solidFill>
          </w14:textFill>
        </w:rPr>
      </w:pPr>
    </w:p>
    <w:p w14:paraId="113B480E">
      <w:pPr>
        <w:pStyle w:val="39"/>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14:paraId="6932E6FD">
      <w:pPr>
        <w:pStyle w:val="39"/>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14:paraId="76DA1BFC">
      <w:pPr>
        <w:pStyle w:val="39"/>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螺杆空气压缩机升级改造及设备购置</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20"/>
        <w:tblW w:w="99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3"/>
        <w:gridCol w:w="2166"/>
        <w:gridCol w:w="973"/>
        <w:gridCol w:w="973"/>
        <w:gridCol w:w="973"/>
        <w:gridCol w:w="973"/>
        <w:gridCol w:w="973"/>
        <w:gridCol w:w="974"/>
        <w:gridCol w:w="974"/>
      </w:tblGrid>
      <w:tr w14:paraId="75B0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9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E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物料描述</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C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4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8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不含税单价</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D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7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0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不含税小计</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0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含税小计</w:t>
            </w:r>
          </w:p>
        </w:tc>
      </w:tr>
      <w:tr w14:paraId="5AB7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E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34A7">
            <w:pPr>
              <w:keepNext w:val="0"/>
              <w:keepLines w:val="0"/>
              <w:widowControl/>
              <w:suppressLineNumbers w:val="0"/>
              <w:jc w:val="left"/>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color w:val="000000"/>
                <w:kern w:val="0"/>
                <w:sz w:val="16"/>
                <w:szCs w:val="16"/>
                <w:u w:val="none"/>
                <w:lang w:bidi="ar"/>
              </w:rPr>
              <w:t>螺杆空气压缩机升级改造及设备购置</w:t>
            </w:r>
            <w:r>
              <w:rPr>
                <w:rFonts w:hint="eastAsia" w:ascii="宋体" w:hAnsi="宋体" w:eastAsia="宋体" w:cs="宋体"/>
                <w:color w:val="000000"/>
                <w:kern w:val="0"/>
                <w:sz w:val="16"/>
                <w:szCs w:val="16"/>
                <w:u w:val="none"/>
                <w:lang w:eastAsia="zh-CN" w:bidi="ar"/>
              </w:rPr>
              <w:t>（</w:t>
            </w:r>
            <w:r>
              <w:rPr>
                <w:rFonts w:hint="eastAsia" w:ascii="宋体" w:hAnsi="宋体" w:eastAsia="宋体" w:cs="宋体"/>
                <w:color w:val="000000"/>
                <w:kern w:val="0"/>
                <w:sz w:val="16"/>
                <w:szCs w:val="16"/>
                <w:u w:val="none"/>
                <w:lang w:bidi="ar"/>
              </w:rPr>
              <w:t>报价中应包含但不限于以上内容</w:t>
            </w:r>
            <w:r>
              <w:rPr>
                <w:rFonts w:hint="eastAsia" w:ascii="宋体" w:hAnsi="宋体" w:eastAsia="宋体" w:cs="宋体"/>
                <w:color w:val="000000"/>
                <w:kern w:val="0"/>
                <w:sz w:val="16"/>
                <w:szCs w:val="16"/>
                <w:u w:val="none"/>
                <w:lang w:eastAsia="zh-CN" w:bidi="ar"/>
              </w:rPr>
              <w:t>，</w:t>
            </w:r>
            <w:r>
              <w:rPr>
                <w:rFonts w:hint="eastAsia" w:ascii="宋体" w:hAnsi="宋体" w:eastAsia="宋体" w:cs="宋体"/>
                <w:color w:val="000000"/>
                <w:kern w:val="0"/>
                <w:sz w:val="16"/>
                <w:szCs w:val="16"/>
                <w:u w:val="none"/>
                <w:lang w:val="en-US" w:eastAsia="zh-CN" w:bidi="ar"/>
              </w:rPr>
              <w:t>以系统中行项目明细报价</w:t>
            </w:r>
            <w:r>
              <w:rPr>
                <w:rFonts w:hint="eastAsia" w:ascii="宋体" w:hAnsi="宋体" w:eastAsia="宋体" w:cs="宋体"/>
                <w:color w:val="000000"/>
                <w:kern w:val="0"/>
                <w:sz w:val="16"/>
                <w:szCs w:val="16"/>
                <w:u w:val="none"/>
                <w:lang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E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1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9D06">
            <w:pPr>
              <w:jc w:val="center"/>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D0D4">
            <w:pPr>
              <w:jc w:val="center"/>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75FB">
            <w:pPr>
              <w:jc w:val="center"/>
              <w:rPr>
                <w:rFonts w:hint="eastAsia" w:ascii="宋体" w:hAnsi="宋体" w:eastAsia="宋体" w:cs="宋体"/>
                <w:i w:val="0"/>
                <w:iCs w:val="0"/>
                <w:color w:val="000000"/>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C932">
            <w:pPr>
              <w:jc w:val="center"/>
              <w:rPr>
                <w:rFonts w:hint="eastAsia" w:ascii="宋体" w:hAnsi="宋体" w:eastAsia="宋体" w:cs="宋体"/>
                <w:i w:val="0"/>
                <w:iCs w:val="0"/>
                <w:color w:val="000000"/>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7176">
            <w:pPr>
              <w:jc w:val="center"/>
              <w:rPr>
                <w:rFonts w:hint="eastAsia" w:ascii="宋体" w:hAnsi="宋体" w:eastAsia="宋体" w:cs="宋体"/>
                <w:i w:val="0"/>
                <w:iCs w:val="0"/>
                <w:color w:val="000000"/>
                <w:sz w:val="22"/>
                <w:szCs w:val="22"/>
                <w:u w:val="none"/>
              </w:rPr>
            </w:pPr>
          </w:p>
        </w:tc>
      </w:tr>
      <w:tr w14:paraId="741B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C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15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不含增值税总价</w:t>
            </w:r>
          </w:p>
        </w:tc>
        <w:tc>
          <w:tcPr>
            <w:tcW w:w="68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323DA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大写：</w:t>
            </w:r>
          </w:p>
        </w:tc>
      </w:tr>
      <w:tr w14:paraId="4672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C3C5">
            <w:pPr>
              <w:jc w:val="center"/>
              <w:rPr>
                <w:rFonts w:hint="eastAsia" w:ascii="宋体" w:hAnsi="宋体" w:eastAsia="宋体" w:cs="宋体"/>
                <w:i w:val="0"/>
                <w:iCs w:val="0"/>
                <w:color w:val="000000"/>
                <w:sz w:val="22"/>
                <w:szCs w:val="22"/>
                <w:u w:val="none"/>
              </w:rPr>
            </w:pPr>
          </w:p>
        </w:tc>
        <w:tc>
          <w:tcPr>
            <w:tcW w:w="2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8F9E1">
            <w:pPr>
              <w:jc w:val="center"/>
              <w:rPr>
                <w:rFonts w:hint="eastAsia" w:ascii="宋体" w:hAnsi="宋体" w:eastAsia="宋体" w:cs="宋体"/>
                <w:i w:val="0"/>
                <w:iCs w:val="0"/>
                <w:color w:val="000000"/>
                <w:sz w:val="20"/>
                <w:szCs w:val="20"/>
                <w:u w:val="none"/>
              </w:rPr>
            </w:pPr>
          </w:p>
        </w:tc>
        <w:tc>
          <w:tcPr>
            <w:tcW w:w="68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FE41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小写：</w:t>
            </w:r>
          </w:p>
        </w:tc>
      </w:tr>
      <w:tr w14:paraId="4B2C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E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D7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增值税 </w:t>
            </w:r>
            <w:r>
              <w:rPr>
                <w:rFonts w:hint="eastAsia" w:ascii="宋体" w:hAnsi="宋体" w:eastAsia="宋体" w:cs="宋体"/>
                <w:i w:val="0"/>
                <w:iCs w:val="0"/>
                <w:color w:val="000000"/>
                <w:kern w:val="0"/>
                <w:sz w:val="21"/>
                <w:szCs w:val="21"/>
                <w:u w:val="none"/>
                <w:lang w:val="en-US" w:eastAsia="zh-CN" w:bidi="ar"/>
              </w:rPr>
              <w:t xml:space="preserve">  %</w:t>
            </w:r>
          </w:p>
        </w:tc>
        <w:tc>
          <w:tcPr>
            <w:tcW w:w="68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498F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大写：</w:t>
            </w:r>
          </w:p>
        </w:tc>
      </w:tr>
      <w:tr w14:paraId="60A1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D732">
            <w:pPr>
              <w:jc w:val="center"/>
              <w:rPr>
                <w:rFonts w:hint="eastAsia" w:ascii="宋体" w:hAnsi="宋体" w:eastAsia="宋体" w:cs="宋体"/>
                <w:i w:val="0"/>
                <w:iCs w:val="0"/>
                <w:color w:val="000000"/>
                <w:sz w:val="22"/>
                <w:szCs w:val="22"/>
                <w:u w:val="none"/>
              </w:rPr>
            </w:pPr>
          </w:p>
        </w:tc>
        <w:tc>
          <w:tcPr>
            <w:tcW w:w="2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09FBE">
            <w:pPr>
              <w:jc w:val="center"/>
              <w:rPr>
                <w:rFonts w:hint="eastAsia" w:ascii="宋体" w:hAnsi="宋体" w:eastAsia="宋体" w:cs="宋体"/>
                <w:i w:val="0"/>
                <w:iCs w:val="0"/>
                <w:color w:val="000000"/>
                <w:sz w:val="20"/>
                <w:szCs w:val="20"/>
                <w:u w:val="none"/>
              </w:rPr>
            </w:pPr>
          </w:p>
        </w:tc>
        <w:tc>
          <w:tcPr>
            <w:tcW w:w="68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7C185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小写：</w:t>
            </w:r>
          </w:p>
        </w:tc>
      </w:tr>
      <w:tr w14:paraId="0B4B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0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8B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含增值税总价</w:t>
            </w:r>
          </w:p>
        </w:tc>
        <w:tc>
          <w:tcPr>
            <w:tcW w:w="68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1CB17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大写：</w:t>
            </w:r>
          </w:p>
        </w:tc>
      </w:tr>
      <w:tr w14:paraId="2241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88DA">
            <w:pPr>
              <w:jc w:val="center"/>
              <w:rPr>
                <w:rFonts w:hint="eastAsia" w:ascii="宋体" w:hAnsi="宋体" w:eastAsia="宋体" w:cs="宋体"/>
                <w:i w:val="0"/>
                <w:iCs w:val="0"/>
                <w:color w:val="000000"/>
                <w:sz w:val="22"/>
                <w:szCs w:val="22"/>
                <w:u w:val="none"/>
              </w:rPr>
            </w:pPr>
          </w:p>
        </w:tc>
        <w:tc>
          <w:tcPr>
            <w:tcW w:w="2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BEE90">
            <w:pPr>
              <w:jc w:val="center"/>
              <w:rPr>
                <w:rFonts w:hint="eastAsia" w:ascii="宋体" w:hAnsi="宋体" w:eastAsia="宋体" w:cs="宋体"/>
                <w:i w:val="0"/>
                <w:iCs w:val="0"/>
                <w:color w:val="000000"/>
                <w:sz w:val="20"/>
                <w:szCs w:val="20"/>
                <w:u w:val="none"/>
              </w:rPr>
            </w:pPr>
          </w:p>
        </w:tc>
        <w:tc>
          <w:tcPr>
            <w:tcW w:w="68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AE63F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小写：</w:t>
            </w:r>
          </w:p>
        </w:tc>
      </w:tr>
    </w:tbl>
    <w:p w14:paraId="25339027">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14:paraId="679722CF">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14:paraId="48CB08C8">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自合同订立之日起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14:paraId="4CF5D725">
      <w:pPr>
        <w:snapToGrid w:val="0"/>
        <w:spacing w:line="276" w:lineRule="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服务类）服务期：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14:paraId="60E4E867">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工程类）服务期：合同签订之日起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天内完成，具体开工时间以甲方通知为准。</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14:paraId="354FC944">
      <w:pPr>
        <w:pStyle w:val="39"/>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14:paraId="2AD57E20">
      <w:pPr>
        <w:pStyle w:val="39"/>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14:paraId="055ADFA4">
      <w:pPr>
        <w:pStyle w:val="39"/>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14:paraId="674D5C82">
      <w:pPr>
        <w:pStyle w:val="39"/>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14:paraId="72BD8FE9">
      <w:pPr>
        <w:pStyle w:val="39"/>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C00000"/>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14:paraId="386A7C0E">
      <w:pPr>
        <w:pStyle w:val="39"/>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14:paraId="6D8E089F">
      <w:pPr>
        <w:pStyle w:val="39"/>
        <w:spacing w:line="360" w:lineRule="auto"/>
        <w:ind w:right="560" w:firstLine="4830" w:firstLineChars="2300"/>
        <w:rPr>
          <w:highlight w:val="none"/>
          <w:lang w:val="en-US" w:eastAsia="zh-CN"/>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sectPr>
      <w:headerReference r:id="rId3" w:type="default"/>
      <w:footerReference r:id="rId4" w:type="default"/>
      <w:pgSz w:w="11906" w:h="16838"/>
      <w:pgMar w:top="1440" w:right="1800" w:bottom="1440"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Univers">
    <w:altName w:val="Segoe Print"/>
    <w:panose1 w:val="00000000000000000000"/>
    <w:charset w:val="00"/>
    <w:family w:val="swiss"/>
    <w:pitch w:val="default"/>
    <w:sig w:usb0="00000000" w:usb1="00000000" w:usb2="00000000" w:usb3="00000000" w:csb0="0000000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Garamond">
    <w:panose1 w:val="02020404030301010803"/>
    <w:charset w:val="00"/>
    <w:family w:val="roman"/>
    <w:pitch w:val="default"/>
    <w:sig w:usb0="00000287" w:usb1="00000000" w:usb2="00000000" w:usb3="00000000" w:csb0="0000009F" w:csb1="DFD70000"/>
  </w:font>
  <w:font w:name="新宋体-18030">
    <w:altName w:val="微软雅黑"/>
    <w:panose1 w:val="00000000000000000000"/>
    <w:charset w:val="86"/>
    <w:family w:val="modern"/>
    <w:pitch w:val="default"/>
    <w:sig w:usb0="00000000" w:usb1="00000000" w:usb2="000A005E"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8A940">
    <w:pPr>
      <w:pStyle w:val="17"/>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4EA713">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A4EA71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B542">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C180B"/>
    <w:multiLevelType w:val="singleLevel"/>
    <w:tmpl w:val="C15C180B"/>
    <w:lvl w:ilvl="0" w:tentative="0">
      <w:start w:val="3"/>
      <w:numFmt w:val="chineseCounting"/>
      <w:suff w:val="nothing"/>
      <w:lvlText w:val="%1、"/>
      <w:lvlJc w:val="left"/>
      <w:rPr>
        <w:rFonts w:hint="eastAsia"/>
      </w:rPr>
    </w:lvl>
  </w:abstractNum>
  <w:abstractNum w:abstractNumId="1">
    <w:nsid w:val="0ECB3DC2"/>
    <w:multiLevelType w:val="multilevel"/>
    <w:tmpl w:val="0ECB3DC2"/>
    <w:lvl w:ilvl="0" w:tentative="0">
      <w:start w:val="1"/>
      <w:numFmt w:val="decimal"/>
      <w:lvlText w:val="10.%1"/>
      <w:lvlJc w:val="left"/>
      <w:pPr>
        <w:ind w:left="418" w:hanging="420"/>
      </w:pPr>
      <w:rPr>
        <w:rFonts w:hint="default" w:ascii="Times New Roman" w:hAnsi="Times New Roman" w:cs="Times New Roman"/>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
    <w:nsid w:val="111D4901"/>
    <w:multiLevelType w:val="multilevel"/>
    <w:tmpl w:val="111D4901"/>
    <w:lvl w:ilvl="0" w:tentative="0">
      <w:start w:val="1"/>
      <w:numFmt w:val="decimal"/>
      <w:lvlText w:val="12.%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18324A0E"/>
    <w:multiLevelType w:val="singleLevel"/>
    <w:tmpl w:val="18324A0E"/>
    <w:lvl w:ilvl="0" w:tentative="0">
      <w:start w:val="1"/>
      <w:numFmt w:val="decimal"/>
      <w:suff w:val="nothing"/>
      <w:lvlText w:val="%1、"/>
      <w:lvlJc w:val="left"/>
    </w:lvl>
  </w:abstractNum>
  <w:abstractNum w:abstractNumId="6">
    <w:nsid w:val="187E4373"/>
    <w:multiLevelType w:val="multilevel"/>
    <w:tmpl w:val="187E4373"/>
    <w:lvl w:ilvl="0" w:tentative="0">
      <w:start w:val="1"/>
      <w:numFmt w:val="decimal"/>
      <w:lvlText w:val="19.%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0673A34"/>
    <w:multiLevelType w:val="multilevel"/>
    <w:tmpl w:val="20673A34"/>
    <w:lvl w:ilvl="0" w:tentative="0">
      <w:start w:val="1"/>
      <w:numFmt w:val="decimal"/>
      <w:lvlText w:val="9.%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13F27C5"/>
    <w:multiLevelType w:val="multilevel"/>
    <w:tmpl w:val="213F27C5"/>
    <w:lvl w:ilvl="0" w:tentative="0">
      <w:start w:val="1"/>
      <w:numFmt w:val="decimal"/>
      <w:lvlText w:val="(%1)"/>
      <w:lvlJc w:val="left"/>
      <w:pPr>
        <w:ind w:left="987" w:hanging="420"/>
      </w:pPr>
      <w:rPr>
        <w:rFonts w:hint="default" w:cs="Times New Roman"/>
        <w:b w:val="0"/>
        <w:i w:val="0"/>
        <w:color w:val="auto"/>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9">
    <w:nsid w:val="22030A0D"/>
    <w:multiLevelType w:val="multilevel"/>
    <w:tmpl w:val="22030A0D"/>
    <w:lvl w:ilvl="0" w:tentative="0">
      <w:start w:val="1"/>
      <w:numFmt w:val="decimal"/>
      <w:lvlText w:val="14.%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88C4446"/>
    <w:multiLevelType w:val="multilevel"/>
    <w:tmpl w:val="288C4446"/>
    <w:lvl w:ilvl="0" w:tentative="0">
      <w:start w:val="1"/>
      <w:numFmt w:val="decimal"/>
      <w:lvlText w:val="11.%1"/>
      <w:lvlJc w:val="left"/>
      <w:pPr>
        <w:tabs>
          <w:tab w:val="left" w:pos="1860"/>
        </w:tabs>
        <w:ind w:left="1860"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44619A6"/>
    <w:multiLevelType w:val="multilevel"/>
    <w:tmpl w:val="344619A6"/>
    <w:lvl w:ilvl="0" w:tentative="0">
      <w:start w:val="1"/>
      <w:numFmt w:val="decimal"/>
      <w:lvlText w:val="18.%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5">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0B6C9A8"/>
    <w:multiLevelType w:val="singleLevel"/>
    <w:tmpl w:val="40B6C9A8"/>
    <w:lvl w:ilvl="0" w:tentative="0">
      <w:start w:val="1"/>
      <w:numFmt w:val="decimal"/>
      <w:suff w:val="nothing"/>
      <w:lvlText w:val="%1、"/>
      <w:lvlJc w:val="left"/>
    </w:lvl>
  </w:abstractNum>
  <w:abstractNum w:abstractNumId="19">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0">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EEC7676"/>
    <w:multiLevelType w:val="multilevel"/>
    <w:tmpl w:val="4EEC7676"/>
    <w:lvl w:ilvl="0" w:tentative="0">
      <w:start w:val="1"/>
      <w:numFmt w:val="decimal"/>
      <w:lvlText w:val="13.%1."/>
      <w:lvlJc w:val="left"/>
      <w:pPr>
        <w:tabs>
          <w:tab w:val="left" w:pos="3681"/>
        </w:tabs>
        <w:ind w:left="3681"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F2A4C79"/>
    <w:multiLevelType w:val="multilevel"/>
    <w:tmpl w:val="4F2A4C79"/>
    <w:lvl w:ilvl="0" w:tentative="0">
      <w:start w:val="1"/>
      <w:numFmt w:val="decimal"/>
      <w:lvlText w:val="17.%1"/>
      <w:lvlJc w:val="left"/>
      <w:pPr>
        <w:ind w:left="1126" w:hanging="420"/>
      </w:pPr>
      <w:rPr>
        <w:rFonts w:hint="eastAsia" w:cs="Times New Roman"/>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4">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25">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1694D6C"/>
    <w:multiLevelType w:val="singleLevel"/>
    <w:tmpl w:val="61694D6C"/>
    <w:lvl w:ilvl="0" w:tentative="0">
      <w:start w:val="1"/>
      <w:numFmt w:val="decimal"/>
      <w:suff w:val="nothing"/>
      <w:lvlText w:val="%1、"/>
      <w:lvlJc w:val="left"/>
    </w:lvl>
  </w:abstractNum>
  <w:abstractNum w:abstractNumId="27">
    <w:nsid w:val="654D36CF"/>
    <w:multiLevelType w:val="singleLevel"/>
    <w:tmpl w:val="654D36CF"/>
    <w:lvl w:ilvl="0" w:tentative="0">
      <w:start w:val="4"/>
      <w:numFmt w:val="decimal"/>
      <w:lvlText w:val="%1."/>
      <w:lvlJc w:val="left"/>
      <w:pPr>
        <w:tabs>
          <w:tab w:val="left" w:pos="312"/>
        </w:tabs>
      </w:pPr>
    </w:lvl>
  </w:abstractNum>
  <w:abstractNum w:abstractNumId="28">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0">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1">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2">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ECC3C6B"/>
    <w:multiLevelType w:val="multilevel"/>
    <w:tmpl w:val="7ECC3C6B"/>
    <w:lvl w:ilvl="0" w:tentative="0">
      <w:start w:val="1"/>
      <w:numFmt w:val="decimal"/>
      <w:lvlText w:val="3.%1"/>
      <w:lvlJc w:val="left"/>
      <w:pPr>
        <w:ind w:left="420" w:hanging="420"/>
      </w:pPr>
      <w:rPr>
        <w:rFonts w:hint="default" w:ascii="Times New Roman" w:hAnsi="Times New Roman" w:cs="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7"/>
  </w:num>
  <w:num w:numId="2">
    <w:abstractNumId w:val="0"/>
  </w:num>
  <w:num w:numId="3">
    <w:abstractNumId w:val="11"/>
  </w:num>
  <w:num w:numId="4">
    <w:abstractNumId w:val="16"/>
  </w:num>
  <w:num w:numId="5">
    <w:abstractNumId w:val="25"/>
  </w:num>
  <w:num w:numId="6">
    <w:abstractNumId w:val="33"/>
  </w:num>
  <w:num w:numId="7">
    <w:abstractNumId w:val="8"/>
  </w:num>
  <w:num w:numId="8">
    <w:abstractNumId w:val="17"/>
  </w:num>
  <w:num w:numId="9">
    <w:abstractNumId w:val="19"/>
  </w:num>
  <w:num w:numId="10">
    <w:abstractNumId w:val="31"/>
  </w:num>
  <w:num w:numId="11">
    <w:abstractNumId w:val="3"/>
  </w:num>
  <w:num w:numId="12">
    <w:abstractNumId w:val="32"/>
  </w:num>
  <w:num w:numId="13">
    <w:abstractNumId w:val="12"/>
  </w:num>
  <w:num w:numId="14">
    <w:abstractNumId w:val="4"/>
  </w:num>
  <w:num w:numId="15">
    <w:abstractNumId w:val="7"/>
  </w:num>
  <w:num w:numId="16">
    <w:abstractNumId w:val="1"/>
  </w:num>
  <w:num w:numId="17">
    <w:abstractNumId w:val="10"/>
  </w:num>
  <w:num w:numId="18">
    <w:abstractNumId w:val="2"/>
  </w:num>
  <w:num w:numId="19">
    <w:abstractNumId w:val="21"/>
  </w:num>
  <w:num w:numId="20">
    <w:abstractNumId w:val="22"/>
  </w:num>
  <w:num w:numId="21">
    <w:abstractNumId w:val="24"/>
  </w:num>
  <w:num w:numId="22">
    <w:abstractNumId w:val="9"/>
  </w:num>
  <w:num w:numId="23">
    <w:abstractNumId w:val="20"/>
  </w:num>
  <w:num w:numId="24">
    <w:abstractNumId w:val="15"/>
  </w:num>
  <w:num w:numId="25">
    <w:abstractNumId w:val="23"/>
  </w:num>
  <w:num w:numId="26">
    <w:abstractNumId w:val="13"/>
  </w:num>
  <w:num w:numId="27">
    <w:abstractNumId w:val="6"/>
  </w:num>
  <w:num w:numId="28">
    <w:abstractNumId w:val="14"/>
  </w:num>
  <w:num w:numId="29">
    <w:abstractNumId w:val="29"/>
  </w:num>
  <w:num w:numId="30">
    <w:abstractNumId w:val="30"/>
  </w:num>
  <w:num w:numId="31">
    <w:abstractNumId w:val="18"/>
  </w:num>
  <w:num w:numId="32">
    <w:abstractNumId w:val="5"/>
  </w:num>
  <w:num w:numId="33">
    <w:abstractNumId w:val="26"/>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3C06BC"/>
    <w:rsid w:val="014341E8"/>
    <w:rsid w:val="017967AC"/>
    <w:rsid w:val="01B97ACA"/>
    <w:rsid w:val="01BB351E"/>
    <w:rsid w:val="02293695"/>
    <w:rsid w:val="024952F5"/>
    <w:rsid w:val="027E3B30"/>
    <w:rsid w:val="02987ACD"/>
    <w:rsid w:val="031B4CE9"/>
    <w:rsid w:val="032F103F"/>
    <w:rsid w:val="034D72B2"/>
    <w:rsid w:val="036B136E"/>
    <w:rsid w:val="03A64228"/>
    <w:rsid w:val="03C549C8"/>
    <w:rsid w:val="040C6E91"/>
    <w:rsid w:val="0442138C"/>
    <w:rsid w:val="047E1D93"/>
    <w:rsid w:val="04DB0285"/>
    <w:rsid w:val="04EE495B"/>
    <w:rsid w:val="05800AA3"/>
    <w:rsid w:val="059B46A8"/>
    <w:rsid w:val="064D75C2"/>
    <w:rsid w:val="06595380"/>
    <w:rsid w:val="06A00E6B"/>
    <w:rsid w:val="06A478F6"/>
    <w:rsid w:val="06C41C49"/>
    <w:rsid w:val="073A2498"/>
    <w:rsid w:val="07794418"/>
    <w:rsid w:val="087F37FD"/>
    <w:rsid w:val="08A40D88"/>
    <w:rsid w:val="08D65666"/>
    <w:rsid w:val="095A50FC"/>
    <w:rsid w:val="098E03C7"/>
    <w:rsid w:val="09B7349E"/>
    <w:rsid w:val="09F2269B"/>
    <w:rsid w:val="0A6F0775"/>
    <w:rsid w:val="0A9671D9"/>
    <w:rsid w:val="0AEB188B"/>
    <w:rsid w:val="0B29724A"/>
    <w:rsid w:val="0B4266BB"/>
    <w:rsid w:val="0B531E35"/>
    <w:rsid w:val="0B7E35CA"/>
    <w:rsid w:val="0BAC01B4"/>
    <w:rsid w:val="0BFD0F44"/>
    <w:rsid w:val="0C3A03CD"/>
    <w:rsid w:val="0C434FF4"/>
    <w:rsid w:val="0CAB2C38"/>
    <w:rsid w:val="0CBD2ABF"/>
    <w:rsid w:val="0CEE32B2"/>
    <w:rsid w:val="0D007BE0"/>
    <w:rsid w:val="0D026C09"/>
    <w:rsid w:val="0D2F3ECE"/>
    <w:rsid w:val="0D36577E"/>
    <w:rsid w:val="0DF513F2"/>
    <w:rsid w:val="0DF82412"/>
    <w:rsid w:val="0EA20611"/>
    <w:rsid w:val="0EA44750"/>
    <w:rsid w:val="0EB219BC"/>
    <w:rsid w:val="0F2D3164"/>
    <w:rsid w:val="0F7A0637"/>
    <w:rsid w:val="0FAA4E26"/>
    <w:rsid w:val="0FD329CD"/>
    <w:rsid w:val="0FE442C8"/>
    <w:rsid w:val="0FF05B46"/>
    <w:rsid w:val="104E637E"/>
    <w:rsid w:val="10DC2046"/>
    <w:rsid w:val="110A0134"/>
    <w:rsid w:val="116358B9"/>
    <w:rsid w:val="11A3156D"/>
    <w:rsid w:val="11C80560"/>
    <w:rsid w:val="11D51CD2"/>
    <w:rsid w:val="12404210"/>
    <w:rsid w:val="12CD4474"/>
    <w:rsid w:val="12D573EB"/>
    <w:rsid w:val="12DE0F4D"/>
    <w:rsid w:val="12F13DE0"/>
    <w:rsid w:val="136F1811"/>
    <w:rsid w:val="13991974"/>
    <w:rsid w:val="13A574D6"/>
    <w:rsid w:val="13AB3552"/>
    <w:rsid w:val="13EB3669"/>
    <w:rsid w:val="148A193E"/>
    <w:rsid w:val="14962BF2"/>
    <w:rsid w:val="14C00D5A"/>
    <w:rsid w:val="15112F23"/>
    <w:rsid w:val="15560646"/>
    <w:rsid w:val="15F97AE2"/>
    <w:rsid w:val="160D2A82"/>
    <w:rsid w:val="163B2746"/>
    <w:rsid w:val="1658087C"/>
    <w:rsid w:val="170B0129"/>
    <w:rsid w:val="17270097"/>
    <w:rsid w:val="18377CB5"/>
    <w:rsid w:val="1839700F"/>
    <w:rsid w:val="1940737B"/>
    <w:rsid w:val="19785085"/>
    <w:rsid w:val="19820A7A"/>
    <w:rsid w:val="19BE1AAB"/>
    <w:rsid w:val="1A182DF0"/>
    <w:rsid w:val="1AF347C3"/>
    <w:rsid w:val="1B3545A8"/>
    <w:rsid w:val="1B5929C7"/>
    <w:rsid w:val="1BF931D7"/>
    <w:rsid w:val="1C4F5EF0"/>
    <w:rsid w:val="1CC02D2D"/>
    <w:rsid w:val="1CF975AE"/>
    <w:rsid w:val="1D2F5DEB"/>
    <w:rsid w:val="1D506145"/>
    <w:rsid w:val="1DD763E7"/>
    <w:rsid w:val="1DFB16B0"/>
    <w:rsid w:val="1E7A4FD0"/>
    <w:rsid w:val="1E8349E3"/>
    <w:rsid w:val="1E846C1E"/>
    <w:rsid w:val="1ED61050"/>
    <w:rsid w:val="1F0C773E"/>
    <w:rsid w:val="1F1B2614"/>
    <w:rsid w:val="1F510B7E"/>
    <w:rsid w:val="1F6751CA"/>
    <w:rsid w:val="1F731332"/>
    <w:rsid w:val="1FE03C26"/>
    <w:rsid w:val="20392D4B"/>
    <w:rsid w:val="20B34A6E"/>
    <w:rsid w:val="20DA7F0E"/>
    <w:rsid w:val="210015CD"/>
    <w:rsid w:val="21374CB3"/>
    <w:rsid w:val="218B4957"/>
    <w:rsid w:val="21B454D9"/>
    <w:rsid w:val="2258523D"/>
    <w:rsid w:val="227C146B"/>
    <w:rsid w:val="22B7139F"/>
    <w:rsid w:val="230061E4"/>
    <w:rsid w:val="2363459D"/>
    <w:rsid w:val="23792D2F"/>
    <w:rsid w:val="238A1AFE"/>
    <w:rsid w:val="23C7232D"/>
    <w:rsid w:val="240B77AE"/>
    <w:rsid w:val="2416236F"/>
    <w:rsid w:val="24587C1A"/>
    <w:rsid w:val="24780B22"/>
    <w:rsid w:val="24DB7B4A"/>
    <w:rsid w:val="24E77DFA"/>
    <w:rsid w:val="2535609A"/>
    <w:rsid w:val="255911D5"/>
    <w:rsid w:val="25A75231"/>
    <w:rsid w:val="25F31B81"/>
    <w:rsid w:val="27582E99"/>
    <w:rsid w:val="2768684B"/>
    <w:rsid w:val="277E732D"/>
    <w:rsid w:val="27A40D9A"/>
    <w:rsid w:val="27A93FCE"/>
    <w:rsid w:val="27BF12D5"/>
    <w:rsid w:val="27DD40F7"/>
    <w:rsid w:val="28912EC0"/>
    <w:rsid w:val="289E4653"/>
    <w:rsid w:val="289F0B48"/>
    <w:rsid w:val="28CE7583"/>
    <w:rsid w:val="290D4A28"/>
    <w:rsid w:val="29452A44"/>
    <w:rsid w:val="295E1CE3"/>
    <w:rsid w:val="2984346A"/>
    <w:rsid w:val="299B3D6C"/>
    <w:rsid w:val="299B568F"/>
    <w:rsid w:val="29DB7569"/>
    <w:rsid w:val="2A332146"/>
    <w:rsid w:val="2A9F5694"/>
    <w:rsid w:val="2B244A8E"/>
    <w:rsid w:val="2B4625A1"/>
    <w:rsid w:val="2BBF67B8"/>
    <w:rsid w:val="2C192C99"/>
    <w:rsid w:val="2C1F0E07"/>
    <w:rsid w:val="2CD163E1"/>
    <w:rsid w:val="2CD62941"/>
    <w:rsid w:val="2CFD67CC"/>
    <w:rsid w:val="2D311594"/>
    <w:rsid w:val="2D762283"/>
    <w:rsid w:val="2D7E7C14"/>
    <w:rsid w:val="2E136AA5"/>
    <w:rsid w:val="2E1B7152"/>
    <w:rsid w:val="2E494392"/>
    <w:rsid w:val="2EF2591B"/>
    <w:rsid w:val="2F80418D"/>
    <w:rsid w:val="2FBA50DE"/>
    <w:rsid w:val="2FEC00E5"/>
    <w:rsid w:val="3029773E"/>
    <w:rsid w:val="30413836"/>
    <w:rsid w:val="3062313F"/>
    <w:rsid w:val="309A1A6F"/>
    <w:rsid w:val="30E402A4"/>
    <w:rsid w:val="31293F09"/>
    <w:rsid w:val="314822FB"/>
    <w:rsid w:val="318007EE"/>
    <w:rsid w:val="31E43428"/>
    <w:rsid w:val="327D3291"/>
    <w:rsid w:val="32B3677D"/>
    <w:rsid w:val="32DF3A9C"/>
    <w:rsid w:val="3375117B"/>
    <w:rsid w:val="33F40DB5"/>
    <w:rsid w:val="34111CBD"/>
    <w:rsid w:val="348D0637"/>
    <w:rsid w:val="353067F3"/>
    <w:rsid w:val="354F1D05"/>
    <w:rsid w:val="35C7006A"/>
    <w:rsid w:val="363A6264"/>
    <w:rsid w:val="368A3B58"/>
    <w:rsid w:val="36A838BA"/>
    <w:rsid w:val="36BF0C66"/>
    <w:rsid w:val="36C831AB"/>
    <w:rsid w:val="36E8546D"/>
    <w:rsid w:val="36EF1B21"/>
    <w:rsid w:val="37405D48"/>
    <w:rsid w:val="378F791B"/>
    <w:rsid w:val="379D6FCC"/>
    <w:rsid w:val="37F66AB8"/>
    <w:rsid w:val="380F27E4"/>
    <w:rsid w:val="381C4EB2"/>
    <w:rsid w:val="382973F6"/>
    <w:rsid w:val="38453E1F"/>
    <w:rsid w:val="38807B07"/>
    <w:rsid w:val="38D30218"/>
    <w:rsid w:val="38D3488A"/>
    <w:rsid w:val="394D3030"/>
    <w:rsid w:val="39504729"/>
    <w:rsid w:val="39761180"/>
    <w:rsid w:val="39936654"/>
    <w:rsid w:val="39BF1693"/>
    <w:rsid w:val="3A037D70"/>
    <w:rsid w:val="3A1F750A"/>
    <w:rsid w:val="3A4F4169"/>
    <w:rsid w:val="3A5C7E1C"/>
    <w:rsid w:val="3AAE035C"/>
    <w:rsid w:val="3AB45DE6"/>
    <w:rsid w:val="3AE40F3E"/>
    <w:rsid w:val="3B394512"/>
    <w:rsid w:val="3B3E70E9"/>
    <w:rsid w:val="3B414393"/>
    <w:rsid w:val="3B5D189A"/>
    <w:rsid w:val="3B720CEE"/>
    <w:rsid w:val="3B9D199D"/>
    <w:rsid w:val="3BBC6ED2"/>
    <w:rsid w:val="3BFA1DF4"/>
    <w:rsid w:val="3C6B58D1"/>
    <w:rsid w:val="3C83314E"/>
    <w:rsid w:val="3C905633"/>
    <w:rsid w:val="3C9C1A33"/>
    <w:rsid w:val="3CB74AC6"/>
    <w:rsid w:val="3CBB24EF"/>
    <w:rsid w:val="3CE26DBB"/>
    <w:rsid w:val="3D2D5518"/>
    <w:rsid w:val="3D891903"/>
    <w:rsid w:val="3E4037CC"/>
    <w:rsid w:val="3E615322"/>
    <w:rsid w:val="3E772188"/>
    <w:rsid w:val="3EE111F7"/>
    <w:rsid w:val="3EF30CA8"/>
    <w:rsid w:val="3F1E0693"/>
    <w:rsid w:val="3F476FDD"/>
    <w:rsid w:val="3F631CA3"/>
    <w:rsid w:val="3F9A4869"/>
    <w:rsid w:val="3FBC4A1D"/>
    <w:rsid w:val="3FDD5D2F"/>
    <w:rsid w:val="408E3CFE"/>
    <w:rsid w:val="40A971B0"/>
    <w:rsid w:val="415972F5"/>
    <w:rsid w:val="41755AFB"/>
    <w:rsid w:val="417E3DFD"/>
    <w:rsid w:val="418D4497"/>
    <w:rsid w:val="41B11DA3"/>
    <w:rsid w:val="4279224C"/>
    <w:rsid w:val="42972BCC"/>
    <w:rsid w:val="42C41E24"/>
    <w:rsid w:val="431C1B42"/>
    <w:rsid w:val="43533C20"/>
    <w:rsid w:val="43542786"/>
    <w:rsid w:val="43D2652D"/>
    <w:rsid w:val="44373FFB"/>
    <w:rsid w:val="445A34E7"/>
    <w:rsid w:val="445C7035"/>
    <w:rsid w:val="44A00541"/>
    <w:rsid w:val="44AD4835"/>
    <w:rsid w:val="44E17D32"/>
    <w:rsid w:val="452178C6"/>
    <w:rsid w:val="452F4F21"/>
    <w:rsid w:val="45525524"/>
    <w:rsid w:val="46052955"/>
    <w:rsid w:val="466E6504"/>
    <w:rsid w:val="47721B46"/>
    <w:rsid w:val="484D79E5"/>
    <w:rsid w:val="485E2C37"/>
    <w:rsid w:val="48B90C6B"/>
    <w:rsid w:val="4916306B"/>
    <w:rsid w:val="498B21B5"/>
    <w:rsid w:val="49B63741"/>
    <w:rsid w:val="49C02B87"/>
    <w:rsid w:val="4A023894"/>
    <w:rsid w:val="4A3B3017"/>
    <w:rsid w:val="4AB61CA3"/>
    <w:rsid w:val="4BA45DBB"/>
    <w:rsid w:val="4BAE4AF4"/>
    <w:rsid w:val="4C5770B6"/>
    <w:rsid w:val="4C5A1839"/>
    <w:rsid w:val="4C7572CD"/>
    <w:rsid w:val="4C9F74B1"/>
    <w:rsid w:val="4CED79F8"/>
    <w:rsid w:val="4DD059E1"/>
    <w:rsid w:val="4DED0341"/>
    <w:rsid w:val="4E0E49B4"/>
    <w:rsid w:val="4E1A19F6"/>
    <w:rsid w:val="4E294FCA"/>
    <w:rsid w:val="4E456F05"/>
    <w:rsid w:val="4E603CD2"/>
    <w:rsid w:val="4ECC5CC5"/>
    <w:rsid w:val="4EF93A0C"/>
    <w:rsid w:val="4F01352B"/>
    <w:rsid w:val="4F2547B0"/>
    <w:rsid w:val="4F385E88"/>
    <w:rsid w:val="4F9A75BC"/>
    <w:rsid w:val="500C7739"/>
    <w:rsid w:val="50333805"/>
    <w:rsid w:val="50406C68"/>
    <w:rsid w:val="50656FCA"/>
    <w:rsid w:val="50D90CCF"/>
    <w:rsid w:val="512129F0"/>
    <w:rsid w:val="512E4FFA"/>
    <w:rsid w:val="51835AAE"/>
    <w:rsid w:val="51971635"/>
    <w:rsid w:val="51D96E83"/>
    <w:rsid w:val="51E444D7"/>
    <w:rsid w:val="52272A53"/>
    <w:rsid w:val="52634E37"/>
    <w:rsid w:val="52B171FA"/>
    <w:rsid w:val="540E1365"/>
    <w:rsid w:val="543A09E7"/>
    <w:rsid w:val="54956561"/>
    <w:rsid w:val="54AA3DF7"/>
    <w:rsid w:val="54B26C85"/>
    <w:rsid w:val="54B61E08"/>
    <w:rsid w:val="54E84524"/>
    <w:rsid w:val="54F55D2D"/>
    <w:rsid w:val="54FD7A90"/>
    <w:rsid w:val="553A7C2D"/>
    <w:rsid w:val="553C0438"/>
    <w:rsid w:val="556772A4"/>
    <w:rsid w:val="55A84425"/>
    <w:rsid w:val="561D378D"/>
    <w:rsid w:val="56A30136"/>
    <w:rsid w:val="56B77204"/>
    <w:rsid w:val="570D617E"/>
    <w:rsid w:val="576C2A14"/>
    <w:rsid w:val="577838E9"/>
    <w:rsid w:val="577D7CF3"/>
    <w:rsid w:val="57A84D6C"/>
    <w:rsid w:val="57E47675"/>
    <w:rsid w:val="57EE4CDC"/>
    <w:rsid w:val="57F618E2"/>
    <w:rsid w:val="583D707B"/>
    <w:rsid w:val="590B020F"/>
    <w:rsid w:val="5938747F"/>
    <w:rsid w:val="594159E5"/>
    <w:rsid w:val="59766ED3"/>
    <w:rsid w:val="599C3B62"/>
    <w:rsid w:val="59B966C3"/>
    <w:rsid w:val="5A3316DD"/>
    <w:rsid w:val="5A3819DA"/>
    <w:rsid w:val="5A5C5ECC"/>
    <w:rsid w:val="5A864044"/>
    <w:rsid w:val="5A873F8B"/>
    <w:rsid w:val="5B5A6CFE"/>
    <w:rsid w:val="5B896B40"/>
    <w:rsid w:val="5BD55FCE"/>
    <w:rsid w:val="5BD85C58"/>
    <w:rsid w:val="5C212FBB"/>
    <w:rsid w:val="5C227DB6"/>
    <w:rsid w:val="5D40278C"/>
    <w:rsid w:val="5D46011A"/>
    <w:rsid w:val="5D65502F"/>
    <w:rsid w:val="5DD06C57"/>
    <w:rsid w:val="5DFB6CB9"/>
    <w:rsid w:val="5E9E2A34"/>
    <w:rsid w:val="5F14140D"/>
    <w:rsid w:val="5F8A64CA"/>
    <w:rsid w:val="5FDD0E56"/>
    <w:rsid w:val="60086C66"/>
    <w:rsid w:val="60336858"/>
    <w:rsid w:val="60595BE0"/>
    <w:rsid w:val="60F40D61"/>
    <w:rsid w:val="611D63FB"/>
    <w:rsid w:val="6124336C"/>
    <w:rsid w:val="6152493E"/>
    <w:rsid w:val="617270AD"/>
    <w:rsid w:val="62115573"/>
    <w:rsid w:val="625A33E9"/>
    <w:rsid w:val="62A80031"/>
    <w:rsid w:val="62CD0FA5"/>
    <w:rsid w:val="62F820BE"/>
    <w:rsid w:val="63AD5092"/>
    <w:rsid w:val="64317CE0"/>
    <w:rsid w:val="644D2F22"/>
    <w:rsid w:val="648D1ADE"/>
    <w:rsid w:val="64C25323"/>
    <w:rsid w:val="652A05D1"/>
    <w:rsid w:val="653B6D24"/>
    <w:rsid w:val="65494330"/>
    <w:rsid w:val="65A74DD4"/>
    <w:rsid w:val="65C57E73"/>
    <w:rsid w:val="65D51AA7"/>
    <w:rsid w:val="65F81FA5"/>
    <w:rsid w:val="660B1854"/>
    <w:rsid w:val="661B3639"/>
    <w:rsid w:val="66286A3B"/>
    <w:rsid w:val="665530AA"/>
    <w:rsid w:val="667306C5"/>
    <w:rsid w:val="667818A0"/>
    <w:rsid w:val="6699215C"/>
    <w:rsid w:val="66C1007C"/>
    <w:rsid w:val="66C94D5E"/>
    <w:rsid w:val="681C674F"/>
    <w:rsid w:val="68836DC3"/>
    <w:rsid w:val="6887648C"/>
    <w:rsid w:val="68EA31C9"/>
    <w:rsid w:val="68FE71CA"/>
    <w:rsid w:val="68FF5939"/>
    <w:rsid w:val="691B4A91"/>
    <w:rsid w:val="69297877"/>
    <w:rsid w:val="692B5915"/>
    <w:rsid w:val="692C6424"/>
    <w:rsid w:val="69352903"/>
    <w:rsid w:val="6A0B4089"/>
    <w:rsid w:val="6AD356BF"/>
    <w:rsid w:val="6B33205C"/>
    <w:rsid w:val="6B9E7527"/>
    <w:rsid w:val="6BEB1B2A"/>
    <w:rsid w:val="6C3D3FC5"/>
    <w:rsid w:val="6CE6394F"/>
    <w:rsid w:val="6D061A72"/>
    <w:rsid w:val="6D783D26"/>
    <w:rsid w:val="6DEF510F"/>
    <w:rsid w:val="6DF01F33"/>
    <w:rsid w:val="6E146C1B"/>
    <w:rsid w:val="6E350C13"/>
    <w:rsid w:val="6E6C03DB"/>
    <w:rsid w:val="6E9523F6"/>
    <w:rsid w:val="6F3254E8"/>
    <w:rsid w:val="6F5B4BA2"/>
    <w:rsid w:val="6F615273"/>
    <w:rsid w:val="6FEB37AA"/>
    <w:rsid w:val="70E73752"/>
    <w:rsid w:val="70F328F1"/>
    <w:rsid w:val="711F0324"/>
    <w:rsid w:val="71350AE8"/>
    <w:rsid w:val="715E6563"/>
    <w:rsid w:val="71635BDF"/>
    <w:rsid w:val="724E2F94"/>
    <w:rsid w:val="725620A9"/>
    <w:rsid w:val="72CE6A57"/>
    <w:rsid w:val="730B78D2"/>
    <w:rsid w:val="735F1183"/>
    <w:rsid w:val="73BA3D76"/>
    <w:rsid w:val="73ED7C13"/>
    <w:rsid w:val="73FB10D0"/>
    <w:rsid w:val="7443214A"/>
    <w:rsid w:val="745E3FF9"/>
    <w:rsid w:val="747A11FA"/>
    <w:rsid w:val="7593678E"/>
    <w:rsid w:val="75C250DA"/>
    <w:rsid w:val="76525BE7"/>
    <w:rsid w:val="76BF62FB"/>
    <w:rsid w:val="76C259ED"/>
    <w:rsid w:val="76D550BD"/>
    <w:rsid w:val="77506C1B"/>
    <w:rsid w:val="78CE2547"/>
    <w:rsid w:val="78F40B7B"/>
    <w:rsid w:val="79612CA3"/>
    <w:rsid w:val="79FE72AE"/>
    <w:rsid w:val="7A846AC2"/>
    <w:rsid w:val="7B2909D9"/>
    <w:rsid w:val="7B40340A"/>
    <w:rsid w:val="7B5876BE"/>
    <w:rsid w:val="7B850B4A"/>
    <w:rsid w:val="7B99698D"/>
    <w:rsid w:val="7BC47D5E"/>
    <w:rsid w:val="7C045E06"/>
    <w:rsid w:val="7C1B682B"/>
    <w:rsid w:val="7C7D516C"/>
    <w:rsid w:val="7CBA372B"/>
    <w:rsid w:val="7CBB0FC0"/>
    <w:rsid w:val="7D073BAD"/>
    <w:rsid w:val="7D26110F"/>
    <w:rsid w:val="7D7F0DE3"/>
    <w:rsid w:val="7DBA5E84"/>
    <w:rsid w:val="7E094B88"/>
    <w:rsid w:val="7E815898"/>
    <w:rsid w:val="7ECA7943"/>
    <w:rsid w:val="7EE040B4"/>
    <w:rsid w:val="7F43615B"/>
    <w:rsid w:val="7F4A1012"/>
    <w:rsid w:val="7F744FDF"/>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1"/>
    <w:pPr>
      <w:spacing w:before="14"/>
      <w:ind w:left="494"/>
      <w:outlineLvl w:val="3"/>
    </w:pPr>
    <w:rPr>
      <w:rFonts w:ascii="宋体" w:hAnsi="宋体" w:eastAsia="宋体"/>
      <w:sz w:val="28"/>
      <w:szCs w:val="28"/>
    </w:rPr>
  </w:style>
  <w:style w:type="paragraph" w:styleId="7">
    <w:name w:val="heading 8"/>
    <w:next w:val="8"/>
    <w:qFormat/>
    <w:uiPriority w:val="0"/>
    <w:pPr>
      <w:widowControl w:val="0"/>
      <w:adjustRightInd w:val="0"/>
      <w:snapToGrid w:val="0"/>
      <w:spacing w:before="60" w:after="60" w:line="288" w:lineRule="auto"/>
      <w:jc w:val="both"/>
      <w:outlineLvl w:val="7"/>
    </w:pPr>
    <w:rPr>
      <w:rFonts w:ascii="Univers" w:hAnsi="Univers" w:eastAsia="宋体" w:cs="Times New Roman"/>
      <w:sz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608"/>
      </w:tabs>
      <w:spacing w:line="360" w:lineRule="auto"/>
      <w:ind w:firstLine="425" w:firstLineChars="177"/>
    </w:pPr>
  </w:style>
  <w:style w:type="paragraph" w:styleId="8">
    <w:name w:val="Normal Indent"/>
    <w:basedOn w:val="1"/>
    <w:qFormat/>
    <w:uiPriority w:val="0"/>
    <w:pPr>
      <w:ind w:firstLine="420" w:firstLineChars="200"/>
    </w:pPr>
    <w:rPr>
      <w:rFonts w:ascii="Times New Roman" w:hAnsi="Times New Roman"/>
      <w:szCs w:val="24"/>
    </w:rPr>
  </w:style>
  <w:style w:type="paragraph" w:styleId="9">
    <w:name w:val="annotation text"/>
    <w:basedOn w:val="1"/>
    <w:link w:val="43"/>
    <w:unhideWhenUsed/>
    <w:qFormat/>
    <w:uiPriority w:val="99"/>
    <w:pPr>
      <w:jc w:val="left"/>
    </w:pPr>
  </w:style>
  <w:style w:type="paragraph" w:styleId="10">
    <w:name w:val="Body Text"/>
    <w:basedOn w:val="1"/>
    <w:next w:val="11"/>
    <w:link w:val="46"/>
    <w:qFormat/>
    <w:uiPriority w:val="1"/>
    <w:pPr>
      <w:spacing w:before="36"/>
      <w:ind w:left="780"/>
      <w:jc w:val="left"/>
    </w:pPr>
    <w:rPr>
      <w:rFonts w:ascii="宋体" w:hAnsi="宋体" w:eastAsia="宋体"/>
      <w:kern w:val="0"/>
      <w:szCs w:val="21"/>
      <w:lang w:eastAsia="en-US"/>
    </w:rPr>
  </w:style>
  <w:style w:type="paragraph" w:styleId="11">
    <w:name w:val="Title"/>
    <w:basedOn w:val="1"/>
    <w:next w:val="1"/>
    <w:qFormat/>
    <w:uiPriority w:val="0"/>
    <w:pPr>
      <w:spacing w:before="240" w:after="60"/>
      <w:jc w:val="center"/>
      <w:outlineLvl w:val="0"/>
    </w:pPr>
    <w:rPr>
      <w:rFonts w:ascii="Arial" w:hAnsi="Arial" w:eastAsia="楷体_GB2312"/>
      <w:b/>
      <w:bCs/>
      <w:sz w:val="32"/>
      <w:szCs w:val="32"/>
    </w:rPr>
  </w:style>
  <w:style w:type="paragraph" w:styleId="12">
    <w:name w:val="Body Text Indent"/>
    <w:basedOn w:val="1"/>
    <w:next w:val="13"/>
    <w:unhideWhenUsed/>
    <w:qFormat/>
    <w:uiPriority w:val="0"/>
    <w:pPr>
      <w:spacing w:after="120"/>
      <w:ind w:left="420" w:leftChars="200"/>
    </w:pPr>
  </w:style>
  <w:style w:type="paragraph" w:styleId="13">
    <w:name w:val="envelope return"/>
    <w:basedOn w:val="1"/>
    <w:qFormat/>
    <w:uiPriority w:val="0"/>
    <w:pPr>
      <w:snapToGrid w:val="0"/>
    </w:pPr>
    <w:rPr>
      <w:rFonts w:ascii="Arial" w:hAnsi="Arial" w:eastAsia="等线" w:cs="等线"/>
    </w:rPr>
  </w:style>
  <w:style w:type="paragraph" w:styleId="14">
    <w:name w:val="Balloon Text"/>
    <w:basedOn w:val="1"/>
    <w:link w:val="42"/>
    <w:semiHidden/>
    <w:unhideWhenUsed/>
    <w:qFormat/>
    <w:uiPriority w:val="99"/>
    <w:rPr>
      <w:sz w:val="18"/>
      <w:szCs w:val="18"/>
    </w:rPr>
  </w:style>
  <w:style w:type="paragraph" w:styleId="15">
    <w:name w:val="footer"/>
    <w:basedOn w:val="1"/>
    <w:link w:val="41"/>
    <w:unhideWhenUsed/>
    <w:qFormat/>
    <w:uiPriority w:val="99"/>
    <w:pPr>
      <w:tabs>
        <w:tab w:val="center" w:pos="4153"/>
        <w:tab w:val="right" w:pos="8306"/>
      </w:tabs>
      <w:snapToGrid w:val="0"/>
      <w:jc w:val="left"/>
    </w:pPr>
    <w:rPr>
      <w:sz w:val="18"/>
      <w:szCs w:val="18"/>
    </w:rPr>
  </w:style>
  <w:style w:type="paragraph" w:styleId="16">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annotation subject"/>
    <w:next w:val="9"/>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8">
    <w:name w:val="Body Text First Indent"/>
    <w:basedOn w:val="10"/>
    <w:qFormat/>
    <w:uiPriority w:val="99"/>
    <w:pPr>
      <w:widowControl/>
      <w:adjustRightInd w:val="0"/>
      <w:snapToGrid w:val="0"/>
      <w:ind w:firstLine="420" w:firstLineChars="100"/>
      <w:jc w:val="left"/>
    </w:pPr>
    <w:rPr>
      <w:sz w:val="22"/>
    </w:rPr>
  </w:style>
  <w:style w:type="paragraph" w:styleId="19">
    <w:name w:val="Body Text First Indent 2"/>
    <w:basedOn w:val="12"/>
    <w:semiHidden/>
    <w:unhideWhenUsed/>
    <w:qFormat/>
    <w:uiPriority w:val="99"/>
    <w:pPr>
      <w:ind w:firstLine="420" w:firstLineChars="20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style>
  <w:style w:type="character" w:styleId="24">
    <w:name w:val="FollowedHyperlink"/>
    <w:basedOn w:val="22"/>
    <w:semiHidden/>
    <w:unhideWhenUsed/>
    <w:qFormat/>
    <w:uiPriority w:val="99"/>
    <w:rPr>
      <w:color w:val="333333"/>
      <w:u w:val="none"/>
    </w:rPr>
  </w:style>
  <w:style w:type="character" w:styleId="25">
    <w:name w:val="Emphasis"/>
    <w:basedOn w:val="22"/>
    <w:qFormat/>
    <w:uiPriority w:val="20"/>
  </w:style>
  <w:style w:type="character" w:styleId="26">
    <w:name w:val="HTML Definition"/>
    <w:basedOn w:val="22"/>
    <w:semiHidden/>
    <w:unhideWhenUsed/>
    <w:qFormat/>
    <w:uiPriority w:val="99"/>
  </w:style>
  <w:style w:type="character" w:styleId="27">
    <w:name w:val="HTML Typewriter"/>
    <w:basedOn w:val="22"/>
    <w:semiHidden/>
    <w:unhideWhenUsed/>
    <w:qFormat/>
    <w:uiPriority w:val="99"/>
    <w:rPr>
      <w:rFonts w:hint="default" w:ascii="monospace" w:hAnsi="monospace" w:eastAsia="monospace" w:cs="monospace"/>
      <w:sz w:val="20"/>
    </w:rPr>
  </w:style>
  <w:style w:type="character" w:styleId="28">
    <w:name w:val="HTML Acronym"/>
    <w:basedOn w:val="22"/>
    <w:semiHidden/>
    <w:unhideWhenUsed/>
    <w:qFormat/>
    <w:uiPriority w:val="99"/>
  </w:style>
  <w:style w:type="character" w:styleId="29">
    <w:name w:val="HTML Variable"/>
    <w:basedOn w:val="22"/>
    <w:semiHidden/>
    <w:unhideWhenUsed/>
    <w:qFormat/>
    <w:uiPriority w:val="99"/>
  </w:style>
  <w:style w:type="character" w:styleId="30">
    <w:name w:val="Hyperlink"/>
    <w:basedOn w:val="22"/>
    <w:unhideWhenUsed/>
    <w:qFormat/>
    <w:uiPriority w:val="99"/>
    <w:rPr>
      <w:color w:val="0000FF" w:themeColor="hyperlink"/>
      <w:u w:val="single"/>
      <w14:textFill>
        <w14:solidFill>
          <w14:schemeClr w14:val="hlink"/>
        </w14:solidFill>
      </w14:textFill>
    </w:rPr>
  </w:style>
  <w:style w:type="character" w:styleId="31">
    <w:name w:val="HTML Code"/>
    <w:basedOn w:val="22"/>
    <w:semiHidden/>
    <w:unhideWhenUsed/>
    <w:qFormat/>
    <w:uiPriority w:val="99"/>
    <w:rPr>
      <w:rFonts w:hint="default" w:ascii="monospace" w:hAnsi="monospace" w:eastAsia="monospace" w:cs="monospace"/>
      <w:sz w:val="20"/>
    </w:rPr>
  </w:style>
  <w:style w:type="character" w:styleId="32">
    <w:name w:val="annotation reference"/>
    <w:basedOn w:val="22"/>
    <w:semiHidden/>
    <w:unhideWhenUsed/>
    <w:qFormat/>
    <w:uiPriority w:val="99"/>
    <w:rPr>
      <w:sz w:val="21"/>
      <w:szCs w:val="21"/>
    </w:rPr>
  </w:style>
  <w:style w:type="character" w:styleId="33">
    <w:name w:val="HTML Cite"/>
    <w:basedOn w:val="22"/>
    <w:semiHidden/>
    <w:unhideWhenUsed/>
    <w:qFormat/>
    <w:uiPriority w:val="99"/>
  </w:style>
  <w:style w:type="character" w:styleId="34">
    <w:name w:val="HTML Keyboard"/>
    <w:basedOn w:val="22"/>
    <w:semiHidden/>
    <w:unhideWhenUsed/>
    <w:qFormat/>
    <w:uiPriority w:val="99"/>
    <w:rPr>
      <w:rFonts w:hint="default" w:ascii="monospace" w:hAnsi="monospace" w:eastAsia="monospace" w:cs="monospace"/>
      <w:sz w:val="20"/>
    </w:rPr>
  </w:style>
  <w:style w:type="character" w:styleId="35">
    <w:name w:val="HTML Sample"/>
    <w:basedOn w:val="22"/>
    <w:semiHidden/>
    <w:unhideWhenUsed/>
    <w:qFormat/>
    <w:uiPriority w:val="99"/>
    <w:rPr>
      <w:rFonts w:ascii="monospace" w:hAnsi="monospace" w:eastAsia="monospace" w:cs="monospace"/>
    </w:rPr>
  </w:style>
  <w:style w:type="paragraph" w:customStyle="1" w:styleId="36">
    <w:name w:val="默认段落字体 Para Char"/>
    <w:basedOn w:val="37"/>
    <w:next w:val="1"/>
    <w:qFormat/>
    <w:uiPriority w:val="0"/>
    <w:pPr>
      <w:widowControl w:val="0"/>
      <w:spacing w:before="80" w:after="80" w:line="360" w:lineRule="auto"/>
      <w:jc w:val="both"/>
    </w:pPr>
    <w:rPr>
      <w:rFonts w:ascii="Calibri" w:hAnsi="Calibri" w:cs="Times New Roman"/>
      <w:kern w:val="2"/>
      <w:szCs w:val="20"/>
    </w:rPr>
  </w:style>
  <w:style w:type="paragraph" w:customStyle="1" w:styleId="3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书目1"/>
    <w:basedOn w:val="1"/>
    <w:next w:val="1"/>
    <w:unhideWhenUsed/>
    <w:qFormat/>
    <w:uiPriority w:val="37"/>
  </w:style>
  <w:style w:type="paragraph" w:styleId="39">
    <w:name w:val="List Paragraph"/>
    <w:basedOn w:val="1"/>
    <w:qFormat/>
    <w:uiPriority w:val="34"/>
    <w:pPr>
      <w:widowControl/>
      <w:ind w:firstLine="420"/>
    </w:pPr>
    <w:rPr>
      <w:rFonts w:ascii="Calibri" w:hAnsi="Calibri" w:eastAsia="宋体" w:cs="Calibri"/>
      <w:kern w:val="0"/>
      <w:szCs w:val="21"/>
    </w:rPr>
  </w:style>
  <w:style w:type="character" w:customStyle="1" w:styleId="40">
    <w:name w:val="页眉 字符"/>
    <w:basedOn w:val="22"/>
    <w:link w:val="16"/>
    <w:qFormat/>
    <w:uiPriority w:val="0"/>
    <w:rPr>
      <w:sz w:val="18"/>
      <w:szCs w:val="18"/>
    </w:rPr>
  </w:style>
  <w:style w:type="character" w:customStyle="1" w:styleId="41">
    <w:name w:val="页脚 字符"/>
    <w:basedOn w:val="22"/>
    <w:link w:val="15"/>
    <w:qFormat/>
    <w:uiPriority w:val="99"/>
    <w:rPr>
      <w:sz w:val="18"/>
      <w:szCs w:val="18"/>
    </w:rPr>
  </w:style>
  <w:style w:type="character" w:customStyle="1" w:styleId="42">
    <w:name w:val="批注框文本 字符"/>
    <w:basedOn w:val="22"/>
    <w:link w:val="14"/>
    <w:semiHidden/>
    <w:qFormat/>
    <w:uiPriority w:val="99"/>
    <w:rPr>
      <w:sz w:val="18"/>
      <w:szCs w:val="18"/>
    </w:rPr>
  </w:style>
  <w:style w:type="character" w:customStyle="1" w:styleId="43">
    <w:name w:val="批注文字 字符"/>
    <w:basedOn w:val="22"/>
    <w:link w:val="9"/>
    <w:qFormat/>
    <w:uiPriority w:val="99"/>
  </w:style>
  <w:style w:type="paragraph" w:customStyle="1" w:styleId="44">
    <w:name w:val="Table Paragraph"/>
    <w:basedOn w:val="1"/>
    <w:qFormat/>
    <w:uiPriority w:val="0"/>
    <w:pPr>
      <w:jc w:val="left"/>
    </w:pPr>
    <w:rPr>
      <w:kern w:val="0"/>
      <w:sz w:val="22"/>
      <w:lang w:eastAsia="en-US"/>
    </w:rPr>
  </w:style>
  <w:style w:type="paragraph" w:customStyle="1" w:styleId="45">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6">
    <w:name w:val="正文文本 字符"/>
    <w:basedOn w:val="22"/>
    <w:link w:val="10"/>
    <w:qFormat/>
    <w:uiPriority w:val="1"/>
    <w:rPr>
      <w:rFonts w:ascii="宋体" w:hAnsi="宋体" w:cstheme="minorBidi"/>
      <w:sz w:val="21"/>
      <w:szCs w:val="21"/>
      <w:lang w:eastAsia="en-US"/>
    </w:rPr>
  </w:style>
  <w:style w:type="character" w:customStyle="1" w:styleId="47">
    <w:name w:val="font41"/>
    <w:basedOn w:val="22"/>
    <w:qFormat/>
    <w:uiPriority w:val="0"/>
    <w:rPr>
      <w:rFonts w:hint="eastAsia" w:ascii="宋体" w:hAnsi="宋体" w:eastAsia="宋体" w:cs="宋体"/>
      <w:color w:val="000000"/>
      <w:sz w:val="21"/>
      <w:szCs w:val="21"/>
      <w:u w:val="none"/>
    </w:rPr>
  </w:style>
  <w:style w:type="character" w:customStyle="1" w:styleId="48">
    <w:name w:val="font31"/>
    <w:basedOn w:val="22"/>
    <w:qFormat/>
    <w:uiPriority w:val="0"/>
    <w:rPr>
      <w:rFonts w:hint="default" w:ascii="Times New Roman" w:hAnsi="Times New Roman" w:cs="Times New Roman"/>
      <w:color w:val="000000"/>
      <w:sz w:val="21"/>
      <w:szCs w:val="21"/>
      <w:u w:val="none"/>
    </w:rPr>
  </w:style>
  <w:style w:type="paragraph" w:customStyle="1" w:styleId="49">
    <w:name w:val="Normal_0"/>
    <w:next w:val="36"/>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50">
    <w:name w:val="Normal_1"/>
    <w:next w:val="36"/>
    <w:qFormat/>
    <w:uiPriority w:val="0"/>
    <w:rPr>
      <w:rFonts w:ascii="Times New Roman" w:hAnsi="Times New Roman" w:eastAsia="Times New Roman" w:cs="Times New Roman"/>
      <w:sz w:val="24"/>
      <w:szCs w:val="24"/>
    </w:rPr>
  </w:style>
  <w:style w:type="paragraph" w:customStyle="1" w:styleId="51">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3">
    <w:name w:val="font01"/>
    <w:basedOn w:val="22"/>
    <w:qFormat/>
    <w:uiPriority w:val="0"/>
    <w:rPr>
      <w:rFonts w:hint="eastAsia" w:ascii="宋体" w:hAnsi="宋体" w:eastAsia="宋体" w:cs="宋体"/>
      <w:color w:val="000000"/>
      <w:sz w:val="20"/>
      <w:szCs w:val="20"/>
      <w:u w:val="none"/>
    </w:rPr>
  </w:style>
  <w:style w:type="character" w:customStyle="1" w:styleId="54">
    <w:name w:val="font51"/>
    <w:basedOn w:val="22"/>
    <w:qFormat/>
    <w:uiPriority w:val="0"/>
    <w:rPr>
      <w:rFonts w:hint="eastAsia" w:ascii="宋体" w:hAnsi="宋体" w:eastAsia="宋体" w:cs="宋体"/>
      <w:color w:val="000000"/>
      <w:sz w:val="22"/>
      <w:szCs w:val="22"/>
      <w:u w:val="none"/>
    </w:rPr>
  </w:style>
  <w:style w:type="character" w:customStyle="1" w:styleId="55">
    <w:name w:val="font21"/>
    <w:basedOn w:val="22"/>
    <w:qFormat/>
    <w:uiPriority w:val="0"/>
    <w:rPr>
      <w:rFonts w:hint="eastAsia" w:ascii="宋体" w:hAnsi="宋体" w:eastAsia="宋体" w:cs="宋体"/>
      <w:color w:val="000000"/>
      <w:sz w:val="22"/>
      <w:szCs w:val="22"/>
      <w:u w:val="none"/>
    </w:rPr>
  </w:style>
  <w:style w:type="paragraph" w:styleId="56">
    <w:name w:val="No Spacing"/>
    <w:qFormat/>
    <w:uiPriority w:val="1"/>
    <w:pPr>
      <w:widowControl w:val="0"/>
    </w:pPr>
    <w:rPr>
      <w:rFonts w:ascii="Calibri" w:hAnsi="Calibri" w:eastAsia="宋体" w:cs="Arial"/>
      <w:sz w:val="22"/>
      <w:szCs w:val="22"/>
      <w:lang w:val="en-US" w:eastAsia="zh-CN" w:bidi="ar-SA"/>
    </w:rPr>
  </w:style>
  <w:style w:type="paragraph" w:customStyle="1" w:styleId="57">
    <w:name w:val="表文"/>
    <w:qFormat/>
    <w:uiPriority w:val="0"/>
    <w:pPr>
      <w:widowControl w:val="0"/>
      <w:jc w:val="center"/>
    </w:pPr>
    <w:rPr>
      <w:rFonts w:eastAsia="楷体" w:cs="宋体" w:asciiTheme="minorHAnsi" w:hAnsiTheme="minorHAnsi"/>
      <w:sz w:val="22"/>
      <w:szCs w:val="22"/>
      <w:lang w:val="en-US" w:eastAsia="en-US" w:bidi="ar-SA"/>
    </w:rPr>
  </w:style>
  <w:style w:type="paragraph" w:customStyle="1" w:styleId="58">
    <w:name w:val="_Style 1"/>
    <w:next w:val="1"/>
    <w:unhideWhenUsed/>
    <w:qFormat/>
    <w:uiPriority w:val="37"/>
    <w:pPr>
      <w:widowControl w:val="0"/>
    </w:pPr>
    <w:rPr>
      <w:rFonts w:asciiTheme="minorHAnsi" w:hAnsiTheme="minorHAnsi" w:eastAsiaTheme="minorEastAsia" w:cstheme="minorBidi"/>
      <w:sz w:val="22"/>
      <w:szCs w:val="22"/>
      <w:lang w:val="en-US" w:eastAsia="en-US" w:bidi="ar-SA"/>
    </w:rPr>
  </w:style>
  <w:style w:type="character" w:customStyle="1" w:styleId="59">
    <w:name w:val="font101"/>
    <w:basedOn w:val="22"/>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2437</Words>
  <Characters>13896</Characters>
  <Lines>115</Lines>
  <Paragraphs>32</Paragraphs>
  <TotalTime>246</TotalTime>
  <ScaleCrop>false</ScaleCrop>
  <LinksUpToDate>false</LinksUpToDate>
  <CharactersWithSpaces>16301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黄镜桥</cp:lastModifiedBy>
  <cp:lastPrinted>2024-04-18T07:10:00Z</cp:lastPrinted>
  <dcterms:modified xsi:type="dcterms:W3CDTF">2025-07-31T03:24:44Z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437649AF941149F5B9FBA385D149A69A_13</vt:lpwstr>
  </property>
  <property fmtid="{D5CDD505-2E9C-101B-9397-08002B2CF9AE}" pid="4" name="KSOTemplateDocerSaveRecord">
    <vt:lpwstr>eyJoZGlkIjoiODc2NjYxNDcxNjZiMTA2N2Q3ODNjOWE1MDFhYjNjMTQifQ==</vt:lpwstr>
  </property>
</Properties>
</file>