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常州院常州市直饮水机租赁服务专有协议</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GKXJ-2025-CT-1702</w:t>
      </w:r>
      <w:r>
        <w:rPr>
          <w:rFonts w:asciiTheme="minorEastAsia" w:hAnsiTheme="minorEastAsia" w:eastAsiaTheme="minorEastAsia"/>
          <w:color w:val="000000" w:themeColor="text1"/>
          <w:highlight w:val="none"/>
          <w14:textFill>
            <w14:solidFill>
              <w14:schemeClr w14:val="tx1"/>
            </w14:solidFill>
          </w14:textFill>
        </w:rPr>
        <w:t>）</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中海油能源发展股份有限公司</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7</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7</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常州院常州市直饮水机租赁服务专有协议</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bookmarkStart w:id="6" w:name="_GoBack"/>
      <w:bookmarkEnd w:id="6"/>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5"/>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上海区域</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2"/>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3"/>
        <w:tblW w:w="5589" w:type="pct"/>
        <w:jc w:val="center"/>
        <w:tblLayout w:type="autofit"/>
        <w:tblCellMar>
          <w:top w:w="0" w:type="dxa"/>
          <w:left w:w="0" w:type="dxa"/>
          <w:bottom w:w="0" w:type="dxa"/>
          <w:right w:w="0" w:type="dxa"/>
        </w:tblCellMar>
      </w:tblPr>
      <w:tblGrid>
        <w:gridCol w:w="616"/>
        <w:gridCol w:w="537"/>
        <w:gridCol w:w="2287"/>
        <w:gridCol w:w="5856"/>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1" w:type="pct"/>
            <w:vMerge w:val="restart"/>
            <w:tcBorders>
              <w:top w:val="nil"/>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8" w:type="pct"/>
            <w:vMerge w:val="restart"/>
            <w:tcBorders>
              <w:top w:val="nil"/>
              <w:left w:val="nil"/>
              <w:right w:val="single" w:color="000000" w:sz="6" w:space="0"/>
            </w:tcBorders>
            <w:textDirection w:val="tbRlV"/>
            <w:vAlign w:val="center"/>
          </w:tcPr>
          <w:p>
            <w:pPr>
              <w:pStyle w:val="45"/>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5"/>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1427"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5"/>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5"/>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5"/>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highlight w:val="none"/>
                <w:lang w:eastAsia="zh-CN"/>
              </w:rPr>
              <w:t>服务商要求（对不满足要求的或未能提供相应证明材料的服务商，将影响评审结果。）</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color w:val="auto"/>
                <w:highlight w:val="none"/>
                <w:lang w:eastAsia="zh-CN"/>
              </w:rPr>
            </w:pPr>
            <w:r>
              <w:rPr>
                <w:rFonts w:hint="eastAsia" w:ascii="仿宋" w:hAnsi="仿宋" w:eastAsia="仿宋" w:cs="仿宋"/>
                <w:color w:val="auto"/>
                <w:szCs w:val="21"/>
                <w:highlight w:val="none"/>
              </w:rPr>
              <w:t>服务商需满足：1）不得将中国海油作为唯一服务客户，承诺中国海油非其唯一服务客户并提供支持性材料（海油外业绩，具体包括：1）合同扫描件；2）合同所对应的结算发票；3）发票所对应的国家税务总局全国增值税发票查验平台的发票查验截图）</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9"/>
              <w:ind w:right="11"/>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银行电汇 。</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Cs/>
                <w:color w:val="000000" w:themeColor="text1"/>
                <w:kern w:val="0"/>
                <w:szCs w:val="21"/>
                <w:highlight w:val="none"/>
                <w14:textFill>
                  <w14:solidFill>
                    <w14:schemeClr w14:val="tx1"/>
                  </w14:solidFill>
                </w14:textFill>
              </w:rPr>
              <w:t>乙方完成本合同项下《服务委托书》的具体工作，提交工作成果，且经甲方验收合格后，乙方向甲方执行方提供有效增值税专用发票及相关支持文件，甲方在收到有效增值税专用发票及相关文件支持并审核无误后45日，甲方按结算价格向乙方支付本次服务费用</w:t>
            </w:r>
            <w:r>
              <w:rPr>
                <w:rFonts w:hint="eastAsia" w:ascii="仿宋" w:hAnsi="仿宋" w:eastAsia="仿宋" w:cs="仿宋"/>
                <w:bCs/>
                <w:color w:val="000000" w:themeColor="text1"/>
                <w:kern w:val="0"/>
                <w:szCs w:val="21"/>
                <w:highlight w:val="none"/>
                <w:lang w:eastAsia="zh-CN"/>
                <w14:textFill>
                  <w14:solidFill>
                    <w14:schemeClr w14:val="tx1"/>
                  </w14:solidFill>
                </w14:textFill>
              </w:rPr>
              <w:t>（</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如设备租赁时间不足一年的，按不含税年度租金/365天*实际租赁天数+相应税金进行计算</w:t>
            </w:r>
            <w:r>
              <w:rPr>
                <w:rFonts w:hint="eastAsia" w:ascii="仿宋" w:hAnsi="仿宋" w:eastAsia="仿宋" w:cs="仿宋"/>
                <w:bCs/>
                <w:color w:val="000000" w:themeColor="text1"/>
                <w:kern w:val="0"/>
                <w:szCs w:val="21"/>
                <w:highlight w:val="none"/>
                <w:lang w:eastAsia="zh-CN"/>
                <w14:textFill>
                  <w14:solidFill>
                    <w14:schemeClr w14:val="tx1"/>
                  </w14:solidFill>
                </w14:textFill>
              </w:rPr>
              <w:t>。</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(3)</w:t>
            </w:r>
            <w:r>
              <w:rPr>
                <w:rFonts w:hint="eastAsia" w:ascii="仿宋" w:hAnsi="仿宋" w:eastAsia="仿宋" w:cs="仿宋"/>
                <w:bCs/>
                <w:color w:val="000000" w:themeColor="text1"/>
                <w:kern w:val="0"/>
                <w:szCs w:val="21"/>
                <w:highlight w:val="none"/>
                <w14:textFill>
                  <w14:solidFill>
                    <w14:schemeClr w14:val="tx1"/>
                  </w14:solidFill>
                </w14:textFill>
              </w:rPr>
              <w:t>如付款到期日为非银行工作日，则付款到期日顺延至下一个银行工作日</w:t>
            </w:r>
            <w:r>
              <w:rPr>
                <w:rFonts w:hint="eastAsia" w:ascii="仿宋" w:hAnsi="仿宋" w:eastAsia="仿宋" w:cs="仿宋"/>
                <w:bCs/>
                <w:color w:val="000000" w:themeColor="text1"/>
                <w:kern w:val="0"/>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lang w:val="en-US" w:eastAsia="zh-CN"/>
              </w:rPr>
              <w:t>详见</w:t>
            </w:r>
            <w:r>
              <w:rPr>
                <w:rFonts w:hint="eastAsia"/>
              </w:rPr>
              <w:t>附件3： 合同文本</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widowControl/>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sz w:val="21"/>
                <w:szCs w:val="21"/>
                <w:lang w:val="en-US" w:eastAsia="zh-CN"/>
              </w:rPr>
              <w:t>★</w:t>
            </w:r>
            <w:r>
              <w:rPr>
                <w:rFonts w:hint="eastAsia" w:ascii="仿宋" w:hAnsi="仿宋" w:eastAsia="仿宋" w:cs="仿宋"/>
                <w:bCs/>
                <w:kern w:val="0"/>
                <w:sz w:val="21"/>
                <w:szCs w:val="21"/>
                <w:lang w:val="en-US" w:eastAsia="zh-CN" w:bidi="ar-SA"/>
              </w:rPr>
              <w:t>服务地点</w:t>
            </w:r>
          </w:p>
        </w:tc>
        <w:tc>
          <w:tcPr>
            <w:tcW w:w="3149" w:type="pct"/>
            <w:tcBorders>
              <w:top w:val="single" w:color="000000" w:sz="4" w:space="0"/>
              <w:left w:val="nil"/>
              <w:bottom w:val="single" w:color="000000" w:sz="4" w:space="0"/>
              <w:right w:val="single" w:color="000000" w:sz="4" w:space="0"/>
            </w:tcBorders>
            <w:vAlign w:val="center"/>
          </w:tcPr>
          <w:p>
            <w:pPr>
              <w:widowControl/>
              <w:jc w:val="both"/>
              <w:rPr>
                <w:rFonts w:hint="eastAsia"/>
                <w:lang w:val="en-US" w:eastAsia="zh-CN"/>
              </w:rPr>
            </w:pPr>
            <w:r>
              <w:rPr>
                <w:rFonts w:hint="default" w:ascii="仿宋" w:hAnsi="仿宋" w:eastAsia="仿宋" w:cs="仿宋"/>
                <w:bCs/>
                <w:kern w:val="0"/>
                <w:szCs w:val="21"/>
              </w:rPr>
              <w:t>常州市龙江中路22号</w:t>
            </w:r>
            <w:r>
              <w:rPr>
                <w:rFonts w:hint="eastAsia" w:ascii="仿宋" w:hAnsi="仿宋" w:eastAsia="仿宋" w:cs="仿宋"/>
                <w:bCs/>
                <w:kern w:val="0"/>
                <w:szCs w:val="21"/>
                <w:lang w:eastAsia="zh-CN"/>
              </w:rPr>
              <w:t>，</w:t>
            </w:r>
            <w:r>
              <w:rPr>
                <w:rFonts w:hint="eastAsia" w:ascii="仿宋" w:hAnsi="仿宋" w:eastAsia="仿宋" w:cs="仿宋"/>
                <w:bCs/>
                <w:kern w:val="0"/>
                <w:szCs w:val="21"/>
              </w:rPr>
              <w:t>常州市玉龙中路2号</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5"/>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5"/>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1" w:type="pct"/>
            <w:vMerge w:val="restar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8"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本合同期限为自合同签订之日起3年内有效，在合同执行阶段采用“1+1+1”的方式，即合同届满1年，若买卖双方对合同条款及合同价格均无异议，自动顺延一年，最多顺延2年。协议期满后，如有未执行完毕的《服务委托书》，该《服务委托书》应履行完毕。</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339" w:type="dxa"/>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val="en-US" w:eastAsia="zh-CN"/>
                <w14:textFill>
                  <w14:solidFill>
                    <w14:schemeClr w14:val="tx1"/>
                  </w14:solidFill>
                </w14:textFill>
              </w:rPr>
              <w:t>要求</w:t>
            </w:r>
            <w:r>
              <w:rPr>
                <w:rFonts w:hint="eastAsia" w:ascii="仿宋" w:hAnsi="仿宋" w:eastAsia="仿宋" w:cs="仿宋"/>
                <w:color w:val="000000" w:themeColor="text1"/>
                <w:szCs w:val="21"/>
                <w14:textFill>
                  <w14:solidFill>
                    <w14:schemeClr w14:val="tx1"/>
                  </w14:solidFill>
                </w14:textFill>
              </w:rPr>
              <w:t>和范围</w:t>
            </w:r>
          </w:p>
        </w:tc>
        <w:tc>
          <w:tcPr>
            <w:tcW w:w="5989" w:type="dxa"/>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5"/>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7"/>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5"/>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5"/>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pPr>
              <w:pStyle w:val="45"/>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5"/>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9"/>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9"/>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7"/>
      </w:pPr>
    </w:p>
    <w:p/>
    <w:p>
      <w:pPr>
        <w:pStyle w:val="7"/>
      </w:pPr>
    </w:p>
    <w:p>
      <w:pPr>
        <w:pStyle w:val="7"/>
        <w:ind w:firstLine="0" w:firstLineChars="0"/>
        <w:rPr>
          <w:lang w:val="en-US" w:eastAsia="zh-CN"/>
        </w:rPr>
      </w:pPr>
    </w:p>
    <w:p>
      <w:pPr>
        <w:rPr>
          <w:lang w:val="en-US" w:eastAsia="zh-CN"/>
        </w:rPr>
      </w:pPr>
    </w:p>
    <w:p>
      <w:pPr>
        <w:pStyle w:val="7"/>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ind w:firstLine="0" w:firstLineChars="0"/>
        <w:outlineLvl w:val="0"/>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4"/>
      </w:pPr>
      <w:bookmarkStart w:id="0" w:name="_Toc13249324"/>
      <w:bookmarkStart w:id="1" w:name="_Toc13248927"/>
      <w:r>
        <w:t>一、项目概况及总体要求</w:t>
      </w:r>
    </w:p>
    <w:p>
      <w:pPr>
        <w:spacing w:before="2" w:line="100" w:lineRule="exact"/>
        <w:rPr>
          <w:rFonts w:ascii="微软雅黑" w:hAnsi="微软雅黑" w:eastAsia="微软雅黑"/>
          <w:sz w:val="10"/>
          <w:szCs w:val="10"/>
          <w:lang w:eastAsia="zh-CN"/>
        </w:rPr>
      </w:pPr>
    </w:p>
    <w:p>
      <w:pPr>
        <w:pStyle w:val="2"/>
        <w:spacing w:line="257" w:lineRule="auto"/>
        <w:ind w:left="220" w:right="122" w:firstLine="420"/>
        <w:rPr>
          <w:rFonts w:hint="eastAsia" w:ascii="微软雅黑" w:hAnsi="微软雅黑" w:eastAsia="微软雅黑"/>
          <w:lang w:eastAsia="zh-CN"/>
        </w:rPr>
      </w:pPr>
      <w:r>
        <w:rPr>
          <w:rFonts w:hint="eastAsia" w:ascii="微软雅黑" w:hAnsi="微软雅黑" w:eastAsia="微软雅黑"/>
          <w:lang w:val="en-US" w:eastAsia="zh-CN"/>
        </w:rPr>
        <w:t>为</w:t>
      </w:r>
      <w:r>
        <w:rPr>
          <w:rFonts w:hint="eastAsia" w:ascii="微软雅黑" w:hAnsi="微软雅黑" w:eastAsia="微软雅黑"/>
          <w:lang w:eastAsia="zh-CN"/>
        </w:rPr>
        <w:t>提升</w:t>
      </w:r>
      <w:r>
        <w:rPr>
          <w:rFonts w:hint="eastAsia" w:ascii="微软雅黑" w:hAnsi="微软雅黑" w:eastAsia="微软雅黑"/>
          <w:lang w:val="en-US" w:eastAsia="zh-CN"/>
        </w:rPr>
        <w:t>中海油常州涂料化工研究院有限公司及下属单位</w:t>
      </w:r>
      <w:r>
        <w:rPr>
          <w:rFonts w:hint="eastAsia" w:ascii="微软雅黑" w:hAnsi="微软雅黑" w:eastAsia="微软雅黑"/>
          <w:lang w:eastAsia="zh-CN"/>
        </w:rPr>
        <w:t>员工饮水安全、便捷性，拟租赁一批商用净水机。</w:t>
      </w:r>
    </w:p>
    <w:p>
      <w:pPr>
        <w:pStyle w:val="2"/>
        <w:spacing w:line="257" w:lineRule="auto"/>
        <w:ind w:left="220" w:right="122" w:firstLine="420"/>
        <w:rPr>
          <w:rFonts w:hint="eastAsia" w:ascii="微软雅黑" w:hAnsi="微软雅黑" w:eastAsia="微软雅黑"/>
          <w:lang w:eastAsia="zh-CN"/>
        </w:rPr>
      </w:pPr>
      <w:r>
        <w:rPr>
          <w:rFonts w:hint="eastAsia" w:ascii="微软雅黑" w:hAnsi="微软雅黑" w:eastAsia="微软雅黑"/>
          <w:lang w:val="en-US" w:eastAsia="zh-CN"/>
        </w:rPr>
        <w:t>本需求引用《食品安全国家标准-包装饮用水》GB19298-2014</w:t>
      </w:r>
      <w:r>
        <w:rPr>
          <w:rFonts w:hint="eastAsia" w:ascii="微软雅黑" w:hAnsi="微软雅黑" w:eastAsia="微软雅黑"/>
          <w:lang w:eastAsia="zh-CN"/>
        </w:rPr>
        <w:t>。</w:t>
      </w:r>
    </w:p>
    <w:p>
      <w:pPr>
        <w:rPr>
          <w:lang w:eastAsia="zh-CN"/>
        </w:rPr>
      </w:pPr>
    </w:p>
    <w:p>
      <w:pPr>
        <w:pStyle w:val="4"/>
      </w:pPr>
      <w:bookmarkStart w:id="2" w:name="_Toc13249325"/>
      <w:bookmarkStart w:id="3" w:name="_Toc13248928"/>
      <w:r>
        <w:t>二、</w:t>
      </w:r>
      <w:r>
        <w:rPr>
          <w:rFonts w:hint="eastAsia"/>
        </w:rPr>
        <w:t>服务</w:t>
      </w:r>
      <w:r>
        <w:t>内容和范围</w:t>
      </w:r>
      <w:bookmarkEnd w:id="2"/>
      <w:bookmarkEnd w:id="3"/>
    </w:p>
    <w:p>
      <w:pPr>
        <w:pStyle w:val="2"/>
        <w:spacing w:line="257" w:lineRule="auto"/>
        <w:ind w:right="115" w:rightChars="55" w:firstLine="199" w:firstLineChars="95"/>
        <w:rPr>
          <w:lang w:eastAsia="zh-CN"/>
        </w:rPr>
      </w:pPr>
      <w:r>
        <w:rPr>
          <w:rFonts w:hint="eastAsia"/>
          <w:lang w:eastAsia="zh-CN"/>
        </w:rPr>
        <w:t>1、服务内容：直饮水机租赁服务，包含安装调试、耗材更换</w:t>
      </w:r>
      <w:r>
        <w:rPr>
          <w:rFonts w:hint="eastAsia"/>
          <w:lang w:val="en-US" w:eastAsia="zh-CN"/>
        </w:rPr>
        <w:t>以及</w:t>
      </w:r>
      <w:r>
        <w:rPr>
          <w:rFonts w:hint="eastAsia"/>
          <w:lang w:eastAsia="zh-CN"/>
        </w:rPr>
        <w:t>租赁期内</w:t>
      </w:r>
      <w:r>
        <w:rPr>
          <w:rFonts w:hint="eastAsia"/>
          <w:lang w:val="en-US" w:eastAsia="zh-CN"/>
        </w:rPr>
        <w:t>每季度</w:t>
      </w:r>
      <w:r>
        <w:rPr>
          <w:rFonts w:hint="eastAsia"/>
          <w:lang w:eastAsia="zh-CN"/>
        </w:rPr>
        <w:t>的</w:t>
      </w:r>
      <w:r>
        <w:rPr>
          <w:rFonts w:hint="eastAsia"/>
          <w:lang w:val="en-US" w:eastAsia="zh-CN"/>
        </w:rPr>
        <w:t>水质检测</w:t>
      </w:r>
      <w:r>
        <w:rPr>
          <w:rFonts w:hint="eastAsia"/>
          <w:lang w:eastAsia="zh-CN"/>
        </w:rPr>
        <w:t>。</w:t>
      </w:r>
    </w:p>
    <w:p>
      <w:pPr>
        <w:pStyle w:val="2"/>
        <w:spacing w:line="257" w:lineRule="auto"/>
        <w:ind w:right="115" w:rightChars="55" w:firstLine="228" w:firstLineChars="95"/>
        <w:rPr>
          <w:lang w:eastAsia="zh-CN"/>
        </w:rPr>
      </w:pPr>
      <w:r>
        <w:rPr>
          <w:rFonts w:hint="eastAsia" w:ascii="Microsoft YaHei UI" w:hAnsi="Microsoft YaHei UI" w:eastAsia="Microsoft YaHei UI" w:cs="宋体"/>
          <w:sz w:val="24"/>
          <w:szCs w:val="24"/>
          <w:lang w:val="en-US" w:eastAsia="zh-CN" w:bidi="ar-SA"/>
        </w:rPr>
        <w:t>★</w:t>
      </w:r>
      <w:r>
        <w:rPr>
          <w:rFonts w:hint="eastAsia"/>
          <w:lang w:eastAsia="zh-CN"/>
        </w:rPr>
        <w:t>2、工作量清单：</w:t>
      </w:r>
    </w:p>
    <w:tbl>
      <w:tblPr>
        <w:tblStyle w:val="24"/>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227"/>
        <w:gridCol w:w="909"/>
        <w:gridCol w:w="911"/>
        <w:gridCol w:w="3378"/>
        <w:gridCol w:w="152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val="en-US" w:eastAsia="zh-CN"/>
              </w:rPr>
            </w:pPr>
            <w:r>
              <w:rPr>
                <w:rFonts w:hint="eastAsia"/>
                <w:highlight w:val="none"/>
                <w:lang w:val="en-US" w:eastAsia="zh-CN"/>
              </w:rPr>
              <w:t>序号</w:t>
            </w:r>
          </w:p>
        </w:tc>
        <w:tc>
          <w:tcPr>
            <w:tcW w:w="1227"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eastAsia="zh-CN"/>
              </w:rPr>
            </w:pPr>
            <w:r>
              <w:rPr>
                <w:rFonts w:hint="eastAsia"/>
                <w:highlight w:val="none"/>
                <w:lang w:val="en-US" w:eastAsia="zh-CN"/>
              </w:rPr>
              <w:t>名称</w:t>
            </w:r>
          </w:p>
        </w:tc>
        <w:tc>
          <w:tcPr>
            <w:tcW w:w="909" w:type="dxa"/>
            <w:vAlign w:val="center"/>
          </w:tcPr>
          <w:p>
            <w:pPr>
              <w:pStyle w:val="2"/>
              <w:keepNext w:val="0"/>
              <w:keepLines w:val="0"/>
              <w:suppressLineNumbers w:val="0"/>
              <w:spacing w:before="0" w:beforeAutospacing="0" w:after="0" w:afterAutospacing="0" w:line="257" w:lineRule="auto"/>
              <w:ind w:left="0" w:right="-178" w:rightChars="-85" w:firstLine="0" w:firstLineChars="0"/>
              <w:jc w:val="center"/>
              <w:rPr>
                <w:rFonts w:hint="default" w:eastAsia="Microsoft YaHei UI"/>
                <w:highlight w:val="none"/>
                <w:lang w:val="en-US" w:eastAsia="zh-CN"/>
              </w:rPr>
            </w:pPr>
            <w:r>
              <w:rPr>
                <w:rFonts w:hint="eastAsia"/>
                <w:highlight w:val="none"/>
                <w:lang w:eastAsia="zh-CN"/>
              </w:rPr>
              <w:t>数量</w:t>
            </w:r>
          </w:p>
        </w:tc>
        <w:tc>
          <w:tcPr>
            <w:tcW w:w="911"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val="en-US" w:eastAsia="zh-CN"/>
              </w:rPr>
            </w:pPr>
            <w:r>
              <w:rPr>
                <w:rFonts w:hint="eastAsia"/>
                <w:highlight w:val="none"/>
                <w:lang w:val="en-US" w:eastAsia="zh-CN"/>
              </w:rPr>
              <w:t>单位</w:t>
            </w:r>
          </w:p>
        </w:tc>
        <w:tc>
          <w:tcPr>
            <w:tcW w:w="3378"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val="en-US" w:eastAsia="zh-CN"/>
              </w:rPr>
            </w:pPr>
            <w:r>
              <w:rPr>
                <w:rFonts w:hint="eastAsia"/>
                <w:highlight w:val="none"/>
                <w:lang w:val="en-US" w:eastAsia="zh-CN"/>
              </w:rPr>
              <w:t>规格</w:t>
            </w:r>
          </w:p>
        </w:tc>
        <w:tc>
          <w:tcPr>
            <w:tcW w:w="1525"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val="en-US" w:eastAsia="zh-CN"/>
              </w:rPr>
            </w:pPr>
            <w:r>
              <w:rPr>
                <w:rFonts w:hint="eastAsia"/>
                <w:highlight w:val="none"/>
                <w:lang w:val="en-US" w:eastAsia="zh-CN"/>
              </w:rPr>
              <w:t>服务地点</w:t>
            </w:r>
          </w:p>
        </w:tc>
        <w:tc>
          <w:tcPr>
            <w:tcW w:w="1600"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val="en-US" w:eastAsia="zh-CN"/>
              </w:rPr>
            </w:pPr>
            <w:r>
              <w:rPr>
                <w:rFonts w:hint="eastAsia"/>
                <w:highlight w:val="none"/>
                <w:lang w:val="en-US" w:eastAsia="zh-CN"/>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5"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1</w:t>
            </w:r>
          </w:p>
        </w:tc>
        <w:tc>
          <w:tcPr>
            <w:tcW w:w="1227"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eastAsia="zh-CN"/>
              </w:rPr>
              <w:t>直饮机</w:t>
            </w:r>
          </w:p>
        </w:tc>
        <w:tc>
          <w:tcPr>
            <w:tcW w:w="909"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eastAsia="zh-CN"/>
              </w:rPr>
            </w:pPr>
            <w:r>
              <w:rPr>
                <w:rFonts w:hint="eastAsia"/>
                <w:highlight w:val="none"/>
                <w:lang w:val="en-US" w:eastAsia="zh-CN"/>
              </w:rPr>
              <w:t>4</w:t>
            </w:r>
          </w:p>
        </w:tc>
        <w:tc>
          <w:tcPr>
            <w:tcW w:w="911"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台/年</w:t>
            </w:r>
          </w:p>
        </w:tc>
        <w:tc>
          <w:tcPr>
            <w:tcW w:w="337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left"/>
              <w:textAlignment w:val="auto"/>
              <w:rPr>
                <w:rFonts w:hint="default" w:ascii="Microsoft YaHei UI" w:hAnsi="Microsoft YaHei UI" w:eastAsia="Microsoft YaHei UI" w:cs="宋体"/>
                <w:color w:val="auto"/>
                <w:kern w:val="2"/>
                <w:sz w:val="21"/>
                <w:szCs w:val="21"/>
                <w:highlight w:val="none"/>
                <w:lang w:val="en-US" w:eastAsia="zh-CN" w:bidi="ar-SA"/>
              </w:rPr>
            </w:pPr>
            <w:r>
              <w:rPr>
                <w:rFonts w:hint="eastAsia" w:ascii="Microsoft YaHei UI" w:hAnsi="Microsoft YaHei UI" w:eastAsia="Microsoft YaHei UI" w:cs="宋体"/>
                <w:color w:val="auto"/>
                <w:kern w:val="2"/>
                <w:sz w:val="21"/>
                <w:szCs w:val="21"/>
                <w:highlight w:val="none"/>
                <w:lang w:val="en-US" w:eastAsia="zh-CN" w:bidi="ar-SA"/>
              </w:rPr>
              <w:t>等同或相当于A.O.史密斯BZR100-A2118、</w:t>
            </w:r>
            <w:r>
              <w:rPr>
                <w:rFonts w:hint="default" w:ascii="Microsoft YaHei UI" w:hAnsi="Microsoft YaHei UI" w:eastAsia="Microsoft YaHei UI" w:cs="宋体"/>
                <w:color w:val="auto"/>
                <w:kern w:val="2"/>
                <w:sz w:val="21"/>
                <w:szCs w:val="21"/>
                <w:highlight w:val="none"/>
                <w:lang w:val="en-US" w:eastAsia="zh-CN" w:bidi="ar-SA"/>
              </w:rPr>
              <w:t>本源STR-500K2Z</w:t>
            </w:r>
            <w:r>
              <w:rPr>
                <w:rFonts w:hint="eastAsia" w:ascii="Microsoft YaHei UI" w:hAnsi="Microsoft YaHei UI" w:eastAsia="Microsoft YaHei UI" w:cs="宋体"/>
                <w:color w:val="auto"/>
                <w:kern w:val="2"/>
                <w:sz w:val="21"/>
                <w:szCs w:val="21"/>
                <w:highlight w:val="none"/>
                <w:lang w:val="en-US" w:eastAsia="zh-CN" w:bidi="ar-SA"/>
              </w:rPr>
              <w:t>、方太CZN200-B1</w:t>
            </w:r>
          </w:p>
        </w:tc>
        <w:tc>
          <w:tcPr>
            <w:tcW w:w="1525" w:type="dxa"/>
            <w:vMerge w:val="restart"/>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ascii="Microsoft YaHei UI" w:hAnsi="Microsoft YaHei UI" w:eastAsia="Microsoft YaHei UI" w:cs="宋体"/>
                <w:sz w:val="21"/>
                <w:szCs w:val="21"/>
                <w:highlight w:val="none"/>
                <w:lang w:val="en-US" w:eastAsia="zh-CN" w:bidi="ar-SA"/>
              </w:rPr>
            </w:pPr>
            <w:r>
              <w:rPr>
                <w:rFonts w:hint="eastAsia"/>
                <w:highlight w:val="none"/>
                <w:lang w:eastAsia="zh-CN"/>
              </w:rPr>
              <w:t>常州市龙江中路2</w:t>
            </w:r>
            <w:r>
              <w:rPr>
                <w:rFonts w:hint="default"/>
                <w:highlight w:val="none"/>
                <w:lang w:eastAsia="zh-CN"/>
              </w:rPr>
              <w:t>2</w:t>
            </w:r>
            <w:r>
              <w:rPr>
                <w:rFonts w:hint="eastAsia"/>
                <w:highlight w:val="none"/>
                <w:lang w:eastAsia="zh-CN"/>
              </w:rPr>
              <w:t>号</w:t>
            </w:r>
          </w:p>
        </w:tc>
        <w:tc>
          <w:tcPr>
            <w:tcW w:w="1600" w:type="dxa"/>
            <w:vMerge w:val="restart"/>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中海油常州涂料化工研究院有限公司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65"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default"/>
                <w:highlight w:val="none"/>
                <w:lang w:val="en-US" w:eastAsia="zh-CN"/>
              </w:rPr>
            </w:pPr>
            <w:r>
              <w:rPr>
                <w:rFonts w:hint="eastAsia"/>
                <w:highlight w:val="none"/>
                <w:lang w:val="en-US" w:eastAsia="zh-CN"/>
              </w:rPr>
              <w:t>2</w:t>
            </w:r>
          </w:p>
        </w:tc>
        <w:tc>
          <w:tcPr>
            <w:tcW w:w="1227"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eastAsia" w:ascii="Microsoft YaHei UI" w:hAnsi="Microsoft YaHei UI" w:eastAsia="Microsoft YaHei UI" w:cs="宋体"/>
                <w:sz w:val="21"/>
                <w:szCs w:val="21"/>
                <w:highlight w:val="none"/>
                <w:lang w:val="en-US" w:eastAsia="zh-CN" w:bidi="ar-SA"/>
              </w:rPr>
            </w:pPr>
            <w:r>
              <w:rPr>
                <w:rFonts w:hint="eastAsia"/>
                <w:highlight w:val="none"/>
                <w:lang w:eastAsia="zh-CN"/>
              </w:rPr>
              <w:t>中央主机</w:t>
            </w:r>
          </w:p>
        </w:tc>
        <w:tc>
          <w:tcPr>
            <w:tcW w:w="909" w:type="dxa"/>
            <w:vAlign w:val="center"/>
          </w:tcPr>
          <w:p>
            <w:pPr>
              <w:pStyle w:val="2"/>
              <w:keepNext w:val="0"/>
              <w:keepLines w:val="0"/>
              <w:suppressLineNumbers w:val="0"/>
              <w:spacing w:before="0" w:beforeAutospacing="0" w:after="0" w:afterAutospacing="0" w:line="257" w:lineRule="auto"/>
              <w:ind w:left="0" w:right="115" w:rightChars="55" w:firstLine="0" w:firstLineChars="0"/>
              <w:jc w:val="center"/>
              <w:rPr>
                <w:rFonts w:hint="eastAsia" w:ascii="Microsoft YaHei UI" w:hAnsi="Microsoft YaHei UI" w:eastAsia="Microsoft YaHei UI" w:cs="宋体"/>
                <w:sz w:val="21"/>
                <w:szCs w:val="21"/>
                <w:highlight w:val="none"/>
                <w:lang w:val="en-US" w:eastAsia="zh-CN" w:bidi="ar-SA"/>
              </w:rPr>
            </w:pPr>
            <w:r>
              <w:rPr>
                <w:rFonts w:hint="default"/>
                <w:highlight w:val="none"/>
                <w:lang w:eastAsia="zh-CN"/>
              </w:rPr>
              <w:t>2</w:t>
            </w:r>
          </w:p>
        </w:tc>
        <w:tc>
          <w:tcPr>
            <w:tcW w:w="911" w:type="dxa"/>
            <w:vAlign w:val="center"/>
          </w:tcPr>
          <w:p>
            <w:pPr>
              <w:pStyle w:val="2"/>
              <w:keepNext w:val="0"/>
              <w:keepLines w:val="0"/>
              <w:suppressLineNumbers w:val="0"/>
              <w:snapToGrid w:val="0"/>
              <w:spacing w:before="0" w:beforeAutospacing="0" w:after="0" w:afterAutospacing="0"/>
              <w:ind w:left="0" w:right="115" w:rightChars="55" w:firstLine="0" w:firstLineChars="0"/>
              <w:jc w:val="center"/>
              <w:rPr>
                <w:rFonts w:hint="eastAsia"/>
                <w:highlight w:val="none"/>
                <w:lang w:val="en-US" w:eastAsia="zh-CN"/>
              </w:rPr>
            </w:pPr>
            <w:r>
              <w:rPr>
                <w:rFonts w:hint="eastAsia"/>
                <w:highlight w:val="none"/>
                <w:lang w:val="en-US" w:eastAsia="zh-CN"/>
              </w:rPr>
              <w:t>台/年</w:t>
            </w:r>
          </w:p>
        </w:tc>
        <w:tc>
          <w:tcPr>
            <w:tcW w:w="337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left"/>
              <w:textAlignment w:val="auto"/>
              <w:rPr>
                <w:rFonts w:hint="eastAsia" w:ascii="Microsoft YaHei UI" w:hAnsi="Microsoft YaHei UI" w:eastAsia="Microsoft YaHei UI" w:cs="宋体"/>
                <w:color w:val="auto"/>
                <w:kern w:val="2"/>
                <w:sz w:val="21"/>
                <w:szCs w:val="21"/>
                <w:highlight w:val="none"/>
                <w:lang w:val="en-US" w:eastAsia="zh-CN" w:bidi="ar-SA"/>
              </w:rPr>
            </w:pPr>
            <w:r>
              <w:rPr>
                <w:rFonts w:hint="eastAsia" w:ascii="Microsoft YaHei UI" w:hAnsi="Microsoft YaHei UI" w:eastAsia="Microsoft YaHei UI" w:cs="宋体"/>
                <w:color w:val="auto"/>
                <w:kern w:val="2"/>
                <w:sz w:val="21"/>
                <w:szCs w:val="21"/>
                <w:highlight w:val="none"/>
                <w:lang w:val="en-US" w:eastAsia="zh-CN" w:bidi="ar-SA"/>
              </w:rPr>
              <w:t>等同或相当于A.O.史密斯BCR800-H5（L）、</w:t>
            </w:r>
            <w:r>
              <w:rPr>
                <w:rFonts w:hint="default" w:ascii="Microsoft YaHei UI" w:hAnsi="Microsoft YaHei UI" w:eastAsia="Microsoft YaHei UI" w:cs="宋体"/>
                <w:color w:val="auto"/>
                <w:kern w:val="2"/>
                <w:sz w:val="21"/>
                <w:szCs w:val="21"/>
                <w:highlight w:val="none"/>
                <w:lang w:val="en-US" w:eastAsia="zh-CN" w:bidi="ar-SA"/>
              </w:rPr>
              <w:t>本源SNR-2500J1Z</w:t>
            </w:r>
            <w:r>
              <w:rPr>
                <w:rFonts w:hint="eastAsia" w:ascii="Microsoft YaHei UI" w:hAnsi="Microsoft YaHei UI" w:eastAsia="Microsoft YaHei UI" w:cs="宋体"/>
                <w:color w:val="auto"/>
                <w:kern w:val="2"/>
                <w:sz w:val="21"/>
                <w:szCs w:val="21"/>
                <w:highlight w:val="none"/>
                <w:lang w:val="en-US" w:eastAsia="zh-CN" w:bidi="ar-SA"/>
              </w:rPr>
              <w:t>、方太CZN800-B2</w:t>
            </w:r>
          </w:p>
        </w:tc>
        <w:tc>
          <w:tcPr>
            <w:tcW w:w="1525" w:type="dxa"/>
            <w:vMerge w:val="continue"/>
            <w:vAlign w:val="center"/>
          </w:tcPr>
          <w:p>
            <w:pPr>
              <w:pStyle w:val="2"/>
              <w:keepNext w:val="0"/>
              <w:keepLines w:val="0"/>
              <w:suppressLineNumbers w:val="0"/>
              <w:snapToGrid w:val="0"/>
              <w:spacing w:before="0" w:beforeAutospacing="0" w:after="0" w:afterAutospacing="0"/>
              <w:ind w:left="0" w:right="115" w:rightChars="55" w:firstLine="0" w:firstLineChars="0"/>
              <w:jc w:val="center"/>
              <w:rPr>
                <w:rFonts w:hint="eastAsia" w:ascii="Microsoft YaHei UI" w:hAnsi="Microsoft YaHei UI" w:eastAsia="Microsoft YaHei UI" w:cs="宋体"/>
                <w:sz w:val="21"/>
                <w:szCs w:val="21"/>
                <w:highlight w:val="none"/>
                <w:lang w:val="en-US" w:eastAsia="zh-CN" w:bidi="ar-SA"/>
              </w:rPr>
            </w:pPr>
          </w:p>
        </w:tc>
        <w:tc>
          <w:tcPr>
            <w:tcW w:w="1600" w:type="dxa"/>
            <w:vMerge w:val="continue"/>
            <w:vAlign w:val="center"/>
          </w:tcPr>
          <w:p>
            <w:pPr>
              <w:pStyle w:val="2"/>
              <w:keepNext w:val="0"/>
              <w:keepLines w:val="0"/>
              <w:suppressLineNumbers w:val="0"/>
              <w:snapToGrid w:val="0"/>
              <w:spacing w:before="0" w:beforeAutospacing="0" w:after="0" w:afterAutospacing="0"/>
              <w:ind w:left="0" w:right="115" w:rightChars="55" w:firstLine="0" w:firstLineChars="0"/>
              <w:jc w:val="center"/>
              <w:rPr>
                <w:rFonts w:hint="eastAsia" w:ascii="Microsoft YaHei UI" w:hAnsi="Microsoft YaHei UI" w:eastAsia="Microsoft YaHei UI" w:cs="宋体"/>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3</w:t>
            </w:r>
          </w:p>
        </w:tc>
        <w:tc>
          <w:tcPr>
            <w:tcW w:w="1227"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highlight w:val="none"/>
                <w:lang w:eastAsia="zh-CN"/>
              </w:rPr>
              <w:t>双温立式管线机</w:t>
            </w:r>
          </w:p>
        </w:tc>
        <w:tc>
          <w:tcPr>
            <w:tcW w:w="909"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r>
              <w:rPr>
                <w:rFonts w:hint="default"/>
                <w:highlight w:val="none"/>
                <w:lang w:eastAsia="zh-CN"/>
              </w:rPr>
              <w:t>10</w:t>
            </w:r>
          </w:p>
        </w:tc>
        <w:tc>
          <w:tcPr>
            <w:tcW w:w="911"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highlight w:val="none"/>
                <w:lang w:val="en-US" w:eastAsia="zh-CN"/>
              </w:rPr>
              <w:t>台/年</w:t>
            </w:r>
          </w:p>
        </w:tc>
        <w:tc>
          <w:tcPr>
            <w:tcW w:w="337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left"/>
              <w:textAlignment w:val="auto"/>
              <w:rPr>
                <w:rFonts w:hint="eastAsia" w:ascii="Microsoft YaHei UI" w:hAnsi="Microsoft YaHei UI" w:eastAsia="Microsoft YaHei UI" w:cs="宋体"/>
                <w:color w:val="auto"/>
                <w:kern w:val="2"/>
                <w:sz w:val="21"/>
                <w:szCs w:val="21"/>
                <w:highlight w:val="none"/>
                <w:lang w:val="en-US" w:eastAsia="zh-CN" w:bidi="ar-SA"/>
              </w:rPr>
            </w:pPr>
            <w:r>
              <w:rPr>
                <w:rFonts w:hint="eastAsia" w:ascii="Microsoft YaHei UI" w:hAnsi="Microsoft YaHei UI" w:eastAsia="Microsoft YaHei UI" w:cs="宋体"/>
                <w:color w:val="auto"/>
                <w:kern w:val="2"/>
                <w:sz w:val="21"/>
                <w:szCs w:val="21"/>
                <w:highlight w:val="none"/>
                <w:lang w:val="en-US" w:eastAsia="zh-CN" w:bidi="ar-SA"/>
              </w:rPr>
              <w:t>等同或相当于A.O.史密斯AR75-E1(L2)、</w:t>
            </w:r>
            <w:r>
              <w:rPr>
                <w:rFonts w:hint="default" w:ascii="Microsoft YaHei UI" w:hAnsi="Microsoft YaHei UI" w:eastAsia="Microsoft YaHei UI" w:cs="宋体"/>
                <w:color w:val="auto"/>
                <w:kern w:val="2"/>
                <w:sz w:val="21"/>
                <w:szCs w:val="21"/>
                <w:highlight w:val="none"/>
                <w:lang w:val="en-US" w:eastAsia="zh-CN" w:bidi="ar-SA"/>
              </w:rPr>
              <w:t>本源</w:t>
            </w:r>
            <w:r>
              <w:rPr>
                <w:rFonts w:hint="eastAsia" w:ascii="Microsoft YaHei UI" w:hAnsi="Microsoft YaHei UI" w:eastAsia="Microsoft YaHei UI" w:cs="宋体"/>
                <w:color w:val="auto"/>
                <w:kern w:val="2"/>
                <w:sz w:val="21"/>
                <w:szCs w:val="21"/>
                <w:highlight w:val="none"/>
                <w:lang w:val="en-US" w:eastAsia="zh-CN" w:bidi="ar-SA"/>
              </w:rPr>
              <w:t>ST-2000Y1、方太FG-01-L1</w:t>
            </w:r>
          </w:p>
        </w:tc>
        <w:tc>
          <w:tcPr>
            <w:tcW w:w="1525" w:type="dxa"/>
            <w:vMerge w:val="continue"/>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ascii="Microsoft YaHei UI" w:hAnsi="Microsoft YaHei UI" w:eastAsia="Microsoft YaHei UI" w:cs="宋体"/>
                <w:sz w:val="21"/>
                <w:szCs w:val="21"/>
                <w:highlight w:val="none"/>
                <w:lang w:val="en-US" w:eastAsia="zh-CN" w:bidi="ar-SA"/>
              </w:rPr>
            </w:pPr>
          </w:p>
        </w:tc>
        <w:tc>
          <w:tcPr>
            <w:tcW w:w="1600" w:type="dxa"/>
            <w:vMerge w:val="continue"/>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4</w:t>
            </w:r>
          </w:p>
        </w:tc>
        <w:tc>
          <w:tcPr>
            <w:tcW w:w="1227"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eastAsia="zh-CN"/>
              </w:rPr>
              <w:t>直饮机</w:t>
            </w:r>
          </w:p>
        </w:tc>
        <w:tc>
          <w:tcPr>
            <w:tcW w:w="909"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eastAsia="zh-CN"/>
              </w:rPr>
            </w:pPr>
            <w:r>
              <w:rPr>
                <w:rFonts w:hint="eastAsia"/>
                <w:highlight w:val="none"/>
                <w:lang w:val="en-US" w:eastAsia="zh-CN"/>
              </w:rPr>
              <w:t>3</w:t>
            </w:r>
          </w:p>
        </w:tc>
        <w:tc>
          <w:tcPr>
            <w:tcW w:w="911"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highlight w:val="none"/>
                <w:lang w:val="en-US" w:eastAsia="zh-CN"/>
              </w:rPr>
              <w:t>台/年</w:t>
            </w:r>
          </w:p>
        </w:tc>
        <w:tc>
          <w:tcPr>
            <w:tcW w:w="337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textAlignment w:val="auto"/>
              <w:rPr>
                <w:rFonts w:hint="default" w:ascii="Microsoft YaHei UI" w:hAnsi="Microsoft YaHei UI" w:eastAsia="Microsoft YaHei UI" w:cs="宋体"/>
                <w:color w:val="auto"/>
                <w:kern w:val="2"/>
                <w:sz w:val="21"/>
                <w:szCs w:val="21"/>
                <w:highlight w:val="none"/>
                <w:lang w:val="en-US" w:eastAsia="zh-CN" w:bidi="ar-SA"/>
              </w:rPr>
            </w:pPr>
            <w:r>
              <w:rPr>
                <w:rFonts w:hint="eastAsia" w:ascii="Microsoft YaHei UI" w:hAnsi="Microsoft YaHei UI" w:eastAsia="Microsoft YaHei UI" w:cs="宋体"/>
                <w:color w:val="auto"/>
                <w:kern w:val="2"/>
                <w:sz w:val="21"/>
                <w:szCs w:val="21"/>
                <w:highlight w:val="none"/>
                <w:lang w:val="en-US" w:eastAsia="zh-CN" w:bidi="ar-SA"/>
              </w:rPr>
              <w:t>等同或相当于A.O.史密斯BZR100-A2118、</w:t>
            </w:r>
            <w:r>
              <w:rPr>
                <w:rFonts w:hint="default" w:ascii="Microsoft YaHei UI" w:hAnsi="Microsoft YaHei UI" w:eastAsia="Microsoft YaHei UI" w:cs="宋体"/>
                <w:color w:val="auto"/>
                <w:kern w:val="2"/>
                <w:sz w:val="21"/>
                <w:szCs w:val="21"/>
                <w:highlight w:val="none"/>
                <w:lang w:val="en-US" w:eastAsia="zh-CN" w:bidi="ar-SA"/>
              </w:rPr>
              <w:t>本源STR-500K2Z</w:t>
            </w:r>
            <w:r>
              <w:rPr>
                <w:rFonts w:hint="eastAsia" w:ascii="Microsoft YaHei UI" w:hAnsi="Microsoft YaHei UI" w:eastAsia="Microsoft YaHei UI" w:cs="宋体"/>
                <w:color w:val="auto"/>
                <w:kern w:val="2"/>
                <w:sz w:val="21"/>
                <w:szCs w:val="21"/>
                <w:highlight w:val="none"/>
                <w:lang w:val="en-US" w:eastAsia="zh-CN" w:bidi="ar-SA"/>
              </w:rPr>
              <w:t>、方太CZN200-B1</w:t>
            </w:r>
          </w:p>
        </w:tc>
        <w:tc>
          <w:tcPr>
            <w:tcW w:w="1525"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highlight w:val="none"/>
                <w:lang w:eastAsia="zh-CN"/>
              </w:rPr>
              <w:t>常州市龙江中路2</w:t>
            </w:r>
            <w:r>
              <w:rPr>
                <w:rFonts w:hint="default"/>
                <w:highlight w:val="none"/>
                <w:lang w:eastAsia="zh-CN"/>
              </w:rPr>
              <w:t>2</w:t>
            </w:r>
            <w:r>
              <w:rPr>
                <w:rFonts w:hint="eastAsia"/>
                <w:highlight w:val="none"/>
                <w:lang w:eastAsia="zh-CN"/>
              </w:rPr>
              <w:t>号</w:t>
            </w:r>
          </w:p>
        </w:tc>
        <w:tc>
          <w:tcPr>
            <w:tcW w:w="1600" w:type="dxa"/>
            <w:vAlign w:val="center"/>
          </w:tcPr>
          <w:p>
            <w:pPr>
              <w:pStyle w:val="2"/>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eastAsia="zh-CN"/>
              </w:rPr>
            </w:pPr>
            <w:r>
              <w:rPr>
                <w:rFonts w:hint="eastAsia"/>
                <w:highlight w:val="none"/>
                <w:lang w:val="en-US" w:eastAsia="zh-CN"/>
              </w:rPr>
              <w:t>国恒信(常州)检测认证技术有限公司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65"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5</w:t>
            </w:r>
          </w:p>
        </w:tc>
        <w:tc>
          <w:tcPr>
            <w:tcW w:w="1227"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highlight w:val="none"/>
                <w:lang w:eastAsia="zh-CN"/>
              </w:rPr>
              <w:t>饮水平台</w:t>
            </w:r>
          </w:p>
        </w:tc>
        <w:tc>
          <w:tcPr>
            <w:tcW w:w="909"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1</w:t>
            </w:r>
          </w:p>
        </w:tc>
        <w:tc>
          <w:tcPr>
            <w:tcW w:w="911"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highlight w:val="none"/>
                <w:lang w:val="en-US" w:eastAsia="zh-CN"/>
              </w:rPr>
              <w:t>台/年</w:t>
            </w:r>
          </w:p>
        </w:tc>
        <w:tc>
          <w:tcPr>
            <w:tcW w:w="337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left"/>
              <w:textAlignment w:val="auto"/>
              <w:rPr>
                <w:rFonts w:hint="eastAsia" w:ascii="Microsoft YaHei UI" w:hAnsi="Microsoft YaHei UI" w:eastAsia="Microsoft YaHei UI" w:cs="宋体"/>
                <w:color w:val="auto"/>
                <w:kern w:val="2"/>
                <w:sz w:val="21"/>
                <w:szCs w:val="21"/>
                <w:highlight w:val="none"/>
                <w:lang w:val="en-US" w:eastAsia="zh-CN" w:bidi="ar-SA"/>
              </w:rPr>
            </w:pPr>
            <w:r>
              <w:rPr>
                <w:rFonts w:hint="eastAsia" w:ascii="Microsoft YaHei UI" w:hAnsi="Microsoft YaHei UI" w:eastAsia="Microsoft YaHei UI" w:cs="宋体"/>
                <w:color w:val="auto"/>
                <w:kern w:val="2"/>
                <w:sz w:val="21"/>
                <w:szCs w:val="21"/>
                <w:highlight w:val="none"/>
                <w:lang w:val="en-US" w:eastAsia="zh-CN" w:bidi="ar-SA"/>
              </w:rPr>
              <w:t>等同或相当于A.O.史密斯BZR800-S5、</w:t>
            </w:r>
            <w:r>
              <w:rPr>
                <w:rFonts w:hint="default" w:ascii="Microsoft YaHei UI" w:hAnsi="Microsoft YaHei UI" w:eastAsia="Microsoft YaHei UI" w:cs="宋体"/>
                <w:color w:val="auto"/>
                <w:kern w:val="2"/>
                <w:sz w:val="21"/>
                <w:szCs w:val="21"/>
                <w:highlight w:val="none"/>
                <w:lang w:val="en-US" w:eastAsia="zh-CN" w:bidi="ar-SA"/>
              </w:rPr>
              <w:t>本源</w:t>
            </w:r>
            <w:r>
              <w:rPr>
                <w:rFonts w:hint="eastAsia" w:ascii="Microsoft YaHei UI" w:hAnsi="Microsoft YaHei UI" w:eastAsia="Microsoft YaHei UI" w:cs="宋体"/>
                <w:color w:val="auto"/>
                <w:kern w:val="2"/>
                <w:sz w:val="21"/>
                <w:szCs w:val="21"/>
                <w:highlight w:val="none"/>
                <w:lang w:val="en-US" w:eastAsia="zh-CN" w:bidi="ar-SA"/>
              </w:rPr>
              <w:t>SER2500X2、方太CZN800-X1</w:t>
            </w:r>
          </w:p>
        </w:tc>
        <w:tc>
          <w:tcPr>
            <w:tcW w:w="1525" w:type="dxa"/>
            <w:vMerge w:val="restart"/>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highlight w:val="none"/>
                <w:lang w:val="en-US" w:eastAsia="zh-CN"/>
              </w:rPr>
              <w:t>常州市玉龙中路2号</w:t>
            </w:r>
          </w:p>
        </w:tc>
        <w:tc>
          <w:tcPr>
            <w:tcW w:w="1600" w:type="dxa"/>
            <w:vMerge w:val="restart"/>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highlight w:val="none"/>
                <w:lang w:val="en-US" w:eastAsia="zh-CN"/>
              </w:rPr>
              <w:t>中海油常州环保涂料有限公司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65"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highlight w:val="none"/>
                <w:lang w:val="en-US" w:eastAsia="zh-CN"/>
              </w:rPr>
              <w:t>6</w:t>
            </w:r>
          </w:p>
        </w:tc>
        <w:tc>
          <w:tcPr>
            <w:tcW w:w="1227"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highlight w:val="none"/>
                <w:lang w:eastAsia="zh-CN"/>
              </w:rPr>
              <w:t>直饮机</w:t>
            </w:r>
          </w:p>
        </w:tc>
        <w:tc>
          <w:tcPr>
            <w:tcW w:w="909" w:type="dxa"/>
            <w:vAlign w:val="center"/>
          </w:tcPr>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115" w:rightChars="55" w:firstLine="0" w:firstLineChars="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highlight w:val="none"/>
                <w:lang w:val="en-US" w:eastAsia="zh-CN"/>
              </w:rPr>
              <w:t>5</w:t>
            </w:r>
          </w:p>
        </w:tc>
        <w:tc>
          <w:tcPr>
            <w:tcW w:w="911"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highlight w:val="none"/>
                <w:lang w:val="en-US" w:eastAsia="zh-CN"/>
              </w:rPr>
              <w:t>台/年</w:t>
            </w:r>
          </w:p>
        </w:tc>
        <w:tc>
          <w:tcPr>
            <w:tcW w:w="3378"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rightChars="0"/>
              <w:textAlignment w:val="auto"/>
              <w:rPr>
                <w:rFonts w:hint="eastAsia" w:ascii="Microsoft YaHei UI" w:hAnsi="Microsoft YaHei UI" w:eastAsia="Microsoft YaHei UI" w:cs="宋体"/>
                <w:color w:val="auto"/>
                <w:kern w:val="2"/>
                <w:sz w:val="21"/>
                <w:szCs w:val="21"/>
                <w:highlight w:val="none"/>
                <w:lang w:val="en-US" w:eastAsia="zh-CN" w:bidi="ar-SA"/>
              </w:rPr>
            </w:pPr>
            <w:r>
              <w:rPr>
                <w:rFonts w:hint="eastAsia" w:ascii="Microsoft YaHei UI" w:hAnsi="Microsoft YaHei UI" w:eastAsia="Microsoft YaHei UI" w:cs="宋体"/>
                <w:color w:val="auto"/>
                <w:kern w:val="2"/>
                <w:sz w:val="21"/>
                <w:szCs w:val="21"/>
                <w:highlight w:val="none"/>
                <w:lang w:val="en-US" w:eastAsia="zh-CN" w:bidi="ar-SA"/>
              </w:rPr>
              <w:t>等同或相当于A.O.史密斯BZR100-A2118、</w:t>
            </w:r>
            <w:r>
              <w:rPr>
                <w:rFonts w:hint="default" w:ascii="Microsoft YaHei UI" w:hAnsi="Microsoft YaHei UI" w:eastAsia="Microsoft YaHei UI" w:cs="宋体"/>
                <w:color w:val="auto"/>
                <w:kern w:val="2"/>
                <w:sz w:val="21"/>
                <w:szCs w:val="21"/>
                <w:highlight w:val="none"/>
                <w:lang w:val="en-US" w:eastAsia="zh-CN" w:bidi="ar-SA"/>
              </w:rPr>
              <w:t>本源STR-500K2Z</w:t>
            </w:r>
            <w:r>
              <w:rPr>
                <w:rFonts w:hint="eastAsia" w:ascii="Microsoft YaHei UI" w:hAnsi="Microsoft YaHei UI" w:eastAsia="Microsoft YaHei UI" w:cs="宋体"/>
                <w:color w:val="auto"/>
                <w:kern w:val="2"/>
                <w:sz w:val="21"/>
                <w:szCs w:val="21"/>
                <w:highlight w:val="none"/>
                <w:lang w:val="en-US" w:eastAsia="zh-CN" w:bidi="ar-SA"/>
              </w:rPr>
              <w:t>、方太CZN200-B1</w:t>
            </w:r>
          </w:p>
        </w:tc>
        <w:tc>
          <w:tcPr>
            <w:tcW w:w="1525" w:type="dxa"/>
            <w:vMerge w:val="continue"/>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left"/>
              <w:textAlignment w:val="auto"/>
              <w:rPr>
                <w:rFonts w:hint="eastAsia" w:ascii="Microsoft YaHei UI" w:hAnsi="Microsoft YaHei UI" w:eastAsia="Microsoft YaHei UI" w:cs="宋体"/>
                <w:sz w:val="21"/>
                <w:szCs w:val="21"/>
                <w:highlight w:val="none"/>
                <w:lang w:val="en-US" w:eastAsia="zh-CN" w:bidi="ar-SA"/>
              </w:rPr>
            </w:pPr>
          </w:p>
        </w:tc>
        <w:tc>
          <w:tcPr>
            <w:tcW w:w="1600" w:type="dxa"/>
            <w:vMerge w:val="continue"/>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left"/>
              <w:textAlignment w:val="auto"/>
              <w:rPr>
                <w:rFonts w:hint="eastAsia" w:ascii="Microsoft YaHei UI" w:hAnsi="Microsoft YaHei UI" w:eastAsia="Microsoft YaHei UI" w:cs="宋体"/>
                <w:sz w:val="21"/>
                <w:szCs w:val="21"/>
                <w:highlight w:val="none"/>
                <w:lang w:val="en-US" w:eastAsia="zh-CN" w:bidi="ar-SA"/>
              </w:rPr>
            </w:pPr>
          </w:p>
        </w:tc>
      </w:tr>
    </w:tbl>
    <w:p>
      <w:pPr>
        <w:pStyle w:val="2"/>
        <w:spacing w:line="257" w:lineRule="auto"/>
        <w:ind w:right="115" w:rightChars="55" w:firstLine="199" w:firstLineChars="95"/>
        <w:rPr>
          <w:rFonts w:hint="default"/>
          <w:lang w:val="en-US" w:eastAsia="zh-CN"/>
        </w:rPr>
      </w:pPr>
      <w:r>
        <w:rPr>
          <w:rFonts w:hint="eastAsia"/>
          <w:highlight w:val="none"/>
          <w:lang w:val="en-US" w:eastAsia="zh-CN"/>
        </w:rPr>
        <w:t>3</w:t>
      </w:r>
      <w:r>
        <w:rPr>
          <w:rFonts w:hint="eastAsia"/>
          <w:highlight w:val="none"/>
          <w:lang w:eastAsia="zh-CN"/>
        </w:rPr>
        <w:t>、服务期限：</w:t>
      </w:r>
      <w:r>
        <w:rPr>
          <w:rFonts w:hint="eastAsia"/>
          <w:highlight w:val="none"/>
          <w:lang w:val="en-US" w:eastAsia="zh-CN"/>
        </w:rPr>
        <w:t>自合同签订之日起3年内有效，在合同执行阶段采用“1+1+1”的方式，即合同届满1年，若甲乙双方对合同条款及合同价格均无异议，自动顺延一年，最多顺延2年。协议期满后，如有未执行完毕的订单，该订单应履行完毕。</w:t>
      </w:r>
    </w:p>
    <w:p>
      <w:pPr>
        <w:pStyle w:val="4"/>
      </w:pPr>
      <w:bookmarkStart w:id="4" w:name="_Toc13248929"/>
      <w:bookmarkStart w:id="5" w:name="_Toc13249326"/>
      <w:r>
        <w:t>三、执行标准</w:t>
      </w:r>
      <w:r>
        <w:rPr>
          <w:rFonts w:hint="eastAsia"/>
        </w:rPr>
        <w:t>/规范</w:t>
      </w:r>
    </w:p>
    <w:p>
      <w:pPr>
        <w:pStyle w:val="2"/>
        <w:spacing w:line="257" w:lineRule="auto"/>
        <w:ind w:left="220" w:right="122" w:firstLine="420"/>
        <w:rPr>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食品安全国家</w:t>
      </w:r>
      <w:r>
        <w:rPr>
          <w:rFonts w:hint="eastAsia" w:ascii="微软雅黑" w:hAnsi="微软雅黑" w:eastAsia="微软雅黑"/>
          <w:lang w:eastAsia="zh-CN"/>
        </w:rPr>
        <w:t>标准</w:t>
      </w:r>
      <w:r>
        <w:rPr>
          <w:rFonts w:hint="eastAsia" w:ascii="微软雅黑" w:hAnsi="微软雅黑" w:eastAsia="微软雅黑"/>
          <w:lang w:val="en-US" w:eastAsia="zh-CN"/>
        </w:rPr>
        <w:t>-包装饮用水</w:t>
      </w:r>
      <w:r>
        <w:rPr>
          <w:rFonts w:hint="eastAsia" w:ascii="微软雅黑" w:hAnsi="微软雅黑" w:eastAsia="微软雅黑"/>
          <w:lang w:eastAsia="zh-CN"/>
        </w:rPr>
        <w:t>》GB19298-2014；</w:t>
      </w:r>
    </w:p>
    <w:p>
      <w:pPr>
        <w:pStyle w:val="2"/>
        <w:spacing w:line="257" w:lineRule="auto"/>
        <w:ind w:left="220" w:right="122" w:firstLine="420"/>
        <w:rPr>
          <w:rFonts w:hint="default" w:ascii="微软雅黑" w:hAnsi="微软雅黑" w:eastAsia="微软雅黑"/>
          <w:lang w:val="en-US" w:eastAsia="zh-CN"/>
        </w:rPr>
      </w:pPr>
      <w:r>
        <w:rPr>
          <w:rFonts w:hint="eastAsia" w:ascii="微软雅黑" w:hAnsi="微软雅黑" w:eastAsia="微软雅黑"/>
          <w:lang w:val="en-US" w:eastAsia="zh-CN"/>
        </w:rPr>
        <w:t>★</w:t>
      </w:r>
      <w:r>
        <w:rPr>
          <w:rFonts w:hint="eastAsia" w:ascii="微软雅黑" w:hAnsi="微软雅黑" w:eastAsia="微软雅黑"/>
          <w:lang w:eastAsia="zh-CN"/>
        </w:rPr>
        <w:t>设备出水水质</w:t>
      </w:r>
      <w:r>
        <w:rPr>
          <w:rFonts w:hint="eastAsia" w:ascii="微软雅黑" w:hAnsi="微软雅黑" w:eastAsia="微软雅黑"/>
          <w:lang w:val="en-US" w:eastAsia="zh-CN"/>
        </w:rPr>
        <w:t>需符合饮用纯净水的</w:t>
      </w:r>
      <w:r>
        <w:rPr>
          <w:rFonts w:hint="eastAsia"/>
          <w:lang w:eastAsia="zh-CN"/>
        </w:rPr>
        <w:t>感官要求。</w:t>
      </w:r>
    </w:p>
    <w:p>
      <w:pPr>
        <w:jc w:val="center"/>
        <w:rPr>
          <w:rFonts w:hint="eastAsia"/>
          <w:lang w:eastAsia="zh-CN"/>
        </w:rPr>
      </w:pPr>
      <w:r>
        <w:rPr>
          <w:rFonts w:hint="eastAsia"/>
          <w:lang w:eastAsia="zh-CN"/>
        </w:rPr>
        <w:t>表１ 感官要求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项 目</w:t>
            </w:r>
          </w:p>
        </w:tc>
        <w:tc>
          <w:tcPr>
            <w:tcW w:w="5682"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饮用纯净水</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其他饮用水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色度／度  ≤</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5</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浑浊度／ＮＴＵ ≤</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1</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状态</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无正常视力可见 外来异物</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允许有极少量的矿物质沉淀，无正常视力 可见外来异物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滋味、气味</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无异味、无异嗅</w:t>
            </w:r>
          </w:p>
        </w:tc>
        <w:tc>
          <w:tcPr>
            <w:tcW w:w="28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Microsoft YaHei UI" w:hAnsi="Microsoft YaHei UI" w:eastAsia="Microsoft YaHei UI" w:cs="宋体"/>
                <w:sz w:val="21"/>
                <w:szCs w:val="21"/>
                <w:highlight w:val="none"/>
                <w:lang w:val="en-US" w:eastAsia="zh-CN" w:bidi="ar-SA"/>
              </w:rPr>
            </w:pPr>
            <w:r>
              <w:rPr>
                <w:rFonts w:hint="eastAsia" w:ascii="Microsoft YaHei UI" w:hAnsi="Microsoft YaHei UI" w:eastAsia="Microsoft YaHei UI" w:cs="宋体"/>
                <w:sz w:val="21"/>
                <w:szCs w:val="21"/>
                <w:highlight w:val="none"/>
                <w:lang w:val="en-US" w:eastAsia="zh-CN" w:bidi="ar-SA"/>
              </w:rPr>
              <w:t>无异味、无异嗅</w:t>
            </w:r>
          </w:p>
        </w:tc>
      </w:tr>
    </w:tbl>
    <w:p>
      <w:pPr>
        <w:rPr>
          <w:rFonts w:hint="eastAsia"/>
          <w:lang w:eastAsia="zh-CN"/>
        </w:rPr>
      </w:pPr>
    </w:p>
    <w:p>
      <w:pPr>
        <w:rPr>
          <w:lang w:eastAsia="zh-CN"/>
        </w:rPr>
      </w:pPr>
    </w:p>
    <w:p>
      <w:pPr>
        <w:pStyle w:val="4"/>
      </w:pPr>
      <w:r>
        <w:rPr>
          <w:rFonts w:hint="eastAsia"/>
        </w:rPr>
        <w:t>四、服务要求</w:t>
      </w:r>
    </w:p>
    <w:p>
      <w:pPr>
        <w:pStyle w:val="2"/>
        <w:spacing w:line="257" w:lineRule="auto"/>
        <w:ind w:right="115" w:rightChars="55" w:firstLine="210" w:firstLineChars="100"/>
        <w:rPr>
          <w:rFonts w:hint="eastAsia" w:ascii="微软雅黑" w:hAnsi="微软雅黑" w:eastAsia="微软雅黑"/>
          <w:lang w:eastAsia="zh-CN"/>
        </w:rPr>
      </w:pPr>
      <w:r>
        <w:rPr>
          <w:rFonts w:hint="eastAsia"/>
          <w:lang w:val="en-US" w:eastAsia="zh-CN"/>
        </w:rPr>
        <w:t>1</w:t>
      </w:r>
      <w:r>
        <w:rPr>
          <w:rFonts w:hint="eastAsia"/>
          <w:lang w:eastAsia="zh-CN"/>
        </w:rPr>
        <w:t>、</w:t>
      </w:r>
      <w:r>
        <w:rPr>
          <w:lang w:eastAsia="zh-CN"/>
        </w:rPr>
        <w:t>服务具体要求</w:t>
      </w:r>
      <w:r>
        <w:rPr>
          <w:rFonts w:hint="eastAsia"/>
          <w:lang w:eastAsia="zh-CN"/>
        </w:rPr>
        <w:t>：乙方提供设备给甲方使用，乙方提供</w:t>
      </w:r>
      <w:r>
        <w:rPr>
          <w:rFonts w:hint="eastAsia" w:ascii="微软雅黑" w:hAnsi="微软雅黑" w:eastAsia="微软雅黑"/>
          <w:lang w:eastAsia="zh-CN"/>
        </w:rPr>
        <w:t>租赁期内直饮水机产品的安装、滤芯耗材更换及维修保养等服务，</w:t>
      </w:r>
      <w:r>
        <w:rPr>
          <w:rFonts w:hint="eastAsia" w:ascii="微软雅黑" w:hAnsi="微软雅黑" w:eastAsia="微软雅黑"/>
          <w:lang w:val="en-US" w:eastAsia="zh-CN"/>
        </w:rPr>
        <w:t>乙方每季度提供第三方水质检测报告，</w:t>
      </w:r>
      <w:r>
        <w:rPr>
          <w:rFonts w:hint="eastAsia" w:ascii="微软雅黑" w:hAnsi="微软雅黑" w:eastAsia="微软雅黑"/>
          <w:lang w:eastAsia="zh-CN"/>
        </w:rPr>
        <w:t>费用均含在当年度服务费内。</w:t>
      </w:r>
    </w:p>
    <w:p>
      <w:pPr>
        <w:pStyle w:val="2"/>
        <w:spacing w:line="257" w:lineRule="auto"/>
        <w:ind w:right="115" w:rightChars="55" w:firstLine="220" w:firstLineChars="100"/>
        <w:rPr>
          <w:rFonts w:hint="eastAsia" w:ascii="微软雅黑" w:hAnsi="微软雅黑" w:eastAsia="微软雅黑"/>
          <w:lang w:val="en-US" w:eastAsia="zh-CN"/>
        </w:rPr>
      </w:pPr>
      <w:r>
        <w:rPr>
          <w:rFonts w:hint="eastAsia" w:ascii="微软雅黑" w:hAnsi="微软雅黑" w:eastAsia="微软雅黑"/>
          <w:sz w:val="22"/>
          <w:szCs w:val="22"/>
          <w:lang w:val="en-US" w:eastAsia="zh-CN"/>
        </w:rPr>
        <w:t>★</w:t>
      </w:r>
      <w:r>
        <w:rPr>
          <w:rFonts w:hint="eastAsia" w:ascii="微软雅黑" w:hAnsi="微软雅黑" w:eastAsia="微软雅黑"/>
          <w:lang w:val="en-US" w:eastAsia="zh-CN"/>
        </w:rPr>
        <w:t>2、水质检测要求：</w:t>
      </w:r>
      <w:r>
        <w:rPr>
          <w:rFonts w:hint="eastAsia" w:ascii="微软雅黑" w:hAnsi="微软雅黑" w:eastAsia="微软雅黑"/>
          <w:b/>
          <w:bCs/>
          <w:lang w:val="en-US" w:eastAsia="zh-CN"/>
        </w:rPr>
        <w:t>乙方应给每个租赁饮水机的公司每年度提供一份由第三方检测机构出具的引用水水质检测报告。</w:t>
      </w:r>
    </w:p>
    <w:p>
      <w:pPr>
        <w:pStyle w:val="2"/>
        <w:spacing w:line="257" w:lineRule="auto"/>
        <w:ind w:right="115" w:rightChars="55" w:firstLine="210" w:firstLineChars="100"/>
        <w:rPr>
          <w:rFonts w:hint="default" w:ascii="微软雅黑" w:hAnsi="微软雅黑" w:eastAsia="微软雅黑"/>
          <w:lang w:val="en-US" w:eastAsia="zh-CN"/>
        </w:rPr>
      </w:pPr>
      <w:r>
        <w:rPr>
          <w:rFonts w:hint="eastAsia" w:ascii="微软雅黑" w:hAnsi="微软雅黑" w:eastAsia="微软雅黑"/>
          <w:lang w:val="en-US" w:eastAsia="zh-CN"/>
        </w:rPr>
        <w:t>3、取样要求：由乙方负责在甲方租赁的饮水机上进行随机取样，且不少于2组样本。</w:t>
      </w:r>
    </w:p>
    <w:p>
      <w:pPr>
        <w:pStyle w:val="2"/>
        <w:spacing w:line="257" w:lineRule="auto"/>
        <w:ind w:right="115" w:rightChars="55" w:firstLine="199" w:firstLineChars="95"/>
        <w:rPr>
          <w:lang w:eastAsia="zh-CN"/>
        </w:rPr>
      </w:pPr>
      <w:r>
        <w:rPr>
          <w:rFonts w:hint="eastAsia"/>
          <w:lang w:eastAsia="zh-CN"/>
        </w:rPr>
        <w:t>4、</w:t>
      </w:r>
      <w:r>
        <w:rPr>
          <w:lang w:eastAsia="zh-CN"/>
        </w:rPr>
        <w:t>工作界面要求</w:t>
      </w:r>
      <w:r>
        <w:rPr>
          <w:rFonts w:hint="eastAsia"/>
          <w:lang w:eastAsia="zh-CN"/>
        </w:rPr>
        <w:t>：甲方协助解决装机位置的水源、电源（需可靠接地）及排水。</w:t>
      </w:r>
    </w:p>
    <w:p>
      <w:pPr>
        <w:pStyle w:val="2"/>
        <w:spacing w:line="257" w:lineRule="auto"/>
        <w:ind w:right="115" w:rightChars="55" w:firstLine="199" w:firstLineChars="95"/>
        <w:rPr>
          <w:lang w:eastAsia="zh-CN"/>
        </w:rPr>
      </w:pPr>
      <w:r>
        <w:rPr>
          <w:rFonts w:hint="eastAsia"/>
          <w:lang w:eastAsia="zh-CN"/>
        </w:rPr>
        <w:t>5、</w:t>
      </w:r>
      <w:r>
        <w:rPr>
          <w:lang w:eastAsia="zh-CN"/>
        </w:rPr>
        <w:t>保密要求</w:t>
      </w:r>
      <w:r>
        <w:rPr>
          <w:rFonts w:hint="eastAsia"/>
          <w:lang w:eastAsia="zh-CN"/>
        </w:rPr>
        <w:t>：</w:t>
      </w:r>
      <w:r>
        <w:rPr>
          <w:rFonts w:hint="eastAsia"/>
          <w:lang w:val="en-US" w:eastAsia="zh-CN"/>
        </w:rPr>
        <w:t>无。</w:t>
      </w:r>
    </w:p>
    <w:p>
      <w:pPr>
        <w:pStyle w:val="2"/>
        <w:spacing w:line="257" w:lineRule="auto"/>
        <w:ind w:right="115" w:rightChars="55" w:firstLine="199" w:firstLineChars="95"/>
        <w:rPr>
          <w:rFonts w:hint="eastAsia"/>
          <w:lang w:eastAsia="zh-CN"/>
        </w:rPr>
      </w:pPr>
      <w:r>
        <w:rPr>
          <w:rFonts w:hint="eastAsia"/>
          <w:lang w:eastAsia="zh-CN"/>
        </w:rPr>
        <w:t>6、培训要求：</w:t>
      </w:r>
      <w:r>
        <w:rPr>
          <w:rFonts w:hint="eastAsia"/>
          <w:lang w:val="en-US" w:eastAsia="zh-CN"/>
        </w:rPr>
        <w:t>安装完成后，</w:t>
      </w:r>
      <w:r>
        <w:rPr>
          <w:rFonts w:hint="eastAsia"/>
          <w:lang w:eastAsia="zh-CN"/>
        </w:rPr>
        <w:t>产品的使用说明张贴于每台机器附近醒目处，对设备管理人</w:t>
      </w:r>
      <w:r>
        <w:rPr>
          <w:rFonts w:hint="eastAsia"/>
          <w:lang w:val="en-US" w:eastAsia="zh-CN"/>
        </w:rPr>
        <w:t>员</w:t>
      </w:r>
      <w:r>
        <w:rPr>
          <w:rFonts w:hint="eastAsia"/>
          <w:lang w:eastAsia="zh-CN"/>
        </w:rPr>
        <w:t>进行日常使用操作培训。</w:t>
      </w:r>
    </w:p>
    <w:p>
      <w:pPr>
        <w:ind w:firstLine="240" w:firstLineChars="100"/>
        <w:rPr>
          <w:rFonts w:hint="default" w:ascii="Microsoft YaHei UI" w:hAnsi="Microsoft YaHei UI" w:eastAsia="Microsoft YaHei UI" w:cs="宋体"/>
          <w:sz w:val="21"/>
          <w:szCs w:val="21"/>
          <w:lang w:val="en-US" w:eastAsia="zh-CN" w:bidi="ar-SA"/>
        </w:rPr>
      </w:pPr>
      <w:r>
        <w:rPr>
          <w:rFonts w:hint="eastAsia" w:ascii="Microsoft YaHei UI" w:hAnsi="Microsoft YaHei UI" w:eastAsia="Microsoft YaHei UI" w:cs="宋体"/>
          <w:sz w:val="24"/>
          <w:szCs w:val="24"/>
          <w:lang w:val="en-US" w:eastAsia="zh-CN" w:bidi="ar-SA"/>
        </w:rPr>
        <w:t>★</w:t>
      </w:r>
      <w:r>
        <w:rPr>
          <w:rFonts w:hint="eastAsia" w:ascii="Microsoft YaHei UI" w:hAnsi="Microsoft YaHei UI" w:eastAsia="Microsoft YaHei UI" w:cs="宋体"/>
          <w:sz w:val="21"/>
          <w:szCs w:val="21"/>
          <w:lang w:val="en-US" w:eastAsia="zh-CN" w:bidi="ar-SA"/>
        </w:rPr>
        <w:t>7、投标文件需明确提供产品的品牌、型号、技术参数，以及3C认证证明、有效的卫生许可批件。</w:t>
      </w:r>
    </w:p>
    <w:p>
      <w:pPr>
        <w:pStyle w:val="4"/>
        <w:rPr>
          <w:rFonts w:ascii="微软雅黑" w:hAnsi="微软雅黑" w:eastAsia="微软雅黑"/>
          <w:bCs/>
        </w:rPr>
      </w:pPr>
      <w:r>
        <w:rPr>
          <w:rFonts w:hint="eastAsia"/>
        </w:rPr>
        <w:t>五、</w:t>
      </w:r>
      <w:r>
        <w:rPr>
          <w:rFonts w:hint="eastAsia" w:ascii="微软雅黑" w:hAnsi="微软雅黑" w:eastAsia="微软雅黑"/>
          <w:bCs/>
        </w:rPr>
        <w:t>配备资源</w:t>
      </w:r>
      <w:r>
        <w:rPr>
          <w:rFonts w:ascii="微软雅黑" w:hAnsi="微软雅黑" w:eastAsia="微软雅黑"/>
          <w:bCs/>
        </w:rPr>
        <w:t>要求</w:t>
      </w:r>
    </w:p>
    <w:p>
      <w:pPr>
        <w:pStyle w:val="2"/>
        <w:spacing w:line="257" w:lineRule="auto"/>
        <w:ind w:right="115" w:rightChars="55" w:firstLine="283" w:firstLineChars="135"/>
        <w:rPr>
          <w:lang w:eastAsia="zh-CN"/>
        </w:rPr>
      </w:pPr>
      <w:r>
        <w:rPr>
          <w:rFonts w:hint="eastAsia"/>
          <w:lang w:val="en-US" w:eastAsia="zh-CN"/>
        </w:rPr>
        <w:t>★</w:t>
      </w:r>
      <w:r>
        <w:rPr>
          <w:rFonts w:hint="eastAsia"/>
          <w:lang w:eastAsia="zh-CN"/>
        </w:rPr>
        <w:t>1、机具要求：</w:t>
      </w:r>
      <w:r>
        <w:rPr>
          <w:rFonts w:hint="eastAsia"/>
          <w:lang w:val="en-US" w:eastAsia="zh-CN"/>
        </w:rPr>
        <w:t>自合同签订之日起，乙方应提供全新的饮水机设备供甲方使用。</w:t>
      </w:r>
    </w:p>
    <w:p>
      <w:pPr>
        <w:pStyle w:val="2"/>
        <w:spacing w:line="257" w:lineRule="auto"/>
        <w:ind w:right="115" w:rightChars="55" w:firstLine="283" w:firstLineChars="135"/>
        <w:rPr>
          <w:lang w:eastAsia="zh-CN"/>
        </w:rPr>
      </w:pPr>
      <w:r>
        <w:rPr>
          <w:rFonts w:hint="eastAsia"/>
          <w:lang w:eastAsia="zh-CN"/>
        </w:rPr>
        <w:t>2、</w:t>
      </w:r>
      <w:r>
        <w:rPr>
          <w:lang w:eastAsia="zh-CN"/>
        </w:rPr>
        <w:t xml:space="preserve"> </w:t>
      </w:r>
      <w:r>
        <w:rPr>
          <w:rFonts w:hint="eastAsia"/>
          <w:lang w:eastAsia="zh-CN"/>
        </w:rPr>
        <w:t>材料要求：</w:t>
      </w:r>
      <w:r>
        <w:rPr>
          <w:rFonts w:hint="eastAsia"/>
          <w:lang w:val="en-US" w:eastAsia="zh-CN"/>
        </w:rPr>
        <w:t>安装辅材由乙方负责</w:t>
      </w:r>
      <w:r>
        <w:rPr>
          <w:rFonts w:hint="eastAsia"/>
          <w:lang w:eastAsia="zh-CN"/>
        </w:rPr>
        <w:t>；</w:t>
      </w:r>
    </w:p>
    <w:p>
      <w:pPr>
        <w:pStyle w:val="2"/>
        <w:spacing w:line="257" w:lineRule="auto"/>
        <w:ind w:right="115" w:rightChars="55" w:firstLine="283" w:firstLineChars="135"/>
        <w:rPr>
          <w:lang w:eastAsia="zh-CN"/>
        </w:rPr>
      </w:pPr>
      <w:r>
        <w:rPr>
          <w:rFonts w:hint="eastAsia"/>
          <w:lang w:eastAsia="zh-CN"/>
        </w:rPr>
        <w:t>3、</w:t>
      </w:r>
      <w:r>
        <w:rPr>
          <w:lang w:eastAsia="zh-CN"/>
        </w:rPr>
        <w:t xml:space="preserve"> </w:t>
      </w:r>
      <w:r>
        <w:rPr>
          <w:rFonts w:hint="eastAsia"/>
          <w:lang w:eastAsia="zh-CN"/>
        </w:rPr>
        <w:t>人员要求：装机人员由厂家官方售后委派专业售后人员上门安装；</w:t>
      </w:r>
    </w:p>
    <w:p>
      <w:pPr>
        <w:pStyle w:val="2"/>
        <w:spacing w:line="257" w:lineRule="auto"/>
        <w:ind w:right="115" w:rightChars="55" w:firstLine="283" w:firstLineChars="135"/>
        <w:rPr>
          <w:lang w:eastAsia="zh-CN"/>
        </w:rPr>
      </w:pPr>
      <w:r>
        <w:rPr>
          <w:rFonts w:hint="eastAsia"/>
          <w:lang w:eastAsia="zh-CN"/>
        </w:rPr>
        <w:t>4、</w:t>
      </w:r>
      <w:r>
        <w:rPr>
          <w:rFonts w:hint="eastAsia"/>
          <w:lang w:val="en-US" w:eastAsia="zh-CN"/>
        </w:rPr>
        <w:t xml:space="preserve"> </w:t>
      </w:r>
      <w:r>
        <w:rPr>
          <w:rFonts w:hint="eastAsia"/>
          <w:lang w:eastAsia="zh-CN"/>
        </w:rPr>
        <w:t>场地要求：装机位水电排水配套到位。</w:t>
      </w:r>
    </w:p>
    <w:p>
      <w:pPr>
        <w:pStyle w:val="12"/>
        <w:ind w:left="0"/>
        <w:outlineLvl w:val="0"/>
        <w:rPr>
          <w:rFonts w:ascii="微软雅黑" w:hAnsi="微软雅黑" w:eastAsia="微软雅黑"/>
          <w:bCs/>
          <w:sz w:val="32"/>
          <w:szCs w:val="32"/>
        </w:rPr>
      </w:pPr>
      <w:r>
        <w:rPr>
          <w:rFonts w:hint="eastAsia" w:ascii="微软雅黑" w:hAnsi="微软雅黑" w:eastAsia="微软雅黑"/>
          <w:bCs/>
          <w:sz w:val="32"/>
          <w:szCs w:val="32"/>
        </w:rPr>
        <w:t>六、服务进度跟踪</w:t>
      </w:r>
    </w:p>
    <w:p>
      <w:pPr>
        <w:pStyle w:val="2"/>
        <w:spacing w:line="257" w:lineRule="auto"/>
        <w:ind w:right="115" w:rightChars="55" w:firstLine="210" w:firstLineChars="100"/>
        <w:rPr>
          <w:lang w:eastAsia="zh-CN"/>
        </w:rPr>
      </w:pPr>
      <w:r>
        <w:rPr>
          <w:rFonts w:hint="eastAsia"/>
          <w:lang w:eastAsia="zh-CN"/>
        </w:rPr>
        <w:t>1、</w:t>
      </w:r>
      <w:r>
        <w:rPr>
          <w:rFonts w:hint="eastAsia"/>
          <w:lang w:val="en-US" w:eastAsia="zh-CN"/>
        </w:rPr>
        <w:t>在租赁期开始前1</w:t>
      </w:r>
      <w:r>
        <w:rPr>
          <w:rFonts w:hint="eastAsia"/>
          <w:lang w:eastAsia="zh-CN"/>
        </w:rPr>
        <w:t>天内完成</w:t>
      </w:r>
      <w:r>
        <w:rPr>
          <w:rFonts w:hint="eastAsia"/>
          <w:lang w:val="en-US" w:eastAsia="zh-CN"/>
        </w:rPr>
        <w:t>设备</w:t>
      </w:r>
      <w:r>
        <w:rPr>
          <w:rFonts w:hint="eastAsia"/>
          <w:lang w:eastAsia="zh-CN"/>
        </w:rPr>
        <w:t>安装</w:t>
      </w:r>
      <w:r>
        <w:rPr>
          <w:rFonts w:hint="eastAsia"/>
          <w:lang w:val="en-US" w:eastAsia="zh-CN"/>
        </w:rPr>
        <w:t>调试</w:t>
      </w:r>
      <w:r>
        <w:rPr>
          <w:rFonts w:hint="eastAsia"/>
          <w:lang w:eastAsia="zh-CN"/>
        </w:rPr>
        <w:t>；</w:t>
      </w:r>
    </w:p>
    <w:p>
      <w:pPr>
        <w:pStyle w:val="2"/>
        <w:spacing w:line="257" w:lineRule="auto"/>
        <w:ind w:right="115" w:rightChars="55" w:firstLine="210" w:firstLineChars="100"/>
        <w:rPr>
          <w:lang w:eastAsia="zh-CN"/>
        </w:rPr>
      </w:pPr>
      <w:r>
        <w:rPr>
          <w:rFonts w:hint="eastAsia"/>
          <w:lang w:eastAsia="zh-CN"/>
        </w:rPr>
        <w:t>2、服务时效要求：售后维修需求后响应：紧急故障6小时内上门；非主城区范围24小响应；常规检修及保养24小时内上门，超过48小时未修复，甲方将免费提供备用机供乙方使用，超过72小时未修复且未能提供备用机，甲方可免费给乙方提供换机服务。因不可抗力致甲方响应延迟的，响应时间顺延至不可抗力情形消失时止。</w:t>
      </w:r>
    </w:p>
    <w:p>
      <w:pPr>
        <w:pStyle w:val="12"/>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4"/>
        <w:spacing w:line="240" w:lineRule="auto"/>
        <w:ind w:firstLine="210" w:firstLineChars="100"/>
        <w:jc w:val="both"/>
        <w:rPr>
          <w:rFonts w:ascii="微软雅黑" w:hAnsi="微软雅黑" w:eastAsia="微软雅黑" w:cs="微软雅黑"/>
          <w:spacing w:val="0"/>
          <w:sz w:val="21"/>
          <w:szCs w:val="21"/>
        </w:rPr>
      </w:pPr>
      <w:r>
        <w:rPr>
          <w:rFonts w:ascii="微软雅黑" w:hAnsi="微软雅黑" w:eastAsia="微软雅黑" w:cs="微软雅黑"/>
          <w:spacing w:val="0"/>
          <w:sz w:val="21"/>
          <w:szCs w:val="21"/>
        </w:rPr>
        <w:t>1</w:t>
      </w:r>
      <w:r>
        <w:rPr>
          <w:rFonts w:hint="eastAsia" w:ascii="微软雅黑" w:hAnsi="微软雅黑" w:eastAsia="微软雅黑" w:cs="微软雅黑"/>
          <w:spacing w:val="0"/>
          <w:sz w:val="21"/>
          <w:szCs w:val="21"/>
        </w:rPr>
        <w:t>、</w:t>
      </w:r>
      <w:r>
        <w:rPr>
          <w:rFonts w:hint="eastAsia" w:ascii="微软雅黑" w:hAnsi="微软雅黑" w:eastAsia="微软雅黑" w:cs="微软雅黑"/>
          <w:spacing w:val="0"/>
          <w:sz w:val="21"/>
          <w:szCs w:val="21"/>
          <w:lang w:eastAsia="zh-CN"/>
        </w:rPr>
        <w:t>乙方</w:t>
      </w:r>
      <w:r>
        <w:rPr>
          <w:rFonts w:hint="eastAsia" w:ascii="微软雅黑" w:hAnsi="微软雅黑" w:eastAsia="微软雅黑" w:cs="微软雅黑"/>
          <w:spacing w:val="0"/>
          <w:sz w:val="21"/>
          <w:szCs w:val="21"/>
        </w:rPr>
        <w:t>将租赁设备安装调试完成后移交承诺方，次日开始计算租赁期</w:t>
      </w:r>
    </w:p>
    <w:p>
      <w:pPr>
        <w:pStyle w:val="2"/>
        <w:spacing w:line="257" w:lineRule="auto"/>
        <w:ind w:right="115" w:rightChars="55" w:firstLineChars="0"/>
        <w:rPr>
          <w:lang w:eastAsia="zh-CN"/>
        </w:rPr>
      </w:pPr>
      <w:r>
        <w:rPr>
          <w:rFonts w:hint="eastAsia"/>
          <w:lang w:eastAsia="zh-CN"/>
        </w:rPr>
        <w:t>2、验收标准：</w:t>
      </w:r>
    </w:p>
    <w:p>
      <w:pPr>
        <w:pStyle w:val="4"/>
        <w:numPr>
          <w:ilvl w:val="0"/>
          <w:numId w:val="2"/>
        </w:numPr>
        <w:spacing w:line="240" w:lineRule="auto"/>
        <w:jc w:val="both"/>
        <w:rPr>
          <w:rFonts w:ascii="微软雅黑" w:hAnsi="微软雅黑" w:eastAsia="微软雅黑" w:cs="微软雅黑"/>
          <w:sz w:val="21"/>
          <w:szCs w:val="21"/>
        </w:rPr>
      </w:pPr>
      <w:r>
        <w:rPr>
          <w:rFonts w:hint="eastAsia" w:ascii="微软雅黑" w:hAnsi="微软雅黑" w:eastAsia="微软雅黑" w:cs="微软雅黑"/>
          <w:sz w:val="21"/>
          <w:szCs w:val="21"/>
        </w:rPr>
        <w:t>服务标准：租赁期内除人为破坏以外的设备故障均在免费保修范围内</w:t>
      </w:r>
    </w:p>
    <w:p>
      <w:pPr>
        <w:pStyle w:val="4"/>
        <w:numPr>
          <w:ilvl w:val="0"/>
          <w:numId w:val="2"/>
        </w:numPr>
        <w:spacing w:line="240" w:lineRule="auto"/>
        <w:jc w:val="both"/>
        <w:rPr>
          <w:rFonts w:ascii="微软雅黑" w:hAnsi="微软雅黑" w:eastAsia="微软雅黑" w:cs="微软雅黑"/>
          <w:sz w:val="21"/>
          <w:szCs w:val="21"/>
        </w:rPr>
      </w:pPr>
      <w:r>
        <w:rPr>
          <w:rFonts w:hint="eastAsia" w:ascii="微软雅黑" w:hAnsi="微软雅黑" w:eastAsia="微软雅黑" w:cs="微软雅黑"/>
          <w:sz w:val="21"/>
          <w:szCs w:val="21"/>
        </w:rPr>
        <w:t>验收标准：直饮机可正常工作，所有按键均可正常取水，出水水质T</w:t>
      </w:r>
      <w:r>
        <w:rPr>
          <w:rFonts w:ascii="微软雅黑" w:hAnsi="微软雅黑" w:eastAsia="微软雅黑" w:cs="微软雅黑"/>
          <w:sz w:val="21"/>
          <w:szCs w:val="21"/>
        </w:rPr>
        <w:t>DS</w:t>
      </w:r>
      <w:r>
        <w:rPr>
          <w:rFonts w:hint="eastAsia" w:ascii="微软雅黑" w:hAnsi="微软雅黑" w:eastAsia="微软雅黑" w:cs="微软雅黑"/>
          <w:sz w:val="21"/>
          <w:szCs w:val="21"/>
        </w:rPr>
        <w:t>值≤</w:t>
      </w:r>
      <w:r>
        <w:rPr>
          <w:rFonts w:ascii="微软雅黑" w:hAnsi="微软雅黑" w:eastAsia="微软雅黑" w:cs="微软雅黑"/>
          <w:sz w:val="21"/>
          <w:szCs w:val="21"/>
        </w:rPr>
        <w:t>20</w:t>
      </w:r>
    </w:p>
    <w:p>
      <w:pPr>
        <w:pStyle w:val="4"/>
        <w:numPr>
          <w:ilvl w:val="0"/>
          <w:numId w:val="2"/>
        </w:numPr>
        <w:spacing w:line="240" w:lineRule="auto"/>
        <w:jc w:val="both"/>
        <w:rPr>
          <w:rFonts w:ascii="微软雅黑" w:hAnsi="微软雅黑" w:eastAsia="微软雅黑" w:cs="微软雅黑"/>
          <w:sz w:val="21"/>
          <w:szCs w:val="21"/>
        </w:rPr>
      </w:pPr>
      <w:r>
        <w:rPr>
          <w:rFonts w:hint="eastAsia" w:ascii="微软雅黑" w:hAnsi="微软雅黑" w:eastAsia="微软雅黑" w:cs="微软雅黑"/>
          <w:spacing w:val="0"/>
          <w:sz w:val="21"/>
          <w:szCs w:val="21"/>
        </w:rPr>
        <w:t>完工资料：出厂合格证书、设备卫生安全性检验报告、操作使用说明、验收确认单。</w:t>
      </w:r>
    </w:p>
    <w:p>
      <w:pPr>
        <w:pStyle w:val="12"/>
        <w:ind w:left="0"/>
        <w:outlineLvl w:val="0"/>
        <w:rPr>
          <w:rFonts w:ascii="微软雅黑" w:hAnsi="微软雅黑" w:eastAsia="微软雅黑"/>
          <w:bCs/>
          <w:sz w:val="32"/>
          <w:szCs w:val="32"/>
        </w:rPr>
      </w:pPr>
      <w:r>
        <w:rPr>
          <w:rFonts w:hint="eastAsia" w:ascii="微软雅黑" w:hAnsi="微软雅黑" w:eastAsia="微软雅黑"/>
          <w:bCs/>
          <w:sz w:val="32"/>
          <w:szCs w:val="32"/>
        </w:rPr>
        <w:t>八、质量保证</w:t>
      </w:r>
    </w:p>
    <w:p>
      <w:pPr>
        <w:pStyle w:val="4"/>
        <w:numPr>
          <w:ilvl w:val="0"/>
          <w:numId w:val="0"/>
        </w:numPr>
        <w:spacing w:line="240" w:lineRule="auto"/>
        <w:ind w:left="142" w:leftChars="0"/>
        <w:jc w:val="both"/>
        <w:rPr>
          <w:rFonts w:ascii="微软雅黑" w:hAnsi="微软雅黑" w:eastAsia="微软雅黑"/>
          <w:szCs w:val="15"/>
        </w:rPr>
      </w:pP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质保期时间、质保金要求：租赁期，无质保金。</w:t>
      </w:r>
    </w:p>
    <w:p>
      <w:pPr>
        <w:pStyle w:val="55"/>
        <w:spacing w:before="120" w:after="120"/>
        <w:ind w:left="142"/>
        <w:outlineLvl w:val="0"/>
        <w:rPr>
          <w:rFonts w:ascii="微软雅黑" w:hAnsi="微软雅黑" w:eastAsia="微软雅黑"/>
          <w:sz w:val="21"/>
          <w:szCs w:val="21"/>
        </w:rPr>
      </w:pPr>
      <w:r>
        <w:rPr>
          <w:rFonts w:hint="eastAsia" w:ascii="微软雅黑" w:hAnsi="微软雅黑" w:eastAsia="微软雅黑"/>
          <w:sz w:val="21"/>
          <w:szCs w:val="21"/>
          <w:lang w:val="en-US" w:eastAsia="zh-CN"/>
        </w:rPr>
        <w:t>★2</w:t>
      </w:r>
      <w:r>
        <w:rPr>
          <w:rFonts w:hint="eastAsia" w:ascii="微软雅黑" w:hAnsi="微软雅黑" w:eastAsia="微软雅黑"/>
          <w:sz w:val="21"/>
          <w:szCs w:val="21"/>
        </w:rPr>
        <w:t>、</w:t>
      </w:r>
      <w:r>
        <w:rPr>
          <w:rFonts w:hint="eastAsia" w:ascii="微软雅黑" w:hAnsi="微软雅黑" w:eastAsia="微软雅黑"/>
          <w:sz w:val="21"/>
          <w:szCs w:val="21"/>
          <w:lang w:val="en-US" w:eastAsia="zh-CN"/>
        </w:rPr>
        <w:t>其他</w:t>
      </w:r>
      <w:r>
        <w:rPr>
          <w:rFonts w:hint="eastAsia" w:ascii="微软雅黑" w:hAnsi="微软雅黑" w:eastAsia="微软雅黑"/>
          <w:sz w:val="21"/>
          <w:szCs w:val="21"/>
        </w:rPr>
        <w:t>要求：</w:t>
      </w:r>
      <w:r>
        <w:rPr>
          <w:rFonts w:hint="eastAsia" w:ascii="微软雅黑" w:hAnsi="微软雅黑" w:eastAsia="微软雅黑"/>
          <w:sz w:val="21"/>
          <w:szCs w:val="21"/>
          <w:lang w:eastAsia="zh-CN"/>
        </w:rPr>
        <w:t>乙方</w:t>
      </w:r>
      <w:r>
        <w:rPr>
          <w:rFonts w:hint="eastAsia" w:ascii="微软雅黑" w:hAnsi="微软雅黑" w:eastAsia="微软雅黑"/>
          <w:sz w:val="21"/>
          <w:szCs w:val="21"/>
        </w:rPr>
        <w:t>商用净水租赁产品全套滤芯</w:t>
      </w:r>
      <w:r>
        <w:rPr>
          <w:rFonts w:hint="eastAsia" w:ascii="微软雅黑" w:hAnsi="微软雅黑" w:eastAsia="微软雅黑"/>
          <w:sz w:val="21"/>
          <w:szCs w:val="21"/>
          <w:lang w:val="en-US" w:eastAsia="zh-CN"/>
        </w:rPr>
        <w:t>应</w:t>
      </w:r>
      <w:r>
        <w:rPr>
          <w:rFonts w:hint="eastAsia" w:ascii="微软雅黑" w:hAnsi="微软雅黑" w:eastAsia="微软雅黑"/>
          <w:sz w:val="21"/>
          <w:szCs w:val="21"/>
        </w:rPr>
        <w:t>每年更换1次。</w:t>
      </w:r>
    </w:p>
    <w:p>
      <w:pPr>
        <w:pStyle w:val="55"/>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九、其他要求</w:t>
      </w:r>
    </w:p>
    <w:p>
      <w:pPr>
        <w:pStyle w:val="2"/>
        <w:spacing w:line="257" w:lineRule="auto"/>
        <w:ind w:right="115" w:rightChars="55" w:firstLine="199" w:firstLineChars="95"/>
        <w:rPr>
          <w:lang w:eastAsia="zh-CN"/>
        </w:rPr>
      </w:pPr>
      <w:r>
        <w:rPr>
          <w:rFonts w:hint="eastAsia"/>
          <w:lang w:eastAsia="zh-CN"/>
        </w:rPr>
        <w:t>1、</w:t>
      </w:r>
      <w:r>
        <w:rPr>
          <w:lang w:eastAsia="zh-CN"/>
        </w:rPr>
        <w:t>技术联系人</w:t>
      </w:r>
      <w:r>
        <w:rPr>
          <w:rFonts w:hint="eastAsia"/>
          <w:lang w:eastAsia="zh-CN"/>
        </w:rPr>
        <w:t xml:space="preserve">：于广豪 </w:t>
      </w:r>
      <w:r>
        <w:rPr>
          <w:lang w:eastAsia="zh-CN"/>
        </w:rPr>
        <w:t xml:space="preserve"> 0519-83295920</w:t>
      </w:r>
    </w:p>
    <w:bookmarkEnd w:id="4"/>
    <w:bookmarkEnd w:id="5"/>
    <w:p>
      <w:pPr>
        <w:pStyle w:val="2"/>
        <w:spacing w:line="257" w:lineRule="auto"/>
        <w:ind w:right="115" w:rightChars="55" w:firstLine="199" w:firstLineChars="95"/>
        <w:rPr>
          <w:rFonts w:hint="default"/>
          <w:lang w:val="en-US" w:eastAsia="zh-CN"/>
        </w:rPr>
      </w:pPr>
      <w:r>
        <w:rPr>
          <w:rFonts w:hint="eastAsia"/>
          <w:lang w:eastAsia="zh-CN"/>
        </w:rPr>
        <w:t>2、</w:t>
      </w:r>
      <w:r>
        <w:rPr>
          <w:lang w:eastAsia="zh-CN"/>
        </w:rPr>
        <w:t>付款方式</w:t>
      </w:r>
      <w:r>
        <w:rPr>
          <w:rFonts w:hint="eastAsia"/>
          <w:lang w:eastAsia="zh-CN"/>
        </w:rPr>
        <w:t>：</w:t>
      </w:r>
      <w:r>
        <w:rPr>
          <w:rFonts w:hint="eastAsia" w:ascii="微软雅黑" w:hAnsi="微软雅黑" w:eastAsia="微软雅黑"/>
          <w:lang w:eastAsia="zh-CN"/>
        </w:rPr>
        <w:t>银行电汇</w:t>
      </w:r>
      <w:r>
        <w:rPr>
          <w:rFonts w:hint="eastAsia" w:ascii="微软雅黑" w:hAnsi="微软雅黑" w:eastAsia="微软雅黑"/>
          <w:lang w:val="en-US" w:eastAsia="zh-CN"/>
        </w:rPr>
        <w:t>或承兑汇票</w:t>
      </w:r>
    </w:p>
    <w:p>
      <w:pPr>
        <w:pStyle w:val="2"/>
        <w:spacing w:line="257" w:lineRule="auto"/>
        <w:ind w:right="115" w:rightChars="55" w:firstLine="199" w:firstLineChars="95"/>
        <w:rPr>
          <w:lang w:eastAsia="zh-CN"/>
        </w:rPr>
      </w:pPr>
      <w:r>
        <w:rPr>
          <w:rFonts w:hint="eastAsia"/>
          <w:lang w:eastAsia="zh-CN"/>
        </w:rPr>
        <w:t>3、付款周期要求：</w:t>
      </w:r>
      <w:r>
        <w:rPr>
          <w:rFonts w:hint="eastAsia"/>
          <w:lang w:val="en-US" w:eastAsia="zh-CN"/>
        </w:rPr>
        <w:t>乙方完成本合同项下《服务委托书》的具体工作，提交工作成果，且经甲方验收合格后，乙方向甲方执行方提供有效增值税专用发票及相关支持文件，甲方在收到有效增值税专用发票及相关文件支持并审核无误后45日，甲方按结算价格向乙方支付本次服务费用。</w:t>
      </w:r>
    </w:p>
    <w:p>
      <w:pPr>
        <w:pStyle w:val="2"/>
        <w:spacing w:line="257" w:lineRule="auto"/>
        <w:ind w:right="115" w:rightChars="55" w:firstLine="199" w:firstLineChars="95"/>
        <w:rPr>
          <w:rFonts w:hint="eastAsia"/>
          <w:lang w:val="en-US" w:eastAsia="zh-CN"/>
        </w:rPr>
      </w:pPr>
      <w:r>
        <w:rPr>
          <w:rFonts w:hint="eastAsia"/>
          <w:lang w:eastAsia="zh-CN"/>
        </w:rPr>
        <w:t>4、</w:t>
      </w:r>
      <w:r>
        <w:rPr>
          <w:lang w:eastAsia="zh-CN"/>
        </w:rPr>
        <w:t>结算方式</w:t>
      </w:r>
      <w:r>
        <w:rPr>
          <w:rFonts w:hint="eastAsia"/>
          <w:lang w:eastAsia="zh-CN"/>
        </w:rPr>
        <w:t>：</w:t>
      </w:r>
      <w:r>
        <w:rPr>
          <w:rFonts w:hint="eastAsia"/>
          <w:lang w:val="en-US" w:eastAsia="zh-CN"/>
        </w:rPr>
        <w:t>每年支付一次设备租金</w:t>
      </w:r>
      <w:r>
        <w:rPr>
          <w:rFonts w:hint="eastAsia"/>
          <w:lang w:eastAsia="zh-CN"/>
        </w:rPr>
        <w:t>。</w:t>
      </w:r>
      <w:r>
        <w:rPr>
          <w:rFonts w:hint="eastAsia"/>
          <w:lang w:val="en-US" w:eastAsia="zh-CN"/>
        </w:rPr>
        <w:t>如设备租赁时间不足一年的，按不含税年度租金/365天*实际租赁天数+相应税金进行计算。</w:t>
      </w:r>
    </w:p>
    <w:p>
      <w:pPr>
        <w:pStyle w:val="2"/>
        <w:spacing w:line="257" w:lineRule="auto"/>
        <w:ind w:right="115" w:rightChars="55" w:firstLine="199" w:firstLineChars="95"/>
        <w:rPr>
          <w:rFonts w:hint="default"/>
          <w:lang w:val="en-US" w:eastAsia="zh-CN"/>
        </w:rPr>
      </w:pPr>
      <w:r>
        <w:rPr>
          <w:rFonts w:hint="eastAsia" w:cs="宋体"/>
          <w:lang w:val="en-US" w:eastAsia="zh-CN"/>
        </w:rPr>
        <w:t>5、不属于岗位外包转业务外包。</w:t>
      </w:r>
    </w:p>
    <w:bookmarkEnd w:id="0"/>
    <w:bookmarkEnd w:id="1"/>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40"/>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40"/>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Pr>
        <w:keepNext w:val="0"/>
        <w:keepLines w:val="0"/>
        <w:widowControl/>
        <w:suppressLineNumbers w:val="0"/>
        <w:snapToGrid w:val="0"/>
        <w:spacing w:before="0" w:beforeAutospacing="1" w:after="0" w:afterAutospacing="1" w:line="360" w:lineRule="auto"/>
        <w:ind w:left="0" w:right="0"/>
        <w:jc w:val="lef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40"/>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4.1供应商风险情形和处理标准</w:t>
      </w:r>
    </w:p>
    <w:tbl>
      <w:tblPr>
        <w:tblStyle w:val="23"/>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95"/>
        <w:gridCol w:w="5137"/>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69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137"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741" w:type="dxa"/>
            <w:shd w:val="clear" w:color="auto" w:fill="auto"/>
            <w:vAlign w:val="center"/>
          </w:tcPr>
          <w:p>
            <w:pPr>
              <w:ind w:firstLine="442" w:firstLineChars="200"/>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rFonts w:hint="default" w:eastAsia="宋体"/>
                <w:color w:val="000000"/>
                <w:sz w:val="20"/>
                <w:szCs w:val="20"/>
                <w:lang w:val="en-US" w:eastAsia="zh-CN"/>
              </w:rPr>
            </w:pPr>
            <w:r>
              <w:rPr>
                <w:rFonts w:hint="eastAsia"/>
                <w:color w:val="000000"/>
                <w:sz w:val="20"/>
                <w:szCs w:val="20"/>
                <w:lang w:bidi="ar"/>
              </w:rPr>
              <w:t>提供虚假材料（资质文件、业绩、财务状况、书面承诺等）进行供应商注册、准入或参与采购项目，造成损失的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投标文件质量差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74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137" w:type="dxa"/>
            <w:shd w:val="clear" w:color="auto" w:fill="auto"/>
            <w:vAlign w:val="center"/>
          </w:tcPr>
          <w:p>
            <w:pPr>
              <w:textAlignment w:val="center"/>
              <w:rPr>
                <w:color w:val="000000"/>
                <w:sz w:val="20"/>
                <w:szCs w:val="20"/>
              </w:rPr>
            </w:pPr>
            <w:r>
              <w:rPr>
                <w:rStyle w:val="56"/>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6"/>
                <w:rFonts w:hint="default"/>
                <w:lang w:bidi="ar"/>
              </w:rPr>
              <w:t>破坏招投标秩序等情形的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拒不签订合同</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恶意投诉、举报的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擅自变更、不按照合同规定履行或者擅自终止合同的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擅自降低标的功能标准或改变功能结构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假冒其他厂家品牌，提供伪劣商品、以假乱真弄虚作假的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出现供给不足（即“短斤少两”行为）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所提供的产品存在严重质量问题，影响安全生产或对工程建设造成实质性影响的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提供虚假进度报告</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在允许分包项目中，违反分包承诺进行分包的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违反规定擅自把中标项目或合同转让、转包、分包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未经同意拖延交工、交货日期，延缓执行合同的期限</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未造成严重影响且愿意协商解决或承担赔偿责任的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拒绝履行售后义务</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拒不配合</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行贿</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未经许可，对外披露中国海油商业秘密信息的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对供应商给予“禁用三年”处；情节严重的，长期禁用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供应商在提报中国海油员工、员工亲属、离职退休的领导人员在本单位的任职和持股情况时</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经营状况异常</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违反国家政策、法律法规，存在不与农民工签订合同，或存在拖欠农民工工资问题的。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违反国家政策、法律法规，对破坏生态环境，对环境造成污染的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违反劳动法等法规，引起员工仲裁并对中国海油造成不良影响的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对存在其它不当行为可能给中国海油带来风险的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其它违反国家法律法规及集团公司规章制度的行为，包括国家、审计、纪检监察、巡视等函件反映问题等</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7"/>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9"/>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不</w:t>
      </w:r>
      <w:r>
        <w:rPr>
          <w:rFonts w:hint="eastAsia" w:ascii="宋体" w:hAnsi="宋体" w:eastAsiaTheme="minorEastAsia" w:cstheme="minorBidi"/>
          <w:color w:val="000000"/>
          <w:kern w:val="2"/>
          <w:sz w:val="21"/>
          <w:szCs w:val="22"/>
          <w:highlight w:val="none"/>
          <w:lang w:val="en-US" w:eastAsia="zh-CN" w:bidi="ar-SA"/>
        </w:rPr>
        <w:t>涉及）</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——不涉及</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r>
        <w:rPr>
          <w:rFonts w:hint="eastAsia" w:ascii="宋体" w:hAnsi="宋体" w:cstheme="minorBidi"/>
          <w:b w:val="0"/>
          <w:bCs w:val="0"/>
          <w:color w:val="000000"/>
          <w:sz w:val="21"/>
          <w:szCs w:val="22"/>
          <w:highlight w:val="none"/>
          <w:lang w:eastAsia="zh-CN"/>
        </w:rPr>
        <w:t>（</w:t>
      </w:r>
      <w:r>
        <w:rPr>
          <w:rFonts w:hint="eastAsia" w:ascii="宋体" w:hAnsi="宋体" w:cstheme="minorBidi"/>
          <w:b w:val="0"/>
          <w:bCs w:val="0"/>
          <w:color w:val="000000"/>
          <w:sz w:val="21"/>
          <w:szCs w:val="22"/>
          <w:highlight w:val="none"/>
          <w:lang w:val="en-US" w:eastAsia="zh-CN"/>
        </w:rPr>
        <w:t>不涉及）</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9"/>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4"/>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4"/>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55"/>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5"/>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5"/>
        <w:adjustRightInd/>
        <w:jc w:val="center"/>
        <w:rPr>
          <w:rFonts w:hAnsi="宋体"/>
          <w:b/>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rPr>
          <w:lang w:val="en-US" w:eastAsia="zh-CN"/>
        </w:rPr>
      </w:pPr>
    </w:p>
    <w:p>
      <w:pPr>
        <w:pStyle w:val="2"/>
        <w:rPr>
          <w:lang w:val="en-US" w:eastAsia="zh-CN"/>
        </w:rPr>
      </w:pPr>
    </w:p>
    <w:p>
      <w:pPr>
        <w:rPr>
          <w:lang w:val="en-US" w:eastAsia="zh-CN"/>
        </w:rPr>
      </w:pPr>
    </w:p>
    <w:p>
      <w:pPr>
        <w:pStyle w:val="7"/>
        <w:ind w:firstLine="0" w:firstLineChars="0"/>
        <w:rPr>
          <w:lang w:val="en-US" w:eastAsia="zh-CN"/>
        </w:rPr>
      </w:pPr>
    </w:p>
    <w:p>
      <w:pPr>
        <w:outlineLvl w:val="0"/>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40"/>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40"/>
        <w:spacing w:line="360" w:lineRule="auto"/>
        <w:ind w:left="-18" w:leftChars="-67" w:hanging="123" w:hangingChars="5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常州院常州市直饮水机租赁服务专有协议</w:t>
      </w:r>
      <w:r>
        <w:rPr>
          <w:rFonts w:hint="eastAsia" w:ascii="宋体" w:hAnsi="宋体" w:eastAsia="宋体" w:cs="宋体"/>
          <w:sz w:val="21"/>
          <w:szCs w:val="21"/>
        </w:rPr>
        <w:t xml:space="preserve">   </w:t>
      </w:r>
    </w:p>
    <w:p>
      <w:pPr>
        <w:pStyle w:val="40"/>
        <w:spacing w:line="360" w:lineRule="auto"/>
        <w:ind w:left="-18" w:leftChars="-67" w:hanging="123" w:hangingChars="59"/>
        <w:rPr>
          <w:rFonts w:hint="eastAsia" w:ascii="宋体" w:hAnsi="宋体" w:eastAsia="宋体" w:cs="宋体"/>
          <w:sz w:val="21"/>
          <w:szCs w:val="21"/>
        </w:rPr>
      </w:pPr>
      <w:r>
        <w:rPr>
          <w:rFonts w:hint="eastAsia" w:ascii="宋体" w:hAnsi="宋体" w:eastAsia="宋体" w:cs="宋体"/>
          <w:sz w:val="21"/>
          <w:szCs w:val="21"/>
        </w:rPr>
        <w:t xml:space="preserve">报价单位：元；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货币单位：人民币</w:t>
      </w:r>
    </w:p>
    <w:tbl>
      <w:tblPr>
        <w:tblStyle w:val="24"/>
        <w:tblpPr w:leftFromText="180" w:rightFromText="180" w:vertAnchor="text" w:horzAnchor="page" w:tblpX="1767" w:tblpY="484"/>
        <w:tblOverlap w:val="never"/>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989"/>
        <w:gridCol w:w="1040"/>
        <w:gridCol w:w="792"/>
        <w:gridCol w:w="792"/>
        <w:gridCol w:w="792"/>
        <w:gridCol w:w="1116"/>
        <w:gridCol w:w="1050"/>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序号</w:t>
            </w:r>
          </w:p>
        </w:tc>
        <w:tc>
          <w:tcPr>
            <w:tcW w:w="989"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服务内容</w:t>
            </w:r>
          </w:p>
        </w:tc>
        <w:tc>
          <w:tcPr>
            <w:tcW w:w="1040"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单位</w:t>
            </w:r>
          </w:p>
        </w:tc>
        <w:tc>
          <w:tcPr>
            <w:tcW w:w="792" w:type="dxa"/>
            <w:vAlign w:val="center"/>
          </w:tcPr>
          <w:p>
            <w:pPr>
              <w:rPr>
                <w:rFonts w:hint="eastAsia" w:ascii="宋体" w:hAnsi="宋体" w:eastAsia="宋体"/>
                <w:b/>
                <w:sz w:val="18"/>
                <w:szCs w:val="18"/>
                <w:lang w:val="en-US" w:eastAsia="zh-CN"/>
              </w:rPr>
            </w:pPr>
            <w:r>
              <w:rPr>
                <w:rFonts w:hint="eastAsia" w:ascii="宋体" w:hAnsi="宋体" w:eastAsia="宋体"/>
                <w:b/>
                <w:sz w:val="18"/>
                <w:szCs w:val="18"/>
                <w:lang w:val="en-US" w:eastAsia="zh-CN"/>
              </w:rPr>
              <w:t>数量</w:t>
            </w:r>
          </w:p>
        </w:tc>
        <w:tc>
          <w:tcPr>
            <w:tcW w:w="792"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不含税单价（元）</w:t>
            </w:r>
          </w:p>
        </w:tc>
        <w:tc>
          <w:tcPr>
            <w:tcW w:w="792"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税率</w:t>
            </w:r>
          </w:p>
        </w:tc>
        <w:tc>
          <w:tcPr>
            <w:tcW w:w="1116"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不含税小计（元）</w:t>
            </w:r>
          </w:p>
        </w:tc>
        <w:tc>
          <w:tcPr>
            <w:tcW w:w="1050" w:type="dxa"/>
            <w:vAlign w:val="center"/>
          </w:tcPr>
          <w:p>
            <w:pPr>
              <w:ind w:firstLine="0" w:firstLineChars="0"/>
              <w:jc w:val="center"/>
              <w:rPr>
                <w:rFonts w:hint="eastAsia" w:ascii="宋体" w:hAnsi="宋体" w:eastAsia="宋体"/>
                <w:b/>
                <w:sz w:val="18"/>
                <w:szCs w:val="18"/>
                <w:lang w:val="en-US" w:eastAsia="zh-CN"/>
              </w:rPr>
            </w:pPr>
            <w:r>
              <w:rPr>
                <w:rFonts w:hint="eastAsia" w:ascii="宋体" w:hAnsi="宋体" w:eastAsia="宋体"/>
                <w:b/>
                <w:sz w:val="18"/>
                <w:szCs w:val="18"/>
              </w:rPr>
              <w:t>含税小计（元）</w:t>
            </w:r>
          </w:p>
        </w:tc>
        <w:tc>
          <w:tcPr>
            <w:tcW w:w="1341" w:type="dxa"/>
            <w:vAlign w:val="center"/>
          </w:tcPr>
          <w:p>
            <w:pPr>
              <w:jc w:val="center"/>
              <w:rPr>
                <w:rFonts w:hint="eastAsia" w:ascii="宋体" w:hAnsi="宋体" w:eastAsia="宋体"/>
                <w:b/>
                <w:sz w:val="18"/>
                <w:szCs w:val="18"/>
                <w:lang w:val="en-US" w:eastAsia="zh-CN"/>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直饮机</w:t>
            </w:r>
          </w:p>
        </w:tc>
        <w:tc>
          <w:tcPr>
            <w:tcW w:w="1040"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default"/>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元/台/年</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Microsoft YaHei UI" w:hAnsi="Microsoft YaHei UI" w:eastAsia="Microsoft YaHei UI" w:cs="宋体"/>
                <w:color w:val="auto"/>
                <w:kern w:val="2"/>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34</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13%</w:t>
            </w:r>
          </w:p>
        </w:tc>
        <w:tc>
          <w:tcPr>
            <w:tcW w:w="11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3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包含定期更换滤芯及维修保养费用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Microsoft YaHei UI" w:hAnsi="Microsoft YaHei UI" w:eastAsia="Microsoft YaHei UI" w:cs="宋体"/>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中央主机</w:t>
            </w:r>
          </w:p>
        </w:tc>
        <w:tc>
          <w:tcPr>
            <w:tcW w:w="1040" w:type="dxa"/>
            <w:vAlign w:val="center"/>
          </w:tcPr>
          <w:p>
            <w:pPr>
              <w:pStyle w:val="2"/>
              <w:keepNext w:val="0"/>
              <w:keepLines w:val="0"/>
              <w:suppressLineNumbers w:val="0"/>
              <w:snapToGrid w:val="0"/>
              <w:spacing w:before="0" w:beforeAutospacing="0" w:after="0" w:afterAutospacing="0"/>
              <w:ind w:left="0" w:right="115" w:rightChars="55" w:firstLine="0" w:firstLineChars="0"/>
              <w:jc w:val="center"/>
              <w:rPr>
                <w:rFonts w:hint="eastAsia"/>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元/台/年</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Microsoft YaHei UI" w:hAnsi="Microsoft YaHei UI" w:eastAsia="Microsoft YaHei UI" w:cs="宋体"/>
                <w:color w:val="auto"/>
                <w:kern w:val="2"/>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6</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13%</w:t>
            </w:r>
          </w:p>
        </w:tc>
        <w:tc>
          <w:tcPr>
            <w:tcW w:w="11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3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包含定期更换滤芯及维修保养费用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Microsoft YaHei UI" w:hAnsi="Microsoft YaHei UI" w:eastAsia="Microsoft YaHei UI" w:cs="宋体"/>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双温立式管线机</w:t>
            </w:r>
          </w:p>
        </w:tc>
        <w:tc>
          <w:tcPr>
            <w:tcW w:w="1040"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元/台/年</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Microsoft YaHei UI" w:hAnsi="Microsoft YaHei UI" w:eastAsia="Microsoft YaHei UI" w:cs="宋体"/>
                <w:color w:val="auto"/>
                <w:kern w:val="2"/>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30</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13%</w:t>
            </w:r>
          </w:p>
        </w:tc>
        <w:tc>
          <w:tcPr>
            <w:tcW w:w="11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3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包含定期更换滤芯及维修保养费用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highlight w:val="none"/>
                <w:lang w:val="en-US" w:eastAsia="zh-CN"/>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Microsoft YaHei UI" w:hAnsi="Microsoft YaHei UI" w:eastAsia="Microsoft YaHei UI" w:cs="宋体"/>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饮水平台</w:t>
            </w:r>
          </w:p>
        </w:tc>
        <w:tc>
          <w:tcPr>
            <w:tcW w:w="1040"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115" w:rightChars="55" w:firstLine="0" w:firstLineChars="0"/>
              <w:jc w:val="center"/>
              <w:textAlignment w:val="auto"/>
              <w:rPr>
                <w:rFonts w:hint="eastAsia"/>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元/台/年</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Microsoft YaHei UI" w:hAnsi="Microsoft YaHei UI" w:eastAsia="Microsoft YaHei UI" w:cs="宋体"/>
                <w:color w:val="auto"/>
                <w:kern w:val="2"/>
                <w:sz w:val="21"/>
                <w:szCs w:val="21"/>
                <w:highlight w:val="none"/>
                <w:lang w:val="en-US" w:eastAsia="zh-CN" w:bidi="ar-SA"/>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3</w:t>
            </w: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79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13%</w:t>
            </w:r>
          </w:p>
        </w:tc>
        <w:tc>
          <w:tcPr>
            <w:tcW w:w="11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3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包含定期更换滤芯及维修保养费用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118"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合计</w:t>
            </w:r>
          </w:p>
        </w:tc>
        <w:tc>
          <w:tcPr>
            <w:tcW w:w="111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p>
        </w:tc>
        <w:tc>
          <w:tcPr>
            <w:tcW w:w="13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625" w:type="dxa"/>
            <w:gridSpan w:val="9"/>
            <w:vAlign w:val="top"/>
          </w:tcPr>
          <w:p>
            <w:pPr>
              <w:widowControl/>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625" w:type="dxa"/>
            <w:gridSpan w:val="9"/>
            <w:vAlign w:val="top"/>
          </w:tcPr>
          <w:p>
            <w:pPr>
              <w:widowControl/>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元整</w:t>
            </w:r>
          </w:p>
        </w:tc>
      </w:tr>
    </w:tbl>
    <w:p>
      <w:pPr>
        <w:pStyle w:val="4"/>
        <w:rPr>
          <w:rFonts w:hint="eastAsia"/>
        </w:rPr>
      </w:pP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hint="eastAsia" w:asciiTheme="minorEastAsia" w:hAnsiTheme="minorEastAsia"/>
          <w:color w:val="000000" w:themeColor="text1"/>
          <w:sz w:val="21"/>
          <w:szCs w:val="21"/>
          <w:highlight w:val="none"/>
          <w14:textFill>
            <w14:solidFill>
              <w14:schemeClr w14:val="tx1"/>
            </w14:solidFill>
          </w14:textFill>
        </w:rPr>
        <w:t>自合同签订之日起3年内有效，在合同执行阶段采用“1+1+1”的方式，即合同届满1年，若买卖双方对合同条款及合同价格均无异议，自动顺延一年，最多顺延2年。协议期满后，如有未执行完毕的订单，该订单应履行完毕</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40"/>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3、付款条款：银行电汇</w:t>
      </w:r>
    </w:p>
    <w:p>
      <w:pPr>
        <w:pStyle w:val="40"/>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乙方完成本合同项下《服务委托书》的具体工作，提交工作成果，且经甲方验收合格后，乙方向甲方执行方提供有效增值税专用发票及相关支持文件，甲方在收到有效增值税专用发票及相关文件支持并审核无误后45日，甲方按结算价格向乙方支付本次服务费用（2）如设备租赁时间不足一年的，按不含税年度租金/365天*实际租赁天数+相应税金进行计算。(3)如付款到期日为非银行工作日，则付款到期日顺延至下一个银行工作日。</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0"/>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以上报价包括：备品备件费、现场勘察费、报告编制费、交通住宿费、管理费、服务费、税费、利润、税金/其它等完成检测评估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响应）</w:t>
      </w:r>
    </w:p>
    <w:p>
      <w:pPr>
        <w:pStyle w:val="40"/>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4、开具发票种类：增值税专用发票/增值税普通发票/其它。（请应答人如实填写具体发票种类）</w:t>
      </w:r>
    </w:p>
    <w:p>
      <w:pPr>
        <w:pStyle w:val="40"/>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5、其它。应答人如有其它说明请补充。报价单位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0"/>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40"/>
        <w:spacing w:line="360" w:lineRule="auto"/>
        <w:ind w:right="560" w:firstLine="4830" w:firstLineChars="2300"/>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8324A0E"/>
    <w:multiLevelType w:val="singleLevel"/>
    <w:tmpl w:val="18324A0E"/>
    <w:lvl w:ilvl="0" w:tentative="0">
      <w:start w:val="1"/>
      <w:numFmt w:val="decimal"/>
      <w:suff w:val="nothing"/>
      <w:lvlText w:val="%1、"/>
      <w:lvlJc w:val="left"/>
    </w:lvl>
  </w:abstractNum>
  <w:abstractNum w:abstractNumId="2">
    <w:nsid w:val="40B6C9A8"/>
    <w:multiLevelType w:val="singleLevel"/>
    <w:tmpl w:val="40B6C9A8"/>
    <w:lvl w:ilvl="0" w:tentative="0">
      <w:start w:val="1"/>
      <w:numFmt w:val="decimal"/>
      <w:suff w:val="nothing"/>
      <w:lvlText w:val="%1、"/>
      <w:lvlJc w:val="left"/>
    </w:lvl>
  </w:abstractNum>
  <w:abstractNum w:abstractNumId="3">
    <w:nsid w:val="55A31A03"/>
    <w:multiLevelType w:val="singleLevel"/>
    <w:tmpl w:val="55A31A03"/>
    <w:lvl w:ilvl="0" w:tentative="0">
      <w:start w:val="1"/>
      <w:numFmt w:val="upperLetter"/>
      <w:pStyle w:val="3"/>
      <w:lvlText w:val="%1."/>
      <w:lvlJc w:val="left"/>
      <w:pPr>
        <w:tabs>
          <w:tab w:val="left" w:pos="425"/>
        </w:tabs>
        <w:ind w:left="425" w:hanging="425"/>
      </w:pPr>
    </w:lvl>
  </w:abstractNum>
  <w:abstractNum w:abstractNumId="4">
    <w:nsid w:val="61694D6C"/>
    <w:multiLevelType w:val="singleLevel"/>
    <w:tmpl w:val="61694D6C"/>
    <w:lvl w:ilvl="0" w:tentative="0">
      <w:start w:val="1"/>
      <w:numFmt w:val="decimal"/>
      <w:suff w:val="nothing"/>
      <w:lvlText w:val="%1、"/>
      <w:lvlJc w:val="left"/>
    </w:lvl>
  </w:abstractNum>
  <w:abstractNum w:abstractNumId="5">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45595"/>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4D72B2"/>
    <w:rsid w:val="036B136E"/>
    <w:rsid w:val="03827F75"/>
    <w:rsid w:val="03A64228"/>
    <w:rsid w:val="03C549C8"/>
    <w:rsid w:val="040C6E91"/>
    <w:rsid w:val="0442138C"/>
    <w:rsid w:val="04DB0285"/>
    <w:rsid w:val="04EE495B"/>
    <w:rsid w:val="05800AA3"/>
    <w:rsid w:val="059B46A8"/>
    <w:rsid w:val="064D75C2"/>
    <w:rsid w:val="06A00E6B"/>
    <w:rsid w:val="06A478F6"/>
    <w:rsid w:val="06C41C49"/>
    <w:rsid w:val="073A2498"/>
    <w:rsid w:val="07794418"/>
    <w:rsid w:val="087F37FD"/>
    <w:rsid w:val="0890531E"/>
    <w:rsid w:val="08A40D88"/>
    <w:rsid w:val="08D65666"/>
    <w:rsid w:val="095A50FC"/>
    <w:rsid w:val="095B7DEA"/>
    <w:rsid w:val="098E03C7"/>
    <w:rsid w:val="09B7349E"/>
    <w:rsid w:val="09F2269B"/>
    <w:rsid w:val="0A6F0775"/>
    <w:rsid w:val="0A9671D9"/>
    <w:rsid w:val="0AEB188B"/>
    <w:rsid w:val="0B29724A"/>
    <w:rsid w:val="0B4266BB"/>
    <w:rsid w:val="0B531E35"/>
    <w:rsid w:val="0BAC01B4"/>
    <w:rsid w:val="0BFD0F44"/>
    <w:rsid w:val="0C2B5CCC"/>
    <w:rsid w:val="0C3A03CD"/>
    <w:rsid w:val="0C434FF4"/>
    <w:rsid w:val="0CAB2C38"/>
    <w:rsid w:val="0CBD2ABF"/>
    <w:rsid w:val="0CEE32B2"/>
    <w:rsid w:val="0D007BE0"/>
    <w:rsid w:val="0D026C09"/>
    <w:rsid w:val="0D2F3ECE"/>
    <w:rsid w:val="0D36577E"/>
    <w:rsid w:val="0D631F4E"/>
    <w:rsid w:val="0DF513F2"/>
    <w:rsid w:val="0E230C39"/>
    <w:rsid w:val="0EA20611"/>
    <w:rsid w:val="0EA44750"/>
    <w:rsid w:val="0EB219BC"/>
    <w:rsid w:val="0EEE3453"/>
    <w:rsid w:val="0F287FD7"/>
    <w:rsid w:val="0F2D3164"/>
    <w:rsid w:val="0FAA4E26"/>
    <w:rsid w:val="0FD329CD"/>
    <w:rsid w:val="0FE442C8"/>
    <w:rsid w:val="0FF05B46"/>
    <w:rsid w:val="104E637E"/>
    <w:rsid w:val="10C739AA"/>
    <w:rsid w:val="10DC2046"/>
    <w:rsid w:val="116358B9"/>
    <w:rsid w:val="11A3156D"/>
    <w:rsid w:val="11C80560"/>
    <w:rsid w:val="11D51CD2"/>
    <w:rsid w:val="12404210"/>
    <w:rsid w:val="12CD4474"/>
    <w:rsid w:val="12D573EB"/>
    <w:rsid w:val="12DE0F4D"/>
    <w:rsid w:val="12F13DE0"/>
    <w:rsid w:val="136F1811"/>
    <w:rsid w:val="13991974"/>
    <w:rsid w:val="13A574D6"/>
    <w:rsid w:val="13AB3552"/>
    <w:rsid w:val="13EB3669"/>
    <w:rsid w:val="13F2239A"/>
    <w:rsid w:val="148A193E"/>
    <w:rsid w:val="14962BF2"/>
    <w:rsid w:val="14A14DD6"/>
    <w:rsid w:val="15112F23"/>
    <w:rsid w:val="154D4828"/>
    <w:rsid w:val="15560646"/>
    <w:rsid w:val="15F97AE2"/>
    <w:rsid w:val="160D2A82"/>
    <w:rsid w:val="1658087C"/>
    <w:rsid w:val="16EF7E34"/>
    <w:rsid w:val="170B0129"/>
    <w:rsid w:val="17270097"/>
    <w:rsid w:val="1839700F"/>
    <w:rsid w:val="18656D03"/>
    <w:rsid w:val="1940737B"/>
    <w:rsid w:val="1956360F"/>
    <w:rsid w:val="19820A7A"/>
    <w:rsid w:val="19BE1AAB"/>
    <w:rsid w:val="1A182DF0"/>
    <w:rsid w:val="1A406F1E"/>
    <w:rsid w:val="1AF347C3"/>
    <w:rsid w:val="1B5929C7"/>
    <w:rsid w:val="1BF931D7"/>
    <w:rsid w:val="1C4F5EF0"/>
    <w:rsid w:val="1CC02D2D"/>
    <w:rsid w:val="1D04715F"/>
    <w:rsid w:val="1D2F5DEB"/>
    <w:rsid w:val="1D506145"/>
    <w:rsid w:val="1DD763E7"/>
    <w:rsid w:val="1DFB16B0"/>
    <w:rsid w:val="1E7A4FD0"/>
    <w:rsid w:val="1E8349E3"/>
    <w:rsid w:val="1E846C1E"/>
    <w:rsid w:val="1ED61050"/>
    <w:rsid w:val="1F0C773E"/>
    <w:rsid w:val="1F1B2614"/>
    <w:rsid w:val="1F510B7E"/>
    <w:rsid w:val="1F6751CA"/>
    <w:rsid w:val="1F731332"/>
    <w:rsid w:val="1FD12F44"/>
    <w:rsid w:val="1FE03C26"/>
    <w:rsid w:val="20B34A6E"/>
    <w:rsid w:val="20DA7F0E"/>
    <w:rsid w:val="210015CD"/>
    <w:rsid w:val="21374CB3"/>
    <w:rsid w:val="21B454D9"/>
    <w:rsid w:val="2258523D"/>
    <w:rsid w:val="225B170D"/>
    <w:rsid w:val="227C146B"/>
    <w:rsid w:val="22B7139F"/>
    <w:rsid w:val="2363459D"/>
    <w:rsid w:val="23792D2F"/>
    <w:rsid w:val="23931D0A"/>
    <w:rsid w:val="23C7232D"/>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47273B"/>
    <w:rsid w:val="28622C30"/>
    <w:rsid w:val="28912EC0"/>
    <w:rsid w:val="289E4653"/>
    <w:rsid w:val="289F0B48"/>
    <w:rsid w:val="28CE7583"/>
    <w:rsid w:val="290D4A28"/>
    <w:rsid w:val="29452A44"/>
    <w:rsid w:val="295E1CE3"/>
    <w:rsid w:val="29782A3D"/>
    <w:rsid w:val="2984346A"/>
    <w:rsid w:val="299B3D6C"/>
    <w:rsid w:val="299B568F"/>
    <w:rsid w:val="29DB7569"/>
    <w:rsid w:val="2A332146"/>
    <w:rsid w:val="2A9F5694"/>
    <w:rsid w:val="2AC12F48"/>
    <w:rsid w:val="2B4625A1"/>
    <w:rsid w:val="2BBF67B8"/>
    <w:rsid w:val="2C060D91"/>
    <w:rsid w:val="2C192C99"/>
    <w:rsid w:val="2C1F0E07"/>
    <w:rsid w:val="2CCE3855"/>
    <w:rsid w:val="2CD163E1"/>
    <w:rsid w:val="2CD62941"/>
    <w:rsid w:val="2D311594"/>
    <w:rsid w:val="2D762283"/>
    <w:rsid w:val="2D7B14B9"/>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5D28CA"/>
    <w:rsid w:val="348D0637"/>
    <w:rsid w:val="353067F3"/>
    <w:rsid w:val="3562512F"/>
    <w:rsid w:val="35C7006A"/>
    <w:rsid w:val="363A6264"/>
    <w:rsid w:val="368A3B58"/>
    <w:rsid w:val="36A838BA"/>
    <w:rsid w:val="36BF0C66"/>
    <w:rsid w:val="36C831AB"/>
    <w:rsid w:val="36E8546D"/>
    <w:rsid w:val="370021CB"/>
    <w:rsid w:val="37405D48"/>
    <w:rsid w:val="374F0011"/>
    <w:rsid w:val="378F791B"/>
    <w:rsid w:val="379D6FCC"/>
    <w:rsid w:val="37F66AB8"/>
    <w:rsid w:val="380F27E4"/>
    <w:rsid w:val="381C4EB2"/>
    <w:rsid w:val="382973F6"/>
    <w:rsid w:val="38453E1F"/>
    <w:rsid w:val="38807B07"/>
    <w:rsid w:val="38D30218"/>
    <w:rsid w:val="38D3488A"/>
    <w:rsid w:val="38F92540"/>
    <w:rsid w:val="390A6C0F"/>
    <w:rsid w:val="39504729"/>
    <w:rsid w:val="39761180"/>
    <w:rsid w:val="39936654"/>
    <w:rsid w:val="39BF1693"/>
    <w:rsid w:val="3A1F750A"/>
    <w:rsid w:val="3A4F4169"/>
    <w:rsid w:val="3A5C7E1C"/>
    <w:rsid w:val="3AAE035C"/>
    <w:rsid w:val="3AB45DE6"/>
    <w:rsid w:val="3AE40F3E"/>
    <w:rsid w:val="3AF64EF8"/>
    <w:rsid w:val="3B394512"/>
    <w:rsid w:val="3B3E70E9"/>
    <w:rsid w:val="3B720CEE"/>
    <w:rsid w:val="3B9D199D"/>
    <w:rsid w:val="3BBC6ED2"/>
    <w:rsid w:val="3BF350C6"/>
    <w:rsid w:val="3BFA1DF4"/>
    <w:rsid w:val="3C6B58D1"/>
    <w:rsid w:val="3C83314E"/>
    <w:rsid w:val="3C905633"/>
    <w:rsid w:val="3C9925FF"/>
    <w:rsid w:val="3C9C1A33"/>
    <w:rsid w:val="3CB74AC6"/>
    <w:rsid w:val="3CBB24EF"/>
    <w:rsid w:val="3CE26DBB"/>
    <w:rsid w:val="3D2D5518"/>
    <w:rsid w:val="3D891903"/>
    <w:rsid w:val="3E183EA4"/>
    <w:rsid w:val="3E4037CC"/>
    <w:rsid w:val="3E615322"/>
    <w:rsid w:val="3E772188"/>
    <w:rsid w:val="3EE111F7"/>
    <w:rsid w:val="3EF30CA8"/>
    <w:rsid w:val="3F1E0693"/>
    <w:rsid w:val="3F476FDD"/>
    <w:rsid w:val="3F9A4869"/>
    <w:rsid w:val="3FB1448E"/>
    <w:rsid w:val="3FBC4A1D"/>
    <w:rsid w:val="3FDD5D2F"/>
    <w:rsid w:val="3FFD696A"/>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5605698"/>
    <w:rsid w:val="46052955"/>
    <w:rsid w:val="466E6504"/>
    <w:rsid w:val="468D3188"/>
    <w:rsid w:val="47721B46"/>
    <w:rsid w:val="484D79E5"/>
    <w:rsid w:val="485E2C37"/>
    <w:rsid w:val="48B90C6B"/>
    <w:rsid w:val="4916306B"/>
    <w:rsid w:val="497372FE"/>
    <w:rsid w:val="498B21B5"/>
    <w:rsid w:val="498B726A"/>
    <w:rsid w:val="49B63741"/>
    <w:rsid w:val="49C02B87"/>
    <w:rsid w:val="4A3B3017"/>
    <w:rsid w:val="4AB61CA3"/>
    <w:rsid w:val="4B937786"/>
    <w:rsid w:val="4BA45DBB"/>
    <w:rsid w:val="4BAE4AF4"/>
    <w:rsid w:val="4BBC7D11"/>
    <w:rsid w:val="4C5770B6"/>
    <w:rsid w:val="4C5A1839"/>
    <w:rsid w:val="4C7572CD"/>
    <w:rsid w:val="4C9F74B1"/>
    <w:rsid w:val="4CED79F8"/>
    <w:rsid w:val="4D8B4D45"/>
    <w:rsid w:val="4DD059E1"/>
    <w:rsid w:val="4DED0341"/>
    <w:rsid w:val="4E0E49B4"/>
    <w:rsid w:val="4E1A19F6"/>
    <w:rsid w:val="4E294FCA"/>
    <w:rsid w:val="4E405DAF"/>
    <w:rsid w:val="4E456F05"/>
    <w:rsid w:val="4E603CD2"/>
    <w:rsid w:val="4ECC5CC5"/>
    <w:rsid w:val="4F01352B"/>
    <w:rsid w:val="4F0743CF"/>
    <w:rsid w:val="4F2547B0"/>
    <w:rsid w:val="4F385E88"/>
    <w:rsid w:val="4F9A75BC"/>
    <w:rsid w:val="4FAA3663"/>
    <w:rsid w:val="500C7739"/>
    <w:rsid w:val="50333805"/>
    <w:rsid w:val="50406C68"/>
    <w:rsid w:val="50472862"/>
    <w:rsid w:val="50656FCA"/>
    <w:rsid w:val="50D90CCF"/>
    <w:rsid w:val="512129F0"/>
    <w:rsid w:val="512E4FFA"/>
    <w:rsid w:val="51835AAE"/>
    <w:rsid w:val="51971635"/>
    <w:rsid w:val="51E444D7"/>
    <w:rsid w:val="52272A53"/>
    <w:rsid w:val="523F5246"/>
    <w:rsid w:val="52634E37"/>
    <w:rsid w:val="528F13D6"/>
    <w:rsid w:val="52907D77"/>
    <w:rsid w:val="52B171FA"/>
    <w:rsid w:val="52B86292"/>
    <w:rsid w:val="540E1365"/>
    <w:rsid w:val="54956561"/>
    <w:rsid w:val="54AA3DF7"/>
    <w:rsid w:val="54B26C85"/>
    <w:rsid w:val="54B61E08"/>
    <w:rsid w:val="54E84524"/>
    <w:rsid w:val="54F55D2D"/>
    <w:rsid w:val="54FD7A90"/>
    <w:rsid w:val="55145A31"/>
    <w:rsid w:val="553A7C2D"/>
    <w:rsid w:val="553C0438"/>
    <w:rsid w:val="556772A4"/>
    <w:rsid w:val="55A84425"/>
    <w:rsid w:val="56037B16"/>
    <w:rsid w:val="561D378D"/>
    <w:rsid w:val="56A30136"/>
    <w:rsid w:val="56B77204"/>
    <w:rsid w:val="570D617E"/>
    <w:rsid w:val="577838E9"/>
    <w:rsid w:val="577D7CF3"/>
    <w:rsid w:val="57A84D6C"/>
    <w:rsid w:val="57E47675"/>
    <w:rsid w:val="57EE4CDC"/>
    <w:rsid w:val="57F618E2"/>
    <w:rsid w:val="583D707B"/>
    <w:rsid w:val="589A7D04"/>
    <w:rsid w:val="590B020F"/>
    <w:rsid w:val="5938747F"/>
    <w:rsid w:val="59766ED3"/>
    <w:rsid w:val="59B966C3"/>
    <w:rsid w:val="5A3316DD"/>
    <w:rsid w:val="5A3819DA"/>
    <w:rsid w:val="5A5C5ECC"/>
    <w:rsid w:val="5A864044"/>
    <w:rsid w:val="5A873F8B"/>
    <w:rsid w:val="5B557DB0"/>
    <w:rsid w:val="5B5A6CFE"/>
    <w:rsid w:val="5B896B40"/>
    <w:rsid w:val="5BD55FCE"/>
    <w:rsid w:val="5BD85C58"/>
    <w:rsid w:val="5C227DB6"/>
    <w:rsid w:val="5D40278C"/>
    <w:rsid w:val="5D46011A"/>
    <w:rsid w:val="5D65502F"/>
    <w:rsid w:val="5DD06C57"/>
    <w:rsid w:val="5DFB6CB9"/>
    <w:rsid w:val="5E967CE0"/>
    <w:rsid w:val="5E9E2A34"/>
    <w:rsid w:val="5ED433B8"/>
    <w:rsid w:val="5F14140D"/>
    <w:rsid w:val="5F2259BA"/>
    <w:rsid w:val="5F8A64CA"/>
    <w:rsid w:val="5FDD0E56"/>
    <w:rsid w:val="60086C66"/>
    <w:rsid w:val="602D04D0"/>
    <w:rsid w:val="60595BE0"/>
    <w:rsid w:val="60A22497"/>
    <w:rsid w:val="60F40D61"/>
    <w:rsid w:val="611D63FB"/>
    <w:rsid w:val="6124336C"/>
    <w:rsid w:val="6152493E"/>
    <w:rsid w:val="617270AD"/>
    <w:rsid w:val="62115573"/>
    <w:rsid w:val="62414E60"/>
    <w:rsid w:val="62436A56"/>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7614862"/>
    <w:rsid w:val="679E1656"/>
    <w:rsid w:val="67B8092D"/>
    <w:rsid w:val="681C674F"/>
    <w:rsid w:val="684A069A"/>
    <w:rsid w:val="68836DC3"/>
    <w:rsid w:val="6887648C"/>
    <w:rsid w:val="68EA31C9"/>
    <w:rsid w:val="68F312A2"/>
    <w:rsid w:val="68FE71CA"/>
    <w:rsid w:val="68FF5939"/>
    <w:rsid w:val="691B4A91"/>
    <w:rsid w:val="69297877"/>
    <w:rsid w:val="692B5915"/>
    <w:rsid w:val="692C6424"/>
    <w:rsid w:val="69352903"/>
    <w:rsid w:val="69953131"/>
    <w:rsid w:val="6A0B4089"/>
    <w:rsid w:val="6AD356BF"/>
    <w:rsid w:val="6B256CE6"/>
    <w:rsid w:val="6B33205C"/>
    <w:rsid w:val="6B4865F6"/>
    <w:rsid w:val="6B9E7527"/>
    <w:rsid w:val="6BC648BD"/>
    <w:rsid w:val="6BEB1B2A"/>
    <w:rsid w:val="6C3D3FC5"/>
    <w:rsid w:val="6CE6394F"/>
    <w:rsid w:val="6D783D26"/>
    <w:rsid w:val="6DEF510F"/>
    <w:rsid w:val="6DF01F33"/>
    <w:rsid w:val="6E146C1B"/>
    <w:rsid w:val="6E6C03DB"/>
    <w:rsid w:val="6E6D59F5"/>
    <w:rsid w:val="6E9523F6"/>
    <w:rsid w:val="6F3254E8"/>
    <w:rsid w:val="6F5B4BA2"/>
    <w:rsid w:val="6F615273"/>
    <w:rsid w:val="6FA7622A"/>
    <w:rsid w:val="6FEB37AA"/>
    <w:rsid w:val="70CF7E55"/>
    <w:rsid w:val="70F328F1"/>
    <w:rsid w:val="711F0324"/>
    <w:rsid w:val="71296580"/>
    <w:rsid w:val="715E6563"/>
    <w:rsid w:val="71635BDF"/>
    <w:rsid w:val="72014395"/>
    <w:rsid w:val="724E2F94"/>
    <w:rsid w:val="725620A9"/>
    <w:rsid w:val="72CE6A57"/>
    <w:rsid w:val="730B78D2"/>
    <w:rsid w:val="735F1183"/>
    <w:rsid w:val="73BA3D76"/>
    <w:rsid w:val="73ED7C13"/>
    <w:rsid w:val="745E3FF9"/>
    <w:rsid w:val="746B0691"/>
    <w:rsid w:val="747A11FA"/>
    <w:rsid w:val="749D6BCC"/>
    <w:rsid w:val="757F09A4"/>
    <w:rsid w:val="75800474"/>
    <w:rsid w:val="7593678E"/>
    <w:rsid w:val="75B573E3"/>
    <w:rsid w:val="76525BE7"/>
    <w:rsid w:val="76BF62FB"/>
    <w:rsid w:val="76C259ED"/>
    <w:rsid w:val="76D550BD"/>
    <w:rsid w:val="77506C1B"/>
    <w:rsid w:val="77611F42"/>
    <w:rsid w:val="7875412E"/>
    <w:rsid w:val="78CE2547"/>
    <w:rsid w:val="79714827"/>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4055DB"/>
    <w:rsid w:val="7E815898"/>
    <w:rsid w:val="7F43615B"/>
    <w:rsid w:val="7F4A1012"/>
    <w:rsid w:val="7F744FDF"/>
    <w:rsid w:val="7FA55E3A"/>
    <w:rsid w:val="7FAA6609"/>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numPr>
        <w:ilvl w:val="0"/>
        <w:numId w:val="1"/>
      </w:numPr>
      <w:tabs>
        <w:tab w:val="left" w:pos="850"/>
        <w:tab w:val="clear" w:pos="425"/>
      </w:tabs>
      <w:spacing w:line="360" w:lineRule="auto"/>
      <w:ind w:left="850"/>
      <w:outlineLvl w:val="0"/>
    </w:pPr>
    <w:rPr>
      <w:sz w:val="28"/>
      <w:szCs w:val="20"/>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7"/>
    <w:qFormat/>
    <w:uiPriority w:val="1"/>
    <w:pPr>
      <w:spacing w:before="36"/>
      <w:ind w:left="780"/>
      <w:jc w:val="left"/>
    </w:pPr>
    <w:rPr>
      <w:rFonts w:ascii="宋体" w:hAnsi="宋体" w:eastAsia="宋体"/>
      <w:kern w:val="0"/>
      <w:szCs w:val="21"/>
      <w:lang w:eastAsia="en-US"/>
    </w:rPr>
  </w:style>
  <w:style w:type="paragraph" w:styleId="7">
    <w:name w:val="Normal Indent"/>
    <w:basedOn w:val="1"/>
    <w:next w:val="8"/>
    <w:qFormat/>
    <w:uiPriority w:val="0"/>
    <w:pPr>
      <w:ind w:firstLine="420" w:firstLineChars="200"/>
    </w:pPr>
    <w:rPr>
      <w:rFonts w:ascii="Times New Roman" w:hAnsi="Times New Roman"/>
      <w:szCs w:val="24"/>
    </w:rPr>
  </w:style>
  <w:style w:type="paragraph" w:styleId="8">
    <w:name w:val="toc 2"/>
    <w:basedOn w:val="1"/>
    <w:next w:val="1"/>
    <w:semiHidden/>
    <w:unhideWhenUsed/>
    <w:qFormat/>
    <w:uiPriority w:val="39"/>
    <w:pPr>
      <w:ind w:left="420" w:leftChars="200"/>
    </w:pPr>
  </w:style>
  <w:style w:type="paragraph" w:styleId="9">
    <w:name w:val="annotation text"/>
    <w:basedOn w:val="1"/>
    <w:link w:val="44"/>
    <w:unhideWhenUsed/>
    <w:qFormat/>
    <w:uiPriority w:val="99"/>
    <w:pPr>
      <w:jc w:val="left"/>
    </w:p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Body Text Indent 2"/>
    <w:basedOn w:val="1"/>
    <w:qFormat/>
    <w:uiPriority w:val="99"/>
    <w:pPr>
      <w:snapToGrid w:val="0"/>
      <w:spacing w:line="300" w:lineRule="auto"/>
      <w:ind w:left="1050"/>
    </w:pPr>
    <w:rPr>
      <w:rFonts w:ascii="新宋体" w:hAnsi="新宋体" w:eastAsia="新宋体"/>
      <w:spacing w:val="10"/>
      <w:sz w:val="28"/>
      <w:szCs w:val="20"/>
    </w:rPr>
  </w:style>
  <w:style w:type="paragraph" w:styleId="14">
    <w:name w:val="Balloon Text"/>
    <w:basedOn w:val="1"/>
    <w:link w:val="43"/>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608"/>
      </w:tabs>
      <w:spacing w:line="360" w:lineRule="auto"/>
      <w:ind w:firstLine="425" w:firstLineChars="177"/>
    </w:pPr>
  </w:style>
  <w:style w:type="paragraph" w:styleId="18">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Arial" w:hAnsi="Arial" w:eastAsia="楷体_GB2312"/>
      <w:b/>
      <w:bCs/>
      <w:sz w:val="32"/>
      <w:szCs w:val="32"/>
    </w:rPr>
  </w:style>
  <w:style w:type="paragraph" w:styleId="21">
    <w:name w:val="annotation subject"/>
    <w:next w:val="9"/>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2">
    <w:name w:val="Body Text First Indent 2"/>
    <w:basedOn w:val="10"/>
    <w:semiHidden/>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FollowedHyperlink"/>
    <w:basedOn w:val="25"/>
    <w:semiHidden/>
    <w:unhideWhenUsed/>
    <w:qFormat/>
    <w:uiPriority w:val="99"/>
    <w:rPr>
      <w:color w:val="333333"/>
      <w:u w:val="none"/>
    </w:rPr>
  </w:style>
  <w:style w:type="character" w:styleId="28">
    <w:name w:val="Emphasis"/>
    <w:basedOn w:val="25"/>
    <w:qFormat/>
    <w:uiPriority w:val="20"/>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hint="default" w:ascii="monospace" w:hAnsi="monospace" w:eastAsia="monospace" w:cs="monospace"/>
      <w:sz w:val="20"/>
    </w:rPr>
  </w:style>
  <w:style w:type="character" w:styleId="38">
    <w:name w:val="HTML Sample"/>
    <w:basedOn w:val="25"/>
    <w:semiHidden/>
    <w:unhideWhenUsed/>
    <w:qFormat/>
    <w:uiPriority w:val="99"/>
    <w:rPr>
      <w:rFonts w:ascii="monospace" w:hAnsi="monospace" w:eastAsia="monospace" w:cs="monospace"/>
    </w:rPr>
  </w:style>
  <w:style w:type="paragraph" w:customStyle="1" w:styleId="39">
    <w:name w:val="书目1"/>
    <w:basedOn w:val="1"/>
    <w:next w:val="1"/>
    <w:unhideWhenUsed/>
    <w:qFormat/>
    <w:uiPriority w:val="37"/>
  </w:style>
  <w:style w:type="paragraph" w:styleId="40">
    <w:name w:val="List Paragraph"/>
    <w:basedOn w:val="1"/>
    <w:next w:val="4"/>
    <w:qFormat/>
    <w:uiPriority w:val="34"/>
    <w:pPr>
      <w:widowControl/>
      <w:ind w:firstLine="420"/>
    </w:pPr>
    <w:rPr>
      <w:rFonts w:ascii="Calibri" w:hAnsi="Calibri" w:eastAsia="宋体" w:cs="Calibri"/>
      <w:kern w:val="0"/>
      <w:szCs w:val="21"/>
    </w:rPr>
  </w:style>
  <w:style w:type="character" w:customStyle="1" w:styleId="41">
    <w:name w:val="页眉 字符"/>
    <w:basedOn w:val="25"/>
    <w:link w:val="16"/>
    <w:qFormat/>
    <w:uiPriority w:val="0"/>
    <w:rPr>
      <w:sz w:val="18"/>
      <w:szCs w:val="18"/>
    </w:rPr>
  </w:style>
  <w:style w:type="character" w:customStyle="1" w:styleId="42">
    <w:name w:val="页脚 字符"/>
    <w:basedOn w:val="25"/>
    <w:link w:val="15"/>
    <w:qFormat/>
    <w:uiPriority w:val="99"/>
    <w:rPr>
      <w:sz w:val="18"/>
      <w:szCs w:val="18"/>
    </w:rPr>
  </w:style>
  <w:style w:type="character" w:customStyle="1" w:styleId="43">
    <w:name w:val="批注框文本 字符"/>
    <w:basedOn w:val="25"/>
    <w:link w:val="14"/>
    <w:semiHidden/>
    <w:qFormat/>
    <w:uiPriority w:val="99"/>
    <w:rPr>
      <w:sz w:val="18"/>
      <w:szCs w:val="18"/>
    </w:rPr>
  </w:style>
  <w:style w:type="character" w:customStyle="1" w:styleId="44">
    <w:name w:val="批注文字 字符"/>
    <w:basedOn w:val="25"/>
    <w:link w:val="9"/>
    <w:qFormat/>
    <w:uiPriority w:val="99"/>
  </w:style>
  <w:style w:type="paragraph" w:customStyle="1" w:styleId="45">
    <w:name w:val="Table Paragraph"/>
    <w:basedOn w:val="1"/>
    <w:qFormat/>
    <w:uiPriority w:val="0"/>
    <w:pPr>
      <w:jc w:val="left"/>
    </w:pPr>
    <w:rPr>
      <w:kern w:val="0"/>
      <w:sz w:val="22"/>
      <w:lang w:eastAsia="en-US"/>
    </w:rPr>
  </w:style>
  <w:style w:type="paragraph" w:customStyle="1" w:styleId="46">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7">
    <w:name w:val="正文文本 字符"/>
    <w:basedOn w:val="25"/>
    <w:link w:val="2"/>
    <w:qFormat/>
    <w:uiPriority w:val="1"/>
    <w:rPr>
      <w:rFonts w:ascii="宋体" w:hAnsi="宋体" w:cstheme="minorBidi"/>
      <w:sz w:val="21"/>
      <w:szCs w:val="21"/>
      <w:lang w:eastAsia="en-US"/>
    </w:rPr>
  </w:style>
  <w:style w:type="character" w:customStyle="1" w:styleId="48">
    <w:name w:val="font41"/>
    <w:basedOn w:val="25"/>
    <w:qFormat/>
    <w:uiPriority w:val="0"/>
    <w:rPr>
      <w:rFonts w:hint="eastAsia" w:ascii="宋体" w:hAnsi="宋体" w:eastAsia="宋体" w:cs="宋体"/>
      <w:color w:val="000000"/>
      <w:sz w:val="21"/>
      <w:szCs w:val="21"/>
      <w:u w:val="none"/>
    </w:rPr>
  </w:style>
  <w:style w:type="character" w:customStyle="1" w:styleId="49">
    <w:name w:val="font31"/>
    <w:basedOn w:val="25"/>
    <w:qFormat/>
    <w:uiPriority w:val="0"/>
    <w:rPr>
      <w:rFonts w:hint="default" w:ascii="Times New Roman" w:hAnsi="Times New Roman" w:cs="Times New Roman"/>
      <w:color w:val="000000"/>
      <w:sz w:val="21"/>
      <w:szCs w:val="21"/>
      <w:u w:val="none"/>
    </w:rPr>
  </w:style>
  <w:style w:type="paragraph" w:customStyle="1" w:styleId="50">
    <w:name w:val="默认段落字体 Para Char"/>
    <w:basedOn w:val="51"/>
    <w:next w:val="1"/>
    <w:qFormat/>
    <w:uiPriority w:val="0"/>
    <w:pPr>
      <w:widowControl w:val="0"/>
      <w:spacing w:before="80" w:after="80" w:line="360" w:lineRule="auto"/>
      <w:jc w:val="both"/>
    </w:pPr>
    <w:rPr>
      <w:rFonts w:ascii="Calibri" w:hAnsi="Calibri" w:cs="Times New Roman"/>
      <w:kern w:val="2"/>
      <w:szCs w:val="20"/>
    </w:rPr>
  </w:style>
  <w:style w:type="paragraph" w:customStyle="1" w:styleId="51">
    <w:name w:val="Normal_0"/>
    <w:next w:val="50"/>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1"/>
    <w:next w:val="50"/>
    <w:qFormat/>
    <w:uiPriority w:val="0"/>
    <w:rPr>
      <w:rFonts w:ascii="Times New Roman" w:hAnsi="Times New Roman" w:eastAsia="Times New Roman" w:cs="Times New Roman"/>
      <w:sz w:val="24"/>
      <w:szCs w:val="24"/>
    </w:rPr>
  </w:style>
  <w:style w:type="paragraph" w:customStyle="1" w:styleId="54">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6">
    <w:name w:val="font01"/>
    <w:basedOn w:val="25"/>
    <w:qFormat/>
    <w:uiPriority w:val="0"/>
    <w:rPr>
      <w:rFonts w:hint="eastAsia" w:ascii="宋体" w:hAnsi="宋体" w:eastAsia="宋体" w:cs="宋体"/>
      <w:color w:val="000000"/>
      <w:sz w:val="20"/>
      <w:szCs w:val="20"/>
      <w:u w:val="none"/>
    </w:rPr>
  </w:style>
  <w:style w:type="character" w:customStyle="1" w:styleId="57">
    <w:name w:val="font51"/>
    <w:basedOn w:val="25"/>
    <w:qFormat/>
    <w:uiPriority w:val="0"/>
    <w:rPr>
      <w:rFonts w:hint="eastAsia" w:ascii="宋体" w:hAnsi="宋体" w:eastAsia="宋体" w:cs="宋体"/>
      <w:color w:val="000000"/>
      <w:sz w:val="22"/>
      <w:szCs w:val="22"/>
      <w:u w:val="none"/>
    </w:rPr>
  </w:style>
  <w:style w:type="character" w:customStyle="1" w:styleId="58">
    <w:name w:val="font21"/>
    <w:basedOn w:val="25"/>
    <w:qFormat/>
    <w:uiPriority w:val="0"/>
    <w:rPr>
      <w:rFonts w:hint="eastAsia" w:ascii="宋体" w:hAnsi="宋体" w:eastAsia="宋体" w:cs="宋体"/>
      <w:color w:val="000000"/>
      <w:sz w:val="22"/>
      <w:szCs w:val="22"/>
      <w:u w:val="none"/>
    </w:rPr>
  </w:style>
  <w:style w:type="paragraph" w:customStyle="1" w:styleId="59">
    <w:name w:val="标题2A"/>
    <w:basedOn w:val="4"/>
    <w:qFormat/>
    <w:uiPriority w:val="0"/>
    <w:pPr>
      <w:keepLines/>
      <w:spacing w:before="360" w:after="360" w:line="578" w:lineRule="auto"/>
    </w:pPr>
    <w:rPr>
      <w:color w:val="auto"/>
      <w:szCs w:val="32"/>
    </w:rPr>
  </w:style>
  <w:style w:type="paragraph" w:customStyle="1" w:styleId="60">
    <w:name w:val="正文_21"/>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网格型_0_0"/>
    <w:basedOn w:val="23"/>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5"/>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正文文本缩进1"/>
    <w:basedOn w:val="1"/>
    <w:qFormat/>
    <w:uiPriority w:val="0"/>
    <w:pPr>
      <w:spacing w:line="360" w:lineRule="auto"/>
      <w:ind w:firstLine="444" w:firstLineChars="200"/>
    </w:pPr>
    <w:rPr>
      <w:rFonts w:ascii="宋体"/>
      <w:sz w:val="24"/>
    </w:rPr>
  </w:style>
  <w:style w:type="character" w:customStyle="1" w:styleId="64">
    <w:name w:val="DeltaView Insertion"/>
    <w:qFormat/>
    <w:uiPriority w:val="0"/>
    <w:rPr>
      <w:color w:val="0000FF"/>
      <w:spacing w:val="0"/>
      <w:u w:val="double"/>
    </w:rPr>
  </w:style>
  <w:style w:type="paragraph" w:customStyle="1" w:styleId="6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2437</Words>
  <Characters>13896</Characters>
  <Lines>115</Lines>
  <Paragraphs>32</Paragraphs>
  <TotalTime>0</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2025-07-11T04:13:10Z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