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000000" w:themeColor="text1"/>
          <w:sz w:val="72"/>
          <w:szCs w:val="72"/>
          <w:highlight w:val="none"/>
          <w14:textFill>
            <w14:solidFill>
              <w14:schemeClr w14:val="tx1"/>
            </w14:solidFill>
          </w14:textFill>
        </w:rPr>
      </w:pPr>
      <w:r>
        <w:rPr>
          <w:rFonts w:hint="eastAsia" w:cs="宋体" w:asciiTheme="minorEastAsia" w:hAnsiTheme="minorEastAsia"/>
          <w:color w:val="C00000"/>
          <w:sz w:val="44"/>
          <w:szCs w:val="44"/>
          <w:highlight w:val="none"/>
          <w:lang w:val="en-US" w:eastAsia="zh-CN"/>
        </w:rPr>
        <w:t>公开询价文件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5"/>
          <w:szCs w:val="5"/>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000000" w:themeColor="text1"/>
          <w:sz w:val="4"/>
          <w:szCs w:val="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7"/>
          <w:szCs w:val="7"/>
          <w:highlight w:val="none"/>
          <w14:textFill>
            <w14:solidFill>
              <w14:schemeClr w14:val="tx1"/>
            </w14:solidFill>
          </w14:textFill>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C00000"/>
          <w:highlight w:val="none"/>
        </w:rPr>
      </w:pPr>
      <w:r>
        <w:rPr>
          <w:rFonts w:asciiTheme="minorEastAsia" w:hAnsiTheme="minorEastAsia" w:eastAsiaTheme="minorEastAsia"/>
          <w:color w:val="C00000"/>
          <w:spacing w:val="-3"/>
          <w:highlight w:val="none"/>
        </w:rPr>
        <w:t>（</w:t>
      </w:r>
      <w:r>
        <w:rPr>
          <w:rFonts w:hint="eastAsia" w:asciiTheme="minorEastAsia" w:hAnsiTheme="minorEastAsia"/>
          <w:color w:val="C00000"/>
          <w:spacing w:val="-3"/>
          <w:highlight w:val="none"/>
          <w:lang w:val="en-US" w:eastAsia="zh-CN"/>
        </w:rPr>
        <w:t>项目名称</w:t>
      </w:r>
      <w:r>
        <w:rPr>
          <w:rFonts w:asciiTheme="minorEastAsia" w:hAnsiTheme="minorEastAsia" w:eastAsiaTheme="minorEastAsia"/>
          <w:color w:val="C00000"/>
          <w:spacing w:val="-3"/>
          <w:highlight w:val="none"/>
        </w:rPr>
        <w:t>：</w:t>
      </w:r>
      <w:bookmarkStart w:id="0" w:name="OLE_LINK1"/>
      <w:r>
        <w:rPr>
          <w:rFonts w:hint="eastAsia" w:asciiTheme="minorEastAsia" w:hAnsiTheme="minorEastAsia" w:eastAsiaTheme="minorEastAsia"/>
          <w:color w:val="C00000"/>
          <w:spacing w:val="-3"/>
          <w:highlight w:val="none"/>
          <w:u w:val="single"/>
        </w:rPr>
        <w:t>物流公司皮卡车租赁服务专有协议</w:t>
      </w:r>
      <w:bookmarkEnd w:id="0"/>
      <w:r>
        <w:rPr>
          <w:rFonts w:asciiTheme="minorEastAsia" w:hAnsiTheme="minorEastAsia" w:eastAsiaTheme="minorEastAsia"/>
          <w:color w:val="C00000"/>
          <w:highlight w:val="none"/>
        </w:rPr>
        <w:t>）</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spacing w:val="-3"/>
          <w:highlight w:val="none"/>
          <w14:textFill>
            <w14:solidFill>
              <w14:schemeClr w14:val="tx1"/>
            </w14:solidFill>
          </w14:textFill>
        </w:rPr>
        <w:t>（采购编号：</w:t>
      </w:r>
      <w:bookmarkStart w:id="1" w:name="OLE_LINK2"/>
      <w:r>
        <w:rPr>
          <w:rFonts w:hint="eastAsia" w:asciiTheme="minorEastAsia" w:hAnsiTheme="minorEastAsia" w:eastAsiaTheme="minorEastAsia"/>
          <w:color w:val="000000" w:themeColor="text1"/>
          <w:spacing w:val="-3"/>
          <w:highlight w:val="none"/>
          <w:u w:val="single"/>
          <w14:textFill>
            <w14:solidFill>
              <w14:schemeClr w14:val="tx1"/>
            </w14:solidFill>
          </w14:textFill>
        </w:rPr>
        <w:t>GKXJ-2025-WL-2654</w:t>
      </w:r>
      <w:bookmarkEnd w:id="1"/>
      <w:r>
        <w:rPr>
          <w:rFonts w:asciiTheme="minorEastAsia" w:hAnsiTheme="minorEastAsia" w:eastAsiaTheme="minorEastAsia"/>
          <w:color w:val="000000" w:themeColor="text1"/>
          <w:highlight w:val="none"/>
          <w14:textFill>
            <w14:solidFill>
              <w14:schemeClr w14:val="tx1"/>
            </w14:solidFill>
          </w14:textFill>
        </w:rPr>
        <w:t>）</w:t>
      </w:r>
    </w:p>
    <w:p>
      <w:pPr>
        <w:pStyle w:val="8"/>
      </w:pP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2250" w:firstLineChars="900"/>
        <w:textAlignment w:val="auto"/>
        <w:outlineLvl w:val="9"/>
        <w:rPr>
          <w:rFonts w:cs="宋体" w:asciiTheme="minorEastAsia" w:hAnsiTheme="minorEastAsia"/>
          <w:color w:val="000000" w:themeColor="text1"/>
          <w:sz w:val="28"/>
          <w:szCs w:val="28"/>
          <w:highlight w:val="none"/>
          <w:u w:val="single"/>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14:textFill>
            <w14:solidFill>
              <w14:schemeClr w14:val="tx1"/>
            </w14:solidFill>
          </w14:textFill>
        </w:rPr>
        <w:t xml:space="preserve"> </w:t>
      </w:r>
      <w:r>
        <w:rPr>
          <w:rFonts w:cs="宋体" w:asciiTheme="minorEastAsia" w:hAnsiTheme="minorEastAsia"/>
          <w:color w:val="000000" w:themeColor="text1"/>
          <w:spacing w:val="-15"/>
          <w:sz w:val="28"/>
          <w:szCs w:val="28"/>
          <w:highlight w:val="none"/>
          <w:u w:val="single"/>
          <w14:textFill>
            <w14:solidFill>
              <w14:schemeClr w14:val="tx1"/>
            </w14:solidFill>
          </w14:textFill>
        </w:rPr>
        <w:t xml:space="preserve">  </w:t>
      </w:r>
      <w:r>
        <w:rPr>
          <w:rFonts w:hint="eastAsia" w:cs="宋体" w:asciiTheme="minorEastAsia" w:hAnsiTheme="minorEastAsia"/>
          <w:color w:val="000000" w:themeColor="text1"/>
          <w:spacing w:val="-15"/>
          <w:sz w:val="28"/>
          <w:szCs w:val="28"/>
          <w:highlight w:val="none"/>
          <w:u w:val="single"/>
          <w14:textFill>
            <w14:solidFill>
              <w14:schemeClr w14:val="tx1"/>
            </w14:solidFill>
          </w14:textFill>
        </w:rPr>
        <w:t>中海油能源发展股份有限公司</w:t>
      </w:r>
      <w:r>
        <w:rPr>
          <w:rFonts w:cs="宋体" w:asciiTheme="minorEastAsia" w:hAnsiTheme="minorEastAsia"/>
          <w:color w:val="000000" w:themeColor="text1"/>
          <w:spacing w:val="-15"/>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3920" w:firstLineChars="1400"/>
        <w:textAlignment w:val="auto"/>
        <w:outlineLvl w:val="9"/>
        <w:rPr>
          <w:rFonts w:cs="宋体" w:asciiTheme="minorEastAsia" w:hAnsiTheme="minorEastAsia"/>
          <w:color w:val="000000" w:themeColor="text1"/>
          <w:sz w:val="28"/>
          <w:szCs w:val="28"/>
          <w:highlight w:val="none"/>
          <w14:textFill>
            <w14:solidFill>
              <w14:schemeClr w14:val="tx1"/>
            </w14:solidFill>
          </w14:textFill>
        </w:rPr>
      </w:pP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2025</w:t>
      </w:r>
      <w:r>
        <w:rPr>
          <w:rFonts w:cs="宋体" w:asciiTheme="minorEastAsia" w:hAnsiTheme="minorEastAsia"/>
          <w:color w:val="000000" w:themeColor="text1"/>
          <w:sz w:val="28"/>
          <w:szCs w:val="28"/>
          <w:highlight w:val="none"/>
          <w14:textFill>
            <w14:solidFill>
              <w14:schemeClr w14:val="tx1"/>
            </w14:solidFill>
          </w14:textFill>
        </w:rPr>
        <w:t>年</w:t>
      </w:r>
      <w:r>
        <w:rPr>
          <w:rFonts w:cs="Times New Roman" w:asciiTheme="minorEastAsia" w:hAnsiTheme="minorEastAsia"/>
          <w:color w:val="000000" w:themeColor="text1"/>
          <w:sz w:val="28"/>
          <w:szCs w:val="28"/>
          <w:highlight w:val="none"/>
          <w:u w:val="single" w:color="000000"/>
          <w14:textFill>
            <w14:solidFill>
              <w14:schemeClr w14:val="tx1"/>
            </w14:solidFill>
          </w14:textFill>
        </w:rPr>
        <w:tab/>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9</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月</w:t>
      </w:r>
      <w:r>
        <w:rPr>
          <w:rFonts w:hint="eastAsia" w:cs="宋体" w:asciiTheme="minorEastAsia" w:hAnsiTheme="minorEastAsia"/>
          <w:color w:val="000000" w:themeColor="text1"/>
          <w:sz w:val="28"/>
          <w:szCs w:val="28"/>
          <w:highlight w:val="none"/>
          <w:lang w:val="en-US" w:eastAsia="zh-CN"/>
          <w14:textFill>
            <w14:solidFill>
              <w14:schemeClr w14:val="tx1"/>
            </w14:solidFill>
          </w14:textFill>
        </w:rPr>
        <w:t>18</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日</w:t>
      </w:r>
    </w:p>
    <w:p>
      <w:pPr>
        <w:spacing w:line="360" w:lineRule="auto"/>
        <w:jc w:val="left"/>
        <w:rPr>
          <w:rFonts w:asciiTheme="minorEastAsia" w:hAnsiTheme="minorEastAsia"/>
          <w:color w:val="000000" w:themeColor="text1"/>
          <w:sz w:val="24"/>
          <w:szCs w:val="24"/>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rPr>
          <w:rFonts w:hint="eastAsia" w:asciiTheme="minorEastAsia" w:hAnsiTheme="minorEastAsia" w:cstheme="minorEastAsia"/>
          <w:b/>
          <w:bCs/>
          <w:color w:val="000000" w:themeColor="text1"/>
          <w:sz w:val="40"/>
          <w:szCs w:val="40"/>
          <w:highlight w:val="none"/>
          <w14:textFill>
            <w14:solidFill>
              <w14:schemeClr w14:val="tx1"/>
            </w14:solidFill>
          </w14:textFill>
        </w:rPr>
      </w:pPr>
      <w:r>
        <w:rPr>
          <w:rFonts w:hint="eastAsia" w:asciiTheme="minorEastAsia" w:hAnsiTheme="minorEastAsia" w:cstheme="minorEastAsia"/>
          <w:b/>
          <w:bCs/>
          <w:color w:val="000000" w:themeColor="text1"/>
          <w:sz w:val="40"/>
          <w:szCs w:val="40"/>
          <w:highlight w:val="none"/>
          <w14:textFill>
            <w14:solidFill>
              <w14:schemeClr w14:val="tx1"/>
            </w14:solidFill>
          </w14:textFill>
        </w:rPr>
        <w:br w:type="page"/>
      </w:r>
    </w:p>
    <w:p>
      <w:pPr>
        <w:pStyle w:val="2"/>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olor w:val="000000" w:themeColor="text1"/>
          <w:sz w:val="21"/>
          <w:szCs w:val="21"/>
          <w:highlight w:val="none"/>
          <w:u w:val="single"/>
          <w14:textFill>
            <w14:solidFill>
              <w14:schemeClr w14:val="tx1"/>
            </w14:solidFill>
          </w14:textFill>
        </w:rPr>
        <w:t xml:space="preserve"> 物流公司皮卡车租赁服务专有协议</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项目进行公开询价采购，欢迎供应商参加。现将有关事项明确如下：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.公告时间：自</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9</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18</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日起至</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9</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日止。</w:t>
      </w:r>
    </w:p>
    <w:p>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9</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18</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日（北京时间</w:t>
      </w:r>
      <w:r>
        <w:rPr>
          <w:rFonts w:hint="eastAsia" w:asciiTheme="minorEastAsia" w:hAnsiTheme="minorEastAsia"/>
          <w:color w:val="000000" w:themeColor="text1"/>
          <w:sz w:val="21"/>
          <w:szCs w:val="21"/>
          <w:highlight w:val="none"/>
          <w14:textFill>
            <w14:solidFill>
              <w14:schemeClr w14:val="tx1"/>
            </w14:solidFill>
          </w14:textFill>
        </w:rPr>
        <w:t>）将询价文件发布至中国海洋石油集团有限公司《中国海油供应链数字化平台》（以下简称“系统”）https://bid.cnooc.com.cn/，请登陆并下载。</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4.递交响应文件的截止时间及地点：递交</w:t>
      </w:r>
      <w:r>
        <w:rPr>
          <w:rFonts w:hint="eastAsia" w:asciiTheme="minorEastAsia" w:hAnsiTheme="minorEastAsia"/>
          <w:color w:val="000000" w:themeColor="text1"/>
          <w:sz w:val="21"/>
          <w:szCs w:val="21"/>
          <w:highlight w:val="none"/>
          <w14:textFill>
            <w14:solidFill>
              <w14:schemeClr w14:val="tx1"/>
            </w14:solidFill>
          </w14:textFill>
        </w:rPr>
        <w:t>报价</w:t>
      </w:r>
      <w:r>
        <w:rPr>
          <w:rFonts w:asciiTheme="minorEastAsia" w:hAnsiTheme="minorEastAsia"/>
          <w:color w:val="000000" w:themeColor="text1"/>
          <w:sz w:val="21"/>
          <w:szCs w:val="21"/>
          <w:highlight w:val="none"/>
          <w14:textFill>
            <w14:solidFill>
              <w14:schemeClr w14:val="tx1"/>
            </w14:solidFill>
          </w14:textFill>
        </w:rPr>
        <w:t>文件的截止时间为</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9</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24</w:t>
      </w:r>
      <w:bookmarkStart w:id="24" w:name="_GoBack"/>
      <w:bookmarkEnd w:id="24"/>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日</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14</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时，</w:t>
      </w:r>
      <w:r>
        <w:rPr>
          <w:rFonts w:hint="eastAsia" w:asciiTheme="minorEastAsia" w:hAnsiTheme="minorEastAsia"/>
          <w:color w:val="000000" w:themeColor="text1"/>
          <w:sz w:val="21"/>
          <w:szCs w:val="21"/>
          <w:highlight w:val="none"/>
          <w14:textFill>
            <w14:solidFill>
              <w14:schemeClr w14:val="tx1"/>
            </w14:solidFill>
          </w14:textFill>
        </w:rPr>
        <w:t>请在规定报价截止时间前通过系统报价及挂接</w:t>
      </w:r>
      <w:r>
        <w:rPr>
          <w:rFonts w:hint="eastAsia" w:asciiTheme="minorEastAsia" w:hAnsiTheme="minorEastAsia"/>
          <w:color w:val="000000" w:themeColor="text1"/>
          <w:sz w:val="21"/>
          <w:szCs w:val="21"/>
          <w:highlight w:val="none"/>
          <w:lang w:val="en-US" w:eastAsia="zh-CN"/>
          <w14:textFill>
            <w14:solidFill>
              <w14:schemeClr w14:val="tx1"/>
            </w14:solidFill>
          </w14:textFill>
        </w:rPr>
        <w:t>价格明细文件</w:t>
      </w:r>
      <w:r>
        <w:rPr>
          <w:rFonts w:hint="eastAsia" w:asciiTheme="minorEastAsia" w:hAnsiTheme="minorEastAsia"/>
          <w:color w:val="000000" w:themeColor="text1"/>
          <w:sz w:val="21"/>
          <w:szCs w:val="21"/>
          <w:highlight w:val="none"/>
          <w14:textFill>
            <w14:solidFill>
              <w14:schemeClr w14:val="tx1"/>
            </w14:solidFill>
          </w14:textFill>
        </w:rPr>
        <w:t>。</w:t>
      </w:r>
    </w:p>
    <w:p>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2"/>
        <w:spacing w:line="360" w:lineRule="auto"/>
        <w:rPr>
          <w:rFonts w:hint="eastAsia"/>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45"/>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2"/>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2"/>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2"/>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2"/>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pPr>
        <w:pStyle w:val="2"/>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pPr>
        <w:pStyle w:val="8"/>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pPr>
        <w:pStyle w:val="8"/>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海油发展</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采办共享中心/</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上海区域</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分中心</w:t>
      </w:r>
    </w:p>
    <w:p>
      <w:pPr>
        <w:pStyle w:val="8"/>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联系人：汪家佳</w:t>
      </w:r>
    </w:p>
    <w:p>
      <w:pPr>
        <w:pStyle w:val="8"/>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联系电话：0580-8011319/13587094507</w:t>
      </w:r>
    </w:p>
    <w:p>
      <w:pPr>
        <w:pStyle w:val="8"/>
        <w:ind w:left="415" w:leftChars="135" w:right="10" w:hanging="132" w:hangingChars="63"/>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邮  箱：wangjj58@cnooc.com.cn</w:t>
      </w:r>
    </w:p>
    <w:p>
      <w:pPr>
        <w:rPr>
          <w:rFonts w:hint="eastAsia"/>
          <w:lang w:val="en-US" w:eastAsia="zh-CN"/>
        </w:rPr>
      </w:pPr>
    </w:p>
    <w:p>
      <w:pPr>
        <w:rPr>
          <w:rFonts w:hint="eastAsia"/>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2"/>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pPr>
        <w:pStyle w:val="2"/>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2"/>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pPr>
        <w:pStyle w:val="2"/>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2"/>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2"/>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23"/>
        <w:tblW w:w="5595" w:type="pct"/>
        <w:jc w:val="center"/>
        <w:tblLayout w:type="autofit"/>
        <w:tblCellMar>
          <w:top w:w="0" w:type="dxa"/>
          <w:left w:w="0" w:type="dxa"/>
          <w:bottom w:w="0" w:type="dxa"/>
          <w:right w:w="0" w:type="dxa"/>
        </w:tblCellMar>
      </w:tblPr>
      <w:tblGrid>
        <w:gridCol w:w="616"/>
        <w:gridCol w:w="538"/>
        <w:gridCol w:w="2290"/>
        <w:gridCol w:w="5862"/>
      </w:tblGrid>
      <w:tr>
        <w:tblPrEx>
          <w:tblCellMar>
            <w:top w:w="0" w:type="dxa"/>
            <w:left w:w="0" w:type="dxa"/>
            <w:bottom w:w="0" w:type="dxa"/>
            <w:right w:w="0" w:type="dxa"/>
          </w:tblCellMar>
        </w:tblPrEx>
        <w:trPr>
          <w:trHeight w:val="454" w:hRule="atLeast"/>
          <w:jc w:val="center"/>
        </w:trPr>
        <w:tc>
          <w:tcPr>
            <w:tcW w:w="620" w:type="pct"/>
            <w:gridSpan w:val="2"/>
            <w:tcBorders>
              <w:top w:val="single" w:color="000000" w:sz="4" w:space="0"/>
              <w:left w:val="single" w:color="000000" w:sz="4" w:space="0"/>
              <w:bottom w:val="single" w:color="000000" w:sz="4" w:space="0"/>
              <w:right w:val="single" w:color="000000" w:sz="4" w:space="0"/>
            </w:tcBorders>
            <w:vAlign w:val="center"/>
          </w:tcPr>
          <w:p>
            <w:pPr>
              <w:pStyle w:val="45"/>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1230" w:type="pct"/>
            <w:tcBorders>
              <w:top w:val="single" w:color="000000" w:sz="4" w:space="0"/>
              <w:left w:val="nil"/>
              <w:bottom w:val="single" w:color="000000" w:sz="4" w:space="0"/>
              <w:right w:val="single" w:color="000000" w:sz="4" w:space="0"/>
            </w:tcBorders>
            <w:vAlign w:val="center"/>
          </w:tcPr>
          <w:p>
            <w:pPr>
              <w:pStyle w:val="45"/>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149" w:type="pct"/>
            <w:tcBorders>
              <w:top w:val="single" w:color="000000" w:sz="4" w:space="0"/>
              <w:left w:val="nil"/>
              <w:bottom w:val="single" w:color="000000" w:sz="4" w:space="0"/>
              <w:right w:val="single" w:color="000000" w:sz="4" w:space="0"/>
            </w:tcBorders>
            <w:vAlign w:val="center"/>
          </w:tcPr>
          <w:p>
            <w:pPr>
              <w:pStyle w:val="45"/>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CellMar>
            <w:top w:w="0" w:type="dxa"/>
            <w:left w:w="0" w:type="dxa"/>
            <w:bottom w:w="0" w:type="dxa"/>
            <w:right w:w="0" w:type="dxa"/>
          </w:tblCellMar>
        </w:tblPrEx>
        <w:trPr>
          <w:trHeight w:val="454" w:hRule="atLeast"/>
          <w:jc w:val="center"/>
        </w:trPr>
        <w:tc>
          <w:tcPr>
            <w:tcW w:w="331" w:type="pct"/>
            <w:vMerge w:val="restart"/>
            <w:tcBorders>
              <w:top w:val="nil"/>
              <w:left w:val="single" w:color="000000" w:sz="6" w:space="0"/>
              <w:right w:val="single" w:color="000000" w:sz="6" w:space="0"/>
            </w:tcBorders>
            <w:vAlign w:val="center"/>
          </w:tcPr>
          <w:p>
            <w:pPr>
              <w:pStyle w:val="45"/>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pPr>
              <w:spacing w:line="300" w:lineRule="exact"/>
              <w:jc w:val="center"/>
              <w:rPr>
                <w:rFonts w:hint="eastAsia" w:ascii="仿宋" w:hAnsi="仿宋" w:eastAsia="仿宋" w:cs="仿宋"/>
                <w:bCs/>
                <w:color w:val="auto"/>
                <w:sz w:val="21"/>
                <w:szCs w:val="21"/>
                <w:highlight w:val="none"/>
              </w:rPr>
            </w:pPr>
          </w:p>
        </w:tc>
        <w:tc>
          <w:tcPr>
            <w:tcW w:w="288" w:type="pct"/>
            <w:vMerge w:val="restart"/>
            <w:tcBorders>
              <w:top w:val="nil"/>
              <w:left w:val="nil"/>
              <w:right w:val="single" w:color="000000" w:sz="6" w:space="0"/>
            </w:tcBorders>
            <w:textDirection w:val="tbRlV"/>
            <w:vAlign w:val="center"/>
          </w:tcPr>
          <w:p>
            <w:pPr>
              <w:pStyle w:val="45"/>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1230" w:type="pct"/>
            <w:tcBorders>
              <w:top w:val="single" w:color="000000" w:sz="4" w:space="0"/>
              <w:left w:val="nil"/>
              <w:bottom w:val="single" w:color="000000" w:sz="4" w:space="0"/>
              <w:right w:val="single" w:color="000000" w:sz="4" w:space="0"/>
            </w:tcBorders>
            <w:vAlign w:val="center"/>
          </w:tcPr>
          <w:p>
            <w:pPr>
              <w:pStyle w:val="45"/>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149" w:type="pct"/>
            <w:tcBorders>
              <w:top w:val="single" w:color="000000" w:sz="4" w:space="0"/>
              <w:left w:val="nil"/>
              <w:bottom w:val="single" w:color="000000" w:sz="4" w:space="0"/>
              <w:right w:val="single" w:color="000000" w:sz="4" w:space="0"/>
            </w:tcBorders>
            <w:vAlign w:val="center"/>
          </w:tcPr>
          <w:p>
            <w:pPr>
              <w:pStyle w:val="45"/>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8"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nil"/>
              <w:right w:val="single" w:color="000000" w:sz="4" w:space="0"/>
            </w:tcBorders>
            <w:vAlign w:val="center"/>
          </w:tcPr>
          <w:p>
            <w:pPr>
              <w:pStyle w:val="45"/>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149" w:type="pct"/>
            <w:tcBorders>
              <w:top w:val="single" w:color="000000" w:sz="4" w:space="0"/>
              <w:left w:val="nil"/>
              <w:bottom w:val="nil"/>
              <w:right w:val="single" w:color="000000" w:sz="4" w:space="0"/>
            </w:tcBorders>
            <w:vAlign w:val="center"/>
          </w:tcPr>
          <w:p>
            <w:pPr>
              <w:pStyle w:val="45"/>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trPr>
          <w:trHeight w:val="454"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8"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single" w:color="000000" w:sz="4" w:space="0"/>
              <w:right w:val="single" w:color="000000" w:sz="4" w:space="0"/>
            </w:tcBorders>
            <w:vAlign w:val="center"/>
          </w:tcPr>
          <w:p>
            <w:pPr>
              <w:pStyle w:val="45"/>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149"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符合附件3：报价单格式的规定；</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8"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single" w:color="000000" w:sz="4" w:space="0"/>
              <w:right w:val="single" w:color="000000" w:sz="4" w:space="0"/>
            </w:tcBorders>
            <w:vAlign w:val="center"/>
          </w:tcPr>
          <w:p>
            <w:pPr>
              <w:pStyle w:val="45"/>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149" w:type="pct"/>
            <w:tcBorders>
              <w:top w:val="single" w:color="000000" w:sz="4" w:space="0"/>
              <w:left w:val="nil"/>
              <w:bottom w:val="single" w:color="000000" w:sz="4" w:space="0"/>
              <w:right w:val="single" w:color="000000" w:sz="4" w:space="0"/>
            </w:tcBorders>
            <w:vAlign w:val="center"/>
          </w:tcPr>
          <w:p>
            <w:pPr>
              <w:pStyle w:val="45"/>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报价截止之日起【</w:t>
            </w:r>
            <w:r>
              <w:rPr>
                <w:rFonts w:hint="eastAsia" w:ascii="仿宋" w:hAnsi="仿宋" w:eastAsia="仿宋" w:cs="仿宋"/>
                <w:bCs/>
                <w:color w:val="auto"/>
                <w:sz w:val="21"/>
                <w:szCs w:val="21"/>
                <w:highlight w:val="none"/>
                <w:lang w:val="en-US" w:eastAsia="zh-CN"/>
              </w:rPr>
              <w:t>120</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tblPrEx>
          <w:tblCellMar>
            <w:top w:w="0" w:type="dxa"/>
            <w:left w:w="0" w:type="dxa"/>
            <w:bottom w:w="0" w:type="dxa"/>
            <w:right w:w="0" w:type="dxa"/>
          </w:tblCellMar>
        </w:tblPrEx>
        <w:trPr>
          <w:trHeight w:val="2036"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8" w:type="pct"/>
            <w:vMerge w:val="continue"/>
            <w:tcBorders>
              <w:left w:val="single" w:color="000000" w:sz="6" w:space="0"/>
              <w:right w:val="single" w:color="000000" w:sz="6" w:space="0"/>
            </w:tcBorders>
            <w:vAlign w:val="center"/>
          </w:tcPr>
          <w:p>
            <w:pPr>
              <w:pStyle w:val="45"/>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45"/>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★商务资格</w:t>
            </w:r>
          </w:p>
        </w:tc>
        <w:tc>
          <w:tcPr>
            <w:tcW w:w="3149"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 公司与上级法人单位只可一家参与投标，同时参与投标的，投标均无效。</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2.法定代表人（单位负责人）身份证明</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3.法定代表人授权委托书（如涉及）</w:t>
            </w:r>
          </w:p>
        </w:tc>
      </w:tr>
      <w:tr>
        <w:tblPrEx>
          <w:tblCellMar>
            <w:top w:w="0" w:type="dxa"/>
            <w:left w:w="0" w:type="dxa"/>
            <w:bottom w:w="0" w:type="dxa"/>
            <w:right w:w="0" w:type="dxa"/>
          </w:tblCellMar>
        </w:tblPrEx>
        <w:trPr>
          <w:trHeight w:val="903"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8" w:type="pct"/>
            <w:vMerge w:val="continue"/>
            <w:tcBorders>
              <w:left w:val="single" w:color="000000" w:sz="6" w:space="0"/>
              <w:right w:val="single" w:color="000000" w:sz="6" w:space="0"/>
            </w:tcBorders>
            <w:vAlign w:val="center"/>
          </w:tcPr>
          <w:p>
            <w:pPr>
              <w:pStyle w:val="45"/>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45"/>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★专业资质</w:t>
            </w:r>
          </w:p>
        </w:tc>
        <w:tc>
          <w:tcPr>
            <w:tcW w:w="3149"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360" w:lineRule="auto"/>
              <w:ind w:left="0" w:leftChars="0" w:firstLine="0" w:firstLineChars="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须具备并提供有效期内的汽车租赁经营资格证书或汽车租赁经营备案证或出租汽车经营许可证或道路运输经营许可证</w:t>
            </w:r>
          </w:p>
        </w:tc>
      </w:tr>
      <w:tr>
        <w:tblPrEx>
          <w:tblCellMar>
            <w:top w:w="0" w:type="dxa"/>
            <w:left w:w="0" w:type="dxa"/>
            <w:bottom w:w="0" w:type="dxa"/>
            <w:right w:w="0" w:type="dxa"/>
          </w:tblCellMar>
        </w:tblPrEx>
        <w:trPr>
          <w:trHeight w:val="734"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pStyle w:val="45"/>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000000" w:sz="6" w:space="0"/>
              <w:bottom w:val="single" w:color="000000" w:sz="4" w:space="0"/>
              <w:right w:val="single" w:color="000000" w:sz="4" w:space="0"/>
            </w:tcBorders>
            <w:vAlign w:val="center"/>
          </w:tcPr>
          <w:p>
            <w:pPr>
              <w:pStyle w:val="45"/>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149" w:type="pct"/>
            <w:tcBorders>
              <w:top w:val="single" w:color="auto" w:sz="4" w:space="0"/>
              <w:left w:val="nil"/>
              <w:bottom w:val="single" w:color="000000" w:sz="4" w:space="0"/>
              <w:right w:val="single" w:color="000000" w:sz="4" w:space="0"/>
            </w:tcBorders>
            <w:vAlign w:val="center"/>
          </w:tcPr>
          <w:p>
            <w:pPr>
              <w:numPr>
                <w:ilvl w:val="0"/>
                <w:numId w:val="0"/>
              </w:numPr>
              <w:rPr>
                <w:rFonts w:hint="default"/>
                <w:strike w:val="0"/>
                <w:dstrike w:val="0"/>
                <w:color w:val="auto"/>
                <w:lang w:val="en-US"/>
              </w:rPr>
            </w:pPr>
            <w:r>
              <w:rPr>
                <w:rFonts w:hint="eastAsia" w:ascii="仿宋" w:hAnsi="仿宋" w:eastAsia="仿宋" w:cs="仿宋"/>
                <w:bCs/>
                <w:strike w:val="0"/>
                <w:dstrike w:val="0"/>
                <w:color w:val="auto"/>
                <w:kern w:val="0"/>
                <w:sz w:val="21"/>
                <w:szCs w:val="21"/>
                <w:highlight w:val="none"/>
                <w:lang w:val="en-US" w:eastAsia="zh-CN" w:bidi="ar-SA"/>
              </w:rPr>
              <w:t>1.应答</w:t>
            </w:r>
            <w:r>
              <w:rPr>
                <w:rFonts w:hint="eastAsia" w:ascii="仿宋" w:hAnsi="仿宋" w:eastAsia="仿宋" w:cs="仿宋"/>
                <w:strike w:val="0"/>
                <w:dstrike w:val="0"/>
                <w:color w:val="auto"/>
                <w:kern w:val="2"/>
                <w:sz w:val="21"/>
                <w:szCs w:val="21"/>
                <w:highlight w:val="none"/>
                <w:lang w:eastAsia="zh-CN"/>
              </w:rPr>
              <w:t>人不得是最高人民法院在“信用中国”网站（</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"http://www.creditchina.gov.cn）或"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www.creditchina.gov.cn）</w:t>
            </w:r>
            <w:r>
              <w:rPr>
                <w:rFonts w:hint="eastAsia" w:ascii="仿宋" w:hAnsi="仿宋" w:eastAsia="仿宋" w:cs="仿宋"/>
                <w:b w:val="0"/>
                <w:bCs w:val="0"/>
                <w:strike w:val="0"/>
                <w:dstrike w:val="0"/>
                <w:color w:val="auto"/>
                <w:kern w:val="2"/>
                <w:sz w:val="21"/>
                <w:szCs w:val="21"/>
                <w:highlight w:val="none"/>
                <w:lang w:val="en-US" w:eastAsia="zh-CN"/>
              </w:rPr>
              <w:t>或</w:t>
            </w:r>
          </w:p>
          <w:p>
            <w:pPr>
              <w:numPr>
                <w:ilvl w:val="0"/>
                <w:numId w:val="0"/>
              </w:numPr>
              <w:jc w:val="both"/>
              <w:rPr>
                <w:rFonts w:hint="eastAsia" w:ascii="仿宋" w:hAnsi="仿宋" w:eastAsia="仿宋" w:cs="仿宋"/>
                <w:strike w:val="0"/>
                <w:dstrike w:val="0"/>
                <w:color w:val="auto"/>
                <w:kern w:val="2"/>
                <w:sz w:val="21"/>
                <w:szCs w:val="21"/>
                <w:highlight w:val="none"/>
                <w:lang w:eastAsia="zh-CN"/>
              </w:rPr>
            </w:pPr>
            <w:r>
              <w:rPr>
                <w:rFonts w:hint="eastAsia" w:ascii="仿宋" w:hAnsi="仿宋" w:eastAsia="仿宋" w:cs="仿宋"/>
                <w:strike w:val="0"/>
                <w:dstrike w:val="0"/>
                <w:color w:val="auto"/>
                <w:kern w:val="2"/>
                <w:sz w:val="21"/>
                <w:szCs w:val="21"/>
                <w:highlight w:val="none"/>
                <w:lang w:eastAsia="zh-CN"/>
              </w:rPr>
              <w:t>“中国执行信息公开网</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kern w:val="2"/>
                <w:sz w:val="21"/>
                <w:szCs w:val="21"/>
                <w:highlight w:val="none"/>
                <w:lang w:eastAsia="zh-CN"/>
              </w:rPr>
              <w:t>”（</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"http://zxgk.court.gov.cn/）列入失信被执行人名单（应附查询结果复印件并加盖单位章"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http://zxgk.court.gov.cn/）列入失信被执行人名单</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sz w:val="21"/>
                <w:szCs w:val="21"/>
                <w:highlight w:val="none"/>
                <w:lang w:eastAsia="zh-CN"/>
              </w:rPr>
              <w:t>；</w:t>
            </w:r>
          </w:p>
          <w:p>
            <w:pPr>
              <w:numPr>
                <w:ilvl w:val="0"/>
                <w:numId w:val="0"/>
              </w:numPr>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lang w:eastAsia="zh-CN"/>
              </w:rPr>
              <w:t>近</w:t>
            </w: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年（20</w:t>
            </w:r>
            <w:r>
              <w:rPr>
                <w:rFonts w:hint="eastAsia" w:ascii="仿宋" w:hAnsi="仿宋" w:eastAsia="仿宋" w:cs="仿宋"/>
                <w:strike w:val="0"/>
                <w:dstrike w:val="0"/>
                <w:color w:val="auto"/>
                <w:sz w:val="21"/>
                <w:szCs w:val="21"/>
                <w:highlight w:val="none"/>
                <w:lang w:val="en-US" w:eastAsia="zh-CN"/>
              </w:rPr>
              <w:t>22</w:t>
            </w:r>
            <w:r>
              <w:rPr>
                <w:rFonts w:hint="eastAsia" w:ascii="仿宋" w:hAnsi="仿宋" w:eastAsia="仿宋" w:cs="仿宋"/>
                <w:strike w:val="0"/>
                <w:dstrike w:val="0"/>
                <w:color w:val="auto"/>
                <w:sz w:val="21"/>
                <w:szCs w:val="21"/>
                <w:highlight w:val="none"/>
                <w:lang w:eastAsia="zh-CN"/>
              </w:rPr>
              <w:t>年</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月</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日-报价截止日前）内应答人或其法定代</w:t>
            </w:r>
            <w:r>
              <w:rPr>
                <w:rFonts w:hint="eastAsia" w:ascii="仿宋" w:hAnsi="仿宋" w:eastAsia="仿宋" w:cs="仿宋"/>
                <w:b w:val="0"/>
                <w:bCs w:val="0"/>
                <w:strike w:val="0"/>
                <w:dstrike w:val="0"/>
                <w:color w:val="auto"/>
                <w:sz w:val="21"/>
                <w:szCs w:val="21"/>
                <w:highlight w:val="none"/>
                <w:lang w:eastAsia="zh-CN"/>
              </w:rPr>
              <w:t>表人、拟委任的项目负责人不得有行贿犯罪行为，查询网站为“中国裁判文书网”http://wenshu.court.gov.cn）；</w:t>
            </w:r>
          </w:p>
          <w:p>
            <w:pPr>
              <w:jc w:val="both"/>
              <w:rPr>
                <w:rFonts w:hint="eastAsia" w:ascii="仿宋" w:hAnsi="仿宋" w:eastAsia="仿宋" w:cs="仿宋"/>
                <w:b w:val="0"/>
                <w:bCs w:val="0"/>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应答人不得被工商行政管理机关在全国企业信用信息公示系统（http://www.gsxt.gov.cn）中列入严重违法失信企业名单</w:t>
            </w:r>
            <w:r>
              <w:rPr>
                <w:rFonts w:hint="eastAsia" w:ascii="仿宋" w:hAnsi="仿宋" w:eastAsia="仿宋" w:cs="仿宋"/>
                <w:b w:val="0"/>
                <w:bCs w:val="0"/>
                <w:strike w:val="0"/>
                <w:dstrike w:val="0"/>
                <w:color w:val="auto"/>
                <w:sz w:val="21"/>
                <w:szCs w:val="21"/>
                <w:highlight w:val="none"/>
                <w:lang w:eastAsia="zh-CN"/>
              </w:rPr>
              <w:t>。事业单位、大学除外。</w:t>
            </w:r>
          </w:p>
          <w:p>
            <w:pPr>
              <w:numPr>
                <w:ilvl w:val="0"/>
                <w:numId w:val="0"/>
              </w:numPr>
              <w:spacing w:line="240" w:lineRule="auto"/>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4.应答人</w:t>
            </w:r>
            <w:r>
              <w:rPr>
                <w:rFonts w:hint="eastAsia" w:ascii="仿宋" w:hAnsi="仿宋" w:eastAsia="仿宋" w:cs="仿宋"/>
                <w:strike w:val="0"/>
                <w:dstrike w:val="0"/>
                <w:color w:val="auto"/>
                <w:sz w:val="21"/>
                <w:szCs w:val="21"/>
                <w:highlight w:val="none"/>
                <w:lang w:eastAsia="zh-CN"/>
              </w:rPr>
              <w:t>与本采购项目其他应答人不得存在控股关系或管理关系、单位负责人为同一人的情形。</w:t>
            </w:r>
            <w:r>
              <w:rPr>
                <w:rFonts w:hint="eastAsia" w:ascii="仿宋" w:hAnsi="仿宋" w:eastAsia="仿宋" w:cs="仿宋"/>
                <w:strike w:val="0"/>
                <w:dstrike w:val="0"/>
                <w:color w:val="auto"/>
                <w:szCs w:val="21"/>
                <w:highlight w:val="none"/>
                <w:lang w:eastAsia="zh-CN"/>
              </w:rPr>
              <w:t>在非公开采购项目中，严禁存在控股关系或管理关系、单位负责人为同一人、同一自然人同时持有两家公司非公开上市股份</w:t>
            </w:r>
            <w:r>
              <w:rPr>
                <w:rFonts w:hint="eastAsia" w:ascii="仿宋" w:hAnsi="仿宋" w:eastAsia="仿宋" w:cs="仿宋"/>
                <w:strike w:val="0"/>
                <w:dstrike w:val="0"/>
                <w:color w:val="auto"/>
                <w:szCs w:val="21"/>
                <w:highlight w:val="none"/>
                <w:lang w:val="en-US" w:eastAsia="zh-CN"/>
              </w:rPr>
              <w:t>的</w:t>
            </w:r>
            <w:r>
              <w:rPr>
                <w:rFonts w:hint="eastAsia" w:ascii="仿宋" w:hAnsi="仿宋" w:eastAsia="仿宋" w:cs="仿宋"/>
                <w:strike w:val="0"/>
                <w:dstrike w:val="0"/>
                <w:color w:val="auto"/>
                <w:szCs w:val="21"/>
                <w:highlight w:val="none"/>
                <w:lang w:eastAsia="zh-CN"/>
              </w:rPr>
              <w:t>情形。</w:t>
            </w:r>
          </w:p>
          <w:p>
            <w:pPr>
              <w:numPr>
                <w:ilvl w:val="0"/>
                <w:numId w:val="0"/>
              </w:numP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pPr>
            <w:r>
              <w:rPr>
                <w:rFonts w:hint="eastAsia" w:ascii="仿宋" w:hAnsi="仿宋" w:eastAsia="仿宋" w:cs="仿宋"/>
                <w:strike w:val="0"/>
                <w:dstrike w:val="0"/>
                <w:color w:val="auto"/>
                <w:sz w:val="21"/>
                <w:szCs w:val="21"/>
                <w:highlight w:val="none"/>
                <w:lang w:val="en-US" w:eastAsia="zh-CN"/>
              </w:rPr>
              <w:t>5.</w:t>
            </w:r>
            <w:r>
              <w:rPr>
                <w:rFonts w:hint="eastAsia" w:ascii="仿宋" w:hAnsi="仿宋" w:eastAsia="仿宋" w:cs="仿宋"/>
                <w:strike w:val="0"/>
                <w:dstrike w:val="0"/>
                <w:color w:val="auto"/>
                <w:sz w:val="21"/>
                <w:szCs w:val="21"/>
                <w:highlight w:val="none"/>
                <w:lang w:eastAsia="zh-CN"/>
              </w:rPr>
              <w:t>应答人应在应答文件中提供其公司章程或其他能够体现出资人、股东信息的法定文件，作为评标/评审时的依</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据。</w:t>
            </w:r>
          </w:p>
          <w:p>
            <w:pPr>
              <w:numPr>
                <w:ilvl w:val="0"/>
                <w:numId w:val="0"/>
              </w:numP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lang w:eastAsia="zh-CN"/>
                <w14:textFill>
                  <w14:solidFill>
                    <w14:schemeClr w14:val="tx1"/>
                  </w14:solidFill>
                </w14:textFill>
              </w:rPr>
              <w:t>应答人承诺：中国海油在职员工（不含正式派出的）未有在应答人单位担任股东、法人代表、董事、监事和其他任职人员的情形。</w:t>
            </w:r>
          </w:p>
          <w:p>
            <w:pPr>
              <w:numPr>
                <w:ilvl w:val="0"/>
                <w:numId w:val="0"/>
              </w:numP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C00000"/>
                <w:sz w:val="21"/>
                <w:szCs w:val="21"/>
                <w:highlight w:val="none"/>
                <w:lang w:val="en-US" w:eastAsia="zh-CN"/>
              </w:rPr>
              <w:t>上述要求应答人应提供供应商承诺书。</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pStyle w:val="45"/>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45"/>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应答人或应答人所提供的第三方不得存在的其他情形</w:t>
            </w:r>
          </w:p>
          <w:p>
            <w:pPr>
              <w:pStyle w:val="45"/>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3149" w:type="pct"/>
            <w:tcBorders>
              <w:top w:val="single" w:color="000000" w:sz="4" w:space="0"/>
              <w:left w:val="nil"/>
              <w:bottom w:val="single" w:color="000000" w:sz="4" w:space="0"/>
              <w:right w:val="single" w:color="000000" w:sz="4" w:space="0"/>
            </w:tcBorders>
            <w:vAlign w:val="center"/>
          </w:tcPr>
          <w:p>
            <w:pPr>
              <w:pStyle w:val="45"/>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pPr>
              <w:pStyle w:val="45"/>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被中国海洋石油集团有限公司处以“取消投标资格”及以上处罚，且仍在处罚期内或处罚期满但在系统中的供应商档案中的“档案状态”为“采购冻结”、“业务状态”为“冻结”的；</w:t>
            </w:r>
          </w:p>
          <w:p>
            <w:pPr>
              <w:pStyle w:val="45"/>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被</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lang w:eastAsia="zh-CN"/>
                <w14:textFill>
                  <w14:solidFill>
                    <w14:schemeClr w14:val="tx1"/>
                  </w14:solidFill>
                </w14:textFill>
              </w:rPr>
              <w:t>人所属单位处以“取消投标资格”及以上处罚，且仍在处罚期内或处罚期满但在系统中的供应商档案中的“业务状态”为冻结的；</w:t>
            </w:r>
          </w:p>
        </w:tc>
      </w:tr>
      <w:tr>
        <w:trPr>
          <w:trHeight w:val="479"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pStyle w:val="45"/>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right w:val="single" w:color="000000" w:sz="4" w:space="0"/>
            </w:tcBorders>
            <w:vAlign w:val="center"/>
          </w:tcPr>
          <w:p>
            <w:pPr>
              <w:pStyle w:val="8"/>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highlight w:val="none"/>
                <w:lang w:eastAsia="zh-CN"/>
              </w:rPr>
              <w:t>服务商要求（对不满足要求的或未能提供相应证明材料的服务商，将影响评审结果。）</w:t>
            </w:r>
          </w:p>
        </w:tc>
        <w:tc>
          <w:tcPr>
            <w:tcW w:w="3149" w:type="pct"/>
            <w:tcBorders>
              <w:top w:val="single" w:color="000000" w:sz="4" w:space="0"/>
              <w:left w:val="nil"/>
              <w:bottom w:val="single" w:color="000000" w:sz="4" w:space="0"/>
              <w:right w:val="single" w:color="000000" w:sz="4" w:space="0"/>
            </w:tcBorders>
            <w:vAlign w:val="center"/>
          </w:tcPr>
          <w:p>
            <w:pPr>
              <w:ind w:firstLine="0" w:firstLineChars="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服务商需满足：1）不得将中国海油作为唯一服务客户，承诺中国海油非其唯一服务客户并提供支持性材料（海油外业绩</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具体包括：1）合同扫描件；2）合同所对应的结算发票；3）发票所对应的国家税务总局全国增值税发票查验平台的发票查验截图））；2）自有社保人数≥5人，须提供近三月社保证明（退休返聘人员不在自有社保人数内，大学、事业单位可不提供社保证明）3）实缴注册资本金不能为零，须提供注册资本缴纳证明， 注册资本金缴纳证明可提供银行转账记录、企业主管部门出具的相关文件、国家企业信用信息公示系统、第三方网站（包括但不 限于天眼查、企查查）截图、第三方机构出具的验资报告等。大 学、事业单位可不提供实缴注册资本缴纳证明。 。服务商实缴注册资金要求:应答人实缴注册资本金不能为零，应答时需提供相关证明文件。</w:t>
            </w:r>
          </w:p>
          <w:p>
            <w:pPr>
              <w:ind w:firstLine="0" w:firstLineChars="0"/>
              <w:rPr>
                <w:rFonts w:hint="eastAsia"/>
                <w:color w:val="auto"/>
                <w:highlight w:val="none"/>
                <w:lang w:eastAsia="zh-CN"/>
              </w:rPr>
            </w:pPr>
          </w:p>
        </w:tc>
      </w:tr>
      <w:tr>
        <w:tblPrEx>
          <w:tblCellMar>
            <w:top w:w="0" w:type="dxa"/>
            <w:left w:w="0" w:type="dxa"/>
            <w:bottom w:w="0" w:type="dxa"/>
            <w:right w:w="0" w:type="dxa"/>
          </w:tblCellMar>
        </w:tblPrEx>
        <w:trPr>
          <w:trHeight w:val="479"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pStyle w:val="45"/>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right w:val="single" w:color="000000" w:sz="4" w:space="0"/>
            </w:tcBorders>
            <w:vAlign w:val="center"/>
          </w:tcPr>
          <w:p>
            <w:pPr>
              <w:pStyle w:val="45"/>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color w:val="auto"/>
                <w:sz w:val="21"/>
                <w:szCs w:val="21"/>
                <w:highlight w:val="none"/>
                <w:lang w:val="en-US" w:eastAsia="zh-CN"/>
              </w:rPr>
              <w:t>★</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业绩要求（</w:t>
            </w:r>
            <w:r>
              <w:rPr>
                <w:rFonts w:hint="eastAsia" w:ascii="仿宋" w:hAnsi="仿宋" w:eastAsia="仿宋" w:cs="仿宋"/>
                <w:b w:val="0"/>
                <w:bCs/>
                <w:color w:val="000000" w:themeColor="text1"/>
                <w:sz w:val="21"/>
                <w:szCs w:val="21"/>
                <w:highlight w:val="none"/>
                <w14:textFill>
                  <w14:solidFill>
                    <w14:schemeClr w14:val="tx1"/>
                  </w14:solidFill>
                </w14:textFill>
              </w:rPr>
              <w:t>（提示：提供的证明材料必须完全涵盖</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要求的</w:t>
            </w:r>
            <w:r>
              <w:rPr>
                <w:rFonts w:hint="eastAsia" w:ascii="仿宋" w:hAnsi="仿宋" w:eastAsia="仿宋" w:cs="仿宋"/>
                <w:b w:val="0"/>
                <w:bCs/>
                <w:color w:val="000000" w:themeColor="text1"/>
                <w:sz w:val="21"/>
                <w:szCs w:val="21"/>
                <w:highlight w:val="none"/>
                <w14:textFill>
                  <w14:solidFill>
                    <w14:schemeClr w14:val="tx1"/>
                  </w14:solidFill>
                </w14:textFill>
              </w:rPr>
              <w:t>内容，否则视为无效业绩，缺少任何1项都将影响评审结果）</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p>
          <w:p>
            <w:pPr>
              <w:pStyle w:val="45"/>
              <w:spacing w:line="300" w:lineRule="exact"/>
              <w:jc w:val="center"/>
              <w:rPr>
                <w:rFonts w:hint="eastAsia" w:ascii="仿宋" w:hAnsi="仿宋" w:eastAsia="仿宋" w:cs="仿宋"/>
                <w:color w:val="auto"/>
                <w:sz w:val="21"/>
                <w:szCs w:val="21"/>
                <w:highlight w:val="none"/>
                <w:lang w:val="en-US" w:eastAsia="zh-CN"/>
              </w:rPr>
            </w:pPr>
          </w:p>
        </w:tc>
        <w:tc>
          <w:tcPr>
            <w:tcW w:w="3149"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1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服务类</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000000" w:themeColor="text1"/>
                <w:szCs w:val="21"/>
                <w:highlight w:val="none"/>
                <w14:textFill>
                  <w14:solidFill>
                    <w14:schemeClr w14:val="tx1"/>
                  </w14:solidFill>
                </w14:textFill>
              </w:rPr>
              <w:t>2022年1月1日至投标截止日（以合同签署时间为准），投标人应具有至少1个合同的已完工的车辆租赁服务业绩，并提供相应业绩证明文件</w:t>
            </w:r>
            <w:r>
              <w:rPr>
                <w:rFonts w:hint="eastAsia" w:ascii="仿宋" w:hAnsi="仿宋" w:eastAsia="仿宋" w:cs="仿宋"/>
                <w:color w:val="auto"/>
                <w:szCs w:val="21"/>
                <w:highlight w:val="none"/>
              </w:rPr>
              <w:t>；结算金额不低于</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0万元人民币人民币。</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投标人须按规定格式提交业绩表，并提交相关业绩证明文件。业绩证明文件至少包括：1）合同复印件 和2）服务验收证明材料。投标人所提交的业绩证明文件必须至少体现以下内容：3）提供合同对应的结算发票，同时需提供发票所对应的国家税务总局全国增值税发票查验平台的发票查验截图；若业绩合同为年度协议，除提供年度协议外，还需提供已完成订单的结算发票（同时提供发票所对应的国家税务总局全国增值税发票查验平台的发票查验截图），且订单累计金额达到</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0万元人民币，同一个年度协议下提供1个或以上的订单及与订单对应的服务验收证明材料均算为1个有效业绩。</w:t>
            </w:r>
          </w:p>
          <w:p>
            <w:pPr>
              <w:keepNext w:val="0"/>
              <w:keepLines w:val="0"/>
              <w:pageBreakBefore w:val="0"/>
              <w:widowControl w:val="0"/>
              <w:kinsoku/>
              <w:wordWrap/>
              <w:overflowPunct/>
              <w:topLinePunct w:val="0"/>
              <w:autoSpaceDE/>
              <w:autoSpaceDN/>
              <w:bidi w:val="0"/>
              <w:adjustRightInd/>
              <w:snapToGrid/>
              <w:spacing w:line="240" w:lineRule="auto"/>
              <w:ind w:right="10" w:rightChars="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000000" w:themeColor="text1"/>
                <w:szCs w:val="21"/>
                <w:highlight w:val="none"/>
                <w14:textFill>
                  <w14:solidFill>
                    <w14:schemeClr w14:val="tx1"/>
                  </w14:solidFill>
                </w14:textFill>
              </w:rPr>
              <w:t>所提供的业绩证明文件无法体现满足上述业绩要求的，均视为无效业绩。</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auto" w:sz="4" w:space="0"/>
              <w:left w:val="single" w:color="000000" w:sz="6" w:space="0"/>
              <w:bottom w:val="nil"/>
              <w:right w:val="single" w:color="000000" w:sz="4" w:space="0"/>
            </w:tcBorders>
            <w:vAlign w:val="center"/>
          </w:tcPr>
          <w:p>
            <w:pPr>
              <w:pStyle w:val="45"/>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3149" w:type="pct"/>
            <w:tcBorders>
              <w:top w:val="single" w:color="auto" w:sz="4" w:space="0"/>
              <w:left w:val="nil"/>
              <w:bottom w:val="nil"/>
              <w:right w:val="single" w:color="000000" w:sz="4" w:space="0"/>
            </w:tcBorders>
            <w:vAlign w:val="center"/>
          </w:tcPr>
          <w:p>
            <w:pPr>
              <w:pStyle w:val="7"/>
              <w:ind w:right="11"/>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银行电汇 。月度付款。</w:t>
            </w:r>
          </w:p>
          <w:p>
            <w:pPr>
              <w:pStyle w:val="7"/>
              <w:ind w:right="11"/>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甲方及甲方执行方在每月第15日前确认上个月度实际发生的经验收合格的具体工作量，自验收合格之日起，乙方3日内向甲方执行方提供与上个月度《服务委托书》中价款相应的有效增值税专用发票及相关支持文件。如果甲方对乙方出具的该等发票和提供的相关支持文件无异议，甲方在收到发票及相关支持文件之日起四十五（45）日向乙方付款。如付款到期日为非银行工作日，则付款到期日顺延至下一个银行工作日</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tc>
        <w:tc>
          <w:tcPr>
            <w:tcW w:w="288" w:type="pct"/>
            <w:vMerge w:val="continue"/>
            <w:tcBorders>
              <w:left w:val="single" w:color="000000" w:sz="6" w:space="0"/>
              <w:right w:val="single" w:color="000000" w:sz="6" w:space="0"/>
            </w:tcBorders>
            <w:vAlign w:val="center"/>
          </w:tcPr>
          <w:p/>
        </w:tc>
        <w:tc>
          <w:tcPr>
            <w:tcW w:w="1230" w:type="pct"/>
            <w:tcBorders>
              <w:top w:val="single" w:color="000000" w:sz="4" w:space="0"/>
              <w:left w:val="single" w:color="000000" w:sz="6" w:space="0"/>
              <w:bottom w:val="single" w:color="000000" w:sz="4" w:space="0"/>
              <w:right w:val="single" w:color="000000" w:sz="4" w:space="0"/>
            </w:tcBorders>
            <w:vAlign w:val="center"/>
          </w:tcPr>
          <w:p>
            <w:pPr>
              <w:jc w:val="center"/>
              <w:rPr>
                <w:rFonts w:hint="eastAsia" w:eastAsiaTheme="minorEastAsia"/>
                <w:lang w:val="en-US" w:eastAsia="zh-CN"/>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合同条款</w:t>
            </w:r>
          </w:p>
        </w:tc>
        <w:tc>
          <w:tcPr>
            <w:tcW w:w="3149" w:type="pct"/>
            <w:tcBorders>
              <w:top w:val="single" w:color="000000" w:sz="4" w:space="0"/>
              <w:left w:val="nil"/>
              <w:bottom w:val="single" w:color="000000" w:sz="4" w:space="0"/>
              <w:right w:val="single" w:color="000000" w:sz="4" w:space="0"/>
            </w:tcBorders>
            <w:vAlign w:val="center"/>
          </w:tcPr>
          <w:p>
            <w:pPr>
              <w:rPr>
                <w:rFonts w:hint="default" w:eastAsiaTheme="minorEastAsia"/>
                <w:lang w:val="en-US" w:eastAsia="zh-CN"/>
              </w:rPr>
            </w:pPr>
            <w:r>
              <w:rPr>
                <w:rFonts w:hint="eastAsia"/>
                <w:lang w:val="en-US" w:eastAsia="zh-CN"/>
              </w:rPr>
              <w:t>详见</w:t>
            </w:r>
            <w:r>
              <w:rPr>
                <w:rFonts w:hint="eastAsia"/>
              </w:rPr>
              <w:t>附件3： 合同文本</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tc>
        <w:tc>
          <w:tcPr>
            <w:tcW w:w="288" w:type="pct"/>
            <w:vMerge w:val="continue"/>
            <w:tcBorders>
              <w:left w:val="single" w:color="000000" w:sz="6" w:space="0"/>
              <w:right w:val="single" w:color="000000" w:sz="6" w:space="0"/>
            </w:tcBorders>
            <w:vAlign w:val="center"/>
          </w:tcPr>
          <w:p/>
        </w:tc>
        <w:tc>
          <w:tcPr>
            <w:tcW w:w="1230" w:type="pct"/>
            <w:tcBorders>
              <w:top w:val="single" w:color="000000" w:sz="4" w:space="0"/>
              <w:left w:val="single" w:color="000000" w:sz="6" w:space="0"/>
              <w:bottom w:val="single" w:color="000000" w:sz="4" w:space="0"/>
              <w:right w:val="single" w:color="000000" w:sz="4" w:space="0"/>
            </w:tcBorders>
            <w:vAlign w:val="center"/>
          </w:tcPr>
          <w:p>
            <w:pPr>
              <w:widowControl/>
              <w:jc w:val="cente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sz w:val="21"/>
                <w:szCs w:val="21"/>
                <w:lang w:val="en-US" w:eastAsia="zh-CN"/>
              </w:rPr>
              <w:t>★</w:t>
            </w:r>
            <w:r>
              <w:rPr>
                <w:rFonts w:hint="eastAsia" w:ascii="仿宋" w:hAnsi="仿宋" w:eastAsia="仿宋" w:cs="仿宋"/>
                <w:bCs/>
                <w:kern w:val="0"/>
                <w:sz w:val="21"/>
                <w:szCs w:val="21"/>
                <w:lang w:val="en-US" w:eastAsia="zh-CN" w:bidi="ar-SA"/>
              </w:rPr>
              <w:t>服务地点</w:t>
            </w:r>
          </w:p>
        </w:tc>
        <w:tc>
          <w:tcPr>
            <w:tcW w:w="3149" w:type="pct"/>
            <w:tcBorders>
              <w:top w:val="single" w:color="000000" w:sz="4" w:space="0"/>
              <w:left w:val="nil"/>
              <w:bottom w:val="single" w:color="000000" w:sz="4" w:space="0"/>
              <w:right w:val="single" w:color="000000" w:sz="4" w:space="0"/>
            </w:tcBorders>
            <w:vAlign w:val="center"/>
          </w:tcPr>
          <w:p>
            <w:pPr>
              <w:widowControl/>
              <w:jc w:val="both"/>
              <w:rPr>
                <w:rFonts w:hint="eastAsia"/>
                <w:lang w:val="en-US" w:eastAsia="zh-CN"/>
              </w:rPr>
            </w:pPr>
            <w:r>
              <w:rPr>
                <w:rFonts w:hint="default" w:ascii="仿宋" w:hAnsi="仿宋" w:eastAsia="仿宋" w:cs="仿宋"/>
                <w:bCs/>
                <w:kern w:val="0"/>
                <w:szCs w:val="21"/>
              </w:rPr>
              <w:t>福建莆田地区</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45"/>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149" w:type="pct"/>
            <w:tcBorders>
              <w:top w:val="single" w:color="000000" w:sz="4" w:space="0"/>
              <w:left w:val="nil"/>
              <w:bottom w:val="single" w:color="000000" w:sz="4" w:space="0"/>
              <w:right w:val="single" w:color="000000" w:sz="4" w:space="0"/>
            </w:tcBorders>
            <w:vAlign w:val="center"/>
          </w:tcPr>
          <w:p>
            <w:pPr>
              <w:pStyle w:val="45"/>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1.一般商务指标偏离超过1项，则评议不合格。</w:t>
            </w:r>
          </w:p>
          <w:p>
            <w:pPr>
              <w:pStyle w:val="45"/>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45"/>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3.商务偏离表，不提供视为无偏离。</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bottom w:val="single" w:color="auto" w:sz="4"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bottom w:val="single" w:color="auto" w:sz="4"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45"/>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w:t>
            </w:r>
          </w:p>
        </w:tc>
        <w:tc>
          <w:tcPr>
            <w:tcW w:w="3149"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454" w:hRule="atLeast"/>
          <w:jc w:val="center"/>
        </w:trPr>
        <w:tc>
          <w:tcPr>
            <w:tcW w:w="331" w:type="pct"/>
            <w:vMerge w:val="restart"/>
            <w:tcBorders>
              <w:top w:val="single" w:color="auto" w:sz="4" w:space="0"/>
              <w:left w:val="single" w:color="auto" w:sz="4" w:space="0"/>
              <w:bottom w:val="single" w:color="auto" w:sz="4" w:space="0"/>
              <w:right w:val="single" w:color="auto" w:sz="4" w:space="0"/>
            </w:tcBorders>
            <w:vAlign w:val="center"/>
          </w:tcPr>
          <w:p>
            <w:pPr>
              <w:pStyle w:val="45"/>
              <w:spacing w:line="300" w:lineRule="exact"/>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2</w:t>
            </w:r>
          </w:p>
        </w:tc>
        <w:tc>
          <w:tcPr>
            <w:tcW w:w="288"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45"/>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技术标准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规格型号</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/服务范围</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详见附件2</w:t>
            </w:r>
          </w:p>
        </w:tc>
      </w:tr>
      <w:tr>
        <w:tblPrEx>
          <w:tblCellMar>
            <w:top w:w="0" w:type="dxa"/>
            <w:left w:w="0" w:type="dxa"/>
            <w:bottom w:w="0" w:type="dxa"/>
            <w:right w:w="0" w:type="dxa"/>
          </w:tblCellMar>
        </w:tblPrEx>
        <w:trPr>
          <w:trHeight w:val="454" w:hRule="atLeast"/>
          <w:jc w:val="center"/>
        </w:trPr>
        <w:tc>
          <w:tcPr>
            <w:tcW w:w="331"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pStyle w:val="45"/>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交货期</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/服务期</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自合同签订之日起3年内有效，在合同执行阶段采用“1+1+1”的方式，即合同届满1年，若甲乙双方对合同条款及合同价格均无异议，自动顺延一年，最多顺延2年。协议期满后，如有未执行完毕的订单，该订单应履行完毕</w:t>
            </w:r>
          </w:p>
        </w:tc>
      </w:tr>
      <w:tr>
        <w:tblPrEx>
          <w:tblCellMar>
            <w:top w:w="0" w:type="dxa"/>
            <w:left w:w="0" w:type="dxa"/>
            <w:bottom w:w="0" w:type="dxa"/>
            <w:right w:w="0" w:type="dxa"/>
          </w:tblCellMar>
        </w:tblPrEx>
        <w:trPr>
          <w:trHeight w:val="454" w:hRule="atLeast"/>
          <w:jc w:val="center"/>
        </w:trPr>
        <w:tc>
          <w:tcPr>
            <w:tcW w:w="331"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pStyle w:val="45"/>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rightChars="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★服务</w:t>
            </w:r>
            <w:r>
              <w:rPr>
                <w:rFonts w:hint="eastAsia" w:ascii="仿宋" w:hAnsi="仿宋" w:eastAsia="仿宋" w:cs="仿宋"/>
                <w:color w:val="000000" w:themeColor="text1"/>
                <w:szCs w:val="21"/>
                <w:lang w:val="en-US" w:eastAsia="zh-CN"/>
                <w14:textFill>
                  <w14:solidFill>
                    <w14:schemeClr w14:val="tx1"/>
                  </w14:solidFill>
                </w14:textFill>
              </w:rPr>
              <w:t>要求</w:t>
            </w:r>
            <w:r>
              <w:rPr>
                <w:rFonts w:hint="eastAsia" w:ascii="仿宋" w:hAnsi="仿宋" w:eastAsia="仿宋" w:cs="仿宋"/>
                <w:color w:val="000000" w:themeColor="text1"/>
                <w:szCs w:val="21"/>
                <w14:textFill>
                  <w14:solidFill>
                    <w14:schemeClr w14:val="tx1"/>
                  </w14:solidFill>
                </w14:textFill>
              </w:rPr>
              <w:t>和范围</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详见附件2</w:t>
            </w:r>
          </w:p>
        </w:tc>
      </w:tr>
      <w:tr>
        <w:tblPrEx>
          <w:tblCellMar>
            <w:top w:w="0" w:type="dxa"/>
            <w:left w:w="0" w:type="dxa"/>
            <w:bottom w:w="0" w:type="dxa"/>
            <w:right w:w="0" w:type="dxa"/>
          </w:tblCellMar>
        </w:tblPrEx>
        <w:trPr>
          <w:trHeight w:val="454" w:hRule="atLeast"/>
          <w:jc w:val="center"/>
        </w:trPr>
        <w:tc>
          <w:tcPr>
            <w:tcW w:w="331"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pStyle w:val="45"/>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pStyle w:val="8"/>
              <w:tabs>
                <w:tab w:val="left" w:pos="770"/>
              </w:tabs>
              <w:ind w:left="0" w:leftChars="0" w:right="134" w:rightChars="0"/>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auto"/>
                <w:sz w:val="21"/>
                <w:szCs w:val="21"/>
                <w:highlight w:val="none"/>
                <w:lang w:val="en-US" w:eastAsia="zh-CN"/>
              </w:rPr>
              <w:t>★承诺</w:t>
            </w:r>
          </w:p>
        </w:tc>
        <w:tc>
          <w:tcPr>
            <w:tcW w:w="3149" w:type="pct"/>
            <w:tcBorders>
              <w:top w:val="single" w:color="000000" w:sz="4" w:space="0"/>
              <w:left w:val="single" w:color="auto" w:sz="4" w:space="0"/>
              <w:bottom w:val="single" w:color="000000" w:sz="4" w:space="0"/>
              <w:right w:val="single" w:color="000000" w:sz="4" w:space="0"/>
            </w:tcBorders>
            <w:vAlign w:val="center"/>
          </w:tcPr>
          <w:p>
            <w:pPr>
              <w:ind w:firstLine="0" w:firstLineChars="0"/>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1、乙方应向甲方书面承诺（格式自拟）：C1驾驶证准予驾驶小型汽车，即可驾驶总质量不超过 4.5t、乘坐人数（包括驾驶员）不超过9人且车长 6m 以下的汽车。准予驾驶的其他准驾车型：C2、C3、C4。                                                      2、供应商应提供承诺函（格式自拟），其车辆符合本合同、法律法规、行业规范、标准和良好的行业惯例的要求，不存在任何缺陷。如因供应商原因，造成甲方直接经济损失，供应商应给与甲方响应补偿，甲方有权要求供应商限期整改，并有权终止合同。</w:t>
            </w:r>
          </w:p>
          <w:p>
            <w:pPr>
              <w:ind w:firstLine="0" w:firstLineChars="0"/>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lang w:eastAsia="zh-CN"/>
                <w14:textFill>
                  <w14:solidFill>
                    <w14:schemeClr w14:val="tx1"/>
                  </w14:solidFill>
                </w14:textFill>
              </w:rPr>
              <w:t>3、</w:t>
            </w:r>
            <w:r>
              <w:rPr>
                <w:rFonts w:hint="eastAsia" w:ascii="仿宋" w:hAnsi="仿宋" w:eastAsia="仿宋" w:cs="仿宋"/>
                <w:bCs/>
                <w:color w:val="000000" w:themeColor="text1"/>
                <w:kern w:val="0"/>
                <w:szCs w:val="21"/>
                <w14:textFill>
                  <w14:solidFill>
                    <w14:schemeClr w14:val="tx1"/>
                  </w14:solidFill>
                </w14:textFill>
              </w:rPr>
              <w:t>乙方应向甲方书面承诺（格式自拟）：合同签署60日内，乙方提供车辆服务；同时，乙方负担保险包括但不限于：为服务车辆购买交强险、财产险、第三者责任保险、乘客责任保险及其它相关保险，具体为司乘险/承运人责任险（≥20万元）、车辆损失险、车辆盗抢险、涉水险、自燃险、公路货物运输险、第三者责任险（≥200万元）、不计免赔附加险、无过失险，且保险应在有效期限内。</w:t>
            </w:r>
          </w:p>
          <w:p>
            <w:pPr>
              <w:ind w:firstLine="0" w:firstLineChars="0"/>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lang w:val="en-US" w:eastAsia="zh-CN"/>
                <w14:textFill>
                  <w14:solidFill>
                    <w14:schemeClr w14:val="tx1"/>
                  </w14:solidFill>
                </w14:textFill>
              </w:rPr>
              <w:t>4、</w:t>
            </w:r>
            <w:r>
              <w:rPr>
                <w:rFonts w:hint="eastAsia" w:ascii="仿宋" w:hAnsi="仿宋" w:eastAsia="仿宋" w:cs="仿宋"/>
                <w:bCs/>
                <w:color w:val="000000" w:themeColor="text1"/>
                <w:kern w:val="0"/>
                <w:szCs w:val="21"/>
                <w14:textFill>
                  <w14:solidFill>
                    <w14:schemeClr w14:val="tx1"/>
                  </w14:solidFill>
                </w14:textFill>
              </w:rPr>
              <w:t>乙方应向甲方书面承诺（格式自拟）：★性能不低于长城汽车-长城炮（2025款 2.0T商用炮 自动汽油四驱舒适型 标箱GW4C20B）车况良好，车辆生产日期不超过1年，行驶里程不超过2000公里，且不能为事故车,同时，车上应配置座椅套、防滑地垫（需要整块、不能太零碎影响使用）。</w:t>
            </w:r>
          </w:p>
          <w:p>
            <w:pPr>
              <w:ind w:firstLine="0" w:firstLineChars="0"/>
              <w:rPr>
                <w:rFonts w:hint="eastAsia" w:ascii="仿宋" w:hAnsi="仿宋" w:eastAsia="仿宋" w:cs="仿宋"/>
                <w:bCs/>
                <w:color w:val="000000" w:themeColor="text1"/>
                <w:kern w:val="0"/>
                <w:szCs w:val="21"/>
                <w:lang w:val="en-US" w:eastAsia="zh-CN"/>
                <w14:textFill>
                  <w14:solidFill>
                    <w14:schemeClr w14:val="tx1"/>
                  </w14:solidFill>
                </w14:textFill>
              </w:rPr>
            </w:pPr>
            <w:r>
              <w:rPr>
                <w:rFonts w:hint="eastAsia" w:ascii="仿宋" w:hAnsi="仿宋" w:eastAsia="仿宋" w:cs="仿宋"/>
                <w:bCs/>
                <w:color w:val="000000" w:themeColor="text1"/>
                <w:kern w:val="0"/>
                <w:szCs w:val="21"/>
                <w:lang w:val="en-US" w:eastAsia="zh-CN"/>
                <w14:textFill>
                  <w14:solidFill>
                    <w14:schemeClr w14:val="tx1"/>
                  </w14:solidFill>
                </w14:textFill>
              </w:rPr>
              <w:t>5、</w:t>
            </w:r>
            <w:r>
              <w:rPr>
                <w:rFonts w:hint="eastAsia" w:ascii="仿宋" w:hAnsi="仿宋" w:eastAsia="仿宋" w:cs="仿宋"/>
                <w:bCs/>
                <w:color w:val="000000" w:themeColor="text1"/>
                <w:kern w:val="0"/>
                <w:szCs w:val="21"/>
                <w14:textFill>
                  <w14:solidFill>
                    <w14:schemeClr w14:val="tx1"/>
                  </w14:solidFill>
                </w14:textFill>
              </w:rPr>
              <w:t>乙方应向甲方书面承诺（格式自拟）：★驾驶员应为年满18周岁中国公民，并取得合法有效的机动车驾驶证，机动车驾驶员年龄不得超过45周岁，人员应均无吸毒史、犯罪等不良记录，熟知机动车驾驶业务知识及国家法律法规，机动车驾驶证不低于为C1。</w:t>
            </w:r>
          </w:p>
        </w:tc>
      </w:tr>
      <w:tr>
        <w:tblPrEx>
          <w:tblCellMar>
            <w:top w:w="0" w:type="dxa"/>
            <w:left w:w="0" w:type="dxa"/>
            <w:bottom w:w="0" w:type="dxa"/>
            <w:right w:w="0" w:type="dxa"/>
          </w:tblCellMar>
        </w:tblPrEx>
        <w:trPr>
          <w:trHeight w:val="454" w:hRule="atLeast"/>
          <w:jc w:val="center"/>
        </w:trPr>
        <w:tc>
          <w:tcPr>
            <w:tcW w:w="331"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pStyle w:val="45"/>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149" w:type="pct"/>
            <w:tcBorders>
              <w:top w:val="single" w:color="000000" w:sz="4" w:space="0"/>
              <w:left w:val="single" w:color="auto" w:sz="4" w:space="0"/>
              <w:bottom w:val="single" w:color="000000" w:sz="4" w:space="0"/>
              <w:right w:val="single" w:color="000000" w:sz="4" w:space="0"/>
            </w:tcBorders>
            <w:vAlign w:val="center"/>
          </w:tcPr>
          <w:p>
            <w:pPr>
              <w:pStyle w:val="45"/>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1、一般技术指标偏离超过1项，则评议不合格。</w:t>
            </w:r>
          </w:p>
          <w:p>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2"/>
              <w:ind w:left="0" w:leftChars="0" w:firstLine="0" w:firstLineChars="0"/>
              <w:rPr>
                <w:rFonts w:hint="default"/>
                <w:lang w:val="en-US"/>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3.技术偏离表，不提供视为无偏离。</w:t>
            </w:r>
          </w:p>
        </w:tc>
      </w:tr>
      <w:tr>
        <w:tblPrEx>
          <w:tblCellMar>
            <w:top w:w="0" w:type="dxa"/>
            <w:left w:w="0" w:type="dxa"/>
            <w:bottom w:w="0" w:type="dxa"/>
            <w:right w:w="0" w:type="dxa"/>
          </w:tblCellMar>
        </w:tblPrEx>
        <w:trPr>
          <w:trHeight w:val="454" w:hRule="atLeast"/>
          <w:jc w:val="center"/>
        </w:trPr>
        <w:tc>
          <w:tcPr>
            <w:tcW w:w="331"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ab/>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p>
        </w:tc>
      </w:tr>
      <w:tr>
        <w:trPr>
          <w:trHeight w:val="2401"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pPr>
              <w:pStyle w:val="45"/>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288" w:type="pct"/>
            <w:tcBorders>
              <w:top w:val="single" w:color="auto" w:sz="4" w:space="0"/>
              <w:left w:val="single" w:color="auto" w:sz="4" w:space="0"/>
              <w:bottom w:val="single" w:color="auto" w:sz="4" w:space="0"/>
              <w:right w:val="single" w:color="auto" w:sz="4" w:space="0"/>
            </w:tcBorders>
            <w:vAlign w:val="center"/>
          </w:tcPr>
          <w:p>
            <w:pPr>
              <w:pStyle w:val="45"/>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pPr>
              <w:pStyle w:val="45"/>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pPr>
              <w:pStyle w:val="45"/>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45"/>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149"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r>
        <w:tblPrEx>
          <w:tblCellMar>
            <w:top w:w="0" w:type="dxa"/>
            <w:left w:w="0" w:type="dxa"/>
            <w:bottom w:w="0" w:type="dxa"/>
            <w:right w:w="0" w:type="dxa"/>
          </w:tblCellMar>
        </w:tblPrEx>
        <w:trPr>
          <w:trHeight w:val="454"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4</w:t>
            </w:r>
          </w:p>
        </w:tc>
        <w:tc>
          <w:tcPr>
            <w:tcW w:w="1518" w:type="pct"/>
            <w:gridSpan w:val="2"/>
            <w:tcBorders>
              <w:top w:val="single" w:color="auto" w:sz="4" w:space="0"/>
              <w:left w:val="single" w:color="auto" w:sz="4" w:space="0"/>
              <w:bottom w:val="single" w:color="auto" w:sz="4" w:space="0"/>
              <w:right w:val="single" w:color="000000" w:sz="4" w:space="0"/>
            </w:tcBorders>
            <w:vAlign w:val="center"/>
          </w:tcPr>
          <w:p>
            <w:pPr>
              <w:pStyle w:val="45"/>
              <w:numPr>
                <w:ilvl w:val="-1"/>
                <w:numId w:val="0"/>
              </w:numPr>
              <w:jc w:val="center"/>
              <w:rPr>
                <w:rFonts w:hint="eastAsia" w:ascii="仿宋" w:hAnsi="仿宋" w:eastAsia="仿宋" w:cs="仿宋"/>
                <w:color w:val="C00000"/>
                <w:kern w:val="2"/>
                <w:sz w:val="21"/>
                <w:szCs w:val="21"/>
                <w:highlight w:val="none"/>
                <w:lang w:val="en-US" w:eastAsia="zh-CN" w:bidi="ar-SA"/>
              </w:rPr>
            </w:pPr>
          </w:p>
          <w:p>
            <w:pPr>
              <w:pStyle w:val="45"/>
              <w:numPr>
                <w:ilvl w:val="-1"/>
                <w:numId w:val="0"/>
              </w:numPr>
              <w:jc w:val="center"/>
              <w:rPr>
                <w:rFonts w:hint="eastAsia" w:ascii="仿宋" w:hAnsi="仿宋" w:eastAsia="仿宋" w:cs="仿宋"/>
                <w:color w:val="C00000"/>
                <w:kern w:val="2"/>
                <w:sz w:val="21"/>
                <w:szCs w:val="21"/>
                <w:highlight w:val="none"/>
                <w:lang w:eastAsia="zh-CN"/>
              </w:rPr>
            </w:pPr>
            <w:r>
              <w:rPr>
                <w:rFonts w:hint="eastAsia" w:ascii="仿宋" w:hAnsi="仿宋" w:eastAsia="仿宋" w:cs="仿宋"/>
                <w:bCs/>
                <w:color w:val="000000" w:themeColor="text1"/>
                <w:kern w:val="0"/>
                <w:sz w:val="21"/>
                <w:szCs w:val="21"/>
                <w:highlight w:val="none"/>
                <w14:textFill>
                  <w14:solidFill>
                    <w14:schemeClr w14:val="tx1"/>
                  </w14:solidFill>
                </w14:textFill>
              </w:rPr>
              <w:t>其他补充要求</w:t>
            </w:r>
          </w:p>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149" w:type="pct"/>
            <w:tcBorders>
              <w:top w:val="single" w:color="000000" w:sz="4" w:space="0"/>
              <w:left w:val="nil"/>
              <w:bottom w:val="single" w:color="000000" w:sz="4" w:space="0"/>
              <w:right w:val="single" w:color="000000" w:sz="4" w:space="0"/>
            </w:tcBorders>
            <w:vAlign w:val="center"/>
          </w:tcPr>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《招标投标法实施条例》第四十条　串通投标的认定</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有下列情形之一的，视为投标人相互串通投标：</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(一)不同投标人的投标文件由同一单位或者个人编制；</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(二)不同投标人委托同一单位或者个人办理投标事宜；</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(三)不同投标人的投标文件载明的项目管理成员为同一人；</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(四)不同投标人的投标文件异常一致或者投标报价呈规律性差异；</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(五)不同投标人的投标文件相互混装；</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(六)不同投标人的投标保证金从同一单位或者个人的账户转出（此条不适用于询价采购）。</w:t>
            </w:r>
          </w:p>
          <w:p>
            <w:pPr>
              <w:pStyle w:val="7"/>
              <w:ind w:right="11" w:firstLine="420"/>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报价文件特征码：若发现不同投标人在采办信息系统上“报价文件特征码”环节里“文件制作机器码、文件创建标识码和MAC地址”中的任何一类内容一致时，视为投标人相互串通投标，否决所有涉及投标人的投标。</w:t>
            </w:r>
          </w:p>
        </w:tc>
      </w:tr>
    </w:tbl>
    <w:p/>
    <w:p>
      <w:pPr>
        <w:pStyle w:val="2"/>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ind w:firstLine="0" w:firstLineChars="0"/>
        <w:outlineLvl w:val="0"/>
        <w:rPr>
          <w:rFonts w:ascii="黑体" w:hAnsi="黑体" w:eastAsia="黑体"/>
          <w:color w:val="000000" w:themeColor="text1"/>
          <w:sz w:val="21"/>
          <w:szCs w:val="21"/>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pPr>
        <w:pStyle w:val="4"/>
        <w:numPr>
          <w:ilvl w:val="0"/>
          <w:numId w:val="2"/>
        </w:numPr>
        <w:spacing w:line="360" w:lineRule="auto"/>
        <w:rPr>
          <w:rFonts w:hint="eastAsia" w:ascii="宋体" w:hAnsi="宋体" w:eastAsia="宋体" w:cs="宋体"/>
          <w:b/>
          <w:sz w:val="22"/>
          <w:szCs w:val="22"/>
        </w:rPr>
      </w:pPr>
      <w:bookmarkStart w:id="2" w:name="_Toc13248927"/>
      <w:bookmarkStart w:id="3" w:name="_Toc13249324"/>
      <w:r>
        <w:rPr>
          <w:rFonts w:hint="eastAsia" w:ascii="宋体" w:hAnsi="宋体" w:eastAsia="宋体" w:cs="宋体"/>
          <w:b/>
          <w:sz w:val="22"/>
          <w:szCs w:val="22"/>
        </w:rPr>
        <w:t>项目概况及总体要求</w:t>
      </w:r>
    </w:p>
    <w:p>
      <w:pPr>
        <w:pStyle w:val="8"/>
        <w:spacing w:line="360" w:lineRule="auto"/>
        <w:ind w:right="122" w:firstLine="480"/>
        <w:rPr>
          <w:rFonts w:hint="eastAsia" w:ascii="宋体" w:hAnsi="宋体" w:eastAsia="宋体" w:cs="宋体"/>
          <w:sz w:val="22"/>
          <w:szCs w:val="22"/>
          <w:lang w:eastAsia="zh-CN"/>
        </w:rPr>
      </w:pPr>
      <w:r>
        <w:rPr>
          <w:rFonts w:hint="eastAsia" w:ascii="宋体" w:hAnsi="宋体" w:eastAsia="宋体" w:cs="宋体"/>
          <w:sz w:val="22"/>
          <w:szCs w:val="22"/>
          <w:lang w:eastAsia="zh-CN"/>
        </w:rPr>
        <w:t>本技术要求书描述了中海油能源物流有限公司上海分公司（简称甲方）对</w:t>
      </w:r>
      <w:r>
        <w:rPr>
          <w:rFonts w:hint="eastAsia" w:ascii="宋体" w:hAnsi="宋体" w:eastAsia="宋体" w:cs="宋体"/>
          <w:sz w:val="22"/>
          <w:szCs w:val="22"/>
          <w:lang w:val="en-US" w:eastAsia="zh-CN"/>
        </w:rPr>
        <w:t>皮卡车</w:t>
      </w:r>
      <w:r>
        <w:rPr>
          <w:rFonts w:hint="eastAsia" w:ascii="宋体" w:hAnsi="宋体" w:eastAsia="宋体" w:cs="宋体"/>
          <w:sz w:val="22"/>
          <w:szCs w:val="22"/>
          <w:lang w:eastAsia="zh-CN"/>
        </w:rPr>
        <w:t>赁服务的最低要求，提供服务单位（简称乙方）在开展相应服务工作中应严格遵循本技术要求书相关内容。</w:t>
      </w:r>
    </w:p>
    <w:p>
      <w:pPr>
        <w:pStyle w:val="8"/>
        <w:spacing w:line="360" w:lineRule="auto"/>
        <w:ind w:right="122" w:firstLine="480"/>
        <w:rPr>
          <w:rFonts w:hint="eastAsia" w:ascii="宋体" w:hAnsi="宋体" w:eastAsia="宋体" w:cs="宋体"/>
          <w:sz w:val="22"/>
          <w:szCs w:val="22"/>
          <w:lang w:eastAsia="zh-CN"/>
        </w:rPr>
      </w:pPr>
      <w:r>
        <w:rPr>
          <w:rFonts w:hint="eastAsia" w:ascii="宋体" w:hAnsi="宋体" w:eastAsia="宋体" w:cs="宋体"/>
          <w:sz w:val="22"/>
          <w:szCs w:val="22"/>
          <w:lang w:val="en-US" w:eastAsia="zh-CN"/>
        </w:rPr>
        <w:t>标准应用情况概述：本需求应用《中国海油采购标准体系建设-车辆服务》（CGBZ060-2021）。因本项目需求车型为皮卡车，属于多用途货车，标准中部分内容无法完全满足实际运输需求，所以此标准为部分引用。</w:t>
      </w:r>
    </w:p>
    <w:p>
      <w:pPr>
        <w:pStyle w:val="4"/>
        <w:spacing w:line="360" w:lineRule="auto"/>
        <w:rPr>
          <w:rFonts w:hint="eastAsia" w:ascii="宋体" w:hAnsi="宋体" w:eastAsia="宋体" w:cs="宋体"/>
          <w:b/>
          <w:sz w:val="22"/>
          <w:szCs w:val="22"/>
        </w:rPr>
      </w:pPr>
      <w:r>
        <w:rPr>
          <w:rFonts w:hint="eastAsia" w:ascii="宋体" w:hAnsi="宋体" w:eastAsia="宋体" w:cs="宋体"/>
          <w:b/>
          <w:sz w:val="22"/>
          <w:szCs w:val="22"/>
        </w:rPr>
        <w:t>二、服务内容和范围</w:t>
      </w:r>
    </w:p>
    <w:p>
      <w:pPr>
        <w:pStyle w:val="8"/>
        <w:spacing w:line="360" w:lineRule="auto"/>
        <w:ind w:right="115" w:rightChars="55" w:firstLine="0" w:firstLineChars="0"/>
        <w:rPr>
          <w:rFonts w:hint="eastAsia" w:ascii="宋体" w:hAnsi="宋体" w:eastAsia="宋体" w:cs="宋体"/>
          <w:sz w:val="22"/>
          <w:szCs w:val="22"/>
          <w:lang w:eastAsia="zh-CN"/>
        </w:rPr>
      </w:pPr>
      <w:r>
        <w:rPr>
          <w:rFonts w:hint="eastAsia" w:ascii="宋体" w:hAnsi="宋体" w:eastAsia="宋体" w:cs="宋体"/>
          <w:sz w:val="22"/>
          <w:szCs w:val="22"/>
          <w:lang w:eastAsia="zh-CN"/>
        </w:rPr>
        <w:t>1、服务内容</w:t>
      </w:r>
    </w:p>
    <w:p>
      <w:pPr>
        <w:pStyle w:val="8"/>
        <w:spacing w:line="360" w:lineRule="auto"/>
        <w:ind w:right="115" w:rightChars="55" w:firstLine="480"/>
        <w:rPr>
          <w:rFonts w:hint="eastAsia" w:ascii="宋体" w:hAnsi="宋体" w:eastAsia="宋体" w:cs="宋体"/>
          <w:sz w:val="22"/>
          <w:szCs w:val="22"/>
          <w:lang w:eastAsia="zh-CN"/>
        </w:rPr>
      </w:pPr>
      <w:r>
        <w:rPr>
          <w:rFonts w:hint="eastAsia" w:ascii="宋体" w:hAnsi="宋体" w:eastAsia="宋体" w:cs="宋体"/>
          <w:sz w:val="22"/>
          <w:szCs w:val="22"/>
          <w:lang w:eastAsia="zh-CN"/>
        </w:rPr>
        <w:t>中海油能源物流有限公司上海分公司</w:t>
      </w:r>
      <w:r>
        <w:rPr>
          <w:rFonts w:hint="eastAsia" w:ascii="宋体" w:hAnsi="宋体" w:eastAsia="宋体" w:cs="宋体"/>
          <w:sz w:val="22"/>
          <w:szCs w:val="22"/>
          <w:lang w:val="en-US" w:eastAsia="zh-CN"/>
        </w:rPr>
        <w:t>皮卡车</w:t>
      </w:r>
      <w:r>
        <w:rPr>
          <w:rFonts w:hint="eastAsia" w:ascii="宋体" w:hAnsi="宋体" w:eastAsia="宋体" w:cs="宋体"/>
          <w:sz w:val="22"/>
          <w:szCs w:val="22"/>
          <w:lang w:eastAsia="zh-CN"/>
        </w:rPr>
        <w:t>租赁服务。</w:t>
      </w:r>
    </w:p>
    <w:p>
      <w:pPr>
        <w:pStyle w:val="8"/>
        <w:numPr>
          <w:ilvl w:val="0"/>
          <w:numId w:val="3"/>
        </w:numPr>
        <w:spacing w:line="360" w:lineRule="auto"/>
        <w:ind w:right="115" w:rightChars="55" w:firstLine="0" w:firstLineChars="0"/>
        <w:rPr>
          <w:rFonts w:hint="eastAsia" w:ascii="宋体" w:hAnsi="宋体" w:eastAsia="宋体" w:cs="宋体"/>
          <w:sz w:val="22"/>
          <w:szCs w:val="22"/>
          <w:lang w:eastAsia="zh-CN"/>
        </w:rPr>
      </w:pPr>
      <w:r>
        <w:rPr>
          <w:rFonts w:hint="eastAsia" w:ascii="宋体" w:hAnsi="宋体" w:eastAsia="宋体" w:cs="宋体"/>
          <w:sz w:val="22"/>
          <w:szCs w:val="22"/>
          <w:lang w:eastAsia="zh-CN"/>
        </w:rPr>
        <w:t>车辆要求、工作量及计费模式</w:t>
      </w:r>
    </w:p>
    <w:p>
      <w:pPr>
        <w:widowControl w:val="0"/>
        <w:numPr>
          <w:ilvl w:val="0"/>
          <w:numId w:val="0"/>
        </w:numPr>
        <w:rPr>
          <w:rFonts w:hint="eastAsia" w:ascii="宋体" w:hAnsi="宋体" w:eastAsia="宋体" w:cs="宋体"/>
          <w:sz w:val="22"/>
          <w:szCs w:val="22"/>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442"/>
        <w:gridCol w:w="3488"/>
        <w:gridCol w:w="1537"/>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000" w:type="dxa"/>
            <w:vAlign w:val="center"/>
          </w:tcPr>
          <w:p>
            <w:pPr>
              <w:pStyle w:val="22"/>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序号</w:t>
            </w:r>
          </w:p>
        </w:tc>
        <w:tc>
          <w:tcPr>
            <w:tcW w:w="1442" w:type="dxa"/>
            <w:vAlign w:val="center"/>
          </w:tcPr>
          <w:p>
            <w:pPr>
              <w:pStyle w:val="22"/>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服务内容</w:t>
            </w:r>
          </w:p>
        </w:tc>
        <w:tc>
          <w:tcPr>
            <w:tcW w:w="3488" w:type="dxa"/>
            <w:vAlign w:val="center"/>
          </w:tcPr>
          <w:p>
            <w:pPr>
              <w:pStyle w:val="22"/>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技术要求</w:t>
            </w:r>
          </w:p>
        </w:tc>
        <w:tc>
          <w:tcPr>
            <w:tcW w:w="1537" w:type="dxa"/>
            <w:vAlign w:val="center"/>
          </w:tcPr>
          <w:p>
            <w:pPr>
              <w:pStyle w:val="22"/>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数量</w:t>
            </w:r>
          </w:p>
        </w:tc>
        <w:tc>
          <w:tcPr>
            <w:tcW w:w="891" w:type="dxa"/>
            <w:vAlign w:val="center"/>
          </w:tcPr>
          <w:p>
            <w:pPr>
              <w:pStyle w:val="22"/>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000" w:type="dxa"/>
            <w:vAlign w:val="center"/>
          </w:tcPr>
          <w:p>
            <w:pPr>
              <w:pStyle w:val="22"/>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p>
        </w:tc>
        <w:tc>
          <w:tcPr>
            <w:tcW w:w="1442" w:type="dxa"/>
            <w:vAlign w:val="center"/>
          </w:tcPr>
          <w:p>
            <w:pPr>
              <w:pStyle w:val="22"/>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车辆租赁</w:t>
            </w:r>
          </w:p>
        </w:tc>
        <w:tc>
          <w:tcPr>
            <w:tcW w:w="3488" w:type="dxa"/>
            <w:vAlign w:val="center"/>
          </w:tcPr>
          <w:p>
            <w:pPr>
              <w:pStyle w:val="22"/>
              <w:ind w:left="0" w:leftChars="0" w:firstLine="0" w:firstLineChars="0"/>
              <w:jc w:val="both"/>
              <w:rPr>
                <w:rFonts w:hint="eastAsia" w:ascii="宋体" w:hAnsi="宋体" w:eastAsia="宋体" w:cs="宋体"/>
                <w:sz w:val="22"/>
                <w:szCs w:val="22"/>
                <w:vertAlign w:val="baseline"/>
                <w:lang w:eastAsia="zh-CN"/>
              </w:rPr>
            </w:pPr>
            <w:r>
              <w:rPr>
                <w:rFonts w:hint="eastAsia" w:ascii="宋体" w:hAnsi="宋体" w:eastAsia="宋体" w:cs="宋体"/>
                <w:sz w:val="22"/>
                <w:szCs w:val="22"/>
                <w:lang w:val="en-US" w:eastAsia="zh-CN"/>
              </w:rPr>
              <w:t>性能不低于长城汽车-长城炮（2025款 2.0T商用炮 自动汽油四驱舒适型 标箱GW4C20B）/长安览拓者2025款 臻享款 2.0T 自动四驱汽油精英型长箱/中兴汽车-威狮1949（2025款2.0T乘用版汽油自动四驱舒适型（含司机）</w:t>
            </w:r>
          </w:p>
        </w:tc>
        <w:tc>
          <w:tcPr>
            <w:tcW w:w="1537" w:type="dxa"/>
            <w:vAlign w:val="center"/>
          </w:tcPr>
          <w:p>
            <w:pPr>
              <w:pStyle w:val="22"/>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36个月</w:t>
            </w:r>
          </w:p>
        </w:tc>
        <w:tc>
          <w:tcPr>
            <w:tcW w:w="891" w:type="dxa"/>
            <w:vAlign w:val="center"/>
          </w:tcPr>
          <w:p>
            <w:pPr>
              <w:pStyle w:val="22"/>
              <w:jc w:val="center"/>
              <w:rPr>
                <w:rFonts w:hint="eastAsia" w:ascii="宋体" w:hAnsi="宋体" w:eastAsia="宋体" w:cs="宋体"/>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000" w:type="dxa"/>
            <w:vAlign w:val="center"/>
          </w:tcPr>
          <w:p>
            <w:pPr>
              <w:pStyle w:val="22"/>
              <w:tabs>
                <w:tab w:val="center" w:pos="392"/>
              </w:tabs>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w:t>
            </w:r>
          </w:p>
        </w:tc>
        <w:tc>
          <w:tcPr>
            <w:tcW w:w="1442" w:type="dxa"/>
            <w:vAlign w:val="center"/>
          </w:tcPr>
          <w:p>
            <w:pPr>
              <w:pStyle w:val="22"/>
              <w:ind w:left="0" w:leftChars="0" w:firstLine="0" w:firstLineChars="0"/>
              <w:jc w:val="center"/>
              <w:rPr>
                <w:rFonts w:hint="eastAsia" w:ascii="宋体" w:hAnsi="宋体" w:eastAsia="宋体" w:cs="宋体"/>
                <w:sz w:val="22"/>
                <w:szCs w:val="22"/>
                <w:vertAlign w:val="baseline"/>
                <w:lang w:eastAsia="zh-CN"/>
              </w:rPr>
            </w:pPr>
            <w:r>
              <w:rPr>
                <w:rFonts w:hint="eastAsia" w:ascii="宋体" w:hAnsi="宋体" w:eastAsia="宋体" w:cs="宋体"/>
                <w:sz w:val="22"/>
                <w:szCs w:val="22"/>
                <w:vertAlign w:val="baseline"/>
                <w:lang w:eastAsia="zh-CN"/>
              </w:rPr>
              <w:t>超公里</w:t>
            </w:r>
          </w:p>
        </w:tc>
        <w:tc>
          <w:tcPr>
            <w:tcW w:w="3488" w:type="dxa"/>
            <w:vAlign w:val="center"/>
          </w:tcPr>
          <w:p>
            <w:pPr>
              <w:pStyle w:val="22"/>
              <w:ind w:left="0" w:leftChars="0" w:firstLine="0" w:firstLineChars="0"/>
              <w:jc w:val="both"/>
              <w:rPr>
                <w:rFonts w:hint="eastAsia" w:ascii="宋体" w:hAnsi="宋体" w:eastAsia="宋体" w:cs="宋体"/>
                <w:sz w:val="22"/>
                <w:szCs w:val="22"/>
                <w:vertAlign w:val="baseline"/>
                <w:lang w:eastAsia="zh-CN"/>
              </w:rPr>
            </w:pPr>
            <w:r>
              <w:rPr>
                <w:rFonts w:hint="eastAsia" w:ascii="宋体" w:hAnsi="宋体" w:eastAsia="宋体" w:cs="宋体"/>
                <w:sz w:val="22"/>
                <w:szCs w:val="22"/>
                <w:vertAlign w:val="baseline"/>
                <w:lang w:eastAsia="zh-CN"/>
              </w:rPr>
              <w:t>年行驶里程超2万公里后，执行该费率</w:t>
            </w:r>
          </w:p>
        </w:tc>
        <w:tc>
          <w:tcPr>
            <w:tcW w:w="1537" w:type="dxa"/>
            <w:vAlign w:val="center"/>
          </w:tcPr>
          <w:p>
            <w:pPr>
              <w:pStyle w:val="22"/>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3600公里</w:t>
            </w:r>
          </w:p>
        </w:tc>
        <w:tc>
          <w:tcPr>
            <w:tcW w:w="891" w:type="dxa"/>
            <w:vAlign w:val="center"/>
          </w:tcPr>
          <w:p>
            <w:pPr>
              <w:pStyle w:val="22"/>
              <w:jc w:val="center"/>
              <w:rPr>
                <w:rFonts w:hint="eastAsia" w:ascii="宋体" w:hAnsi="宋体" w:eastAsia="宋体" w:cs="宋体"/>
                <w:sz w:val="22"/>
                <w:szCs w:val="22"/>
                <w:vertAlign w:val="baseline"/>
                <w:lang w:eastAsia="zh-CN"/>
              </w:rPr>
            </w:pPr>
          </w:p>
        </w:tc>
      </w:tr>
    </w:tbl>
    <w:p>
      <w:pPr>
        <w:pStyle w:val="8"/>
        <w:spacing w:line="360" w:lineRule="auto"/>
        <w:ind w:right="115" w:rightChars="55"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备注：</w:t>
      </w:r>
    </w:p>
    <w:p>
      <w:pPr>
        <w:pStyle w:val="8"/>
        <w:spacing w:line="360" w:lineRule="auto"/>
        <w:ind w:right="115" w:rightChars="55"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2.1性能不低于长城汽车-长城炮（2025款 2.0T商用炮 自动汽油四驱舒适型 标箱GW4C20B）/长安览拓者2025款 臻享款 2.0T 自动四驱汽油精英型长箱/中兴汽车-威狮1949（2025款2.0T乘用版汽油自动四驱舒适型；车况良好，且不能为事故车），每年行驶里程不超过2万公里，超公里单独计费，另作业量因季节不同存在差异，故公里数以当年12月份统计的全年数值为准。</w:t>
      </w:r>
    </w:p>
    <w:p>
      <w:pPr>
        <w:pStyle w:val="8"/>
        <w:spacing w:line="360" w:lineRule="auto"/>
        <w:ind w:right="115" w:rightChars="55"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2.2</w:t>
      </w:r>
      <w:r>
        <w:rPr>
          <w:rFonts w:hint="eastAsia" w:ascii="宋体" w:hAnsi="宋体" w:eastAsia="宋体" w:cs="宋体"/>
          <w:sz w:val="22"/>
          <w:szCs w:val="22"/>
          <w:lang w:eastAsia="zh-CN"/>
        </w:rPr>
        <w:t>车辆驾驶员由</w:t>
      </w:r>
      <w:r>
        <w:rPr>
          <w:rFonts w:hint="eastAsia" w:ascii="宋体" w:hAnsi="宋体" w:eastAsia="宋体" w:cs="宋体"/>
          <w:sz w:val="22"/>
          <w:szCs w:val="22"/>
          <w:lang w:val="en-US" w:eastAsia="zh-CN"/>
        </w:rPr>
        <w:t>乙方</w:t>
      </w:r>
      <w:r>
        <w:rPr>
          <w:rFonts w:hint="eastAsia" w:ascii="宋体" w:hAnsi="宋体" w:eastAsia="宋体" w:cs="宋体"/>
          <w:sz w:val="22"/>
          <w:szCs w:val="22"/>
          <w:lang w:eastAsia="zh-CN"/>
        </w:rPr>
        <w:t>提供。</w:t>
      </w:r>
      <w:r>
        <w:rPr>
          <w:rFonts w:hint="eastAsia" w:ascii="宋体" w:hAnsi="宋体" w:eastAsia="宋体" w:cs="宋体"/>
          <w:sz w:val="22"/>
          <w:szCs w:val="22"/>
          <w:lang w:val="en-US" w:eastAsia="zh-CN"/>
        </w:rPr>
        <w:t>车牌无要求。车辆每月至少清洗4次。过桥过路费：车辆每年高速行驶里程约为1000公里。</w:t>
      </w:r>
    </w:p>
    <w:p>
      <w:pPr>
        <w:pStyle w:val="8"/>
        <w:spacing w:line="360" w:lineRule="auto"/>
        <w:ind w:right="115" w:rightChars="55" w:firstLine="0" w:firstLineChars="0"/>
        <w:rPr>
          <w:rFonts w:hint="eastAsia" w:ascii="宋体" w:hAnsi="宋体" w:eastAsia="宋体" w:cs="宋体"/>
          <w:sz w:val="22"/>
          <w:szCs w:val="22"/>
          <w:lang w:eastAsia="zh-CN"/>
        </w:rPr>
      </w:pPr>
      <w:r>
        <w:rPr>
          <w:rFonts w:hint="eastAsia" w:ascii="宋体" w:hAnsi="宋体" w:eastAsia="宋体" w:cs="宋体"/>
          <w:sz w:val="22"/>
          <w:szCs w:val="22"/>
          <w:lang w:val="en-US" w:eastAsia="zh-CN"/>
        </w:rPr>
        <w:t>2.3</w:t>
      </w:r>
      <w:r>
        <w:rPr>
          <w:rFonts w:hint="eastAsia" w:ascii="宋体" w:hAnsi="宋体" w:eastAsia="宋体" w:cs="宋体"/>
          <w:sz w:val="22"/>
          <w:szCs w:val="22"/>
          <w:lang w:eastAsia="zh-CN"/>
        </w:rPr>
        <w:t>合同价格中包含车辆租赁费、</w:t>
      </w:r>
      <w:r>
        <w:rPr>
          <w:rFonts w:hint="eastAsia" w:ascii="宋体" w:hAnsi="宋体" w:eastAsia="宋体" w:cs="宋体"/>
          <w:sz w:val="22"/>
          <w:szCs w:val="22"/>
          <w:lang w:val="en-US" w:eastAsia="zh-CN"/>
        </w:rPr>
        <w:t>燃料费、</w:t>
      </w:r>
      <w:r>
        <w:rPr>
          <w:rFonts w:hint="eastAsia" w:ascii="宋体" w:hAnsi="宋体" w:eastAsia="宋体" w:cs="宋体"/>
          <w:sz w:val="22"/>
          <w:szCs w:val="22"/>
          <w:lang w:eastAsia="zh-CN"/>
        </w:rPr>
        <w:t>保险、年检、维修、利润、管理费、</w:t>
      </w:r>
      <w:r>
        <w:rPr>
          <w:rFonts w:hint="eastAsia" w:ascii="宋体" w:hAnsi="宋体" w:eastAsia="宋体" w:cs="宋体"/>
          <w:sz w:val="22"/>
          <w:szCs w:val="22"/>
          <w:lang w:val="en-US" w:eastAsia="zh-CN"/>
        </w:rPr>
        <w:t>停车费、驾驶员工资、福利、食宿</w:t>
      </w:r>
      <w:r>
        <w:rPr>
          <w:rFonts w:hint="eastAsia" w:ascii="宋体" w:hAnsi="宋体" w:eastAsia="宋体" w:cs="宋体"/>
          <w:sz w:val="22"/>
          <w:szCs w:val="22"/>
          <w:lang w:eastAsia="zh-CN"/>
        </w:rPr>
        <w:t>等与租赁相关的所有费用。</w:t>
      </w:r>
    </w:p>
    <w:p>
      <w:pPr>
        <w:pStyle w:val="8"/>
        <w:spacing w:line="360" w:lineRule="auto"/>
        <w:ind w:right="115" w:rightChars="55" w:firstLine="0" w:firstLineChars="0"/>
        <w:rPr>
          <w:rFonts w:hint="eastAsia" w:ascii="宋体" w:hAnsi="宋体" w:eastAsia="宋体" w:cs="宋体"/>
          <w:sz w:val="22"/>
          <w:szCs w:val="22"/>
          <w:lang w:eastAsia="zh-CN"/>
        </w:rPr>
      </w:pPr>
      <w:r>
        <w:rPr>
          <w:rFonts w:hint="eastAsia" w:ascii="宋体" w:hAnsi="宋体" w:eastAsia="宋体" w:cs="宋体"/>
          <w:sz w:val="22"/>
          <w:szCs w:val="22"/>
          <w:lang w:val="en-US" w:eastAsia="zh-CN"/>
        </w:rPr>
        <w:t>3</w:t>
      </w:r>
      <w:r>
        <w:rPr>
          <w:rFonts w:hint="eastAsia" w:ascii="宋体" w:hAnsi="宋体" w:eastAsia="宋体" w:cs="宋体"/>
          <w:sz w:val="22"/>
          <w:szCs w:val="22"/>
          <w:lang w:eastAsia="zh-CN"/>
        </w:rPr>
        <w:t>、服务地点</w:t>
      </w:r>
    </w:p>
    <w:p>
      <w:pPr>
        <w:pStyle w:val="8"/>
        <w:spacing w:line="360" w:lineRule="auto"/>
        <w:ind w:right="115" w:rightChars="55" w:firstLine="480"/>
        <w:rPr>
          <w:rFonts w:hint="eastAsia" w:ascii="宋体" w:hAnsi="宋体" w:eastAsia="宋体" w:cs="宋体"/>
          <w:sz w:val="22"/>
          <w:szCs w:val="22"/>
          <w:lang w:eastAsia="zh-CN"/>
        </w:rPr>
      </w:pPr>
      <w:r>
        <w:rPr>
          <w:rFonts w:hint="eastAsia" w:ascii="宋体" w:hAnsi="宋体" w:eastAsia="宋体" w:cs="宋体"/>
          <w:sz w:val="22"/>
          <w:szCs w:val="22"/>
          <w:lang w:val="en-US" w:eastAsia="zh-CN"/>
        </w:rPr>
        <w:t>本项目服务地点为福建莆田地区</w:t>
      </w:r>
      <w:r>
        <w:rPr>
          <w:rFonts w:hint="eastAsia" w:ascii="宋体" w:hAnsi="宋体" w:eastAsia="宋体" w:cs="宋体"/>
          <w:sz w:val="22"/>
          <w:szCs w:val="22"/>
          <w:lang w:eastAsia="zh-CN"/>
        </w:rPr>
        <w:t>。</w:t>
      </w:r>
    </w:p>
    <w:p>
      <w:pPr>
        <w:pStyle w:val="8"/>
        <w:spacing w:line="360" w:lineRule="auto"/>
        <w:ind w:right="115" w:rightChars="55" w:firstLine="0" w:firstLineChars="0"/>
        <w:rPr>
          <w:rFonts w:hint="eastAsia" w:ascii="宋体" w:hAnsi="宋体" w:eastAsia="宋体" w:cs="宋体"/>
          <w:sz w:val="22"/>
          <w:szCs w:val="22"/>
          <w:lang w:eastAsia="zh-CN"/>
        </w:rPr>
      </w:pPr>
      <w:r>
        <w:rPr>
          <w:rFonts w:hint="eastAsia" w:ascii="宋体" w:hAnsi="宋体" w:eastAsia="宋体" w:cs="宋体"/>
          <w:sz w:val="22"/>
          <w:szCs w:val="22"/>
          <w:lang w:eastAsia="zh-CN"/>
        </w:rPr>
        <w:t>4、服务期限</w:t>
      </w:r>
    </w:p>
    <w:p>
      <w:pPr>
        <w:pStyle w:val="8"/>
        <w:spacing w:line="360" w:lineRule="auto"/>
        <w:ind w:right="115" w:rightChars="55" w:firstLine="480"/>
        <w:rPr>
          <w:rFonts w:hint="eastAsia" w:ascii="宋体" w:hAnsi="宋体" w:eastAsia="宋体" w:cs="宋体"/>
          <w:sz w:val="22"/>
          <w:szCs w:val="22"/>
          <w:lang w:eastAsia="zh-CN"/>
        </w:rPr>
      </w:pPr>
      <w:r>
        <w:rPr>
          <w:rFonts w:hint="eastAsia" w:ascii="宋体" w:hAnsi="宋体" w:eastAsia="宋体" w:cs="宋体"/>
          <w:sz w:val="22"/>
          <w:szCs w:val="22"/>
          <w:lang w:eastAsia="zh-CN"/>
        </w:rPr>
        <w:t>本服务期限为3年，合同执行阶段采用“1+1+1”的方式</w:t>
      </w:r>
      <w:r>
        <w:rPr>
          <w:rFonts w:hint="eastAsia" w:ascii="宋体" w:hAnsi="宋体" w:eastAsia="宋体" w:cs="宋体"/>
          <w:sz w:val="22"/>
          <w:szCs w:val="22"/>
          <w:lang w:val="en-US" w:eastAsia="zh-CN"/>
        </w:rPr>
        <w:t>执行</w:t>
      </w:r>
      <w:r>
        <w:rPr>
          <w:rFonts w:hint="eastAsia" w:ascii="宋体" w:hAnsi="宋体" w:eastAsia="宋体" w:cs="宋体"/>
          <w:sz w:val="22"/>
          <w:szCs w:val="22"/>
          <w:lang w:eastAsia="zh-CN"/>
        </w:rPr>
        <w:t>。</w:t>
      </w:r>
    </w:p>
    <w:p>
      <w:pPr>
        <w:pStyle w:val="8"/>
        <w:spacing w:line="360" w:lineRule="auto"/>
        <w:ind w:right="115" w:rightChars="55" w:firstLine="48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无论基于何种原因，经提前十五（15）日书面通知乙方，甲方有权随时终止本合同。</w:t>
      </w:r>
    </w:p>
    <w:p>
      <w:pPr>
        <w:pStyle w:val="4"/>
        <w:spacing w:line="360" w:lineRule="auto"/>
        <w:rPr>
          <w:rFonts w:hint="eastAsia" w:ascii="宋体" w:hAnsi="宋体" w:eastAsia="宋体" w:cs="宋体"/>
          <w:b/>
          <w:sz w:val="22"/>
          <w:szCs w:val="22"/>
          <w:lang w:val="en-US" w:eastAsia="zh-CN"/>
        </w:rPr>
      </w:pPr>
      <w:r>
        <w:rPr>
          <w:rFonts w:hint="eastAsia" w:ascii="宋体" w:hAnsi="宋体" w:eastAsia="宋体" w:cs="宋体"/>
          <w:b/>
          <w:sz w:val="22"/>
          <w:szCs w:val="22"/>
        </w:rPr>
        <w:t>三、</w:t>
      </w:r>
      <w:r>
        <w:rPr>
          <w:rFonts w:hint="eastAsia" w:ascii="宋体" w:hAnsi="宋体" w:eastAsia="宋体" w:cs="宋体"/>
          <w:b/>
          <w:sz w:val="22"/>
          <w:szCs w:val="22"/>
          <w:lang w:val="en-US" w:eastAsia="zh-CN"/>
        </w:rPr>
        <w:t>执行标准规范</w:t>
      </w:r>
    </w:p>
    <w:p>
      <w:pPr>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执行标准：《中国海油采购标准体系建设-车辆服务》（CGBZ060-2021）中第2部分、第3部分3.3.1多用途乘用车；3.5.2机动车驾驶证、第4部分、第7部分、第8部分、第11部分。</w:t>
      </w:r>
    </w:p>
    <w:p>
      <w:pPr>
        <w:pStyle w:val="4"/>
        <w:spacing w:line="360" w:lineRule="auto"/>
        <w:rPr>
          <w:rFonts w:hint="eastAsia" w:ascii="宋体" w:hAnsi="宋体" w:eastAsia="宋体" w:cs="宋体"/>
          <w:b/>
          <w:sz w:val="22"/>
          <w:szCs w:val="22"/>
        </w:rPr>
      </w:pPr>
      <w:r>
        <w:rPr>
          <w:rFonts w:hint="eastAsia" w:ascii="宋体" w:hAnsi="宋体" w:eastAsia="宋体" w:cs="宋体"/>
          <w:b/>
          <w:sz w:val="22"/>
          <w:szCs w:val="22"/>
          <w:lang w:val="en-US" w:eastAsia="zh-CN"/>
        </w:rPr>
        <w:t>四、</w:t>
      </w:r>
      <w:r>
        <w:rPr>
          <w:rFonts w:hint="eastAsia" w:ascii="宋体" w:hAnsi="宋体" w:eastAsia="宋体" w:cs="宋体"/>
          <w:b/>
          <w:sz w:val="22"/>
          <w:szCs w:val="22"/>
        </w:rPr>
        <w:t>服务</w:t>
      </w:r>
      <w:r>
        <w:rPr>
          <w:rFonts w:hint="eastAsia" w:ascii="宋体" w:hAnsi="宋体" w:eastAsia="宋体" w:cs="宋体"/>
          <w:b/>
          <w:sz w:val="22"/>
          <w:szCs w:val="22"/>
          <w:lang w:val="en-US" w:eastAsia="zh-CN"/>
        </w:rPr>
        <w:t>技术</w:t>
      </w:r>
      <w:r>
        <w:rPr>
          <w:rFonts w:hint="eastAsia" w:ascii="宋体" w:hAnsi="宋体" w:eastAsia="宋体" w:cs="宋体"/>
          <w:b/>
          <w:sz w:val="22"/>
          <w:szCs w:val="22"/>
        </w:rPr>
        <w:t>要求</w:t>
      </w:r>
    </w:p>
    <w:p>
      <w:pPr>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以下内容为具体引用《中国海油采购标准体系建设-车辆服务》中第2部分、第3部分3.3.1多用途乘用车；3.5.2机动车驾驶证、第4部分、第7部分、第8部分、第11部分。</w:t>
      </w:r>
    </w:p>
    <w:p>
      <w:pPr>
        <w:spacing w:before="312" w:beforeLines="100" w:after="312" w:afterLines="100" w:line="360" w:lineRule="auto"/>
        <w:outlineLvl w:val="0"/>
        <w:rPr>
          <w:rFonts w:hint="eastAsia" w:ascii="黑体" w:hAnsi="黑体" w:eastAsia="黑体"/>
          <w:b/>
          <w:bCs/>
          <w:color w:val="000000"/>
          <w:kern w:val="44"/>
          <w:szCs w:val="21"/>
        </w:rPr>
      </w:pPr>
      <w:bookmarkStart w:id="4" w:name="_Toc73611221"/>
      <w:r>
        <w:rPr>
          <w:rFonts w:hint="eastAsia" w:ascii="黑体" w:hAnsi="黑体" w:eastAsia="黑体"/>
          <w:b/>
          <w:bCs/>
          <w:color w:val="000000"/>
          <w:kern w:val="44"/>
          <w:szCs w:val="21"/>
        </w:rPr>
        <w:t>2 规范性引用文件</w:t>
      </w:r>
      <w:bookmarkEnd w:id="4"/>
    </w:p>
    <w:p>
      <w:pPr>
        <w:ind w:firstLine="440" w:firstLineChars="200"/>
        <w:rPr>
          <w:rFonts w:hint="eastAsia" w:ascii="宋体" w:hAnsi="宋体" w:eastAsia="宋体" w:cs="宋体"/>
          <w:sz w:val="22"/>
          <w:szCs w:val="22"/>
        </w:rPr>
      </w:pPr>
      <w:r>
        <w:rPr>
          <w:rFonts w:hint="eastAsia" w:ascii="宋体" w:hAnsi="宋体" w:eastAsia="宋体" w:cs="宋体"/>
          <w:sz w:val="22"/>
          <w:szCs w:val="22"/>
        </w:rPr>
        <w:t>《中华人民共和国道路交通安全法》</w:t>
      </w:r>
    </w:p>
    <w:p>
      <w:pPr>
        <w:ind w:firstLine="440" w:firstLineChars="200"/>
        <w:rPr>
          <w:rFonts w:hint="eastAsia" w:ascii="宋体" w:hAnsi="宋体" w:eastAsia="宋体" w:cs="宋体"/>
          <w:sz w:val="22"/>
          <w:szCs w:val="22"/>
        </w:rPr>
      </w:pPr>
      <w:r>
        <w:rPr>
          <w:rFonts w:hint="eastAsia" w:ascii="宋体" w:hAnsi="宋体" w:eastAsia="宋体" w:cs="宋体"/>
          <w:sz w:val="22"/>
          <w:szCs w:val="22"/>
        </w:rPr>
        <w:t>《中华人民共和国道路运输条例》</w:t>
      </w:r>
    </w:p>
    <w:p>
      <w:pPr>
        <w:ind w:firstLine="440" w:firstLineChars="200"/>
        <w:rPr>
          <w:rFonts w:hint="eastAsia" w:ascii="宋体" w:hAnsi="宋体" w:eastAsia="宋体" w:cs="宋体"/>
          <w:sz w:val="22"/>
          <w:szCs w:val="22"/>
        </w:rPr>
      </w:pPr>
      <w:r>
        <w:rPr>
          <w:rFonts w:hint="eastAsia" w:ascii="宋体" w:hAnsi="宋体" w:eastAsia="宋体" w:cs="宋体"/>
          <w:sz w:val="22"/>
          <w:szCs w:val="22"/>
        </w:rPr>
        <w:t>GB/T 3730.1《汽车和挂车类型的术语和定义》</w:t>
      </w:r>
    </w:p>
    <w:p>
      <w:pPr>
        <w:ind w:firstLine="440" w:firstLineChars="200"/>
        <w:rPr>
          <w:rFonts w:hint="eastAsia" w:ascii="宋体" w:hAnsi="宋体" w:eastAsia="宋体" w:cs="宋体"/>
          <w:sz w:val="22"/>
          <w:szCs w:val="22"/>
        </w:rPr>
      </w:pPr>
      <w:r>
        <w:rPr>
          <w:rFonts w:hint="eastAsia" w:ascii="宋体" w:hAnsi="宋体" w:eastAsia="宋体" w:cs="宋体"/>
          <w:sz w:val="22"/>
          <w:szCs w:val="22"/>
        </w:rPr>
        <w:t>GB/T 15089《机动车辆及挂车分类》</w:t>
      </w:r>
    </w:p>
    <w:p>
      <w:pPr>
        <w:ind w:firstLine="440" w:firstLineChars="200"/>
        <w:rPr>
          <w:rFonts w:hint="eastAsia" w:ascii="宋体" w:hAnsi="宋体" w:eastAsia="宋体" w:cs="宋体"/>
          <w:sz w:val="22"/>
          <w:szCs w:val="22"/>
        </w:rPr>
      </w:pPr>
      <w:r>
        <w:rPr>
          <w:rFonts w:hint="eastAsia" w:ascii="宋体" w:hAnsi="宋体" w:eastAsia="宋体" w:cs="宋体"/>
          <w:sz w:val="22"/>
          <w:szCs w:val="22"/>
        </w:rPr>
        <w:t>GB 7258《机动车运行安全技术条件》</w:t>
      </w:r>
    </w:p>
    <w:p>
      <w:pPr>
        <w:ind w:firstLine="440" w:firstLineChars="200"/>
        <w:rPr>
          <w:rFonts w:hint="eastAsia" w:ascii="宋体" w:hAnsi="宋体" w:eastAsia="宋体" w:cs="宋体"/>
          <w:sz w:val="22"/>
          <w:szCs w:val="22"/>
        </w:rPr>
      </w:pPr>
      <w:r>
        <w:rPr>
          <w:rFonts w:hint="eastAsia" w:ascii="宋体" w:hAnsi="宋体" w:eastAsia="宋体" w:cs="宋体"/>
          <w:sz w:val="22"/>
          <w:szCs w:val="22"/>
        </w:rPr>
        <w:t>GA 802《机动车类型 术语和定义》</w:t>
      </w:r>
    </w:p>
    <w:p>
      <w:pPr>
        <w:ind w:firstLine="440" w:firstLineChars="200"/>
        <w:rPr>
          <w:rFonts w:hint="eastAsia" w:ascii="宋体" w:hAnsi="宋体" w:eastAsia="宋体" w:cs="宋体"/>
          <w:sz w:val="22"/>
          <w:szCs w:val="22"/>
        </w:rPr>
      </w:pPr>
      <w:r>
        <w:rPr>
          <w:rFonts w:hint="eastAsia" w:ascii="宋体" w:hAnsi="宋体" w:eastAsia="宋体" w:cs="宋体"/>
          <w:sz w:val="22"/>
          <w:szCs w:val="22"/>
        </w:rPr>
        <w:t>GB/T 18344《汽车维护、检测、诊断技术规范》</w:t>
      </w:r>
    </w:p>
    <w:p>
      <w:pPr>
        <w:ind w:firstLine="440" w:firstLineChars="200"/>
        <w:rPr>
          <w:rFonts w:hint="eastAsia" w:ascii="宋体" w:hAnsi="宋体" w:eastAsia="宋体" w:cs="宋体"/>
          <w:sz w:val="22"/>
          <w:szCs w:val="22"/>
        </w:rPr>
      </w:pPr>
      <w:r>
        <w:rPr>
          <w:rFonts w:hint="eastAsia" w:ascii="宋体" w:hAnsi="宋体" w:eastAsia="宋体" w:cs="宋体"/>
          <w:sz w:val="22"/>
          <w:szCs w:val="22"/>
        </w:rPr>
        <w:t>《道路旅客运输及客运站管理规定管理规定》</w:t>
      </w:r>
    </w:p>
    <w:p>
      <w:pPr>
        <w:ind w:firstLine="440" w:firstLineChars="200"/>
        <w:rPr>
          <w:rFonts w:hint="eastAsia" w:ascii="宋体" w:hAnsi="宋体" w:eastAsia="宋体" w:cs="宋体"/>
          <w:sz w:val="22"/>
          <w:szCs w:val="22"/>
        </w:rPr>
      </w:pPr>
      <w:r>
        <w:rPr>
          <w:rFonts w:hint="eastAsia" w:ascii="宋体" w:hAnsi="宋体" w:eastAsia="宋体" w:cs="宋体"/>
          <w:sz w:val="22"/>
          <w:szCs w:val="22"/>
        </w:rPr>
        <w:t>《道路运输从业人员管理规定》</w:t>
      </w:r>
    </w:p>
    <w:p>
      <w:pPr>
        <w:ind w:firstLine="440" w:firstLineChars="200"/>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"https://baike.baidu.com/item/%E6%9C%BA%E5%8A%A8%E8%BD%A6%E9%A9%BE%E9%A9%B6%E8%AF%81%E7%94%B3%E9%A2%86%E5%92%8C%E4%BD%BF%E7%94%A8%E8%A7%84%E5%AE%9A" \t "https://baike.baidu.com/item/%E9%A9%BE%E9%A9%B6%E8%AF%81/_blank" </w:instrText>
      </w:r>
      <w:r>
        <w:rPr>
          <w:rFonts w:hint="eastAsia" w:ascii="宋体" w:hAnsi="宋体" w:eastAsia="宋体" w:cs="宋体"/>
          <w:sz w:val="22"/>
          <w:szCs w:val="22"/>
        </w:rPr>
        <w:fldChar w:fldCharType="separate"/>
      </w:r>
      <w:r>
        <w:rPr>
          <w:rFonts w:hint="eastAsia" w:ascii="宋体" w:hAnsi="宋体" w:eastAsia="宋体" w:cs="宋体"/>
          <w:sz w:val="22"/>
          <w:szCs w:val="22"/>
        </w:rPr>
        <w:t>机动车驾驶证申领和使用规定</w:t>
      </w:r>
      <w:r>
        <w:rPr>
          <w:rFonts w:hint="eastAsia" w:ascii="宋体" w:hAnsi="宋体" w:eastAsia="宋体" w:cs="宋体"/>
          <w:sz w:val="22"/>
          <w:szCs w:val="22"/>
        </w:rPr>
        <w:fldChar w:fldCharType="end"/>
      </w:r>
      <w:r>
        <w:rPr>
          <w:rFonts w:hint="eastAsia" w:ascii="宋体" w:hAnsi="宋体" w:eastAsia="宋体" w:cs="宋体"/>
          <w:sz w:val="22"/>
          <w:szCs w:val="22"/>
        </w:rPr>
        <w:t>》</w:t>
      </w:r>
    </w:p>
    <w:p>
      <w:pPr>
        <w:ind w:firstLine="440" w:firstLineChars="200"/>
        <w:rPr>
          <w:rFonts w:hint="eastAsia" w:ascii="宋体" w:hAnsi="宋体" w:eastAsia="宋体" w:cs="宋体"/>
          <w:sz w:val="22"/>
          <w:szCs w:val="22"/>
        </w:rPr>
      </w:pPr>
      <w:r>
        <w:rPr>
          <w:rFonts w:hint="eastAsia" w:ascii="宋体" w:hAnsi="宋体" w:eastAsia="宋体" w:cs="宋体"/>
          <w:sz w:val="22"/>
          <w:szCs w:val="22"/>
        </w:rPr>
        <w:t>《中海油能源发展股份有限公司公务用车管理办法》</w:t>
      </w:r>
    </w:p>
    <w:p>
      <w:pPr>
        <w:ind w:firstLine="440" w:firstLineChars="200"/>
        <w:rPr>
          <w:rFonts w:hint="eastAsia" w:ascii="宋体" w:hAnsi="宋体" w:eastAsia="宋体" w:cs="宋体"/>
          <w:sz w:val="22"/>
          <w:szCs w:val="22"/>
        </w:rPr>
      </w:pPr>
      <w:r>
        <w:rPr>
          <w:rFonts w:hint="eastAsia" w:ascii="宋体" w:hAnsi="宋体" w:eastAsia="宋体" w:cs="宋体"/>
          <w:sz w:val="22"/>
          <w:szCs w:val="22"/>
        </w:rPr>
        <w:t>《载人机动车辆安全管理规定》</w:t>
      </w:r>
    </w:p>
    <w:p>
      <w:pPr>
        <w:ind w:firstLine="440" w:firstLineChars="200"/>
        <w:rPr>
          <w:rFonts w:hint="eastAsia" w:ascii="宋体" w:hAnsi="宋体" w:eastAsia="宋体" w:cs="宋体"/>
          <w:sz w:val="22"/>
          <w:szCs w:val="22"/>
        </w:rPr>
      </w:pPr>
      <w:r>
        <w:rPr>
          <w:rFonts w:hint="eastAsia" w:ascii="宋体" w:hAnsi="宋体" w:eastAsia="宋体" w:cs="宋体"/>
          <w:sz w:val="22"/>
          <w:szCs w:val="22"/>
        </w:rPr>
        <w:t>《健康安全环境管理体系》</w:t>
      </w:r>
    </w:p>
    <w:p>
      <w:pPr>
        <w:spacing w:before="312" w:beforeLines="100" w:after="312" w:afterLines="100" w:line="360" w:lineRule="auto"/>
        <w:outlineLvl w:val="0"/>
        <w:rPr>
          <w:rFonts w:hint="eastAsia" w:ascii="黑体" w:hAnsi="黑体" w:eastAsia="黑体"/>
          <w:b/>
          <w:bCs/>
          <w:color w:val="000000"/>
          <w:kern w:val="44"/>
          <w:szCs w:val="21"/>
        </w:rPr>
      </w:pPr>
      <w:bookmarkStart w:id="5" w:name="_Toc73611222"/>
      <w:r>
        <w:rPr>
          <w:rFonts w:hint="eastAsia" w:ascii="黑体" w:hAnsi="黑体" w:eastAsia="黑体"/>
          <w:b/>
          <w:bCs/>
          <w:color w:val="000000"/>
          <w:kern w:val="44"/>
          <w:szCs w:val="21"/>
        </w:rPr>
        <w:t>3 术语和定义</w:t>
      </w:r>
      <w:bookmarkEnd w:id="5"/>
    </w:p>
    <w:p>
      <w:pP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.3.1</w:t>
      </w:r>
      <w:r>
        <w:rPr>
          <w:rFonts w:hint="eastAsia" w:ascii="Times New Roman" w:hAnsi="Times New Roman" w:cs="Times New Roman"/>
          <w:szCs w:val="21"/>
        </w:rPr>
        <w:t>多用途货车：在其设计和结构上主要用于载运货物，但在驾驶员座椅后带有固定或折叠式座椅，可运载3个以上的乘客的货车。</w:t>
      </w:r>
    </w:p>
    <w:p>
      <w:pPr>
        <w:rPr>
          <w:rFonts w:hint="eastAsia"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 xml:space="preserve">3.5.2 </w:t>
      </w:r>
      <w:r>
        <w:rPr>
          <w:rFonts w:hint="eastAsia" w:ascii="Times New Roman" w:hAnsi="Times New Roman" w:cs="Times New Roman"/>
          <w:szCs w:val="21"/>
          <w:highlight w:val="yellow"/>
        </w:rPr>
        <w:t>乙方应向甲方书面承诺（格式自拟）</w:t>
      </w:r>
      <w:r>
        <w:rPr>
          <w:rFonts w:hint="eastAsia" w:ascii="Times New Roman" w:hAnsi="Times New Roman" w:cs="Times New Roman"/>
          <w:szCs w:val="21"/>
          <w:highlight w:val="yellow"/>
          <w:lang w:eastAsia="zh-CN"/>
        </w:rPr>
        <w:t>：</w:t>
      </w:r>
      <w:r>
        <w:rPr>
          <w:rFonts w:hint="eastAsia" w:ascii="Times New Roman" w:hAnsi="Times New Roman" w:cs="Times New Roman"/>
          <w:szCs w:val="21"/>
        </w:rPr>
        <w:t>C1驾驶证准予驾驶小型</w:t>
      </w:r>
      <w:r>
        <w:rPr>
          <w:rFonts w:ascii="Times New Roman" w:hAnsi="Times New Roman" w:cs="Times New Roman"/>
          <w:szCs w:val="21"/>
        </w:rPr>
        <w:t>汽车</w:t>
      </w:r>
      <w:r>
        <w:rPr>
          <w:rFonts w:hint="eastAsia" w:ascii="Times New Roman" w:hAnsi="Times New Roman" w:cs="Times New Roman"/>
          <w:szCs w:val="21"/>
        </w:rPr>
        <w:t>，即可驾驶</w:t>
      </w:r>
      <w:r>
        <w:rPr>
          <w:rFonts w:ascii="Times New Roman" w:hAnsi="Times New Roman" w:cs="Times New Roman"/>
          <w:szCs w:val="21"/>
        </w:rPr>
        <w:t>总质量不超过 4.5t、乘坐人数（包括驾驶员）不超过9人</w:t>
      </w:r>
      <w:r>
        <w:rPr>
          <w:rFonts w:hint="eastAsia" w:ascii="Times New Roman" w:hAnsi="Times New Roman" w:cs="Times New Roman"/>
          <w:szCs w:val="21"/>
        </w:rPr>
        <w:t>且</w:t>
      </w:r>
      <w:r>
        <w:rPr>
          <w:rFonts w:ascii="Times New Roman" w:hAnsi="Times New Roman" w:cs="Times New Roman"/>
          <w:szCs w:val="21"/>
        </w:rPr>
        <w:t>车长 6m 以下的</w:t>
      </w:r>
      <w:r>
        <w:rPr>
          <w:rFonts w:hint="eastAsia" w:ascii="Times New Roman" w:hAnsi="Times New Roman" w:cs="Times New Roman"/>
          <w:szCs w:val="21"/>
        </w:rPr>
        <w:t>汽车</w:t>
      </w:r>
      <w:r>
        <w:rPr>
          <w:rFonts w:ascii="Times New Roman" w:hAnsi="Times New Roman" w:cs="Times New Roman"/>
          <w:szCs w:val="21"/>
        </w:rPr>
        <w:t>。</w:t>
      </w:r>
      <w:r>
        <w:rPr>
          <w:rFonts w:hint="eastAsia" w:ascii="Times New Roman" w:hAnsi="Times New Roman" w:cs="Times New Roman"/>
          <w:szCs w:val="21"/>
        </w:rPr>
        <w:t>准予驾驶的其他准驾车型：C2、C3、C4。</w:t>
      </w:r>
    </w:p>
    <w:p>
      <w:pPr>
        <w:rPr>
          <w:rFonts w:hint="eastAsia" w:ascii="Times New Roman" w:hAnsi="Times New Roman" w:cs="Times New Roman"/>
          <w:b/>
          <w:bCs/>
          <w:szCs w:val="21"/>
          <w:lang w:val="en-US" w:eastAsia="zh-CN"/>
        </w:rPr>
      </w:pPr>
      <w:bookmarkStart w:id="6" w:name="_Toc55208665"/>
      <w:bookmarkStart w:id="7" w:name="_Toc73611223"/>
      <w:r>
        <w:rPr>
          <w:rFonts w:hint="eastAsia" w:ascii="Times New Roman" w:hAnsi="Times New Roman" w:cs="Times New Roman"/>
          <w:b/>
          <w:bCs/>
          <w:szCs w:val="21"/>
          <w:lang w:eastAsia="zh-CN"/>
        </w:rPr>
        <w:t>（</w:t>
      </w:r>
      <w:r>
        <w:rPr>
          <w:rFonts w:hint="eastAsia" w:ascii="Times New Roman" w:hAnsi="Times New Roman" w:cs="Times New Roman"/>
          <w:b/>
          <w:bCs/>
          <w:szCs w:val="21"/>
          <w:lang w:val="en-US" w:eastAsia="zh-CN"/>
        </w:rPr>
        <w:t>该★号条款来自</w:t>
      </w:r>
      <w:r>
        <w:rPr>
          <w:rFonts w:hint="eastAsia" w:ascii="宋体" w:hAnsi="宋体" w:eastAsia="宋体" w:cs="宋体"/>
          <w:b/>
          <w:bCs/>
          <w:sz w:val="22"/>
          <w:szCs w:val="22"/>
          <w:lang w:val="en-US" w:eastAsia="zh-CN"/>
        </w:rPr>
        <w:t>《中国海油采购标准体系建设-车辆服务》（CGBZ060-2021）</w:t>
      </w:r>
      <w:r>
        <w:rPr>
          <w:rFonts w:hint="eastAsia" w:ascii="Times New Roman" w:hAnsi="Times New Roman" w:cs="Times New Roman"/>
          <w:b/>
          <w:bCs/>
          <w:szCs w:val="21"/>
          <w:lang w:val="en-US" w:eastAsia="zh-CN"/>
        </w:rPr>
        <w:t>第3部分3.5.2条</w:t>
      </w:r>
      <w:r>
        <w:rPr>
          <w:rFonts w:hint="eastAsia" w:ascii="Times New Roman" w:hAnsi="Times New Roman" w:cs="Times New Roman"/>
          <w:b/>
          <w:bCs/>
          <w:szCs w:val="21"/>
          <w:lang w:eastAsia="zh-CN"/>
        </w:rPr>
        <w:t>）</w:t>
      </w:r>
    </w:p>
    <w:p>
      <w:pPr>
        <w:spacing w:before="312" w:beforeLines="100" w:after="312" w:afterLines="100" w:line="360" w:lineRule="auto"/>
        <w:outlineLvl w:val="0"/>
        <w:rPr>
          <w:rFonts w:ascii="黑体" w:hAnsi="黑体" w:eastAsia="黑体"/>
          <w:b/>
          <w:bCs/>
          <w:color w:val="000000"/>
          <w:kern w:val="44"/>
          <w:szCs w:val="21"/>
        </w:rPr>
      </w:pPr>
      <w:r>
        <w:rPr>
          <w:rFonts w:hint="eastAsia" w:ascii="黑体" w:hAnsi="黑体" w:eastAsia="黑体"/>
          <w:b/>
          <w:bCs/>
          <w:color w:val="000000"/>
          <w:kern w:val="44"/>
          <w:szCs w:val="21"/>
        </w:rPr>
        <w:t>4</w:t>
      </w:r>
      <w:r>
        <w:rPr>
          <w:rFonts w:ascii="黑体" w:hAnsi="黑体" w:eastAsia="黑体"/>
          <w:b/>
          <w:bCs/>
          <w:color w:val="000000"/>
          <w:kern w:val="44"/>
          <w:szCs w:val="21"/>
        </w:rPr>
        <w:t xml:space="preserve"> </w:t>
      </w:r>
      <w:r>
        <w:rPr>
          <w:rFonts w:hint="eastAsia" w:ascii="黑体" w:hAnsi="黑体" w:eastAsia="黑体"/>
          <w:b/>
          <w:bCs/>
          <w:color w:val="000000"/>
          <w:kern w:val="44"/>
          <w:szCs w:val="21"/>
        </w:rPr>
        <w:t>供应商资质条件</w:t>
      </w:r>
      <w:bookmarkEnd w:id="6"/>
      <w:bookmarkEnd w:id="7"/>
    </w:p>
    <w:p>
      <w:pP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.1</w:t>
      </w:r>
      <w:r>
        <w:rPr>
          <w:rFonts w:hint="eastAsia" w:ascii="Times New Roman" w:hAnsi="Times New Roman" w:cs="Times New Roman"/>
          <w:szCs w:val="21"/>
        </w:rPr>
        <w:t>供应商具有汽车租赁经营资格证书或汽车租赁经营备案证或道路运输经营许可证</w:t>
      </w:r>
    </w:p>
    <w:p>
      <w:pPr>
        <w:rPr>
          <w:rFonts w:hint="eastAsia"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.3</w:t>
      </w:r>
      <w:r>
        <w:rPr>
          <w:rFonts w:hint="eastAsia" w:ascii="Times New Roman" w:hAnsi="Times New Roman" w:cs="Times New Roman"/>
          <w:szCs w:val="21"/>
        </w:rPr>
        <w:t>近三年（</w:t>
      </w:r>
      <w:r>
        <w:rPr>
          <w:rFonts w:hint="eastAsia" w:ascii="Times New Roman" w:hAnsi="Times New Roman" w:cs="Times New Roman"/>
          <w:szCs w:val="21"/>
          <w:lang w:val="en-US" w:eastAsia="zh-CN"/>
        </w:rPr>
        <w:t>2022</w:t>
      </w:r>
      <w:r>
        <w:rPr>
          <w:rFonts w:hint="eastAsia" w:ascii="Times New Roman" w:hAnsi="Times New Roman" w:cs="Times New Roman"/>
          <w:szCs w:val="21"/>
        </w:rPr>
        <w:t>年</w:t>
      </w:r>
      <w:r>
        <w:rPr>
          <w:rFonts w:hint="eastAsia" w:ascii="Times New Roman" w:hAnsi="Times New Roman" w:cs="Times New Roman"/>
          <w:szCs w:val="21"/>
          <w:lang w:val="en-US" w:eastAsia="zh-CN"/>
        </w:rPr>
        <w:t>01</w:t>
      </w:r>
      <w:r>
        <w:rPr>
          <w:rFonts w:hint="eastAsia" w:ascii="Times New Roman" w:hAnsi="Times New Roman" w:cs="Times New Roman"/>
          <w:szCs w:val="21"/>
        </w:rPr>
        <w:t>月</w:t>
      </w:r>
      <w:r>
        <w:rPr>
          <w:rFonts w:hint="eastAsia" w:ascii="Times New Roman" w:hAnsi="Times New Roman" w:cs="Times New Roman"/>
          <w:szCs w:val="21"/>
          <w:lang w:val="en-US" w:eastAsia="zh-CN"/>
        </w:rPr>
        <w:t>01</w:t>
      </w:r>
      <w:r>
        <w:rPr>
          <w:rFonts w:hint="eastAsia" w:ascii="Times New Roman" w:hAnsi="Times New Roman" w:cs="Times New Roman"/>
          <w:szCs w:val="21"/>
        </w:rPr>
        <w:t>日-投标截止日）具有车辆服务（具体根据项目实际情况选择）类似业绩不少于</w:t>
      </w:r>
      <w:r>
        <w:rPr>
          <w:rFonts w:hint="eastAsia" w:ascii="Times New Roman" w:hAnsi="Times New Roman" w:cs="Times New Roman"/>
          <w:szCs w:val="21"/>
          <w:lang w:val="en-US" w:eastAsia="zh-CN"/>
        </w:rPr>
        <w:t>1</w:t>
      </w:r>
      <w:r>
        <w:rPr>
          <w:rFonts w:hint="eastAsia" w:ascii="Times New Roman" w:hAnsi="Times New Roman" w:cs="Times New Roman"/>
          <w:szCs w:val="21"/>
        </w:rPr>
        <w:t>项。</w:t>
      </w:r>
    </w:p>
    <w:p>
      <w:r>
        <w:rPr>
          <w:rFonts w:hint="eastAsia" w:ascii="Times New Roman" w:hAnsi="Times New Roman" w:cs="Times New Roman"/>
          <w:b/>
          <w:bCs/>
          <w:szCs w:val="21"/>
          <w:lang w:eastAsia="zh-CN"/>
        </w:rPr>
        <w:t>（</w:t>
      </w:r>
      <w:r>
        <w:rPr>
          <w:rFonts w:hint="eastAsia" w:ascii="Times New Roman" w:hAnsi="Times New Roman" w:cs="Times New Roman"/>
          <w:b/>
          <w:bCs/>
          <w:szCs w:val="21"/>
          <w:lang w:val="en-US" w:eastAsia="zh-CN"/>
        </w:rPr>
        <w:t>该★号条款来自</w:t>
      </w:r>
      <w:r>
        <w:rPr>
          <w:rFonts w:hint="eastAsia" w:ascii="宋体" w:hAnsi="宋体" w:eastAsia="宋体" w:cs="宋体"/>
          <w:b/>
          <w:bCs/>
          <w:sz w:val="22"/>
          <w:szCs w:val="22"/>
          <w:lang w:val="en-US" w:eastAsia="zh-CN"/>
        </w:rPr>
        <w:t>《中国海油采购标准体系建设-车辆服务》（CGBZ060-2021）</w:t>
      </w:r>
      <w:r>
        <w:rPr>
          <w:rFonts w:hint="eastAsia" w:ascii="Times New Roman" w:hAnsi="Times New Roman" w:cs="Times New Roman"/>
          <w:b/>
          <w:bCs/>
          <w:szCs w:val="21"/>
          <w:lang w:val="en-US" w:eastAsia="zh-CN"/>
        </w:rPr>
        <w:t>第4部分4.1条</w:t>
      </w:r>
      <w:r>
        <w:rPr>
          <w:rFonts w:hint="eastAsia" w:ascii="Times New Roman" w:hAnsi="Times New Roman" w:cs="Times New Roman"/>
          <w:b/>
          <w:bCs/>
          <w:szCs w:val="21"/>
          <w:lang w:eastAsia="zh-CN"/>
        </w:rPr>
        <w:t>）</w:t>
      </w:r>
    </w:p>
    <w:p>
      <w:pP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.4</w:t>
      </w:r>
      <w:r>
        <w:rPr>
          <w:rFonts w:hint="eastAsia" w:ascii="Times New Roman" w:hAnsi="Times New Roman" w:cs="Times New Roman"/>
          <w:szCs w:val="21"/>
        </w:rPr>
        <w:t>供应商应按照国家税务局的规定及甲方要求开具合规发票。</w:t>
      </w:r>
    </w:p>
    <w:p>
      <w:pPr>
        <w:rPr>
          <w:rFonts w:ascii="Times New Roman" w:hAnsi="Times New Roman" w:cs="Times New Roman"/>
          <w:szCs w:val="21"/>
        </w:rPr>
      </w:pPr>
      <w:r>
        <w:rPr>
          <w:rFonts w:ascii="Times New Roman" w:hAnsi="Times New Roman" w:cs="Times New Roman"/>
          <w:szCs w:val="21"/>
        </w:rPr>
        <w:t>4.5</w:t>
      </w:r>
      <w:r>
        <w:rPr>
          <w:rFonts w:hint="eastAsia" w:ascii="Times New Roman" w:hAnsi="Times New Roman" w:cs="Times New Roman"/>
          <w:szCs w:val="21"/>
        </w:rPr>
        <w:t>经 “天眼查”，供应商不得存在关联关系。</w:t>
      </w:r>
    </w:p>
    <w:p>
      <w:pPr>
        <w:rPr>
          <w:rFonts w:ascii="Times New Roman" w:hAnsi="Times New Roman" w:cs="Times New Roman"/>
          <w:szCs w:val="21"/>
        </w:rPr>
      </w:pPr>
      <w:r>
        <w:rPr>
          <w:rFonts w:ascii="Times New Roman" w:hAnsi="Times New Roman" w:cs="Times New Roman"/>
          <w:szCs w:val="21"/>
        </w:rPr>
        <w:t>4.6</w:t>
      </w:r>
      <w:r>
        <w:rPr>
          <w:rFonts w:hint="eastAsia" w:ascii="Times New Roman" w:hAnsi="Times New Roman" w:cs="Times New Roman"/>
          <w:szCs w:val="21"/>
        </w:rPr>
        <w:t>提供“中国执行信息公开网”查询记录，不存在被列入“失信被执行人”。</w:t>
      </w:r>
    </w:p>
    <w:p>
      <w:pPr>
        <w:rPr>
          <w:rFonts w:ascii="Times New Roman" w:hAnsi="Times New Roman" w:cs="Times New Roman"/>
          <w:szCs w:val="21"/>
        </w:rPr>
      </w:pPr>
      <w:r>
        <w:rPr>
          <w:rFonts w:ascii="Times New Roman" w:hAnsi="Times New Roman" w:cs="Times New Roman"/>
          <w:szCs w:val="21"/>
        </w:rPr>
        <w:t>4.7</w:t>
      </w:r>
      <w:r>
        <w:rPr>
          <w:rFonts w:hint="eastAsia" w:ascii="Times New Roman" w:hAnsi="Times New Roman" w:cs="Times New Roman"/>
          <w:szCs w:val="21"/>
        </w:rPr>
        <w:t>通过信用中国、裁判文书网及国家企业信用信息公示系统查询网站查询，供应商未被列入失信被执行人、无严重违法及行贿犯罪记录。</w:t>
      </w:r>
    </w:p>
    <w:p>
      <w:pPr>
        <w:spacing w:before="312" w:beforeLines="100" w:after="312" w:afterLines="100" w:line="360" w:lineRule="auto"/>
        <w:outlineLvl w:val="0"/>
        <w:rPr>
          <w:rFonts w:ascii="黑体" w:hAnsi="黑体" w:eastAsia="黑体"/>
          <w:b/>
          <w:bCs/>
          <w:color w:val="000000"/>
          <w:kern w:val="44"/>
          <w:szCs w:val="21"/>
        </w:rPr>
      </w:pPr>
      <w:bookmarkStart w:id="8" w:name="_Toc55208669"/>
      <w:bookmarkStart w:id="9" w:name="_Toc73611227"/>
      <w:r>
        <w:rPr>
          <w:rFonts w:hint="eastAsia" w:ascii="黑体" w:hAnsi="黑体" w:eastAsia="黑体"/>
          <w:b/>
          <w:bCs/>
          <w:color w:val="000000"/>
          <w:kern w:val="44"/>
          <w:szCs w:val="21"/>
        </w:rPr>
        <w:t>8</w:t>
      </w:r>
      <w:r>
        <w:rPr>
          <w:rFonts w:ascii="黑体" w:hAnsi="黑体" w:eastAsia="黑体"/>
          <w:b/>
          <w:bCs/>
          <w:color w:val="000000"/>
          <w:kern w:val="44"/>
          <w:szCs w:val="21"/>
        </w:rPr>
        <w:t xml:space="preserve"> </w:t>
      </w:r>
      <w:r>
        <w:rPr>
          <w:rFonts w:hint="eastAsia" w:ascii="黑体" w:hAnsi="黑体" w:eastAsia="黑体"/>
          <w:b/>
          <w:bCs/>
          <w:color w:val="000000"/>
          <w:kern w:val="44"/>
          <w:szCs w:val="21"/>
        </w:rPr>
        <w:t>验收标准</w:t>
      </w:r>
      <w:bookmarkEnd w:id="8"/>
      <w:bookmarkEnd w:id="9"/>
    </w:p>
    <w:p>
      <w:pP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.1</w:t>
      </w:r>
      <w:r>
        <w:rPr>
          <w:rFonts w:hint="eastAsia" w:ascii="Times New Roman" w:hAnsi="Times New Roman" w:cs="Times New Roman"/>
          <w:szCs w:val="21"/>
        </w:rPr>
        <w:t>供应商交付资料齐备。</w:t>
      </w:r>
    </w:p>
    <w:p>
      <w:pP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.2</w:t>
      </w:r>
      <w:r>
        <w:rPr>
          <w:rFonts w:hint="eastAsia" w:ascii="Times New Roman" w:hAnsi="Times New Roman" w:cs="Times New Roman"/>
          <w:szCs w:val="21"/>
        </w:rPr>
        <w:t>车辆配备的消防器材合格。</w:t>
      </w:r>
    </w:p>
    <w:p>
      <w:pPr>
        <w:rPr>
          <w:rFonts w:ascii="Times New Roman" w:hAnsi="Times New Roman" w:cs="Times New Roman"/>
          <w:szCs w:val="21"/>
        </w:rPr>
      </w:pPr>
      <w:r>
        <w:rPr>
          <w:rFonts w:ascii="Times New Roman" w:hAnsi="Times New Roman" w:cs="Times New Roman"/>
          <w:szCs w:val="21"/>
        </w:rPr>
        <w:t>8.3</w:t>
      </w:r>
      <w:r>
        <w:rPr>
          <w:rFonts w:hint="eastAsia" w:ascii="Times New Roman" w:hAnsi="Times New Roman" w:cs="Times New Roman"/>
          <w:szCs w:val="21"/>
        </w:rPr>
        <w:t>车辆定期进行维护保养。</w:t>
      </w:r>
    </w:p>
    <w:p>
      <w:pPr>
        <w:rPr>
          <w:rFonts w:ascii="Times New Roman" w:hAnsi="Times New Roman" w:cs="Times New Roman"/>
          <w:szCs w:val="21"/>
        </w:rPr>
      </w:pPr>
      <w:r>
        <w:rPr>
          <w:rFonts w:ascii="Times New Roman" w:hAnsi="Times New Roman" w:cs="Times New Roman"/>
          <w:szCs w:val="21"/>
        </w:rPr>
        <w:t>8.4</w:t>
      </w:r>
      <w:r>
        <w:rPr>
          <w:rFonts w:hint="eastAsia" w:ascii="Times New Roman" w:hAnsi="Times New Roman" w:cs="Times New Roman"/>
          <w:szCs w:val="21"/>
        </w:rPr>
        <w:t>甲方有效投诉不超过</w:t>
      </w:r>
      <w:r>
        <w:rPr>
          <w:rFonts w:hint="eastAsia" w:ascii="Times New Roman" w:hAnsi="Times New Roman" w:cs="Times New Roman"/>
          <w:szCs w:val="21"/>
          <w:lang w:val="en-US" w:eastAsia="zh-CN"/>
        </w:rPr>
        <w:t>3</w:t>
      </w:r>
      <w:r>
        <w:rPr>
          <w:rFonts w:hint="eastAsia" w:ascii="Times New Roman" w:hAnsi="Times New Roman" w:cs="Times New Roman"/>
          <w:szCs w:val="21"/>
        </w:rPr>
        <w:t>起</w:t>
      </w:r>
      <w:r>
        <w:rPr>
          <w:rFonts w:hint="eastAsia" w:ascii="Times New Roman" w:hAnsi="Times New Roman" w:cs="Times New Roman"/>
          <w:szCs w:val="21"/>
          <w:lang w:val="en-US" w:eastAsia="zh-CN"/>
        </w:rPr>
        <w:t>/年</w:t>
      </w:r>
      <w:r>
        <w:rPr>
          <w:rFonts w:hint="eastAsia"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8.5</w:t>
      </w:r>
      <w:r>
        <w:rPr>
          <w:rFonts w:hint="eastAsia" w:ascii="Times New Roman" w:hAnsi="Times New Roman" w:cs="Times New Roman"/>
          <w:szCs w:val="21"/>
        </w:rPr>
        <w:t>甲方投诉及时处理。</w:t>
      </w:r>
    </w:p>
    <w:p>
      <w:pP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.6</w:t>
      </w:r>
      <w:r>
        <w:rPr>
          <w:rFonts w:hint="eastAsia" w:ascii="Times New Roman" w:hAnsi="Times New Roman" w:cs="Times New Roman"/>
          <w:szCs w:val="21"/>
        </w:rPr>
        <w:t>因供应商疏漏车辆发生意外，对甲方的权益受到损害的事故不超过</w:t>
      </w:r>
      <w:r>
        <w:rPr>
          <w:rFonts w:hint="eastAsia" w:ascii="Times New Roman" w:hAnsi="Times New Roman" w:cs="Times New Roman"/>
          <w:szCs w:val="21"/>
          <w:lang w:val="en-US" w:eastAsia="zh-CN"/>
        </w:rPr>
        <w:t>1</w:t>
      </w:r>
      <w:r>
        <w:rPr>
          <w:rFonts w:hint="eastAsia" w:ascii="Times New Roman" w:hAnsi="Times New Roman" w:cs="Times New Roman"/>
          <w:szCs w:val="21"/>
        </w:rPr>
        <w:t>起。</w:t>
      </w:r>
    </w:p>
    <w:p>
      <w:pPr>
        <w:rPr>
          <w:rFonts w:ascii="Times New Roman" w:hAnsi="Times New Roman" w:cs="Times New Roman"/>
          <w:szCs w:val="21"/>
        </w:rPr>
      </w:pPr>
      <w:r>
        <w:rPr>
          <w:rFonts w:ascii="Times New Roman" w:hAnsi="Times New Roman" w:cs="Times New Roman"/>
          <w:szCs w:val="21"/>
        </w:rPr>
        <w:t>8.7</w:t>
      </w:r>
      <w:r>
        <w:rPr>
          <w:rFonts w:hint="eastAsia" w:ascii="Times New Roman" w:hAnsi="Times New Roman" w:cs="Times New Roman"/>
          <w:szCs w:val="21"/>
        </w:rPr>
        <w:t>因供应商原因牵连甲方受政府部门处罚不超过</w:t>
      </w:r>
      <w:r>
        <w:rPr>
          <w:rFonts w:hint="eastAsia" w:ascii="Times New Roman" w:hAnsi="Times New Roman" w:cs="Times New Roman"/>
          <w:szCs w:val="21"/>
          <w:lang w:val="en-US" w:eastAsia="zh-CN"/>
        </w:rPr>
        <w:t>1</w:t>
      </w:r>
      <w:r>
        <w:rPr>
          <w:rFonts w:hint="eastAsia" w:ascii="Times New Roman" w:hAnsi="Times New Roman" w:cs="Times New Roman"/>
          <w:szCs w:val="21"/>
        </w:rPr>
        <w:t>起。</w:t>
      </w:r>
    </w:p>
    <w:p>
      <w:pPr>
        <w:spacing w:before="312" w:beforeLines="100" w:after="312" w:afterLines="100" w:line="360" w:lineRule="auto"/>
        <w:outlineLvl w:val="0"/>
        <w:rPr>
          <w:rFonts w:ascii="黑体" w:hAnsi="黑体" w:eastAsia="黑体"/>
          <w:b/>
          <w:bCs/>
          <w:color w:val="000000"/>
          <w:kern w:val="44"/>
          <w:szCs w:val="21"/>
        </w:rPr>
      </w:pPr>
      <w:bookmarkStart w:id="10" w:name="_Toc73611230"/>
      <w:bookmarkStart w:id="11" w:name="_Toc55208672"/>
      <w:r>
        <w:rPr>
          <w:rFonts w:ascii="黑体" w:hAnsi="黑体" w:eastAsia="黑体"/>
          <w:b/>
          <w:bCs/>
          <w:color w:val="000000"/>
          <w:kern w:val="44"/>
          <w:szCs w:val="21"/>
        </w:rPr>
        <w:t xml:space="preserve">11 </w:t>
      </w:r>
      <w:r>
        <w:rPr>
          <w:rFonts w:hint="eastAsia" w:ascii="黑体" w:hAnsi="黑体" w:eastAsia="黑体"/>
          <w:b/>
          <w:bCs/>
          <w:color w:val="000000"/>
          <w:kern w:val="44"/>
          <w:szCs w:val="21"/>
        </w:rPr>
        <w:t>质量保证</w:t>
      </w:r>
      <w:bookmarkEnd w:id="10"/>
      <w:bookmarkEnd w:id="11"/>
    </w:p>
    <w:p>
      <w:pPr>
        <w:ind w:firstLine="420" w:firstLineChars="200"/>
        <w:rPr>
          <w:rFonts w:hint="eastAsia" w:ascii="Times New Roman" w:hAnsi="Times New Roman" w:cs="Times New Roman"/>
          <w:szCs w:val="21"/>
        </w:rPr>
      </w:pPr>
      <w:r>
        <w:rPr>
          <w:rFonts w:hint="eastAsia" w:ascii="Times New Roman" w:hAnsi="Times New Roman" w:cs="Times New Roman"/>
          <w:szCs w:val="21"/>
          <w:highlight w:val="yellow"/>
        </w:rPr>
        <w:t>★供应商</w:t>
      </w:r>
      <w:r>
        <w:rPr>
          <w:rFonts w:hint="eastAsia" w:ascii="Times New Roman" w:hAnsi="Times New Roman" w:cs="Times New Roman"/>
          <w:szCs w:val="21"/>
          <w:highlight w:val="yellow"/>
          <w:lang w:val="en-US" w:eastAsia="zh-CN"/>
        </w:rPr>
        <w:t>应提供</w:t>
      </w:r>
      <w:r>
        <w:rPr>
          <w:rFonts w:hint="eastAsia" w:ascii="Times New Roman" w:hAnsi="Times New Roman" w:cs="Times New Roman"/>
          <w:szCs w:val="21"/>
          <w:highlight w:val="yellow"/>
        </w:rPr>
        <w:t>承诺</w:t>
      </w:r>
      <w:r>
        <w:rPr>
          <w:rFonts w:hint="eastAsia"/>
          <w:highlight w:val="yellow"/>
          <w:lang w:val="en-US" w:eastAsia="zh-CN"/>
        </w:rPr>
        <w:t>函（格式自拟）</w:t>
      </w:r>
      <w:r>
        <w:rPr>
          <w:rFonts w:hint="eastAsia" w:ascii="Times New Roman" w:hAnsi="Times New Roman" w:cs="Times New Roman"/>
          <w:szCs w:val="21"/>
        </w:rPr>
        <w:t>，其</w:t>
      </w:r>
      <w:r>
        <w:rPr>
          <w:rFonts w:hint="eastAsia" w:ascii="Times New Roman" w:hAnsi="Times New Roman" w:cs="Times New Roman"/>
          <w:szCs w:val="21"/>
          <w:lang w:val="en-US" w:eastAsia="zh-CN"/>
        </w:rPr>
        <w:t>车辆</w:t>
      </w:r>
      <w:r>
        <w:rPr>
          <w:rFonts w:hint="eastAsia" w:ascii="Times New Roman" w:hAnsi="Times New Roman" w:cs="Times New Roman"/>
          <w:szCs w:val="21"/>
        </w:rPr>
        <w:t>符合本合同、法律法规、行业规范、标准和良好的行业惯例的要求，不存在任何缺陷。如因供应商原因，造成甲方直接经济损失，供应商应给与甲方</w:t>
      </w:r>
      <w:r>
        <w:rPr>
          <w:rFonts w:hint="eastAsia" w:ascii="Times New Roman" w:hAnsi="Times New Roman" w:cs="Times New Roman"/>
          <w:szCs w:val="21"/>
          <w:lang w:val="en-US" w:eastAsia="zh-CN"/>
        </w:rPr>
        <w:t>相应</w:t>
      </w:r>
      <w:r>
        <w:rPr>
          <w:rFonts w:hint="eastAsia" w:ascii="Times New Roman" w:hAnsi="Times New Roman" w:cs="Times New Roman"/>
          <w:szCs w:val="21"/>
        </w:rPr>
        <w:t>补偿，甲方有权要求供应商限期整改，并有权终止合同。</w:t>
      </w:r>
    </w:p>
    <w:p>
      <w:pPr>
        <w:pStyle w:val="8"/>
        <w:keepNext w:val="0"/>
        <w:keepLines w:val="0"/>
        <w:pageBreakBefore w:val="0"/>
        <w:kinsoku/>
        <w:wordWrap/>
        <w:overflowPunct/>
        <w:topLinePunct w:val="0"/>
        <w:bidi w:val="0"/>
        <w:snapToGrid w:val="0"/>
        <w:spacing w:line="360" w:lineRule="auto"/>
        <w:ind w:left="0" w:leftChars="0" w:right="122" w:firstLine="0" w:firstLineChars="0"/>
        <w:jc w:val="left"/>
        <w:textAlignment w:val="auto"/>
        <w:rPr>
          <w:rFonts w:hint="default" w:ascii="微软雅黑" w:hAnsi="微软雅黑" w:eastAsia="微软雅黑" w:cs="Times New Roman"/>
          <w:b/>
          <w:bCs/>
          <w:color w:val="auto"/>
          <w:sz w:val="22"/>
          <w:szCs w:val="22"/>
          <w:highlight w:val="none"/>
          <w:lang w:val="en-US" w:eastAsia="zh-CN"/>
        </w:rPr>
      </w:pPr>
    </w:p>
    <w:p>
      <w:pPr>
        <w:pStyle w:val="8"/>
        <w:keepNext w:val="0"/>
        <w:keepLines w:val="0"/>
        <w:pageBreakBefore w:val="0"/>
        <w:kinsoku/>
        <w:wordWrap/>
        <w:overflowPunct/>
        <w:topLinePunct w:val="0"/>
        <w:bidi w:val="0"/>
        <w:snapToGrid w:val="0"/>
        <w:spacing w:line="360" w:lineRule="auto"/>
        <w:ind w:left="0" w:leftChars="0" w:right="122" w:firstLine="0" w:firstLineChars="0"/>
        <w:jc w:val="left"/>
        <w:textAlignment w:val="auto"/>
        <w:rPr>
          <w:rFonts w:hint="eastAsia" w:ascii="Times New Roman" w:hAnsi="Times New Roman" w:cs="Times New Roman"/>
          <w:sz w:val="22"/>
          <w:szCs w:val="22"/>
        </w:rPr>
      </w:pPr>
      <w:r>
        <w:rPr>
          <w:rFonts w:hint="default" w:ascii="微软雅黑" w:hAnsi="微软雅黑" w:eastAsia="微软雅黑" w:cs="Times New Roman"/>
          <w:b/>
          <w:bCs/>
          <w:color w:val="auto"/>
          <w:sz w:val="22"/>
          <w:szCs w:val="22"/>
          <w:highlight w:val="none"/>
          <w:lang w:val="en-US" w:eastAsia="zh-CN"/>
        </w:rPr>
        <w:t>【下述要求为对上述标准中参数的补充优化】</w:t>
      </w:r>
    </w:p>
    <w:p>
      <w:pPr>
        <w:pStyle w:val="8"/>
        <w:keepNext w:val="0"/>
        <w:keepLines w:val="0"/>
        <w:pageBreakBefore w:val="0"/>
        <w:widowControl w:val="0"/>
        <w:kinsoku/>
        <w:wordWrap/>
        <w:overflowPunct/>
        <w:topLinePunct w:val="0"/>
        <w:bidi w:val="0"/>
        <w:spacing w:line="360" w:lineRule="auto"/>
        <w:ind w:right="115" w:rightChars="55" w:firstLine="0" w:firstLine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1、供应商要求：</w:t>
      </w:r>
    </w:p>
    <w:p>
      <w:pPr>
        <w:pStyle w:val="22"/>
        <w:keepNext w:val="0"/>
        <w:keepLines w:val="0"/>
        <w:pageBreakBefore w:val="0"/>
        <w:widowControl w:val="0"/>
        <w:kinsoku/>
        <w:wordWrap/>
        <w:overflowPunct/>
        <w:topLinePunct w:val="0"/>
        <w:bidi w:val="0"/>
        <w:spacing w:line="360" w:lineRule="auto"/>
        <w:ind w:left="0" w:firstLine="0" w:firstLine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乙方提供的车辆必须为乙方自有车辆，禁止使用乙方非自有车辆，出租的车辆性质应符合福建地区对车辆营运的要求。</w:t>
      </w:r>
    </w:p>
    <w:p>
      <w:pPr>
        <w:pStyle w:val="8"/>
        <w:keepNext w:val="0"/>
        <w:keepLines w:val="0"/>
        <w:pageBreakBefore w:val="0"/>
        <w:widowControl w:val="0"/>
        <w:kinsoku/>
        <w:wordWrap/>
        <w:overflowPunct/>
        <w:topLinePunct w:val="0"/>
        <w:bidi w:val="0"/>
        <w:spacing w:line="360" w:lineRule="auto"/>
        <w:ind w:right="115" w:rightChars="55" w:firstLine="0" w:firstLineChars="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2、服务具体要求：</w:t>
      </w:r>
    </w:p>
    <w:p>
      <w:pPr>
        <w:pStyle w:val="22"/>
        <w:keepNext w:val="0"/>
        <w:keepLines w:val="0"/>
        <w:pageBreakBefore w:val="0"/>
        <w:widowControl w:val="0"/>
        <w:kinsoku/>
        <w:wordWrap/>
        <w:overflowPunct/>
        <w:topLinePunct w:val="0"/>
        <w:bidi w:val="0"/>
        <w:spacing w:line="360" w:lineRule="auto"/>
        <w:ind w:left="0" w:firstLine="0" w:firstLine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2.1.1乙方提供的车辆应符合中国法律法规要求。</w:t>
      </w:r>
    </w:p>
    <w:p>
      <w:pPr>
        <w:pStyle w:val="22"/>
        <w:keepNext w:val="0"/>
        <w:keepLines w:val="0"/>
        <w:pageBreakBefore w:val="0"/>
        <w:widowControl w:val="0"/>
        <w:kinsoku/>
        <w:wordWrap/>
        <w:overflowPunct/>
        <w:topLinePunct w:val="0"/>
        <w:bidi w:val="0"/>
        <w:spacing w:line="360" w:lineRule="auto"/>
        <w:ind w:left="0" w:firstLine="0" w:firstLineChars="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2.2.2若乙方车辆出现故障或其他原因无法使用，乙方应提供同规格替换车辆，保证甲方正常使用。</w:t>
      </w:r>
    </w:p>
    <w:p>
      <w:pPr>
        <w:pStyle w:val="22"/>
        <w:keepNext w:val="0"/>
        <w:keepLines w:val="0"/>
        <w:pageBreakBefore w:val="0"/>
        <w:widowControl w:val="0"/>
        <w:kinsoku/>
        <w:wordWrap/>
        <w:overflowPunct/>
        <w:topLinePunct w:val="0"/>
        <w:bidi w:val="0"/>
        <w:spacing w:line="360" w:lineRule="auto"/>
        <w:ind w:left="0" w:firstLine="0" w:firstLineChars="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sz w:val="22"/>
          <w:szCs w:val="22"/>
          <w:lang w:val="en-US" w:eastAsia="zh-CN"/>
        </w:rPr>
        <w:t>★</w:t>
      </w:r>
      <w:r>
        <w:rPr>
          <w:rFonts w:hint="eastAsia" w:ascii="宋体" w:hAnsi="宋体" w:eastAsia="宋体" w:cs="宋体"/>
          <w:b w:val="0"/>
          <w:bCs w:val="0"/>
          <w:color w:val="auto"/>
          <w:sz w:val="22"/>
          <w:szCs w:val="22"/>
          <w:highlight w:val="yellow"/>
          <w:lang w:val="en-US" w:eastAsia="zh-CN"/>
        </w:rPr>
        <w:t>2.2.3乙方应向甲方书面承诺（格式自拟）：</w:t>
      </w:r>
      <w:r>
        <w:rPr>
          <w:rFonts w:hint="eastAsia" w:ascii="宋体" w:hAnsi="宋体" w:eastAsia="宋体" w:cs="宋体"/>
          <w:b w:val="0"/>
          <w:bCs w:val="0"/>
          <w:color w:val="auto"/>
          <w:sz w:val="22"/>
          <w:szCs w:val="22"/>
          <w:highlight w:val="none"/>
          <w:lang w:val="en-US" w:eastAsia="zh-CN"/>
        </w:rPr>
        <w:t>合同签署60日内，乙方提供车辆服务；同时，乙方负担保险包括但不限于：为服务车辆购买交强险、财产险、第三者责任保险、乘客责任保险及其它相关保险，具体为司乘险/承运人责任险（≥20万元）、车辆损失险、车辆盗抢险、涉水险、自燃险、公路货物运输险、第三者责任险（≥200万元）、不计免赔附加险、无过失险，且保险应在有效期限内。</w:t>
      </w:r>
    </w:p>
    <w:p>
      <w:pPr>
        <w:pStyle w:val="22"/>
        <w:keepNext w:val="0"/>
        <w:keepLines w:val="0"/>
        <w:pageBreakBefore w:val="0"/>
        <w:widowControl w:val="0"/>
        <w:kinsoku/>
        <w:wordWrap/>
        <w:overflowPunct/>
        <w:topLinePunct w:val="0"/>
        <w:bidi w:val="0"/>
        <w:spacing w:line="360" w:lineRule="auto"/>
        <w:ind w:left="0" w:firstLine="0" w:firstLineChars="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2.2.4乙方向甲方提供救援服务，并支付相应的救援费用。若乙方不能及时前往救援，甲方有权雇佣第三方提供紧急救援，因此而发生的合理费用由乙方承担。</w:t>
      </w:r>
    </w:p>
    <w:p>
      <w:pPr>
        <w:pStyle w:val="22"/>
        <w:keepNext w:val="0"/>
        <w:keepLines w:val="0"/>
        <w:pageBreakBefore w:val="0"/>
        <w:widowControl w:val="0"/>
        <w:kinsoku/>
        <w:wordWrap/>
        <w:overflowPunct/>
        <w:topLinePunct w:val="0"/>
        <w:bidi w:val="0"/>
        <w:spacing w:line="360" w:lineRule="auto"/>
        <w:ind w:left="0" w:firstLine="0" w:firstLineChars="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2.2.5乙方应负责车辆定期保养（按车辆保养规定进行）、清洗清洁（每月至少4次）、保证车辆处于良好使用状态。</w:t>
      </w:r>
    </w:p>
    <w:p>
      <w:pPr>
        <w:pStyle w:val="22"/>
        <w:keepNext w:val="0"/>
        <w:keepLines w:val="0"/>
        <w:pageBreakBefore w:val="0"/>
        <w:widowControl w:val="0"/>
        <w:kinsoku/>
        <w:wordWrap/>
        <w:overflowPunct/>
        <w:topLinePunct w:val="0"/>
        <w:bidi w:val="0"/>
        <w:spacing w:line="360" w:lineRule="auto"/>
        <w:ind w:left="0" w:firstLine="0" w:firstLineChars="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2.2.6乙方除了要保证车辆的发动机、仪表盘等技术状况良好外，还需保证车辆随车物件配备齐全，车内应该备有随车工具、备胎、灭火器、防盗装置等。负责更换备品配件、必要的工具等，及交付政府有关部门的一切费用。</w:t>
      </w:r>
    </w:p>
    <w:p>
      <w:pPr>
        <w:pStyle w:val="22"/>
        <w:keepNext w:val="0"/>
        <w:keepLines w:val="0"/>
        <w:pageBreakBefore w:val="0"/>
        <w:widowControl w:val="0"/>
        <w:kinsoku/>
        <w:wordWrap/>
        <w:overflowPunct/>
        <w:topLinePunct w:val="0"/>
        <w:bidi w:val="0"/>
        <w:spacing w:line="360" w:lineRule="auto"/>
        <w:ind w:left="0" w:firstLine="0" w:firstLineChars="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2.2.8</w:t>
      </w:r>
      <w:r>
        <w:rPr>
          <w:rFonts w:hint="eastAsia" w:ascii="宋体" w:hAnsi="宋体" w:eastAsia="宋体" w:cs="宋体"/>
          <w:sz w:val="22"/>
          <w:szCs w:val="22"/>
          <w:lang w:val="en-US" w:eastAsia="zh-CN"/>
        </w:rPr>
        <w:t>乙方</w:t>
      </w:r>
      <w:r>
        <w:rPr>
          <w:rFonts w:hint="eastAsia" w:ascii="宋体" w:hAnsi="宋体" w:eastAsia="宋体" w:cs="宋体"/>
          <w:b w:val="0"/>
          <w:bCs w:val="0"/>
          <w:color w:val="auto"/>
          <w:sz w:val="22"/>
          <w:szCs w:val="22"/>
          <w:highlight w:val="none"/>
          <w:lang w:val="en-US" w:eastAsia="zh-CN"/>
        </w:rPr>
        <w:t>负担出租车辆的保险费、折旧费、车船使用税、年度检验、车辆丢失车辆现值损失，每月提供合同规定数量的合格油料及车型所需其他能耗品（尿素等）以供车辆正常行驶。</w:t>
      </w:r>
    </w:p>
    <w:p>
      <w:pPr>
        <w:pStyle w:val="4"/>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2.2.9乙方应建立车辆安全管理制度，制度应包括岗位安全职责、安全生产检查制度、驾驶员安全管理制度、车辆安全管理制度、事故应急预案等。</w:t>
      </w:r>
    </w:p>
    <w:p>
      <w:pPr>
        <w:pStyle w:val="4"/>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2.2.10乙方车辆管理部门应建立机动车辆和驾驶员管理档案，内容包括但不限于：</w:t>
      </w:r>
    </w:p>
    <w:p>
      <w:pPr>
        <w:pStyle w:val="4"/>
        <w:keepNext w:val="0"/>
        <w:keepLines w:val="0"/>
        <w:pageBreakBefore w:val="0"/>
        <w:widowControl w:val="0"/>
        <w:numPr>
          <w:ilvl w:val="0"/>
          <w:numId w:val="4"/>
        </w:numPr>
        <w:kinsoku/>
        <w:wordWrap/>
        <w:overflowPunct/>
        <w:topLinePunct w:val="0"/>
        <w:bidi w:val="0"/>
        <w:spacing w:line="360" w:lineRule="auto"/>
        <w:ind w:left="840" w:leftChars="0" w:hanging="420" w:firstLineChars="0"/>
        <w:textAlignment w:val="auto"/>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车辆基本情况，包括车辆所有权证书、车辆行驶证、车辆保险复印件；</w:t>
      </w:r>
    </w:p>
    <w:p>
      <w:pPr>
        <w:pStyle w:val="4"/>
        <w:keepNext w:val="0"/>
        <w:keepLines w:val="0"/>
        <w:pageBreakBefore w:val="0"/>
        <w:widowControl w:val="0"/>
        <w:numPr>
          <w:ilvl w:val="0"/>
          <w:numId w:val="4"/>
        </w:numPr>
        <w:kinsoku/>
        <w:wordWrap/>
        <w:overflowPunct/>
        <w:topLinePunct w:val="0"/>
        <w:bidi w:val="0"/>
        <w:spacing w:line="360" w:lineRule="auto"/>
        <w:ind w:left="840" w:leftChars="0" w:hanging="420" w:firstLineChars="0"/>
        <w:textAlignment w:val="auto"/>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车辆检查记录，包括各项日常检查和定期检查记录；</w:t>
      </w:r>
    </w:p>
    <w:p>
      <w:pPr>
        <w:pStyle w:val="4"/>
        <w:keepNext w:val="0"/>
        <w:keepLines w:val="0"/>
        <w:pageBreakBefore w:val="0"/>
        <w:widowControl w:val="0"/>
        <w:numPr>
          <w:ilvl w:val="0"/>
          <w:numId w:val="4"/>
        </w:numPr>
        <w:kinsoku/>
        <w:wordWrap/>
        <w:overflowPunct/>
        <w:topLinePunct w:val="0"/>
        <w:bidi w:val="0"/>
        <w:spacing w:line="360" w:lineRule="auto"/>
        <w:ind w:left="840" w:leftChars="0" w:hanging="420" w:firstLineChars="0"/>
        <w:textAlignment w:val="auto"/>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车辆维修及检测记录；</w:t>
      </w:r>
    </w:p>
    <w:p>
      <w:pPr>
        <w:pStyle w:val="4"/>
        <w:keepNext w:val="0"/>
        <w:keepLines w:val="0"/>
        <w:pageBreakBefore w:val="0"/>
        <w:widowControl w:val="0"/>
        <w:numPr>
          <w:ilvl w:val="0"/>
          <w:numId w:val="4"/>
        </w:numPr>
        <w:kinsoku/>
        <w:wordWrap/>
        <w:overflowPunct/>
        <w:topLinePunct w:val="0"/>
        <w:bidi w:val="0"/>
        <w:spacing w:line="360" w:lineRule="auto"/>
        <w:ind w:left="840" w:leftChars="0" w:hanging="420" w:firstLineChars="0"/>
        <w:textAlignment w:val="auto"/>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驾驶员档案，包括个人基本信息、驾驶证、健康证、从业安全记录和教育培训记录；</w:t>
      </w:r>
    </w:p>
    <w:p>
      <w:pPr>
        <w:pStyle w:val="4"/>
        <w:keepNext w:val="0"/>
        <w:keepLines w:val="0"/>
        <w:pageBreakBefore w:val="0"/>
        <w:widowControl w:val="0"/>
        <w:numPr>
          <w:ilvl w:val="0"/>
          <w:numId w:val="4"/>
        </w:numPr>
        <w:kinsoku/>
        <w:wordWrap/>
        <w:overflowPunct/>
        <w:topLinePunct w:val="0"/>
        <w:bidi w:val="0"/>
        <w:spacing w:line="360" w:lineRule="auto"/>
        <w:ind w:left="840" w:leftChars="0" w:hanging="420" w:firstLineChars="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sz w:val="22"/>
          <w:szCs w:val="22"/>
          <w:lang w:val="en-US" w:eastAsia="zh-CN"/>
        </w:rPr>
        <w:t>交通事故记录。</w:t>
      </w:r>
    </w:p>
    <w:p>
      <w:pPr>
        <w:pStyle w:val="4"/>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2"/>
          <w:szCs w:val="22"/>
        </w:rPr>
      </w:pPr>
      <w:r>
        <w:rPr>
          <w:rFonts w:hint="eastAsia" w:ascii="宋体" w:hAnsi="宋体" w:eastAsia="宋体" w:cs="宋体"/>
          <w:b/>
          <w:sz w:val="22"/>
          <w:szCs w:val="22"/>
          <w:lang w:val="en-US" w:eastAsia="zh-CN"/>
        </w:rPr>
        <w:t>五</w:t>
      </w:r>
      <w:r>
        <w:rPr>
          <w:rFonts w:hint="eastAsia" w:ascii="宋体" w:hAnsi="宋体" w:eastAsia="宋体" w:cs="宋体"/>
          <w:b/>
          <w:sz w:val="22"/>
          <w:szCs w:val="22"/>
        </w:rPr>
        <w:t>、配备资源要求</w:t>
      </w:r>
    </w:p>
    <w:p>
      <w:pPr>
        <w:pStyle w:val="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pacing w:val="0"/>
          <w:sz w:val="22"/>
          <w:szCs w:val="22"/>
          <w:lang w:val="en-US" w:eastAsia="zh-CN"/>
        </w:rPr>
      </w:pPr>
      <w:r>
        <w:rPr>
          <w:rFonts w:hint="eastAsia" w:ascii="宋体" w:hAnsi="宋体" w:eastAsia="宋体" w:cs="宋体"/>
          <w:spacing w:val="0"/>
          <w:sz w:val="22"/>
          <w:szCs w:val="22"/>
          <w:lang w:val="en-US" w:eastAsia="zh-CN"/>
        </w:rPr>
        <w:t>5.1车辆要求：</w:t>
      </w:r>
    </w:p>
    <w:p>
      <w:pPr>
        <w:keepNext w:val="0"/>
        <w:keepLines w:val="0"/>
        <w:pageBreakBefore w:val="0"/>
        <w:widowControl w:val="0"/>
        <w:numPr>
          <w:ilvl w:val="0"/>
          <w:numId w:val="5"/>
        </w:numPr>
        <w:kinsoku/>
        <w:wordWrap/>
        <w:overflowPunct/>
        <w:topLinePunct w:val="0"/>
        <w:bidi w:val="0"/>
        <w:spacing w:line="360" w:lineRule="auto"/>
        <w:ind w:left="840" w:leftChars="0" w:hanging="420" w:firstLine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highlight w:val="yellow"/>
          <w:lang w:val="en-US" w:eastAsia="zh-CN"/>
        </w:rPr>
        <w:t>乙方应向甲方书面承诺（格式自拟）：</w:t>
      </w:r>
      <w:r>
        <w:rPr>
          <w:rFonts w:hint="eastAsia" w:ascii="宋体" w:hAnsi="宋体" w:eastAsia="宋体" w:cs="宋体"/>
          <w:sz w:val="22"/>
          <w:szCs w:val="22"/>
          <w:lang w:val="en-US" w:eastAsia="zh-CN"/>
        </w:rPr>
        <w:t>★性能不低于长城汽车-长城炮（2025款 2.0T商用炮 自动汽油四驱舒适型 标箱GW4C20B）/长安览拓者2025款 臻享款 2.0T 自动四驱汽油精英型长箱/中兴汽车-威狮1949（2025款2.0T乘用版汽油自动四驱舒适型车况良好，车辆生产日期不超过1年，行驶里程不超过2000公里，且不能为事故车</w:t>
      </w:r>
      <w:r>
        <w:rPr>
          <w:rFonts w:hint="eastAsia" w:ascii="宋体" w:hAnsi="宋体" w:eastAsia="宋体" w:cs="宋体"/>
          <w:b w:val="0"/>
          <w:bCs w:val="0"/>
          <w:i w:val="0"/>
          <w:iCs w:val="0"/>
          <w:color w:val="auto"/>
          <w:kern w:val="0"/>
          <w:sz w:val="21"/>
          <w:szCs w:val="21"/>
          <w:highlight w:val="none"/>
          <w:u w:val="none"/>
          <w:lang w:val="en-US" w:eastAsia="zh-CN" w:bidi="ar"/>
        </w:rPr>
        <w:t>,同时，车上应配置座椅套、防滑地垫（需要整块、不能太零碎影响使用）。</w:t>
      </w:r>
    </w:p>
    <w:p>
      <w:pPr>
        <w:keepNext w:val="0"/>
        <w:keepLines w:val="0"/>
        <w:pageBreakBefore w:val="0"/>
        <w:widowControl w:val="0"/>
        <w:numPr>
          <w:ilvl w:val="0"/>
          <w:numId w:val="5"/>
        </w:numPr>
        <w:kinsoku/>
        <w:wordWrap/>
        <w:overflowPunct/>
        <w:topLinePunct w:val="0"/>
        <w:bidi w:val="0"/>
        <w:spacing w:line="360" w:lineRule="auto"/>
        <w:ind w:left="840" w:leftChars="0" w:hanging="420" w:firstLine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乙方</w:t>
      </w:r>
      <w:r>
        <w:rPr>
          <w:rFonts w:hint="eastAsia" w:ascii="宋体" w:hAnsi="宋体" w:eastAsia="宋体" w:cs="宋体"/>
          <w:sz w:val="22"/>
          <w:szCs w:val="22"/>
          <w:lang w:val="en-US" w:eastAsia="zh-CN"/>
        </w:rPr>
        <w:t>应</w:t>
      </w:r>
      <w:r>
        <w:rPr>
          <w:rFonts w:hint="eastAsia" w:ascii="宋体" w:hAnsi="宋体" w:eastAsia="宋体" w:cs="宋体"/>
          <w:sz w:val="22"/>
          <w:szCs w:val="22"/>
          <w:lang w:eastAsia="zh-CN"/>
        </w:rPr>
        <w:t>按甲方要求，在车上加装相关设备（如车辆</w:t>
      </w:r>
      <w:r>
        <w:rPr>
          <w:rFonts w:hint="eastAsia" w:ascii="宋体" w:hAnsi="宋体" w:eastAsia="宋体" w:cs="宋体"/>
          <w:sz w:val="22"/>
          <w:szCs w:val="22"/>
          <w:lang w:val="en-US" w:eastAsia="zh-CN"/>
        </w:rPr>
        <w:t>行驶</w:t>
      </w:r>
      <w:r>
        <w:rPr>
          <w:rFonts w:hint="eastAsia" w:ascii="宋体" w:hAnsi="宋体" w:eastAsia="宋体" w:cs="宋体"/>
          <w:sz w:val="22"/>
          <w:szCs w:val="22"/>
          <w:lang w:eastAsia="zh-CN"/>
        </w:rPr>
        <w:t>记录仪、导航仪、ETC、</w:t>
      </w:r>
      <w:r>
        <w:rPr>
          <w:rFonts w:hint="eastAsia" w:ascii="宋体" w:hAnsi="宋体" w:eastAsia="宋体" w:cs="宋体"/>
          <w:sz w:val="22"/>
          <w:szCs w:val="22"/>
          <w:lang w:val="en-US" w:eastAsia="zh-CN"/>
        </w:rPr>
        <w:t>卫星定位装置、车载视频监控设备</w:t>
      </w:r>
      <w:r>
        <w:rPr>
          <w:rFonts w:hint="eastAsia" w:ascii="宋体" w:hAnsi="宋体" w:eastAsia="宋体" w:cs="宋体"/>
          <w:sz w:val="22"/>
          <w:szCs w:val="22"/>
          <w:lang w:eastAsia="zh-CN"/>
        </w:rPr>
        <w:t>等），设备费用由乙方承担。</w:t>
      </w:r>
      <w:r>
        <w:rPr>
          <w:rFonts w:hint="eastAsia" w:ascii="宋体" w:hAnsi="宋体" w:eastAsia="宋体" w:cs="宋体"/>
          <w:sz w:val="22"/>
          <w:szCs w:val="22"/>
          <w:lang w:val="en-US" w:eastAsia="zh-CN"/>
        </w:rPr>
        <w:t>同时，乙方应留存行车记录的信息数据，不得擅自删除和更改信息数据，系统数据保存周期统一标准为6个月，按月定期向甲方反馈。</w:t>
      </w:r>
    </w:p>
    <w:p>
      <w:pPr>
        <w:keepNext w:val="0"/>
        <w:keepLines w:val="0"/>
        <w:pageBreakBefore w:val="0"/>
        <w:widowControl w:val="0"/>
        <w:numPr>
          <w:ilvl w:val="0"/>
          <w:numId w:val="5"/>
        </w:numPr>
        <w:kinsoku/>
        <w:wordWrap/>
        <w:overflowPunct/>
        <w:topLinePunct w:val="0"/>
        <w:bidi w:val="0"/>
        <w:spacing w:line="360" w:lineRule="auto"/>
        <w:ind w:left="840" w:leftChars="0" w:hanging="420" w:firstLineChars="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机动车辆车内的安全设施须配备齐全，包括灭火器、安全锤、安全标志、防雾灯、急救药箱和应急联络电话号码等，且每一个座位必须配备安全带。</w:t>
      </w:r>
    </w:p>
    <w:p>
      <w:pPr>
        <w:keepNext w:val="0"/>
        <w:keepLines w:val="0"/>
        <w:pageBreakBefore w:val="0"/>
        <w:widowControl w:val="0"/>
        <w:numPr>
          <w:ilvl w:val="0"/>
          <w:numId w:val="5"/>
        </w:numPr>
        <w:kinsoku/>
        <w:wordWrap/>
        <w:overflowPunct/>
        <w:topLinePunct w:val="0"/>
        <w:bidi w:val="0"/>
        <w:spacing w:line="360" w:lineRule="auto"/>
        <w:ind w:left="840" w:leftChars="0" w:hanging="420" w:firstLineChars="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机动车辆车内的适当位置应有关于提醒车上人员系好安全带、禁止吸烟、禁止乘车人员与驾驶员闲谈等相关安全提示。</w:t>
      </w:r>
    </w:p>
    <w:p>
      <w:pPr>
        <w:keepNext w:val="0"/>
        <w:keepLines w:val="0"/>
        <w:pageBreakBefore w:val="0"/>
        <w:widowControl w:val="0"/>
        <w:numPr>
          <w:ilvl w:val="0"/>
          <w:numId w:val="5"/>
        </w:numPr>
        <w:kinsoku/>
        <w:wordWrap/>
        <w:overflowPunct/>
        <w:topLinePunct w:val="0"/>
        <w:bidi w:val="0"/>
        <w:spacing w:line="360" w:lineRule="auto"/>
        <w:ind w:left="840" w:leftChars="0" w:hanging="420" w:firstLineChars="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要求车况良好，无车辆大修情况，经过甲方需求单位验收合格后提供相关服务。</w:t>
      </w:r>
    </w:p>
    <w:p>
      <w:pPr>
        <w:keepNext w:val="0"/>
        <w:keepLines w:val="0"/>
        <w:pageBreakBefore w:val="0"/>
        <w:widowControl w:val="0"/>
        <w:numPr>
          <w:ilvl w:val="0"/>
          <w:numId w:val="5"/>
        </w:numPr>
        <w:kinsoku/>
        <w:wordWrap/>
        <w:overflowPunct/>
        <w:topLinePunct w:val="0"/>
        <w:bidi w:val="0"/>
        <w:spacing w:line="360" w:lineRule="auto"/>
        <w:ind w:left="840" w:leftChars="0" w:hanging="42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每月至少组织一次对车辆安全检查，保证车况良好，安全制度落实，检查后应形成记录。</w:t>
      </w:r>
    </w:p>
    <w:p>
      <w:pPr>
        <w:keepNext w:val="0"/>
        <w:keepLines w:val="0"/>
        <w:pageBreakBefore w:val="0"/>
        <w:widowControl w:val="0"/>
        <w:numPr>
          <w:ilvl w:val="0"/>
          <w:numId w:val="5"/>
        </w:numPr>
        <w:kinsoku/>
        <w:wordWrap/>
        <w:overflowPunct/>
        <w:topLinePunct w:val="0"/>
        <w:bidi w:val="0"/>
        <w:spacing w:line="360" w:lineRule="auto"/>
        <w:ind w:left="840" w:leftChars="0" w:hanging="42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应具有车辆维护保养管理制度，按照车辆使用说明书编制维护保养计划，按时进行车辆的维护保养。</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应做好日常检查，及时排除车辆故障，确保车辆处于良好状态。</w:t>
      </w:r>
    </w:p>
    <w:p>
      <w:pPr>
        <w:keepNext w:val="0"/>
        <w:keepLines w:val="0"/>
        <w:pageBreakBefore w:val="0"/>
        <w:widowControl w:val="0"/>
        <w:numPr>
          <w:ilvl w:val="0"/>
          <w:numId w:val="5"/>
        </w:numPr>
        <w:kinsoku/>
        <w:wordWrap/>
        <w:overflowPunct/>
        <w:topLinePunct w:val="0"/>
        <w:bidi w:val="0"/>
        <w:spacing w:line="360" w:lineRule="auto"/>
        <w:ind w:left="840" w:leftChars="0" w:hanging="420" w:firstLineChars="0"/>
        <w:textAlignment w:val="auto"/>
        <w:rPr>
          <w:rFonts w:hint="eastAsia" w:ascii="宋体" w:hAnsi="宋体" w:eastAsia="宋体" w:cs="宋体"/>
          <w:sz w:val="22"/>
          <w:szCs w:val="22"/>
          <w:lang w:eastAsia="zh-CN"/>
        </w:rPr>
      </w:pPr>
      <w:r>
        <w:rPr>
          <w:rFonts w:hint="eastAsia" w:ascii="宋体" w:hAnsi="宋体" w:eastAsia="宋体" w:cs="宋体"/>
          <w:color w:val="auto"/>
          <w:sz w:val="22"/>
          <w:szCs w:val="22"/>
          <w:highlight w:val="none"/>
        </w:rPr>
        <w:t>车辆的维护需要按照国标《汽车维护、检测、诊断技术规范》（GB/T18344）规定进行定期维护，确保车辆的车质车况，确保车辆具有良好的安全性、动力性、环保性。</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5.2</w:t>
      </w:r>
      <w:r>
        <w:rPr>
          <w:rFonts w:hint="eastAsia" w:ascii="宋体" w:hAnsi="宋体" w:eastAsia="宋体" w:cs="宋体"/>
          <w:sz w:val="22"/>
          <w:szCs w:val="22"/>
          <w:lang w:eastAsia="zh-CN"/>
        </w:rPr>
        <w:t>车辆其他要求：</w:t>
      </w:r>
    </w:p>
    <w:p>
      <w:pPr>
        <w:pStyle w:val="40"/>
        <w:keepNext w:val="0"/>
        <w:keepLines w:val="0"/>
        <w:pageBreakBefore w:val="0"/>
        <w:widowControl w:val="0"/>
        <w:numPr>
          <w:ilvl w:val="0"/>
          <w:numId w:val="6"/>
        </w:numPr>
        <w:kinsoku/>
        <w:wordWrap/>
        <w:overflowPunct/>
        <w:topLinePunct w:val="0"/>
        <w:bidi w:val="0"/>
        <w:spacing w:line="360" w:lineRule="auto"/>
        <w:ind w:left="840" w:leftChars="0" w:hanging="420" w:firstLineChars="0"/>
        <w:textAlignment w:val="auto"/>
        <w:rPr>
          <w:rFonts w:hint="eastAsia" w:ascii="宋体" w:hAnsi="宋体" w:eastAsia="宋体" w:cs="宋体"/>
          <w:sz w:val="22"/>
          <w:szCs w:val="22"/>
        </w:rPr>
      </w:pPr>
      <w:r>
        <w:rPr>
          <w:rFonts w:hint="eastAsia" w:ascii="宋体" w:hAnsi="宋体" w:eastAsia="宋体" w:cs="宋体"/>
          <w:sz w:val="22"/>
          <w:szCs w:val="22"/>
        </w:rPr>
        <w:t>应当根据工作内容和特点建立相应的应急计划和程序，包括但不限于火灾、爆炸、易燃易爆物资泄露、有毒气体泄露等；</w:t>
      </w:r>
    </w:p>
    <w:p>
      <w:pPr>
        <w:pStyle w:val="40"/>
        <w:keepNext w:val="0"/>
        <w:keepLines w:val="0"/>
        <w:pageBreakBefore w:val="0"/>
        <w:widowControl w:val="0"/>
        <w:numPr>
          <w:ilvl w:val="0"/>
          <w:numId w:val="6"/>
        </w:numPr>
        <w:kinsoku/>
        <w:wordWrap/>
        <w:overflowPunct/>
        <w:topLinePunct w:val="0"/>
        <w:bidi w:val="0"/>
        <w:spacing w:line="360" w:lineRule="auto"/>
        <w:ind w:left="840" w:leftChars="0" w:hanging="420" w:firstLineChars="0"/>
        <w:textAlignment w:val="auto"/>
        <w:rPr>
          <w:rFonts w:hint="eastAsia" w:ascii="宋体" w:hAnsi="宋体" w:eastAsia="宋体" w:cs="宋体"/>
          <w:sz w:val="22"/>
          <w:szCs w:val="22"/>
        </w:rPr>
      </w:pPr>
      <w:r>
        <w:rPr>
          <w:rFonts w:hint="eastAsia" w:ascii="宋体" w:hAnsi="宋体" w:eastAsia="宋体" w:cs="宋体"/>
          <w:sz w:val="22"/>
          <w:szCs w:val="22"/>
        </w:rPr>
        <w:t>应当为甲方提供合适的和满足国家相关规定的机动车辆；</w:t>
      </w:r>
    </w:p>
    <w:p>
      <w:pPr>
        <w:pStyle w:val="40"/>
        <w:keepNext w:val="0"/>
        <w:keepLines w:val="0"/>
        <w:pageBreakBefore w:val="0"/>
        <w:widowControl w:val="0"/>
        <w:numPr>
          <w:ilvl w:val="0"/>
          <w:numId w:val="6"/>
        </w:numPr>
        <w:kinsoku/>
        <w:wordWrap/>
        <w:overflowPunct/>
        <w:topLinePunct w:val="0"/>
        <w:bidi w:val="0"/>
        <w:spacing w:line="360" w:lineRule="auto"/>
        <w:ind w:left="840" w:leftChars="0" w:hanging="420" w:firstLineChars="0"/>
        <w:textAlignment w:val="auto"/>
        <w:rPr>
          <w:rFonts w:hint="eastAsia" w:ascii="宋体" w:hAnsi="宋体" w:eastAsia="宋体" w:cs="宋体"/>
          <w:sz w:val="22"/>
          <w:szCs w:val="22"/>
        </w:rPr>
      </w:pPr>
      <w:r>
        <w:rPr>
          <w:rFonts w:hint="eastAsia" w:ascii="宋体" w:hAnsi="宋体" w:eastAsia="宋体" w:cs="宋体"/>
          <w:sz w:val="22"/>
          <w:szCs w:val="22"/>
        </w:rPr>
        <w:t>应当确保其提供的车辆、设备、仪器等均符合国家和甲方有关的健康安全环保标准；</w:t>
      </w:r>
    </w:p>
    <w:p>
      <w:pPr>
        <w:pStyle w:val="40"/>
        <w:keepNext w:val="0"/>
        <w:keepLines w:val="0"/>
        <w:pageBreakBefore w:val="0"/>
        <w:widowControl w:val="0"/>
        <w:numPr>
          <w:ilvl w:val="0"/>
          <w:numId w:val="6"/>
        </w:numPr>
        <w:kinsoku/>
        <w:wordWrap/>
        <w:overflowPunct/>
        <w:topLinePunct w:val="0"/>
        <w:bidi w:val="0"/>
        <w:spacing w:line="360" w:lineRule="auto"/>
        <w:ind w:left="840" w:leftChars="0" w:hanging="420" w:firstLineChars="0"/>
        <w:textAlignment w:val="auto"/>
        <w:rPr>
          <w:rFonts w:hint="eastAsia" w:ascii="宋体" w:hAnsi="宋体" w:eastAsia="宋体" w:cs="宋体"/>
          <w:sz w:val="22"/>
          <w:szCs w:val="22"/>
        </w:rPr>
      </w:pPr>
      <w:r>
        <w:rPr>
          <w:rFonts w:hint="eastAsia" w:ascii="宋体" w:hAnsi="宋体" w:eastAsia="宋体" w:cs="宋体"/>
          <w:sz w:val="22"/>
          <w:szCs w:val="22"/>
        </w:rPr>
        <w:t>车辆地板、地毯贴铺不得选用有长久性异味和危害人体健康的化学材料；</w:t>
      </w:r>
    </w:p>
    <w:p>
      <w:pPr>
        <w:pStyle w:val="40"/>
        <w:keepNext w:val="0"/>
        <w:keepLines w:val="0"/>
        <w:pageBreakBefore w:val="0"/>
        <w:widowControl w:val="0"/>
        <w:numPr>
          <w:ilvl w:val="0"/>
          <w:numId w:val="6"/>
        </w:numPr>
        <w:kinsoku/>
        <w:wordWrap/>
        <w:overflowPunct/>
        <w:topLinePunct w:val="0"/>
        <w:bidi w:val="0"/>
        <w:spacing w:line="360" w:lineRule="auto"/>
        <w:ind w:left="840" w:leftChars="0" w:hanging="420" w:firstLineChars="0"/>
        <w:textAlignment w:val="auto"/>
        <w:rPr>
          <w:rFonts w:hint="eastAsia" w:ascii="宋体" w:hAnsi="宋体" w:eastAsia="宋体" w:cs="宋体"/>
          <w:sz w:val="22"/>
          <w:szCs w:val="22"/>
        </w:rPr>
      </w:pPr>
      <w:r>
        <w:rPr>
          <w:rFonts w:hint="eastAsia" w:ascii="宋体" w:hAnsi="宋体" w:eastAsia="宋体" w:cs="宋体"/>
          <w:sz w:val="22"/>
          <w:szCs w:val="22"/>
        </w:rPr>
        <w:t>车内配置灭火器材，并保持完好、有效；</w:t>
      </w:r>
    </w:p>
    <w:p>
      <w:pPr>
        <w:pStyle w:val="40"/>
        <w:keepNext w:val="0"/>
        <w:keepLines w:val="0"/>
        <w:pageBreakBefore w:val="0"/>
        <w:widowControl w:val="0"/>
        <w:numPr>
          <w:ilvl w:val="0"/>
          <w:numId w:val="6"/>
        </w:numPr>
        <w:kinsoku/>
        <w:wordWrap/>
        <w:overflowPunct/>
        <w:topLinePunct w:val="0"/>
        <w:bidi w:val="0"/>
        <w:spacing w:line="360" w:lineRule="auto"/>
        <w:ind w:left="840" w:leftChars="0" w:hanging="420" w:firstLineChars="0"/>
        <w:textAlignment w:val="auto"/>
        <w:rPr>
          <w:rFonts w:hint="eastAsia" w:ascii="宋体" w:hAnsi="宋体" w:eastAsia="宋体" w:cs="宋体"/>
          <w:sz w:val="22"/>
          <w:szCs w:val="22"/>
        </w:rPr>
      </w:pPr>
      <w:r>
        <w:rPr>
          <w:rFonts w:hint="eastAsia" w:ascii="宋体" w:hAnsi="宋体" w:eastAsia="宋体" w:cs="宋体"/>
          <w:sz w:val="22"/>
          <w:szCs w:val="22"/>
        </w:rPr>
        <w:t>向甲方提供车辆年检报告、车辆保险、维修证明或报告、行驶证（经验证原件后，提供扫描件）。</w:t>
      </w:r>
    </w:p>
    <w:p>
      <w:pPr>
        <w:pStyle w:val="40"/>
        <w:keepNext w:val="0"/>
        <w:keepLines w:val="0"/>
        <w:pageBreakBefore w:val="0"/>
        <w:widowControl w:val="0"/>
        <w:numPr>
          <w:ilvl w:val="-1"/>
          <w:numId w:val="0"/>
        </w:numPr>
        <w:kinsoku/>
        <w:wordWrap/>
        <w:overflowPunct/>
        <w:topLinePunct w:val="0"/>
        <w:bidi w:val="0"/>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5.3人员要求</w:t>
      </w:r>
    </w:p>
    <w:p>
      <w:pPr>
        <w:pStyle w:val="8"/>
        <w:keepNext w:val="0"/>
        <w:keepLines w:val="0"/>
        <w:pageBreakBefore w:val="0"/>
        <w:widowControl w:val="0"/>
        <w:numPr>
          <w:ilvl w:val="0"/>
          <w:numId w:val="7"/>
        </w:numPr>
        <w:kinsoku/>
        <w:wordWrap/>
        <w:overflowPunct/>
        <w:topLinePunct w:val="0"/>
        <w:bidi w:val="0"/>
        <w:spacing w:line="360" w:lineRule="auto"/>
        <w:ind w:left="0" w:leftChars="0" w:right="0" w:rightChars="0" w:firstLine="403" w:firstLineChars="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乙方应选派具有相应车辆驾驶资格、经验丰富、责任心强、服务态度良好、适格的</w:t>
      </w:r>
      <w:r>
        <w:rPr>
          <w:rFonts w:hint="eastAsia" w:ascii="宋体" w:hAnsi="宋体" w:eastAsia="宋体" w:cs="宋体"/>
          <w:sz w:val="22"/>
          <w:szCs w:val="22"/>
          <w:lang w:val="en-US" w:eastAsia="zh-CN"/>
        </w:rPr>
        <w:t>驾驶员</w:t>
      </w:r>
      <w:r>
        <w:rPr>
          <w:rFonts w:hint="eastAsia" w:ascii="宋体" w:hAnsi="宋体" w:eastAsia="宋体" w:cs="宋体"/>
          <w:sz w:val="22"/>
          <w:szCs w:val="22"/>
          <w:lang w:eastAsia="zh-CN"/>
        </w:rPr>
        <w:t>为甲方提供服务。</w:t>
      </w:r>
    </w:p>
    <w:p>
      <w:pPr>
        <w:pStyle w:val="8"/>
        <w:keepNext w:val="0"/>
        <w:keepLines w:val="0"/>
        <w:pageBreakBefore w:val="0"/>
        <w:widowControl w:val="0"/>
        <w:numPr>
          <w:ilvl w:val="0"/>
          <w:numId w:val="7"/>
        </w:numPr>
        <w:kinsoku/>
        <w:wordWrap/>
        <w:overflowPunct/>
        <w:topLinePunct w:val="0"/>
        <w:bidi w:val="0"/>
        <w:spacing w:line="360" w:lineRule="auto"/>
        <w:ind w:left="0" w:leftChars="0" w:right="0" w:rightChars="0" w:firstLine="403" w:firstLineChars="0"/>
        <w:textAlignment w:val="auto"/>
        <w:rPr>
          <w:rFonts w:hint="eastAsia" w:ascii="宋体" w:hAnsi="宋体" w:eastAsia="宋体" w:cs="宋体"/>
          <w:sz w:val="22"/>
          <w:szCs w:val="22"/>
          <w:lang w:eastAsia="zh-CN"/>
        </w:rPr>
      </w:pPr>
      <w:r>
        <w:rPr>
          <w:rFonts w:hint="eastAsia" w:ascii="宋体" w:hAnsi="宋体" w:eastAsia="宋体" w:cs="宋体"/>
          <w:sz w:val="22"/>
          <w:szCs w:val="22"/>
          <w:highlight w:val="yellow"/>
          <w:lang w:val="en-US" w:eastAsia="zh-CN"/>
        </w:rPr>
        <w:t>乙方应向甲方书面承诺（格式自拟）：</w:t>
      </w:r>
      <w:r>
        <w:rPr>
          <w:rFonts w:hint="eastAsia" w:ascii="宋体" w:hAnsi="宋体" w:eastAsia="宋体" w:cs="宋体"/>
          <w:sz w:val="22"/>
          <w:szCs w:val="22"/>
          <w:lang w:val="en-US" w:eastAsia="zh-CN"/>
        </w:rPr>
        <w:t>★驾驶员应为年满18周岁中国公民，并取得合法有效的机动车驾驶证，机动车驾驶员年龄不得超过45周岁，人员应均无吸毒史、犯罪等不良记录，熟知机动车驾驶业务知识及国家法律法规，机动车驾驶证不低于为C1。</w:t>
      </w:r>
    </w:p>
    <w:p>
      <w:pPr>
        <w:pStyle w:val="8"/>
        <w:keepNext w:val="0"/>
        <w:keepLines w:val="0"/>
        <w:pageBreakBefore w:val="0"/>
        <w:widowControl w:val="0"/>
        <w:numPr>
          <w:ilvl w:val="0"/>
          <w:numId w:val="7"/>
        </w:numPr>
        <w:kinsoku/>
        <w:wordWrap/>
        <w:overflowPunct/>
        <w:topLinePunct w:val="0"/>
        <w:bidi w:val="0"/>
        <w:spacing w:line="360" w:lineRule="auto"/>
        <w:ind w:left="0" w:leftChars="0" w:right="0" w:rightChars="0" w:firstLine="403" w:firstLineChars="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驾驶员应对服务车辆的行车安全和技术操作负责。</w:t>
      </w:r>
    </w:p>
    <w:p>
      <w:pPr>
        <w:pStyle w:val="8"/>
        <w:keepNext w:val="0"/>
        <w:keepLines w:val="0"/>
        <w:pageBreakBefore w:val="0"/>
        <w:widowControl w:val="0"/>
        <w:numPr>
          <w:ilvl w:val="0"/>
          <w:numId w:val="7"/>
        </w:numPr>
        <w:kinsoku/>
        <w:wordWrap/>
        <w:overflowPunct/>
        <w:topLinePunct w:val="0"/>
        <w:bidi w:val="0"/>
        <w:spacing w:line="360" w:lineRule="auto"/>
        <w:ind w:left="0" w:leftChars="0" w:right="0" w:rightChars="0" w:firstLine="403" w:firstLineChars="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乙方提供服务的驾驶员为乙方雇员，与甲方不存在任何合同关系、劳动关系或劳务派遣关系。乙方应对其服务驾驶员的报酬、福利、社会保险及食宿、交通等相关费用负责，前述费用已包含于服务费用中；</w:t>
      </w:r>
      <w:r>
        <w:rPr>
          <w:rFonts w:hint="eastAsia" w:ascii="宋体" w:hAnsi="宋体" w:eastAsia="宋体" w:cs="宋体"/>
          <w:sz w:val="22"/>
          <w:szCs w:val="22"/>
          <w:lang w:val="en-US" w:eastAsia="zh-CN"/>
        </w:rPr>
        <w:t>驾驶员服务地点为福建莆田地区，不涉及出差情形。</w:t>
      </w:r>
    </w:p>
    <w:p>
      <w:pPr>
        <w:pStyle w:val="8"/>
        <w:keepNext w:val="0"/>
        <w:keepLines w:val="0"/>
        <w:pageBreakBefore w:val="0"/>
        <w:widowControl w:val="0"/>
        <w:numPr>
          <w:ilvl w:val="0"/>
          <w:numId w:val="7"/>
        </w:numPr>
        <w:kinsoku/>
        <w:wordWrap/>
        <w:overflowPunct/>
        <w:topLinePunct w:val="0"/>
        <w:bidi w:val="0"/>
        <w:spacing w:line="360" w:lineRule="auto"/>
        <w:ind w:left="0" w:leftChars="0" w:right="0" w:rightChars="0" w:firstLine="403" w:firstLineChars="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本合同履行过程中，乙方应与其提供服务的驾驶员建立并维系合法、适当的劳务用工关系。</w:t>
      </w:r>
    </w:p>
    <w:p>
      <w:pPr>
        <w:pStyle w:val="8"/>
        <w:keepNext w:val="0"/>
        <w:keepLines w:val="0"/>
        <w:pageBreakBefore w:val="0"/>
        <w:widowControl w:val="0"/>
        <w:numPr>
          <w:ilvl w:val="0"/>
          <w:numId w:val="7"/>
        </w:numPr>
        <w:kinsoku/>
        <w:wordWrap/>
        <w:overflowPunct/>
        <w:topLinePunct w:val="0"/>
        <w:bidi w:val="0"/>
        <w:spacing w:line="360" w:lineRule="auto"/>
        <w:ind w:left="0" w:leftChars="0" w:right="0" w:rightChars="0" w:firstLine="403" w:firstLineChars="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乙方应负责为驾驶员提供服务所需的一般劳动防护用品和特殊劳动防护用品。</w:t>
      </w:r>
    </w:p>
    <w:p>
      <w:pPr>
        <w:pStyle w:val="8"/>
        <w:keepNext w:val="0"/>
        <w:keepLines w:val="0"/>
        <w:pageBreakBefore w:val="0"/>
        <w:widowControl w:val="0"/>
        <w:numPr>
          <w:ilvl w:val="0"/>
          <w:numId w:val="7"/>
        </w:numPr>
        <w:kinsoku/>
        <w:wordWrap/>
        <w:overflowPunct/>
        <w:topLinePunct w:val="0"/>
        <w:bidi w:val="0"/>
        <w:spacing w:line="360" w:lineRule="auto"/>
        <w:ind w:left="0" w:leftChars="0" w:right="0" w:rightChars="0" w:firstLine="403" w:firstLineChars="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乙方应采取措施确保服务驾驶员在执行工作过程中严格遵守本合同和法律法规的规定，不违法或违规驾驶，否则由此产生的全部损失、责任和费用均由乙方自行承担。</w:t>
      </w:r>
    </w:p>
    <w:p>
      <w:pPr>
        <w:pStyle w:val="8"/>
        <w:keepNext w:val="0"/>
        <w:keepLines w:val="0"/>
        <w:pageBreakBefore w:val="0"/>
        <w:widowControl w:val="0"/>
        <w:numPr>
          <w:ilvl w:val="0"/>
          <w:numId w:val="7"/>
        </w:numPr>
        <w:kinsoku/>
        <w:wordWrap/>
        <w:overflowPunct/>
        <w:topLinePunct w:val="0"/>
        <w:bidi w:val="0"/>
        <w:spacing w:line="360" w:lineRule="auto"/>
        <w:ind w:left="0" w:leftChars="0" w:right="0" w:rightChars="0" w:firstLine="403" w:firstLineChars="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在本合同有效期内，乙方驾驶员及其驾驶的车辆发生交通事故或造成人员伤亡、车辆损毁、侵害第三人权益的，由乙方自行承担相应的损失及全部法律责任，且乙方有义务保护甲方不因上述事项的发生而受到任何追究、索赔或承担任何不利的法律后果。</w:t>
      </w:r>
    </w:p>
    <w:p>
      <w:pPr>
        <w:pStyle w:val="8"/>
        <w:keepNext w:val="0"/>
        <w:keepLines w:val="0"/>
        <w:pageBreakBefore w:val="0"/>
        <w:widowControl w:val="0"/>
        <w:numPr>
          <w:ilvl w:val="0"/>
          <w:numId w:val="7"/>
        </w:numPr>
        <w:kinsoku/>
        <w:wordWrap/>
        <w:overflowPunct/>
        <w:topLinePunct w:val="0"/>
        <w:bidi w:val="0"/>
        <w:spacing w:line="360" w:lineRule="auto"/>
        <w:ind w:left="0" w:leftChars="0" w:right="0" w:rightChars="0" w:firstLine="403" w:firstLineChars="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驾驶员在车辆出发前应认真检查、保养车辆，确保车辆正常、安全行驶。</w:t>
      </w:r>
    </w:p>
    <w:p>
      <w:pPr>
        <w:pStyle w:val="8"/>
        <w:keepNext w:val="0"/>
        <w:keepLines w:val="0"/>
        <w:pageBreakBefore w:val="0"/>
        <w:widowControl w:val="0"/>
        <w:numPr>
          <w:ilvl w:val="0"/>
          <w:numId w:val="7"/>
        </w:numPr>
        <w:kinsoku/>
        <w:wordWrap/>
        <w:overflowPunct/>
        <w:topLinePunct w:val="0"/>
        <w:bidi w:val="0"/>
        <w:spacing w:line="360" w:lineRule="auto"/>
        <w:ind w:left="0" w:leftChars="0" w:right="0" w:rightChars="0" w:firstLine="403" w:firstLineChars="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驾驶员须如实做好车辆三检查、月度设备检查、长途车辆放行检查及重要的维修保养记录。如发生事故，乙方应及时将事故发生经过、人员情况、车辆情况、所载客人安置情况和执法部门处理结果通知甲方。</w:t>
      </w:r>
    </w:p>
    <w:p>
      <w:pPr>
        <w:pStyle w:val="8"/>
        <w:keepNext w:val="0"/>
        <w:keepLines w:val="0"/>
        <w:pageBreakBefore w:val="0"/>
        <w:widowControl w:val="0"/>
        <w:numPr>
          <w:ilvl w:val="0"/>
          <w:numId w:val="7"/>
        </w:numPr>
        <w:kinsoku/>
        <w:wordWrap/>
        <w:overflowPunct/>
        <w:topLinePunct w:val="0"/>
        <w:bidi w:val="0"/>
        <w:spacing w:line="360" w:lineRule="auto"/>
        <w:ind w:left="0" w:leftChars="0" w:right="0" w:rightChars="0" w:firstLine="403" w:firstLineChars="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驾驶员应文明服务，文明行车，保证车内卫生，不得在车内吸烟，且工作和行车期间不得饮酒。行车期间，不得接听、拨打手机。</w:t>
      </w:r>
    </w:p>
    <w:p>
      <w:pPr>
        <w:pStyle w:val="8"/>
        <w:keepNext w:val="0"/>
        <w:keepLines w:val="0"/>
        <w:pageBreakBefore w:val="0"/>
        <w:widowControl w:val="0"/>
        <w:numPr>
          <w:ilvl w:val="0"/>
          <w:numId w:val="7"/>
        </w:numPr>
        <w:kinsoku/>
        <w:wordWrap/>
        <w:overflowPunct/>
        <w:topLinePunct w:val="0"/>
        <w:bidi w:val="0"/>
        <w:spacing w:line="360" w:lineRule="auto"/>
        <w:ind w:left="0" w:leftChars="0" w:right="0" w:rightChars="0" w:firstLine="403" w:firstLineChars="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驾驶员应服从甲方的调派，安全驾驶并保证车辆准点到达指定地点。驾驶员必须严格执行甲方指派的任务，不得拒载或变相拒载。如有特殊情况，应及时向甲方相关人员报告，征得甲方同意后方可变更任务内容。驾驶员在外出执行公务的等候期间，必须坚守岗位，不得擅离职守。</w:t>
      </w:r>
    </w:p>
    <w:p>
      <w:pPr>
        <w:pStyle w:val="8"/>
        <w:keepNext w:val="0"/>
        <w:keepLines w:val="0"/>
        <w:pageBreakBefore w:val="0"/>
        <w:widowControl w:val="0"/>
        <w:numPr>
          <w:ilvl w:val="0"/>
          <w:numId w:val="7"/>
        </w:numPr>
        <w:kinsoku/>
        <w:wordWrap/>
        <w:overflowPunct/>
        <w:topLinePunct w:val="0"/>
        <w:bidi w:val="0"/>
        <w:spacing w:line="360" w:lineRule="auto"/>
        <w:ind w:left="0" w:leftChars="0" w:right="0" w:rightChars="0" w:firstLine="403" w:firstLineChars="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驾驶员应严格遵守甲方有关质量、健康、安全和环保的相关规定。</w:t>
      </w:r>
    </w:p>
    <w:p>
      <w:pPr>
        <w:pStyle w:val="8"/>
        <w:keepNext w:val="0"/>
        <w:keepLines w:val="0"/>
        <w:pageBreakBefore w:val="0"/>
        <w:widowControl w:val="0"/>
        <w:numPr>
          <w:ilvl w:val="0"/>
          <w:numId w:val="7"/>
        </w:numPr>
        <w:kinsoku/>
        <w:wordWrap/>
        <w:overflowPunct/>
        <w:topLinePunct w:val="0"/>
        <w:bidi w:val="0"/>
        <w:spacing w:line="360" w:lineRule="auto"/>
        <w:ind w:left="0" w:leftChars="0" w:right="0" w:rightChars="0" w:firstLine="403" w:firstLineChars="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驾驶员适应作业要求，24小时待命，如驾驶员休假等原因无法提供服务，乙方需抽调同等条件的驾驶员为乙方提供服务，如无法胜任工作要求或服务考评不合格，需根据甲方要求更换驾驶员。</w:t>
      </w:r>
    </w:p>
    <w:p>
      <w:pPr>
        <w:pStyle w:val="8"/>
        <w:keepNext w:val="0"/>
        <w:keepLines w:val="0"/>
        <w:pageBreakBefore w:val="0"/>
        <w:widowControl w:val="0"/>
        <w:numPr>
          <w:ilvl w:val="0"/>
          <w:numId w:val="7"/>
        </w:numPr>
        <w:kinsoku/>
        <w:wordWrap/>
        <w:overflowPunct/>
        <w:topLinePunct w:val="0"/>
        <w:bidi w:val="0"/>
        <w:spacing w:line="360" w:lineRule="auto"/>
        <w:ind w:left="0" w:leftChars="0" w:right="0" w:rightChars="0" w:firstLine="403" w:firstLineChars="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未经甲方事先书面同意，乙方不得随意更换驾驶员。甲方有权要求乙方更换机动车驾驶员，乙方应在收到甲方的通知后3日内更换。</w:t>
      </w:r>
    </w:p>
    <w:p>
      <w:pPr>
        <w:pStyle w:val="8"/>
        <w:keepNext w:val="0"/>
        <w:keepLines w:val="0"/>
        <w:pageBreakBefore w:val="0"/>
        <w:widowControl w:val="0"/>
        <w:numPr>
          <w:ilvl w:val="0"/>
          <w:numId w:val="7"/>
        </w:numPr>
        <w:kinsoku/>
        <w:wordWrap/>
        <w:overflowPunct/>
        <w:topLinePunct w:val="0"/>
        <w:bidi w:val="0"/>
        <w:spacing w:line="360" w:lineRule="auto"/>
        <w:ind w:left="0" w:leftChars="0" w:right="0" w:rightChars="0" w:firstLine="403" w:firstLineChars="0"/>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甲</w:t>
      </w:r>
      <w:r>
        <w:rPr>
          <w:rFonts w:hint="eastAsia" w:ascii="宋体" w:hAnsi="宋体" w:eastAsia="宋体" w:cs="宋体"/>
          <w:sz w:val="22"/>
          <w:szCs w:val="22"/>
          <w:lang w:eastAsia="zh-CN"/>
        </w:rPr>
        <w:t>方人员不得提出违反有关交通法规或提出有碍交通安全的要求，不得要求驾驶员将服务车辆用于非法活动。对该等要求，乙方驾驶员有权拒绝。</w:t>
      </w:r>
    </w:p>
    <w:p>
      <w:pPr>
        <w:pStyle w:val="8"/>
        <w:keepNext w:val="0"/>
        <w:keepLines w:val="0"/>
        <w:pageBreakBefore w:val="0"/>
        <w:widowControl w:val="0"/>
        <w:numPr>
          <w:ilvl w:val="0"/>
          <w:numId w:val="7"/>
        </w:numPr>
        <w:kinsoku/>
        <w:wordWrap/>
        <w:overflowPunct/>
        <w:topLinePunct w:val="0"/>
        <w:bidi w:val="0"/>
        <w:spacing w:line="360" w:lineRule="auto"/>
        <w:ind w:left="0" w:leftChars="0" w:right="0" w:rightChars="0" w:firstLine="403"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机动车驾驶员每年要做心、脑、血管及传染病体检，并向甲方出具机动车驾驶员健康证明</w:t>
      </w:r>
      <w:r>
        <w:rPr>
          <w:rFonts w:hint="eastAsia" w:ascii="宋体" w:hAnsi="宋体" w:eastAsia="宋体" w:cs="宋体"/>
          <w:color w:val="auto"/>
          <w:sz w:val="22"/>
          <w:szCs w:val="22"/>
          <w:highlight w:val="none"/>
          <w:lang w:eastAsia="zh-CN"/>
        </w:rPr>
        <w:t>。</w:t>
      </w:r>
    </w:p>
    <w:p>
      <w:pPr>
        <w:pStyle w:val="8"/>
        <w:keepNext w:val="0"/>
        <w:keepLines w:val="0"/>
        <w:pageBreakBefore w:val="0"/>
        <w:widowControl w:val="0"/>
        <w:numPr>
          <w:ilvl w:val="0"/>
          <w:numId w:val="7"/>
        </w:numPr>
        <w:kinsoku/>
        <w:wordWrap/>
        <w:overflowPunct/>
        <w:topLinePunct w:val="0"/>
        <w:bidi w:val="0"/>
        <w:spacing w:line="360" w:lineRule="auto"/>
        <w:ind w:left="0" w:leftChars="0" w:right="0" w:rightChars="0" w:firstLine="403" w:firstLineChars="0"/>
        <w:textAlignment w:val="auto"/>
        <w:rPr>
          <w:rFonts w:hint="eastAsia" w:ascii="宋体" w:hAnsi="宋体" w:eastAsia="宋体" w:cs="宋体"/>
          <w:color w:val="auto"/>
          <w:sz w:val="22"/>
          <w:szCs w:val="22"/>
          <w:highlight w:val="none"/>
        </w:rPr>
      </w:pPr>
      <w:r>
        <w:rPr>
          <w:rFonts w:hint="eastAsia" w:ascii="宋体" w:hAnsi="宋体" w:eastAsia="宋体" w:cs="宋体"/>
          <w:sz w:val="22"/>
          <w:szCs w:val="22"/>
          <w:lang w:val="en-US" w:eastAsia="zh-CN"/>
        </w:rPr>
        <w:t>乙方</w:t>
      </w:r>
      <w:r>
        <w:rPr>
          <w:rFonts w:hint="eastAsia" w:ascii="宋体" w:hAnsi="宋体" w:eastAsia="宋体" w:cs="宋体"/>
          <w:sz w:val="22"/>
          <w:szCs w:val="22"/>
          <w:lang w:eastAsia="zh-CN"/>
        </w:rPr>
        <w:t>应定期开展安全培训，</w:t>
      </w:r>
      <w:r>
        <w:rPr>
          <w:rFonts w:hint="eastAsia" w:ascii="宋体" w:hAnsi="宋体" w:eastAsia="宋体" w:cs="宋体"/>
          <w:color w:val="auto"/>
          <w:sz w:val="22"/>
          <w:szCs w:val="22"/>
          <w:highlight w:val="none"/>
        </w:rPr>
        <w:t>以及</w:t>
      </w:r>
      <w:r>
        <w:rPr>
          <w:rFonts w:hint="eastAsia" w:ascii="宋体" w:hAnsi="宋体" w:eastAsia="宋体" w:cs="宋体"/>
          <w:color w:val="auto"/>
          <w:sz w:val="22"/>
          <w:szCs w:val="22"/>
          <w:highlight w:val="none"/>
          <w:lang w:val="en-US" w:eastAsia="zh-CN"/>
        </w:rPr>
        <w:t>参加</w:t>
      </w:r>
      <w:r>
        <w:rPr>
          <w:rFonts w:hint="eastAsia" w:ascii="宋体" w:hAnsi="宋体" w:eastAsia="宋体" w:cs="宋体"/>
          <w:color w:val="auto"/>
          <w:sz w:val="22"/>
          <w:szCs w:val="22"/>
          <w:highlight w:val="none"/>
        </w:rPr>
        <w:t>甲方根据工作需要组织的相关培训。</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5.4</w:t>
      </w:r>
      <w:r>
        <w:rPr>
          <w:rFonts w:hint="eastAsia" w:ascii="宋体" w:hAnsi="宋体" w:eastAsia="宋体" w:cs="宋体"/>
          <w:color w:val="auto"/>
          <w:sz w:val="22"/>
          <w:szCs w:val="22"/>
          <w:highlight w:val="none"/>
        </w:rPr>
        <w:t>安全条款</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5.4.1</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应遵守中国相关法律法规及甲方关于健康、安全及环保的规定：</w:t>
      </w:r>
    </w:p>
    <w:p>
      <w:pPr>
        <w:pStyle w:val="40"/>
        <w:keepNext w:val="0"/>
        <w:keepLines w:val="0"/>
        <w:pageBreakBefore w:val="0"/>
        <w:widowControl w:val="0"/>
        <w:numPr>
          <w:ilvl w:val="0"/>
          <w:numId w:val="8"/>
        </w:numPr>
        <w:kinsoku/>
        <w:wordWrap/>
        <w:overflowPunct/>
        <w:topLinePunct w:val="0"/>
        <w:bidi w:val="0"/>
        <w:spacing w:line="360" w:lineRule="auto"/>
        <w:ind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应确保其司机均已通过《中华人民共和国道路交通安全法》和车辆安全操作规程培训，并有资格和能力从事本合同规定的相应工作。</w:t>
      </w:r>
    </w:p>
    <w:p>
      <w:pPr>
        <w:pStyle w:val="40"/>
        <w:keepNext w:val="0"/>
        <w:keepLines w:val="0"/>
        <w:pageBreakBefore w:val="0"/>
        <w:widowControl w:val="0"/>
        <w:numPr>
          <w:ilvl w:val="0"/>
          <w:numId w:val="8"/>
        </w:numPr>
        <w:kinsoku/>
        <w:wordWrap/>
        <w:overflowPunct/>
        <w:topLinePunct w:val="0"/>
        <w:bidi w:val="0"/>
        <w:spacing w:line="360" w:lineRule="auto"/>
        <w:ind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应当确保其提供的车辆、设备、仪器等均符合国家和甲方有关的健康安全环保标准，并具备足够的安全技术要求，服务车辆必须配置确保安全的必备设备和仪器，包括但不限于三点式安全带、安全气囊、ABS等。</w:t>
      </w:r>
    </w:p>
    <w:p>
      <w:pPr>
        <w:pStyle w:val="40"/>
        <w:keepNext w:val="0"/>
        <w:keepLines w:val="0"/>
        <w:pageBreakBefore w:val="0"/>
        <w:widowControl w:val="0"/>
        <w:numPr>
          <w:ilvl w:val="0"/>
          <w:numId w:val="8"/>
        </w:numPr>
        <w:kinsoku/>
        <w:wordWrap/>
        <w:overflowPunct/>
        <w:topLinePunct w:val="0"/>
        <w:bidi w:val="0"/>
        <w:spacing w:line="360" w:lineRule="auto"/>
        <w:ind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应当根据工作内容和特点建立相应的应急计划和程序，包括但不限于火灾、爆炸、易燃易爆物资泄漏、有毒气体泄漏、车辆故障、交通事故等。</w:t>
      </w:r>
    </w:p>
    <w:p>
      <w:pPr>
        <w:pStyle w:val="40"/>
        <w:keepNext w:val="0"/>
        <w:keepLines w:val="0"/>
        <w:pageBreakBefore w:val="0"/>
        <w:widowControl w:val="0"/>
        <w:numPr>
          <w:ilvl w:val="0"/>
          <w:numId w:val="8"/>
        </w:numPr>
        <w:kinsoku/>
        <w:wordWrap/>
        <w:overflowPunct/>
        <w:topLinePunct w:val="0"/>
        <w:bidi w:val="0"/>
        <w:spacing w:line="360" w:lineRule="auto"/>
        <w:ind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应当确保其每位司机都知道并执行国家和地方政府的有关环保的规定，且采取必要措施防止在提供服务过程中发生污染。</w:t>
      </w:r>
    </w:p>
    <w:p>
      <w:pPr>
        <w:pStyle w:val="40"/>
        <w:keepNext w:val="0"/>
        <w:keepLines w:val="0"/>
        <w:pageBreakBefore w:val="0"/>
        <w:widowControl w:val="0"/>
        <w:numPr>
          <w:ilvl w:val="0"/>
          <w:numId w:val="8"/>
        </w:numPr>
        <w:kinsoku/>
        <w:wordWrap/>
        <w:overflowPunct/>
        <w:topLinePunct w:val="0"/>
        <w:bidi w:val="0"/>
        <w:spacing w:line="360" w:lineRule="auto"/>
        <w:ind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必须严格执行甲方《载人机动车辆安全管理规定》和《健康安全环境管理体系》中的有关车辆管理的相关规定。</w:t>
      </w:r>
    </w:p>
    <w:p>
      <w:pPr>
        <w:pStyle w:val="40"/>
        <w:keepNext w:val="0"/>
        <w:keepLines w:val="0"/>
        <w:pageBreakBefore w:val="0"/>
        <w:widowControl w:val="0"/>
        <w:numPr>
          <w:ilvl w:val="0"/>
          <w:numId w:val="8"/>
        </w:numPr>
        <w:kinsoku/>
        <w:wordWrap/>
        <w:overflowPunct/>
        <w:topLinePunct w:val="0"/>
        <w:bidi w:val="0"/>
        <w:spacing w:line="360" w:lineRule="auto"/>
        <w:ind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甲方有权根据需要修订其健康、安全及环保政策并将最新文件发给</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以便遵照执行。</w:t>
      </w:r>
    </w:p>
    <w:p>
      <w:pPr>
        <w:pStyle w:val="40"/>
        <w:keepNext w:val="0"/>
        <w:keepLines w:val="0"/>
        <w:pageBreakBefore w:val="0"/>
        <w:widowControl w:val="0"/>
        <w:numPr>
          <w:ilvl w:val="0"/>
          <w:numId w:val="8"/>
        </w:numPr>
        <w:kinsoku/>
        <w:wordWrap/>
        <w:overflowPunct/>
        <w:topLinePunct w:val="0"/>
        <w:bidi w:val="0"/>
        <w:spacing w:line="360" w:lineRule="auto"/>
        <w:ind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提供的机动车驾驶员及其提供的车辆发生意外事故，由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承担全部责任和费用，并确保甲方的权益不受损害。</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5.4.2</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应保证其按时、圆满完成工作且工作成果符合国家和甲方要求的健康、安全及环保标准。因</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未能按国家相关规定和甲方的要求，而在健康、安全、环保方面给甲方造成的任何损失由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全额赔偿。</w:t>
      </w:r>
    </w:p>
    <w:p>
      <w:pPr>
        <w:pStyle w:val="4"/>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pacing w:val="0"/>
          <w:sz w:val="22"/>
          <w:szCs w:val="22"/>
          <w:highlight w:val="none"/>
          <w:lang w:val="en-US" w:eastAsia="en-US" w:bidi="ar-SA"/>
        </w:rPr>
      </w:pPr>
      <w:r>
        <w:rPr>
          <w:rFonts w:hint="eastAsia" w:ascii="宋体" w:hAnsi="宋体" w:eastAsia="宋体" w:cs="宋体"/>
          <w:color w:val="auto"/>
          <w:spacing w:val="0"/>
          <w:sz w:val="22"/>
          <w:szCs w:val="22"/>
          <w:highlight w:val="none"/>
          <w:lang w:val="en-US" w:eastAsia="zh-CN" w:bidi="ar-SA"/>
        </w:rPr>
        <w:t>六</w:t>
      </w:r>
      <w:r>
        <w:rPr>
          <w:rFonts w:hint="eastAsia" w:ascii="宋体" w:hAnsi="宋体" w:eastAsia="宋体" w:cs="宋体"/>
          <w:color w:val="auto"/>
          <w:spacing w:val="0"/>
          <w:sz w:val="22"/>
          <w:szCs w:val="22"/>
          <w:highlight w:val="none"/>
          <w:lang w:val="en-US" w:eastAsia="en-US" w:bidi="ar-SA"/>
        </w:rPr>
        <w:t>、服务进度跟踪</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pacing w:val="0"/>
          <w:sz w:val="22"/>
          <w:szCs w:val="22"/>
          <w:highlight w:val="none"/>
          <w:lang w:val="en-US" w:eastAsia="zh-CN" w:bidi="ar-SA"/>
        </w:rPr>
      </w:pPr>
      <w:r>
        <w:rPr>
          <w:rFonts w:hint="eastAsia" w:ascii="宋体" w:hAnsi="宋体" w:eastAsia="宋体" w:cs="宋体"/>
          <w:color w:val="auto"/>
          <w:spacing w:val="0"/>
          <w:sz w:val="22"/>
          <w:szCs w:val="22"/>
          <w:highlight w:val="none"/>
          <w:lang w:val="en-US" w:eastAsia="zh-CN" w:bidi="ar-SA"/>
        </w:rPr>
        <w:t>6.1甲方向乙方出具服务委托书，乙方在规定时间内配备相应资源并为甲方提供服务。</w:t>
      </w:r>
      <w:bookmarkStart w:id="12" w:name="_Toc22995"/>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6.2其他要求</w:t>
      </w:r>
    </w:p>
    <w:p>
      <w:pPr>
        <w:keepNext w:val="0"/>
        <w:keepLines w:val="0"/>
        <w:pageBreakBefore w:val="0"/>
        <w:widowControl w:val="0"/>
        <w:numPr>
          <w:ilvl w:val="0"/>
          <w:numId w:val="9"/>
        </w:numPr>
        <w:kinsoku/>
        <w:wordWrap/>
        <w:overflowPunct/>
        <w:topLinePunct w:val="0"/>
        <w:bidi w:val="0"/>
        <w:spacing w:line="360" w:lineRule="auto"/>
        <w:ind w:left="840" w:leftChars="0" w:hanging="420" w:firstLineChars="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供应商交付资料齐备。</w:t>
      </w:r>
    </w:p>
    <w:p>
      <w:pPr>
        <w:keepNext w:val="0"/>
        <w:keepLines w:val="0"/>
        <w:pageBreakBefore w:val="0"/>
        <w:widowControl w:val="0"/>
        <w:numPr>
          <w:ilvl w:val="0"/>
          <w:numId w:val="9"/>
        </w:numPr>
        <w:kinsoku/>
        <w:wordWrap/>
        <w:overflowPunct/>
        <w:topLinePunct w:val="0"/>
        <w:bidi w:val="0"/>
        <w:spacing w:line="360" w:lineRule="auto"/>
        <w:ind w:left="840" w:leftChars="0" w:hanging="420" w:firstLineChars="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车辆配备的消防器材合格。</w:t>
      </w:r>
    </w:p>
    <w:p>
      <w:pPr>
        <w:keepNext w:val="0"/>
        <w:keepLines w:val="0"/>
        <w:pageBreakBefore w:val="0"/>
        <w:widowControl w:val="0"/>
        <w:numPr>
          <w:ilvl w:val="0"/>
          <w:numId w:val="9"/>
        </w:numPr>
        <w:kinsoku/>
        <w:wordWrap/>
        <w:overflowPunct/>
        <w:topLinePunct w:val="0"/>
        <w:bidi w:val="0"/>
        <w:spacing w:line="360" w:lineRule="auto"/>
        <w:ind w:left="840" w:leftChars="0" w:hanging="420" w:firstLineChars="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车辆定期进行维护保养。</w:t>
      </w:r>
    </w:p>
    <w:p>
      <w:pPr>
        <w:pStyle w:val="22"/>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sz w:val="22"/>
          <w:szCs w:val="22"/>
          <w:lang w:val="en-US" w:eastAsia="zh-CN"/>
        </w:rPr>
      </w:pPr>
    </w:p>
    <w:bookmarkEnd w:id="12"/>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2"/>
          <w:szCs w:val="22"/>
          <w:lang w:eastAsia="zh-CN"/>
        </w:rPr>
      </w:pPr>
    </w:p>
    <w:p>
      <w:pPr>
        <w:pStyle w:val="4"/>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2"/>
          <w:szCs w:val="22"/>
        </w:rPr>
      </w:pPr>
      <w:r>
        <w:rPr>
          <w:rFonts w:hint="eastAsia" w:ascii="宋体" w:hAnsi="宋体" w:eastAsia="宋体" w:cs="宋体"/>
          <w:b/>
          <w:sz w:val="22"/>
          <w:szCs w:val="22"/>
          <w:lang w:val="en-US" w:eastAsia="zh-CN"/>
        </w:rPr>
        <w:t>七</w:t>
      </w:r>
      <w:r>
        <w:rPr>
          <w:rFonts w:hint="eastAsia" w:ascii="宋体" w:hAnsi="宋体" w:eastAsia="宋体" w:cs="宋体"/>
          <w:b/>
          <w:sz w:val="22"/>
          <w:szCs w:val="22"/>
        </w:rPr>
        <w:t>、服务及验收标准</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6.1</w:t>
      </w:r>
      <w:r>
        <w:rPr>
          <w:rFonts w:hint="eastAsia" w:ascii="宋体" w:hAnsi="宋体" w:eastAsia="宋体" w:cs="宋体"/>
          <w:color w:val="auto"/>
          <w:sz w:val="22"/>
          <w:szCs w:val="22"/>
          <w:highlight w:val="none"/>
          <w:lang w:eastAsia="zh-CN"/>
        </w:rPr>
        <w:t>根据本合同规定提供车辆服务，完成合同规定的全部工作，具体服务和相关工作的内容、范围、地点及技术要求。</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highlight w:val="none"/>
          <w:lang w:eastAsia="zh-CN"/>
        </w:rPr>
      </w:pPr>
      <w:bookmarkStart w:id="13" w:name="_Toc25996"/>
      <w:r>
        <w:rPr>
          <w:rFonts w:hint="eastAsia" w:ascii="宋体" w:hAnsi="宋体" w:eastAsia="宋体" w:cs="宋体"/>
          <w:color w:val="auto"/>
          <w:sz w:val="22"/>
          <w:szCs w:val="22"/>
          <w:highlight w:val="none"/>
          <w:lang w:val="en-US" w:eastAsia="zh-CN"/>
        </w:rPr>
        <w:t>6.2</w:t>
      </w:r>
      <w:r>
        <w:rPr>
          <w:rFonts w:hint="eastAsia" w:ascii="宋体" w:hAnsi="宋体" w:eastAsia="宋体" w:cs="宋体"/>
          <w:color w:val="auto"/>
          <w:sz w:val="22"/>
          <w:szCs w:val="22"/>
          <w:highlight w:val="none"/>
          <w:lang w:eastAsia="zh-CN"/>
        </w:rPr>
        <w:t>针对未对某项工作予以明确规定，如相关工作提供同类服务时，通过执行良好的行业惯例应当预见和完成的工作，或属于为实现目的应当实施的工作，应以符合目的的方式实施该等工作。</w:t>
      </w:r>
      <w:bookmarkEnd w:id="13"/>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6.3</w:t>
      </w:r>
      <w:r>
        <w:rPr>
          <w:rFonts w:hint="eastAsia" w:ascii="宋体" w:hAnsi="宋体" w:eastAsia="宋体" w:cs="宋体"/>
          <w:sz w:val="22"/>
          <w:szCs w:val="22"/>
          <w:lang w:eastAsia="zh-CN"/>
        </w:rPr>
        <w:t>提供服务需符合国家相关要求；</w:t>
      </w:r>
      <w:r>
        <w:rPr>
          <w:rFonts w:hint="eastAsia" w:ascii="宋体" w:hAnsi="宋体" w:eastAsia="宋体" w:cs="宋体"/>
          <w:sz w:val="22"/>
          <w:szCs w:val="22"/>
          <w:lang w:val="en-US" w:eastAsia="zh-CN"/>
        </w:rPr>
        <w:t>同时，如甲方需要，乙方须提供以下资料。</w:t>
      </w:r>
    </w:p>
    <w:p>
      <w:pPr>
        <w:keepNext w:val="0"/>
        <w:keepLines w:val="0"/>
        <w:pageBreakBefore w:val="0"/>
        <w:widowControl w:val="0"/>
        <w:numPr>
          <w:ilvl w:val="0"/>
          <w:numId w:val="10"/>
        </w:numPr>
        <w:kinsoku/>
        <w:wordWrap/>
        <w:overflowPunct/>
        <w:topLinePunct w:val="0"/>
        <w:bidi w:val="0"/>
        <w:spacing w:line="360" w:lineRule="auto"/>
        <w:ind w:left="840" w:leftChars="0" w:hanging="42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车辆所有权证书、车辆行驶证、车辆保险复印件。</w:t>
      </w:r>
    </w:p>
    <w:p>
      <w:pPr>
        <w:keepNext w:val="0"/>
        <w:keepLines w:val="0"/>
        <w:pageBreakBefore w:val="0"/>
        <w:widowControl w:val="0"/>
        <w:numPr>
          <w:ilvl w:val="0"/>
          <w:numId w:val="10"/>
        </w:numPr>
        <w:kinsoku/>
        <w:wordWrap/>
        <w:overflowPunct/>
        <w:topLinePunct w:val="0"/>
        <w:bidi w:val="0"/>
        <w:spacing w:line="360" w:lineRule="auto"/>
        <w:ind w:left="840" w:leftChars="0" w:hanging="42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车辆检查记录，包括各项日常检查和定期检查记录。车辆维修及检测记录；</w:t>
      </w:r>
    </w:p>
    <w:p>
      <w:pPr>
        <w:keepNext w:val="0"/>
        <w:keepLines w:val="0"/>
        <w:pageBreakBefore w:val="0"/>
        <w:widowControl w:val="0"/>
        <w:numPr>
          <w:ilvl w:val="0"/>
          <w:numId w:val="10"/>
        </w:numPr>
        <w:kinsoku/>
        <w:wordWrap/>
        <w:overflowPunct/>
        <w:topLinePunct w:val="0"/>
        <w:bidi w:val="0"/>
        <w:spacing w:line="360" w:lineRule="auto"/>
        <w:ind w:left="840" w:leftChars="0" w:hanging="42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机动车驾驶员，包括个人基本信息、驾驶证、健康证、从业安全记录和教育培训记录；</w:t>
      </w:r>
    </w:p>
    <w:p>
      <w:pPr>
        <w:keepNext w:val="0"/>
        <w:keepLines w:val="0"/>
        <w:pageBreakBefore w:val="0"/>
        <w:widowControl w:val="0"/>
        <w:numPr>
          <w:ilvl w:val="0"/>
          <w:numId w:val="10"/>
        </w:numPr>
        <w:kinsoku/>
        <w:wordWrap/>
        <w:overflowPunct/>
        <w:topLinePunct w:val="0"/>
        <w:bidi w:val="0"/>
        <w:spacing w:line="360" w:lineRule="auto"/>
        <w:ind w:left="840" w:leftChars="0" w:hanging="42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交通事故记录。（如有）</w:t>
      </w:r>
    </w:p>
    <w:p>
      <w:pPr>
        <w:pStyle w:val="22"/>
        <w:keepNext w:val="0"/>
        <w:keepLines w:val="0"/>
        <w:pageBreakBefore w:val="0"/>
        <w:widowControl w:val="0"/>
        <w:kinsoku/>
        <w:wordWrap/>
        <w:overflowPunct/>
        <w:topLinePunct w:val="0"/>
        <w:bidi w:val="0"/>
        <w:spacing w:line="360" w:lineRule="auto"/>
        <w:ind w:firstLineChars="0"/>
        <w:textAlignment w:val="auto"/>
        <w:rPr>
          <w:rFonts w:hint="eastAsia" w:ascii="宋体" w:hAnsi="宋体" w:eastAsia="宋体" w:cs="宋体"/>
          <w:sz w:val="22"/>
          <w:szCs w:val="22"/>
          <w:lang w:eastAsia="zh-CN"/>
        </w:rPr>
      </w:pPr>
    </w:p>
    <w:p>
      <w:pPr>
        <w:pStyle w:val="4"/>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2"/>
          <w:szCs w:val="22"/>
        </w:rPr>
      </w:pPr>
      <w:r>
        <w:rPr>
          <w:rFonts w:hint="eastAsia" w:ascii="宋体" w:hAnsi="宋体" w:eastAsia="宋体" w:cs="宋体"/>
          <w:b/>
          <w:sz w:val="22"/>
          <w:szCs w:val="22"/>
          <w:lang w:val="en-US" w:eastAsia="zh-CN"/>
        </w:rPr>
        <w:t>八</w:t>
      </w:r>
      <w:r>
        <w:rPr>
          <w:rFonts w:hint="eastAsia" w:ascii="宋体" w:hAnsi="宋体" w:eastAsia="宋体" w:cs="宋体"/>
          <w:b/>
          <w:sz w:val="22"/>
          <w:szCs w:val="22"/>
        </w:rPr>
        <w:t>、质量保证</w:t>
      </w:r>
    </w:p>
    <w:p>
      <w:pPr>
        <w:pStyle w:val="4"/>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8.1未经甲方事先书面同意，乙方不得将其在本合同项下的任何权利和义务全部或部分转让给任何第三方，包括乙方的关联企业。甲方可以将其在本合同项下的权利和义务全部或部分转让给其关联企业，且无需事先征得乙方的同意，但应书面通知乙方。</w:t>
      </w:r>
    </w:p>
    <w:p>
      <w:pPr>
        <w:pStyle w:val="4"/>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8.2乙方承诺，其服务符合本合同、法律法规、行业规范、标准和良好的行业惯例的要求，不存在任何缺陷。如因乙方原因，造成甲方直接经济损失，乙方应给与甲方相应补偿，甲方有权要求乙方限期整改，并有权终止合同。</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2"/>
          <w:szCs w:val="22"/>
          <w:lang w:val="en-US" w:eastAsia="zh-CN"/>
        </w:rPr>
      </w:pPr>
    </w:p>
    <w:p>
      <w:pPr>
        <w:pStyle w:val="4"/>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2"/>
          <w:szCs w:val="22"/>
        </w:rPr>
      </w:pPr>
      <w:r>
        <w:rPr>
          <w:rFonts w:hint="eastAsia" w:ascii="宋体" w:hAnsi="宋体" w:eastAsia="宋体" w:cs="宋体"/>
          <w:b/>
          <w:sz w:val="22"/>
          <w:szCs w:val="22"/>
          <w:lang w:val="en-US" w:eastAsia="zh-CN"/>
        </w:rPr>
        <w:t>九</w:t>
      </w:r>
      <w:r>
        <w:rPr>
          <w:rFonts w:hint="eastAsia" w:ascii="宋体" w:hAnsi="宋体" w:eastAsia="宋体" w:cs="宋体"/>
          <w:b/>
          <w:sz w:val="22"/>
          <w:szCs w:val="22"/>
        </w:rPr>
        <w:t>、其他要求</w:t>
      </w:r>
    </w:p>
    <w:p>
      <w:pPr>
        <w:pStyle w:val="4"/>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1、技术联系人：卢万鹏/15366714606 ；</w:t>
      </w:r>
    </w:p>
    <w:p>
      <w:pPr>
        <w:pStyle w:val="4"/>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2、付款方式：银行电汇；</w:t>
      </w:r>
    </w:p>
    <w:p>
      <w:pPr>
        <w:pStyle w:val="4"/>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3、付款周期要求：收到发票45天内付款；</w:t>
      </w:r>
    </w:p>
    <w:p>
      <w:pPr>
        <w:pStyle w:val="4"/>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4、结算周期：月度付款。</w:t>
      </w:r>
    </w:p>
    <w:p>
      <w:pPr>
        <w:pStyle w:val="4"/>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甲方及甲方执行方在每月第15日前确认上个月度实际发生的经验收合格的具体工作量，自验收合格之日起，乙方3日内向甲方执行方提供与上个月度《服务委托书》中价款相应的有效增值税专用发票及相关支持文件。如果甲方对乙方出具的该等发票和提供的相关支持文件无异议，甲方在收到发票及相关支持文件之日起四十五（45）日向乙方付款。如付款到期日为非银行工作日，则付款到期日顺延至下一个银行工作日。</w:t>
      </w:r>
    </w:p>
    <w:p>
      <w:pPr>
        <w:pStyle w:val="4"/>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5、本项目不属于岗位外包转业务外包。</w:t>
      </w:r>
    </w:p>
    <w:bookmarkEnd w:id="2"/>
    <w:bookmarkEnd w:id="3"/>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59"/>
        <w:keepNext w:val="0"/>
        <w:keepLines w:val="0"/>
        <w:pageBreakBefore w:val="0"/>
        <w:widowControl w:val="0"/>
        <w:tabs>
          <w:tab w:val="left" w:pos="900"/>
          <w:tab w:val="left" w:pos="1080"/>
        </w:tabs>
        <w:kinsoku/>
        <w:wordWrap/>
        <w:overflowPunct/>
        <w:topLinePunct w:val="0"/>
        <w:bidi w:val="0"/>
        <w:adjustRightInd w:val="0"/>
        <w:snapToGrid w:val="0"/>
        <w:spacing w:line="360" w:lineRule="auto"/>
        <w:ind w:left="0" w:firstLine="0"/>
        <w:jc w:val="both"/>
        <w:textAlignment w:val="auto"/>
        <w:rPr>
          <w:rFonts w:hint="eastAsia" w:ascii="宋体" w:hAnsi="宋体" w:eastAsia="宋体" w:cs="宋体"/>
          <w:color w:val="auto"/>
          <w:sz w:val="22"/>
          <w:szCs w:val="22"/>
        </w:rPr>
      </w:pPr>
    </w:p>
    <w:p>
      <w:pPr>
        <w:pStyle w:val="59"/>
        <w:keepNext w:val="0"/>
        <w:keepLines w:val="0"/>
        <w:pageBreakBefore w:val="0"/>
        <w:widowControl w:val="0"/>
        <w:tabs>
          <w:tab w:val="left" w:pos="900"/>
          <w:tab w:val="left" w:pos="1080"/>
        </w:tabs>
        <w:kinsoku/>
        <w:wordWrap/>
        <w:overflowPunct/>
        <w:topLinePunct w:val="0"/>
        <w:bidi w:val="0"/>
        <w:adjustRightInd w:val="0"/>
        <w:snapToGrid w:val="0"/>
        <w:spacing w:line="360" w:lineRule="auto"/>
        <w:ind w:left="0" w:firstLine="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附件</w:t>
      </w:r>
      <w:r>
        <w:rPr>
          <w:rFonts w:hint="eastAsia" w:ascii="宋体" w:hAnsi="宋体" w:eastAsia="宋体" w:cs="宋体"/>
          <w:color w:val="auto"/>
          <w:sz w:val="22"/>
          <w:szCs w:val="22"/>
          <w:lang w:val="en-US" w:eastAsia="zh-CN"/>
        </w:rPr>
        <w:t>一</w:t>
      </w:r>
      <w:r>
        <w:rPr>
          <w:rFonts w:hint="eastAsia" w:ascii="宋体" w:hAnsi="宋体" w:eastAsia="宋体" w:cs="宋体"/>
          <w:color w:val="auto"/>
          <w:sz w:val="22"/>
          <w:szCs w:val="22"/>
        </w:rPr>
        <w:t>：健康安全环保协议书</w:t>
      </w:r>
    </w:p>
    <w:p>
      <w:pPr>
        <w:pStyle w:val="55"/>
        <w:keepNext w:val="0"/>
        <w:keepLines w:val="0"/>
        <w:pageBreakBefore w:val="0"/>
        <w:widowControl w:val="0"/>
        <w:kinsoku/>
        <w:wordWrap/>
        <w:overflowPunct/>
        <w:topLinePunct w:val="0"/>
        <w:bidi w:val="0"/>
        <w:spacing w:line="360" w:lineRule="auto"/>
        <w:ind w:firstLine="422"/>
        <w:jc w:val="center"/>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健康安全环保协议书</w:t>
      </w:r>
    </w:p>
    <w:p>
      <w:pPr>
        <w:pStyle w:val="55"/>
        <w:keepNext w:val="0"/>
        <w:keepLines w:val="0"/>
        <w:pageBreakBefore w:val="0"/>
        <w:widowControl w:val="0"/>
        <w:kinsoku/>
        <w:wordWrap/>
        <w:overflowPunct/>
        <w:topLinePunct w:val="0"/>
        <w:bidi w:val="0"/>
        <w:spacing w:line="360" w:lineRule="auto"/>
        <w:ind w:firstLine="422"/>
        <w:textAlignment w:val="auto"/>
        <w:rPr>
          <w:rFonts w:hint="eastAsia" w:ascii="宋体" w:hAnsi="宋体" w:eastAsia="宋体" w:cs="宋体"/>
          <w:color w:val="auto"/>
          <w:sz w:val="22"/>
          <w:szCs w:val="22"/>
        </w:rPr>
      </w:pPr>
      <w:r>
        <w:rPr>
          <w:rFonts w:hint="eastAsia" w:ascii="宋体" w:hAnsi="宋体" w:eastAsia="宋体" w:cs="宋体"/>
          <w:b/>
          <w:bCs/>
          <w:color w:val="auto"/>
          <w:sz w:val="22"/>
          <w:szCs w:val="22"/>
        </w:rPr>
        <w:t>1</w:t>
      </w:r>
      <w:r>
        <w:rPr>
          <w:rFonts w:hint="eastAsia" w:ascii="宋体" w:hAnsi="宋体" w:eastAsia="宋体" w:cs="宋体"/>
          <w:color w:val="auto"/>
          <w:sz w:val="22"/>
          <w:szCs w:val="22"/>
        </w:rPr>
        <w:t>、概述</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1.1因甲方生产需要，委托乙方提供车辆服务，为了明确施工期间甲乙双方责任及权利，依据《安全生产法》、《环境保护法》、《劳动法》等法律法规要求以及甲方相关管理规定，甲乙双方遵循平等、自愿、公平和诚实守信的原则，经双方协商，签订本安全协议书。</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1.2本协议自签订之日起生效，至该项服务完结终止。</w:t>
      </w:r>
    </w:p>
    <w:p>
      <w:pPr>
        <w:pStyle w:val="55"/>
        <w:keepNext w:val="0"/>
        <w:keepLines w:val="0"/>
        <w:pageBreakBefore w:val="0"/>
        <w:widowControl w:val="0"/>
        <w:kinsoku/>
        <w:wordWrap/>
        <w:overflowPunct/>
        <w:topLinePunct w:val="0"/>
        <w:bidi w:val="0"/>
        <w:spacing w:line="360" w:lineRule="auto"/>
        <w:ind w:firstLine="422"/>
        <w:textAlignment w:val="auto"/>
        <w:rPr>
          <w:rFonts w:hint="eastAsia" w:ascii="宋体" w:hAnsi="宋体" w:eastAsia="宋体" w:cs="宋体"/>
          <w:color w:val="auto"/>
          <w:sz w:val="22"/>
          <w:szCs w:val="22"/>
        </w:rPr>
      </w:pPr>
      <w:r>
        <w:rPr>
          <w:rFonts w:hint="eastAsia" w:ascii="宋体" w:hAnsi="宋体" w:eastAsia="宋体" w:cs="宋体"/>
          <w:b/>
          <w:bCs/>
          <w:color w:val="auto"/>
          <w:sz w:val="22"/>
          <w:szCs w:val="22"/>
        </w:rPr>
        <w:t>2</w:t>
      </w:r>
      <w:r>
        <w:rPr>
          <w:rFonts w:hint="eastAsia" w:ascii="宋体" w:hAnsi="宋体" w:eastAsia="宋体" w:cs="宋体"/>
          <w:color w:val="auto"/>
          <w:sz w:val="22"/>
          <w:szCs w:val="22"/>
        </w:rPr>
        <w:t>、甲方与乙方的管理界面</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2.1本协议只涉及乙方在为甲方作业过程中的相关HSE责任约定，乙方办理个人事务、保养、维修、更换车辆过程中发生的包括HSE在内的全部责任由乙方承担，与甲方无关。</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2.2乙方的车辆和人员进入甲方的作业现场报到后即视为乙方开始承担作业场所的HSE责任，乙方为作业和服务的HSE责任主体；乙方完成合同规定的作业服务或超出合同期限即视为乙方对该作业场所HSE责任的终结。</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2.3甲方（包括第三方）或乙方（包括第三方）因自身原因而发生伤亡、伤害、污染、财产损失时，甲方或乙方均应保护对方免受索赔、法律诉讼带来的损失和损害，但蓄意渎职或重大过失而造成的损害和损失除外。</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2.4因不可抗力原因造成任何一方的直接或间接的物质损失、人员伤亡等，应由各自承担全部相关责任。</w:t>
      </w:r>
    </w:p>
    <w:p>
      <w:pPr>
        <w:pStyle w:val="55"/>
        <w:keepNext w:val="0"/>
        <w:keepLines w:val="0"/>
        <w:pageBreakBefore w:val="0"/>
        <w:widowControl w:val="0"/>
        <w:kinsoku/>
        <w:wordWrap/>
        <w:overflowPunct/>
        <w:topLinePunct w:val="0"/>
        <w:bidi w:val="0"/>
        <w:spacing w:line="360" w:lineRule="auto"/>
        <w:ind w:firstLine="422"/>
        <w:textAlignment w:val="auto"/>
        <w:rPr>
          <w:rFonts w:hint="eastAsia" w:ascii="宋体" w:hAnsi="宋体" w:eastAsia="宋体" w:cs="宋体"/>
          <w:color w:val="auto"/>
          <w:sz w:val="22"/>
          <w:szCs w:val="22"/>
        </w:rPr>
      </w:pPr>
      <w:r>
        <w:rPr>
          <w:rFonts w:hint="eastAsia" w:ascii="宋体" w:hAnsi="宋体" w:eastAsia="宋体" w:cs="宋体"/>
          <w:b/>
          <w:bCs/>
          <w:color w:val="auto"/>
          <w:sz w:val="22"/>
          <w:szCs w:val="22"/>
        </w:rPr>
        <w:t>3</w:t>
      </w:r>
      <w:r>
        <w:rPr>
          <w:rFonts w:hint="eastAsia" w:ascii="宋体" w:hAnsi="宋体" w:eastAsia="宋体" w:cs="宋体"/>
          <w:color w:val="auto"/>
          <w:sz w:val="22"/>
          <w:szCs w:val="22"/>
        </w:rPr>
        <w:t>、甲方责任</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3.1服务前，甲方应向乙方提出HSE相关要求。</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3.2履行监督职责，监督乙方服务期间的HSE管理。</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3.4甲方应向乙方明确HSE信息交流的方式及内容。</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3.5发生事故后，甲方应当积极与乙方共同采取营救并调查事故原因。</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3.6甲方不得在未经乙方允许的情况下擅自修理车辆，不得擅自改装和更改车辆各总成件。</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3.7甲方不得转卖、抵押、转借、转租乙方车辆。乙方车辆发生交通事故和被盗抢时，甲方应协助乙方向当地公安、交管等部门报案，并协助办理相关手续。</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3.8当甲方认为乙方的工作程序或工作环境对人身、财产或环境构成了威胁，违反了有关的法律、法规和规定、违反了甲方HSE政策、程序、标准，甲方有权随时停止乙方的工作，令其整改或将其有关员工从作业现场撤换掉。</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3.9</w:t>
      </w:r>
      <w:r>
        <w:rPr>
          <w:rFonts w:hint="eastAsia" w:ascii="宋体" w:hAnsi="宋体" w:eastAsia="宋体" w:cs="宋体"/>
          <w:color w:val="auto"/>
          <w:sz w:val="22"/>
          <w:szCs w:val="22"/>
        </w:rPr>
        <w:t>甲方有权要求乙方及司机提供符合国家法律法规要求的健康证明，确保司机身体健康，无妨碍驾驶的疾病。</w:t>
      </w:r>
    </w:p>
    <w:p>
      <w:pPr>
        <w:pStyle w:val="55"/>
        <w:keepNext w:val="0"/>
        <w:keepLines w:val="0"/>
        <w:pageBreakBefore w:val="0"/>
        <w:widowControl w:val="0"/>
        <w:kinsoku/>
        <w:wordWrap/>
        <w:overflowPunct/>
        <w:topLinePunct w:val="0"/>
        <w:bidi w:val="0"/>
        <w:spacing w:line="360" w:lineRule="auto"/>
        <w:ind w:firstLine="422"/>
        <w:textAlignment w:val="auto"/>
        <w:rPr>
          <w:rFonts w:hint="eastAsia" w:ascii="宋体" w:hAnsi="宋体" w:eastAsia="宋体" w:cs="宋体"/>
          <w:color w:val="auto"/>
          <w:sz w:val="22"/>
          <w:szCs w:val="22"/>
        </w:rPr>
      </w:pPr>
      <w:r>
        <w:rPr>
          <w:rFonts w:hint="eastAsia" w:ascii="宋体" w:hAnsi="宋体" w:eastAsia="宋体" w:cs="宋体"/>
          <w:b/>
          <w:bCs/>
          <w:color w:val="auto"/>
          <w:sz w:val="22"/>
          <w:szCs w:val="22"/>
        </w:rPr>
        <w:t>4</w:t>
      </w:r>
      <w:r>
        <w:rPr>
          <w:rFonts w:hint="eastAsia" w:ascii="宋体" w:hAnsi="宋体" w:eastAsia="宋体" w:cs="宋体"/>
          <w:color w:val="auto"/>
          <w:sz w:val="22"/>
          <w:szCs w:val="22"/>
        </w:rPr>
        <w:t>、乙方责任</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4.1乙方应遵守有关的法律、法规和规定及有关HSE标准，建立HSE管理制度，熟悉甲方的HSE方针和目标；乙方应尽最大努力避免各类事故的发生。乙方应遵守甲方所属设施、设备的各项管理和操作规定；乙方应采取各种必要的、充分合理的措施来保护甲方和∕或在作业现场的任何第三方的财产和人员，并避免或尽量减少给公众和其他承包商带来不便。</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4.2乙方应向甲方提供车辆各种证件、第三者责任强制保险和商业险种、各类安全资质、驾驶员信息资料、车辆安全行车所需的车辆技术状况资料并对所有材料的真实有效性负责。</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4.3乙方应依据有关的法律、法规和规定，确保乙方所有人员均已通过必要的培训，有资格并有能力从事合同规定的相应工作。乙方应确保其员工熟悉并执行甲方的HSE要求和规定，熟练掌握基本HSE知识和技能。</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4.4乙方违反有关的HSE标准或甲方的HSE标准的任何行为均视为对合同的违约，严重违反的行为自然构成提前终止合同和甲方对乙方实施处罚的理由和依据。</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4.5乙方应确保其提供的车辆符合有关的HSE标准，并经甲方验收合格后才能进入作业现场。</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4.6乙方应当保证整个服务期间，车辆一切运转正常；非正常的零部件的更换（包括定期或不定期的更换）均由乙方负责（保证车辆安全性能），费用也由乙方全部承担。乙方必须确保更换零部件后的车辆的安全并对此全部负责。</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4.7乙方应对自身车辆的安全负责，不得违章驾驶和运输，因违章驾驶和违章运输时所造成的后果（财产损失、人员伤亡等）或交通事故，应自觉接受相关部门或公安机关的处理，并负责赔偿甲方的一切经济损失。</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4.8乙方应按时参加甲方单位组织的安全学习和交通安全教育。加强对自身车辆的安全检查、保养和维修，随时保持车辆处于良好的技术状况，坚决杜绝车辆带“病”行驶或运行；了解甲方的新变更的HSE规章制度，内容应包括但不限于危险区管理、作业管理、易燃易爆、有害气体探测、报警、消防、逃生等。</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4.9严禁乙方驾驶员酒后驾车、强超抢会、超速驾驶、疲劳驾驶、将车辆交其他人驾驶等严重交通违章行为。甲方一经发现以上行为，有权予以解除服务合同；以上严重交通违章行为所造成的任何损失，均由乙方负责。</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4.10乙方需维修车辆和购置汽配时应提前通知甲方，不得以此为借口影响甲方施工生产和生活用车。</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4.11在恶劣的天气情况下，包括下雨、下雪，或者甲方要求其违章驾驶，特殊情况除外，乙方有权拒绝出车。</w:t>
      </w:r>
    </w:p>
    <w:p>
      <w:pPr>
        <w:pStyle w:val="55"/>
        <w:keepNext w:val="0"/>
        <w:keepLines w:val="0"/>
        <w:pageBreakBefore w:val="0"/>
        <w:widowControl w:val="0"/>
        <w:kinsoku/>
        <w:wordWrap/>
        <w:overflowPunct/>
        <w:topLinePunct w:val="0"/>
        <w:bidi w:val="0"/>
        <w:spacing w:line="360" w:lineRule="auto"/>
        <w:ind w:firstLine="422"/>
        <w:textAlignment w:val="auto"/>
        <w:rPr>
          <w:rFonts w:hint="eastAsia" w:ascii="宋体" w:hAnsi="宋体" w:eastAsia="宋体" w:cs="宋体"/>
          <w:color w:val="auto"/>
          <w:sz w:val="22"/>
          <w:szCs w:val="22"/>
        </w:rPr>
      </w:pPr>
      <w:r>
        <w:rPr>
          <w:rFonts w:hint="eastAsia" w:ascii="宋体" w:hAnsi="宋体" w:eastAsia="宋体" w:cs="宋体"/>
          <w:b/>
          <w:bCs/>
          <w:color w:val="auto"/>
          <w:sz w:val="22"/>
          <w:szCs w:val="22"/>
        </w:rPr>
        <w:t>5</w:t>
      </w:r>
      <w:r>
        <w:rPr>
          <w:rFonts w:hint="eastAsia" w:ascii="宋体" w:hAnsi="宋体" w:eastAsia="宋体" w:cs="宋体"/>
          <w:color w:val="auto"/>
          <w:sz w:val="22"/>
          <w:szCs w:val="22"/>
        </w:rPr>
        <w:t>、环境保护</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5.1乙方应根据有关的法律、法规和规定、有关的HSE标准和行业惯例最大程度地减少对生态环境的破坏和损害。</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5.2乙方在服务过程中造成的环境污染责任由乙方承担。</w:t>
      </w:r>
    </w:p>
    <w:p>
      <w:pPr>
        <w:pStyle w:val="55"/>
        <w:keepNext w:val="0"/>
        <w:keepLines w:val="0"/>
        <w:pageBreakBefore w:val="0"/>
        <w:widowControl w:val="0"/>
        <w:kinsoku/>
        <w:wordWrap/>
        <w:overflowPunct/>
        <w:topLinePunct w:val="0"/>
        <w:bidi w:val="0"/>
        <w:spacing w:line="360" w:lineRule="auto"/>
        <w:ind w:firstLine="422"/>
        <w:textAlignment w:val="auto"/>
        <w:rPr>
          <w:rFonts w:hint="eastAsia" w:ascii="宋体" w:hAnsi="宋体" w:eastAsia="宋体" w:cs="宋体"/>
          <w:color w:val="auto"/>
          <w:sz w:val="22"/>
          <w:szCs w:val="22"/>
        </w:rPr>
      </w:pPr>
      <w:r>
        <w:rPr>
          <w:rFonts w:hint="eastAsia" w:ascii="宋体" w:hAnsi="宋体" w:eastAsia="宋体" w:cs="宋体"/>
          <w:b/>
          <w:bCs/>
          <w:color w:val="auto"/>
          <w:sz w:val="22"/>
          <w:szCs w:val="22"/>
        </w:rPr>
        <w:t>6</w:t>
      </w:r>
      <w:r>
        <w:rPr>
          <w:rFonts w:hint="eastAsia" w:ascii="宋体" w:hAnsi="宋体" w:eastAsia="宋体" w:cs="宋体"/>
          <w:color w:val="auto"/>
          <w:sz w:val="22"/>
          <w:szCs w:val="22"/>
        </w:rPr>
        <w:t>、职业健康</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6.1乙方应对职业健康危害因素进行辨识，制定并落实职业病防治方案；告知其员工工作场所潜在的职业健康危害因素及后果。</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6.2乙方应定期对员工组织职业健康体检。</w:t>
      </w:r>
    </w:p>
    <w:p>
      <w:pPr>
        <w:pStyle w:val="55"/>
        <w:keepNext w:val="0"/>
        <w:keepLines w:val="0"/>
        <w:pageBreakBefore w:val="0"/>
        <w:widowControl w:val="0"/>
        <w:kinsoku/>
        <w:wordWrap/>
        <w:overflowPunct/>
        <w:topLinePunct w:val="0"/>
        <w:bidi w:val="0"/>
        <w:spacing w:line="360" w:lineRule="auto"/>
        <w:ind w:firstLine="422"/>
        <w:textAlignment w:val="auto"/>
        <w:rPr>
          <w:rFonts w:hint="eastAsia" w:ascii="宋体" w:hAnsi="宋体" w:eastAsia="宋体" w:cs="宋体"/>
          <w:color w:val="auto"/>
          <w:sz w:val="22"/>
          <w:szCs w:val="22"/>
        </w:rPr>
      </w:pPr>
      <w:r>
        <w:rPr>
          <w:rFonts w:hint="eastAsia" w:ascii="宋体" w:hAnsi="宋体" w:eastAsia="宋体" w:cs="宋体"/>
          <w:b/>
          <w:bCs/>
          <w:color w:val="auto"/>
          <w:sz w:val="22"/>
          <w:szCs w:val="22"/>
        </w:rPr>
        <w:t>7</w:t>
      </w:r>
      <w:r>
        <w:rPr>
          <w:rFonts w:hint="eastAsia" w:ascii="宋体" w:hAnsi="宋体" w:eastAsia="宋体" w:cs="宋体"/>
          <w:color w:val="auto"/>
          <w:sz w:val="22"/>
          <w:szCs w:val="22"/>
        </w:rPr>
        <w:t>、应急</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7.1乙方应依照有关的法律、法规和规定向其员工提供逃生、急救、消防等应急培训。</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7.2乙方服务人员应主动了解甲方作业现场内的紧急疏散路线、紧急集合点。</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7.3乙方应参加甲方组织的应急演习，检验与甲方配合的默契度、反映速度。</w:t>
      </w:r>
    </w:p>
    <w:p>
      <w:pPr>
        <w:pStyle w:val="55"/>
        <w:keepNext w:val="0"/>
        <w:keepLines w:val="0"/>
        <w:pageBreakBefore w:val="0"/>
        <w:widowControl w:val="0"/>
        <w:kinsoku/>
        <w:wordWrap/>
        <w:overflowPunct/>
        <w:topLinePunct w:val="0"/>
        <w:bidi w:val="0"/>
        <w:spacing w:line="360" w:lineRule="auto"/>
        <w:ind w:firstLine="422"/>
        <w:textAlignment w:val="auto"/>
        <w:rPr>
          <w:rFonts w:hint="eastAsia" w:ascii="宋体" w:hAnsi="宋体" w:eastAsia="宋体" w:cs="宋体"/>
          <w:color w:val="auto"/>
          <w:sz w:val="22"/>
          <w:szCs w:val="22"/>
        </w:rPr>
      </w:pPr>
      <w:r>
        <w:rPr>
          <w:rFonts w:hint="eastAsia" w:ascii="宋体" w:hAnsi="宋体" w:eastAsia="宋体" w:cs="宋体"/>
          <w:b/>
          <w:bCs/>
          <w:color w:val="auto"/>
          <w:sz w:val="22"/>
          <w:szCs w:val="22"/>
        </w:rPr>
        <w:t>8</w:t>
      </w:r>
      <w:r>
        <w:rPr>
          <w:rFonts w:hint="eastAsia" w:ascii="宋体" w:hAnsi="宋体" w:eastAsia="宋体" w:cs="宋体"/>
          <w:color w:val="auto"/>
          <w:sz w:val="22"/>
          <w:szCs w:val="22"/>
        </w:rPr>
        <w:t>、医疗急救</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8.1一旦发生事故，乙方应迅速将具体情况报告甲方，双方应当迅速采取医疗救治工作，乙方应负责为其员工承担医疗保险、医疗保健、医护处理、运送等以及与其相关事项所发生的费用。</w:t>
      </w:r>
    </w:p>
    <w:p>
      <w:pPr>
        <w:pStyle w:val="55"/>
        <w:keepNext w:val="0"/>
        <w:keepLines w:val="0"/>
        <w:pageBreakBefore w:val="0"/>
        <w:widowControl w:val="0"/>
        <w:kinsoku/>
        <w:wordWrap/>
        <w:overflowPunct/>
        <w:topLinePunct w:val="0"/>
        <w:bidi w:val="0"/>
        <w:spacing w:line="360" w:lineRule="auto"/>
        <w:ind w:firstLine="422"/>
        <w:textAlignment w:val="auto"/>
        <w:rPr>
          <w:rFonts w:hint="eastAsia" w:ascii="宋体" w:hAnsi="宋体" w:eastAsia="宋体" w:cs="宋体"/>
          <w:color w:val="auto"/>
          <w:sz w:val="22"/>
          <w:szCs w:val="22"/>
        </w:rPr>
      </w:pPr>
      <w:r>
        <w:rPr>
          <w:rFonts w:hint="eastAsia" w:ascii="宋体" w:hAnsi="宋体" w:eastAsia="宋体" w:cs="宋体"/>
          <w:b/>
          <w:bCs/>
          <w:color w:val="auto"/>
          <w:sz w:val="22"/>
          <w:szCs w:val="22"/>
        </w:rPr>
        <w:t>9</w:t>
      </w:r>
      <w:r>
        <w:rPr>
          <w:rFonts w:hint="eastAsia" w:ascii="宋体" w:hAnsi="宋体" w:eastAsia="宋体" w:cs="宋体"/>
          <w:color w:val="auto"/>
          <w:sz w:val="22"/>
          <w:szCs w:val="22"/>
        </w:rPr>
        <w:t>、事故报告及处理</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9.1乙方应建立事故、人身伤害和风险事件报告程序。</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9.2乙方应依照法律、法规和规定进行事故报告。</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9.3对于任何事故、人身伤害和风险事件，不论事故、人身伤害和风险事件大小、严重程度，乙方应立即电话报告给甲方（代表），</w:t>
      </w:r>
      <w:r>
        <w:rPr>
          <w:rFonts w:hint="eastAsia" w:ascii="宋体" w:hAnsi="宋体" w:eastAsia="宋体" w:cs="宋体"/>
          <w:color w:val="auto"/>
          <w:sz w:val="22"/>
          <w:szCs w:val="22"/>
          <w:lang w:val="en-US" w:eastAsia="zh-CN"/>
        </w:rPr>
        <w:t>8</w:t>
      </w:r>
      <w:r>
        <w:rPr>
          <w:rFonts w:hint="eastAsia" w:ascii="宋体" w:hAnsi="宋体" w:eastAsia="宋体" w:cs="宋体"/>
          <w:color w:val="auto"/>
          <w:sz w:val="22"/>
          <w:szCs w:val="22"/>
        </w:rPr>
        <w:t>小时内以书面形式通报给甲方监督（代表）。在事故、人身伤害和风险事件发生后，最多不超过</w:t>
      </w:r>
      <w:r>
        <w:rPr>
          <w:rFonts w:hint="eastAsia" w:ascii="宋体" w:hAnsi="宋体" w:eastAsia="宋体" w:cs="宋体"/>
          <w:color w:val="auto"/>
          <w:sz w:val="22"/>
          <w:szCs w:val="22"/>
          <w:lang w:val="en-US" w:eastAsia="zh-CN"/>
        </w:rPr>
        <w:t>7</w:t>
      </w:r>
      <w:r>
        <w:rPr>
          <w:rFonts w:hint="eastAsia" w:ascii="宋体" w:hAnsi="宋体" w:eastAsia="宋体" w:cs="宋体"/>
          <w:color w:val="auto"/>
          <w:sz w:val="22"/>
          <w:szCs w:val="22"/>
        </w:rPr>
        <w:t>天，乙方应提供一份更详细的综合报告。</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9.4乙方应积极配合甲方对事故、人身伤害和风险事件进行调查。</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9.5服务期间内，如发生各类交通事故，乙方应按交警部门的裁定承担法律责任和经济损失。</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（1）凡属乙方驾驶员个人原因造成事故，并对甲方财产造成损失的，乙方应负责赔偿；</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（2）凡属乙方驾驶员个人原因造成事故，并造成周边环境污染的，责任自负，并承担相应的处理费用；</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（3）服务期间内，驾驶员因个人事务自行驾车作业，所发生的一切车辆问题、安全事故，均由乙方负责；</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（4）服务期间内，因甲方冬季休息，车辆暂时停用，无论什么时间或什么原因，该车辆发生的任何损失、损坏、伤害、失踪，均由乙方负责；</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9.6未尽事宜应遵守国家法律法规、</w:t>
      </w:r>
      <w:r>
        <w:rPr>
          <w:rFonts w:hint="eastAsia" w:ascii="宋体" w:hAnsi="宋体" w:eastAsia="宋体" w:cs="宋体"/>
          <w:color w:val="auto"/>
          <w:sz w:val="22"/>
          <w:szCs w:val="22"/>
          <w:lang w:val="en-US" w:eastAsia="zh-CN"/>
        </w:rPr>
        <w:t>物流公司</w:t>
      </w:r>
      <w:r>
        <w:rPr>
          <w:rFonts w:hint="eastAsia" w:ascii="宋体" w:hAnsi="宋体" w:eastAsia="宋体" w:cs="宋体"/>
          <w:color w:val="auto"/>
          <w:sz w:val="22"/>
          <w:szCs w:val="22"/>
        </w:rPr>
        <w:t>HSE管理体系文件管理规定中的相关条款。</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违约责任</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按照“谁作业、谁负责”，“管生产，管安全”原则，乙方有义务严格遵照本附件的相关条款进行相应的作业和管理，并应对违反本附件规定，或由于自身原因（即乙方负事故或事件的全部/主要责任）引起的HSE事件或事故负责，除支付相关的赔偿外，应接支付如下违约金：</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1</w:t>
      </w:r>
      <w:r>
        <w:rPr>
          <w:rFonts w:hint="eastAsia" w:ascii="宋体" w:hAnsi="宋体" w:eastAsia="宋体" w:cs="宋体"/>
          <w:color w:val="auto"/>
          <w:sz w:val="22"/>
          <w:szCs w:val="22"/>
          <w:lang w:val="en-US" w:eastAsia="zh-CN"/>
        </w:rPr>
        <w:t>0</w:t>
      </w:r>
      <w:r>
        <w:rPr>
          <w:rFonts w:hint="eastAsia" w:ascii="宋体" w:hAnsi="宋体" w:eastAsia="宋体" w:cs="宋体"/>
          <w:color w:val="auto"/>
          <w:sz w:val="22"/>
          <w:szCs w:val="22"/>
        </w:rPr>
        <w:t>.1 人员伤害事件</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1）因乙方自身原因发生D类事故（指1至2人轻微伤，直接经济损失5000元以上10万元以下,伤害引起的损失工时不超过五个工作日），扣除合同款1000-3000元。</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2）因乙方自身原因发生C类事故（1 至2人轻伤 3人以上轻微伤，直接经济损失10万元元以上100万元以下。包括对甲方或第三方的人员的伤害，伤害引起的损失工时超过30个工作日），扣除合同款3000-5000元。</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3）因抢救伤员和调查处理等发生的直接费用，由责任方承担。</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1</w:t>
      </w:r>
      <w:r>
        <w:rPr>
          <w:rFonts w:hint="eastAsia" w:ascii="宋体" w:hAnsi="宋体" w:eastAsia="宋体" w:cs="宋体"/>
          <w:color w:val="auto"/>
          <w:sz w:val="22"/>
          <w:szCs w:val="22"/>
          <w:lang w:val="en-US" w:eastAsia="zh-CN"/>
        </w:rPr>
        <w:t>0</w:t>
      </w:r>
      <w:r>
        <w:rPr>
          <w:rFonts w:hint="eastAsia" w:ascii="宋体" w:hAnsi="宋体" w:eastAsia="宋体" w:cs="宋体"/>
          <w:color w:val="auto"/>
          <w:sz w:val="22"/>
          <w:szCs w:val="22"/>
        </w:rPr>
        <w:t>.2 环境污染事件</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1）出现环境污染事件造成现场、海洋、陆地污染，扣除合同款1000-3000元；如因之造成甲方被国家或地方执法部门罚款，应负责赔付全部罚款。</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因乙方自身原因发生重大隐患、险情、伤害或损失事故或上等级的环境污染事件以及有较严重社会影响的其它事件，在上述违约金的基础上再追加一倍的违约金。给甲方或第三方造成各种形式的损失、伤害或影响，除由乙方全部负责（包括恢复原状）外，在上述违约金的基础上追加三倍的违约金。</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1</w:t>
      </w:r>
      <w:r>
        <w:rPr>
          <w:rFonts w:hint="eastAsia" w:ascii="宋体" w:hAnsi="宋体" w:eastAsia="宋体" w:cs="宋体"/>
          <w:color w:val="auto"/>
          <w:sz w:val="22"/>
          <w:szCs w:val="22"/>
          <w:lang w:val="en-US" w:eastAsia="zh-CN"/>
        </w:rPr>
        <w:t>0</w:t>
      </w:r>
      <w:r>
        <w:rPr>
          <w:rFonts w:hint="eastAsia" w:ascii="宋体" w:hAnsi="宋体" w:eastAsia="宋体" w:cs="宋体"/>
          <w:color w:val="auto"/>
          <w:sz w:val="22"/>
          <w:szCs w:val="22"/>
        </w:rPr>
        <w:t>.3 设备事件</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造成甲方设备、器具停运、损伤、丢失等情况，并未对正常生产造成较大影响或未造成较大经济损失，乙方除负责恢复设备原状和/或赔偿甲方损失外，扣除合同款1000-3000元。</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1</w:t>
      </w:r>
      <w:r>
        <w:rPr>
          <w:rFonts w:hint="eastAsia" w:ascii="宋体" w:hAnsi="宋体" w:eastAsia="宋体" w:cs="宋体"/>
          <w:color w:val="auto"/>
          <w:sz w:val="22"/>
          <w:szCs w:val="22"/>
          <w:lang w:val="en-US" w:eastAsia="zh-CN"/>
        </w:rPr>
        <w:t>0</w:t>
      </w:r>
      <w:r>
        <w:rPr>
          <w:rFonts w:hint="eastAsia" w:ascii="宋体" w:hAnsi="宋体" w:eastAsia="宋体" w:cs="宋体"/>
          <w:color w:val="auto"/>
          <w:sz w:val="22"/>
          <w:szCs w:val="22"/>
        </w:rPr>
        <w:t>.4 质量事件</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因施工、作业或服务质量未达到合同要求，但尚未对甲方安全生产构成威胁，且能迅速弥补、整改，扣除合同款1000-3000元。</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1</w:t>
      </w:r>
      <w:r>
        <w:rPr>
          <w:rFonts w:hint="eastAsia" w:ascii="宋体" w:hAnsi="宋体" w:eastAsia="宋体" w:cs="宋体"/>
          <w:color w:val="auto"/>
          <w:sz w:val="22"/>
          <w:szCs w:val="22"/>
          <w:lang w:val="en-US" w:eastAsia="zh-CN"/>
        </w:rPr>
        <w:t>0</w:t>
      </w:r>
      <w:r>
        <w:rPr>
          <w:rFonts w:hint="eastAsia" w:ascii="宋体" w:hAnsi="宋体" w:eastAsia="宋体" w:cs="宋体"/>
          <w:color w:val="auto"/>
          <w:sz w:val="22"/>
          <w:szCs w:val="22"/>
        </w:rPr>
        <w:t>.5 火灾隐患、险情</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存在火灾隐患，经整改隐患依然存在，扣除合同款1000-3000元；拒绝整改的，甲方将采取勒令其停工现场整顿等必要的措施。</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1</w:t>
      </w:r>
      <w:r>
        <w:rPr>
          <w:rFonts w:hint="eastAsia" w:ascii="宋体" w:hAnsi="宋体" w:eastAsia="宋体" w:cs="宋体"/>
          <w:color w:val="auto"/>
          <w:sz w:val="22"/>
          <w:szCs w:val="22"/>
          <w:lang w:val="en-US" w:eastAsia="zh-CN"/>
        </w:rPr>
        <w:t>0</w:t>
      </w:r>
      <w:r>
        <w:rPr>
          <w:rFonts w:hint="eastAsia" w:ascii="宋体" w:hAnsi="宋体" w:eastAsia="宋体" w:cs="宋体"/>
          <w:color w:val="auto"/>
          <w:sz w:val="22"/>
          <w:szCs w:val="22"/>
        </w:rPr>
        <w:t>.6 违章违纪事件和不符合行为</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1）未造成任何损失的违章违纪事件或不符合行为出现一次将提出警告。同一当事人第二次，扣除合同款1000元。同一当事人第三次，当事人不允许再承担本项目工程的任何工作，扣除合同款3000元。</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2）乙方的HSE管理工作如不能满足本附件要求，并且未按照甲方要求进行整改，或者不能在合理的时间及时回复甲方的书面要求，每发生一次，甲方均可根据不符合情况扣除合同款500-3000元。</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1</w:t>
      </w:r>
      <w:r>
        <w:rPr>
          <w:rFonts w:hint="eastAsia" w:ascii="宋体" w:hAnsi="宋体" w:eastAsia="宋体" w:cs="宋体"/>
          <w:color w:val="auto"/>
          <w:sz w:val="22"/>
          <w:szCs w:val="22"/>
          <w:lang w:val="en-US" w:eastAsia="zh-CN"/>
        </w:rPr>
        <w:t>0</w:t>
      </w:r>
      <w:r>
        <w:rPr>
          <w:rFonts w:hint="eastAsia" w:ascii="宋体" w:hAnsi="宋体" w:eastAsia="宋体" w:cs="宋体"/>
          <w:color w:val="auto"/>
          <w:sz w:val="22"/>
          <w:szCs w:val="22"/>
        </w:rPr>
        <w:t>.7 隐瞒不报行为</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乙方发生上述事件或事故隐瞒不报者，一经发现，在上述违约金的基础上追加一倍的违约金。</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1</w:t>
      </w:r>
      <w:r>
        <w:rPr>
          <w:rFonts w:hint="eastAsia" w:ascii="宋体" w:hAnsi="宋体" w:eastAsia="宋体" w:cs="宋体"/>
          <w:color w:val="auto"/>
          <w:sz w:val="22"/>
          <w:szCs w:val="22"/>
          <w:lang w:val="en-US" w:eastAsia="zh-CN"/>
        </w:rPr>
        <w:t>0</w:t>
      </w:r>
      <w:r>
        <w:rPr>
          <w:rFonts w:hint="eastAsia" w:ascii="宋体" w:hAnsi="宋体" w:eastAsia="宋体" w:cs="宋体"/>
          <w:color w:val="auto"/>
          <w:sz w:val="22"/>
          <w:szCs w:val="22"/>
        </w:rPr>
        <w:t>.8文明安全行为中的过失行为</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1</w:t>
      </w:r>
      <w:r>
        <w:rPr>
          <w:rFonts w:hint="eastAsia" w:ascii="宋体" w:hAnsi="宋体" w:eastAsia="宋体" w:cs="宋体"/>
          <w:color w:val="auto"/>
          <w:sz w:val="22"/>
          <w:szCs w:val="22"/>
          <w:lang w:val="en-US" w:eastAsia="zh-CN"/>
        </w:rPr>
        <w:t>0</w:t>
      </w:r>
      <w:r>
        <w:rPr>
          <w:rFonts w:hint="eastAsia" w:ascii="宋体" w:hAnsi="宋体" w:eastAsia="宋体" w:cs="宋体"/>
          <w:color w:val="auto"/>
          <w:sz w:val="22"/>
          <w:szCs w:val="22"/>
        </w:rPr>
        <w:t>.8.1甲方应对乙方的轻度过失行为人进行批评教育。轻度过失行为主要包括以下行为：</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1）上班时间穿</w:t>
      </w:r>
      <w:r>
        <w:rPr>
          <w:rFonts w:hint="eastAsia" w:ascii="宋体" w:hAnsi="宋体" w:eastAsia="宋体" w:cs="宋体"/>
          <w:color w:val="auto"/>
          <w:sz w:val="22"/>
          <w:szCs w:val="22"/>
          <w:lang w:val="en-US" w:eastAsia="zh-CN"/>
        </w:rPr>
        <w:t>背心、拖鞋</w:t>
      </w:r>
      <w:r>
        <w:rPr>
          <w:rFonts w:hint="eastAsia" w:ascii="宋体" w:hAnsi="宋体" w:eastAsia="宋体" w:cs="宋体"/>
          <w:color w:val="auto"/>
          <w:sz w:val="22"/>
          <w:szCs w:val="22"/>
        </w:rPr>
        <w:t>；</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2</w:t>
      </w:r>
      <w:r>
        <w:rPr>
          <w:rFonts w:hint="eastAsia" w:ascii="宋体" w:hAnsi="宋体" w:eastAsia="宋体" w:cs="宋体"/>
          <w:color w:val="auto"/>
          <w:sz w:val="22"/>
          <w:szCs w:val="22"/>
        </w:rPr>
        <w:t>）工作时间不专心工作、聊天或办私事；</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3</w:t>
      </w:r>
      <w:r>
        <w:rPr>
          <w:rFonts w:hint="eastAsia" w:ascii="宋体" w:hAnsi="宋体" w:eastAsia="宋体" w:cs="宋体"/>
          <w:color w:val="auto"/>
          <w:sz w:val="22"/>
          <w:szCs w:val="22"/>
        </w:rPr>
        <w:t xml:space="preserve">）防爆区佩戴手机等非防爆设备； </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4</w:t>
      </w:r>
      <w:r>
        <w:rPr>
          <w:rFonts w:hint="eastAsia" w:ascii="宋体" w:hAnsi="宋体" w:eastAsia="宋体" w:cs="宋体"/>
          <w:color w:val="auto"/>
          <w:sz w:val="22"/>
          <w:szCs w:val="22"/>
        </w:rPr>
        <w:t>）下班后继续在作业区逗留，并打扰其他正常上班员工；</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5</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工作</w:t>
      </w:r>
      <w:r>
        <w:rPr>
          <w:rFonts w:hint="eastAsia" w:ascii="宋体" w:hAnsi="宋体" w:eastAsia="宋体" w:cs="宋体"/>
          <w:color w:val="auto"/>
          <w:sz w:val="22"/>
          <w:szCs w:val="22"/>
        </w:rPr>
        <w:t>时高声喧哗，发出怪叫或吹口哨；</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6</w:t>
      </w:r>
      <w:r>
        <w:rPr>
          <w:rFonts w:hint="eastAsia" w:ascii="宋体" w:hAnsi="宋体" w:eastAsia="宋体" w:cs="宋体"/>
          <w:color w:val="auto"/>
          <w:sz w:val="22"/>
          <w:szCs w:val="22"/>
        </w:rPr>
        <w:t>）随地吐痰，乱扔纸屑饮水瓶等杂物；</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7</w:t>
      </w:r>
      <w:r>
        <w:rPr>
          <w:rFonts w:hint="eastAsia" w:ascii="宋体" w:hAnsi="宋体" w:eastAsia="宋体" w:cs="宋体"/>
          <w:color w:val="auto"/>
          <w:sz w:val="22"/>
          <w:szCs w:val="22"/>
        </w:rPr>
        <w:t>）不遵守出入保安条例；</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8</w:t>
      </w:r>
      <w:r>
        <w:rPr>
          <w:rFonts w:hint="eastAsia" w:ascii="宋体" w:hAnsi="宋体" w:eastAsia="宋体" w:cs="宋体"/>
          <w:color w:val="auto"/>
          <w:sz w:val="22"/>
          <w:szCs w:val="22"/>
        </w:rPr>
        <w:t>）违反常规，随地大小便。</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1</w:t>
      </w:r>
      <w:r>
        <w:rPr>
          <w:rFonts w:hint="eastAsia" w:ascii="宋体" w:hAnsi="宋体" w:eastAsia="宋体" w:cs="宋体"/>
          <w:color w:val="auto"/>
          <w:sz w:val="22"/>
          <w:szCs w:val="22"/>
          <w:lang w:val="en-US" w:eastAsia="zh-CN"/>
        </w:rPr>
        <w:t>0</w:t>
      </w:r>
      <w:r>
        <w:rPr>
          <w:rFonts w:hint="eastAsia" w:ascii="宋体" w:hAnsi="宋体" w:eastAsia="宋体" w:cs="宋体"/>
          <w:color w:val="auto"/>
          <w:sz w:val="22"/>
          <w:szCs w:val="22"/>
        </w:rPr>
        <w:t>.8.2对乙方的较重过失行为，扣除合同款200-1000元。限期改正并要求行为人填写过失单。较重过失行为主要包括以下行为：</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1）工作时间</w:t>
      </w:r>
      <w:r>
        <w:rPr>
          <w:rFonts w:hint="eastAsia" w:ascii="宋体" w:hAnsi="宋体" w:eastAsia="宋体" w:cs="宋体"/>
          <w:color w:val="auto"/>
          <w:sz w:val="22"/>
          <w:szCs w:val="22"/>
          <w:lang w:val="en-US" w:eastAsia="zh-CN"/>
        </w:rPr>
        <w:t>犯困</w:t>
      </w:r>
      <w:r>
        <w:rPr>
          <w:rFonts w:hint="eastAsia" w:ascii="宋体" w:hAnsi="宋体" w:eastAsia="宋体" w:cs="宋体"/>
          <w:color w:val="auto"/>
          <w:sz w:val="22"/>
          <w:szCs w:val="22"/>
        </w:rPr>
        <w:t>；</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2）擅离工作岗位，经常迟到；</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3）对合作人员不礼貌，谩骂吵架；</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4）主动参与或变相赌博活动；</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5）未经许可私入库房等物资存储区；</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6）搬弄是非，诽谤他人，影响团结和集体声誉；</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7）未立即上缴别人遗留物品或拣到的物品；</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8）不经相关领导允许带亲戚朋友到作业区；</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9）工作时间擅离工作岗位，做其他与工作不相关的事情；</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10）未经批准回宿舍休息；</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11）伪造文件或记录等。</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1</w:t>
      </w:r>
      <w:r>
        <w:rPr>
          <w:rFonts w:hint="eastAsia" w:ascii="宋体" w:hAnsi="宋体" w:eastAsia="宋体" w:cs="宋体"/>
          <w:color w:val="auto"/>
          <w:sz w:val="22"/>
          <w:szCs w:val="22"/>
          <w:lang w:val="en-US" w:eastAsia="zh-CN"/>
        </w:rPr>
        <w:t>0</w:t>
      </w:r>
      <w:r>
        <w:rPr>
          <w:rFonts w:hint="eastAsia" w:ascii="宋体" w:hAnsi="宋体" w:eastAsia="宋体" w:cs="宋体"/>
          <w:color w:val="auto"/>
          <w:sz w:val="22"/>
          <w:szCs w:val="22"/>
        </w:rPr>
        <w:t>.8.3对乙方的严重过失行为，扣除合同款1000-3000元。限期改正并要求行为人填写过失单.情节严重者，行为人不得在我公司的项目继续工作。严重过失行为主要包括以下行为：</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1）工作时间醉酒；</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2）贪污、盗窃、受贿、行贿；</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3）故意损坏公物或工友用品；</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4）打架斗殴；</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5）违反工作规章制度，批评后仍不改正；</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6）无故旷工；</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7）违反国家法律法规等。</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b/>
          <w:bCs/>
          <w:color w:val="auto"/>
          <w:sz w:val="22"/>
          <w:szCs w:val="22"/>
          <w:lang w:val="en-US" w:eastAsia="zh-CN"/>
        </w:rPr>
        <w:t>11、</w:t>
      </w:r>
      <w:r>
        <w:rPr>
          <w:rFonts w:hint="eastAsia" w:ascii="宋体" w:hAnsi="宋体" w:eastAsia="宋体" w:cs="宋体"/>
          <w:color w:val="auto"/>
          <w:sz w:val="22"/>
          <w:szCs w:val="22"/>
        </w:rPr>
        <w:t>争议的解决</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10.1本协议在履行中如发生争议，争议的解决执行合同的相关规定。</w:t>
      </w:r>
    </w:p>
    <w:p>
      <w:pPr>
        <w:pStyle w:val="55"/>
        <w:keepNext w:val="0"/>
        <w:keepLines w:val="0"/>
        <w:pageBreakBefore w:val="0"/>
        <w:widowControl w:val="0"/>
        <w:kinsoku/>
        <w:wordWrap/>
        <w:overflowPunct/>
        <w:topLinePunct w:val="0"/>
        <w:bidi w:val="0"/>
        <w:spacing w:line="360" w:lineRule="auto"/>
        <w:ind w:firstLine="422"/>
        <w:textAlignment w:val="auto"/>
        <w:rPr>
          <w:rFonts w:hint="eastAsia" w:ascii="宋体" w:hAnsi="宋体" w:eastAsia="宋体" w:cs="宋体"/>
          <w:color w:val="auto"/>
          <w:sz w:val="22"/>
          <w:szCs w:val="22"/>
        </w:rPr>
      </w:pPr>
      <w:r>
        <w:rPr>
          <w:rFonts w:hint="eastAsia" w:ascii="宋体" w:hAnsi="宋体" w:eastAsia="宋体" w:cs="宋体"/>
          <w:b/>
          <w:bCs/>
          <w:color w:val="auto"/>
          <w:sz w:val="22"/>
          <w:szCs w:val="22"/>
        </w:rPr>
        <w:t>1</w:t>
      </w:r>
      <w:r>
        <w:rPr>
          <w:rFonts w:hint="eastAsia" w:ascii="宋体" w:hAnsi="宋体" w:eastAsia="宋体" w:cs="宋体"/>
          <w:b/>
          <w:bCs/>
          <w:color w:val="auto"/>
          <w:sz w:val="22"/>
          <w:szCs w:val="22"/>
          <w:lang w:val="en-US" w:eastAsia="zh-CN"/>
        </w:rPr>
        <w:t>2</w:t>
      </w:r>
      <w:r>
        <w:rPr>
          <w:rFonts w:hint="eastAsia" w:ascii="宋体" w:hAnsi="宋体" w:eastAsia="宋体" w:cs="宋体"/>
          <w:color w:val="auto"/>
          <w:sz w:val="22"/>
          <w:szCs w:val="22"/>
        </w:rPr>
        <w:t>、其它</w:t>
      </w:r>
    </w:p>
    <w:p>
      <w:pPr>
        <w:pStyle w:val="55"/>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11.1 本协议与合同冲突之处，以合同文本为准。</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11.2 本协议的最终解释权归甲方所有。</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rPr>
      </w:pP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rPr>
      </w:pP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rPr>
      </w:pP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rPr>
      </w:pPr>
    </w:p>
    <w:p>
      <w:pPr>
        <w:pStyle w:val="2"/>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color w:val="auto"/>
          <w:sz w:val="22"/>
          <w:szCs w:val="22"/>
          <w:lang w:val="en-US" w:eastAsia="zh-CN"/>
        </w:rPr>
      </w:pPr>
      <w:bookmarkStart w:id="14" w:name="_Toc31739"/>
      <w:bookmarkStart w:id="15" w:name="_Toc16491"/>
      <w:bookmarkStart w:id="16" w:name="_Toc18996"/>
      <w:r>
        <w:rPr>
          <w:rFonts w:hint="eastAsia" w:ascii="宋体" w:hAnsi="宋体" w:eastAsia="宋体" w:cs="宋体"/>
          <w:color w:val="auto"/>
          <w:sz w:val="22"/>
          <w:szCs w:val="22"/>
          <w:lang w:val="en-US" w:eastAsia="zh-CN"/>
        </w:rPr>
        <w:t>附件二 供应商QHSE资格预审调查问卷</w:t>
      </w:r>
      <w:bookmarkEnd w:id="14"/>
      <w:bookmarkEnd w:id="15"/>
      <w:bookmarkEnd w:id="16"/>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p>
      <w:pPr>
        <w:pStyle w:val="2"/>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供应商QHSE资格预审调查问卷</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                                                               年   月    日</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3322"/>
        <w:gridCol w:w="850"/>
        <w:gridCol w:w="135"/>
        <w:gridCol w:w="856"/>
        <w:gridCol w:w="856"/>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5" w:type="dxa"/>
            <w:vMerge w:val="restart"/>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需求单位</w:t>
            </w:r>
          </w:p>
        </w:tc>
        <w:tc>
          <w:tcPr>
            <w:tcW w:w="4694" w:type="dxa"/>
            <w:gridSpan w:val="2"/>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单位名称：</w:t>
            </w:r>
          </w:p>
        </w:tc>
        <w:tc>
          <w:tcPr>
            <w:tcW w:w="2787" w:type="dxa"/>
            <w:gridSpan w:val="4"/>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Merge w:val="continue"/>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3708" w:type="dxa"/>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联系电话：</w:t>
            </w:r>
          </w:p>
        </w:tc>
        <w:tc>
          <w:tcPr>
            <w:tcW w:w="3773" w:type="dxa"/>
            <w:gridSpan w:val="5"/>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Merge w:val="restart"/>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供应商</w:t>
            </w:r>
          </w:p>
        </w:tc>
        <w:tc>
          <w:tcPr>
            <w:tcW w:w="4694" w:type="dxa"/>
            <w:gridSpan w:val="2"/>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单位名称：</w:t>
            </w:r>
          </w:p>
        </w:tc>
        <w:tc>
          <w:tcPr>
            <w:tcW w:w="2787" w:type="dxa"/>
            <w:gridSpan w:val="4"/>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Merge w:val="continue"/>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3708" w:type="dxa"/>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联系电话：</w:t>
            </w:r>
          </w:p>
        </w:tc>
        <w:tc>
          <w:tcPr>
            <w:tcW w:w="3773" w:type="dxa"/>
            <w:gridSpan w:val="5"/>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15" w:type="dxa"/>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序号</w:t>
            </w:r>
          </w:p>
        </w:tc>
        <w:tc>
          <w:tcPr>
            <w:tcW w:w="4850" w:type="dxa"/>
            <w:gridSpan w:val="3"/>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问  题</w:t>
            </w:r>
          </w:p>
        </w:tc>
        <w:tc>
          <w:tcPr>
            <w:tcW w:w="389" w:type="dxa"/>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有</w:t>
            </w:r>
          </w:p>
        </w:tc>
        <w:tc>
          <w:tcPr>
            <w:tcW w:w="462" w:type="dxa"/>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无</w:t>
            </w:r>
          </w:p>
        </w:tc>
        <w:tc>
          <w:tcPr>
            <w:tcW w:w="1780" w:type="dxa"/>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w:t>
            </w:r>
          </w:p>
        </w:tc>
        <w:tc>
          <w:tcPr>
            <w:tcW w:w="4850" w:type="dxa"/>
            <w:gridSpan w:val="3"/>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供应商QHSE体系（包括承诺、方针、政策、目标等）和管理机构设置等；</w:t>
            </w:r>
          </w:p>
        </w:tc>
        <w:tc>
          <w:tcPr>
            <w:tcW w:w="389"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462"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1780"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w:t>
            </w:r>
          </w:p>
        </w:tc>
        <w:tc>
          <w:tcPr>
            <w:tcW w:w="4850" w:type="dxa"/>
            <w:gridSpan w:val="3"/>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全员安全生产责任制、供应商相关资质、关键人员（供应商主要负责人、分管安全生产领导、项目负责人、安全管理人员、特种作业人员）资质、人员安全培训、使用的QHSE标准和对分包商的管理要求等；</w:t>
            </w:r>
          </w:p>
        </w:tc>
        <w:tc>
          <w:tcPr>
            <w:tcW w:w="389"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462"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1780"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w:t>
            </w:r>
          </w:p>
        </w:tc>
        <w:tc>
          <w:tcPr>
            <w:tcW w:w="4850" w:type="dxa"/>
            <w:gridSpan w:val="3"/>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风险评价和危害辨识情况，职业病、危险品使用、个人防护、环境保护等方面的管理要求；</w:t>
            </w:r>
          </w:p>
        </w:tc>
        <w:tc>
          <w:tcPr>
            <w:tcW w:w="389"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462"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1780"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w:t>
            </w:r>
          </w:p>
        </w:tc>
        <w:tc>
          <w:tcPr>
            <w:tcW w:w="4850" w:type="dxa"/>
            <w:gridSpan w:val="3"/>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建立人员操作和设备维护手册、作业指导书等情况；</w:t>
            </w:r>
          </w:p>
        </w:tc>
        <w:tc>
          <w:tcPr>
            <w:tcW w:w="389"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462"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1780"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w:t>
            </w:r>
          </w:p>
        </w:tc>
        <w:tc>
          <w:tcPr>
            <w:tcW w:w="4850" w:type="dxa"/>
            <w:gridSpan w:val="3"/>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运行控制和绩效考核的内容、标准、激励机制、绩效记录情况；</w:t>
            </w:r>
          </w:p>
        </w:tc>
        <w:tc>
          <w:tcPr>
            <w:tcW w:w="389"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462"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1780"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w:t>
            </w:r>
          </w:p>
        </w:tc>
        <w:tc>
          <w:tcPr>
            <w:tcW w:w="4850" w:type="dxa"/>
            <w:gridSpan w:val="3"/>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事故和事件的调查处理情况，QHSE方面受到的处罚和奖励情况（包括但不限于政府、甲方及相关方）；</w:t>
            </w:r>
          </w:p>
        </w:tc>
        <w:tc>
          <w:tcPr>
            <w:tcW w:w="389"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462"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1780"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7</w:t>
            </w:r>
          </w:p>
        </w:tc>
        <w:tc>
          <w:tcPr>
            <w:tcW w:w="4850" w:type="dxa"/>
            <w:gridSpan w:val="3"/>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QHSE审核和检查的标准、内容、时限、方式和整改情况等；</w:t>
            </w:r>
          </w:p>
        </w:tc>
        <w:tc>
          <w:tcPr>
            <w:tcW w:w="389"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462"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1780"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15" w:type="dxa"/>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w:t>
            </w:r>
          </w:p>
        </w:tc>
        <w:tc>
          <w:tcPr>
            <w:tcW w:w="4850" w:type="dxa"/>
            <w:gridSpan w:val="3"/>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应急预案及应急演练；</w:t>
            </w:r>
          </w:p>
        </w:tc>
        <w:tc>
          <w:tcPr>
            <w:tcW w:w="389"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462"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1780"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15" w:type="dxa"/>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w:t>
            </w:r>
          </w:p>
        </w:tc>
        <w:tc>
          <w:tcPr>
            <w:tcW w:w="4850" w:type="dxa"/>
            <w:gridSpan w:val="3"/>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关键设备的控制；</w:t>
            </w:r>
          </w:p>
        </w:tc>
        <w:tc>
          <w:tcPr>
            <w:tcW w:w="389"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462"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1780"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15" w:type="dxa"/>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10</w:t>
            </w:r>
          </w:p>
        </w:tc>
        <w:tc>
          <w:tcPr>
            <w:tcW w:w="4850" w:type="dxa"/>
            <w:gridSpan w:val="3"/>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安全生产费用投入情况；</w:t>
            </w:r>
          </w:p>
        </w:tc>
        <w:tc>
          <w:tcPr>
            <w:tcW w:w="389"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462"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1780"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15" w:type="dxa"/>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11</w:t>
            </w:r>
          </w:p>
        </w:tc>
        <w:tc>
          <w:tcPr>
            <w:tcW w:w="4850" w:type="dxa"/>
            <w:gridSpan w:val="3"/>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近三个同类合同的绩效评价（含QHSE内容）；</w:t>
            </w:r>
          </w:p>
        </w:tc>
        <w:tc>
          <w:tcPr>
            <w:tcW w:w="389"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462"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1780"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15" w:type="dxa"/>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12</w:t>
            </w:r>
          </w:p>
        </w:tc>
        <w:tc>
          <w:tcPr>
            <w:tcW w:w="4850" w:type="dxa"/>
            <w:gridSpan w:val="3"/>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其他应说明的QHSE事项。</w:t>
            </w:r>
          </w:p>
        </w:tc>
        <w:tc>
          <w:tcPr>
            <w:tcW w:w="389"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462"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1780" w:type="dxa"/>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r>
    </w:tbl>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注：如果供应商未对以上问题给出合适的答复，将可能影响对您单位的预审结果。因此建议供应商对所有问题提供尽可能详细的信息，以便我们对供应商的QHSE管理过程有一个全面合理的评估。</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bookmarkStart w:id="17" w:name="_Toc17649"/>
      <w:bookmarkStart w:id="18" w:name="_Toc20931"/>
      <w:bookmarkStart w:id="19" w:name="_Toc27021"/>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附件三 供应商QHSE管理计划主要内容</w:t>
      </w:r>
      <w:bookmarkEnd w:id="17"/>
      <w:bookmarkEnd w:id="18"/>
      <w:bookmarkEnd w:id="19"/>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p>
      <w:pPr>
        <w:pStyle w:val="2"/>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供应商QHSE管理计划主要内容</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乙方管理层的QHSE承诺、政策及目标；</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乙方全员安全生产责任制、各级QHSE管理人员的设置及职责、分包商管理规定、与相关方的沟通渠道、QHSE培训程序、资源配备、文件控制、QHSE法律法规及标准等；</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乙方危险辨识及控制程序、危险品及危险作业控制程序、个人防护用品的配备使用及培训规定等；</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乙方各种操作程序、工作许可程序、应急响应程序、设备的QHSE检查程序、职业健康及环境保护程序、安全运输程序等；</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乙方QHSE运行控制的方法、供应商内部激励机制、QHSE绩效信息的收集分析及反馈、事故的报告处理及统计等；</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乙方对项目的QHSE管理、人员的QHSE行为、分包商管理、职业健康及环境保护、培训等内容审核及检查的计划；</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g）其他工作要求。</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bookmarkStart w:id="20" w:name="_Toc27684"/>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附件四 供应商QHSE监督检查主要内容</w:t>
      </w:r>
      <w:bookmarkEnd w:id="20"/>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p>
      <w:pPr>
        <w:pStyle w:val="2"/>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QHSE监督检查主要内容</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bCs/>
          <w:color w:val="auto"/>
          <w:sz w:val="22"/>
          <w:szCs w:val="22"/>
          <w:lang w:val="en-US" w:eastAsia="zh-CN"/>
        </w:rPr>
      </w:pP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a)</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供应商履行QHSE承诺和全员安全生产责任制执行情况；</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b)</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合同中QHSE条款及各项QHSE制度规定执行情况，施工作业方案落实情况；</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c)</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对使用的设施设备状况、人员行为等有效的监督检查；</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d)</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供应商定期召开QHSE会议，总结及部署QHSE工作；</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e)</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依照QHSE管理计划的要求完成培训内容；</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f)</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供应商保持应急计划的有效性，按计划举行或参加演习；</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g)</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依照QHSE管理计划要求报告事故及未遂事件、组织调查及落实整改；</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h)</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《中国海油供应商文明安全行为指南》要求落实情况；</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i)</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需要的其他检查内容。</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bookmarkStart w:id="21" w:name="_Toc16704"/>
      <w:bookmarkStart w:id="22" w:name="_Toc28064"/>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bookmarkEnd w:id="21"/>
    <w:bookmarkEnd w:id="22"/>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 </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bookmarkStart w:id="23" w:name="_Toc26117"/>
    </w:p>
    <w:p>
      <w:pPr>
        <w:pStyle w:val="2"/>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2"/>
          <w:szCs w:val="22"/>
          <w:lang w:val="en-US" w:eastAsia="zh-CN"/>
        </w:rPr>
      </w:pPr>
    </w:p>
    <w:p>
      <w:pPr>
        <w:pStyle w:val="2"/>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2"/>
          <w:szCs w:val="22"/>
          <w:lang w:val="en-US" w:eastAsia="zh-CN"/>
        </w:rPr>
      </w:pPr>
    </w:p>
    <w:p>
      <w:pPr>
        <w:pStyle w:val="2"/>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附件五 HSE绩效评价表</w:t>
      </w:r>
      <w:bookmarkEnd w:id="23"/>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p>
      <w:pPr>
        <w:pStyle w:val="2"/>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HSE绩效评价表</w:t>
      </w:r>
    </w:p>
    <w:p>
      <w:pPr>
        <w:pStyle w:val="2"/>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color w:val="auto"/>
          <w:sz w:val="22"/>
          <w:szCs w:val="22"/>
          <w:lang w:val="en-US" w:eastAsia="zh-CN"/>
        </w:rPr>
      </w:pP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乙方服务项目名称：                     </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                  </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乙方公司名称：                        乙方公司负责人：          </w:t>
      </w:r>
    </w:p>
    <w:tbl>
      <w:tblPr>
        <w:tblStyle w:val="23"/>
        <w:tblW w:w="8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9"/>
        <w:gridCol w:w="3528"/>
        <w:gridCol w:w="1490"/>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6" w:type="dxa"/>
            <w:gridSpan w:val="4"/>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HSE绩效评分表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评分项目</w:t>
            </w:r>
          </w:p>
        </w:tc>
        <w:tc>
          <w:tcPr>
            <w:tcW w:w="3528"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评分标准</w:t>
            </w:r>
          </w:p>
        </w:tc>
        <w:tc>
          <w:tcPr>
            <w:tcW w:w="1490"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评分</w:t>
            </w:r>
          </w:p>
        </w:tc>
        <w:tc>
          <w:tcPr>
            <w:tcW w:w="1049"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结果</w:t>
            </w:r>
          </w:p>
          <w:p>
            <w:pPr>
              <w:pStyle w:val="2"/>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Merge w:val="restart"/>
            <w:tcBorders>
              <w:top w:val="nil"/>
              <w:left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事故事件（100分）</w:t>
            </w:r>
          </w:p>
        </w:tc>
        <w:tc>
          <w:tcPr>
            <w:tcW w:w="3528"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100分：未发生任何事故、事件</w:t>
            </w:r>
          </w:p>
        </w:tc>
        <w:tc>
          <w:tcPr>
            <w:tcW w:w="1490" w:type="dxa"/>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1049" w:type="dxa"/>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Merge w:val="continue"/>
            <w:tcBorders>
              <w:left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3528"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30分：发生B类事故、事件</w:t>
            </w:r>
          </w:p>
        </w:tc>
        <w:tc>
          <w:tcPr>
            <w:tcW w:w="1490" w:type="dxa"/>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1049" w:type="dxa"/>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Merge w:val="continue"/>
            <w:tcBorders>
              <w:left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3528"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20分：发生C类事故、事件</w:t>
            </w:r>
          </w:p>
        </w:tc>
        <w:tc>
          <w:tcPr>
            <w:tcW w:w="1490" w:type="dxa"/>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1049" w:type="dxa"/>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Merge w:val="continue"/>
            <w:tcBorders>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3528"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10分：发生D类事故、事件</w:t>
            </w:r>
          </w:p>
        </w:tc>
        <w:tc>
          <w:tcPr>
            <w:tcW w:w="1490" w:type="dxa"/>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1049" w:type="dxa"/>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7" w:type="dxa"/>
            <w:gridSpan w:val="2"/>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合计：</w:t>
            </w:r>
          </w:p>
        </w:tc>
        <w:tc>
          <w:tcPr>
            <w:tcW w:w="2539" w:type="dxa"/>
            <w:gridSpan w:val="2"/>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r>
    </w:tbl>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 </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4"/>
        <w:gridCol w:w="2040"/>
        <w:gridCol w:w="132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HSE绩效结算表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4"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考核项目</w:t>
            </w:r>
          </w:p>
        </w:tc>
        <w:tc>
          <w:tcPr>
            <w:tcW w:w="1196"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扣合同总金额比例</w:t>
            </w:r>
          </w:p>
        </w:tc>
        <w:tc>
          <w:tcPr>
            <w:tcW w:w="777"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扣除</w:t>
            </w:r>
          </w:p>
        </w:tc>
        <w:tc>
          <w:tcPr>
            <w:tcW w:w="1250"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结果说明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4"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未发生任何事故、事件</w:t>
            </w:r>
          </w:p>
        </w:tc>
        <w:tc>
          <w:tcPr>
            <w:tcW w:w="1196"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w:t>
            </w:r>
          </w:p>
        </w:tc>
        <w:tc>
          <w:tcPr>
            <w:tcW w:w="777" w:type="pct"/>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1250" w:type="pct"/>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4"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发生D类事故、事件</w:t>
            </w:r>
          </w:p>
        </w:tc>
        <w:tc>
          <w:tcPr>
            <w:tcW w:w="1196"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w:t>
            </w:r>
          </w:p>
        </w:tc>
        <w:tc>
          <w:tcPr>
            <w:tcW w:w="777" w:type="pct"/>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1250" w:type="pct"/>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4"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发生C类事故、事件</w:t>
            </w:r>
          </w:p>
        </w:tc>
        <w:tc>
          <w:tcPr>
            <w:tcW w:w="1196"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10%</w:t>
            </w:r>
          </w:p>
        </w:tc>
        <w:tc>
          <w:tcPr>
            <w:tcW w:w="777" w:type="pct"/>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1250" w:type="pct"/>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4"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因乙方原因造成公司受到国家或地方执法部门处罚</w:t>
            </w:r>
          </w:p>
        </w:tc>
        <w:tc>
          <w:tcPr>
            <w:tcW w:w="1196"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20%并承担罚款，如处罚导致合同无法执行，扣除100%并解除合同</w:t>
            </w:r>
          </w:p>
        </w:tc>
        <w:tc>
          <w:tcPr>
            <w:tcW w:w="777" w:type="pct"/>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1250" w:type="pct"/>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4"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发生A/B/级事故事件</w:t>
            </w:r>
          </w:p>
        </w:tc>
        <w:tc>
          <w:tcPr>
            <w:tcW w:w="1196"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100%并解除合同</w:t>
            </w:r>
          </w:p>
        </w:tc>
        <w:tc>
          <w:tcPr>
            <w:tcW w:w="777" w:type="pct"/>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1250" w:type="pct"/>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1" w:type="pct"/>
            <w:gridSpan w:val="2"/>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合计：</w:t>
            </w:r>
          </w:p>
        </w:tc>
        <w:tc>
          <w:tcPr>
            <w:tcW w:w="777" w:type="pct"/>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c>
          <w:tcPr>
            <w:tcW w:w="1250" w:type="pct"/>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乙方改进建议：</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合同执行单位负责人（签字）：</w:t>
            </w:r>
          </w:p>
        </w:tc>
      </w:tr>
    </w:tbl>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 </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注：                          事故分级</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2"/>
        <w:gridCol w:w="3197"/>
        <w:gridCol w:w="3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事故等级</w:t>
            </w:r>
          </w:p>
        </w:tc>
        <w:tc>
          <w:tcPr>
            <w:tcW w:w="1876"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人员伤亡</w:t>
            </w:r>
          </w:p>
        </w:tc>
        <w:tc>
          <w:tcPr>
            <w:tcW w:w="2035"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财产损失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A</w:t>
            </w:r>
          </w:p>
        </w:tc>
        <w:tc>
          <w:tcPr>
            <w:tcW w:w="1876"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1人以上死亡 </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3人以上重伤</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10 人以上轻</w:t>
            </w:r>
          </w:p>
        </w:tc>
        <w:tc>
          <w:tcPr>
            <w:tcW w:w="2035"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直接经济损失300万元以上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087"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B</w:t>
            </w:r>
          </w:p>
        </w:tc>
        <w:tc>
          <w:tcPr>
            <w:tcW w:w="1876"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1至2人重伤</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3至9人轻伤 </w:t>
            </w:r>
          </w:p>
        </w:tc>
        <w:tc>
          <w:tcPr>
            <w:tcW w:w="2035"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发生有影响的着火爆炸，或者直接经济损失100万元以上300万元以下直接经济损失的事故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087"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C</w:t>
            </w:r>
          </w:p>
        </w:tc>
        <w:tc>
          <w:tcPr>
            <w:tcW w:w="1876"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1 至2人轻伤 </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3人以上轻微伤</w:t>
            </w:r>
          </w:p>
        </w:tc>
        <w:tc>
          <w:tcPr>
            <w:tcW w:w="2035"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直接经济损失10万元元以上100万元以下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087" w:type="pct"/>
            <w:tcBorders>
              <w:top w:val="single" w:color="auto" w:sz="4" w:space="0"/>
              <w:left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D</w:t>
            </w:r>
          </w:p>
        </w:tc>
        <w:tc>
          <w:tcPr>
            <w:tcW w:w="1876"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1至2人轻微伤</w:t>
            </w:r>
          </w:p>
        </w:tc>
        <w:tc>
          <w:tcPr>
            <w:tcW w:w="2035"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直接经济损失5000元以上10万元以下</w:t>
            </w:r>
          </w:p>
        </w:tc>
      </w:tr>
    </w:tbl>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2"/>
          <w:szCs w:val="22"/>
        </w:rPr>
      </w:pPr>
    </w:p>
    <w:p>
      <w:pPr>
        <w:pStyle w:val="8"/>
        <w:keepNext w:val="0"/>
        <w:keepLines w:val="0"/>
        <w:pageBreakBefore w:val="0"/>
        <w:widowControl w:val="0"/>
        <w:kinsoku/>
        <w:wordWrap/>
        <w:overflowPunct/>
        <w:topLinePunct w:val="0"/>
        <w:bidi w:val="0"/>
        <w:spacing w:line="360" w:lineRule="auto"/>
        <w:ind w:right="115" w:rightChars="55" w:firstLine="0" w:firstLineChars="0"/>
        <w:textAlignment w:val="auto"/>
        <w:rPr>
          <w:rFonts w:hint="eastAsia" w:ascii="宋体" w:hAnsi="宋体" w:eastAsia="宋体" w:cs="宋体"/>
          <w:sz w:val="22"/>
          <w:szCs w:val="22"/>
          <w:lang w:eastAsia="zh-CN"/>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pPr>
        <w:pStyle w:val="40"/>
        <w:spacing w:line="360" w:lineRule="auto"/>
        <w:ind w:right="560" w:firstLine="360" w:firstLineChars="150"/>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说明：</w:t>
      </w:r>
    </w:p>
    <w:p>
      <w:pPr>
        <w:pStyle w:val="40"/>
        <w:spacing w:before="240" w:after="240" w:line="360" w:lineRule="auto"/>
        <w:ind w:firstLine="424" w:firstLineChars="177"/>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起草合同</w:t>
      </w:r>
      <w:r>
        <w:rPr>
          <w:rFonts w:hint="eastAsia" w:asciiTheme="minorEastAsia" w:hAnsiTheme="minorEastAsia" w:eastAsiaTheme="minorEastAsia"/>
          <w:color w:val="000000" w:themeColor="text1"/>
          <w:sz w:val="24"/>
          <w:szCs w:val="24"/>
          <w:highlight w:val="none"/>
          <w14:textFill>
            <w14:solidFill>
              <w14:schemeClr w14:val="tx1"/>
            </w14:solidFill>
          </w14:textFill>
        </w:rPr>
        <w:t>文本</w:t>
      </w:r>
      <w:r>
        <w:rPr>
          <w:rFonts w:asciiTheme="minorEastAsia" w:hAnsiTheme="minorEastAsia" w:eastAsiaTheme="minorEastAsia"/>
          <w:color w:val="000000" w:themeColor="text1"/>
          <w:sz w:val="24"/>
          <w:szCs w:val="24"/>
          <w:highlight w:val="none"/>
          <w14:textFill>
            <w14:solidFill>
              <w14:schemeClr w14:val="tx1"/>
            </w14:solidFill>
          </w14:textFill>
        </w:rPr>
        <w:t>时，</w:t>
      </w:r>
      <w:r>
        <w:rPr>
          <w:rFonts w:hint="eastAsia" w:asciiTheme="minorEastAsia" w:hAnsiTheme="minorEastAsia" w:eastAsiaTheme="minorEastAsia"/>
          <w:color w:val="000000" w:themeColor="text1"/>
          <w:sz w:val="24"/>
          <w:szCs w:val="24"/>
          <w:highlight w:val="none"/>
          <w14:textFill>
            <w14:solidFill>
              <w14:schemeClr w14:val="tx1"/>
            </w14:solidFill>
          </w14:textFill>
        </w:rPr>
        <w:t>采办承办人员应查询集团公司、海油发展以及本</w:t>
      </w:r>
      <w:r>
        <w:rPr>
          <w:rFonts w:asciiTheme="minorEastAsia" w:hAnsiTheme="minorEastAsia" w:eastAsiaTheme="minorEastAsia"/>
          <w:color w:val="000000" w:themeColor="text1"/>
          <w:sz w:val="24"/>
          <w:szCs w:val="24"/>
          <w:highlight w:val="none"/>
          <w14:textFill>
            <w14:solidFill>
              <w14:schemeClr w14:val="tx1"/>
            </w14:solidFill>
          </w14:textFill>
        </w:rPr>
        <w:t>公司</w:t>
      </w:r>
      <w:r>
        <w:rPr>
          <w:rFonts w:hint="eastAsia" w:asciiTheme="minorEastAsia" w:hAnsiTheme="minorEastAsia" w:eastAsiaTheme="minorEastAsia"/>
          <w:color w:val="000000" w:themeColor="text1"/>
          <w:sz w:val="24"/>
          <w:szCs w:val="24"/>
          <w:highlight w:val="none"/>
          <w14:textFill>
            <w14:solidFill>
              <w14:schemeClr w14:val="tx1"/>
            </w14:solidFill>
          </w14:textFill>
        </w:rPr>
        <w:t>是否有发布的标准合同或示范合同文本。应以已发布</w:t>
      </w:r>
      <w:r>
        <w:rPr>
          <w:rFonts w:asciiTheme="minorEastAsia" w:hAnsiTheme="minorEastAsia" w:eastAsiaTheme="minorEastAsia"/>
          <w:color w:val="000000" w:themeColor="text1"/>
          <w:sz w:val="24"/>
          <w:szCs w:val="24"/>
          <w:highlight w:val="none"/>
          <w14:textFill>
            <w14:solidFill>
              <w14:schemeClr w14:val="tx1"/>
            </w14:solidFill>
          </w14:textFill>
        </w:rPr>
        <w:t>的</w:t>
      </w:r>
      <w:r>
        <w:rPr>
          <w:rFonts w:hint="eastAsia" w:asciiTheme="minorEastAsia" w:hAnsiTheme="minorEastAsia" w:eastAsiaTheme="minorEastAsia"/>
          <w:color w:val="000000" w:themeColor="text1"/>
          <w:sz w:val="24"/>
          <w:szCs w:val="24"/>
          <w:highlight w:val="none"/>
          <w14:textFill>
            <w14:solidFill>
              <w14:schemeClr w14:val="tx1"/>
            </w14:solidFill>
          </w14:textFill>
        </w:rPr>
        <w:t>标准合同文本或示范合同文本为基础起草合同。</w:t>
      </w:r>
    </w:p>
    <w:p>
      <w:pPr>
        <w:keepNext w:val="0"/>
        <w:keepLines w:val="0"/>
        <w:widowControl/>
        <w:suppressLineNumbers w:val="0"/>
        <w:snapToGrid w:val="0"/>
        <w:spacing w:before="0" w:beforeAutospacing="1" w:after="0" w:afterAutospacing="1" w:line="360" w:lineRule="auto"/>
        <w:ind w:left="0" w:right="0"/>
        <w:jc w:val="left"/>
      </w:pPr>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40"/>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outlineLvl w:val="0"/>
        <w:rPr>
          <w:rFonts w:hint="eastAsia"/>
          <w:b/>
          <w:strike w:val="0"/>
          <w:dstrike w:val="0"/>
          <w:sz w:val="24"/>
        </w:rPr>
      </w:pPr>
      <w:r>
        <w:rPr>
          <w:rFonts w:hint="eastAsia"/>
          <w:b/>
          <w:strike w:val="0"/>
          <w:dstrike w:val="0"/>
          <w:sz w:val="24"/>
          <w:lang w:val="en-US" w:eastAsia="zh-CN"/>
        </w:rPr>
        <w:t xml:space="preserve">附件4： </w:t>
      </w:r>
      <w:r>
        <w:rPr>
          <w:rFonts w:hint="eastAsia"/>
          <w:b/>
          <w:strike w:val="0"/>
          <w:dstrike w:val="0"/>
          <w:sz w:val="24"/>
        </w:rPr>
        <w:t>供应商履约异常处罚方式</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1"/>
        <w:rPr>
          <w:rFonts w:hint="eastAsia" w:eastAsia="宋体"/>
          <w:b/>
          <w:strike w:val="0"/>
          <w:dstrike w:val="0"/>
          <w:sz w:val="24"/>
          <w:lang w:eastAsia="zh-CN"/>
        </w:rPr>
      </w:pPr>
      <w:r>
        <w:rPr>
          <w:rFonts w:hint="eastAsia"/>
          <w:b/>
          <w:strike w:val="0"/>
          <w:dstrike w:val="0"/>
          <w:sz w:val="24"/>
          <w:lang w:val="en-US" w:eastAsia="zh-CN"/>
        </w:rPr>
        <w:t>4.1供应商风险情形和处理标准</w:t>
      </w:r>
    </w:p>
    <w:tbl>
      <w:tblPr>
        <w:tblStyle w:val="23"/>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695"/>
        <w:gridCol w:w="5137"/>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06"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序号</w:t>
            </w:r>
          </w:p>
        </w:tc>
        <w:tc>
          <w:tcPr>
            <w:tcW w:w="1695"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违规类型</w:t>
            </w:r>
          </w:p>
        </w:tc>
        <w:tc>
          <w:tcPr>
            <w:tcW w:w="5137"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违规情形说明</w:t>
            </w:r>
          </w:p>
        </w:tc>
        <w:tc>
          <w:tcPr>
            <w:tcW w:w="1741" w:type="dxa"/>
            <w:shd w:val="clear" w:color="auto" w:fill="auto"/>
            <w:vAlign w:val="center"/>
          </w:tcPr>
          <w:p>
            <w:pPr>
              <w:ind w:firstLine="442" w:firstLineChars="200"/>
              <w:textAlignment w:val="center"/>
              <w:rPr>
                <w:b/>
                <w:bCs/>
                <w:color w:val="000000"/>
                <w:sz w:val="22"/>
                <w:szCs w:val="22"/>
              </w:rPr>
            </w:pPr>
            <w:r>
              <w:rPr>
                <w:rFonts w:hint="eastAsia"/>
                <w:b/>
                <w:bCs/>
                <w:color w:val="000000"/>
                <w:sz w:val="22"/>
                <w:szCs w:val="22"/>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提供虚假资料</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提供虚假材料（资质文件、业绩、财务状况、书面承诺等）进行供应商注册、准入或参与采购项目，未造成损失的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rFonts w:hint="default" w:eastAsia="宋体"/>
                <w:color w:val="000000"/>
                <w:sz w:val="20"/>
                <w:szCs w:val="20"/>
                <w:lang w:val="en-US" w:eastAsia="zh-CN"/>
              </w:rPr>
            </w:pPr>
            <w:r>
              <w:rPr>
                <w:rFonts w:hint="eastAsia"/>
                <w:color w:val="000000"/>
                <w:sz w:val="20"/>
                <w:szCs w:val="20"/>
                <w:lang w:bidi="ar"/>
              </w:rPr>
              <w:t>提供虚假材料（资质文件、业绩、财务状况、书面承诺等）进行供应商注册、准入或参与采购项目，造成损失的</w:t>
            </w:r>
            <w:r>
              <w:rPr>
                <w:rFonts w:hint="eastAsia"/>
                <w:color w:val="000000"/>
                <w:sz w:val="20"/>
                <w:szCs w:val="20"/>
                <w:highlight w:val="yellow"/>
                <w:lang w:eastAsia="zh-CN" w:bidi="ar"/>
              </w:rPr>
              <w:t>（</w:t>
            </w:r>
            <w:r>
              <w:rPr>
                <w:rFonts w:hint="eastAsia"/>
                <w:color w:val="000000"/>
                <w:sz w:val="20"/>
                <w:szCs w:val="20"/>
                <w:highlight w:val="yellow"/>
                <w:lang w:val="en-US" w:eastAsia="zh-CN" w:bidi="ar"/>
              </w:rPr>
              <w:t>造成损失是指已签订合同且已执行）</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恶意串通</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为达到不正当目的相互恶意串通，造成损失的</w:t>
            </w:r>
            <w:r>
              <w:rPr>
                <w:rFonts w:hint="eastAsia"/>
                <w:color w:val="000000"/>
                <w:sz w:val="20"/>
                <w:szCs w:val="20"/>
                <w:highlight w:val="yellow"/>
                <w:lang w:eastAsia="zh-CN" w:bidi="ar"/>
              </w:rPr>
              <w:t>（</w:t>
            </w:r>
            <w:r>
              <w:rPr>
                <w:rFonts w:hint="eastAsia"/>
                <w:color w:val="000000"/>
                <w:sz w:val="20"/>
                <w:szCs w:val="20"/>
                <w:highlight w:val="yellow"/>
                <w:lang w:val="en-US" w:eastAsia="zh-CN" w:bidi="ar"/>
              </w:rPr>
              <w:t>造成损失是指已签订合同且已执行）</w:t>
            </w:r>
            <w:r>
              <w:rPr>
                <w:rFonts w:hint="eastAsia"/>
                <w:color w:val="000000"/>
                <w:sz w:val="20"/>
                <w:szCs w:val="20"/>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中途撤销投标</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非公开采办方式，具有参与意向，但未投标/响应的，未对采办过程造成影响的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6</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非公开采办方式，具有参与意向，但未投标/响应的，且对采办过程造成影响的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7</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开标后在有效期内中途撤销投标的，未对采办过程造成影响的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8</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开标后在有效期内中途撤销投标的，且对采办过程造成影响的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9</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投标文件质量差</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741" w:type="dxa"/>
            <w:shd w:val="clear" w:color="auto" w:fill="auto"/>
            <w:vAlign w:val="center"/>
          </w:tcPr>
          <w:p>
            <w:pPr>
              <w:jc w:val="both"/>
              <w:textAlignment w:val="center"/>
              <w:rPr>
                <w:color w:val="000000"/>
                <w:sz w:val="20"/>
                <w:szCs w:val="20"/>
              </w:rPr>
            </w:pPr>
            <w:r>
              <w:rPr>
                <w:rFonts w:hint="eastAsia"/>
                <w:color w:val="000000"/>
                <w:sz w:val="20"/>
                <w:szCs w:val="20"/>
                <w:lang w:bidi="ar"/>
              </w:rPr>
              <w:t>初次出现对供应商进行“约谈”，一年内出现两次给予“警告”处理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10</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11</w:t>
            </w:r>
          </w:p>
        </w:tc>
        <w:tc>
          <w:tcPr>
            <w:tcW w:w="1695" w:type="dxa"/>
            <w:shd w:val="clear" w:color="auto" w:fill="auto"/>
            <w:vAlign w:val="center"/>
          </w:tcPr>
          <w:p>
            <w:pPr>
              <w:jc w:val="center"/>
              <w:textAlignment w:val="center"/>
              <w:rPr>
                <w:color w:val="000000"/>
                <w:sz w:val="20"/>
                <w:szCs w:val="20"/>
              </w:rPr>
            </w:pPr>
            <w:r>
              <w:rPr>
                <w:rFonts w:hint="eastAsia"/>
                <w:color w:val="000000"/>
                <w:sz w:val="20"/>
                <w:szCs w:val="20"/>
                <w:lang w:bidi="ar"/>
              </w:rPr>
              <w:t>排挤其他供应商</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在采购结果公布之前，违法违规获得非公开评标信息，或采取不正当手段妨碍、排挤其他供应商投标或中标的，证据确凿的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12</w:t>
            </w:r>
          </w:p>
        </w:tc>
        <w:tc>
          <w:tcPr>
            <w:tcW w:w="1695" w:type="dxa"/>
            <w:shd w:val="clear" w:color="auto" w:fill="auto"/>
            <w:vAlign w:val="center"/>
          </w:tcPr>
          <w:p>
            <w:pPr>
              <w:jc w:val="center"/>
              <w:textAlignment w:val="center"/>
              <w:rPr>
                <w:color w:val="000000"/>
                <w:sz w:val="20"/>
                <w:szCs w:val="20"/>
              </w:rPr>
            </w:pPr>
            <w:r>
              <w:rPr>
                <w:rFonts w:hint="eastAsia"/>
                <w:color w:val="000000"/>
                <w:sz w:val="20"/>
                <w:szCs w:val="20"/>
                <w:lang w:bidi="ar"/>
              </w:rPr>
              <w:t>不遵守招投标纪律</w:t>
            </w:r>
          </w:p>
        </w:tc>
        <w:tc>
          <w:tcPr>
            <w:tcW w:w="5137" w:type="dxa"/>
            <w:shd w:val="clear" w:color="auto" w:fill="auto"/>
            <w:vAlign w:val="center"/>
          </w:tcPr>
          <w:p>
            <w:pPr>
              <w:textAlignment w:val="center"/>
              <w:rPr>
                <w:color w:val="000000"/>
                <w:sz w:val="20"/>
                <w:szCs w:val="20"/>
              </w:rPr>
            </w:pPr>
            <w:r>
              <w:rPr>
                <w:rStyle w:val="56"/>
                <w:rFonts w:hint="default"/>
                <w:lang w:bidi="ar"/>
              </w:rPr>
              <w:t>不遵守招投标相关纪律：如在开标、评标现场无理取闹，违反招投标程序</w:t>
            </w:r>
            <w:r>
              <w:rPr>
                <w:rFonts w:ascii="Times New Roman" w:hAnsi="Times New Roman" w:cs="Times New Roman"/>
                <w:color w:val="000000"/>
                <w:sz w:val="20"/>
                <w:szCs w:val="20"/>
                <w:lang w:bidi="ar"/>
              </w:rPr>
              <w:t>,</w:t>
            </w:r>
            <w:r>
              <w:rPr>
                <w:rStyle w:val="56"/>
                <w:rFonts w:hint="default"/>
                <w:lang w:bidi="ar"/>
              </w:rPr>
              <w:t>破坏招投标秩序等情形的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13</w:t>
            </w:r>
          </w:p>
        </w:tc>
        <w:tc>
          <w:tcPr>
            <w:tcW w:w="1695" w:type="dxa"/>
            <w:shd w:val="clear" w:color="auto" w:fill="auto"/>
            <w:vAlign w:val="center"/>
          </w:tcPr>
          <w:p>
            <w:pPr>
              <w:jc w:val="center"/>
              <w:textAlignment w:val="center"/>
              <w:rPr>
                <w:color w:val="000000"/>
                <w:sz w:val="20"/>
                <w:szCs w:val="20"/>
              </w:rPr>
            </w:pPr>
            <w:r>
              <w:rPr>
                <w:rFonts w:hint="eastAsia"/>
                <w:color w:val="000000"/>
                <w:sz w:val="20"/>
                <w:szCs w:val="20"/>
                <w:lang w:bidi="ar"/>
              </w:rPr>
              <w:t>拒不签订合同</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获取中标资格或成交资格拒绝签订合同的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14</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供应商对评标结果提出异议</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15</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16</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无事实依据对采购过程或采购结果进行乱投诉、举报的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情节较轻的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17</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恶意投诉、举报的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18</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对伪造证据、捏造事实、诬陷招标方或供应商管理、供应商使用单位人员的，一经查证</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19</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擅自变更、不按照合同规定履行或者擅自终止合同的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损失较轻或对安全生产影响较小的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20</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21</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擅自降低标的功能标准或改变功能结构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及时整改未造成影响的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22</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23</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及时整改但造成一定影响的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24</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及时整改但影响较重的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25</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拒不整改的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26</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假冒其他厂家品牌，提供伪劣商品、以假乱真弄虚作假的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对生产经营造成影响较小</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27</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对生产经营影响较大；或虽然对生产经营影响较小，但拒绝整改的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28</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出现供给不足（即“短斤少两”行为）</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及时整改未产生影响的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29</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整改但产生影响的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30</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拒不更正的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31</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所提供的产品存在严重质量问题，影响安全生产或对工程建设造成实质性影响的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对安全生产或工程建设影响较轻的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32</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33</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34</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提供虚假进度报告</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未造成实质影响的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35</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造成实质性影响的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36</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在允许分包项目中，违反分包承诺进行分包的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37</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38</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39</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违反规定擅自把中标项目或合同转让、转包、分包</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40</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41</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42</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未经同意拖延交工、交货日期，延缓执行合同的期限</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未造成严重影响且愿意协商解决或承担赔偿责任的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43</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造成实质影响但愿意协商解决的，根据影响程度</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44</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造成较重或严重影响且拒绝协商解决的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45</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拒绝履行售后义务</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拒绝履行售后服务义务并拒绝协商解决的情况，及其他因供应商的原因导致中国海油受损，并拒绝协商解决和赔偿责任的情况</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46</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拒不配合</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拒绝中国海油管理部门的监督检查或不如实反映情况、提供材料的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47</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行贿</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向采购交易所涉及的相关方或能产生实际影响的相关方行贿,行贿判定的依据为检察院或法院书面判定</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48</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使用禁用供应商</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参与或承揽中国海油业务时，在已知晓或应当知晓的情况下，仍代理被中国海油禁用其他供应商的产品、服务，或将已获取的合同对其分包的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49</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未经许可，对外披露中国海油商业秘密信息的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未造成经济损失或名誉损失的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50</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造成经济损失或名誉损失的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51</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52</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三年内记满10分的供应商，或连续三个合同执行过程中均发生“C级”事故</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公司安全生产部将通知采办共享中心，采办共享中心书面通知供应商，并按程序清理出公司供应商库</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对供应商给予“禁用三年”处；情节严重的，长期禁用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53</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供应商在提报中国海油员工、员工亲属、离职退休的领导人员在本单位的任职和持股情况时</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存在瞒报相关情况的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54</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存在利用中国海油人员的职务之便牟取不正当利益情形的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55</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经营状况异常</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国家机关、权威机构网站公布的严重违法失信企业，或被列入失信人名单等情形</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56</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其它违反国家、集团公司及海油发展规章制度的行为</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违反国家政策、法律法规，存在不与农民工签订合同，或存在拖欠农民工工资问题的。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57</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违反国家政策、法律法规，对破坏生态环境，对环境造成污染的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58</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违反劳动法等法规，引起员工仲裁并对中国海油造成不良影响的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59</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对存在其它不当行为可能给中国海油带来风险的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60</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对存在其它不当行为已经给中国海油带来风险的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61</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其它违反国家法律法规及集团公司规章制度的行为，包括国家、审计、纪检监察、巡视等函件反映问题等</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由集团公司工程与物装部或集团公司工程与物装部组织相关管理部门及所属单位，对供应商问题性质及业务实际情况判定，进行相应处理</w:t>
            </w:r>
          </w:p>
        </w:tc>
      </w:tr>
    </w:tbl>
    <w:p>
      <w:pPr>
        <w:rPr>
          <w:rFonts w:asciiTheme="minorEastAsia" w:hAnsiTheme="minorEastAsia"/>
          <w:sz w:val="24"/>
          <w:szCs w:val="24"/>
        </w:rPr>
      </w:pPr>
    </w:p>
    <w:p>
      <w:pPr>
        <w:pStyle w:val="2"/>
        <w:rPr>
          <w:rFonts w:asciiTheme="minorEastAsia" w:hAnsiTheme="minorEastAsia"/>
          <w:sz w:val="24"/>
          <w:szCs w:val="24"/>
        </w:rPr>
      </w:pPr>
    </w:p>
    <w:p>
      <w:pPr>
        <w:rPr>
          <w:rFonts w:hint="eastAsia" w:asciiTheme="minorEastAsia" w:hAnsiTheme="minorEastAsia"/>
          <w:sz w:val="24"/>
          <w:szCs w:val="24"/>
          <w:lang w:val="en-US" w:eastAsia="zh-CN"/>
        </w:rPr>
      </w:pPr>
    </w:p>
    <w:p>
      <w:pPr>
        <w:rPr>
          <w:rFonts w:hint="eastAsia" w:asciiTheme="minorEastAsia" w:hAnsiTheme="minorEastAsia"/>
          <w:sz w:val="24"/>
          <w:szCs w:val="24"/>
          <w:lang w:val="en-US" w:eastAsia="zh-CN"/>
        </w:rPr>
      </w:pPr>
    </w:p>
    <w:p>
      <w:pPr>
        <w:rPr>
          <w:rFonts w:hint="eastAsia" w:asciiTheme="minorEastAsia" w:hAnsiTheme="minorEastAsia"/>
          <w:sz w:val="24"/>
          <w:szCs w:val="24"/>
          <w:lang w:val="en-US" w:eastAsia="zh-CN"/>
        </w:rPr>
      </w:pPr>
    </w:p>
    <w:p>
      <w:pPr>
        <w:outlineLvl w:val="9"/>
        <w:rPr>
          <w:rFonts w:hint="eastAsia" w:ascii="黑体" w:hAnsi="黑体" w:eastAsia="黑体"/>
          <w:sz w:val="24"/>
          <w:szCs w:val="22"/>
          <w:lang w:val="en-US" w:eastAsia="zh-CN"/>
        </w:rPr>
      </w:pPr>
      <w:r>
        <w:rPr>
          <w:rFonts w:hint="eastAsia" w:ascii="黑体" w:hAnsi="黑体" w:eastAsia="黑体"/>
          <w:sz w:val="24"/>
          <w:szCs w:val="22"/>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lang w:val="en-US" w:eastAsia="zh-CN"/>
        </w:rPr>
      </w:pPr>
      <w:r>
        <w:rPr>
          <w:rFonts w:hint="eastAsia" w:ascii="黑体" w:hAnsi="黑体" w:eastAsia="黑体"/>
          <w:b/>
          <w:bCs/>
          <w:sz w:val="24"/>
          <w:szCs w:val="24"/>
          <w:highlight w:val="none"/>
          <w:lang w:val="en-US" w:eastAsia="zh-CN"/>
        </w:rPr>
        <w:t>附件5：</w:t>
      </w:r>
      <w:r>
        <w:rPr>
          <w:rFonts w:hint="eastAsia" w:ascii="黑体" w:hAnsi="黑体" w:eastAsia="黑体"/>
          <w:b/>
          <w:bCs/>
          <w:sz w:val="24"/>
          <w:szCs w:val="24"/>
          <w:lang w:val="en-US" w:eastAsia="zh-CN"/>
        </w:rPr>
        <w:t>商务文件</w:t>
      </w:r>
    </w:p>
    <w:p>
      <w:pPr>
        <w:pStyle w:val="39"/>
        <w:rPr>
          <w:rFonts w:hint="eastAsia"/>
          <w:lang w:val="en-US" w:eastAsia="zh-CN"/>
        </w:rPr>
      </w:pPr>
    </w:p>
    <w:p>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5.4：专业资质</w:t>
      </w:r>
    </w:p>
    <w:p>
      <w:pPr>
        <w:adjustRightInd/>
        <w:jc w:val="both"/>
        <w:outlineLvl w:val="0"/>
        <w:rPr>
          <w:rFonts w:hint="default" w:ascii="宋体" w:hAnsi="宋体" w:eastAsiaTheme="minorEastAsia" w:cstheme="minorBidi"/>
          <w:color w:val="000000"/>
          <w:sz w:val="21"/>
          <w:szCs w:val="22"/>
          <w:highlight w:val="none"/>
          <w:lang w:val="en-US" w:eastAsia="zh-CN"/>
        </w:rPr>
      </w:pPr>
      <w:r>
        <w:rPr>
          <w:rFonts w:hint="eastAsia" w:ascii="宋体" w:hAnsi="宋体" w:eastAsiaTheme="minorEastAsia" w:cstheme="minorBidi"/>
          <w:color w:val="000000"/>
          <w:kern w:val="2"/>
          <w:sz w:val="21"/>
          <w:szCs w:val="22"/>
          <w:highlight w:val="none"/>
          <w:lang w:val="en-US" w:eastAsia="zh-CN" w:bidi="ar-SA"/>
        </w:rPr>
        <w:t>5.</w:t>
      </w:r>
      <w:r>
        <w:rPr>
          <w:rFonts w:hint="eastAsia" w:ascii="宋体" w:hAnsi="宋体" w:cstheme="minorBidi"/>
          <w:color w:val="000000"/>
          <w:kern w:val="2"/>
          <w:sz w:val="21"/>
          <w:szCs w:val="22"/>
          <w:highlight w:val="none"/>
          <w:lang w:val="en-US" w:eastAsia="zh-CN" w:bidi="ar-SA"/>
        </w:rPr>
        <w:t>5</w:t>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eastAsiaTheme="minorEastAsia" w:cstheme="minorBidi"/>
          <w:color w:val="000000"/>
          <w:sz w:val="21"/>
          <w:szCs w:val="22"/>
          <w:highlight w:val="none"/>
          <w:lang w:eastAsia="zh-CN"/>
        </w:rPr>
        <w:t>环境管理体系认证、质量管理体系认证、健康安全管理体系认证和国家强制产品认证等相关否决事项，</w:t>
      </w:r>
      <w:r>
        <w:rPr>
          <w:rFonts w:hint="eastAsia" w:ascii="宋体" w:hAnsi="宋体" w:cstheme="minorBidi"/>
          <w:color w:val="000000"/>
          <w:sz w:val="21"/>
          <w:szCs w:val="22"/>
          <w:highlight w:val="none"/>
          <w:lang w:val="en-US" w:eastAsia="zh-CN"/>
        </w:rPr>
        <w:t>并可</w:t>
      </w:r>
      <w:r>
        <w:rPr>
          <w:rFonts w:hint="eastAsia" w:ascii="宋体" w:hAnsi="宋体" w:eastAsiaTheme="minorEastAsia" w:cstheme="minorBidi"/>
          <w:color w:val="000000"/>
          <w:sz w:val="21"/>
          <w:szCs w:val="22"/>
          <w:highlight w:val="none"/>
          <w:lang w:eastAsia="zh-CN"/>
        </w:rPr>
        <w:t>在中国国家认证认可监督管理委员会网站（</w:t>
      </w:r>
      <w:r>
        <w:rPr>
          <w:rFonts w:hint="eastAsia" w:ascii="宋体" w:hAnsi="宋体" w:eastAsiaTheme="minorEastAsia" w:cstheme="minorBidi"/>
          <w:color w:val="000000"/>
          <w:sz w:val="21"/>
          <w:szCs w:val="22"/>
          <w:highlight w:val="none"/>
          <w:lang w:eastAsia="zh-CN"/>
        </w:rPr>
        <w:fldChar w:fldCharType="begin"/>
      </w:r>
      <w:r>
        <w:rPr>
          <w:rFonts w:hint="eastAsia" w:ascii="宋体" w:hAnsi="宋体" w:eastAsiaTheme="minorEastAsia" w:cstheme="minorBidi"/>
          <w:color w:val="000000"/>
          <w:sz w:val="21"/>
          <w:szCs w:val="22"/>
          <w:highlight w:val="none"/>
          <w:lang w:eastAsia="zh-CN"/>
        </w:rPr>
        <w:instrText xml:space="preserve"> HYPERLINK "http://www.cnca.gov.cn）核实" </w:instrText>
      </w:r>
      <w:r>
        <w:rPr>
          <w:rFonts w:hint="eastAsia" w:ascii="宋体" w:hAnsi="宋体" w:eastAsiaTheme="minorEastAsia" w:cstheme="minorBidi"/>
          <w:color w:val="000000"/>
          <w:sz w:val="21"/>
          <w:szCs w:val="22"/>
          <w:highlight w:val="none"/>
          <w:lang w:eastAsia="zh-CN"/>
        </w:rPr>
        <w:fldChar w:fldCharType="separate"/>
      </w:r>
      <w:r>
        <w:rPr>
          <w:rFonts w:hint="eastAsia" w:ascii="宋体" w:hAnsi="宋体" w:eastAsiaTheme="minorEastAsia" w:cstheme="minorBidi"/>
          <w:color w:val="000000"/>
          <w:sz w:val="21"/>
          <w:szCs w:val="22"/>
          <w:highlight w:val="none"/>
          <w:lang w:eastAsia="zh-CN"/>
        </w:rPr>
        <w:t>http://www.cnca.gov.cn）核实</w:t>
      </w:r>
      <w:r>
        <w:rPr>
          <w:rFonts w:hint="eastAsia" w:ascii="宋体" w:hAnsi="宋体" w:eastAsiaTheme="minorEastAsia" w:cstheme="minorBidi"/>
          <w:color w:val="000000"/>
          <w:sz w:val="21"/>
          <w:szCs w:val="22"/>
          <w:highlight w:val="none"/>
          <w:lang w:eastAsia="zh-CN"/>
        </w:rPr>
        <w:fldChar w:fldCharType="end"/>
      </w:r>
      <w:r>
        <w:rPr>
          <w:rFonts w:hint="eastAsia" w:ascii="宋体" w:hAnsi="宋体" w:cstheme="minorBidi"/>
          <w:color w:val="000000"/>
          <w:sz w:val="21"/>
          <w:szCs w:val="22"/>
          <w:highlight w:val="none"/>
          <w:lang w:eastAsia="zh-CN"/>
        </w:rPr>
        <w:t>（</w:t>
      </w:r>
      <w:r>
        <w:rPr>
          <w:rFonts w:hint="eastAsia" w:ascii="宋体" w:hAnsi="宋体" w:cstheme="minorBidi"/>
          <w:color w:val="000000"/>
          <w:sz w:val="21"/>
          <w:szCs w:val="22"/>
          <w:highlight w:val="none"/>
          <w:lang w:val="en-US" w:eastAsia="zh-CN"/>
        </w:rPr>
        <w:t>不涉及）</w:t>
      </w:r>
    </w:p>
    <w:p>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sz w:val="21"/>
          <w:szCs w:val="22"/>
          <w:lang w:val="en-US" w:eastAsia="zh-CN"/>
        </w:rPr>
      </w:pPr>
      <w:r>
        <w:rPr>
          <w:rFonts w:hint="eastAsia" w:ascii="宋体" w:hAnsi="宋体" w:eastAsiaTheme="minorEastAsia" w:cstheme="minorBidi"/>
          <w:b w:val="0"/>
          <w:bCs w:val="0"/>
          <w:color w:val="000000"/>
          <w:sz w:val="21"/>
          <w:szCs w:val="22"/>
          <w:highlight w:val="none"/>
          <w:lang w:val="en-US" w:eastAsia="zh-CN"/>
        </w:rPr>
        <w:t>5.</w:t>
      </w:r>
      <w:r>
        <w:rPr>
          <w:rFonts w:hint="eastAsia" w:ascii="宋体" w:hAnsi="宋体" w:cstheme="minorBidi"/>
          <w:b w:val="0"/>
          <w:bCs w:val="0"/>
          <w:color w:val="000000"/>
          <w:sz w:val="21"/>
          <w:szCs w:val="22"/>
          <w:highlight w:val="none"/>
          <w:lang w:val="en-US" w:eastAsia="zh-CN"/>
        </w:rPr>
        <w:t>8</w:t>
      </w:r>
      <w:r>
        <w:rPr>
          <w:rFonts w:hint="eastAsia" w:ascii="宋体" w:hAnsi="宋体" w:eastAsiaTheme="minorEastAsia" w:cstheme="minorBidi"/>
          <w:b w:val="0"/>
          <w:bCs w:val="0"/>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代理商、贸易商、服务商要求（详见评议内容：</w:t>
      </w:r>
      <w:r>
        <w:rPr>
          <w:rFonts w:hint="eastAsia" w:ascii="宋体" w:hAnsi="宋体" w:eastAsiaTheme="minorEastAsia" w:cstheme="minorBidi"/>
          <w:b w:val="0"/>
          <w:bCs w:val="0"/>
          <w:color w:val="000000"/>
          <w:kern w:val="2"/>
          <w:sz w:val="21"/>
          <w:szCs w:val="22"/>
          <w:highlight w:val="none"/>
          <w:lang w:val="en-US" w:eastAsia="zh-CN" w:bidi="ar-SA"/>
        </w:rPr>
        <w:t>对不满足要求的或未能提供相应证明材料的</w:t>
      </w:r>
      <w:r>
        <w:rPr>
          <w:rFonts w:hint="eastAsia" w:ascii="宋体" w:hAnsi="宋体" w:eastAsiaTheme="minorEastAsia" w:cstheme="minorBidi"/>
          <w:color w:val="000000"/>
          <w:sz w:val="21"/>
          <w:szCs w:val="22"/>
          <w:highlight w:val="none"/>
          <w:lang w:val="en-US" w:eastAsia="zh-CN"/>
        </w:rPr>
        <w:t>代理商、贸易商、服务商</w:t>
      </w:r>
      <w:r>
        <w:rPr>
          <w:rFonts w:hint="eastAsia" w:ascii="宋体" w:hAnsi="宋体" w:eastAsiaTheme="minorEastAsia" w:cstheme="minorBidi"/>
          <w:b w:val="0"/>
          <w:bCs w:val="0"/>
          <w:color w:val="000000"/>
          <w:kern w:val="2"/>
          <w:sz w:val="21"/>
          <w:szCs w:val="22"/>
          <w:highlight w:val="none"/>
          <w:lang w:val="en-US" w:eastAsia="zh-CN" w:bidi="ar-SA"/>
        </w:rPr>
        <w:t>，将影响评审结果。</w:t>
      </w:r>
      <w:r>
        <w:rPr>
          <w:rFonts w:hint="eastAsia" w:ascii="宋体" w:hAnsi="宋体" w:eastAsiaTheme="minorEastAsia" w:cstheme="minorBidi"/>
          <w:color w:val="000000"/>
          <w:sz w:val="21"/>
          <w:szCs w:val="22"/>
          <w:highlight w:val="none"/>
          <w:lang w:val="en-US" w:eastAsia="zh-CN"/>
        </w:rPr>
        <w:t>）</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cstheme="minorBidi"/>
          <w:color w:val="000000"/>
          <w:sz w:val="21"/>
          <w:szCs w:val="22"/>
          <w:lang w:val="en-US" w:eastAsia="zh-CN"/>
        </w:rPr>
        <w:t>5.9： 制造商承诺书及相关支持文件</w:t>
      </w:r>
      <w:r>
        <w:rPr>
          <w:rFonts w:hint="eastAsia" w:ascii="宋体" w:hAnsi="宋体" w:cstheme="minorBidi"/>
          <w:color w:val="000000"/>
          <w:kern w:val="2"/>
          <w:sz w:val="21"/>
          <w:szCs w:val="22"/>
          <w:lang w:val="en-US" w:eastAsia="zh-CN" w:bidi="ar-SA"/>
        </w:rPr>
        <w:t>——不涉及</w:t>
      </w:r>
    </w:p>
    <w:p>
      <w:pPr>
        <w:adjustRightInd/>
        <w:jc w:val="both"/>
        <w:outlineLvl w:val="0"/>
        <w:rPr>
          <w:rFonts w:hint="eastAsia" w:ascii="宋体" w:hAnsi="宋体" w:eastAsiaTheme="minorEastAsia" w:cstheme="minorBidi"/>
          <w:b w:val="0"/>
          <w:bCs w:val="0"/>
          <w:color w:val="000000"/>
          <w:sz w:val="21"/>
          <w:szCs w:val="22"/>
          <w:highlight w:val="none"/>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10</w:t>
      </w:r>
      <w:r>
        <w:rPr>
          <w:rFonts w:hint="eastAsia" w:ascii="宋体" w:hAnsi="宋体" w:eastAsiaTheme="minorEastAsia" w:cstheme="minorBidi"/>
          <w:b w:val="0"/>
          <w:bCs w:val="0"/>
          <w:color w:val="000000"/>
          <w:sz w:val="21"/>
          <w:szCs w:val="22"/>
          <w:highlight w:val="none"/>
          <w:lang w:eastAsia="zh-CN"/>
        </w:rPr>
        <w:t>业绩要求</w:t>
      </w:r>
      <w:r>
        <w:rPr>
          <w:rFonts w:hint="eastAsia" w:ascii="宋体" w:hAnsi="宋体" w:eastAsiaTheme="minorEastAsia" w:cstheme="minorBidi"/>
          <w:b w:val="0"/>
          <w:bCs w:val="0"/>
          <w:color w:val="000000"/>
          <w:sz w:val="21"/>
          <w:szCs w:val="22"/>
          <w:highlight w:val="none"/>
        </w:rPr>
        <w:t>（</w:t>
      </w:r>
      <w:r>
        <w:rPr>
          <w:rFonts w:hint="eastAsia" w:ascii="宋体" w:hAnsi="宋体" w:eastAsiaTheme="minorEastAsia" w:cstheme="minorBidi"/>
          <w:color w:val="000000"/>
          <w:sz w:val="21"/>
          <w:szCs w:val="22"/>
          <w:highlight w:val="none"/>
          <w:lang w:val="en-US" w:eastAsia="zh-CN"/>
        </w:rPr>
        <w:t>详见评议内容</w:t>
      </w:r>
      <w:r>
        <w:rPr>
          <w:rFonts w:hint="eastAsia" w:ascii="宋体" w:hAnsi="宋体" w:eastAsiaTheme="minorEastAsia" w:cstheme="minorBidi"/>
          <w:b w:val="0"/>
          <w:bCs w:val="0"/>
          <w:color w:val="000000"/>
          <w:sz w:val="21"/>
          <w:szCs w:val="22"/>
          <w:highlight w:val="none"/>
        </w:rPr>
        <w:t>：提供的证明材料必须完全涵盖</w:t>
      </w:r>
      <w:r>
        <w:rPr>
          <w:rFonts w:hint="eastAsia" w:ascii="宋体" w:hAnsi="宋体" w:eastAsiaTheme="minorEastAsia" w:cstheme="minorBidi"/>
          <w:b w:val="0"/>
          <w:bCs w:val="0"/>
          <w:color w:val="000000"/>
          <w:sz w:val="21"/>
          <w:szCs w:val="22"/>
          <w:highlight w:val="none"/>
          <w:lang w:val="en-US" w:eastAsia="zh-CN"/>
        </w:rPr>
        <w:t>要求的</w:t>
      </w:r>
      <w:r>
        <w:rPr>
          <w:rFonts w:hint="eastAsia" w:ascii="宋体" w:hAnsi="宋体" w:eastAsiaTheme="minorEastAsia" w:cstheme="minorBidi"/>
          <w:b w:val="0"/>
          <w:bCs w:val="0"/>
          <w:color w:val="000000"/>
          <w:sz w:val="21"/>
          <w:szCs w:val="22"/>
          <w:highlight w:val="none"/>
        </w:rPr>
        <w:t>内容，否则视为无效业绩，缺少任何1项都将影响评审结果）</w:t>
      </w:r>
    </w:p>
    <w:p>
      <w:pPr>
        <w:adjustRightInd/>
        <w:jc w:val="both"/>
        <w:outlineLvl w:val="0"/>
        <w:rPr>
          <w:rFonts w:hint="default" w:ascii="宋体" w:hAnsi="宋体" w:eastAsiaTheme="minorEastAsia"/>
          <w:color w:val="000000"/>
          <w:sz w:val="21"/>
          <w:szCs w:val="22"/>
          <w:lang w:val="en-US" w:eastAsia="zh-CN"/>
        </w:rPr>
      </w:pPr>
      <w:r>
        <w:rPr>
          <w:rFonts w:hint="eastAsia" w:ascii="宋体" w:hAnsi="宋体" w:cstheme="minorBidi"/>
          <w:b w:val="0"/>
          <w:bCs w:val="0"/>
          <w:color w:val="000000"/>
          <w:sz w:val="21"/>
          <w:szCs w:val="22"/>
          <w:highlight w:val="none"/>
          <w:lang w:val="en-US" w:eastAsia="zh-CN"/>
        </w:rPr>
        <w:t>5.11 承诺</w:t>
      </w:r>
    </w:p>
    <w:p>
      <w:pPr>
        <w:adjustRightInd/>
        <w:jc w:val="both"/>
        <w:outlineLvl w:val="0"/>
        <w:rPr>
          <w:rFonts w:hint="eastAsia" w:ascii="宋体" w:hAnsi="宋体" w:cstheme="minorBidi"/>
          <w:color w:val="000000"/>
          <w:kern w:val="2"/>
          <w:sz w:val="21"/>
          <w:szCs w:val="22"/>
          <w:lang w:val="en-US" w:eastAsia="zh-CN" w:bidi="ar-SA"/>
        </w:rPr>
      </w:pPr>
      <w:r>
        <w:rPr>
          <w:rFonts w:hint="eastAsia" w:ascii="宋体" w:hAnsi="宋体" w:eastAsiaTheme="minorEastAsia"/>
          <w:color w:val="000000"/>
          <w:sz w:val="21"/>
          <w:szCs w:val="22"/>
          <w:lang w:val="en-US" w:eastAsia="zh-CN"/>
        </w:rPr>
        <w:t>5.</w:t>
      </w:r>
      <w:r>
        <w:rPr>
          <w:rFonts w:hint="eastAsia" w:ascii="宋体" w:hAnsi="宋体"/>
          <w:color w:val="000000"/>
          <w:sz w:val="21"/>
          <w:szCs w:val="22"/>
          <w:lang w:val="en-US" w:eastAsia="zh-CN"/>
        </w:rPr>
        <w:t>12</w:t>
      </w:r>
      <w:r>
        <w:rPr>
          <w:rFonts w:hint="eastAsia" w:ascii="宋体" w:hAnsi="宋体" w:eastAsiaTheme="minorEastAsia"/>
          <w:color w:val="000000"/>
          <w:sz w:val="21"/>
          <w:szCs w:val="22"/>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lang w:val="en-US" w:eastAsia="zh-CN" w:bidi="ar-SA"/>
        </w:rPr>
        <w:t>——详见附件</w:t>
      </w:r>
    </w:p>
    <w:p>
      <w:pPr>
        <w:pStyle w:val="39"/>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lang w:val="en-US" w:eastAsia="zh-CN" w:bidi="ar-SA"/>
        </w:rPr>
        <w:t>5.13：其他补充</w:t>
      </w: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lang w:val="en-US" w:eastAsia="zh-CN"/>
        </w:rPr>
        <w:t>：法定代表人（单位负责人）身份证明</w:t>
      </w:r>
    </w:p>
    <w:p>
      <w:pPr>
        <w:pStyle w:val="8"/>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pPr>
        <w:pStyle w:val="2"/>
        <w:rPr>
          <w:rFonts w:ascii="微软雅黑" w:hAnsi="微软雅黑" w:eastAsia="微软雅黑"/>
          <w:b/>
          <w:spacing w:val="2"/>
          <w:sz w:val="32"/>
          <w:szCs w:val="32"/>
        </w:rPr>
      </w:pPr>
    </w:p>
    <w:p>
      <w:pPr>
        <w:pStyle w:val="2"/>
        <w:rPr>
          <w:rFonts w:ascii="微软雅黑" w:hAnsi="微软雅黑" w:eastAsia="微软雅黑"/>
          <w:b/>
          <w:spacing w:val="2"/>
          <w:sz w:val="32"/>
          <w:szCs w:val="32"/>
        </w:rPr>
      </w:pPr>
    </w:p>
    <w:p>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注：</w:t>
      </w:r>
      <w:r>
        <w:rPr>
          <w:rFonts w:ascii="微软雅黑" w:hAnsi="微软雅黑" w:eastAsia="微软雅黑" w:cstheme="minorBidi"/>
          <w:spacing w:val="-3"/>
          <w:kern w:val="0"/>
          <w:sz w:val="24"/>
          <w:szCs w:val="24"/>
          <w:lang w:val="en-US" w:eastAsia="zh-CN" w:bidi="ar-SA"/>
        </w:rPr>
        <w:t>本</w:t>
      </w:r>
      <w:r>
        <w:rPr>
          <w:rFonts w:ascii="微软雅黑" w:hAnsi="微软雅黑" w:eastAsia="微软雅黑" w:cstheme="minorBidi"/>
          <w:kern w:val="0"/>
          <w:sz w:val="24"/>
          <w:szCs w:val="24"/>
          <w:lang w:val="en-US" w:eastAsia="zh-CN" w:bidi="ar-SA"/>
        </w:rPr>
        <w:t>身</w:t>
      </w:r>
      <w:r>
        <w:rPr>
          <w:rFonts w:ascii="微软雅黑" w:hAnsi="微软雅黑" w:eastAsia="微软雅黑" w:cstheme="minorBidi"/>
          <w:spacing w:val="-3"/>
          <w:kern w:val="0"/>
          <w:sz w:val="24"/>
          <w:szCs w:val="24"/>
          <w:lang w:val="en-US" w:eastAsia="zh-CN" w:bidi="ar-SA"/>
        </w:rPr>
        <w:t>份</w:t>
      </w:r>
      <w:r>
        <w:rPr>
          <w:rFonts w:ascii="微软雅黑" w:hAnsi="微软雅黑" w:eastAsia="微软雅黑" w:cstheme="minorBidi"/>
          <w:kern w:val="0"/>
          <w:sz w:val="24"/>
          <w:szCs w:val="24"/>
          <w:lang w:val="en-US" w:eastAsia="zh-CN" w:bidi="ar-SA"/>
        </w:rPr>
        <w:t>证</w:t>
      </w:r>
      <w:r>
        <w:rPr>
          <w:rFonts w:ascii="微软雅黑" w:hAnsi="微软雅黑" w:eastAsia="微软雅黑" w:cstheme="minorBidi"/>
          <w:spacing w:val="-3"/>
          <w:kern w:val="0"/>
          <w:sz w:val="24"/>
          <w:szCs w:val="24"/>
          <w:lang w:val="en-US" w:eastAsia="zh-CN" w:bidi="ar-SA"/>
        </w:rPr>
        <w:t>明</w:t>
      </w:r>
      <w:r>
        <w:rPr>
          <w:rFonts w:ascii="微软雅黑" w:hAnsi="微软雅黑" w:eastAsia="微软雅黑" w:cstheme="minorBidi"/>
          <w:kern w:val="0"/>
          <w:sz w:val="24"/>
          <w:szCs w:val="24"/>
          <w:lang w:val="en-US" w:eastAsia="zh-CN" w:bidi="ar-SA"/>
        </w:rPr>
        <w:t>需</w:t>
      </w:r>
      <w:r>
        <w:rPr>
          <w:rFonts w:ascii="微软雅黑" w:hAnsi="微软雅黑" w:eastAsia="微软雅黑" w:cstheme="minorBidi"/>
          <w:spacing w:val="-3"/>
          <w:kern w:val="0"/>
          <w:sz w:val="24"/>
          <w:szCs w:val="24"/>
          <w:lang w:val="en-US" w:eastAsia="zh-CN" w:bidi="ar-SA"/>
        </w:rPr>
        <w:t>由</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加</w:t>
      </w:r>
      <w:r>
        <w:rPr>
          <w:rFonts w:ascii="微软雅黑" w:hAnsi="微软雅黑" w:eastAsia="微软雅黑" w:cstheme="minorBidi"/>
          <w:spacing w:val="-3"/>
          <w:kern w:val="0"/>
          <w:sz w:val="24"/>
          <w:szCs w:val="24"/>
          <w:lang w:val="en-US" w:eastAsia="zh-CN" w:bidi="ar-SA"/>
        </w:rPr>
        <w:t>盖</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pPr>
      <w:r>
        <w:rPr>
          <w:rFonts w:hint="eastAsia" w:ascii="微软雅黑" w:hAnsi="微软雅黑" w:eastAsia="微软雅黑" w:cstheme="minorBidi"/>
          <w:w w:val="225"/>
          <w:kern w:val="0"/>
          <w:sz w:val="24"/>
          <w:szCs w:val="24"/>
          <w:lang w:val="en-US" w:eastAsia="zh-CN" w:bidi="ar-SA"/>
        </w:rPr>
        <w:t>____</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lang w:val="en-US" w:eastAsia="zh-CN" w:bidi="ar-SA"/>
        </w:rPr>
        <w:t>_______</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lang w:val="en-US" w:eastAsia="zh-CN" w:bidi="ar-SA"/>
        </w:rPr>
        <w:t>______</w:t>
      </w:r>
      <w:r>
        <w:rPr>
          <w:rFonts w:ascii="微软雅黑" w:hAnsi="微软雅黑" w:eastAsia="微软雅黑" w:cstheme="minorBidi"/>
          <w:kern w:val="0"/>
          <w:sz w:val="24"/>
          <w:szCs w:val="24"/>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5.3：授权委托书</w:t>
      </w:r>
    </w:p>
    <w:p>
      <w:pPr>
        <w:pStyle w:val="54"/>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p>
    <w:p>
      <w:pPr>
        <w:pStyle w:val="54"/>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ascii="微软雅黑" w:hAnsi="微软雅黑" w:eastAsia="微软雅黑" w:cstheme="minorBidi"/>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采购询价项目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8"/>
          <w:kern w:val="0"/>
          <w:sz w:val="24"/>
          <w:szCs w:val="24"/>
          <w:lang w:val="en-US" w:eastAsia="zh-CN" w:bidi="ar-SA"/>
        </w:rPr>
        <w:t>）</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 xml:space="preserve"> </w:t>
      </w: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w w:val="225"/>
          <w:kern w:val="0"/>
          <w:sz w:val="24"/>
          <w:szCs w:val="24"/>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 xml:space="preserve">  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pPr>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（应答人应在应答文件中提供其公司章程或其他能够体现出资人、股东信息的法定文件，此证明文件将作为评标/评审时的依据。）</w:t>
      </w:r>
    </w:p>
    <w:p>
      <w:pPr>
        <w:rPr>
          <w:rFonts w:hint="eastAsia"/>
          <w:lang w:val="en-US" w:eastAsia="zh-CN"/>
        </w:rPr>
      </w:pPr>
    </w:p>
    <w:p>
      <w:pPr>
        <w:rPr>
          <w:rFonts w:hint="eastAsia"/>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6、我公司如涉及雇用农民工，承诺与农民工签订劳动合同，及时、足额发放工资、缴纳社会保险费用。</w:t>
      </w:r>
    </w:p>
    <w:p>
      <w:pPr>
        <w:pStyle w:val="8"/>
        <w:ind w:left="0" w:firstLine="420" w:firstLineChars="200"/>
        <w:rPr>
          <w:rFonts w:hint="default" w:eastAsia="宋体"/>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lang w:eastAsia="zh-CN"/>
        </w:rPr>
        <w:t>积极响应国家节能减排和绿色环保政策，切实推进绿色供应链建设</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8"/>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2864" w:type="dxa"/>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pPr>
              <w:jc w:val="center"/>
              <w:rPr>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pPr>
              <w:rPr>
                <w:color w:val="000000" w:themeColor="text1"/>
                <w:sz w:val="21"/>
                <w:szCs w:val="21"/>
                <w:highlight w:val="none"/>
                <w:lang w:eastAsia="zh-CN"/>
                <w14:textFill>
                  <w14:solidFill>
                    <w14:schemeClr w14:val="tx1"/>
                  </w14:solidFill>
                </w14:textFill>
              </w:rPr>
            </w:pPr>
          </w:p>
        </w:tc>
        <w:tc>
          <w:tcPr>
            <w:tcW w:w="2558" w:type="dxa"/>
            <w:vMerge w:val="continue"/>
          </w:tcPr>
          <w:p>
            <w:pPr>
              <w:rPr>
                <w:color w:val="000000" w:themeColor="text1"/>
                <w:sz w:val="21"/>
                <w:szCs w:val="21"/>
                <w:highlight w:val="none"/>
                <w:lang w:eastAsia="zh-CN"/>
                <w14:textFill>
                  <w14:solidFill>
                    <w14:schemeClr w14:val="tx1"/>
                  </w14:solidFill>
                </w14:textFill>
              </w:rPr>
            </w:pPr>
          </w:p>
        </w:tc>
      </w:tr>
    </w:tbl>
    <w:p>
      <w:pPr>
        <w:pStyle w:val="8"/>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24"/>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444"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06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650" w:type="dxa"/>
            <w:vMerge w:val="restart"/>
            <w:vAlign w:val="center"/>
          </w:tcPr>
          <w:p>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pP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continue"/>
          </w:tcPr>
          <w:p>
            <w:pPr>
              <w:rPr>
                <w:color w:val="000000" w:themeColor="text1"/>
                <w:sz w:val="21"/>
                <w:szCs w:val="21"/>
                <w:highlight w:val="none"/>
                <w:lang w:eastAsia="zh-CN"/>
                <w14:textFill>
                  <w14:solidFill>
                    <w14:schemeClr w14:val="tx1"/>
                  </w14:solidFill>
                </w14:textFill>
              </w:rPr>
            </w:pPr>
          </w:p>
        </w:tc>
        <w:tc>
          <w:tcPr>
            <w:tcW w:w="1444" w:type="dxa"/>
            <w:vMerge w:val="continue"/>
          </w:tcPr>
          <w:p>
            <w:pPr>
              <w:rPr>
                <w:color w:val="000000" w:themeColor="text1"/>
                <w:sz w:val="21"/>
                <w:szCs w:val="21"/>
                <w:highlight w:val="none"/>
                <w:lang w:eastAsia="zh-CN"/>
                <w14:textFill>
                  <w14:solidFill>
                    <w14:schemeClr w14:val="tx1"/>
                  </w14:solidFill>
                </w14:textFill>
              </w:rPr>
            </w:pPr>
          </w:p>
        </w:tc>
        <w:tc>
          <w:tcPr>
            <w:tcW w:w="1060" w:type="dxa"/>
            <w:vMerge w:val="continue"/>
          </w:tcPr>
          <w:p>
            <w:pPr>
              <w:rPr>
                <w:color w:val="000000" w:themeColor="text1"/>
                <w:sz w:val="21"/>
                <w:szCs w:val="21"/>
                <w:highlight w:val="none"/>
                <w:lang w:eastAsia="zh-CN"/>
                <w14:textFill>
                  <w14:solidFill>
                    <w14:schemeClr w14:val="tx1"/>
                  </w14:solidFill>
                </w14:textFill>
              </w:rPr>
            </w:pPr>
          </w:p>
        </w:tc>
        <w:tc>
          <w:tcPr>
            <w:tcW w:w="1650" w:type="dxa"/>
            <w:vMerge w:val="continue"/>
          </w:tcPr>
          <w:p>
            <w:pPr>
              <w:rPr>
                <w:color w:val="000000" w:themeColor="text1"/>
                <w:sz w:val="21"/>
                <w:szCs w:val="21"/>
                <w:highlight w:val="none"/>
                <w:lang w:eastAsia="zh-CN"/>
                <w14:textFill>
                  <w14:solidFill>
                    <w14:schemeClr w14:val="tx1"/>
                  </w14:solidFill>
                </w14:textFill>
              </w:rPr>
            </w:pPr>
          </w:p>
        </w:tc>
      </w:tr>
    </w:tbl>
    <w:p>
      <w:pPr>
        <w:pStyle w:val="8"/>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24"/>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 w:val="21"/>
                <w:szCs w:val="21"/>
                <w:highlight w:val="none"/>
                <w:lang w:eastAsia="zh-CN"/>
                <w14:textFill>
                  <w14:solidFill>
                    <w14:schemeClr w14:val="tx1"/>
                  </w14:solidFill>
                </w14:textFill>
              </w:rPr>
            </w:pPr>
          </w:p>
        </w:tc>
        <w:tc>
          <w:tcPr>
            <w:tcW w:w="2552" w:type="dxa"/>
          </w:tcPr>
          <w:p>
            <w:pPr>
              <w:rPr>
                <w:b/>
                <w:color w:val="000000" w:themeColor="text1"/>
                <w:sz w:val="21"/>
                <w:szCs w:val="21"/>
                <w:highlight w:val="none"/>
                <w:lang w:eastAsia="zh-CN"/>
                <w14:textFill>
                  <w14:solidFill>
                    <w14:schemeClr w14:val="tx1"/>
                  </w14:solidFill>
                </w14:textFill>
              </w:rPr>
            </w:pPr>
          </w:p>
        </w:tc>
        <w:tc>
          <w:tcPr>
            <w:tcW w:w="3228" w:type="dxa"/>
          </w:tcPr>
          <w:p>
            <w:pPr>
              <w:rPr>
                <w:b/>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8"/>
        <w:rPr>
          <w:rFonts w:hint="eastAsia"/>
          <w:color w:val="000000" w:themeColor="text1"/>
          <w:sz w:val="21"/>
          <w:szCs w:val="21"/>
          <w:highlight w:val="none"/>
          <w14:textFill>
            <w14:solidFill>
              <w14:schemeClr w14:val="tx1"/>
            </w14:solidFill>
          </w14:textFill>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8"/>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8"/>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default" w:ascii="仿宋" w:hAnsi="仿宋" w:eastAsia="仿宋" w:cs="仿宋"/>
          <w:b/>
          <w:bCs w:val="0"/>
          <w:sz w:val="28"/>
          <w:szCs w:val="28"/>
          <w:lang w:val="en-US" w:eastAsia="zh-CN"/>
        </w:rPr>
      </w:pPr>
      <w:r>
        <w:rPr>
          <w:rFonts w:hint="eastAsia" w:ascii="黑体" w:hAnsi="黑体" w:eastAsia="黑体" w:cstheme="minorBidi"/>
          <w:b/>
          <w:bCs/>
          <w:color w:val="auto"/>
          <w:kern w:val="2"/>
          <w:sz w:val="24"/>
          <w:szCs w:val="24"/>
          <w:lang w:val="en-US" w:eastAsia="zh-CN" w:bidi="ar-SA"/>
        </w:rPr>
        <w:t>5.9：制造商承诺书</w:t>
      </w:r>
    </w:p>
    <w:p>
      <w:pPr>
        <w:keepNext w:val="0"/>
        <w:keepLines w:val="0"/>
        <w:widowControl/>
        <w:suppressLineNumbers w:val="0"/>
        <w:jc w:val="center"/>
        <w:rPr>
          <w:rFonts w:hint="eastAsia" w:ascii="仿宋" w:hAnsi="仿宋" w:eastAsia="仿宋" w:cs="仿宋"/>
          <w:b/>
          <w:bCs/>
          <w:sz w:val="44"/>
          <w:szCs w:val="44"/>
          <w:lang w:val="en-US" w:eastAsia="zh-CN"/>
        </w:rPr>
      </w:pPr>
    </w:p>
    <w:p>
      <w:pPr>
        <w:keepNext w:val="0"/>
        <w:keepLines w:val="0"/>
        <w:widowControl/>
        <w:suppressLineNumbers w:val="0"/>
        <w:jc w:val="center"/>
        <w:rPr>
          <w:rFonts w:hint="eastAsia" w:ascii="仿宋" w:hAnsi="仿宋" w:eastAsia="仿宋" w:cs="仿宋"/>
          <w:sz w:val="28"/>
          <w:szCs w:val="28"/>
          <w:lang w:val="en-US" w:eastAsia="zh-CN"/>
        </w:rPr>
      </w:pPr>
      <w:r>
        <w:rPr>
          <w:rFonts w:hint="eastAsia" w:ascii="仿宋" w:hAnsi="仿宋" w:eastAsia="仿宋" w:cs="仿宋"/>
          <w:b/>
          <w:bCs/>
          <w:sz w:val="44"/>
          <w:szCs w:val="44"/>
          <w:lang w:val="en-US" w:eastAsia="zh-CN"/>
        </w:rPr>
        <w:t>制造商承诺书</w:t>
      </w:r>
    </w:p>
    <w:p>
      <w:pPr>
        <w:keepNext w:val="0"/>
        <w:keepLines w:val="0"/>
        <w:widowControl/>
        <w:suppressLineNumbers w:val="0"/>
        <w:jc w:val="center"/>
        <w:rPr>
          <w:rFonts w:hint="eastAsia" w:ascii="仿宋" w:hAnsi="仿宋" w:eastAsia="仿宋" w:cs="仿宋"/>
          <w:sz w:val="28"/>
          <w:szCs w:val="28"/>
          <w:lang w:val="en-US" w:eastAsia="zh-CN"/>
        </w:rPr>
      </w:pP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u w:val="single"/>
          <w:lang w:val="en-US" w:eastAsia="zh-CN"/>
        </w:rPr>
        <w:t xml:space="preserve">  招标人/招标代理机构   </w:t>
      </w:r>
    </w:p>
    <w:p>
      <w:pPr>
        <w:keepNext w:val="0"/>
        <w:keepLines w:val="0"/>
        <w:widowControl/>
        <w:suppressLineNumbers w:val="0"/>
        <w:ind w:firstLine="560" w:firstLineChars="200"/>
        <w:jc w:val="both"/>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我们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公司名称）</w:t>
      </w:r>
      <w:r>
        <w:rPr>
          <w:rFonts w:hint="eastAsia" w:ascii="仿宋" w:hAnsi="仿宋" w:eastAsia="仿宋" w:cs="仿宋"/>
          <w:sz w:val="28"/>
          <w:szCs w:val="28"/>
          <w:lang w:val="en-US" w:eastAsia="zh-CN"/>
        </w:rPr>
        <w:t>是按中华人民共和国法律于</w:t>
      </w:r>
      <w:r>
        <w:rPr>
          <w:rFonts w:hint="eastAsia" w:ascii="仿宋" w:hAnsi="仿宋" w:eastAsia="仿宋" w:cs="仿宋"/>
          <w:sz w:val="28"/>
          <w:szCs w:val="28"/>
          <w:u w:val="single"/>
          <w:lang w:val="en-US" w:eastAsia="zh-CN"/>
        </w:rPr>
        <w:t xml:space="preserve">    年 月 日</w:t>
      </w:r>
      <w:r>
        <w:rPr>
          <w:rFonts w:hint="eastAsia" w:ascii="仿宋" w:hAnsi="仿宋" w:eastAsia="仿宋" w:cs="仿宋"/>
          <w:sz w:val="28"/>
          <w:szCs w:val="28"/>
          <w:lang w:val="en-US" w:eastAsia="zh-CN"/>
        </w:rPr>
        <w:t>成立的一家制造商，主要营业地点设在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。兹声明我司就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）使用我公司 □自行生产制造/ □</w:t>
      </w:r>
      <w:r>
        <w:rPr>
          <w:rFonts w:hint="eastAsia" w:ascii="仿宋" w:hAnsi="仿宋" w:eastAsia="仿宋" w:cs="仿宋"/>
          <w:sz w:val="28"/>
          <w:szCs w:val="28"/>
          <w:lang w:val="en-US" w:eastAsia="zh-Hans"/>
        </w:rPr>
        <w:t>代工方式</w:t>
      </w:r>
      <w:r>
        <w:rPr>
          <w:rFonts w:hint="eastAsia" w:ascii="仿宋" w:hAnsi="仿宋" w:eastAsia="仿宋" w:cs="仿宋"/>
          <w:sz w:val="28"/>
          <w:szCs w:val="28"/>
          <w:lang w:val="en-US" w:eastAsia="zh-CN"/>
        </w:rPr>
        <w:t>/□集成方式</w:t>
      </w:r>
      <w:r>
        <w:rPr>
          <w:rFonts w:hint="eastAsia" w:ascii="仿宋" w:hAnsi="仿宋" w:eastAsia="仿宋" w:cs="仿宋"/>
          <w:sz w:val="28"/>
          <w:szCs w:val="28"/>
          <w:lang w:val="en-US" w:eastAsia="zh-Hans"/>
        </w:rPr>
        <w:t>生产</w:t>
      </w:r>
      <w:r>
        <w:rPr>
          <w:rFonts w:hint="eastAsia" w:ascii="仿宋" w:hAnsi="仿宋" w:eastAsia="仿宋" w:cs="仿宋"/>
          <w:sz w:val="28"/>
          <w:szCs w:val="28"/>
          <w:lang w:val="en-US" w:eastAsia="zh-CN"/>
        </w:rPr>
        <w:t>的</w:t>
      </w:r>
      <w:r>
        <w:rPr>
          <w:rFonts w:hint="eastAsia" w:ascii="仿宋" w:hAnsi="仿宋" w:eastAsia="仿宋" w:cs="仿宋"/>
          <w:sz w:val="28"/>
          <w:szCs w:val="28"/>
          <w:u w:val="single"/>
          <w:lang w:val="en-US" w:eastAsia="zh-CN"/>
        </w:rPr>
        <w:t xml:space="preserve">                                                                </w:t>
      </w:r>
    </w:p>
    <w:p>
      <w:pPr>
        <w:keepNext w:val="0"/>
        <w:keepLines w:val="0"/>
        <w:widowControl/>
        <w:suppressLineNumbers w:val="0"/>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u w:val="none"/>
          <w:lang w:val="en-US" w:eastAsia="zh-CN"/>
        </w:rPr>
        <w:t>产品</w:t>
      </w:r>
      <w:r>
        <w:rPr>
          <w:rFonts w:hint="eastAsia" w:ascii="仿宋" w:hAnsi="仿宋" w:eastAsia="仿宋" w:cs="仿宋"/>
          <w:sz w:val="28"/>
          <w:szCs w:val="28"/>
          <w:lang w:val="en-US" w:eastAsia="zh-CN"/>
        </w:rPr>
        <w:t>参与投标。</w:t>
      </w:r>
    </w:p>
    <w:p>
      <w:pPr>
        <w:keepNext w:val="0"/>
        <w:keepLines w:val="0"/>
        <w:widowControl/>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我公司就项目承诺如下：</w:t>
      </w: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 我公司为</w:t>
      </w:r>
      <w:r>
        <w:rPr>
          <w:rFonts w:hint="eastAsia" w:ascii="仿宋" w:hAnsi="仿宋" w:eastAsia="仿宋" w:cs="仿宋"/>
          <w:b/>
          <w:bCs/>
          <w:sz w:val="28"/>
          <w:szCs w:val="28"/>
          <w:lang w:val="en-US" w:eastAsia="zh-CN"/>
        </w:rPr>
        <w:t>传统型制造商，</w:t>
      </w:r>
      <w:r>
        <w:rPr>
          <w:rFonts w:hint="eastAsia" w:ascii="仿宋" w:hAnsi="仿宋" w:eastAsia="仿宋" w:cs="仿宋"/>
          <w:sz w:val="28"/>
          <w:szCs w:val="28"/>
          <w:lang w:val="en-US" w:eastAsia="zh-CN"/>
        </w:rPr>
        <w:t>投标产品系我公司自行生产制造，我公司具备制造必须的资质、厂房、设备、人力等资源。</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OEM型制造商，</w:t>
      </w:r>
      <w:r>
        <w:rPr>
          <w:rFonts w:hint="eastAsia" w:ascii="仿宋" w:hAnsi="仿宋" w:eastAsia="仿宋" w:cs="仿宋"/>
          <w:sz w:val="28"/>
          <w:szCs w:val="28"/>
          <w:lang w:val="en-US" w:eastAsia="zh-CN"/>
        </w:rPr>
        <w:t>投标产品系我公司以</w:t>
      </w:r>
      <w:r>
        <w:rPr>
          <w:rFonts w:hint="eastAsia" w:ascii="仿宋" w:hAnsi="仿宋" w:eastAsia="仿宋" w:cs="仿宋"/>
          <w:sz w:val="28"/>
          <w:szCs w:val="28"/>
          <w:lang w:val="en-US" w:eastAsia="zh-Hans"/>
        </w:rPr>
        <w:t>代工方式生产</w:t>
      </w:r>
      <w:r>
        <w:rPr>
          <w:rFonts w:hint="eastAsia" w:ascii="仿宋" w:hAnsi="仿宋" w:eastAsia="仿宋" w:cs="仿宋"/>
          <w:sz w:val="28"/>
          <w:szCs w:val="28"/>
          <w:lang w:val="en-US" w:eastAsia="zh-CN"/>
        </w:rPr>
        <w:t>，我公司具备供货的资质和能力。</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集成型制造商，</w:t>
      </w:r>
      <w:r>
        <w:rPr>
          <w:rFonts w:hint="eastAsia" w:ascii="仿宋" w:hAnsi="仿宋" w:eastAsia="仿宋" w:cs="仿宋"/>
          <w:sz w:val="28"/>
          <w:szCs w:val="28"/>
          <w:lang w:val="en-US" w:eastAsia="zh-CN"/>
        </w:rPr>
        <w:t>投标产品系我公司集成</w:t>
      </w:r>
      <w:r>
        <w:rPr>
          <w:rFonts w:hint="eastAsia" w:ascii="仿宋" w:hAnsi="仿宋" w:eastAsia="仿宋" w:cs="仿宋"/>
          <w:sz w:val="28"/>
          <w:szCs w:val="28"/>
          <w:lang w:val="en-US" w:eastAsia="zh-Hans"/>
        </w:rPr>
        <w:t>方式生产</w:t>
      </w:r>
      <w:r>
        <w:rPr>
          <w:rFonts w:hint="eastAsia" w:ascii="仿宋" w:hAnsi="仿宋" w:eastAsia="仿宋" w:cs="仿宋"/>
          <w:sz w:val="28"/>
          <w:szCs w:val="28"/>
          <w:lang w:val="en-US" w:eastAsia="zh-CN"/>
        </w:rPr>
        <w:t>，我公司具备集成必须的资质、厂房、设备、人力等资源。</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（2）我司对所投产品拥有知识产权和产品销售权。</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（3）后附我公司相关证明材料真实有效。</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投标人名称（盖章）：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法定代表人或授权人签章：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日   期：</w:t>
      </w:r>
      <w:r>
        <w:rPr>
          <w:rFonts w:hint="eastAsia" w:ascii="仿宋" w:hAnsi="仿宋" w:eastAsia="仿宋" w:cs="仿宋"/>
          <w:sz w:val="28"/>
          <w:szCs w:val="28"/>
          <w:u w:val="single"/>
          <w:lang w:val="en-US" w:eastAsia="zh-CN"/>
        </w:rPr>
        <w:t xml:space="preserve">                 </w:t>
      </w:r>
    </w:p>
    <w:p>
      <w:pPr>
        <w:keepNext w:val="0"/>
        <w:keepLines w:val="0"/>
        <w:widowControl/>
        <w:suppressLineNumbers w:val="0"/>
        <w:ind w:firstLine="440" w:firstLineChars="100"/>
        <w:jc w:val="left"/>
        <w:rPr>
          <w:rFonts w:hint="eastAsia" w:ascii="仿宋" w:hAnsi="仿宋" w:eastAsia="仿宋" w:cs="仿宋"/>
          <w:b w:val="0"/>
          <w:bCs w:val="0"/>
          <w:sz w:val="44"/>
          <w:szCs w:val="44"/>
          <w:lang w:val="en-US" w:eastAsia="zh-CN"/>
        </w:rPr>
      </w:pPr>
      <w:r>
        <w:rPr>
          <w:rFonts w:hint="eastAsia" w:ascii="仿宋" w:hAnsi="仿宋" w:eastAsia="仿宋" w:cs="仿宋"/>
          <w:b w:val="0"/>
          <w:bCs w:val="0"/>
          <w:sz w:val="44"/>
          <w:szCs w:val="44"/>
          <w:lang w:val="en-US" w:eastAsia="zh-CN"/>
        </w:rPr>
        <w:t>制造商证明相关材料</w:t>
      </w:r>
    </w:p>
    <w:p>
      <w:pPr>
        <w:keepNext w:val="0"/>
        <w:keepLines w:val="0"/>
        <w:widowControl/>
        <w:suppressLineNumbers w:val="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（提示：1、各单位可根据实际需求情况，自行设置制造商需提供的证明材料。2、标黄内容均为提示性信息，用于辅助制定相关要求，正式文件中应注意删除，避免产生歧义。） </w:t>
      </w:r>
    </w:p>
    <w:p>
      <w:pPr>
        <w:keepNext w:val="0"/>
        <w:keepLines w:val="0"/>
        <w:widowControl/>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供应商应根据《制造商承诺书》所选类型提供相关证明材料（选择一类提供即可），逐页加盖公章，原件备查。</w:t>
      </w:r>
    </w:p>
    <w:p>
      <w:pPr>
        <w:keepNext w:val="0"/>
        <w:keepLines w:val="0"/>
        <w:widowControl/>
        <w:suppressLineNumbers w:val="0"/>
        <w:ind w:firstLine="560" w:firstLineChars="200"/>
        <w:jc w:val="both"/>
        <w:rPr>
          <w:rFonts w:hint="default"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传统型制造商应提供的证明材料：</w:t>
      </w:r>
    </w:p>
    <w:p>
      <w:pPr>
        <w:keepNext w:val="0"/>
        <w:keepLines w:val="0"/>
        <w:widowControl/>
        <w:numPr>
          <w:ilvl w:val="0"/>
          <w:numId w:val="1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1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1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1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1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生产工艺（需提供****工艺介绍和供流程图）：</w:t>
      </w:r>
    </w:p>
    <w:p>
      <w:pPr>
        <w:keepNext w:val="0"/>
        <w:keepLines w:val="0"/>
        <w:widowControl/>
        <w:numPr>
          <w:ilvl w:val="0"/>
          <w:numId w:val="1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1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11"/>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11"/>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OEM型制造商应提供的证明材料：</w:t>
      </w:r>
    </w:p>
    <w:p>
      <w:pPr>
        <w:keepNext w:val="0"/>
        <w:keepLines w:val="0"/>
        <w:widowControl/>
        <w:numPr>
          <w:ilvl w:val="0"/>
          <w:numId w:val="1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1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1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代工协议：</w:t>
      </w:r>
    </w:p>
    <w:p>
      <w:pPr>
        <w:keepNext w:val="0"/>
        <w:keepLines w:val="0"/>
        <w:widowControl/>
        <w:numPr>
          <w:ilvl w:val="0"/>
          <w:numId w:val="1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1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1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1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1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12"/>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12"/>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集成型制造商应提供的证明材料：</w:t>
      </w:r>
    </w:p>
    <w:p>
      <w:pPr>
        <w:keepNext w:val="0"/>
        <w:keepLines w:val="0"/>
        <w:widowControl/>
        <w:numPr>
          <w:ilvl w:val="0"/>
          <w:numId w:val="1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1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1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1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1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1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1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1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13"/>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suppressLineNumbers w:val="0"/>
        <w:jc w:val="both"/>
        <w:rPr>
          <w:rFonts w:hint="default" w:ascii="仿宋" w:hAnsi="仿宋" w:eastAsia="仿宋" w:cs="仿宋"/>
          <w:b/>
          <w:bCs/>
          <w:sz w:val="28"/>
          <w:szCs w:val="28"/>
          <w:highlight w:val="yellow"/>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55"/>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5.12：商务偏离表</w:t>
      </w:r>
    </w:p>
    <w:p>
      <w:pPr>
        <w:pStyle w:val="55"/>
        <w:adjustRightInd/>
        <w:jc w:val="center"/>
        <w:rPr>
          <w:rFonts w:hint="eastAsia" w:hAnsi="宋体" w:eastAsiaTheme="minorEastAsia" w:cstheme="minorBidi"/>
          <w:b w:val="0"/>
          <w:kern w:val="2"/>
          <w:sz w:val="21"/>
          <w:szCs w:val="22"/>
          <w:lang w:eastAsia="zh-CN"/>
        </w:rPr>
      </w:pPr>
      <w:r>
        <w:rPr>
          <w:rFonts w:hint="eastAsia" w:hAnsi="宋体"/>
          <w:b/>
          <w:sz w:val="21"/>
          <w:szCs w:val="21"/>
        </w:rPr>
        <w:t>商务偏离条款</w:t>
      </w:r>
      <w:r>
        <w:rPr>
          <w:rFonts w:hint="eastAsia" w:hAnsi="宋体" w:eastAsiaTheme="minorEastAsia" w:cstheme="minorBidi"/>
          <w:kern w:val="2"/>
          <w:sz w:val="21"/>
          <w:szCs w:val="22"/>
          <w:lang w:eastAsia="zh-CN"/>
        </w:rPr>
        <w:t>（</w:t>
      </w:r>
      <w:r>
        <w:rPr>
          <w:rFonts w:hint="eastAsia" w:hAnsi="宋体" w:eastAsiaTheme="minorEastAsia" w:cstheme="minorBidi"/>
          <w:kern w:val="2"/>
          <w:sz w:val="21"/>
          <w:szCs w:val="22"/>
          <w:lang w:val="en-US" w:eastAsia="zh-CN"/>
        </w:rPr>
        <w:t>内容仅供参考，具体业务具体编制</w:t>
      </w:r>
      <w:r>
        <w:rPr>
          <w:rFonts w:hint="eastAsia" w:hAnsi="宋体" w:eastAsiaTheme="minorEastAsia" w:cstheme="minorBidi"/>
          <w:kern w:val="2"/>
          <w:sz w:val="21"/>
          <w:szCs w:val="22"/>
          <w:lang w:eastAsia="zh-CN"/>
        </w:rPr>
        <w:t>）</w:t>
      </w:r>
    </w:p>
    <w:p>
      <w:pPr>
        <w:pStyle w:val="55"/>
        <w:adjustRightInd/>
        <w:jc w:val="center"/>
        <w:rPr>
          <w:rFonts w:hAnsi="宋体"/>
          <w:b/>
          <w:sz w:val="21"/>
          <w:szCs w:val="21"/>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792"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60"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2979"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（不接受/协商/接受询价方条件）</w:t>
            </w:r>
          </w:p>
        </w:tc>
        <w:tc>
          <w:tcPr>
            <w:tcW w:w="1242"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792" w:type="dxa"/>
            <w:vAlign w:val="center"/>
          </w:tcPr>
          <w:p>
            <w:pPr>
              <w:spacing w:line="360" w:lineRule="auto"/>
              <w:jc w:val="center"/>
              <w:rPr>
                <w:rFonts w:ascii="宋体" w:hAnsi="宋体"/>
                <w:color w:val="000000"/>
              </w:rPr>
            </w:pPr>
            <w:r>
              <w:rPr>
                <w:rFonts w:hint="eastAsia" w:ascii="宋体" w:hAnsi="宋体"/>
                <w:color w:val="000000"/>
              </w:rPr>
              <w:t>违约条款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792" w:type="dxa"/>
            <w:vAlign w:val="center"/>
          </w:tcPr>
          <w:p>
            <w:pPr>
              <w:spacing w:line="360" w:lineRule="auto"/>
              <w:jc w:val="center"/>
              <w:rPr>
                <w:rFonts w:ascii="宋体" w:hAnsi="宋体"/>
                <w:color w:val="000000"/>
              </w:rPr>
            </w:pPr>
            <w:r>
              <w:rPr>
                <w:rFonts w:hint="eastAsia" w:ascii="宋体" w:hAnsi="宋体"/>
                <w:color w:val="000000"/>
              </w:rPr>
              <w:t>付款方式</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792" w:type="dxa"/>
            <w:vAlign w:val="center"/>
          </w:tcPr>
          <w:p>
            <w:pPr>
              <w:spacing w:line="360" w:lineRule="auto"/>
              <w:jc w:val="center"/>
              <w:rPr>
                <w:rFonts w:ascii="宋体" w:hAnsi="宋体"/>
                <w:color w:val="000000"/>
              </w:rPr>
            </w:pPr>
            <w:r>
              <w:rPr>
                <w:rFonts w:hint="eastAsia" w:ascii="宋体" w:hAnsi="宋体"/>
                <w:color w:val="000000"/>
              </w:rPr>
              <w:t>服务期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792" w:type="dxa"/>
            <w:vAlign w:val="center"/>
          </w:tcPr>
          <w:p>
            <w:pPr>
              <w:spacing w:line="360" w:lineRule="auto"/>
              <w:jc w:val="center"/>
              <w:rPr>
                <w:rFonts w:ascii="宋体" w:hAnsi="宋体"/>
                <w:color w:val="000000"/>
              </w:rPr>
            </w:pPr>
            <w:r>
              <w:rPr>
                <w:rFonts w:hint="eastAsia" w:ascii="宋体" w:hAnsi="宋体"/>
                <w:color w:val="000000"/>
              </w:rPr>
              <w:t>报价有效期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792" w:type="dxa"/>
            <w:vAlign w:val="center"/>
          </w:tcPr>
          <w:p>
            <w:pPr>
              <w:spacing w:line="360" w:lineRule="auto"/>
              <w:jc w:val="center"/>
              <w:rPr>
                <w:rFonts w:ascii="宋体" w:hAnsi="宋体"/>
                <w:color w:val="000000"/>
              </w:rPr>
            </w:pPr>
            <w:r>
              <w:rPr>
                <w:rFonts w:hint="eastAsia" w:ascii="宋体" w:hAnsi="宋体"/>
                <w:color w:val="000000"/>
              </w:rPr>
              <w:t>合同条款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792" w:type="dxa"/>
            <w:vAlign w:val="center"/>
          </w:tcPr>
          <w:p>
            <w:pPr>
              <w:spacing w:line="360" w:lineRule="auto"/>
              <w:jc w:val="center"/>
              <w:rPr>
                <w:rFonts w:ascii="宋体" w:hAnsi="宋体"/>
                <w:color w:val="000000"/>
              </w:rPr>
            </w:pPr>
            <w:r>
              <w:rPr>
                <w:rFonts w:hint="eastAsia" w:ascii="宋体" w:hAnsi="宋体"/>
                <w:color w:val="000000"/>
              </w:rPr>
              <w:t>其他</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人对询价文件的商务条款有异议，请在此处一一列出，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lang w:val="en-US" w:eastAsia="zh-CN"/>
        </w:rPr>
      </w:pPr>
      <w:r>
        <w:rPr>
          <w:rFonts w:hint="eastAsia" w:ascii="黑体" w:hAnsi="黑体" w:eastAsia="黑体"/>
          <w:b/>
          <w:bCs/>
          <w:sz w:val="24"/>
          <w:szCs w:val="24"/>
        </w:rPr>
        <w:t>附件</w:t>
      </w:r>
      <w:r>
        <w:rPr>
          <w:rFonts w:hint="eastAsia" w:ascii="黑体" w:hAnsi="黑体" w:eastAsia="黑体"/>
          <w:b/>
          <w:bCs/>
          <w:sz w:val="24"/>
          <w:szCs w:val="24"/>
          <w:lang w:val="en-US" w:eastAsia="zh-CN"/>
        </w:rPr>
        <w:t>6：</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技术文件</w:t>
      </w:r>
    </w:p>
    <w:p>
      <w:pPr>
        <w:rPr>
          <w:rFonts w:hint="eastAsia" w:ascii="黑体" w:hAnsi="黑体" w:eastAsia="黑体"/>
          <w:sz w:val="24"/>
          <w:szCs w:val="24"/>
          <w:lang w:val="en-US" w:eastAsia="zh-CN"/>
        </w:rPr>
      </w:pPr>
    </w:p>
    <w:p>
      <w:pPr>
        <w:widowControl w:val="0"/>
        <w:numPr>
          <w:ilvl w:val="0"/>
          <w:numId w:val="0"/>
        </w:numPr>
        <w:jc w:val="both"/>
        <w:rPr>
          <w:rFonts w:hint="default"/>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w:t>
      </w:r>
      <w:r>
        <w:rPr>
          <w:rFonts w:hint="eastAsia" w:ascii="宋体" w:hAnsi="宋体"/>
          <w:b/>
          <w:color w:val="000000"/>
          <w:szCs w:val="21"/>
          <w:lang w:val="en-US" w:eastAsia="zh-CN"/>
        </w:rPr>
        <w:t>偏离</w:t>
      </w:r>
      <w:r>
        <w:rPr>
          <w:rFonts w:hint="eastAsia" w:ascii="宋体" w:hAnsi="宋体"/>
          <w:b/>
          <w:color w:val="000000"/>
          <w:szCs w:val="21"/>
        </w:rPr>
        <w:t>表</w:t>
      </w:r>
    </w:p>
    <w:tbl>
      <w:tblPr>
        <w:tblStyle w:val="23"/>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3"/>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1</w:t>
            </w:r>
          </w:p>
        </w:tc>
        <w:tc>
          <w:tcPr>
            <w:tcW w:w="3969" w:type="dxa"/>
            <w:vAlign w:val="center"/>
          </w:tcPr>
          <w:p>
            <w:pPr>
              <w:pStyle w:val="53"/>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3"/>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2</w:t>
            </w:r>
          </w:p>
        </w:tc>
        <w:tc>
          <w:tcPr>
            <w:tcW w:w="3969" w:type="dxa"/>
            <w:vAlign w:val="center"/>
          </w:tcPr>
          <w:p>
            <w:pPr>
              <w:pStyle w:val="53"/>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3"/>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3</w:t>
            </w:r>
          </w:p>
        </w:tc>
        <w:tc>
          <w:tcPr>
            <w:tcW w:w="3969" w:type="dxa"/>
            <w:vAlign w:val="center"/>
          </w:tcPr>
          <w:p>
            <w:pPr>
              <w:pStyle w:val="53"/>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3"/>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4</w:t>
            </w:r>
          </w:p>
        </w:tc>
        <w:tc>
          <w:tcPr>
            <w:tcW w:w="3969" w:type="dxa"/>
            <w:vAlign w:val="center"/>
          </w:tcPr>
          <w:p>
            <w:pPr>
              <w:pStyle w:val="53"/>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3"/>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5</w:t>
            </w:r>
          </w:p>
        </w:tc>
        <w:tc>
          <w:tcPr>
            <w:tcW w:w="3969" w:type="dxa"/>
            <w:vAlign w:val="center"/>
          </w:tcPr>
          <w:p>
            <w:pPr>
              <w:pStyle w:val="53"/>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3"/>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6</w:t>
            </w:r>
          </w:p>
        </w:tc>
        <w:tc>
          <w:tcPr>
            <w:tcW w:w="3969" w:type="dxa"/>
            <w:vAlign w:val="center"/>
          </w:tcPr>
          <w:p>
            <w:pPr>
              <w:pStyle w:val="53"/>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bl>
    <w:p>
      <w:pPr>
        <w:spacing w:before="50" w:line="360" w:lineRule="auto"/>
        <w:ind w:firstLine="3885" w:firstLineChars="1850"/>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pPr>
        <w:keepNext w:val="0"/>
        <w:keepLines w:val="0"/>
        <w:pageBreakBefore w:val="0"/>
        <w:widowControl w:val="0"/>
        <w:numPr>
          <w:ilvl w:val="0"/>
          <w:numId w:val="14"/>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pPr>
        <w:keepNext w:val="0"/>
        <w:keepLines w:val="0"/>
        <w:pageBreakBefore w:val="0"/>
        <w:widowControl w:val="0"/>
        <w:numPr>
          <w:ilvl w:val="0"/>
          <w:numId w:val="14"/>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pPr>
        <w:keepNext w:val="0"/>
        <w:keepLines w:val="0"/>
        <w:pageBreakBefore w:val="0"/>
        <w:widowControl w:val="0"/>
        <w:numPr>
          <w:ilvl w:val="0"/>
          <w:numId w:val="14"/>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rPr>
          <w:lang w:val="en-US" w:eastAsia="zh-CN"/>
        </w:rPr>
      </w:pPr>
    </w:p>
    <w:p>
      <w:pPr>
        <w:pStyle w:val="8"/>
        <w:rPr>
          <w:lang w:val="en-US" w:eastAsia="zh-CN"/>
        </w:rPr>
      </w:pPr>
    </w:p>
    <w:p>
      <w:pPr>
        <w:rPr>
          <w:lang w:val="en-US" w:eastAsia="zh-CN"/>
        </w:rPr>
      </w:pPr>
    </w:p>
    <w:p>
      <w:pPr>
        <w:pStyle w:val="2"/>
        <w:ind w:firstLine="0" w:firstLineChars="0"/>
        <w:rPr>
          <w:lang w:val="en-US" w:eastAsia="zh-CN"/>
        </w:rPr>
      </w:pPr>
    </w:p>
    <w:p>
      <w:pPr>
        <w:outlineLvl w:val="0"/>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pStyle w:val="40"/>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pStyle w:val="40"/>
        <w:spacing w:line="360" w:lineRule="auto"/>
        <w:ind w:left="-18" w:leftChars="-67" w:hanging="123" w:hangingChars="59"/>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cs="宋体"/>
          <w:sz w:val="21"/>
          <w:szCs w:val="21"/>
          <w:lang w:eastAsia="zh-CN"/>
        </w:rPr>
        <w:t>物流公司皮卡车租赁服务专有协议</w:t>
      </w:r>
      <w:r>
        <w:rPr>
          <w:rFonts w:hint="eastAsia" w:ascii="宋体" w:hAnsi="宋体" w:eastAsia="宋体" w:cs="宋体"/>
          <w:sz w:val="21"/>
          <w:szCs w:val="21"/>
        </w:rPr>
        <w:t xml:space="preserve">  </w:t>
      </w:r>
    </w:p>
    <w:p>
      <w:pPr>
        <w:pStyle w:val="40"/>
        <w:spacing w:line="360" w:lineRule="auto"/>
        <w:ind w:left="-18" w:leftChars="-67" w:hanging="123" w:hangingChars="59"/>
        <w:rPr>
          <w:rFonts w:hint="eastAsia" w:ascii="宋体" w:hAnsi="宋体" w:eastAsia="宋体" w:cs="宋体"/>
          <w:sz w:val="21"/>
          <w:szCs w:val="21"/>
        </w:rPr>
      </w:pPr>
      <w:r>
        <w:rPr>
          <w:rFonts w:hint="eastAsia" w:ascii="宋体" w:hAnsi="宋体" w:eastAsia="宋体" w:cs="宋体"/>
          <w:sz w:val="21"/>
          <w:szCs w:val="21"/>
        </w:rPr>
        <w:t xml:space="preserve">报价单位：元；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货币单位：人民币</w:t>
      </w:r>
    </w:p>
    <w:tbl>
      <w:tblPr>
        <w:tblStyle w:val="24"/>
        <w:tblpPr w:leftFromText="180" w:rightFromText="180" w:vertAnchor="text" w:horzAnchor="page" w:tblpX="1767" w:tblpY="484"/>
        <w:tblOverlap w:val="never"/>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512"/>
        <w:gridCol w:w="228"/>
        <w:gridCol w:w="2030"/>
        <w:gridCol w:w="992"/>
        <w:gridCol w:w="681"/>
        <w:gridCol w:w="1050"/>
        <w:gridCol w:w="623"/>
        <w:gridCol w:w="1165"/>
        <w:gridCol w:w="1108"/>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pPr>
              <w:rPr>
                <w:rFonts w:hint="eastAsia" w:ascii="宋体" w:hAnsi="宋体" w:eastAsia="宋体"/>
                <w:b/>
                <w:sz w:val="18"/>
                <w:szCs w:val="18"/>
                <w:lang w:val="en-US" w:eastAsia="zh-CN"/>
              </w:rPr>
            </w:pPr>
            <w:r>
              <w:rPr>
                <w:rFonts w:hint="eastAsia" w:ascii="宋体" w:hAnsi="宋体" w:eastAsia="宋体"/>
                <w:b/>
                <w:sz w:val="18"/>
                <w:szCs w:val="18"/>
                <w:lang w:val="en-US" w:eastAsia="zh-CN"/>
              </w:rPr>
              <w:t>序号</w:t>
            </w:r>
          </w:p>
        </w:tc>
        <w:tc>
          <w:tcPr>
            <w:tcW w:w="740" w:type="dxa"/>
            <w:gridSpan w:val="2"/>
            <w:vAlign w:val="center"/>
          </w:tcPr>
          <w:p>
            <w:pPr>
              <w:rPr>
                <w:rFonts w:hint="eastAsia" w:ascii="宋体" w:hAnsi="宋体" w:eastAsia="宋体"/>
                <w:b/>
                <w:sz w:val="18"/>
                <w:szCs w:val="18"/>
                <w:lang w:val="en-US" w:eastAsia="zh-CN"/>
              </w:rPr>
            </w:pPr>
            <w:r>
              <w:rPr>
                <w:rFonts w:hint="eastAsia" w:ascii="宋体" w:hAnsi="宋体" w:eastAsia="宋体" w:cstheme="minorBidi"/>
                <w:b/>
                <w:sz w:val="18"/>
                <w:szCs w:val="18"/>
                <w:vertAlign w:val="baseline"/>
                <w:lang w:val="en-US" w:eastAsia="zh-CN"/>
              </w:rPr>
              <w:t>服务内容</w:t>
            </w:r>
          </w:p>
        </w:tc>
        <w:tc>
          <w:tcPr>
            <w:tcW w:w="2030" w:type="dxa"/>
            <w:vAlign w:val="center"/>
          </w:tcPr>
          <w:p>
            <w:pPr>
              <w:rPr>
                <w:rFonts w:hint="eastAsia" w:ascii="宋体" w:hAnsi="宋体" w:eastAsia="宋体"/>
                <w:b/>
                <w:sz w:val="18"/>
                <w:szCs w:val="18"/>
                <w:lang w:val="en-US" w:eastAsia="zh-CN"/>
              </w:rPr>
            </w:pPr>
            <w:r>
              <w:rPr>
                <w:rFonts w:hint="eastAsia" w:ascii="宋体" w:hAnsi="宋体" w:eastAsia="宋体" w:cstheme="minorBidi"/>
                <w:b/>
                <w:sz w:val="18"/>
                <w:szCs w:val="18"/>
                <w:vertAlign w:val="baseline"/>
                <w:lang w:val="en-US" w:eastAsia="zh-CN"/>
              </w:rPr>
              <w:t>技术要求</w:t>
            </w:r>
          </w:p>
        </w:tc>
        <w:tc>
          <w:tcPr>
            <w:tcW w:w="992" w:type="dxa"/>
            <w:vAlign w:val="center"/>
          </w:tcPr>
          <w:p>
            <w:pPr>
              <w:rPr>
                <w:rFonts w:hint="eastAsia" w:ascii="宋体" w:hAnsi="宋体" w:eastAsia="宋体"/>
                <w:b/>
                <w:sz w:val="18"/>
                <w:szCs w:val="18"/>
                <w:lang w:val="en-US" w:eastAsia="zh-CN"/>
              </w:rPr>
            </w:pPr>
            <w:r>
              <w:rPr>
                <w:rFonts w:hint="eastAsia" w:ascii="宋体" w:hAnsi="宋体" w:eastAsia="宋体"/>
                <w:b/>
                <w:sz w:val="18"/>
                <w:szCs w:val="18"/>
                <w:lang w:val="en-US" w:eastAsia="zh-CN"/>
              </w:rPr>
              <w:t>单位</w:t>
            </w:r>
          </w:p>
        </w:tc>
        <w:tc>
          <w:tcPr>
            <w:tcW w:w="681" w:type="dxa"/>
            <w:vAlign w:val="center"/>
          </w:tcPr>
          <w:p>
            <w:pPr>
              <w:rPr>
                <w:rFonts w:hint="eastAsia" w:ascii="宋体" w:hAnsi="宋体" w:eastAsia="宋体"/>
                <w:b/>
                <w:sz w:val="18"/>
                <w:szCs w:val="18"/>
                <w:lang w:val="en-US" w:eastAsia="zh-CN"/>
              </w:rPr>
            </w:pPr>
            <w:r>
              <w:rPr>
                <w:rFonts w:hint="eastAsia" w:ascii="宋体" w:hAnsi="宋体" w:eastAsia="宋体"/>
                <w:b/>
                <w:sz w:val="18"/>
                <w:szCs w:val="18"/>
                <w:lang w:val="en-US" w:eastAsia="zh-CN"/>
              </w:rPr>
              <w:t>数量</w:t>
            </w:r>
          </w:p>
        </w:tc>
        <w:tc>
          <w:tcPr>
            <w:tcW w:w="1050" w:type="dxa"/>
            <w:vAlign w:val="center"/>
          </w:tcPr>
          <w:p>
            <w:pPr>
              <w:jc w:val="center"/>
              <w:rPr>
                <w:rFonts w:hint="eastAsia" w:ascii="宋体" w:hAnsi="宋体" w:eastAsia="宋体"/>
                <w:b/>
                <w:sz w:val="18"/>
                <w:szCs w:val="18"/>
                <w:lang w:val="en-US" w:eastAsia="zh-CN"/>
              </w:rPr>
            </w:pPr>
            <w:r>
              <w:rPr>
                <w:rFonts w:hint="eastAsia" w:ascii="宋体" w:hAnsi="宋体" w:eastAsia="宋体"/>
                <w:b/>
                <w:sz w:val="18"/>
                <w:szCs w:val="18"/>
              </w:rPr>
              <w:t>不含税单价（元）</w:t>
            </w:r>
          </w:p>
        </w:tc>
        <w:tc>
          <w:tcPr>
            <w:tcW w:w="623" w:type="dxa"/>
            <w:vAlign w:val="center"/>
          </w:tcPr>
          <w:p>
            <w:pPr>
              <w:jc w:val="center"/>
              <w:rPr>
                <w:rFonts w:hint="eastAsia" w:ascii="宋体" w:hAnsi="宋体" w:eastAsia="宋体"/>
                <w:b/>
                <w:sz w:val="18"/>
                <w:szCs w:val="18"/>
                <w:lang w:val="en-US" w:eastAsia="zh-CN"/>
              </w:rPr>
            </w:pPr>
            <w:r>
              <w:rPr>
                <w:rFonts w:hint="eastAsia" w:ascii="宋体" w:hAnsi="宋体" w:eastAsia="宋体"/>
                <w:b/>
                <w:sz w:val="18"/>
                <w:szCs w:val="18"/>
              </w:rPr>
              <w:t>税率</w:t>
            </w:r>
          </w:p>
        </w:tc>
        <w:tc>
          <w:tcPr>
            <w:tcW w:w="1165" w:type="dxa"/>
            <w:vAlign w:val="center"/>
          </w:tcPr>
          <w:p>
            <w:pPr>
              <w:jc w:val="center"/>
              <w:rPr>
                <w:rFonts w:hint="eastAsia" w:ascii="宋体" w:hAnsi="宋体" w:eastAsia="宋体"/>
                <w:b/>
                <w:sz w:val="18"/>
                <w:szCs w:val="18"/>
                <w:lang w:val="en-US" w:eastAsia="zh-CN"/>
              </w:rPr>
            </w:pPr>
            <w:r>
              <w:rPr>
                <w:rFonts w:hint="eastAsia" w:ascii="宋体" w:hAnsi="宋体" w:eastAsia="宋体"/>
                <w:b/>
                <w:sz w:val="18"/>
                <w:szCs w:val="18"/>
              </w:rPr>
              <w:t>不含税小计（元）</w:t>
            </w:r>
          </w:p>
        </w:tc>
        <w:tc>
          <w:tcPr>
            <w:tcW w:w="1108" w:type="dxa"/>
            <w:vAlign w:val="center"/>
          </w:tcPr>
          <w:p>
            <w:pPr>
              <w:ind w:firstLine="0" w:firstLineChars="0"/>
              <w:jc w:val="center"/>
              <w:rPr>
                <w:rFonts w:hint="eastAsia" w:ascii="宋体" w:hAnsi="宋体" w:eastAsia="宋体"/>
                <w:b/>
                <w:sz w:val="18"/>
                <w:szCs w:val="18"/>
                <w:lang w:val="en-US" w:eastAsia="zh-CN"/>
              </w:rPr>
            </w:pPr>
            <w:r>
              <w:rPr>
                <w:rFonts w:hint="eastAsia" w:ascii="宋体" w:hAnsi="宋体" w:eastAsia="宋体"/>
                <w:b/>
                <w:sz w:val="18"/>
                <w:szCs w:val="18"/>
              </w:rPr>
              <w:t>含税小计（元）</w:t>
            </w:r>
          </w:p>
        </w:tc>
        <w:tc>
          <w:tcPr>
            <w:tcW w:w="748" w:type="dxa"/>
            <w:vAlign w:val="center"/>
          </w:tcPr>
          <w:p>
            <w:pPr>
              <w:jc w:val="center"/>
              <w:rPr>
                <w:rFonts w:hint="eastAsia" w:ascii="宋体" w:hAnsi="宋体" w:eastAsia="宋体"/>
                <w:b/>
                <w:sz w:val="18"/>
                <w:szCs w:val="18"/>
                <w:lang w:val="en-US" w:eastAsia="zh-CN"/>
              </w:rPr>
            </w:pPr>
            <w:r>
              <w:rPr>
                <w:rFonts w:hint="eastAsia" w:ascii="宋体" w:hAnsi="宋体" w:eastAsia="宋体"/>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highlight w:val="none"/>
                <w:lang w:val="en-US" w:eastAsia="zh-CN"/>
              </w:rPr>
            </w:pPr>
            <w: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t>1</w:t>
            </w:r>
          </w:p>
        </w:tc>
        <w:tc>
          <w:tcPr>
            <w:tcW w:w="740" w:type="dxa"/>
            <w:gridSpan w:val="2"/>
            <w:vAlign w:val="center"/>
          </w:tcPr>
          <w:p>
            <w:pPr>
              <w:pStyle w:val="22"/>
              <w:ind w:left="0" w:leftChars="0" w:firstLine="0" w:firstLineChars="0"/>
              <w:jc w:val="center"/>
              <w:rPr>
                <w:rFonts w:hint="default"/>
                <w:highlight w:val="none"/>
                <w:lang w:val="en-US" w:eastAsia="zh-CN"/>
              </w:rPr>
            </w:pPr>
            <w:r>
              <w:rPr>
                <w:rFonts w:hint="eastAsia" w:ascii="宋体" w:hAnsi="宋体" w:eastAsia="宋体" w:cs="宋体"/>
                <w:sz w:val="22"/>
                <w:szCs w:val="22"/>
                <w:vertAlign w:val="baseline"/>
                <w:lang w:val="en-US" w:eastAsia="zh-CN"/>
              </w:rPr>
              <w:t>车辆租赁</w:t>
            </w:r>
          </w:p>
        </w:tc>
        <w:tc>
          <w:tcPr>
            <w:tcW w:w="2030" w:type="dxa"/>
            <w:vAlign w:val="center"/>
          </w:tcPr>
          <w:p>
            <w:pPr>
              <w:pStyle w:val="22"/>
              <w:ind w:left="0" w:leftChars="0" w:firstLine="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性能不低于长城汽车-长城炮（2025款 2.0T商用炮 自动汽油四驱舒适型 标箱GW4C20B）/长安览拓者2025款 臻享款 2.0T 自动四驱汽油精英型长箱/中兴汽车-威狮1949（2025款2.0T乘用版汽油自动四驱舒适型（含司机）</w:t>
            </w:r>
          </w:p>
        </w:tc>
        <w:tc>
          <w:tcPr>
            <w:tcW w:w="992" w:type="dxa"/>
            <w:vAlign w:val="center"/>
          </w:tcPr>
          <w:p>
            <w:pPr>
              <w:pStyle w:val="22"/>
              <w:ind w:left="0" w:leftChars="0" w:firstLine="0" w:firstLineChars="0"/>
              <w:jc w:val="center"/>
              <w:rPr>
                <w:rFonts w:hint="default"/>
                <w:highlight w:val="none"/>
                <w:lang w:val="en-US" w:eastAsia="zh-CN"/>
              </w:rPr>
            </w:pPr>
            <w:r>
              <w:rPr>
                <w:rFonts w:hint="eastAsia" w:ascii="宋体" w:hAnsi="宋体" w:eastAsia="宋体" w:cs="宋体"/>
                <w:sz w:val="22"/>
                <w:szCs w:val="22"/>
                <w:vertAlign w:val="baseline"/>
                <w:lang w:val="en-US" w:eastAsia="zh-CN"/>
              </w:rPr>
              <w:t>元/辆/月</w:t>
            </w:r>
          </w:p>
        </w:tc>
        <w:tc>
          <w:tcPr>
            <w:tcW w:w="681" w:type="dxa"/>
            <w:vAlign w:val="center"/>
          </w:tcPr>
          <w:p>
            <w:pPr>
              <w:pStyle w:val="22"/>
              <w:ind w:left="0" w:leftChars="0" w:firstLine="0" w:firstLineChars="0"/>
              <w:jc w:val="center"/>
              <w:rPr>
                <w:rFonts w:hint="default" w:ascii="Microsoft YaHei UI" w:hAnsi="Microsoft YaHei UI" w:eastAsia="Microsoft YaHei UI" w:cs="宋体"/>
                <w:color w:val="auto"/>
                <w:kern w:val="2"/>
                <w:sz w:val="21"/>
                <w:szCs w:val="21"/>
                <w:highlight w:val="none"/>
                <w:lang w:val="en-US" w:eastAsia="zh-CN" w:bidi="ar-SA"/>
              </w:rPr>
            </w:pPr>
            <w:r>
              <w:rPr>
                <w:rFonts w:hint="eastAsia" w:ascii="宋体" w:hAnsi="宋体" w:eastAsia="宋体" w:cs="宋体"/>
                <w:sz w:val="22"/>
                <w:szCs w:val="22"/>
                <w:vertAlign w:val="baseline"/>
                <w:lang w:val="en-US" w:eastAsia="zh-CN"/>
              </w:rPr>
              <w:t>36</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p>
        </w:tc>
        <w:tc>
          <w:tcPr>
            <w:tcW w:w="62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楷体" w:hAnsi="楷体" w:eastAsia="楷体" w:cs="楷体"/>
                <w:color w:val="000000" w:themeColor="text1"/>
                <w:kern w:val="2"/>
                <w:sz w:val="24"/>
                <w:szCs w:val="24"/>
                <w:highlight w:val="none"/>
                <w:lang w:val="en-US" w:eastAsia="zh-CN" w:bidi="ar-SA"/>
                <w14:textFill>
                  <w14:solidFill>
                    <w14:schemeClr w14:val="tx1"/>
                  </w14:solidFill>
                </w14:textFill>
              </w:rPr>
            </w:pPr>
            <w: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t>9%</w:t>
            </w:r>
          </w:p>
        </w:tc>
        <w:tc>
          <w:tcPr>
            <w:tcW w:w="116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p>
        </w:tc>
        <w:tc>
          <w:tcPr>
            <w:tcW w:w="110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p>
        </w:tc>
        <w:tc>
          <w:tcPr>
            <w:tcW w:w="74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highlight w:val="none"/>
                <w:lang w:val="en-US" w:eastAsia="zh-CN"/>
              </w:rPr>
            </w:pPr>
            <w: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t>2</w:t>
            </w:r>
          </w:p>
        </w:tc>
        <w:tc>
          <w:tcPr>
            <w:tcW w:w="740" w:type="dxa"/>
            <w:gridSpan w:val="2"/>
            <w:vAlign w:val="center"/>
          </w:tcPr>
          <w:p>
            <w:pPr>
              <w:pStyle w:val="22"/>
              <w:ind w:left="0" w:leftChars="0" w:firstLine="0" w:firstLineChars="0"/>
              <w:jc w:val="center"/>
              <w:rPr>
                <w:rFonts w:hint="eastAsia" w:ascii="Microsoft YaHei UI" w:hAnsi="Microsoft YaHei UI" w:eastAsia="Microsoft YaHei UI" w:cs="宋体"/>
                <w:sz w:val="21"/>
                <w:szCs w:val="21"/>
                <w:highlight w:val="none"/>
                <w:lang w:val="en-US" w:eastAsia="zh-CN" w:bidi="ar-SA"/>
              </w:rPr>
            </w:pPr>
            <w:r>
              <w:rPr>
                <w:rFonts w:hint="eastAsia" w:ascii="宋体" w:hAnsi="宋体" w:eastAsia="宋体" w:cs="宋体"/>
                <w:sz w:val="22"/>
                <w:szCs w:val="22"/>
                <w:vertAlign w:val="baseline"/>
                <w:lang w:eastAsia="zh-CN"/>
              </w:rPr>
              <w:t>超公里</w:t>
            </w:r>
          </w:p>
        </w:tc>
        <w:tc>
          <w:tcPr>
            <w:tcW w:w="2030" w:type="dxa"/>
            <w:vAlign w:val="center"/>
          </w:tcPr>
          <w:p>
            <w:pPr>
              <w:pStyle w:val="22"/>
              <w:ind w:left="0" w:leftChars="0" w:firstLine="0" w:firstLineChars="0"/>
              <w:jc w:val="both"/>
              <w:rPr>
                <w:rFonts w:hint="eastAsia" w:ascii="宋体" w:hAnsi="宋体" w:eastAsia="宋体" w:cs="宋体"/>
                <w:sz w:val="22"/>
                <w:szCs w:val="22"/>
                <w:vertAlign w:val="baseline"/>
                <w:lang w:eastAsia="zh-CN"/>
              </w:rPr>
            </w:pPr>
            <w:r>
              <w:rPr>
                <w:rFonts w:hint="eastAsia" w:ascii="宋体" w:hAnsi="宋体" w:eastAsia="宋体" w:cs="宋体"/>
                <w:sz w:val="22"/>
                <w:szCs w:val="22"/>
                <w:vertAlign w:val="baseline"/>
                <w:lang w:eastAsia="zh-CN"/>
              </w:rPr>
              <w:t>年行驶里程超2万公里后，执行该费率</w:t>
            </w:r>
          </w:p>
        </w:tc>
        <w:tc>
          <w:tcPr>
            <w:tcW w:w="992" w:type="dxa"/>
            <w:vAlign w:val="center"/>
          </w:tcPr>
          <w:p>
            <w:pPr>
              <w:pStyle w:val="22"/>
              <w:ind w:left="0" w:leftChars="0" w:firstLine="0" w:firstLineChars="0"/>
              <w:jc w:val="center"/>
              <w:rPr>
                <w:rFonts w:hint="eastAsia"/>
                <w:highlight w:val="none"/>
                <w:lang w:val="en-US" w:eastAsia="zh-CN"/>
              </w:rPr>
            </w:pPr>
            <w:r>
              <w:rPr>
                <w:rFonts w:hint="eastAsia" w:ascii="宋体" w:hAnsi="宋体" w:eastAsia="宋体" w:cs="宋体"/>
                <w:sz w:val="22"/>
                <w:szCs w:val="22"/>
                <w:vertAlign w:val="baseline"/>
                <w:lang w:val="en-US" w:eastAsia="zh-CN"/>
              </w:rPr>
              <w:t>元/公里</w:t>
            </w:r>
          </w:p>
        </w:tc>
        <w:tc>
          <w:tcPr>
            <w:tcW w:w="681" w:type="dxa"/>
            <w:vAlign w:val="center"/>
          </w:tcPr>
          <w:p>
            <w:pPr>
              <w:pStyle w:val="22"/>
              <w:ind w:left="0" w:leftChars="0" w:firstLine="0" w:firstLineChars="0"/>
              <w:jc w:val="center"/>
              <w:rPr>
                <w:rFonts w:hint="default" w:ascii="Microsoft YaHei UI" w:hAnsi="Microsoft YaHei UI" w:eastAsia="Microsoft YaHei UI" w:cs="宋体"/>
                <w:color w:val="auto"/>
                <w:kern w:val="2"/>
                <w:sz w:val="21"/>
                <w:szCs w:val="21"/>
                <w:highlight w:val="none"/>
                <w:lang w:val="en-US" w:eastAsia="zh-CN" w:bidi="ar-SA"/>
              </w:rPr>
            </w:pPr>
            <w:r>
              <w:rPr>
                <w:rFonts w:hint="eastAsia" w:ascii="宋体" w:hAnsi="宋体" w:eastAsia="宋体" w:cs="宋体"/>
                <w:sz w:val="22"/>
                <w:szCs w:val="22"/>
                <w:vertAlign w:val="baseline"/>
                <w:lang w:val="en-US" w:eastAsia="zh-CN"/>
              </w:rPr>
              <w:t>3600</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p>
        </w:tc>
        <w:tc>
          <w:tcPr>
            <w:tcW w:w="62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t>9%</w:t>
            </w:r>
          </w:p>
        </w:tc>
        <w:tc>
          <w:tcPr>
            <w:tcW w:w="116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p>
        </w:tc>
        <w:tc>
          <w:tcPr>
            <w:tcW w:w="110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p>
        </w:tc>
        <w:tc>
          <w:tcPr>
            <w:tcW w:w="74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06"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p>
        </w:tc>
        <w:tc>
          <w:tcPr>
            <w:tcW w:w="5604" w:type="dxa"/>
            <w:gridSpan w:val="6"/>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楷体" w:hAnsi="楷体" w:eastAsia="楷体" w:cs="楷体"/>
                <w:color w:val="000000" w:themeColor="text1"/>
                <w:kern w:val="2"/>
                <w:sz w:val="24"/>
                <w:szCs w:val="24"/>
                <w:highlight w:val="none"/>
                <w:lang w:val="en-US" w:eastAsia="zh-CN" w:bidi="ar-SA"/>
                <w14:textFill>
                  <w14:solidFill>
                    <w14:schemeClr w14:val="tx1"/>
                  </w14:solidFill>
                </w14:textFill>
              </w:rPr>
            </w:pPr>
            <w: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t>合计</w:t>
            </w:r>
          </w:p>
        </w:tc>
        <w:tc>
          <w:tcPr>
            <w:tcW w:w="116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p>
        </w:tc>
        <w:tc>
          <w:tcPr>
            <w:tcW w:w="110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p>
        </w:tc>
        <w:tc>
          <w:tcPr>
            <w:tcW w:w="74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06" w:type="dxa"/>
            <w:gridSpan w:val="2"/>
            <w:vAlign w:val="top"/>
          </w:tcPr>
          <w:p>
            <w:pPr>
              <w:widowControl/>
              <w:spacing w:line="360" w:lineRule="auto"/>
              <w:jc w:val="left"/>
              <w:rPr>
                <w:rFonts w:hint="eastAsia" w:cs="Calibri" w:asciiTheme="minorEastAsia" w:hAnsiTheme="minorEastAsia"/>
                <w:kern w:val="0"/>
                <w:szCs w:val="21"/>
              </w:rPr>
            </w:pPr>
          </w:p>
        </w:tc>
        <w:tc>
          <w:tcPr>
            <w:tcW w:w="8625" w:type="dxa"/>
            <w:gridSpan w:val="9"/>
            <w:vAlign w:val="top"/>
          </w:tcPr>
          <w:p>
            <w:pPr>
              <w:widowControl/>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cs="Calibri" w:asciiTheme="minorEastAsia" w:hAnsiTheme="minorEastAsia"/>
                <w:kern w:val="0"/>
                <w:szCs w:val="21"/>
              </w:rPr>
              <w:t>不含税</w:t>
            </w:r>
            <w:r>
              <w:rPr>
                <w:rFonts w:cs="Calibri" w:asciiTheme="minorEastAsia" w:hAnsiTheme="minorEastAsia"/>
                <w:kern w:val="0"/>
                <w:szCs w:val="21"/>
              </w:rPr>
              <w:t>总价</w:t>
            </w:r>
            <w:r>
              <w:rPr>
                <w:rFonts w:hint="eastAsia" w:cs="Calibri" w:asciiTheme="minorEastAsia" w:hAnsiTheme="minorEastAsia"/>
                <w:kern w:val="0"/>
                <w:szCs w:val="21"/>
              </w:rPr>
              <w:t>（大写</w:t>
            </w:r>
            <w:r>
              <w:rPr>
                <w:rFonts w:cs="Calibri" w:asciiTheme="minorEastAsia" w:hAnsiTheme="minorEastAsia"/>
                <w:kern w:val="0"/>
                <w:szCs w:val="21"/>
              </w:rPr>
              <w:t>人民币</w:t>
            </w:r>
            <w:r>
              <w:rPr>
                <w:rFonts w:hint="eastAsia" w:cs="Calibri" w:asciiTheme="minorEastAsia" w:hAnsiTheme="minorEastAsia"/>
                <w:kern w:val="0"/>
                <w:szCs w:val="21"/>
              </w:rPr>
              <w:t>）：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06" w:type="dxa"/>
            <w:gridSpan w:val="2"/>
            <w:vAlign w:val="top"/>
          </w:tcPr>
          <w:p>
            <w:pPr>
              <w:widowControl/>
              <w:spacing w:line="360" w:lineRule="auto"/>
              <w:jc w:val="left"/>
              <w:rPr>
                <w:rFonts w:hint="eastAsia" w:cs="Calibri" w:asciiTheme="minorEastAsia" w:hAnsiTheme="minorEastAsia"/>
                <w:kern w:val="0"/>
                <w:szCs w:val="21"/>
              </w:rPr>
            </w:pPr>
          </w:p>
        </w:tc>
        <w:tc>
          <w:tcPr>
            <w:tcW w:w="8625" w:type="dxa"/>
            <w:gridSpan w:val="9"/>
            <w:vAlign w:val="top"/>
          </w:tcPr>
          <w:p>
            <w:pPr>
              <w:widowControl/>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cs="Calibri" w:asciiTheme="minorEastAsia" w:hAnsiTheme="minorEastAsia"/>
                <w:kern w:val="0"/>
                <w:szCs w:val="21"/>
              </w:rPr>
              <w:t>含税</w:t>
            </w:r>
            <w:r>
              <w:rPr>
                <w:rFonts w:cs="Calibri" w:asciiTheme="minorEastAsia" w:hAnsiTheme="minorEastAsia"/>
                <w:kern w:val="0"/>
                <w:szCs w:val="21"/>
              </w:rPr>
              <w:t>总价</w:t>
            </w:r>
            <w:r>
              <w:rPr>
                <w:rFonts w:hint="eastAsia" w:cs="Calibri" w:asciiTheme="minorEastAsia" w:hAnsiTheme="minorEastAsia"/>
                <w:kern w:val="0"/>
                <w:szCs w:val="21"/>
              </w:rPr>
              <w:t>（大写</w:t>
            </w:r>
            <w:r>
              <w:rPr>
                <w:rFonts w:cs="Calibri" w:asciiTheme="minorEastAsia" w:hAnsiTheme="minorEastAsia"/>
                <w:kern w:val="0"/>
                <w:szCs w:val="21"/>
              </w:rPr>
              <w:t>人民币</w:t>
            </w:r>
            <w:r>
              <w:rPr>
                <w:rFonts w:hint="eastAsia" w:cs="Calibri" w:asciiTheme="minorEastAsia" w:hAnsiTheme="minorEastAsia"/>
                <w:kern w:val="0"/>
                <w:szCs w:val="21"/>
              </w:rPr>
              <w:t>）：                元整</w:t>
            </w:r>
          </w:p>
        </w:tc>
      </w:tr>
    </w:tbl>
    <w:p>
      <w:pPr>
        <w:pStyle w:val="4"/>
        <w:rPr>
          <w:rFonts w:hint="eastAsia"/>
        </w:rPr>
      </w:pPr>
    </w:p>
    <w:p>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注：</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hint="eastAsia" w:asciiTheme="minorEastAsia" w:hAnsiTheme="minorEastAsia"/>
          <w:color w:val="000000" w:themeColor="text1"/>
          <w:sz w:val="21"/>
          <w:szCs w:val="21"/>
          <w:highlight w:val="none"/>
          <w:lang w:val="en-US" w:eastAsia="zh-CN"/>
          <w14:textFill>
            <w14:solidFill>
              <w14:schemeClr w14:val="tx1"/>
            </w14:solidFill>
          </w14:textFill>
        </w:rPr>
        <w:t>120</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服务类）服务期：</w:t>
      </w:r>
      <w:r>
        <w:rPr>
          <w:rFonts w:hint="eastAsia" w:asciiTheme="minorEastAsia" w:hAnsiTheme="minorEastAsia"/>
          <w:color w:val="000000" w:themeColor="text1"/>
          <w:sz w:val="21"/>
          <w:szCs w:val="21"/>
          <w:highlight w:val="none"/>
          <w14:textFill>
            <w14:solidFill>
              <w14:schemeClr w14:val="tx1"/>
            </w14:solidFill>
          </w14:textFill>
        </w:rPr>
        <w:t>自合同签订之日起3年内有效，在合同执行阶段采用“1+1+1”的方式，即合同届满1年，若买卖双方对合同条款及合同价格均无异议，自动顺延一年，最多顺延2年。协议期满后，如有未执行完毕的订单，该订单应履行完毕</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pStyle w:val="40"/>
        <w:spacing w:line="276" w:lineRule="auto"/>
        <w:ind w:firstLine="0"/>
        <w:jc w:val="left"/>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3、付款条款：银行电汇</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宋体" w:hAnsi="宋体" w:eastAsia="宋体" w:cs="宋体"/>
          <w:b w:val="0"/>
          <w:sz w:val="22"/>
          <w:szCs w:val="22"/>
          <w:lang w:val="en-US" w:eastAsia="zh-CN"/>
        </w:rPr>
        <w:t>月度付款</w:t>
      </w:r>
    </w:p>
    <w:p>
      <w:pPr>
        <w:pStyle w:val="40"/>
        <w:spacing w:line="276" w:lineRule="auto"/>
        <w:ind w:firstLine="0"/>
        <w:jc w:val="left"/>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甲方及甲方执行方在每月第15日前确认上个月度实际发生的经验收合格的具体工作量，自验收合格之日起，乙方3日内向甲方执行方提供与上个月度《服务委托书》中价款相应的有效增值税专用发票及相关支持文件。如果甲方对乙方出具的该等发票和提供的相关支持文件无异议，甲方在收到发票及相关支持文件之日起四十五（45）日向乙方付款。如付款到期日为非银行工作日，则付款到期日顺延至下一个银行工作日。</w:t>
      </w:r>
    </w:p>
    <w:p>
      <w:pPr>
        <w:pStyle w:val="40"/>
        <w:spacing w:line="276" w:lineRule="auto"/>
        <w:ind w:firstLine="0"/>
        <w:jc w:val="lef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3、以上报价包括：备品备件费、现场勘察费、报告编制费、交通住宿费、管理费、服务费、税费、利润、税金/其它等完成检测评估服务的所有费用，报价文件中规定的其它义务/风险/责任有关的费用及一切与履行本询价文件有关的于此处未列明的其它所有费用。固定单价在询价有效期和其必要的延长期内是固定的，不因通货膨胀、利/汇率、税/费变化而作任何调整。（请应答人响应）</w:t>
      </w:r>
    </w:p>
    <w:p>
      <w:pPr>
        <w:pStyle w:val="40"/>
        <w:spacing w:line="276" w:lineRule="auto"/>
        <w:ind w:firstLine="0"/>
        <w:jc w:val="lef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4、开具发票种类：增值税专用发票/增值税普通发票/其它。（请应答人如实填写具体发票种类）</w:t>
      </w:r>
    </w:p>
    <w:p>
      <w:pPr>
        <w:pStyle w:val="40"/>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5、其它。应答人如有其它说明请补充。报价单位</w:t>
      </w:r>
      <w:r>
        <w:rPr>
          <w:rFonts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auto"/>
          <w:sz w:val="21"/>
          <w:szCs w:val="21"/>
          <w:highlight w:val="none"/>
          <w:lang w:val="en-US" w:eastAsia="zh-CN"/>
        </w:rPr>
        <w:t>加</w:t>
      </w:r>
      <w:r>
        <w:rPr>
          <w:rFonts w:hint="eastAsia" w:asciiTheme="minorEastAsia" w:hAnsiTheme="minorEastAsia" w:eastAsiaTheme="minorEastAsia"/>
          <w:color w:val="000000" w:themeColor="text1"/>
          <w:sz w:val="21"/>
          <w:szCs w:val="21"/>
          <w:highlight w:val="none"/>
          <w14:textFill>
            <w14:solidFill>
              <w14:schemeClr w14:val="tx1"/>
            </w14:solidFill>
          </w14:textFill>
        </w:rPr>
        <w:t>盖</w:t>
      </w:r>
      <w:r>
        <w:rPr>
          <w:rFonts w:asciiTheme="minorEastAsia" w:hAnsiTheme="minorEastAsia" w:eastAsia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40"/>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仿宋" w:hAnsi="仿宋" w:eastAsia="仿宋" w:cs="仿宋"/>
          <w:bCs/>
          <w:color w:val="auto"/>
          <w:sz w:val="21"/>
          <w:szCs w:val="21"/>
          <w:highlight w:val="none"/>
          <w:lang w:eastAsia="zh-CN"/>
        </w:rPr>
        <w:t>法定代表人（单位负责人）或其委托代理人签字：</w:t>
      </w:r>
    </w:p>
    <w:p>
      <w:pPr>
        <w:pStyle w:val="40"/>
        <w:spacing w:line="360" w:lineRule="auto"/>
        <w:ind w:right="560" w:firstLine="4830" w:firstLineChars="2300"/>
      </w:pPr>
      <w:r>
        <w:rPr>
          <w:rFonts w:hint="eastAsia" w:asciiTheme="minorEastAsia" w:hAnsiTheme="minorEastAsia" w:eastAsiaTheme="minorEastAsia"/>
          <w:color w:val="000000" w:themeColor="text1"/>
          <w:sz w:val="21"/>
          <w:szCs w:val="21"/>
          <w:highlight w:val="none"/>
          <w14:textFill>
            <w14:solidFill>
              <w14:schemeClr w14:val="tx1"/>
            </w14:solidFill>
          </w14:textFill>
        </w:rPr>
        <w:t>报价日期</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***年**月**日</w:t>
      </w:r>
    </w:p>
    <w:p/>
    <w:p/>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Noto Sans CJK DemiLight">
    <w:altName w:val="宋体"/>
    <w:panose1 w:val="00000000000000000000"/>
    <w:charset w:val="86"/>
    <w:family w:val="swiss"/>
    <w:pitch w:val="default"/>
    <w:sig w:usb0="00000000" w:usb1="00000000" w:usb2="00000016" w:usb3="00000000" w:csb0="002E0107"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83239"/>
    <w:multiLevelType w:val="multilevel"/>
    <w:tmpl w:val="81C83239"/>
    <w:lvl w:ilvl="0" w:tentative="0">
      <w:start w:val="1"/>
      <w:numFmt w:val="decimalEnclosedCircleChinese"/>
      <w:lvlText w:val="%1"/>
      <w:lvlJc w:val="left"/>
      <w:pPr>
        <w:ind w:left="840" w:hanging="420"/>
      </w:pPr>
      <w:rPr>
        <w:rFonts w:hint="eastAsia" w:ascii="宋体" w:hAnsi="宋体" w:eastAsia="宋体"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8F8EC15C"/>
    <w:multiLevelType w:val="singleLevel"/>
    <w:tmpl w:val="8F8EC15C"/>
    <w:lvl w:ilvl="0" w:tentative="0">
      <w:start w:val="2"/>
      <w:numFmt w:val="decimal"/>
      <w:suff w:val="nothing"/>
      <w:lvlText w:val="%1、"/>
      <w:lvlJc w:val="left"/>
    </w:lvl>
  </w:abstractNum>
  <w:abstractNum w:abstractNumId="2">
    <w:nsid w:val="921C6AE5"/>
    <w:multiLevelType w:val="multilevel"/>
    <w:tmpl w:val="921C6AE5"/>
    <w:lvl w:ilvl="0" w:tentative="0">
      <w:start w:val="1"/>
      <w:numFmt w:val="decimalEnclosedCircleChinese"/>
      <w:lvlText w:val="%1"/>
      <w:lvlJc w:val="left"/>
      <w:pPr>
        <w:ind w:left="840" w:hanging="420"/>
      </w:pPr>
      <w:rPr>
        <w:rFonts w:hint="eastAsia" w:ascii="宋体" w:hAnsi="宋体" w:eastAsia="宋体"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D7560EC0"/>
    <w:multiLevelType w:val="multilevel"/>
    <w:tmpl w:val="D7560EC0"/>
    <w:lvl w:ilvl="0" w:tentative="0">
      <w:start w:val="1"/>
      <w:numFmt w:val="decimalEnclosedCircleChinese"/>
      <w:lvlText w:val="%1"/>
      <w:lvlJc w:val="left"/>
      <w:pPr>
        <w:ind w:left="840" w:hanging="420"/>
      </w:pPr>
      <w:rPr>
        <w:rFonts w:hint="eastAsia" w:ascii="宋体" w:hAnsi="宋体" w:eastAsia="宋体"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DBD6E6B5"/>
    <w:multiLevelType w:val="multilevel"/>
    <w:tmpl w:val="DBD6E6B5"/>
    <w:lvl w:ilvl="0" w:tentative="0">
      <w:start w:val="1"/>
      <w:numFmt w:val="decimalEnclosedCircleChinese"/>
      <w:lvlText w:val="%1"/>
      <w:lvlJc w:val="left"/>
      <w:pPr>
        <w:ind w:left="840" w:hanging="420"/>
      </w:pPr>
      <w:rPr>
        <w:rFonts w:hint="eastAsia" w:ascii="宋体" w:hAnsi="宋体" w:eastAsia="宋体"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17AC5342"/>
    <w:multiLevelType w:val="multilevel"/>
    <w:tmpl w:val="17AC5342"/>
    <w:lvl w:ilvl="0" w:tentative="0">
      <w:start w:val="1"/>
      <w:numFmt w:val="decimalEnclosedCircleChinese"/>
      <w:lvlText w:val="%1"/>
      <w:lvlJc w:val="left"/>
      <w:pPr>
        <w:ind w:left="840" w:hanging="420"/>
      </w:pPr>
      <w:rPr>
        <w:rFonts w:hint="eastAsia" w:ascii="宋体" w:hAnsi="宋体" w:eastAsia="宋体"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18324A0E"/>
    <w:multiLevelType w:val="singleLevel"/>
    <w:tmpl w:val="18324A0E"/>
    <w:lvl w:ilvl="0" w:tentative="0">
      <w:start w:val="1"/>
      <w:numFmt w:val="decimal"/>
      <w:suff w:val="nothing"/>
      <w:lvlText w:val="%1、"/>
      <w:lvlJc w:val="left"/>
    </w:lvl>
  </w:abstractNum>
  <w:abstractNum w:abstractNumId="7">
    <w:nsid w:val="311E092D"/>
    <w:multiLevelType w:val="multilevel"/>
    <w:tmpl w:val="311E092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F6B2D87"/>
    <w:multiLevelType w:val="multilevel"/>
    <w:tmpl w:val="3F6B2D87"/>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0B6C9A8"/>
    <w:multiLevelType w:val="singleLevel"/>
    <w:tmpl w:val="40B6C9A8"/>
    <w:lvl w:ilvl="0" w:tentative="0">
      <w:start w:val="1"/>
      <w:numFmt w:val="decimal"/>
      <w:suff w:val="nothing"/>
      <w:lvlText w:val="%1、"/>
      <w:lvlJc w:val="left"/>
    </w:lvl>
  </w:abstractNum>
  <w:abstractNum w:abstractNumId="10">
    <w:nsid w:val="55A31A03"/>
    <w:multiLevelType w:val="singleLevel"/>
    <w:tmpl w:val="55A31A03"/>
    <w:lvl w:ilvl="0" w:tentative="0">
      <w:start w:val="1"/>
      <w:numFmt w:val="upperLetter"/>
      <w:pStyle w:val="3"/>
      <w:lvlText w:val="%1."/>
      <w:lvlJc w:val="left"/>
      <w:pPr>
        <w:tabs>
          <w:tab w:val="left" w:pos="425"/>
        </w:tabs>
        <w:ind w:left="425" w:hanging="425"/>
      </w:pPr>
    </w:lvl>
  </w:abstractNum>
  <w:abstractNum w:abstractNumId="11">
    <w:nsid w:val="60BFA423"/>
    <w:multiLevelType w:val="singleLevel"/>
    <w:tmpl w:val="60BFA423"/>
    <w:lvl w:ilvl="0" w:tentative="0">
      <w:start w:val="1"/>
      <w:numFmt w:val="decimalEnclosedCircleChinese"/>
      <w:suff w:val="nothing"/>
      <w:lvlText w:val="%1　"/>
      <w:lvlJc w:val="left"/>
      <w:pPr>
        <w:tabs>
          <w:tab w:val="left" w:pos="0"/>
        </w:tabs>
        <w:ind w:left="0" w:firstLine="403"/>
      </w:pPr>
      <w:rPr>
        <w:rFonts w:hint="eastAsia" w:ascii="宋体" w:hAnsi="宋体" w:eastAsia="宋体" w:cs="宋体"/>
      </w:rPr>
    </w:lvl>
  </w:abstractNum>
  <w:abstractNum w:abstractNumId="12">
    <w:nsid w:val="61694D6C"/>
    <w:multiLevelType w:val="singleLevel"/>
    <w:tmpl w:val="61694D6C"/>
    <w:lvl w:ilvl="0" w:tentative="0">
      <w:start w:val="1"/>
      <w:numFmt w:val="decimal"/>
      <w:suff w:val="nothing"/>
      <w:lvlText w:val="%1、"/>
      <w:lvlJc w:val="left"/>
    </w:lvl>
  </w:abstractNum>
  <w:abstractNum w:abstractNumId="13">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7"/>
  </w:num>
  <w:num w:numId="3">
    <w:abstractNumId w:val="1"/>
  </w:num>
  <w:num w:numId="4">
    <w:abstractNumId w:val="4"/>
  </w:num>
  <w:num w:numId="5">
    <w:abstractNumId w:val="3"/>
  </w:num>
  <w:num w:numId="6">
    <w:abstractNumId w:val="5"/>
  </w:num>
  <w:num w:numId="7">
    <w:abstractNumId w:val="11"/>
  </w:num>
  <w:num w:numId="8">
    <w:abstractNumId w:val="8"/>
  </w:num>
  <w:num w:numId="9">
    <w:abstractNumId w:val="0"/>
  </w:num>
  <w:num w:numId="10">
    <w:abstractNumId w:val="2"/>
  </w:num>
  <w:num w:numId="11">
    <w:abstractNumId w:val="9"/>
  </w:num>
  <w:num w:numId="12">
    <w:abstractNumId w:val="6"/>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kNjI1N2Y2Zjg3ZGJkOWUyYWI5OTMxZTU0MzRmMjcifQ=="/>
  </w:docVars>
  <w:rsids>
    <w:rsidRoot w:val="004E3E2C"/>
    <w:rsid w:val="00026570"/>
    <w:rsid w:val="000338BA"/>
    <w:rsid w:val="000700B5"/>
    <w:rsid w:val="00087D76"/>
    <w:rsid w:val="00087F3D"/>
    <w:rsid w:val="000B1A0B"/>
    <w:rsid w:val="000B4F8A"/>
    <w:rsid w:val="000C4A61"/>
    <w:rsid w:val="000C4F62"/>
    <w:rsid w:val="000D1916"/>
    <w:rsid w:val="000E6039"/>
    <w:rsid w:val="00106163"/>
    <w:rsid w:val="00107ED5"/>
    <w:rsid w:val="00130596"/>
    <w:rsid w:val="0017120C"/>
    <w:rsid w:val="0017672C"/>
    <w:rsid w:val="00187256"/>
    <w:rsid w:val="001A73DF"/>
    <w:rsid w:val="001B0353"/>
    <w:rsid w:val="001B2B24"/>
    <w:rsid w:val="001D3F51"/>
    <w:rsid w:val="001E3AE4"/>
    <w:rsid w:val="001E4ADB"/>
    <w:rsid w:val="001F3EC5"/>
    <w:rsid w:val="002153A5"/>
    <w:rsid w:val="00225A93"/>
    <w:rsid w:val="00291FD3"/>
    <w:rsid w:val="002D2F52"/>
    <w:rsid w:val="00353A51"/>
    <w:rsid w:val="003645C3"/>
    <w:rsid w:val="0036478D"/>
    <w:rsid w:val="00397854"/>
    <w:rsid w:val="003D0290"/>
    <w:rsid w:val="003D1AF0"/>
    <w:rsid w:val="003D3312"/>
    <w:rsid w:val="003E288B"/>
    <w:rsid w:val="003E4139"/>
    <w:rsid w:val="00403946"/>
    <w:rsid w:val="004157FC"/>
    <w:rsid w:val="004163F1"/>
    <w:rsid w:val="00424390"/>
    <w:rsid w:val="00445595"/>
    <w:rsid w:val="00450F51"/>
    <w:rsid w:val="00475A66"/>
    <w:rsid w:val="00477194"/>
    <w:rsid w:val="00482D8A"/>
    <w:rsid w:val="004859AF"/>
    <w:rsid w:val="004A66B6"/>
    <w:rsid w:val="004A77F2"/>
    <w:rsid w:val="004B60BC"/>
    <w:rsid w:val="004E3E2C"/>
    <w:rsid w:val="00513A7E"/>
    <w:rsid w:val="005145DD"/>
    <w:rsid w:val="00520CE4"/>
    <w:rsid w:val="0056144E"/>
    <w:rsid w:val="0058462C"/>
    <w:rsid w:val="00584D2E"/>
    <w:rsid w:val="00595133"/>
    <w:rsid w:val="005E0DBF"/>
    <w:rsid w:val="006534FA"/>
    <w:rsid w:val="00665C6E"/>
    <w:rsid w:val="006C2C6C"/>
    <w:rsid w:val="006E0EDE"/>
    <w:rsid w:val="006F618D"/>
    <w:rsid w:val="007476AB"/>
    <w:rsid w:val="00783C45"/>
    <w:rsid w:val="00785B28"/>
    <w:rsid w:val="007A2364"/>
    <w:rsid w:val="007B52C4"/>
    <w:rsid w:val="007B6404"/>
    <w:rsid w:val="007C2509"/>
    <w:rsid w:val="007E6710"/>
    <w:rsid w:val="007F01FE"/>
    <w:rsid w:val="008379ED"/>
    <w:rsid w:val="0085693A"/>
    <w:rsid w:val="008A6326"/>
    <w:rsid w:val="0091771A"/>
    <w:rsid w:val="00936C9E"/>
    <w:rsid w:val="00940CFE"/>
    <w:rsid w:val="009471B4"/>
    <w:rsid w:val="009B0C32"/>
    <w:rsid w:val="009B4EA0"/>
    <w:rsid w:val="009C2191"/>
    <w:rsid w:val="009D6BC6"/>
    <w:rsid w:val="009E0253"/>
    <w:rsid w:val="009F0FA9"/>
    <w:rsid w:val="00A140D2"/>
    <w:rsid w:val="00A17E44"/>
    <w:rsid w:val="00A217AE"/>
    <w:rsid w:val="00A2290E"/>
    <w:rsid w:val="00A26202"/>
    <w:rsid w:val="00A306CE"/>
    <w:rsid w:val="00A4114C"/>
    <w:rsid w:val="00A9406F"/>
    <w:rsid w:val="00A94AE5"/>
    <w:rsid w:val="00A94CAC"/>
    <w:rsid w:val="00AA16F7"/>
    <w:rsid w:val="00AA483E"/>
    <w:rsid w:val="00AD6733"/>
    <w:rsid w:val="00AE0883"/>
    <w:rsid w:val="00AF6BBC"/>
    <w:rsid w:val="00B2206F"/>
    <w:rsid w:val="00B4682F"/>
    <w:rsid w:val="00B52410"/>
    <w:rsid w:val="00B621FF"/>
    <w:rsid w:val="00B65809"/>
    <w:rsid w:val="00B840C9"/>
    <w:rsid w:val="00BB5A4A"/>
    <w:rsid w:val="00C21648"/>
    <w:rsid w:val="00C70724"/>
    <w:rsid w:val="00CB3C62"/>
    <w:rsid w:val="00CB6556"/>
    <w:rsid w:val="00CD58F7"/>
    <w:rsid w:val="00CE75F6"/>
    <w:rsid w:val="00D2171E"/>
    <w:rsid w:val="00D2579F"/>
    <w:rsid w:val="00D37AE4"/>
    <w:rsid w:val="00D56376"/>
    <w:rsid w:val="00D56F82"/>
    <w:rsid w:val="00D721A9"/>
    <w:rsid w:val="00D866AC"/>
    <w:rsid w:val="00D940E3"/>
    <w:rsid w:val="00DB0291"/>
    <w:rsid w:val="00DF4A0E"/>
    <w:rsid w:val="00E011E8"/>
    <w:rsid w:val="00E15A0A"/>
    <w:rsid w:val="00E16229"/>
    <w:rsid w:val="00E21AB8"/>
    <w:rsid w:val="00E302A3"/>
    <w:rsid w:val="00E328B1"/>
    <w:rsid w:val="00E40E1C"/>
    <w:rsid w:val="00E42666"/>
    <w:rsid w:val="00E83304"/>
    <w:rsid w:val="00E8558C"/>
    <w:rsid w:val="00EB30DE"/>
    <w:rsid w:val="00EE638D"/>
    <w:rsid w:val="00F24C99"/>
    <w:rsid w:val="00F30FF5"/>
    <w:rsid w:val="00F332BC"/>
    <w:rsid w:val="00F45266"/>
    <w:rsid w:val="00F51B54"/>
    <w:rsid w:val="00FB7F69"/>
    <w:rsid w:val="00FF071E"/>
    <w:rsid w:val="013C06BC"/>
    <w:rsid w:val="014341E8"/>
    <w:rsid w:val="017967AC"/>
    <w:rsid w:val="01B97ACA"/>
    <w:rsid w:val="01BB351E"/>
    <w:rsid w:val="02293695"/>
    <w:rsid w:val="027E3B30"/>
    <w:rsid w:val="02987ACD"/>
    <w:rsid w:val="0301609B"/>
    <w:rsid w:val="031B4CE9"/>
    <w:rsid w:val="032F103F"/>
    <w:rsid w:val="034D72B2"/>
    <w:rsid w:val="036B136E"/>
    <w:rsid w:val="03827F75"/>
    <w:rsid w:val="03A64228"/>
    <w:rsid w:val="03C549C8"/>
    <w:rsid w:val="040C6E91"/>
    <w:rsid w:val="0442138C"/>
    <w:rsid w:val="04DB0285"/>
    <w:rsid w:val="04EE495B"/>
    <w:rsid w:val="05800AA3"/>
    <w:rsid w:val="059B46A8"/>
    <w:rsid w:val="064D75C2"/>
    <w:rsid w:val="06A00E6B"/>
    <w:rsid w:val="06A478F6"/>
    <w:rsid w:val="06C41C49"/>
    <w:rsid w:val="073A2498"/>
    <w:rsid w:val="07794418"/>
    <w:rsid w:val="087F37FD"/>
    <w:rsid w:val="0890531E"/>
    <w:rsid w:val="08A40D88"/>
    <w:rsid w:val="08D65666"/>
    <w:rsid w:val="095A50FC"/>
    <w:rsid w:val="095B7DEA"/>
    <w:rsid w:val="098E03C7"/>
    <w:rsid w:val="09B7349E"/>
    <w:rsid w:val="09F2269B"/>
    <w:rsid w:val="0A6F0775"/>
    <w:rsid w:val="0A7C1C4A"/>
    <w:rsid w:val="0A9671D9"/>
    <w:rsid w:val="0AEB188B"/>
    <w:rsid w:val="0B29724A"/>
    <w:rsid w:val="0B4266BB"/>
    <w:rsid w:val="0B531E35"/>
    <w:rsid w:val="0BAC01B4"/>
    <w:rsid w:val="0BFD0F44"/>
    <w:rsid w:val="0C2B5CCC"/>
    <w:rsid w:val="0C3A03CD"/>
    <w:rsid w:val="0C434FF4"/>
    <w:rsid w:val="0CAB2C38"/>
    <w:rsid w:val="0CBD2ABF"/>
    <w:rsid w:val="0CEE32B2"/>
    <w:rsid w:val="0D007BE0"/>
    <w:rsid w:val="0D026C09"/>
    <w:rsid w:val="0D2F3ECE"/>
    <w:rsid w:val="0D36577E"/>
    <w:rsid w:val="0D631F4E"/>
    <w:rsid w:val="0DF513F2"/>
    <w:rsid w:val="0E230C39"/>
    <w:rsid w:val="0EA20611"/>
    <w:rsid w:val="0EA44750"/>
    <w:rsid w:val="0EB219BC"/>
    <w:rsid w:val="0EEE3453"/>
    <w:rsid w:val="0F287FD7"/>
    <w:rsid w:val="0F2D3164"/>
    <w:rsid w:val="0F405C54"/>
    <w:rsid w:val="0FAA4E26"/>
    <w:rsid w:val="0FD329CD"/>
    <w:rsid w:val="0FE442C8"/>
    <w:rsid w:val="0FF05B46"/>
    <w:rsid w:val="102F0B9A"/>
    <w:rsid w:val="104E637E"/>
    <w:rsid w:val="10C739AA"/>
    <w:rsid w:val="10DC2046"/>
    <w:rsid w:val="116358B9"/>
    <w:rsid w:val="11A3156D"/>
    <w:rsid w:val="11C80560"/>
    <w:rsid w:val="11D51CD2"/>
    <w:rsid w:val="12404210"/>
    <w:rsid w:val="12CD4474"/>
    <w:rsid w:val="12D573EB"/>
    <w:rsid w:val="12DE0F4D"/>
    <w:rsid w:val="12F13DE0"/>
    <w:rsid w:val="136F1811"/>
    <w:rsid w:val="13991974"/>
    <w:rsid w:val="13A574D6"/>
    <w:rsid w:val="13AB3552"/>
    <w:rsid w:val="13EB3669"/>
    <w:rsid w:val="13F2239A"/>
    <w:rsid w:val="148A193E"/>
    <w:rsid w:val="14962BF2"/>
    <w:rsid w:val="14A14DD6"/>
    <w:rsid w:val="15112F23"/>
    <w:rsid w:val="154D4828"/>
    <w:rsid w:val="15560646"/>
    <w:rsid w:val="15F97AE2"/>
    <w:rsid w:val="160D2A82"/>
    <w:rsid w:val="1658087C"/>
    <w:rsid w:val="16EF7E34"/>
    <w:rsid w:val="170B0129"/>
    <w:rsid w:val="17270097"/>
    <w:rsid w:val="1839700F"/>
    <w:rsid w:val="18656D03"/>
    <w:rsid w:val="1940737B"/>
    <w:rsid w:val="194D0DD4"/>
    <w:rsid w:val="1956360F"/>
    <w:rsid w:val="19820A7A"/>
    <w:rsid w:val="19BE1AAB"/>
    <w:rsid w:val="1A182DF0"/>
    <w:rsid w:val="1A406F1E"/>
    <w:rsid w:val="1AF347C3"/>
    <w:rsid w:val="1B5929C7"/>
    <w:rsid w:val="1B6C51B9"/>
    <w:rsid w:val="1BF931D7"/>
    <w:rsid w:val="1C4F5EF0"/>
    <w:rsid w:val="1CC02D2D"/>
    <w:rsid w:val="1D04715F"/>
    <w:rsid w:val="1D2F5DEB"/>
    <w:rsid w:val="1D506145"/>
    <w:rsid w:val="1DD763E7"/>
    <w:rsid w:val="1DFB16B0"/>
    <w:rsid w:val="1E7A4FD0"/>
    <w:rsid w:val="1E8349E3"/>
    <w:rsid w:val="1E846C1E"/>
    <w:rsid w:val="1ED61050"/>
    <w:rsid w:val="1F0C773E"/>
    <w:rsid w:val="1F1B2614"/>
    <w:rsid w:val="1F510B7E"/>
    <w:rsid w:val="1F6751CA"/>
    <w:rsid w:val="1F731332"/>
    <w:rsid w:val="1FD12F44"/>
    <w:rsid w:val="1FE03C26"/>
    <w:rsid w:val="208661D2"/>
    <w:rsid w:val="20B34A6E"/>
    <w:rsid w:val="20DA7F0E"/>
    <w:rsid w:val="210015CD"/>
    <w:rsid w:val="21374CB3"/>
    <w:rsid w:val="21B454D9"/>
    <w:rsid w:val="2258523D"/>
    <w:rsid w:val="225B170D"/>
    <w:rsid w:val="227C146B"/>
    <w:rsid w:val="22B7139F"/>
    <w:rsid w:val="2363459D"/>
    <w:rsid w:val="23792D2F"/>
    <w:rsid w:val="23931D0A"/>
    <w:rsid w:val="23C7232D"/>
    <w:rsid w:val="240B77AE"/>
    <w:rsid w:val="2416236F"/>
    <w:rsid w:val="24587C1A"/>
    <w:rsid w:val="24780B22"/>
    <w:rsid w:val="24E77DFA"/>
    <w:rsid w:val="2535609A"/>
    <w:rsid w:val="255911D5"/>
    <w:rsid w:val="25A75231"/>
    <w:rsid w:val="25F31B81"/>
    <w:rsid w:val="27582E99"/>
    <w:rsid w:val="2768684B"/>
    <w:rsid w:val="277E732D"/>
    <w:rsid w:val="27A40D9A"/>
    <w:rsid w:val="27BF12D5"/>
    <w:rsid w:val="27DD40F7"/>
    <w:rsid w:val="2847273B"/>
    <w:rsid w:val="28622C30"/>
    <w:rsid w:val="28912EC0"/>
    <w:rsid w:val="289E4653"/>
    <w:rsid w:val="289F0B48"/>
    <w:rsid w:val="28CE7583"/>
    <w:rsid w:val="290D4A28"/>
    <w:rsid w:val="29452A44"/>
    <w:rsid w:val="295E1CE3"/>
    <w:rsid w:val="29782A3D"/>
    <w:rsid w:val="2984346A"/>
    <w:rsid w:val="299B3D6C"/>
    <w:rsid w:val="299B568F"/>
    <w:rsid w:val="29DB7569"/>
    <w:rsid w:val="2A332146"/>
    <w:rsid w:val="2A9226E6"/>
    <w:rsid w:val="2A9F5694"/>
    <w:rsid w:val="2AC12F48"/>
    <w:rsid w:val="2B4625A1"/>
    <w:rsid w:val="2BBF67B8"/>
    <w:rsid w:val="2C060D91"/>
    <w:rsid w:val="2C192C99"/>
    <w:rsid w:val="2C1F0E07"/>
    <w:rsid w:val="2CCE3855"/>
    <w:rsid w:val="2CD163E1"/>
    <w:rsid w:val="2CD62941"/>
    <w:rsid w:val="2D311594"/>
    <w:rsid w:val="2D762283"/>
    <w:rsid w:val="2D7B14B9"/>
    <w:rsid w:val="2D7E7C14"/>
    <w:rsid w:val="2E136AA5"/>
    <w:rsid w:val="2E1B7152"/>
    <w:rsid w:val="2E494392"/>
    <w:rsid w:val="2EF2591B"/>
    <w:rsid w:val="2F80418D"/>
    <w:rsid w:val="2FEC00E5"/>
    <w:rsid w:val="3029773E"/>
    <w:rsid w:val="30413836"/>
    <w:rsid w:val="3062313F"/>
    <w:rsid w:val="309A1A6F"/>
    <w:rsid w:val="30E402A4"/>
    <w:rsid w:val="31293F09"/>
    <w:rsid w:val="314822FB"/>
    <w:rsid w:val="318007EE"/>
    <w:rsid w:val="31E43428"/>
    <w:rsid w:val="327D3291"/>
    <w:rsid w:val="32B3677D"/>
    <w:rsid w:val="32DF3A9C"/>
    <w:rsid w:val="3375117B"/>
    <w:rsid w:val="33F40DB5"/>
    <w:rsid w:val="34111CBD"/>
    <w:rsid w:val="345D28CA"/>
    <w:rsid w:val="348D0637"/>
    <w:rsid w:val="353067F3"/>
    <w:rsid w:val="3562512F"/>
    <w:rsid w:val="35B7303C"/>
    <w:rsid w:val="35C7006A"/>
    <w:rsid w:val="363A6264"/>
    <w:rsid w:val="368A3B58"/>
    <w:rsid w:val="36A838BA"/>
    <w:rsid w:val="36BF0C66"/>
    <w:rsid w:val="36C831AB"/>
    <w:rsid w:val="36E8546D"/>
    <w:rsid w:val="370021CB"/>
    <w:rsid w:val="37405D48"/>
    <w:rsid w:val="374F0011"/>
    <w:rsid w:val="378F791B"/>
    <w:rsid w:val="379D6FCC"/>
    <w:rsid w:val="37F66AB8"/>
    <w:rsid w:val="380F27E4"/>
    <w:rsid w:val="381C4EB2"/>
    <w:rsid w:val="382973F6"/>
    <w:rsid w:val="38453E1F"/>
    <w:rsid w:val="38807B07"/>
    <w:rsid w:val="38D30218"/>
    <w:rsid w:val="38D3488A"/>
    <w:rsid w:val="38F92540"/>
    <w:rsid w:val="390A6C0F"/>
    <w:rsid w:val="39504729"/>
    <w:rsid w:val="39685D45"/>
    <w:rsid w:val="39761180"/>
    <w:rsid w:val="39936654"/>
    <w:rsid w:val="39BF1693"/>
    <w:rsid w:val="3A1F750A"/>
    <w:rsid w:val="3A4F4169"/>
    <w:rsid w:val="3A5C7E1C"/>
    <w:rsid w:val="3AAE035C"/>
    <w:rsid w:val="3AB45DE6"/>
    <w:rsid w:val="3AE40F3E"/>
    <w:rsid w:val="3AF64EF8"/>
    <w:rsid w:val="3B394512"/>
    <w:rsid w:val="3B3E70E9"/>
    <w:rsid w:val="3B720CEE"/>
    <w:rsid w:val="3B9D199D"/>
    <w:rsid w:val="3BBC6ED2"/>
    <w:rsid w:val="3BF350C6"/>
    <w:rsid w:val="3BFA1DF4"/>
    <w:rsid w:val="3C6B58D1"/>
    <w:rsid w:val="3C83314E"/>
    <w:rsid w:val="3C905633"/>
    <w:rsid w:val="3C9925FF"/>
    <w:rsid w:val="3C9C1A33"/>
    <w:rsid w:val="3CB74AC6"/>
    <w:rsid w:val="3CBB24EF"/>
    <w:rsid w:val="3CE26DBB"/>
    <w:rsid w:val="3D2D5518"/>
    <w:rsid w:val="3D891903"/>
    <w:rsid w:val="3E183EA4"/>
    <w:rsid w:val="3E4037CC"/>
    <w:rsid w:val="3E615322"/>
    <w:rsid w:val="3E772188"/>
    <w:rsid w:val="3EE111F7"/>
    <w:rsid w:val="3EF30CA8"/>
    <w:rsid w:val="3F1E0693"/>
    <w:rsid w:val="3F476FDD"/>
    <w:rsid w:val="3F9A4869"/>
    <w:rsid w:val="3FB1448E"/>
    <w:rsid w:val="3FBC4A1D"/>
    <w:rsid w:val="3FDD5D2F"/>
    <w:rsid w:val="3FFD696A"/>
    <w:rsid w:val="408E3CFE"/>
    <w:rsid w:val="40A971B0"/>
    <w:rsid w:val="415972F5"/>
    <w:rsid w:val="41755AFB"/>
    <w:rsid w:val="417E3DFD"/>
    <w:rsid w:val="41B11DA3"/>
    <w:rsid w:val="4279224C"/>
    <w:rsid w:val="42972BCC"/>
    <w:rsid w:val="42C41E24"/>
    <w:rsid w:val="431C1B42"/>
    <w:rsid w:val="43533C20"/>
    <w:rsid w:val="43542786"/>
    <w:rsid w:val="43D2652D"/>
    <w:rsid w:val="44373FFB"/>
    <w:rsid w:val="445A34E7"/>
    <w:rsid w:val="445C7035"/>
    <w:rsid w:val="44A00541"/>
    <w:rsid w:val="44AD4835"/>
    <w:rsid w:val="452178C6"/>
    <w:rsid w:val="452F4F21"/>
    <w:rsid w:val="45605698"/>
    <w:rsid w:val="46052955"/>
    <w:rsid w:val="466E6504"/>
    <w:rsid w:val="468D3188"/>
    <w:rsid w:val="47721B46"/>
    <w:rsid w:val="484D79E5"/>
    <w:rsid w:val="485E2C37"/>
    <w:rsid w:val="48B90C6B"/>
    <w:rsid w:val="4916306B"/>
    <w:rsid w:val="497372FE"/>
    <w:rsid w:val="498B21B5"/>
    <w:rsid w:val="498B726A"/>
    <w:rsid w:val="49B63741"/>
    <w:rsid w:val="49C02B87"/>
    <w:rsid w:val="4A3B3017"/>
    <w:rsid w:val="4A50138F"/>
    <w:rsid w:val="4AB61CA3"/>
    <w:rsid w:val="4B937786"/>
    <w:rsid w:val="4BA45DBB"/>
    <w:rsid w:val="4BAE4AF4"/>
    <w:rsid w:val="4BBC7D11"/>
    <w:rsid w:val="4C5770B6"/>
    <w:rsid w:val="4C5A1839"/>
    <w:rsid w:val="4C7572CD"/>
    <w:rsid w:val="4C8C2048"/>
    <w:rsid w:val="4C9F74B1"/>
    <w:rsid w:val="4CED79F8"/>
    <w:rsid w:val="4D8B4D45"/>
    <w:rsid w:val="4DD059E1"/>
    <w:rsid w:val="4DED0341"/>
    <w:rsid w:val="4E0E49B4"/>
    <w:rsid w:val="4E1A19F6"/>
    <w:rsid w:val="4E294FCA"/>
    <w:rsid w:val="4E405DAF"/>
    <w:rsid w:val="4E456F05"/>
    <w:rsid w:val="4E603CD2"/>
    <w:rsid w:val="4ECC5CC5"/>
    <w:rsid w:val="4F01352B"/>
    <w:rsid w:val="4F0743CF"/>
    <w:rsid w:val="4F2547B0"/>
    <w:rsid w:val="4F385E88"/>
    <w:rsid w:val="4F9A75BC"/>
    <w:rsid w:val="4FAA3663"/>
    <w:rsid w:val="500C7739"/>
    <w:rsid w:val="50333805"/>
    <w:rsid w:val="50406C68"/>
    <w:rsid w:val="50472862"/>
    <w:rsid w:val="50656FCA"/>
    <w:rsid w:val="50D90CCF"/>
    <w:rsid w:val="512129F0"/>
    <w:rsid w:val="512E4FFA"/>
    <w:rsid w:val="51835AAE"/>
    <w:rsid w:val="51971635"/>
    <w:rsid w:val="51E444D7"/>
    <w:rsid w:val="52272A53"/>
    <w:rsid w:val="523F5246"/>
    <w:rsid w:val="52634E37"/>
    <w:rsid w:val="528F13D6"/>
    <w:rsid w:val="52907D77"/>
    <w:rsid w:val="52B171FA"/>
    <w:rsid w:val="52B86292"/>
    <w:rsid w:val="540E1365"/>
    <w:rsid w:val="54956561"/>
    <w:rsid w:val="54AA3DF7"/>
    <w:rsid w:val="54B26C85"/>
    <w:rsid w:val="54B61E08"/>
    <w:rsid w:val="54E84524"/>
    <w:rsid w:val="54F55D2D"/>
    <w:rsid w:val="54FD7A90"/>
    <w:rsid w:val="55145A31"/>
    <w:rsid w:val="553A7C2D"/>
    <w:rsid w:val="553C0438"/>
    <w:rsid w:val="556772A4"/>
    <w:rsid w:val="55A84425"/>
    <w:rsid w:val="56037B16"/>
    <w:rsid w:val="561D378D"/>
    <w:rsid w:val="56A30136"/>
    <w:rsid w:val="56B77204"/>
    <w:rsid w:val="570D617E"/>
    <w:rsid w:val="57353F6B"/>
    <w:rsid w:val="577838E9"/>
    <w:rsid w:val="577D7CF3"/>
    <w:rsid w:val="57A84D6C"/>
    <w:rsid w:val="57E47675"/>
    <w:rsid w:val="57EE4CDC"/>
    <w:rsid w:val="57F618E2"/>
    <w:rsid w:val="583D707B"/>
    <w:rsid w:val="589A7D04"/>
    <w:rsid w:val="58C92F7F"/>
    <w:rsid w:val="590B020F"/>
    <w:rsid w:val="5938747F"/>
    <w:rsid w:val="59766ED3"/>
    <w:rsid w:val="59B966C3"/>
    <w:rsid w:val="5A3316DD"/>
    <w:rsid w:val="5A3819DA"/>
    <w:rsid w:val="5A5C5ECC"/>
    <w:rsid w:val="5A864044"/>
    <w:rsid w:val="5A873F8B"/>
    <w:rsid w:val="5B557DB0"/>
    <w:rsid w:val="5B5A6CFE"/>
    <w:rsid w:val="5B896B40"/>
    <w:rsid w:val="5BD55FCE"/>
    <w:rsid w:val="5BD85C58"/>
    <w:rsid w:val="5C227DB6"/>
    <w:rsid w:val="5D40278C"/>
    <w:rsid w:val="5D46011A"/>
    <w:rsid w:val="5D65502F"/>
    <w:rsid w:val="5DD06C57"/>
    <w:rsid w:val="5DFA1BBA"/>
    <w:rsid w:val="5DFB6CB9"/>
    <w:rsid w:val="5E967CE0"/>
    <w:rsid w:val="5E9E2A34"/>
    <w:rsid w:val="5ED433B8"/>
    <w:rsid w:val="5F14140D"/>
    <w:rsid w:val="5F2259BA"/>
    <w:rsid w:val="5F8A64CA"/>
    <w:rsid w:val="5FDD0E56"/>
    <w:rsid w:val="60086C66"/>
    <w:rsid w:val="602D04D0"/>
    <w:rsid w:val="60595BE0"/>
    <w:rsid w:val="60A22497"/>
    <w:rsid w:val="60F40D61"/>
    <w:rsid w:val="611D63FB"/>
    <w:rsid w:val="6124336C"/>
    <w:rsid w:val="6152493E"/>
    <w:rsid w:val="617270AD"/>
    <w:rsid w:val="62115573"/>
    <w:rsid w:val="62414E60"/>
    <w:rsid w:val="62436A56"/>
    <w:rsid w:val="625A33E9"/>
    <w:rsid w:val="62A80031"/>
    <w:rsid w:val="62CD0FA5"/>
    <w:rsid w:val="62F820BE"/>
    <w:rsid w:val="63305490"/>
    <w:rsid w:val="63AD5092"/>
    <w:rsid w:val="644D2F22"/>
    <w:rsid w:val="648D1ADE"/>
    <w:rsid w:val="64C25323"/>
    <w:rsid w:val="652A05D1"/>
    <w:rsid w:val="65494330"/>
    <w:rsid w:val="65A74DD4"/>
    <w:rsid w:val="65C57E73"/>
    <w:rsid w:val="65D51AA7"/>
    <w:rsid w:val="65F81FA5"/>
    <w:rsid w:val="660B1854"/>
    <w:rsid w:val="661B3639"/>
    <w:rsid w:val="66286A3B"/>
    <w:rsid w:val="665530AA"/>
    <w:rsid w:val="667306C5"/>
    <w:rsid w:val="667818A0"/>
    <w:rsid w:val="66C94D5E"/>
    <w:rsid w:val="67614862"/>
    <w:rsid w:val="679E1656"/>
    <w:rsid w:val="67B8092D"/>
    <w:rsid w:val="681C674F"/>
    <w:rsid w:val="684A069A"/>
    <w:rsid w:val="68836DC3"/>
    <w:rsid w:val="6887648C"/>
    <w:rsid w:val="68EA31C9"/>
    <w:rsid w:val="68F312A2"/>
    <w:rsid w:val="68FE71CA"/>
    <w:rsid w:val="68FF5939"/>
    <w:rsid w:val="691B4A91"/>
    <w:rsid w:val="69297877"/>
    <w:rsid w:val="692B5915"/>
    <w:rsid w:val="692C6424"/>
    <w:rsid w:val="69352903"/>
    <w:rsid w:val="69953131"/>
    <w:rsid w:val="6A0B4089"/>
    <w:rsid w:val="6AD356BF"/>
    <w:rsid w:val="6B256CE6"/>
    <w:rsid w:val="6B33205C"/>
    <w:rsid w:val="6B4865F6"/>
    <w:rsid w:val="6B9E7527"/>
    <w:rsid w:val="6BC648BD"/>
    <w:rsid w:val="6BEB1B2A"/>
    <w:rsid w:val="6C3D3FC5"/>
    <w:rsid w:val="6CE6394F"/>
    <w:rsid w:val="6D783D26"/>
    <w:rsid w:val="6DEF510F"/>
    <w:rsid w:val="6DF01F33"/>
    <w:rsid w:val="6E146C1B"/>
    <w:rsid w:val="6E6C03DB"/>
    <w:rsid w:val="6E6D59F5"/>
    <w:rsid w:val="6E9523F6"/>
    <w:rsid w:val="6F3254E8"/>
    <w:rsid w:val="6F5B4BA2"/>
    <w:rsid w:val="6F615273"/>
    <w:rsid w:val="6FA7622A"/>
    <w:rsid w:val="6FEB37AA"/>
    <w:rsid w:val="70CF7E55"/>
    <w:rsid w:val="70F328F1"/>
    <w:rsid w:val="711F0324"/>
    <w:rsid w:val="71296580"/>
    <w:rsid w:val="715E6563"/>
    <w:rsid w:val="71635BDF"/>
    <w:rsid w:val="72014395"/>
    <w:rsid w:val="724E2F94"/>
    <w:rsid w:val="725620A9"/>
    <w:rsid w:val="72CE6A57"/>
    <w:rsid w:val="730B78D2"/>
    <w:rsid w:val="735F1183"/>
    <w:rsid w:val="73BA3D76"/>
    <w:rsid w:val="73ED7C13"/>
    <w:rsid w:val="745E3FF9"/>
    <w:rsid w:val="746B0691"/>
    <w:rsid w:val="747A11FA"/>
    <w:rsid w:val="749D6BCC"/>
    <w:rsid w:val="757F09A4"/>
    <w:rsid w:val="75800474"/>
    <w:rsid w:val="7593678E"/>
    <w:rsid w:val="75B573E3"/>
    <w:rsid w:val="76525BE7"/>
    <w:rsid w:val="76BF62FB"/>
    <w:rsid w:val="76C259ED"/>
    <w:rsid w:val="76D550BD"/>
    <w:rsid w:val="77506C1B"/>
    <w:rsid w:val="77611F42"/>
    <w:rsid w:val="7875412E"/>
    <w:rsid w:val="78CE2547"/>
    <w:rsid w:val="79714827"/>
    <w:rsid w:val="79FE72AE"/>
    <w:rsid w:val="7A846AC2"/>
    <w:rsid w:val="7B2909D9"/>
    <w:rsid w:val="7B5876BE"/>
    <w:rsid w:val="7B850B4A"/>
    <w:rsid w:val="7BC47D5E"/>
    <w:rsid w:val="7C045E06"/>
    <w:rsid w:val="7C1B682B"/>
    <w:rsid w:val="7C7D516C"/>
    <w:rsid w:val="7CBA372B"/>
    <w:rsid w:val="7CBB0FC0"/>
    <w:rsid w:val="7D073BAD"/>
    <w:rsid w:val="7D26110F"/>
    <w:rsid w:val="7D7F0DE3"/>
    <w:rsid w:val="7DBA5E84"/>
    <w:rsid w:val="7E094B88"/>
    <w:rsid w:val="7E4055DB"/>
    <w:rsid w:val="7E815898"/>
    <w:rsid w:val="7F43615B"/>
    <w:rsid w:val="7F4A1012"/>
    <w:rsid w:val="7F744FDF"/>
    <w:rsid w:val="7FA55E3A"/>
    <w:rsid w:val="7FAA6609"/>
    <w:rsid w:val="7FC5755B"/>
    <w:rsid w:val="7FED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numPr>
        <w:ilvl w:val="0"/>
        <w:numId w:val="1"/>
      </w:numPr>
      <w:tabs>
        <w:tab w:val="left" w:pos="850"/>
        <w:tab w:val="clear" w:pos="425"/>
      </w:tabs>
      <w:spacing w:line="360" w:lineRule="auto"/>
      <w:ind w:left="850"/>
      <w:outlineLvl w:val="0"/>
    </w:pPr>
    <w:rPr>
      <w:sz w:val="28"/>
      <w:szCs w:val="20"/>
    </w:rPr>
  </w:style>
  <w:style w:type="paragraph" w:styleId="4">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1"/>
    <w:pPr>
      <w:spacing w:before="14"/>
      <w:ind w:left="494"/>
      <w:outlineLvl w:val="3"/>
    </w:pPr>
    <w:rPr>
      <w:rFonts w:ascii="宋体" w:hAnsi="宋体" w:eastAsia="宋体"/>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szCs w:val="24"/>
    </w:rPr>
  </w:style>
  <w:style w:type="paragraph" w:styleId="7">
    <w:name w:val="annotation text"/>
    <w:basedOn w:val="1"/>
    <w:link w:val="44"/>
    <w:unhideWhenUsed/>
    <w:qFormat/>
    <w:uiPriority w:val="99"/>
    <w:pPr>
      <w:jc w:val="left"/>
    </w:pPr>
  </w:style>
  <w:style w:type="paragraph" w:styleId="8">
    <w:name w:val="Body Text"/>
    <w:basedOn w:val="1"/>
    <w:next w:val="1"/>
    <w:link w:val="47"/>
    <w:qFormat/>
    <w:uiPriority w:val="1"/>
    <w:pPr>
      <w:spacing w:before="36"/>
      <w:ind w:left="780"/>
      <w:jc w:val="left"/>
    </w:pPr>
    <w:rPr>
      <w:rFonts w:ascii="宋体" w:hAnsi="宋体" w:eastAsia="宋体"/>
      <w:kern w:val="0"/>
      <w:szCs w:val="21"/>
      <w:lang w:eastAsia="en-US"/>
    </w:rPr>
  </w:style>
  <w:style w:type="paragraph" w:styleId="9">
    <w:name w:val="Body Text Indent"/>
    <w:basedOn w:val="1"/>
    <w:next w:val="10"/>
    <w:unhideWhenUsed/>
    <w:qFormat/>
    <w:uiPriority w:val="0"/>
    <w:pPr>
      <w:spacing w:after="120"/>
      <w:ind w:left="420" w:leftChars="200"/>
    </w:pPr>
  </w:style>
  <w:style w:type="paragraph" w:styleId="10">
    <w:name w:val="envelope return"/>
    <w:basedOn w:val="1"/>
    <w:qFormat/>
    <w:uiPriority w:val="0"/>
    <w:pPr>
      <w:snapToGrid w:val="0"/>
    </w:pPr>
    <w:rPr>
      <w:rFonts w:ascii="Arial" w:hAnsi="Arial" w:eastAsia="等线" w:cs="等线"/>
    </w:rPr>
  </w:style>
  <w:style w:type="paragraph" w:styleId="11">
    <w:name w:val="toc 3"/>
    <w:basedOn w:val="1"/>
    <w:next w:val="1"/>
    <w:unhideWhenUsed/>
    <w:qFormat/>
    <w:uiPriority w:val="39"/>
    <w:pPr>
      <w:widowControl/>
      <w:spacing w:after="100" w:line="259" w:lineRule="auto"/>
      <w:ind w:left="440"/>
    </w:pPr>
    <w:rPr>
      <w:rFonts w:cs="Times New Roman"/>
      <w:lang w:eastAsia="zh-CN"/>
    </w:rPr>
  </w:style>
  <w:style w:type="paragraph" w:styleId="12">
    <w:name w:val="Body Text Indent 2"/>
    <w:basedOn w:val="1"/>
    <w:qFormat/>
    <w:uiPriority w:val="99"/>
    <w:pPr>
      <w:snapToGrid w:val="0"/>
      <w:spacing w:line="300" w:lineRule="auto"/>
      <w:ind w:left="1050"/>
    </w:pPr>
    <w:rPr>
      <w:rFonts w:ascii="新宋体" w:hAnsi="新宋体" w:eastAsia="新宋体"/>
      <w:spacing w:val="10"/>
      <w:sz w:val="28"/>
      <w:szCs w:val="20"/>
    </w:rPr>
  </w:style>
  <w:style w:type="paragraph" w:styleId="13">
    <w:name w:val="Balloon Text"/>
    <w:basedOn w:val="1"/>
    <w:link w:val="43"/>
    <w:semiHidden/>
    <w:unhideWhenUsed/>
    <w:qFormat/>
    <w:uiPriority w:val="99"/>
    <w:rPr>
      <w:sz w:val="18"/>
      <w:szCs w:val="18"/>
    </w:rPr>
  </w:style>
  <w:style w:type="paragraph" w:styleId="14">
    <w:name w:val="footer"/>
    <w:basedOn w:val="1"/>
    <w:link w:val="42"/>
    <w:unhideWhenUsed/>
    <w:qFormat/>
    <w:uiPriority w:val="99"/>
    <w:pPr>
      <w:tabs>
        <w:tab w:val="center" w:pos="4153"/>
        <w:tab w:val="right" w:pos="8306"/>
      </w:tabs>
      <w:snapToGrid w:val="0"/>
      <w:jc w:val="left"/>
    </w:pPr>
    <w:rPr>
      <w:sz w:val="18"/>
      <w:szCs w:val="18"/>
    </w:rPr>
  </w:style>
  <w:style w:type="paragraph" w:styleId="15">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8608"/>
      </w:tabs>
      <w:spacing w:line="360" w:lineRule="auto"/>
      <w:ind w:firstLine="425" w:firstLineChars="177"/>
    </w:pPr>
  </w:style>
  <w:style w:type="paragraph" w:styleId="17">
    <w:name w:val="Subtitle"/>
    <w:basedOn w:val="1"/>
    <w:next w:val="1"/>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8">
    <w:name w:val="toc 2"/>
    <w:basedOn w:val="1"/>
    <w:next w:val="1"/>
    <w:semiHidden/>
    <w:unhideWhenUsed/>
    <w:qFormat/>
    <w:uiPriority w:val="39"/>
    <w:pPr>
      <w:ind w:left="420" w:leftChars="200"/>
    </w:pPr>
  </w:style>
  <w:style w:type="paragraph" w:styleId="1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0">
    <w:name w:val="Title"/>
    <w:basedOn w:val="1"/>
    <w:next w:val="1"/>
    <w:qFormat/>
    <w:uiPriority w:val="0"/>
    <w:pPr>
      <w:spacing w:before="240" w:after="60"/>
      <w:jc w:val="center"/>
      <w:outlineLvl w:val="0"/>
    </w:pPr>
    <w:rPr>
      <w:rFonts w:ascii="Arial" w:hAnsi="Arial" w:eastAsia="楷体_GB2312"/>
      <w:b/>
      <w:bCs/>
      <w:sz w:val="32"/>
      <w:szCs w:val="32"/>
    </w:rPr>
  </w:style>
  <w:style w:type="paragraph" w:styleId="21">
    <w:name w:val="annotation subject"/>
    <w:next w:val="7"/>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paragraph" w:styleId="22">
    <w:name w:val="Body Text First Indent 2"/>
    <w:basedOn w:val="9"/>
    <w:semiHidden/>
    <w:unhideWhenUsed/>
    <w:qFormat/>
    <w:uiPriority w:val="99"/>
    <w:pPr>
      <w:ind w:firstLine="420" w:firstLineChars="200"/>
    </w:p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style>
  <w:style w:type="character" w:styleId="27">
    <w:name w:val="FollowedHyperlink"/>
    <w:basedOn w:val="25"/>
    <w:semiHidden/>
    <w:unhideWhenUsed/>
    <w:qFormat/>
    <w:uiPriority w:val="99"/>
    <w:rPr>
      <w:color w:val="333333"/>
      <w:u w:val="none"/>
    </w:rPr>
  </w:style>
  <w:style w:type="character" w:styleId="28">
    <w:name w:val="Emphasis"/>
    <w:basedOn w:val="25"/>
    <w:qFormat/>
    <w:uiPriority w:val="20"/>
  </w:style>
  <w:style w:type="character" w:styleId="29">
    <w:name w:val="HTML Definition"/>
    <w:basedOn w:val="25"/>
    <w:semiHidden/>
    <w:unhideWhenUsed/>
    <w:qFormat/>
    <w:uiPriority w:val="99"/>
  </w:style>
  <w:style w:type="character" w:styleId="30">
    <w:name w:val="HTML Typewriter"/>
    <w:basedOn w:val="25"/>
    <w:semiHidden/>
    <w:unhideWhenUsed/>
    <w:qFormat/>
    <w:uiPriority w:val="99"/>
    <w:rPr>
      <w:rFonts w:hint="default" w:ascii="monospace" w:hAnsi="monospace" w:eastAsia="monospace" w:cs="monospace"/>
      <w:sz w:val="20"/>
    </w:rPr>
  </w:style>
  <w:style w:type="character" w:styleId="31">
    <w:name w:val="HTML Acronym"/>
    <w:basedOn w:val="25"/>
    <w:semiHidden/>
    <w:unhideWhenUsed/>
    <w:qFormat/>
    <w:uiPriority w:val="99"/>
  </w:style>
  <w:style w:type="character" w:styleId="32">
    <w:name w:val="HTML Variable"/>
    <w:basedOn w:val="25"/>
    <w:semiHidden/>
    <w:unhideWhenUsed/>
    <w:qFormat/>
    <w:uiPriority w:val="99"/>
  </w:style>
  <w:style w:type="character" w:styleId="33">
    <w:name w:val="Hyperlink"/>
    <w:basedOn w:val="25"/>
    <w:unhideWhenUsed/>
    <w:qFormat/>
    <w:uiPriority w:val="99"/>
    <w:rPr>
      <w:color w:val="0000FF" w:themeColor="hyperlink"/>
      <w:u w:val="single"/>
      <w14:textFill>
        <w14:solidFill>
          <w14:schemeClr w14:val="hlink"/>
        </w14:solidFill>
      </w14:textFill>
    </w:rPr>
  </w:style>
  <w:style w:type="character" w:styleId="34">
    <w:name w:val="HTML Code"/>
    <w:basedOn w:val="25"/>
    <w:semiHidden/>
    <w:unhideWhenUsed/>
    <w:qFormat/>
    <w:uiPriority w:val="99"/>
    <w:rPr>
      <w:rFonts w:hint="default" w:ascii="monospace" w:hAnsi="monospace" w:eastAsia="monospace" w:cs="monospace"/>
      <w:sz w:val="20"/>
    </w:rPr>
  </w:style>
  <w:style w:type="character" w:styleId="35">
    <w:name w:val="annotation reference"/>
    <w:basedOn w:val="25"/>
    <w:semiHidden/>
    <w:unhideWhenUsed/>
    <w:qFormat/>
    <w:uiPriority w:val="99"/>
    <w:rPr>
      <w:sz w:val="21"/>
      <w:szCs w:val="21"/>
    </w:rPr>
  </w:style>
  <w:style w:type="character" w:styleId="36">
    <w:name w:val="HTML Cite"/>
    <w:basedOn w:val="25"/>
    <w:semiHidden/>
    <w:unhideWhenUsed/>
    <w:qFormat/>
    <w:uiPriority w:val="99"/>
  </w:style>
  <w:style w:type="character" w:styleId="37">
    <w:name w:val="HTML Keyboard"/>
    <w:basedOn w:val="25"/>
    <w:semiHidden/>
    <w:unhideWhenUsed/>
    <w:qFormat/>
    <w:uiPriority w:val="99"/>
    <w:rPr>
      <w:rFonts w:hint="default" w:ascii="monospace" w:hAnsi="monospace" w:eastAsia="monospace" w:cs="monospace"/>
      <w:sz w:val="20"/>
    </w:rPr>
  </w:style>
  <w:style w:type="character" w:styleId="38">
    <w:name w:val="HTML Sample"/>
    <w:basedOn w:val="25"/>
    <w:semiHidden/>
    <w:unhideWhenUsed/>
    <w:qFormat/>
    <w:uiPriority w:val="99"/>
    <w:rPr>
      <w:rFonts w:ascii="monospace" w:hAnsi="monospace" w:eastAsia="monospace" w:cs="monospace"/>
    </w:rPr>
  </w:style>
  <w:style w:type="paragraph" w:customStyle="1" w:styleId="39">
    <w:name w:val="书目1"/>
    <w:basedOn w:val="1"/>
    <w:next w:val="1"/>
    <w:unhideWhenUsed/>
    <w:qFormat/>
    <w:uiPriority w:val="37"/>
  </w:style>
  <w:style w:type="paragraph" w:styleId="40">
    <w:name w:val="List Paragraph"/>
    <w:basedOn w:val="1"/>
    <w:next w:val="4"/>
    <w:qFormat/>
    <w:uiPriority w:val="34"/>
    <w:pPr>
      <w:widowControl/>
      <w:ind w:firstLine="420"/>
    </w:pPr>
    <w:rPr>
      <w:rFonts w:ascii="Calibri" w:hAnsi="Calibri" w:eastAsia="宋体" w:cs="Calibri"/>
      <w:kern w:val="0"/>
      <w:szCs w:val="21"/>
    </w:rPr>
  </w:style>
  <w:style w:type="character" w:customStyle="1" w:styleId="41">
    <w:name w:val="页眉 字符"/>
    <w:basedOn w:val="25"/>
    <w:link w:val="15"/>
    <w:qFormat/>
    <w:uiPriority w:val="0"/>
    <w:rPr>
      <w:sz w:val="18"/>
      <w:szCs w:val="18"/>
    </w:rPr>
  </w:style>
  <w:style w:type="character" w:customStyle="1" w:styleId="42">
    <w:name w:val="页脚 字符"/>
    <w:basedOn w:val="25"/>
    <w:link w:val="14"/>
    <w:qFormat/>
    <w:uiPriority w:val="99"/>
    <w:rPr>
      <w:sz w:val="18"/>
      <w:szCs w:val="18"/>
    </w:rPr>
  </w:style>
  <w:style w:type="character" w:customStyle="1" w:styleId="43">
    <w:name w:val="批注框文本 字符"/>
    <w:basedOn w:val="25"/>
    <w:link w:val="13"/>
    <w:semiHidden/>
    <w:qFormat/>
    <w:uiPriority w:val="99"/>
    <w:rPr>
      <w:sz w:val="18"/>
      <w:szCs w:val="18"/>
    </w:rPr>
  </w:style>
  <w:style w:type="character" w:customStyle="1" w:styleId="44">
    <w:name w:val="批注文字 字符"/>
    <w:basedOn w:val="25"/>
    <w:link w:val="7"/>
    <w:qFormat/>
    <w:uiPriority w:val="99"/>
  </w:style>
  <w:style w:type="paragraph" w:customStyle="1" w:styleId="45">
    <w:name w:val="Table Paragraph"/>
    <w:basedOn w:val="1"/>
    <w:qFormat/>
    <w:uiPriority w:val="0"/>
    <w:pPr>
      <w:jc w:val="left"/>
    </w:pPr>
    <w:rPr>
      <w:kern w:val="0"/>
      <w:sz w:val="22"/>
      <w:lang w:eastAsia="en-US"/>
    </w:rPr>
  </w:style>
  <w:style w:type="paragraph" w:customStyle="1" w:styleId="46">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47">
    <w:name w:val="正文文本 字符"/>
    <w:basedOn w:val="25"/>
    <w:link w:val="8"/>
    <w:qFormat/>
    <w:uiPriority w:val="1"/>
    <w:rPr>
      <w:rFonts w:ascii="宋体" w:hAnsi="宋体" w:cstheme="minorBidi"/>
      <w:sz w:val="21"/>
      <w:szCs w:val="21"/>
      <w:lang w:eastAsia="en-US"/>
    </w:rPr>
  </w:style>
  <w:style w:type="character" w:customStyle="1" w:styleId="48">
    <w:name w:val="font41"/>
    <w:basedOn w:val="25"/>
    <w:qFormat/>
    <w:uiPriority w:val="0"/>
    <w:rPr>
      <w:rFonts w:hint="eastAsia" w:ascii="宋体" w:hAnsi="宋体" w:eastAsia="宋体" w:cs="宋体"/>
      <w:color w:val="000000"/>
      <w:sz w:val="21"/>
      <w:szCs w:val="21"/>
      <w:u w:val="none"/>
    </w:rPr>
  </w:style>
  <w:style w:type="character" w:customStyle="1" w:styleId="49">
    <w:name w:val="font31"/>
    <w:basedOn w:val="25"/>
    <w:qFormat/>
    <w:uiPriority w:val="0"/>
    <w:rPr>
      <w:rFonts w:hint="default" w:ascii="Times New Roman" w:hAnsi="Times New Roman" w:cs="Times New Roman"/>
      <w:color w:val="000000"/>
      <w:sz w:val="21"/>
      <w:szCs w:val="21"/>
      <w:u w:val="none"/>
    </w:rPr>
  </w:style>
  <w:style w:type="paragraph" w:customStyle="1" w:styleId="50">
    <w:name w:val="默认段落字体 Para Char"/>
    <w:basedOn w:val="51"/>
    <w:next w:val="1"/>
    <w:qFormat/>
    <w:uiPriority w:val="0"/>
    <w:pPr>
      <w:widowControl w:val="0"/>
      <w:spacing w:before="80" w:after="80" w:line="360" w:lineRule="auto"/>
      <w:jc w:val="both"/>
    </w:pPr>
    <w:rPr>
      <w:rFonts w:ascii="Calibri" w:hAnsi="Calibri" w:cs="Times New Roman"/>
      <w:kern w:val="2"/>
      <w:szCs w:val="20"/>
    </w:rPr>
  </w:style>
  <w:style w:type="paragraph" w:customStyle="1" w:styleId="51">
    <w:name w:val="Normal_0"/>
    <w:next w:val="50"/>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5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Normal_1"/>
    <w:next w:val="50"/>
    <w:qFormat/>
    <w:uiPriority w:val="0"/>
    <w:rPr>
      <w:rFonts w:ascii="Times New Roman" w:hAnsi="Times New Roman" w:eastAsia="Times New Roman" w:cs="Times New Roman"/>
      <w:sz w:val="24"/>
      <w:szCs w:val="24"/>
    </w:rPr>
  </w:style>
  <w:style w:type="paragraph" w:customStyle="1" w:styleId="54">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5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6">
    <w:name w:val="font01"/>
    <w:basedOn w:val="25"/>
    <w:qFormat/>
    <w:uiPriority w:val="0"/>
    <w:rPr>
      <w:rFonts w:hint="eastAsia" w:ascii="宋体" w:hAnsi="宋体" w:eastAsia="宋体" w:cs="宋体"/>
      <w:color w:val="000000"/>
      <w:sz w:val="20"/>
      <w:szCs w:val="20"/>
      <w:u w:val="none"/>
    </w:rPr>
  </w:style>
  <w:style w:type="character" w:customStyle="1" w:styleId="57">
    <w:name w:val="font51"/>
    <w:basedOn w:val="25"/>
    <w:qFormat/>
    <w:uiPriority w:val="0"/>
    <w:rPr>
      <w:rFonts w:hint="eastAsia" w:ascii="宋体" w:hAnsi="宋体" w:eastAsia="宋体" w:cs="宋体"/>
      <w:color w:val="000000"/>
      <w:sz w:val="22"/>
      <w:szCs w:val="22"/>
      <w:u w:val="none"/>
    </w:rPr>
  </w:style>
  <w:style w:type="character" w:customStyle="1" w:styleId="58">
    <w:name w:val="font21"/>
    <w:basedOn w:val="25"/>
    <w:qFormat/>
    <w:uiPriority w:val="0"/>
    <w:rPr>
      <w:rFonts w:hint="eastAsia" w:ascii="宋体" w:hAnsi="宋体" w:eastAsia="宋体" w:cs="宋体"/>
      <w:color w:val="000000"/>
      <w:sz w:val="22"/>
      <w:szCs w:val="22"/>
      <w:u w:val="none"/>
    </w:rPr>
  </w:style>
  <w:style w:type="paragraph" w:customStyle="1" w:styleId="59">
    <w:name w:val="标题2A"/>
    <w:basedOn w:val="4"/>
    <w:qFormat/>
    <w:uiPriority w:val="0"/>
    <w:pPr>
      <w:keepLines/>
      <w:spacing w:before="360" w:after="360" w:line="578" w:lineRule="auto"/>
    </w:pPr>
    <w:rPr>
      <w:color w:val="auto"/>
      <w:szCs w:val="32"/>
    </w:rPr>
  </w:style>
  <w:style w:type="paragraph" w:customStyle="1" w:styleId="60">
    <w:name w:val="正文_21"/>
    <w:qFormat/>
    <w:uiPriority w:val="0"/>
    <w:pPr>
      <w:widowControl w:val="0"/>
      <w:jc w:val="both"/>
    </w:pPr>
    <w:rPr>
      <w:rFonts w:ascii="Calibri" w:hAnsi="Calibri" w:eastAsia="宋体" w:cs="Times New Roman"/>
      <w:kern w:val="2"/>
      <w:sz w:val="21"/>
      <w:szCs w:val="22"/>
      <w:lang w:val="en-US" w:eastAsia="zh-CN" w:bidi="ar-SA"/>
    </w:rPr>
  </w:style>
  <w:style w:type="table" w:customStyle="1" w:styleId="61">
    <w:name w:val="网格型_0_0"/>
    <w:basedOn w:val="23"/>
    <w:qFormat/>
    <w:uiPriority w:val="0"/>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5"/>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
    <w:name w:val="正文文本缩进1"/>
    <w:basedOn w:val="1"/>
    <w:qFormat/>
    <w:uiPriority w:val="0"/>
    <w:pPr>
      <w:spacing w:line="360" w:lineRule="auto"/>
      <w:ind w:firstLine="444" w:firstLineChars="200"/>
    </w:pPr>
    <w:rPr>
      <w:rFonts w:ascii="宋体"/>
      <w:sz w:val="24"/>
    </w:rPr>
  </w:style>
  <w:style w:type="character" w:customStyle="1" w:styleId="64">
    <w:name w:val="DeltaView Insertion"/>
    <w:qFormat/>
    <w:uiPriority w:val="0"/>
    <w:rPr>
      <w:color w:val="0000FF"/>
      <w:spacing w:val="0"/>
      <w:u w:val="double"/>
    </w:rPr>
  </w:style>
  <w:style w:type="paragraph" w:customStyle="1" w:styleId="65">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2437</Words>
  <Characters>13896</Characters>
  <Lines>115</Lines>
  <Paragraphs>32</Paragraphs>
  <TotalTime>14</TotalTime>
  <ScaleCrop>false</ScaleCrop>
  <LinksUpToDate>false</LinksUpToDate>
  <CharactersWithSpaces>16301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2022-10-06T13:54:00Z</dcterms:created>
  <dc:creator>李津</dc:creator>
  <cp:lastModifiedBy>汪家佳</cp:lastModifiedBy>
  <cp:lastPrinted>2024-04-18T07:10:00Z</cp:lastPrinted>
  <dcterms:modified xsi:type="dcterms:W3CDTF">2025-09-19T08:15:16Z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3863CB1BE97844CC8ABECAB036F0B27F</vt:lpwstr>
  </property>
</Properties>
</file>