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cs="宋体" w:asciiTheme="minorEastAsia" w:hAnsiTheme="minorEastAsia"/>
          <w:color w:val="auto"/>
          <w:sz w:val="72"/>
          <w:szCs w:val="72"/>
          <w:highlight w:val="none"/>
        </w:rPr>
      </w:pPr>
      <w:r>
        <w:rPr>
          <w:rFonts w:hint="eastAsia" w:cs="宋体" w:asciiTheme="minorEastAsia" w:hAnsiTheme="minorEastAsia"/>
          <w:color w:val="auto"/>
          <w:sz w:val="44"/>
          <w:szCs w:val="44"/>
          <w:highlight w:val="none"/>
          <w:lang w:val="en-US" w:eastAsia="zh-CN"/>
        </w:rPr>
        <w:t>公开询价文件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auto"/>
          <w:sz w:val="5"/>
          <w:szCs w:val="5"/>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1840"/>
        <w:textAlignment w:val="auto"/>
        <w:outlineLvl w:val="9"/>
        <w:rPr>
          <w:rFonts w:cs="宋体" w:asciiTheme="minorEastAsia" w:hAnsiTheme="minorEastAsia"/>
          <w:color w:val="auto"/>
          <w:sz w:val="4"/>
          <w:szCs w:val="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auto"/>
          <w:sz w:val="7"/>
          <w:szCs w:val="7"/>
          <w:highlight w:val="none"/>
        </w:rPr>
      </w:pP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color w:val="auto"/>
          <w:sz w:val="24"/>
          <w:szCs w:val="24"/>
          <w:highlight w:val="none"/>
        </w:rPr>
      </w:pPr>
      <w:r>
        <w:rPr>
          <w:rFonts w:hint="eastAsia" w:asciiTheme="minorEastAsia" w:hAnsiTheme="minorEastAsia"/>
          <w:color w:val="auto"/>
          <w:spacing w:val="-3"/>
          <w:sz w:val="24"/>
          <w:szCs w:val="24"/>
          <w:highlight w:val="none"/>
          <w:lang w:val="en-US" w:eastAsia="zh-CN"/>
        </w:rPr>
        <w:t>项目名称</w:t>
      </w:r>
      <w:r>
        <w:rPr>
          <w:rFonts w:asciiTheme="minorEastAsia" w:hAnsiTheme="minorEastAsia" w:eastAsiaTheme="minorEastAsia"/>
          <w:color w:val="auto"/>
          <w:spacing w:val="-3"/>
          <w:sz w:val="24"/>
          <w:szCs w:val="24"/>
          <w:highlight w:val="none"/>
        </w:rPr>
        <w:t>：</w:t>
      </w:r>
      <w:r>
        <w:rPr>
          <w:rFonts w:hint="eastAsia" w:asciiTheme="minorEastAsia" w:hAnsiTheme="minorEastAsia" w:eastAsiaTheme="minorEastAsia"/>
          <w:color w:val="auto"/>
          <w:spacing w:val="-3"/>
          <w:sz w:val="24"/>
          <w:szCs w:val="24"/>
          <w:highlight w:val="none"/>
          <w:u w:val="single"/>
        </w:rPr>
        <w:t>舟山物流公司码头泊位扩建工程（册子水道）海域水质及生态现状监测调查服务</w:t>
      </w:r>
    </w:p>
    <w:p>
      <w:pPr>
        <w:keepNext w:val="0"/>
        <w:keepLines w:val="0"/>
        <w:pageBreakBefore w:val="0"/>
        <w:widowControl w:val="0"/>
        <w:tabs>
          <w:tab w:val="left" w:pos="6373"/>
        </w:tabs>
        <w:kinsoku/>
        <w:wordWrap/>
        <w:overflowPunct/>
        <w:topLinePunct w:val="0"/>
        <w:autoSpaceDE/>
        <w:autoSpaceDN/>
        <w:bidi w:val="0"/>
        <w:adjustRightInd/>
        <w:snapToGrid/>
        <w:spacing w:before="0" w:line="360" w:lineRule="auto"/>
        <w:ind w:right="134"/>
        <w:jc w:val="center"/>
        <w:textAlignment w:val="auto"/>
        <w:outlineLvl w:val="9"/>
        <w:rPr>
          <w:rFonts w:asciiTheme="minorEastAsia" w:hAnsiTheme="minorEastAsia" w:eastAsiaTheme="minorEastAsia"/>
          <w:color w:val="auto"/>
          <w:sz w:val="24"/>
          <w:szCs w:val="24"/>
          <w:highlight w:val="none"/>
        </w:rPr>
      </w:pPr>
      <w:r>
        <w:rPr>
          <w:rFonts w:asciiTheme="minorEastAsia" w:hAnsiTheme="minorEastAsia" w:eastAsiaTheme="minorEastAsia"/>
          <w:color w:val="auto"/>
          <w:spacing w:val="-3"/>
          <w:sz w:val="24"/>
          <w:szCs w:val="24"/>
          <w:highlight w:val="none"/>
        </w:rPr>
        <w:t>采购编号：</w:t>
      </w:r>
      <w:r>
        <w:rPr>
          <w:rFonts w:hint="eastAsia" w:asciiTheme="minorEastAsia" w:hAnsiTheme="minorEastAsia" w:eastAsiaTheme="minorEastAsia"/>
          <w:color w:val="auto"/>
          <w:spacing w:val="-3"/>
          <w:sz w:val="24"/>
          <w:szCs w:val="24"/>
          <w:highlight w:val="none"/>
          <w:u w:val="single"/>
        </w:rPr>
        <w:t>GKXJ-2024-WL-2489</w:t>
      </w:r>
    </w:p>
    <w:p>
      <w:pPr>
        <w:pStyle w:val="6"/>
      </w:pPr>
    </w:p>
    <w:p>
      <w:pPr>
        <w:keepNext w:val="0"/>
        <w:keepLines w:val="0"/>
        <w:pageBreakBefore w:val="0"/>
        <w:widowControl w:val="0"/>
        <w:kinsoku/>
        <w:wordWrap/>
        <w:overflowPunct/>
        <w:topLinePunct w:val="0"/>
        <w:autoSpaceDE/>
        <w:autoSpaceDN/>
        <w:bidi w:val="0"/>
        <w:adjustRightInd/>
        <w:snapToGrid/>
        <w:spacing w:line="360" w:lineRule="auto"/>
        <w:ind w:left="4772"/>
        <w:textAlignment w:val="auto"/>
        <w:outlineLvl w:val="9"/>
        <w:rPr>
          <w:rFonts w:cs="宋体" w:asciiTheme="minorEastAsia" w:hAnsiTheme="minorEastAsia"/>
          <w:color w:val="000000" w:themeColor="text1"/>
          <w:sz w:val="2"/>
          <w:szCs w:val="2"/>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20"/>
          <w:szCs w:val="20"/>
          <w:highlight w:val="none"/>
          <w14:textFill>
            <w14:solidFill>
              <w14:schemeClr w14:val="tx1"/>
            </w14:solidFill>
          </w14:textFill>
        </w:rPr>
      </w:pPr>
    </w:p>
    <w:p>
      <w:pPr>
        <w:keepNext w:val="0"/>
        <w:keepLines w:val="0"/>
        <w:pageBreakBefore w:val="0"/>
        <w:widowControl w:val="0"/>
        <w:tabs>
          <w:tab w:val="left" w:pos="6618"/>
        </w:tabs>
        <w:kinsoku/>
        <w:wordWrap/>
        <w:overflowPunct/>
        <w:topLinePunct w:val="0"/>
        <w:autoSpaceDE/>
        <w:autoSpaceDN/>
        <w:bidi w:val="0"/>
        <w:adjustRightInd/>
        <w:snapToGrid/>
        <w:spacing w:line="360" w:lineRule="auto"/>
        <w:ind w:left="0" w:leftChars="0" w:right="134" w:firstLine="0" w:firstLineChars="0"/>
        <w:jc w:val="center"/>
        <w:textAlignment w:val="auto"/>
        <w:outlineLvl w:val="9"/>
        <w:rPr>
          <w:rFonts w:hint="eastAsia" w:cs="宋体" w:asciiTheme="minorEastAsia" w:hAnsiTheme="minorEastAsia" w:eastAsiaTheme="minorEastAsia"/>
          <w:color w:val="000000" w:themeColor="text1"/>
          <w:sz w:val="28"/>
          <w:szCs w:val="28"/>
          <w:highlight w:val="none"/>
          <w:u w:val="single"/>
          <w:lang w:eastAsia="zh-CN"/>
          <w14:textFill>
            <w14:solidFill>
              <w14:schemeClr w14:val="tx1"/>
            </w14:solidFill>
          </w14:textFill>
        </w:rPr>
      </w:pPr>
      <w:r>
        <w:rPr>
          <w:rFonts w:cs="宋体" w:asciiTheme="minorEastAsia" w:hAnsiTheme="minorEastAsia"/>
          <w:color w:val="000000" w:themeColor="text1"/>
          <w:spacing w:val="-15"/>
          <w:sz w:val="28"/>
          <w:szCs w:val="28"/>
          <w:highlight w:val="none"/>
          <w14:textFill>
            <w14:solidFill>
              <w14:schemeClr w14:val="tx1"/>
            </w14:solidFill>
          </w14:textFill>
        </w:rPr>
        <w:t>采购人：</w:t>
      </w:r>
      <w:r>
        <w:rPr>
          <w:rFonts w:hint="eastAsia" w:cs="宋体" w:asciiTheme="minorEastAsia" w:hAnsiTheme="minorEastAsia"/>
          <w:color w:val="000000" w:themeColor="text1"/>
          <w:spacing w:val="-15"/>
          <w:sz w:val="28"/>
          <w:szCs w:val="28"/>
          <w:highlight w:val="none"/>
          <w:u w:val="single"/>
          <w:lang w:val="en-US" w:eastAsia="zh-CN"/>
          <w14:textFill>
            <w14:solidFill>
              <w14:schemeClr w14:val="tx1"/>
            </w14:solidFill>
          </w14:textFill>
        </w:rPr>
        <w:t>中海油能源发展采办共享中心</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cs="宋体" w:asciiTheme="minorEastAsia" w:hAnsiTheme="minorEastAsia"/>
          <w:color w:val="000000" w:themeColor="text1"/>
          <w:sz w:val="19"/>
          <w:szCs w:val="19"/>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cs="宋体" w:asciiTheme="minorEastAsia" w:hAnsiTheme="minorEastAsia"/>
          <w:color w:val="000000" w:themeColor="text1"/>
          <w:sz w:val="28"/>
          <w:szCs w:val="28"/>
          <w:highlight w:val="none"/>
          <w14:textFill>
            <w14:solidFill>
              <w14:schemeClr w14:val="tx1"/>
            </w14:solidFill>
          </w14:textFill>
        </w:rPr>
      </w:pP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2024</w:t>
      </w:r>
      <w:r>
        <w:rPr>
          <w:rFonts w:cs="宋体" w:asciiTheme="minorEastAsia" w:hAnsiTheme="minorEastAsia"/>
          <w:color w:val="000000" w:themeColor="text1"/>
          <w:sz w:val="28"/>
          <w:szCs w:val="28"/>
          <w:highlight w:val="none"/>
          <w14:textFill>
            <w14:solidFill>
              <w14:schemeClr w14:val="tx1"/>
            </w14:solidFill>
          </w14:textFill>
        </w:rPr>
        <w:t>年</w:t>
      </w: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 xml:space="preserve"> 09</w:t>
      </w:r>
      <w:r>
        <w:rPr>
          <w:rFonts w:cs="Times New Roman" w:asciiTheme="minorEastAsia" w:hAnsiTheme="minorEastAsia"/>
          <w:color w:val="000000" w:themeColor="text1"/>
          <w:sz w:val="28"/>
          <w:szCs w:val="28"/>
          <w:highlight w:val="none"/>
          <w:u w:val="single" w:color="000000"/>
          <w14:textFill>
            <w14:solidFill>
              <w14:schemeClr w14:val="tx1"/>
            </w14:solidFill>
          </w14:textFill>
        </w:rPr>
        <w:t xml:space="preserve"> </w:t>
      </w:r>
      <w:r>
        <w:rPr>
          <w:rFonts w:cs="宋体" w:asciiTheme="minorEastAsia" w:hAnsiTheme="minorEastAsia"/>
          <w:color w:val="000000" w:themeColor="text1"/>
          <w:sz w:val="28"/>
          <w:szCs w:val="28"/>
          <w:highlight w:val="none"/>
          <w14:textFill>
            <w14:solidFill>
              <w14:schemeClr w14:val="tx1"/>
            </w14:solidFill>
          </w14:textFill>
        </w:rPr>
        <w:t>月</w:t>
      </w:r>
      <w:r>
        <w:rPr>
          <w:rFonts w:hint="eastAsia" w:cs="Times New Roman" w:asciiTheme="minorEastAsia" w:hAnsiTheme="minorEastAsia"/>
          <w:color w:val="000000" w:themeColor="text1"/>
          <w:sz w:val="28"/>
          <w:szCs w:val="28"/>
          <w:highlight w:val="none"/>
          <w:u w:val="single" w:color="000000"/>
          <w:lang w:val="en-US" w:eastAsia="zh-CN"/>
          <w14:textFill>
            <w14:solidFill>
              <w14:schemeClr w14:val="tx1"/>
            </w14:solidFill>
          </w14:textFill>
        </w:rPr>
        <w:t xml:space="preserve"> 23 </w:t>
      </w:r>
      <w:r>
        <w:rPr>
          <w:rFonts w:cs="宋体" w:asciiTheme="minorEastAsia" w:hAnsiTheme="minorEastAsia"/>
          <w:color w:val="000000" w:themeColor="text1"/>
          <w:sz w:val="28"/>
          <w:szCs w:val="28"/>
          <w:highlight w:val="none"/>
          <w14:textFill>
            <w14:solidFill>
              <w14:schemeClr w14:val="tx1"/>
            </w14:solidFill>
          </w14:textFill>
        </w:rPr>
        <w:t>日</w:t>
      </w:r>
    </w:p>
    <w:p>
      <w:pPr>
        <w:spacing w:line="360" w:lineRule="auto"/>
        <w:jc w:val="left"/>
        <w:rPr>
          <w:rFonts w:asciiTheme="minorEastAsia" w:hAnsiTheme="minorEastAsia"/>
          <w:color w:val="000000" w:themeColor="text1"/>
          <w:sz w:val="24"/>
          <w:szCs w:val="24"/>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spacing w:line="440" w:lineRule="exact"/>
        <w:jc w:val="center"/>
        <w:rPr>
          <w:rFonts w:asciiTheme="minorEastAsia" w:hAnsiTheme="minorEastAsia" w:cstheme="minorEastAsia"/>
          <w:b/>
          <w:bCs/>
          <w:color w:val="000000" w:themeColor="text1"/>
          <w:sz w:val="40"/>
          <w:szCs w:val="40"/>
          <w:highlight w:val="none"/>
          <w14:textFill>
            <w14:solidFill>
              <w14:schemeClr w14:val="tx1"/>
            </w14:solidFill>
          </w14:textFill>
        </w:rPr>
      </w:pPr>
    </w:p>
    <w:p>
      <w:pPr>
        <w:rPr>
          <w:rFonts w:hint="eastAsia" w:asciiTheme="minorEastAsia" w:hAnsiTheme="minorEastAsia" w:cstheme="minorEastAsia"/>
          <w:b/>
          <w:bCs/>
          <w:color w:val="000000" w:themeColor="text1"/>
          <w:sz w:val="40"/>
          <w:szCs w:val="40"/>
          <w:highlight w:val="none"/>
          <w14:textFill>
            <w14:solidFill>
              <w14:schemeClr w14:val="tx1"/>
            </w14:solidFill>
          </w14:textFill>
        </w:rPr>
      </w:pPr>
      <w:r>
        <w:rPr>
          <w:rFonts w:hint="eastAsia" w:asciiTheme="minorEastAsia" w:hAnsiTheme="minorEastAsia" w:cstheme="minorEastAsia"/>
          <w:b/>
          <w:bCs/>
          <w:color w:val="000000" w:themeColor="text1"/>
          <w:sz w:val="40"/>
          <w:szCs w:val="40"/>
          <w:highlight w:val="none"/>
          <w14:textFill>
            <w14:solidFill>
              <w14:schemeClr w14:val="tx1"/>
            </w14:solidFill>
          </w14:textFill>
        </w:rPr>
        <w:br w:type="page"/>
      </w:r>
    </w:p>
    <w:p>
      <w:pPr>
        <w:pStyle w:val="4"/>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spacing w:line="360" w:lineRule="auto"/>
        <w:jc w:val="center"/>
        <w:outlineLvl w:val="0"/>
        <w:rPr>
          <w:rFonts w:ascii="黑体" w:hAnsi="黑体" w:eastAsia="黑体"/>
          <w:b/>
          <w:color w:val="000000" w:themeColor="text1"/>
          <w:sz w:val="30"/>
          <w:szCs w:val="30"/>
          <w:highlight w:val="none"/>
          <w14:textFill>
            <w14:solidFill>
              <w14:schemeClr w14:val="tx1"/>
            </w14:solidFill>
          </w14:textFill>
        </w:rPr>
      </w:pPr>
      <w:r>
        <w:rPr>
          <w:rFonts w:hint="eastAsia" w:ascii="黑体" w:hAnsi="黑体" w:eastAsia="黑体"/>
          <w:b/>
          <w:color w:val="000000" w:themeColor="text1"/>
          <w:sz w:val="30"/>
          <w:szCs w:val="30"/>
          <w:highlight w:val="none"/>
          <w14:textFill>
            <w14:solidFill>
              <w14:schemeClr w14:val="tx1"/>
            </w14:solidFill>
          </w14:textFill>
        </w:rPr>
        <w:t>询价文件</w:t>
      </w:r>
    </w:p>
    <w:p>
      <w:pPr>
        <w:spacing w:line="360" w:lineRule="auto"/>
        <w:jc w:val="center"/>
        <w:rPr>
          <w:rFonts w:asciiTheme="minorEastAsia" w:hAnsiTheme="minorEastAsia"/>
          <w:color w:val="000000" w:themeColor="text1"/>
          <w:sz w:val="24"/>
          <w:szCs w:val="24"/>
          <w:highlight w:val="none"/>
          <w14:textFill>
            <w14:solidFill>
              <w14:schemeClr w14:val="tx1"/>
            </w14:solidFill>
          </w14:textFill>
        </w:rPr>
      </w:pPr>
    </w:p>
    <w:p>
      <w:pPr>
        <w:spacing w:line="360" w:lineRule="auto"/>
        <w:ind w:firstLine="420" w:firstLineChars="20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海油发展采办共享中心对</w:t>
      </w:r>
      <w:r>
        <w:rPr>
          <w:rFonts w:hint="eastAsia" w:asciiTheme="minorEastAsia" w:hAnsiTheme="minorEastAsia"/>
          <w:color w:val="000000" w:themeColor="text1"/>
          <w:sz w:val="21"/>
          <w:szCs w:val="21"/>
          <w:highlight w:val="none"/>
          <w:u w:val="single"/>
          <w14:textFill>
            <w14:solidFill>
              <w14:schemeClr w14:val="tx1"/>
            </w14:solidFill>
          </w14:textFill>
        </w:rPr>
        <w:t>舟山物流公司码头泊位扩建工程（册子水道）海域水质及生态现状监测调查服务</w:t>
      </w:r>
      <w:r>
        <w:rPr>
          <w:rFonts w:hint="eastAsia" w:asciiTheme="minorEastAsia" w:hAnsiTheme="minorEastAsia"/>
          <w:color w:val="000000" w:themeColor="text1"/>
          <w:sz w:val="21"/>
          <w:szCs w:val="21"/>
          <w:highlight w:val="none"/>
          <w14:textFill>
            <w14:solidFill>
              <w14:schemeClr w14:val="tx1"/>
            </w14:solidFill>
          </w14:textFill>
        </w:rPr>
        <w:t>项目进行公开询价采购，欢迎供应商参加。现将有关事项明确如下：</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outlineLvl w:val="1"/>
        <w:rPr>
          <w:rFonts w:asciiTheme="minorEastAsia" w:hAnsiTheme="minorEastAsia"/>
          <w:b/>
          <w:color w:val="000000" w:themeColor="text1"/>
          <w:sz w:val="21"/>
          <w:szCs w:val="21"/>
          <w:highlight w:val="none"/>
          <w14:textFill>
            <w14:solidFill>
              <w14:schemeClr w14:val="tx1"/>
            </w14:solidFill>
          </w14:textFill>
        </w:rPr>
      </w:pPr>
      <w:r>
        <w:rPr>
          <w:rFonts w:hint="eastAsia" w:asciiTheme="minorEastAsia" w:hAnsiTheme="minorEastAsia"/>
          <w:b/>
          <w:color w:val="000000" w:themeColor="text1"/>
          <w:sz w:val="21"/>
          <w:szCs w:val="21"/>
          <w:highlight w:val="none"/>
          <w14:textFill>
            <w14:solidFill>
              <w14:schemeClr w14:val="tx1"/>
            </w14:solidFill>
          </w14:textFill>
        </w:rPr>
        <w:t>总则</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1</w:t>
      </w:r>
      <w:r>
        <w:rPr>
          <w:rFonts w:hint="eastAsia" w:asciiTheme="minorEastAsia" w:hAnsiTheme="minorEastAsia"/>
          <w:color w:val="000000" w:themeColor="text1"/>
          <w:sz w:val="21"/>
          <w:szCs w:val="21"/>
          <w:highlight w:val="none"/>
          <w14:textFill>
            <w14:solidFill>
              <w14:schemeClr w14:val="tx1"/>
            </w14:solidFill>
          </w14:textFill>
        </w:rPr>
        <w:t>.合格的</w:t>
      </w:r>
      <w:r>
        <w:rPr>
          <w:rFonts w:hint="eastAsia" w:asciiTheme="minorEastAsia" w:hAnsiTheme="minorEastAsia"/>
          <w:color w:val="000000" w:themeColor="text1"/>
          <w:sz w:val="21"/>
          <w:szCs w:val="21"/>
          <w:highlight w:val="none"/>
          <w:lang w:eastAsia="zh-CN"/>
          <w14:textFill>
            <w14:solidFill>
              <w14:schemeClr w14:val="tx1"/>
            </w14:solidFill>
          </w14:textFill>
        </w:rPr>
        <w:t>应答人</w:t>
      </w:r>
      <w:r>
        <w:rPr>
          <w:rFonts w:hint="eastAsia" w:asciiTheme="minorEastAsia" w:hAnsiTheme="minorEastAsia"/>
          <w:color w:val="000000" w:themeColor="text1"/>
          <w:sz w:val="21"/>
          <w:szCs w:val="21"/>
          <w:highlight w:val="none"/>
          <w14:textFill>
            <w14:solidFill>
              <w14:schemeClr w14:val="tx1"/>
            </w14:solidFill>
          </w14:textFill>
        </w:rPr>
        <w:t>：符合询价公告的供应商资格条件。</w:t>
      </w:r>
    </w:p>
    <w:p>
      <w:pPr>
        <w:spacing w:line="360" w:lineRule="auto"/>
        <w:ind w:firstLine="420"/>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2.采购内容、技术参数及要求：见本询价文件附件</w:t>
      </w:r>
      <w:r>
        <w:rPr>
          <w:rFonts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14:textFill>
            <w14:solidFill>
              <w14:schemeClr w14:val="tx1"/>
            </w14:solidFill>
          </w14:textFill>
        </w:rPr>
        <w:t>。</w:t>
      </w:r>
    </w:p>
    <w:p>
      <w:pPr>
        <w:spacing w:line="360" w:lineRule="auto"/>
        <w:ind w:firstLine="420"/>
        <w:rPr>
          <w:rFonts w:asciiTheme="minorEastAsia" w:hAnsiTheme="minorEastAsia"/>
          <w:color w:val="0000FF"/>
          <w:sz w:val="21"/>
          <w:szCs w:val="21"/>
          <w:highlight w:val="none"/>
        </w:rPr>
      </w:pPr>
      <w:r>
        <w:rPr>
          <w:rFonts w:asciiTheme="minorEastAsia" w:hAnsiTheme="minorEastAsia"/>
          <w:color w:val="0000FF"/>
          <w:sz w:val="21"/>
          <w:szCs w:val="21"/>
          <w:highlight w:val="none"/>
        </w:rPr>
        <w:t>3</w:t>
      </w:r>
      <w:r>
        <w:rPr>
          <w:rFonts w:hint="eastAsia" w:asciiTheme="minorEastAsia" w:hAnsiTheme="minorEastAsia"/>
          <w:color w:val="0000FF"/>
          <w:sz w:val="21"/>
          <w:szCs w:val="21"/>
          <w:highlight w:val="none"/>
        </w:rPr>
        <w:t>.公告时间：自</w:t>
      </w:r>
      <w:r>
        <w:rPr>
          <w:rFonts w:hint="eastAsia" w:asciiTheme="minorEastAsia" w:hAnsiTheme="minorEastAsia"/>
          <w:color w:val="0000FF"/>
          <w:sz w:val="21"/>
          <w:szCs w:val="21"/>
          <w:highlight w:val="none"/>
          <w:u w:val="single"/>
          <w:lang w:val="en-US" w:eastAsia="zh-CN"/>
        </w:rPr>
        <w:t>2024</w:t>
      </w:r>
      <w:r>
        <w:rPr>
          <w:rFonts w:hint="eastAsia" w:asciiTheme="minorEastAsia" w:hAnsiTheme="minorEastAsia"/>
          <w:color w:val="0000FF"/>
          <w:sz w:val="21"/>
          <w:szCs w:val="21"/>
          <w:highlight w:val="none"/>
          <w:u w:val="single"/>
        </w:rPr>
        <w:t xml:space="preserve"> </w:t>
      </w:r>
      <w:r>
        <w:rPr>
          <w:rFonts w:hint="eastAsia" w:asciiTheme="minorEastAsia" w:hAnsiTheme="minorEastAsia"/>
          <w:color w:val="0000FF"/>
          <w:sz w:val="21"/>
          <w:szCs w:val="21"/>
          <w:highlight w:val="none"/>
        </w:rPr>
        <w:t>年</w:t>
      </w:r>
      <w:r>
        <w:rPr>
          <w:rFonts w:hint="eastAsia" w:asciiTheme="minorEastAsia" w:hAnsiTheme="minorEastAsia"/>
          <w:color w:val="0000FF"/>
          <w:sz w:val="21"/>
          <w:szCs w:val="21"/>
          <w:highlight w:val="none"/>
          <w:u w:val="single"/>
          <w:lang w:val="en-US" w:eastAsia="zh-CN"/>
        </w:rPr>
        <w:t>09</w:t>
      </w:r>
      <w:r>
        <w:rPr>
          <w:rFonts w:hint="eastAsia" w:asciiTheme="minorEastAsia" w:hAnsiTheme="minorEastAsia"/>
          <w:color w:val="0000FF"/>
          <w:sz w:val="21"/>
          <w:szCs w:val="21"/>
          <w:highlight w:val="none"/>
          <w:u w:val="single"/>
        </w:rPr>
        <w:t xml:space="preserve"> </w:t>
      </w:r>
      <w:r>
        <w:rPr>
          <w:rFonts w:hint="eastAsia" w:asciiTheme="minorEastAsia" w:hAnsiTheme="minorEastAsia"/>
          <w:color w:val="0000FF"/>
          <w:sz w:val="21"/>
          <w:szCs w:val="21"/>
          <w:highlight w:val="none"/>
        </w:rPr>
        <w:t>月</w:t>
      </w:r>
      <w:r>
        <w:rPr>
          <w:rFonts w:hint="eastAsia" w:asciiTheme="minorEastAsia" w:hAnsiTheme="minorEastAsia"/>
          <w:color w:val="0000FF"/>
          <w:sz w:val="21"/>
          <w:szCs w:val="21"/>
          <w:highlight w:val="none"/>
          <w:u w:val="single"/>
        </w:rPr>
        <w:t xml:space="preserve"> </w:t>
      </w:r>
      <w:r>
        <w:rPr>
          <w:rFonts w:hint="eastAsia" w:asciiTheme="minorEastAsia" w:hAnsiTheme="minorEastAsia"/>
          <w:color w:val="0000FF"/>
          <w:sz w:val="21"/>
          <w:szCs w:val="21"/>
          <w:highlight w:val="none"/>
          <w:u w:val="single"/>
          <w:lang w:val="en-US" w:eastAsia="zh-CN"/>
        </w:rPr>
        <w:t xml:space="preserve">23 </w:t>
      </w:r>
      <w:r>
        <w:rPr>
          <w:rFonts w:hint="eastAsia" w:asciiTheme="minorEastAsia" w:hAnsiTheme="minorEastAsia"/>
          <w:color w:val="0000FF"/>
          <w:sz w:val="21"/>
          <w:szCs w:val="21"/>
          <w:highlight w:val="none"/>
        </w:rPr>
        <w:t>日起至</w:t>
      </w:r>
      <w:r>
        <w:rPr>
          <w:rFonts w:hint="eastAsia" w:asciiTheme="minorEastAsia" w:hAnsiTheme="minorEastAsia"/>
          <w:color w:val="0000FF"/>
          <w:sz w:val="21"/>
          <w:szCs w:val="21"/>
          <w:highlight w:val="none"/>
          <w:u w:val="single"/>
          <w:lang w:val="en-US" w:eastAsia="zh-CN"/>
        </w:rPr>
        <w:t>2024</w:t>
      </w:r>
      <w:r>
        <w:rPr>
          <w:rFonts w:hint="eastAsia" w:asciiTheme="minorEastAsia" w:hAnsiTheme="minorEastAsia"/>
          <w:color w:val="0000FF"/>
          <w:sz w:val="21"/>
          <w:szCs w:val="21"/>
          <w:highlight w:val="none"/>
          <w:u w:val="single"/>
        </w:rPr>
        <w:t xml:space="preserve"> </w:t>
      </w:r>
      <w:r>
        <w:rPr>
          <w:rFonts w:hint="eastAsia" w:asciiTheme="minorEastAsia" w:hAnsiTheme="minorEastAsia"/>
          <w:color w:val="0000FF"/>
          <w:sz w:val="21"/>
          <w:szCs w:val="21"/>
          <w:highlight w:val="none"/>
        </w:rPr>
        <w:t>年</w:t>
      </w:r>
      <w:r>
        <w:rPr>
          <w:rFonts w:hint="eastAsia" w:asciiTheme="minorEastAsia" w:hAnsiTheme="minorEastAsia"/>
          <w:color w:val="0000FF"/>
          <w:sz w:val="21"/>
          <w:szCs w:val="21"/>
          <w:highlight w:val="none"/>
          <w:u w:val="single"/>
          <w:lang w:val="en-US" w:eastAsia="zh-CN"/>
        </w:rPr>
        <w:t>09</w:t>
      </w:r>
      <w:r>
        <w:rPr>
          <w:rFonts w:hint="eastAsia" w:asciiTheme="minorEastAsia" w:hAnsiTheme="minorEastAsia"/>
          <w:color w:val="0000FF"/>
          <w:sz w:val="21"/>
          <w:szCs w:val="21"/>
          <w:highlight w:val="none"/>
          <w:u w:val="single"/>
        </w:rPr>
        <w:t xml:space="preserve"> </w:t>
      </w:r>
      <w:r>
        <w:rPr>
          <w:rFonts w:hint="eastAsia" w:asciiTheme="minorEastAsia" w:hAnsiTheme="minorEastAsia"/>
          <w:color w:val="0000FF"/>
          <w:sz w:val="21"/>
          <w:szCs w:val="21"/>
          <w:highlight w:val="none"/>
        </w:rPr>
        <w:t>月</w:t>
      </w:r>
      <w:r>
        <w:rPr>
          <w:rFonts w:hint="eastAsia" w:asciiTheme="minorEastAsia" w:hAnsiTheme="minorEastAsia"/>
          <w:color w:val="0000FF"/>
          <w:sz w:val="21"/>
          <w:szCs w:val="21"/>
          <w:highlight w:val="none"/>
          <w:u w:val="single"/>
          <w:lang w:val="en-US" w:eastAsia="zh-CN"/>
        </w:rPr>
        <w:t xml:space="preserve"> 29 </w:t>
      </w:r>
      <w:r>
        <w:rPr>
          <w:rFonts w:hint="eastAsia" w:asciiTheme="minorEastAsia" w:hAnsiTheme="minorEastAsia"/>
          <w:color w:val="0000FF"/>
          <w:sz w:val="21"/>
          <w:szCs w:val="21"/>
          <w:highlight w:val="none"/>
        </w:rPr>
        <w:t>日止。</w:t>
      </w:r>
    </w:p>
    <w:p>
      <w:pPr>
        <w:spacing w:line="360" w:lineRule="auto"/>
        <w:ind w:firstLine="630" w:firstLineChars="300"/>
        <w:jc w:val="left"/>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lang w:eastAsia="zh-CN"/>
          <w14:textFill>
            <w14:solidFill>
              <w14:schemeClr w14:val="tx1"/>
            </w14:solidFill>
          </w14:textFill>
        </w:rPr>
        <w:t>采购人</w:t>
      </w:r>
      <w:r>
        <w:rPr>
          <w:rFonts w:asciiTheme="minorEastAsia" w:hAnsiTheme="minorEastAsia"/>
          <w:color w:val="000000" w:themeColor="text1"/>
          <w:sz w:val="21"/>
          <w:szCs w:val="21"/>
          <w:highlight w:val="none"/>
          <w14:textFill>
            <w14:solidFill>
              <w14:schemeClr w14:val="tx1"/>
            </w14:solidFill>
          </w14:textFill>
        </w:rPr>
        <w:t>于</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2024</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年</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09</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14:textFill>
            <w14:solidFill>
              <w14:schemeClr w14:val="tx1"/>
            </w14:solidFill>
          </w14:textFill>
        </w:rPr>
        <w:t>月</w:t>
      </w:r>
      <w:r>
        <w:rPr>
          <w:rFonts w:hint="eastAsia" w:asciiTheme="minorEastAsia" w:hAnsi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color w:val="000000" w:themeColor="text1"/>
          <w:sz w:val="21"/>
          <w:szCs w:val="21"/>
          <w:highlight w:val="none"/>
          <w:u w:val="single"/>
          <w:lang w:val="en-US" w:eastAsia="zh-CN"/>
          <w14:textFill>
            <w14:solidFill>
              <w14:schemeClr w14:val="tx1"/>
            </w14:solidFill>
          </w14:textFill>
        </w:rPr>
        <w:t>23</w:t>
      </w:r>
      <w:r>
        <w:rPr>
          <w:rFonts w:asciiTheme="minorEastAsia" w:hAnsiTheme="minorEastAsia"/>
          <w:color w:val="000000" w:themeColor="text1"/>
          <w:sz w:val="21"/>
          <w:szCs w:val="21"/>
          <w:highlight w:val="none"/>
          <w:u w:val="single"/>
          <w14:textFill>
            <w14:solidFill>
              <w14:schemeClr w14:val="tx1"/>
            </w14:solidFill>
          </w14:textFill>
        </w:rPr>
        <w:t xml:space="preserve"> </w:t>
      </w:r>
      <w:r>
        <w:rPr>
          <w:rFonts w:asciiTheme="minorEastAsia" w:hAnsiTheme="minorEastAsia"/>
          <w:color w:val="000000" w:themeColor="text1"/>
          <w:sz w:val="21"/>
          <w:szCs w:val="21"/>
          <w:highlight w:val="none"/>
          <w14:textFill>
            <w14:solidFill>
              <w14:schemeClr w14:val="tx1"/>
            </w14:solidFill>
          </w14:textFill>
        </w:rPr>
        <w:t>日（北京时间</w:t>
      </w:r>
      <w:r>
        <w:rPr>
          <w:rFonts w:hint="eastAsia" w:asciiTheme="minorEastAsia" w:hAnsiTheme="minorEastAsia"/>
          <w:color w:val="000000" w:themeColor="text1"/>
          <w:sz w:val="21"/>
          <w:szCs w:val="21"/>
          <w:highlight w:val="none"/>
          <w14:textFill>
            <w14:solidFill>
              <w14:schemeClr w14:val="tx1"/>
            </w14:solidFill>
          </w14:textFill>
        </w:rPr>
        <w:t>）将询价文件发布至中国海洋石油集团有限公司《中国海油供应链数字化平台》（以下简称“系统”）https://bid.cnooc.com.cn/，请登陆并下载。</w:t>
      </w:r>
    </w:p>
    <w:p>
      <w:pPr>
        <w:spacing w:line="360" w:lineRule="auto"/>
        <w:ind w:firstLine="420"/>
        <w:rPr>
          <w:rFonts w:asciiTheme="minorEastAsia" w:hAnsiTheme="minorEastAsia"/>
          <w:color w:val="0000FF"/>
          <w:sz w:val="21"/>
          <w:szCs w:val="21"/>
          <w:highlight w:val="none"/>
        </w:rPr>
      </w:pPr>
      <w:r>
        <w:rPr>
          <w:rFonts w:asciiTheme="minorEastAsia" w:hAnsiTheme="minorEastAsia"/>
          <w:color w:val="0000FF"/>
          <w:sz w:val="21"/>
          <w:szCs w:val="21"/>
          <w:highlight w:val="none"/>
        </w:rPr>
        <w:t>4.递交响应文件的截止时间及地点：递交</w:t>
      </w:r>
      <w:r>
        <w:rPr>
          <w:rFonts w:hint="eastAsia" w:asciiTheme="minorEastAsia" w:hAnsiTheme="minorEastAsia"/>
          <w:color w:val="0000FF"/>
          <w:sz w:val="21"/>
          <w:szCs w:val="21"/>
          <w:highlight w:val="none"/>
        </w:rPr>
        <w:t>报价</w:t>
      </w:r>
      <w:r>
        <w:rPr>
          <w:rFonts w:asciiTheme="minorEastAsia" w:hAnsiTheme="minorEastAsia"/>
          <w:color w:val="0000FF"/>
          <w:sz w:val="21"/>
          <w:szCs w:val="21"/>
          <w:highlight w:val="none"/>
        </w:rPr>
        <w:t>文件的截止时间为</w:t>
      </w:r>
      <w:r>
        <w:rPr>
          <w:rFonts w:hint="eastAsia" w:asciiTheme="minorEastAsia" w:hAnsiTheme="minorEastAsia"/>
          <w:color w:val="0000FF"/>
          <w:sz w:val="21"/>
          <w:szCs w:val="21"/>
          <w:highlight w:val="none"/>
          <w:u w:val="single"/>
          <w:lang w:val="en-US" w:eastAsia="zh-CN"/>
        </w:rPr>
        <w:t>2024</w:t>
      </w:r>
      <w:r>
        <w:rPr>
          <w:rFonts w:hint="eastAsia" w:asciiTheme="minorEastAsia" w:hAnsiTheme="minorEastAsia"/>
          <w:color w:val="0000FF"/>
          <w:sz w:val="21"/>
          <w:szCs w:val="21"/>
          <w:highlight w:val="none"/>
          <w:u w:val="single"/>
        </w:rPr>
        <w:t xml:space="preserve"> </w:t>
      </w:r>
      <w:r>
        <w:rPr>
          <w:rFonts w:hint="eastAsia" w:asciiTheme="minorEastAsia" w:hAnsiTheme="minorEastAsia"/>
          <w:color w:val="0000FF"/>
          <w:sz w:val="21"/>
          <w:szCs w:val="21"/>
          <w:highlight w:val="none"/>
        </w:rPr>
        <w:t>年</w:t>
      </w:r>
      <w:r>
        <w:rPr>
          <w:rFonts w:hint="eastAsia" w:asciiTheme="minorEastAsia" w:hAnsiTheme="minorEastAsia"/>
          <w:color w:val="0000FF"/>
          <w:sz w:val="21"/>
          <w:szCs w:val="21"/>
          <w:highlight w:val="none"/>
          <w:u w:val="single"/>
          <w:lang w:val="en-US" w:eastAsia="zh-CN"/>
        </w:rPr>
        <w:t>09</w:t>
      </w:r>
      <w:r>
        <w:rPr>
          <w:rFonts w:hint="eastAsia" w:asciiTheme="minorEastAsia" w:hAnsiTheme="minorEastAsia"/>
          <w:color w:val="0000FF"/>
          <w:sz w:val="21"/>
          <w:szCs w:val="21"/>
          <w:highlight w:val="none"/>
          <w:u w:val="single"/>
        </w:rPr>
        <w:t xml:space="preserve"> </w:t>
      </w:r>
      <w:r>
        <w:rPr>
          <w:rFonts w:hint="eastAsia" w:asciiTheme="minorEastAsia" w:hAnsiTheme="minorEastAsia"/>
          <w:color w:val="0000FF"/>
          <w:sz w:val="21"/>
          <w:szCs w:val="21"/>
          <w:highlight w:val="none"/>
        </w:rPr>
        <w:t>月</w:t>
      </w:r>
      <w:r>
        <w:rPr>
          <w:rFonts w:hint="eastAsia" w:asciiTheme="minorEastAsia" w:hAnsiTheme="minorEastAsia"/>
          <w:color w:val="0000FF"/>
          <w:sz w:val="21"/>
          <w:szCs w:val="21"/>
          <w:highlight w:val="none"/>
          <w:u w:val="single"/>
          <w:lang w:val="en-US" w:eastAsia="zh-CN"/>
        </w:rPr>
        <w:t xml:space="preserve"> 29 </w:t>
      </w:r>
      <w:r>
        <w:rPr>
          <w:rFonts w:asciiTheme="minorEastAsia" w:hAnsiTheme="minorEastAsia"/>
          <w:color w:val="0000FF"/>
          <w:sz w:val="21"/>
          <w:szCs w:val="21"/>
          <w:highlight w:val="none"/>
        </w:rPr>
        <w:t>日</w:t>
      </w:r>
      <w:r>
        <w:rPr>
          <w:rFonts w:asciiTheme="minorEastAsia" w:hAnsiTheme="minorEastAsia"/>
          <w:color w:val="0000FF"/>
          <w:sz w:val="21"/>
          <w:szCs w:val="21"/>
          <w:highlight w:val="none"/>
          <w:u w:val="single"/>
        </w:rPr>
        <w:t xml:space="preserve"> </w:t>
      </w:r>
      <w:r>
        <w:rPr>
          <w:rFonts w:hint="eastAsia" w:asciiTheme="minorEastAsia" w:hAnsiTheme="minorEastAsia"/>
          <w:color w:val="0000FF"/>
          <w:sz w:val="21"/>
          <w:szCs w:val="21"/>
          <w:highlight w:val="none"/>
          <w:u w:val="single"/>
          <w:lang w:val="en-US" w:eastAsia="zh-CN"/>
        </w:rPr>
        <w:t>14</w:t>
      </w:r>
      <w:r>
        <w:rPr>
          <w:rFonts w:asciiTheme="minorEastAsia" w:hAnsiTheme="minorEastAsia"/>
          <w:color w:val="0000FF"/>
          <w:sz w:val="21"/>
          <w:szCs w:val="21"/>
          <w:highlight w:val="none"/>
          <w:u w:val="single"/>
        </w:rPr>
        <w:t xml:space="preserve"> </w:t>
      </w:r>
      <w:r>
        <w:rPr>
          <w:rFonts w:asciiTheme="minorEastAsia" w:hAnsiTheme="minorEastAsia"/>
          <w:color w:val="0000FF"/>
          <w:sz w:val="21"/>
          <w:szCs w:val="21"/>
          <w:highlight w:val="none"/>
        </w:rPr>
        <w:t>时，</w:t>
      </w:r>
      <w:r>
        <w:rPr>
          <w:rFonts w:hint="eastAsia" w:asciiTheme="minorEastAsia" w:hAnsiTheme="minorEastAsia"/>
          <w:color w:val="0000FF"/>
          <w:sz w:val="21"/>
          <w:szCs w:val="21"/>
          <w:highlight w:val="none"/>
        </w:rPr>
        <w:t>请在规定报价截止时间前通过系统报价及挂接</w:t>
      </w:r>
      <w:r>
        <w:rPr>
          <w:rFonts w:hint="eastAsia" w:asciiTheme="minorEastAsia" w:hAnsiTheme="minorEastAsia"/>
          <w:color w:val="0000FF"/>
          <w:sz w:val="21"/>
          <w:szCs w:val="21"/>
          <w:highlight w:val="none"/>
          <w:lang w:val="en-US" w:eastAsia="zh-CN"/>
        </w:rPr>
        <w:t>价格明细文件</w:t>
      </w:r>
      <w:r>
        <w:rPr>
          <w:rFonts w:hint="eastAsia" w:asciiTheme="minorEastAsia" w:hAnsiTheme="minorEastAsia"/>
          <w:color w:val="0000FF"/>
          <w:sz w:val="21"/>
          <w:szCs w:val="21"/>
          <w:highlight w:val="none"/>
        </w:rPr>
        <w:t>。</w:t>
      </w:r>
    </w:p>
    <w:p>
      <w:pPr>
        <w:widowControl/>
        <w:snapToGrid w:val="0"/>
        <w:spacing w:line="460" w:lineRule="exact"/>
        <w:ind w:firstLine="420" w:firstLineChars="2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5</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应答人须知</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bookmarkStart w:id="119" w:name="_GoBack"/>
      <w:bookmarkEnd w:id="119"/>
    </w:p>
    <w:p>
      <w:pPr>
        <w:widowControl/>
        <w:snapToGrid w:val="0"/>
        <w:spacing w:line="460" w:lineRule="exact"/>
        <w:ind w:firstLine="420" w:firstLineChars="200"/>
        <w:jc w:val="left"/>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1</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）凡参加的</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均视作认同本次询价的各项约定事宜(包括供应商资格、技术参数、相关日期</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b w:val="0"/>
          <w:bCs w:val="0"/>
          <w:strike w:val="0"/>
          <w:dstrike w:val="0"/>
          <w:color w:val="000000" w:themeColor="text1"/>
          <w:kern w:val="0"/>
          <w:sz w:val="21"/>
          <w:szCs w:val="21"/>
          <w:highlight w:val="none"/>
          <w:lang w:val="en-US" w:eastAsia="zh-CN"/>
          <w14:textFill>
            <w14:solidFill>
              <w14:schemeClr w14:val="tx1"/>
            </w14:solidFill>
          </w14:textFill>
        </w:rPr>
        <w:t>注册、准入</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等)</w:t>
      </w:r>
      <w:r>
        <w:rPr>
          <w:rFonts w:hint="eastAsia" w:ascii="宋体" w:hAnsi="宋体" w:eastAsia="宋体" w:cs="宋体"/>
          <w:b w:val="0"/>
          <w:bCs w:val="0"/>
          <w:strike w:val="0"/>
          <w:dstrike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 w:val="0"/>
          <w:bCs w:val="0"/>
          <w:strike w:val="0"/>
          <w:dstrike w:val="0"/>
          <w:color w:val="000000" w:themeColor="text1"/>
          <w:kern w:val="0"/>
          <w:sz w:val="21"/>
          <w:szCs w:val="21"/>
          <w:highlight w:val="none"/>
          <w14:textFill>
            <w14:solidFill>
              <w14:schemeClr w14:val="tx1"/>
            </w14:solidFill>
          </w14:textFill>
        </w:rPr>
        <w:t>不得以各类约定事宜提出质疑。</w:t>
      </w:r>
    </w:p>
    <w:p>
      <w:pPr>
        <w:pStyle w:val="4"/>
        <w:spacing w:line="360" w:lineRule="auto"/>
        <w:rPr>
          <w:rFonts w:hint="eastAsia"/>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应答人在《中国海油供应链数字化平台》填报供应商注册信息，并在注册审核通过后，方可具备参与采购业务的基本资格，未通过注册审核的应答人应答均视为无效。</w:t>
      </w:r>
    </w:p>
    <w:p>
      <w:pPr>
        <w:pStyle w:val="18"/>
        <w:numPr>
          <w:ilvl w:val="-1"/>
          <w:numId w:val="0"/>
        </w:numPr>
        <w:spacing w:line="360" w:lineRule="auto"/>
        <w:ind w:firstLine="420" w:firstLineChars="200"/>
        <w:jc w:val="both"/>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（3）应答人（非海油发展供应商资源库供应商）应于收到中标通知书后 2 日内按照纳入海油发展供应商资源库的资料提报要求完成资料准备和上传工作。如应答人超时效未完成上传工作，有可能影响其中标资格，因此造成的损失，由供应商自行承担。</w:t>
      </w:r>
    </w:p>
    <w:p>
      <w:pPr>
        <w:pStyle w:val="4"/>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（4）应答人成交后申请供应商资源库准入阶段，采购人有权对供应商进行考察工作，具体考察工作以项目经办人通知为准。如考察结果与应答文件要求不符，采购人有权取消其成交资格。</w:t>
      </w:r>
    </w:p>
    <w:p>
      <w:pPr>
        <w:pStyle w:val="4"/>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（5）供应商履约异常处理标准，详见附件4。</w:t>
      </w:r>
    </w:p>
    <w:p>
      <w:pPr>
        <w:pStyle w:val="4"/>
        <w:spacing w:line="360" w:lineRule="auto"/>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6）应答人如发现询价文件及其评审办法中存在含糊不清、相互矛盾、多种含义以及歧视性不公正条款或违法违规内容时，请在报价截止日到期前一天书面形式反映，未对询价文件提出异议或要求澄清的，将视为完全理解并默认询价文件所有条款，并同意放弃对询价文件有不明或误解而询问、质疑、投诉的权利。</w:t>
      </w:r>
    </w:p>
    <w:p>
      <w:pPr>
        <w:pStyle w:val="4"/>
        <w:spacing w:line="360" w:lineRule="auto"/>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（7）</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其他：</w:t>
      </w:r>
    </w:p>
    <w:p>
      <w:pPr>
        <w:pStyle w:val="4"/>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《招标投标法实施条例》第四十条　串通投标的认定</w:t>
      </w:r>
    </w:p>
    <w:p>
      <w:pPr>
        <w:pStyle w:val="4"/>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,1)</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有下列情形之一的，视为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w:t>
      </w:r>
    </w:p>
    <w:p>
      <w:pPr>
        <w:pStyle w:val="4"/>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a</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的投标文件由同一单位或者个人编制；</w:t>
      </w:r>
    </w:p>
    <w:p>
      <w:pPr>
        <w:pStyle w:val="4"/>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b</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委托同一单位或者个人办理投标事宜；</w:t>
      </w:r>
    </w:p>
    <w:p>
      <w:pPr>
        <w:pStyle w:val="4"/>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c</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的投标文件载明的项目管理成员为同一人；</w:t>
      </w:r>
    </w:p>
    <w:p>
      <w:pPr>
        <w:pStyle w:val="4"/>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d</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的投标文件异常一致或者投标报价呈规律性差异；</w:t>
      </w:r>
    </w:p>
    <w:p>
      <w:pPr>
        <w:pStyle w:val="4"/>
        <w:spacing w:line="360" w:lineRule="auto"/>
        <w:rPr>
          <w:rFonts w:hint="eastAsia" w:ascii="宋体" w:hAnsi="宋体" w:eastAsia="宋体" w:cs="宋体"/>
          <w:bCs w:val="0"/>
          <w:color w:val="000000" w:themeColor="text1"/>
          <w:kern w:val="0"/>
          <w:sz w:val="21"/>
          <w:szCs w:val="21"/>
          <w:highlight w:val="none"/>
          <w14:textFill>
            <w14:solidFill>
              <w14:schemeClr w14:val="tx1"/>
            </w14:solidFill>
          </w14:textFill>
        </w:rPr>
      </w:pPr>
      <w:r>
        <w:rPr>
          <w:rFonts w:hint="eastAsia" w:ascii="宋体" w:hAnsi="宋体" w:eastAsia="宋体" w:cs="宋体"/>
          <w:bCs w:val="0"/>
          <w:color w:val="000000" w:themeColor="text1"/>
          <w:kern w:val="0"/>
          <w:sz w:val="21"/>
          <w:szCs w:val="21"/>
          <w:highlight w:val="none"/>
          <w14:textFill>
            <w14:solidFill>
              <w14:schemeClr w14:val="tx1"/>
            </w14:solidFill>
          </w14:textFill>
        </w:rPr>
        <w:t>(</w:t>
      </w:r>
      <w:r>
        <w:rPr>
          <w:rFonts w:hint="eastAsia" w:ascii="宋体" w:hAnsi="宋体" w:eastAsia="宋体" w:cs="宋体"/>
          <w:bCs w:val="0"/>
          <w:color w:val="000000" w:themeColor="text1"/>
          <w:kern w:val="0"/>
          <w:sz w:val="21"/>
          <w:szCs w:val="21"/>
          <w:highlight w:val="none"/>
          <w:lang w:val="en-US" w:eastAsia="zh-CN"/>
          <w14:textFill>
            <w14:solidFill>
              <w14:schemeClr w14:val="tx1"/>
            </w14:solidFill>
          </w14:textFill>
        </w:rPr>
        <w:t>e</w:t>
      </w:r>
      <w:r>
        <w:rPr>
          <w:rFonts w:hint="eastAsia" w:ascii="宋体" w:hAnsi="宋体" w:eastAsia="宋体" w:cs="宋体"/>
          <w:bCs w:val="0"/>
          <w:color w:val="000000" w:themeColor="text1"/>
          <w:kern w:val="0"/>
          <w:sz w:val="21"/>
          <w:szCs w:val="21"/>
          <w:highlight w:val="none"/>
          <w14:textFill>
            <w14:solidFill>
              <w14:schemeClr w14:val="tx1"/>
            </w14:solidFill>
          </w14:textFill>
        </w:rPr>
        <w:t>)不同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的投标文件相互混装；</w:t>
      </w:r>
    </w:p>
    <w:p>
      <w:pPr>
        <w:pStyle w:val="4"/>
        <w:spacing w:line="360" w:lineRule="auto"/>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begin"/>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 EQ \o\ac(</w:instrText>
      </w:r>
      <w:r>
        <w:rPr>
          <w:rFonts w:hint="eastAsia" w:ascii="宋体" w:hAnsi="宋体" w:eastAsia="宋体" w:cs="宋体"/>
          <w:b w:val="0"/>
          <w:bCs w:val="0"/>
          <w:color w:val="000000" w:themeColor="text1"/>
          <w:kern w:val="0"/>
          <w:position w:val="-4"/>
          <w:sz w:val="31"/>
          <w:szCs w:val="21"/>
          <w:highlight w:val="none"/>
          <w:lang w:val="en-US" w:eastAsia="zh-CN"/>
          <w14:textFill>
            <w14:solidFill>
              <w14:schemeClr w14:val="tx1"/>
            </w14:solidFill>
          </w14:textFill>
        </w:rPr>
        <w:instrText xml:space="preserve">○</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instrText xml:space="preserve">,2)</w:instrTex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fldChar w:fldCharType="end"/>
      </w:r>
      <w:r>
        <w:rPr>
          <w:rFonts w:hint="eastAsia" w:ascii="宋体" w:hAnsi="宋体" w:eastAsia="宋体" w:cs="宋体"/>
          <w:bCs w:val="0"/>
          <w:color w:val="000000" w:themeColor="text1"/>
          <w:kern w:val="0"/>
          <w:sz w:val="21"/>
          <w:szCs w:val="21"/>
          <w:highlight w:val="none"/>
          <w14:textFill>
            <w14:solidFill>
              <w14:schemeClr w14:val="tx1"/>
            </w14:solidFill>
          </w14:textFill>
        </w:rPr>
        <w:t>报价文件特征码：若发现不同</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在采办信息系统上“报价文件特征码”环节里“文件制作机器码、文件创建标识码和MAC地址”中的任何一类内容一致时，视为</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相互串通投标，否决所有涉及</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应答人</w:t>
      </w:r>
      <w:r>
        <w:rPr>
          <w:rFonts w:hint="eastAsia" w:ascii="宋体" w:hAnsi="宋体" w:eastAsia="宋体" w:cs="宋体"/>
          <w:bCs w:val="0"/>
          <w:color w:val="000000" w:themeColor="text1"/>
          <w:kern w:val="0"/>
          <w:sz w:val="21"/>
          <w:szCs w:val="21"/>
          <w:highlight w:val="none"/>
          <w14:textFill>
            <w14:solidFill>
              <w14:schemeClr w14:val="tx1"/>
            </w14:solidFill>
          </w14:textFill>
        </w:rPr>
        <w:t>的投标</w:t>
      </w:r>
      <w:r>
        <w:rPr>
          <w:rFonts w:hint="eastAsia" w:ascii="宋体" w:hAnsi="宋体" w:eastAsia="宋体" w:cs="宋体"/>
          <w:bCs w:val="0"/>
          <w:color w:val="000000" w:themeColor="text1"/>
          <w:kern w:val="0"/>
          <w:sz w:val="21"/>
          <w:szCs w:val="21"/>
          <w:highlight w:val="none"/>
          <w:lang w:eastAsia="zh-CN"/>
          <w14:textFill>
            <w14:solidFill>
              <w14:schemeClr w14:val="tx1"/>
            </w14:solidFill>
          </w14:textFill>
        </w:rPr>
        <w:t>。</w:t>
      </w:r>
    </w:p>
    <w:p>
      <w:pPr>
        <w:widowControl/>
        <w:snapToGrid w:val="0"/>
        <w:spacing w:line="460" w:lineRule="exact"/>
        <w:ind w:firstLine="420" w:firstLineChars="200"/>
        <w:jc w:val="left"/>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6</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评审原则：</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本次采用响应询价文件要求且</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最低原则。如</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经评审的价格</w:t>
      </w:r>
      <w:r>
        <w:rPr>
          <w:rFonts w:hint="eastAsia" w:ascii="宋体" w:hAnsi="宋体" w:eastAsia="宋体" w:cs="宋体"/>
          <w:b w:val="0"/>
          <w:bCs w:val="0"/>
          <w:color w:val="000000" w:themeColor="text1"/>
          <w:kern w:val="0"/>
          <w:sz w:val="21"/>
          <w:szCs w:val="21"/>
          <w:highlight w:val="none"/>
          <w14:textFill>
            <w14:solidFill>
              <w14:schemeClr w14:val="tx1"/>
            </w14:solidFill>
          </w14:textFill>
        </w:rPr>
        <w:t>存在两家应答人一致的情形，可按照付款条件、交货期、质保期、注册资金等优先顺序确定成交供应商</w:t>
      </w:r>
      <w:r>
        <w:rPr>
          <w:rFonts w:hint="eastAsia" w:ascii="宋体" w:hAnsi="宋体" w:eastAsia="宋体" w:cs="宋体"/>
          <w:b w:val="0"/>
          <w:bCs w:val="0"/>
          <w:color w:val="000000" w:themeColor="text1"/>
          <w:kern w:val="0"/>
          <w:sz w:val="21"/>
          <w:szCs w:val="21"/>
          <w:highlight w:val="none"/>
          <w:lang w:eastAsia="zh-CN"/>
          <w14:textFill>
            <w14:solidFill>
              <w14:schemeClr w14:val="tx1"/>
            </w14:solidFill>
          </w14:textFill>
        </w:rPr>
        <w:t>。</w:t>
      </w:r>
    </w:p>
    <w:p>
      <w:pPr>
        <w:widowControl/>
        <w:snapToGrid w:val="0"/>
        <w:spacing w:line="460" w:lineRule="exact"/>
        <w:ind w:firstLine="420" w:firstLineChars="200"/>
        <w:jc w:val="left"/>
        <w:rPr>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7.联系方式：</w:t>
      </w:r>
    </w:p>
    <w:p>
      <w:pPr>
        <w:pStyle w:val="6"/>
        <w:ind w:left="415" w:leftChars="135" w:right="10" w:hanging="132" w:hangingChars="63"/>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采购人</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商务代表联系人与联系方式如下：</w:t>
      </w:r>
    </w:p>
    <w:p>
      <w:pPr>
        <w:pStyle w:val="6"/>
        <w:ind w:left="415" w:leftChars="135" w:right="10" w:hanging="132" w:hangingChars="63"/>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联系单位：</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海油发展</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采办共享中心</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上海区域</w:t>
      </w: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分中心</w:t>
      </w:r>
    </w:p>
    <w:p>
      <w:pPr>
        <w:pStyle w:val="6"/>
        <w:ind w:left="415" w:leftChars="135" w:right="10" w:hanging="132" w:hangingChars="63"/>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联系人：</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陈洁</w:t>
      </w:r>
    </w:p>
    <w:p>
      <w:pPr>
        <w:pStyle w:val="6"/>
        <w:ind w:left="415" w:leftChars="135" w:right="10" w:hanging="132" w:hangingChars="63"/>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联系电话：</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021-22833350</w:t>
      </w:r>
    </w:p>
    <w:p>
      <w:pPr>
        <w:pStyle w:val="6"/>
        <w:ind w:left="415" w:leftChars="135" w:right="10" w:hanging="132" w:hangingChars="63"/>
        <w:rPr>
          <w:rFonts w:hint="default" w:ascii="宋体" w:hAnsi="宋体"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邮  箱：</w:t>
      </w:r>
      <w:r>
        <w:rPr>
          <w:rFonts w:hint="eastAsia" w:cs="宋体"/>
          <w:b w:val="0"/>
          <w:bCs w:val="0"/>
          <w:strike w:val="0"/>
          <w:dstrike w:val="0"/>
          <w:color w:val="000000" w:themeColor="text1"/>
          <w:kern w:val="0"/>
          <w:sz w:val="21"/>
          <w:szCs w:val="21"/>
          <w:highlight w:val="none"/>
          <w:lang w:val="en-US" w:eastAsia="zh-CN" w:bidi="ar-SA"/>
          <w14:textFill>
            <w14:solidFill>
              <w14:schemeClr w14:val="tx1"/>
            </w14:solidFill>
          </w14:textFill>
        </w:rPr>
        <w:t>chenjie@cnooc.com.cn</w:t>
      </w:r>
    </w:p>
    <w:p>
      <w:pPr>
        <w:rPr>
          <w:rFonts w:hint="eastAsia"/>
          <w:lang w:val="en-US" w:eastAsia="zh-CN"/>
        </w:rPr>
      </w:pPr>
    </w:p>
    <w:p>
      <w:pPr>
        <w:rPr>
          <w:rFonts w:hint="eastAsia"/>
          <w:lang w:val="en-US" w:eastAsia="zh-CN"/>
        </w:rPr>
      </w:pPr>
    </w:p>
    <w:p>
      <w:pPr>
        <w:widowControl/>
        <w:snapToGrid w:val="0"/>
        <w:spacing w:line="240" w:lineRule="auto"/>
        <w:ind w:firstLine="210" w:firstLineChars="100"/>
        <w:jc w:val="left"/>
        <w:rPr>
          <w:rFonts w:ascii="宋体" w:hAnsi="宋体" w:eastAsia="宋体" w:cs="宋体"/>
          <w:b w:val="0"/>
          <w:bCs w:val="0"/>
          <w:color w:val="000000" w:themeColor="text1"/>
          <w:kern w:val="0"/>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7</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r>
        <w:rPr>
          <w:rFonts w:hint="eastAsia" w:ascii="宋体" w:hAnsi="宋体" w:eastAsia="宋体" w:cs="宋体"/>
          <w:b w:val="0"/>
          <w:bCs w:val="0"/>
          <w:color w:val="000000" w:themeColor="text1"/>
          <w:kern w:val="0"/>
          <w:sz w:val="21"/>
          <w:szCs w:val="21"/>
          <w:highlight w:val="none"/>
          <w:lang w:val="en-US" w:eastAsia="zh-CN"/>
          <w14:textFill>
            <w14:solidFill>
              <w14:schemeClr w14:val="tx1"/>
            </w14:solidFill>
          </w14:textFill>
        </w:rPr>
        <w:t>附件</w:t>
      </w:r>
      <w:r>
        <w:rPr>
          <w:rFonts w:hint="eastAsia" w:ascii="宋体" w:hAnsi="宋体" w:eastAsia="宋体" w:cs="宋体"/>
          <w:b w:val="0"/>
          <w:bCs w:val="0"/>
          <w:color w:val="000000" w:themeColor="text1"/>
          <w:kern w:val="0"/>
          <w:sz w:val="21"/>
          <w:szCs w:val="21"/>
          <w:highlight w:val="none"/>
          <w14:textFill>
            <w14:solidFill>
              <w14:schemeClr w14:val="tx1"/>
            </w14:solidFill>
          </w14:textFill>
        </w:rPr>
        <w:t>：</w:t>
      </w:r>
    </w:p>
    <w:p>
      <w:pPr>
        <w:pStyle w:val="4"/>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附件1：询价评议内容</w:t>
      </w:r>
    </w:p>
    <w:p>
      <w:pPr>
        <w:pStyle w:val="4"/>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附件2：采购内容及技术要求</w:t>
      </w:r>
    </w:p>
    <w:p>
      <w:pPr>
        <w:pStyle w:val="4"/>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附件3：合同文本</w:t>
      </w:r>
    </w:p>
    <w:p>
      <w:pPr>
        <w:pStyle w:val="4"/>
        <w:keepNext w:val="0"/>
        <w:keepLines w:val="0"/>
        <w:pageBreakBefore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附件</w:t>
      </w:r>
      <w:r>
        <w:rPr>
          <w:rFonts w:hint="eastAsia" w:ascii="宋体" w:hAnsi="宋体" w:eastAsia="宋体" w:cs="宋体"/>
          <w:b w:val="0"/>
          <w:bCs w:val="0"/>
          <w:strike w:val="0"/>
          <w:dstrike w:val="0"/>
          <w:color w:val="000000" w:themeColor="text1"/>
          <w:kern w:val="0"/>
          <w:sz w:val="21"/>
          <w:szCs w:val="21"/>
          <w:highlight w:val="none"/>
          <w:u w:val="none"/>
          <w:lang w:val="en-US" w:eastAsia="zh-CN"/>
          <w14:textFill>
            <w14:solidFill>
              <w14:schemeClr w14:val="tx1"/>
            </w14:solidFill>
          </w14:textFill>
        </w:rPr>
        <w:t>4</w:t>
      </w:r>
      <w:r>
        <w:rPr>
          <w:rFonts w:hint="eastAsia" w:ascii="宋体" w:hAnsi="宋体" w:eastAsia="宋体" w:cs="宋体"/>
          <w:b w:val="0"/>
          <w:bCs w:val="0"/>
          <w:strike w:val="0"/>
          <w:dstrike w:val="0"/>
          <w:color w:val="000000" w:themeColor="text1"/>
          <w:kern w:val="0"/>
          <w:sz w:val="21"/>
          <w:szCs w:val="21"/>
          <w:highlight w:val="none"/>
          <w:u w:val="none"/>
          <w14:textFill>
            <w14:solidFill>
              <w14:schemeClr w14:val="tx1"/>
            </w14:solidFill>
          </w14:textFill>
        </w:rPr>
        <w:t>：供应商履约异常处罚方式</w:t>
      </w:r>
    </w:p>
    <w:p>
      <w:pPr>
        <w:pStyle w:val="4"/>
        <w:spacing w:line="240" w:lineRule="auto"/>
        <w:ind w:left="0" w:leftChars="0" w:firstLine="210" w:firstLineChars="100"/>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附件5：商务文件</w:t>
      </w:r>
    </w:p>
    <w:p>
      <w:pPr>
        <w:pStyle w:val="4"/>
        <w:spacing w:line="240" w:lineRule="auto"/>
        <w:ind w:left="0" w:leftChars="0"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附件6: 技术文件</w:t>
      </w:r>
    </w:p>
    <w:p>
      <w:pPr>
        <w:spacing w:line="240" w:lineRule="auto"/>
        <w:ind w:firstLine="210" w:firstLineChars="100"/>
        <w:rPr>
          <w:rFonts w:hint="default"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t>附件7: 报价文件</w:t>
      </w:r>
    </w:p>
    <w:p>
      <w:pP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b w:val="0"/>
          <w:bCs w:val="0"/>
          <w:strike w:val="0"/>
          <w:dstrike w:val="0"/>
          <w:color w:val="000000" w:themeColor="text1"/>
          <w:kern w:val="0"/>
          <w:sz w:val="21"/>
          <w:szCs w:val="21"/>
          <w:highlight w:val="none"/>
          <w:lang w:val="en-US" w:eastAsia="zh-CN" w:bidi="ar-SA"/>
          <w14:textFill>
            <w14:solidFill>
              <w14:schemeClr w14:val="tx1"/>
            </w14:solidFill>
          </w14:textFill>
        </w:rPr>
        <w:br w:type="page"/>
      </w:r>
    </w:p>
    <w:p>
      <w:pPr>
        <w:outlineLvl w:val="0"/>
        <w:rPr>
          <w:rFonts w:ascii="黑体" w:hAnsi="黑体" w:eastAsia="黑体"/>
          <w:color w:val="auto"/>
          <w:sz w:val="24"/>
          <w:szCs w:val="24"/>
          <w:highlight w:val="none"/>
        </w:rPr>
      </w:pPr>
      <w:r>
        <w:rPr>
          <w:rFonts w:hint="eastAsia" w:ascii="黑体" w:hAnsi="黑体" w:eastAsia="黑体"/>
          <w:b/>
          <w:bCs/>
          <w:color w:val="auto"/>
          <w:sz w:val="24"/>
          <w:szCs w:val="24"/>
          <w:highlight w:val="none"/>
        </w:rPr>
        <w:t>附件1</w:t>
      </w:r>
      <w:r>
        <w:rPr>
          <w:rFonts w:hint="eastAsia" w:ascii="黑体" w:hAnsi="黑体" w:eastAsia="黑体"/>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询价</w:t>
      </w:r>
      <w:r>
        <w:rPr>
          <w:rFonts w:hint="eastAsia" w:asciiTheme="minorEastAsia" w:hAnsiTheme="minorEastAsia" w:cstheme="minorEastAsia"/>
          <w:b/>
          <w:bCs/>
          <w:color w:val="auto"/>
          <w:sz w:val="24"/>
          <w:szCs w:val="24"/>
          <w:highlight w:val="none"/>
          <w:lang w:val="en-US" w:eastAsia="zh-CN"/>
        </w:rPr>
        <w:t>评议内容</w:t>
      </w:r>
      <w:r>
        <w:rPr>
          <w:rFonts w:hint="eastAsia" w:ascii="黑体" w:hAnsi="黑体" w:eastAsia="黑体"/>
          <w:b/>
          <w:bCs/>
          <w:color w:val="auto"/>
          <w:sz w:val="24"/>
          <w:szCs w:val="24"/>
          <w:highlight w:val="none"/>
        </w:rPr>
        <w:t xml:space="preserve"> </w:t>
      </w:r>
      <w:r>
        <w:rPr>
          <w:rFonts w:ascii="黑体" w:hAnsi="黑体" w:eastAsia="黑体"/>
          <w:b/>
          <w:bCs/>
          <w:color w:val="auto"/>
          <w:sz w:val="24"/>
          <w:szCs w:val="24"/>
          <w:highlight w:val="none"/>
        </w:rPr>
        <w:t xml:space="preserve"> </w:t>
      </w:r>
      <w:r>
        <w:rPr>
          <w:rFonts w:ascii="黑体" w:hAnsi="黑体" w:eastAsia="黑体"/>
          <w:color w:val="auto"/>
          <w:sz w:val="24"/>
          <w:szCs w:val="24"/>
          <w:highlight w:val="none"/>
        </w:rPr>
        <w:t xml:space="preserve">                    </w:t>
      </w:r>
    </w:p>
    <w:p>
      <w:pPr>
        <w:ind w:firstLine="281" w:firstLineChars="100"/>
        <w:jc w:val="center"/>
        <w:rPr>
          <w:rFonts w:hint="default" w:ascii="仿宋" w:hAnsi="仿宋" w:eastAsia="仿宋" w:cs="Calibri"/>
          <w:b/>
          <w:bCs/>
          <w:color w:val="auto"/>
          <w:sz w:val="28"/>
          <w:szCs w:val="28"/>
          <w:highlight w:val="none"/>
          <w:lang w:val="en-US" w:eastAsia="zh-CN"/>
        </w:rPr>
      </w:pPr>
      <w:r>
        <w:rPr>
          <w:rFonts w:hint="eastAsia" w:ascii="仿宋" w:hAnsi="仿宋" w:eastAsia="仿宋" w:cs="Calibri"/>
          <w:b/>
          <w:bCs/>
          <w:color w:val="auto"/>
          <w:sz w:val="28"/>
          <w:szCs w:val="28"/>
          <w:highlight w:val="none"/>
          <w:lang w:val="en-US" w:eastAsia="zh-CN"/>
        </w:rPr>
        <w:t>评议要求</w:t>
      </w:r>
    </w:p>
    <w:tbl>
      <w:tblPr>
        <w:tblStyle w:val="13"/>
        <w:tblW w:w="5607" w:type="pct"/>
        <w:jc w:val="center"/>
        <w:tblLayout w:type="autofit"/>
        <w:tblCellMar>
          <w:top w:w="0" w:type="dxa"/>
          <w:left w:w="0" w:type="dxa"/>
          <w:bottom w:w="0" w:type="dxa"/>
          <w:right w:w="0" w:type="dxa"/>
        </w:tblCellMar>
      </w:tblPr>
      <w:tblGrid>
        <w:gridCol w:w="617"/>
        <w:gridCol w:w="535"/>
        <w:gridCol w:w="2295"/>
        <w:gridCol w:w="5879"/>
      </w:tblGrid>
      <w:tr>
        <w:tblPrEx>
          <w:tblCellMar>
            <w:top w:w="0" w:type="dxa"/>
            <w:left w:w="0" w:type="dxa"/>
            <w:bottom w:w="0" w:type="dxa"/>
            <w:right w:w="0" w:type="dxa"/>
          </w:tblCellMar>
        </w:tblPrEx>
        <w:trPr>
          <w:trHeight w:val="454" w:hRule="atLeast"/>
          <w:jc w:val="center"/>
        </w:trPr>
        <w:tc>
          <w:tcPr>
            <w:tcW w:w="618" w:type="pct"/>
            <w:gridSpan w:val="2"/>
            <w:tcBorders>
              <w:top w:val="single" w:color="000000" w:sz="4" w:space="0"/>
              <w:left w:val="single" w:color="000000" w:sz="4" w:space="0"/>
              <w:bottom w:val="single" w:color="000000" w:sz="4" w:space="0"/>
              <w:right w:val="single" w:color="000000" w:sz="4" w:space="0"/>
            </w:tcBorders>
            <w:vAlign w:val="center"/>
          </w:tcPr>
          <w:p>
            <w:pPr>
              <w:pStyle w:val="18"/>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序号</w:t>
            </w:r>
          </w:p>
        </w:tc>
        <w:tc>
          <w:tcPr>
            <w:tcW w:w="1230" w:type="pct"/>
            <w:tcBorders>
              <w:top w:val="single" w:color="000000" w:sz="4" w:space="0"/>
              <w:left w:val="nil"/>
              <w:bottom w:val="single" w:color="000000" w:sz="4" w:space="0"/>
              <w:right w:val="single" w:color="000000" w:sz="4" w:space="0"/>
            </w:tcBorders>
            <w:vAlign w:val="center"/>
          </w:tcPr>
          <w:p>
            <w:pPr>
              <w:pStyle w:val="18"/>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内容</w:t>
            </w:r>
          </w:p>
        </w:tc>
        <w:tc>
          <w:tcPr>
            <w:tcW w:w="3151" w:type="pct"/>
            <w:tcBorders>
              <w:top w:val="single" w:color="000000" w:sz="4" w:space="0"/>
              <w:left w:val="nil"/>
              <w:bottom w:val="single" w:color="000000" w:sz="4" w:space="0"/>
              <w:right w:val="single" w:color="000000" w:sz="4" w:space="0"/>
            </w:tcBorders>
            <w:vAlign w:val="center"/>
          </w:tcPr>
          <w:p>
            <w:pPr>
              <w:pStyle w:val="18"/>
              <w:spacing w:line="30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评议</w:t>
            </w:r>
            <w:r>
              <w:rPr>
                <w:rFonts w:hint="eastAsia" w:ascii="仿宋" w:hAnsi="仿宋" w:eastAsia="仿宋" w:cs="仿宋"/>
                <w:b/>
                <w:bCs/>
                <w:color w:val="auto"/>
                <w:sz w:val="21"/>
                <w:szCs w:val="21"/>
                <w:highlight w:val="none"/>
                <w:lang w:eastAsia="zh-CN"/>
              </w:rPr>
              <w:t>标准</w:t>
            </w:r>
          </w:p>
        </w:tc>
      </w:tr>
      <w:tr>
        <w:tblPrEx>
          <w:tblCellMar>
            <w:top w:w="0" w:type="dxa"/>
            <w:left w:w="0" w:type="dxa"/>
            <w:bottom w:w="0" w:type="dxa"/>
            <w:right w:w="0" w:type="dxa"/>
          </w:tblCellMar>
        </w:tblPrEx>
        <w:trPr>
          <w:trHeight w:val="454" w:hRule="atLeast"/>
          <w:jc w:val="center"/>
        </w:trPr>
        <w:tc>
          <w:tcPr>
            <w:tcW w:w="331" w:type="pct"/>
            <w:vMerge w:val="restart"/>
            <w:tcBorders>
              <w:top w:val="nil"/>
              <w:left w:val="single" w:color="000000" w:sz="6" w:space="0"/>
              <w:right w:val="single" w:color="000000" w:sz="6" w:space="0"/>
            </w:tcBorders>
            <w:vAlign w:val="center"/>
          </w:tcPr>
          <w:p>
            <w:pPr>
              <w:pStyle w:val="18"/>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1</w:t>
            </w:r>
          </w:p>
          <w:p>
            <w:pPr>
              <w:spacing w:line="300" w:lineRule="exact"/>
              <w:jc w:val="center"/>
              <w:rPr>
                <w:rFonts w:hint="eastAsia" w:ascii="仿宋" w:hAnsi="仿宋" w:eastAsia="仿宋" w:cs="仿宋"/>
                <w:bCs/>
                <w:color w:val="auto"/>
                <w:sz w:val="21"/>
                <w:szCs w:val="21"/>
                <w:highlight w:val="none"/>
              </w:rPr>
            </w:pPr>
          </w:p>
        </w:tc>
        <w:tc>
          <w:tcPr>
            <w:tcW w:w="287" w:type="pct"/>
            <w:vMerge w:val="restart"/>
            <w:tcBorders>
              <w:top w:val="nil"/>
              <w:left w:val="nil"/>
              <w:right w:val="single" w:color="000000" w:sz="6" w:space="0"/>
            </w:tcBorders>
            <w:textDirection w:val="tbRlV"/>
            <w:vAlign w:val="center"/>
          </w:tcPr>
          <w:p>
            <w:pPr>
              <w:pStyle w:val="18"/>
              <w:spacing w:line="300" w:lineRule="exact"/>
              <w:ind w:left="113" w:right="113"/>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商务标准</w:t>
            </w:r>
          </w:p>
        </w:tc>
        <w:tc>
          <w:tcPr>
            <w:tcW w:w="1230" w:type="pct"/>
            <w:tcBorders>
              <w:top w:val="single" w:color="000000" w:sz="4" w:space="0"/>
              <w:left w:val="nil"/>
              <w:bottom w:val="single" w:color="000000" w:sz="4" w:space="0"/>
              <w:right w:val="single" w:color="000000" w:sz="4" w:space="0"/>
            </w:tcBorders>
            <w:vAlign w:val="center"/>
          </w:tcPr>
          <w:p>
            <w:pPr>
              <w:pStyle w:val="18"/>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应答人名称</w:t>
            </w:r>
          </w:p>
        </w:tc>
        <w:tc>
          <w:tcPr>
            <w:tcW w:w="3151" w:type="pct"/>
            <w:tcBorders>
              <w:top w:val="single" w:color="000000" w:sz="4" w:space="0"/>
              <w:left w:val="nil"/>
              <w:bottom w:val="single" w:color="000000" w:sz="4" w:space="0"/>
              <w:right w:val="single" w:color="000000" w:sz="4" w:space="0"/>
            </w:tcBorders>
            <w:vAlign w:val="center"/>
          </w:tcPr>
          <w:p>
            <w:pPr>
              <w:pStyle w:val="18"/>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与营业执照、资质证书（</w:t>
            </w:r>
            <w:r>
              <w:rPr>
                <w:rFonts w:hint="eastAsia" w:ascii="仿宋" w:hAnsi="仿宋" w:eastAsia="仿宋" w:cs="仿宋"/>
                <w:bCs/>
                <w:color w:val="auto"/>
                <w:sz w:val="21"/>
                <w:szCs w:val="21"/>
                <w:highlight w:val="none"/>
                <w:lang w:val="en-US" w:eastAsia="zh-CN"/>
              </w:rPr>
              <w:t>如涉及</w:t>
            </w:r>
            <w:r>
              <w:rPr>
                <w:rFonts w:hint="eastAsia" w:ascii="仿宋" w:hAnsi="仿宋" w:eastAsia="仿宋" w:cs="仿宋"/>
                <w:bCs/>
                <w:color w:val="auto"/>
                <w:sz w:val="21"/>
                <w:szCs w:val="21"/>
                <w:highlight w:val="none"/>
                <w:lang w:eastAsia="zh-CN"/>
              </w:rPr>
              <w:t>）一致；</w:t>
            </w:r>
          </w:p>
        </w:tc>
      </w:tr>
      <w:tr>
        <w:tblPrEx>
          <w:tblCellMar>
            <w:top w:w="0" w:type="dxa"/>
            <w:left w:w="0" w:type="dxa"/>
            <w:bottom w:w="0" w:type="dxa"/>
            <w:right w:w="0" w:type="dxa"/>
          </w:tblCellMar>
        </w:tblPrEx>
        <w:trPr>
          <w:trHeight w:val="454"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87" w:type="pct"/>
            <w:vMerge w:val="continue"/>
            <w:tcBorders>
              <w:left w:val="nil"/>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230" w:type="pct"/>
            <w:tcBorders>
              <w:top w:val="single" w:color="000000" w:sz="4" w:space="0"/>
              <w:left w:val="nil"/>
              <w:bottom w:val="nil"/>
              <w:right w:val="single" w:color="000000" w:sz="4" w:space="0"/>
            </w:tcBorders>
            <w:vAlign w:val="center"/>
          </w:tcPr>
          <w:p>
            <w:pPr>
              <w:pStyle w:val="18"/>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报价文件签字盖章</w:t>
            </w:r>
          </w:p>
        </w:tc>
        <w:tc>
          <w:tcPr>
            <w:tcW w:w="3151" w:type="pct"/>
            <w:tcBorders>
              <w:top w:val="single" w:color="000000" w:sz="4" w:space="0"/>
              <w:left w:val="nil"/>
              <w:bottom w:val="nil"/>
              <w:right w:val="single" w:color="000000" w:sz="4" w:space="0"/>
            </w:tcBorders>
            <w:vAlign w:val="center"/>
          </w:tcPr>
          <w:p>
            <w:pPr>
              <w:pStyle w:val="18"/>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由</w:t>
            </w:r>
            <w:r>
              <w:rPr>
                <w:rFonts w:hint="eastAsia" w:ascii="仿宋" w:hAnsi="仿宋" w:eastAsia="仿宋" w:cs="仿宋"/>
                <w:bCs/>
                <w:color w:val="auto"/>
                <w:sz w:val="21"/>
                <w:szCs w:val="21"/>
                <w:highlight w:val="none"/>
                <w:lang w:eastAsia="zh-CN"/>
              </w:rPr>
              <w:t>法定代表人（单位负责人）或其委托代理人签字并加盖单位章。由法定代表人（单位负责人）签字的，应附法定代表人（单位负责人）身份证明，由代理人签字的，应</w:t>
            </w:r>
            <w:r>
              <w:rPr>
                <w:rFonts w:hint="eastAsia" w:ascii="仿宋" w:hAnsi="仿宋" w:eastAsia="仿宋" w:cs="仿宋"/>
                <w:bCs/>
                <w:color w:val="auto"/>
                <w:sz w:val="21"/>
                <w:szCs w:val="21"/>
                <w:highlight w:val="none"/>
                <w:lang w:val="en-US" w:eastAsia="zh-CN"/>
              </w:rPr>
              <w:t>在提供</w:t>
            </w:r>
            <w:r>
              <w:rPr>
                <w:rFonts w:hint="eastAsia" w:ascii="仿宋" w:hAnsi="仿宋" w:eastAsia="仿宋" w:cs="仿宋"/>
                <w:bCs/>
                <w:color w:val="auto"/>
                <w:sz w:val="21"/>
                <w:szCs w:val="21"/>
                <w:highlight w:val="none"/>
                <w:lang w:eastAsia="zh-CN"/>
              </w:rPr>
              <w:t>法定代表人（单位负责人）身份证明</w:t>
            </w:r>
            <w:r>
              <w:rPr>
                <w:rFonts w:hint="eastAsia" w:ascii="仿宋" w:hAnsi="仿宋" w:eastAsia="仿宋" w:cs="仿宋"/>
                <w:bCs/>
                <w:color w:val="auto"/>
                <w:sz w:val="21"/>
                <w:szCs w:val="21"/>
                <w:highlight w:val="none"/>
                <w:lang w:val="en-US" w:eastAsia="zh-CN"/>
              </w:rPr>
              <w:t>基础上，补充提供</w:t>
            </w:r>
            <w:r>
              <w:rPr>
                <w:rFonts w:hint="eastAsia" w:ascii="仿宋" w:hAnsi="仿宋" w:eastAsia="仿宋" w:cs="仿宋"/>
                <w:bCs/>
                <w:color w:val="auto"/>
                <w:sz w:val="21"/>
                <w:szCs w:val="21"/>
                <w:highlight w:val="none"/>
                <w:lang w:eastAsia="zh-CN"/>
              </w:rPr>
              <w:t>授权委托书；缺少签字或盖章的，可以澄清补充，补充后满足上述要求的视为合格。</w:t>
            </w:r>
          </w:p>
        </w:tc>
      </w:tr>
      <w:tr>
        <w:tblPrEx>
          <w:tblCellMar>
            <w:top w:w="0" w:type="dxa"/>
            <w:left w:w="0" w:type="dxa"/>
            <w:bottom w:w="0" w:type="dxa"/>
            <w:right w:w="0" w:type="dxa"/>
          </w:tblCellMar>
        </w:tblPrEx>
        <w:trPr>
          <w:trHeight w:val="454"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87" w:type="pct"/>
            <w:vMerge w:val="continue"/>
            <w:tcBorders>
              <w:left w:val="nil"/>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230" w:type="pct"/>
            <w:tcBorders>
              <w:top w:val="single" w:color="000000" w:sz="4" w:space="0"/>
              <w:left w:val="nil"/>
              <w:bottom w:val="single" w:color="000000" w:sz="4" w:space="0"/>
              <w:right w:val="single" w:color="000000" w:sz="4" w:space="0"/>
            </w:tcBorders>
            <w:vAlign w:val="center"/>
          </w:tcPr>
          <w:p>
            <w:pPr>
              <w:pStyle w:val="18"/>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报价文件格式</w:t>
            </w:r>
          </w:p>
        </w:tc>
        <w:tc>
          <w:tcPr>
            <w:tcW w:w="3151" w:type="pct"/>
            <w:tcBorders>
              <w:top w:val="single" w:color="000000" w:sz="4" w:space="0"/>
              <w:left w:val="nil"/>
              <w:bottom w:val="single" w:color="000000" w:sz="4" w:space="0"/>
              <w:right w:val="single" w:color="000000" w:sz="4" w:space="0"/>
            </w:tcBorders>
            <w:vAlign w:val="center"/>
          </w:tcPr>
          <w:p>
            <w:pPr>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符合附件3：报价单格式的规定；</w:t>
            </w:r>
          </w:p>
        </w:tc>
      </w:tr>
      <w:tr>
        <w:tblPrEx>
          <w:tblCellMar>
            <w:top w:w="0" w:type="dxa"/>
            <w:left w:w="0" w:type="dxa"/>
            <w:bottom w:w="0" w:type="dxa"/>
            <w:right w:w="0" w:type="dxa"/>
          </w:tblCellMar>
        </w:tblPrEx>
        <w:trPr>
          <w:trHeight w:val="454"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87" w:type="pct"/>
            <w:vMerge w:val="continue"/>
            <w:tcBorders>
              <w:left w:val="nil"/>
              <w:right w:val="single" w:color="000000" w:sz="6" w:space="0"/>
            </w:tcBorders>
            <w:vAlign w:val="center"/>
          </w:tcPr>
          <w:p>
            <w:pPr>
              <w:widowControl/>
              <w:rPr>
                <w:rFonts w:hint="eastAsia" w:ascii="仿宋" w:hAnsi="仿宋" w:eastAsia="仿宋" w:cs="仿宋"/>
                <w:bCs/>
                <w:color w:val="auto"/>
                <w:kern w:val="0"/>
                <w:sz w:val="21"/>
                <w:szCs w:val="21"/>
                <w:highlight w:val="none"/>
              </w:rPr>
            </w:pPr>
          </w:p>
        </w:tc>
        <w:tc>
          <w:tcPr>
            <w:tcW w:w="1230" w:type="pct"/>
            <w:tcBorders>
              <w:top w:val="single" w:color="000000" w:sz="4" w:space="0"/>
              <w:left w:val="nil"/>
              <w:bottom w:val="single" w:color="000000" w:sz="4" w:space="0"/>
              <w:right w:val="single" w:color="000000" w:sz="4" w:space="0"/>
            </w:tcBorders>
            <w:vAlign w:val="center"/>
          </w:tcPr>
          <w:p>
            <w:pPr>
              <w:pStyle w:val="18"/>
              <w:spacing w:line="300" w:lineRule="exact"/>
              <w:jc w:val="center"/>
              <w:rPr>
                <w:rFonts w:hint="eastAsia" w:ascii="仿宋" w:hAnsi="仿宋" w:eastAsia="仿宋" w:cs="仿宋"/>
                <w:bCs/>
                <w:color w:val="auto"/>
                <w:sz w:val="21"/>
                <w:szCs w:val="21"/>
                <w:highlight w:val="none"/>
                <w:lang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sz w:val="21"/>
                <w:szCs w:val="21"/>
                <w:highlight w:val="none"/>
                <w:lang w:eastAsia="zh-CN"/>
              </w:rPr>
              <w:t>报价有效期</w:t>
            </w:r>
          </w:p>
        </w:tc>
        <w:tc>
          <w:tcPr>
            <w:tcW w:w="3151" w:type="pct"/>
            <w:tcBorders>
              <w:top w:val="single" w:color="000000" w:sz="4" w:space="0"/>
              <w:left w:val="nil"/>
              <w:bottom w:val="single" w:color="000000" w:sz="4" w:space="0"/>
              <w:right w:val="single" w:color="000000" w:sz="4" w:space="0"/>
            </w:tcBorders>
            <w:vAlign w:val="center"/>
          </w:tcPr>
          <w:p>
            <w:pPr>
              <w:pStyle w:val="18"/>
              <w:spacing w:line="300" w:lineRule="exact"/>
              <w:jc w:val="both"/>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eastAsia="zh-CN"/>
              </w:rPr>
              <w:t>报价截止之日起【</w:t>
            </w:r>
            <w:r>
              <w:rPr>
                <w:rFonts w:hint="eastAsia" w:ascii="仿宋" w:hAnsi="仿宋" w:eastAsia="仿宋" w:cs="仿宋"/>
                <w:bCs/>
                <w:color w:val="auto"/>
                <w:sz w:val="21"/>
                <w:szCs w:val="21"/>
                <w:highlight w:val="none"/>
                <w:lang w:val="en-US" w:eastAsia="zh-CN"/>
              </w:rPr>
              <w:t>120</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日历日</w:t>
            </w:r>
            <w:r>
              <w:rPr>
                <w:rFonts w:hint="eastAsia" w:ascii="仿宋" w:hAnsi="仿宋" w:eastAsia="仿宋" w:cs="仿宋"/>
                <w:bCs/>
                <w:color w:val="auto"/>
                <w:sz w:val="21"/>
                <w:szCs w:val="21"/>
                <w:highlight w:val="none"/>
                <w:lang w:eastAsia="zh-CN"/>
              </w:rPr>
              <w:t>内保持有效；</w:t>
            </w:r>
          </w:p>
        </w:tc>
      </w:tr>
      <w:tr>
        <w:tblPrEx>
          <w:tblCellMar>
            <w:top w:w="0" w:type="dxa"/>
            <w:left w:w="0" w:type="dxa"/>
            <w:bottom w:w="0" w:type="dxa"/>
            <w:right w:w="0" w:type="dxa"/>
          </w:tblCellMar>
        </w:tblPrEx>
        <w:trPr>
          <w:trHeight w:val="90" w:hRule="atLeast"/>
          <w:jc w:val="center"/>
        </w:trPr>
        <w:tc>
          <w:tcPr>
            <w:tcW w:w="331" w:type="pct"/>
            <w:vMerge w:val="continue"/>
            <w:tcBorders>
              <w:left w:val="single" w:color="000000" w:sz="6" w:space="0"/>
              <w:right w:val="single" w:color="000000" w:sz="6" w:space="0"/>
            </w:tcBorders>
            <w:vAlign w:val="center"/>
          </w:tcPr>
          <w:p/>
        </w:tc>
        <w:tc>
          <w:tcPr>
            <w:tcW w:w="287" w:type="pct"/>
            <w:vMerge w:val="continue"/>
            <w:tcBorders>
              <w:left w:val="nil"/>
              <w:right w:val="single" w:color="000000" w:sz="6" w:space="0"/>
            </w:tcBorders>
            <w:vAlign w:val="center"/>
          </w:tcPr>
          <w:p/>
        </w:tc>
        <w:tc>
          <w:tcPr>
            <w:tcW w:w="1230" w:type="pct"/>
            <w:tcBorders>
              <w:top w:val="single" w:color="000000" w:sz="4" w:space="0"/>
              <w:left w:val="nil"/>
              <w:right w:val="single" w:color="000000" w:sz="4" w:space="0"/>
            </w:tcBorders>
            <w:vAlign w:val="center"/>
          </w:tcPr>
          <w:p>
            <w:pPr>
              <w:pStyle w:val="18"/>
              <w:spacing w:line="30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★商务资格</w:t>
            </w:r>
          </w:p>
        </w:tc>
        <w:tc>
          <w:tcPr>
            <w:tcW w:w="3151"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1.营业执照：应答人具有合法有效的企业法人营业执照、税务登记证及组织机构代码证 或证照合一的营业执照，投标时需提供原件扫描件（原件备查）。 应答人为事业单位的，应具有合法有效的事业单位法人证书，投标时需提供原件扫描件（原件备查）。应答人为分公司的，应具有合法有效的营业执照和上级法人单位授权书，分 公司与上级法人单位只可一家参与投标，同时参与投标的，投标均无效。</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2.法定代表人（单位负责人）身份证明</w:t>
            </w:r>
          </w:p>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3.法定代表人授权委托书（如涉及）</w:t>
            </w:r>
          </w:p>
        </w:tc>
      </w:tr>
      <w:tr>
        <w:tblPrEx>
          <w:tblCellMar>
            <w:top w:w="0" w:type="dxa"/>
            <w:left w:w="0" w:type="dxa"/>
            <w:bottom w:w="0" w:type="dxa"/>
            <w:right w:w="0" w:type="dxa"/>
          </w:tblCellMar>
        </w:tblPrEx>
        <w:trPr>
          <w:trHeight w:val="715"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87" w:type="pct"/>
            <w:vMerge w:val="continue"/>
            <w:tcBorders>
              <w:left w:val="single" w:color="000000" w:sz="6" w:space="0"/>
              <w:right w:val="single" w:color="000000" w:sz="6" w:space="0"/>
            </w:tcBorders>
            <w:vAlign w:val="center"/>
          </w:tcPr>
          <w:p>
            <w:pPr>
              <w:pStyle w:val="18"/>
              <w:spacing w:line="300" w:lineRule="exact"/>
              <w:jc w:val="center"/>
              <w:rPr>
                <w:rFonts w:hint="eastAsia" w:ascii="仿宋" w:hAnsi="仿宋" w:eastAsia="仿宋" w:cs="仿宋"/>
                <w:bCs/>
                <w:color w:val="auto"/>
                <w:sz w:val="21"/>
                <w:szCs w:val="21"/>
                <w:highlight w:val="none"/>
                <w:lang w:eastAsia="zh-CN"/>
              </w:rPr>
            </w:pPr>
          </w:p>
        </w:tc>
        <w:tc>
          <w:tcPr>
            <w:tcW w:w="1230" w:type="pct"/>
            <w:tcBorders>
              <w:top w:val="single" w:color="000000" w:sz="4" w:space="0"/>
              <w:left w:val="single" w:color="000000" w:sz="6" w:space="0"/>
              <w:right w:val="single" w:color="000000" w:sz="4" w:space="0"/>
            </w:tcBorders>
            <w:vAlign w:val="center"/>
          </w:tcPr>
          <w:p>
            <w:pPr>
              <w:pStyle w:val="18"/>
              <w:spacing w:line="30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★专业资质</w:t>
            </w:r>
          </w:p>
        </w:tc>
        <w:tc>
          <w:tcPr>
            <w:tcW w:w="3151" w:type="pct"/>
            <w:tcBorders>
              <w:top w:val="single" w:color="000000" w:sz="4" w:space="0"/>
              <w:left w:val="nil"/>
              <w:bottom w:val="single" w:color="auto" w:sz="4" w:space="0"/>
              <w:right w:val="single" w:color="000000"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0000FF"/>
                <w:kern w:val="2"/>
                <w:sz w:val="21"/>
                <w:szCs w:val="21"/>
                <w:highlight w:val="none"/>
                <w:lang w:val="en-US" w:eastAsia="zh-CN" w:bidi="ar-SA"/>
              </w:rPr>
              <w:t>应答人具备市场监督管理部门核发的有效的CMA检验检测机构资质认定证书，提供证书扫描件。</w:t>
            </w:r>
          </w:p>
        </w:tc>
      </w:tr>
      <w:tr>
        <w:tblPrEx>
          <w:tblCellMar>
            <w:top w:w="0" w:type="dxa"/>
            <w:left w:w="0" w:type="dxa"/>
            <w:bottom w:w="0" w:type="dxa"/>
            <w:right w:w="0" w:type="dxa"/>
          </w:tblCellMar>
        </w:tblPrEx>
        <w:trPr>
          <w:trHeight w:val="696"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auto"/>
                <w:kern w:val="0"/>
                <w:sz w:val="21"/>
                <w:szCs w:val="21"/>
                <w:highlight w:val="none"/>
              </w:rPr>
            </w:pPr>
          </w:p>
        </w:tc>
        <w:tc>
          <w:tcPr>
            <w:tcW w:w="287" w:type="pct"/>
            <w:vMerge w:val="continue"/>
            <w:tcBorders>
              <w:left w:val="single" w:color="000000" w:sz="6" w:space="0"/>
              <w:right w:val="single" w:color="000000" w:sz="6" w:space="0"/>
            </w:tcBorders>
            <w:vAlign w:val="center"/>
          </w:tcPr>
          <w:p>
            <w:pPr>
              <w:pStyle w:val="18"/>
              <w:spacing w:line="300" w:lineRule="exact"/>
              <w:jc w:val="center"/>
              <w:rPr>
                <w:rFonts w:hint="eastAsia" w:ascii="仿宋" w:hAnsi="仿宋" w:eastAsia="仿宋" w:cs="仿宋"/>
                <w:bCs/>
                <w:color w:val="auto"/>
                <w:sz w:val="21"/>
                <w:szCs w:val="21"/>
                <w:highlight w:val="none"/>
                <w:lang w:eastAsia="zh-CN"/>
              </w:rPr>
            </w:pPr>
          </w:p>
        </w:tc>
        <w:tc>
          <w:tcPr>
            <w:tcW w:w="1230" w:type="pct"/>
            <w:tcBorders>
              <w:top w:val="single" w:color="000000" w:sz="4" w:space="0"/>
              <w:left w:val="single" w:color="000000" w:sz="6" w:space="0"/>
              <w:bottom w:val="single" w:color="auto" w:sz="4" w:space="0"/>
              <w:right w:val="single" w:color="000000" w:sz="4" w:space="0"/>
            </w:tcBorders>
            <w:vAlign w:val="center"/>
          </w:tcPr>
          <w:p>
            <w:pPr>
              <w:pStyle w:val="18"/>
              <w:spacing w:line="30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体系认证</w:t>
            </w:r>
          </w:p>
          <w:p>
            <w:pPr>
              <w:pStyle w:val="18"/>
              <w:spacing w:line="300" w:lineRule="exact"/>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（本项目不涉及）</w:t>
            </w:r>
          </w:p>
        </w:tc>
        <w:tc>
          <w:tcPr>
            <w:tcW w:w="3151" w:type="pct"/>
            <w:tcBorders>
              <w:top w:val="single" w:color="000000" w:sz="4" w:space="0"/>
              <w:left w:val="nil"/>
              <w:bottom w:val="single" w:color="auto" w:sz="4" w:space="0"/>
              <w:right w:val="single" w:color="000000" w:sz="4" w:space="0"/>
            </w:tcBorders>
            <w:vAlign w:val="center"/>
          </w:tcPr>
          <w:p>
            <w:pPr>
              <w:keepNext w:val="0"/>
              <w:keepLines w:val="0"/>
              <w:pageBreakBefore w:val="0"/>
              <w:numPr>
                <w:ilvl w:val="0"/>
                <w:numId w:val="3"/>
              </w:numPr>
              <w:kinsoku/>
              <w:wordWrap/>
              <w:overflowPunct/>
              <w:topLinePunct w:val="0"/>
              <w:autoSpaceDE/>
              <w:autoSpaceDN/>
              <w:bidi w:val="0"/>
              <w:adjustRightInd/>
              <w:spacing w:line="360" w:lineRule="auto"/>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体系认证文件：/</w:t>
            </w:r>
          </w:p>
          <w:p>
            <w:pPr>
              <w:pStyle w:val="18"/>
              <w:jc w:val="both"/>
              <w:rPr>
                <w:rFonts w:hint="eastAsia"/>
                <w:lang w:val="en-US"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环境管理体系认证、质量管理体系认证、健康安全管理体系认证和国家强制产品认证等相关否决事项，</w:t>
            </w:r>
            <w:r>
              <w:rPr>
                <w:rFonts w:hint="eastAsia" w:ascii="仿宋" w:hAnsi="仿宋" w:eastAsia="仿宋" w:cs="仿宋"/>
                <w:color w:val="000000" w:themeColor="text1"/>
                <w:sz w:val="21"/>
                <w:szCs w:val="21"/>
                <w:highlight w:val="none"/>
                <w:lang w:val="en-US" w:eastAsia="zh-CN"/>
                <w14:textFill>
                  <w14:solidFill>
                    <w14:schemeClr w14:val="tx1"/>
                  </w14:solidFill>
                </w14:textFill>
              </w:rPr>
              <w:t>并可</w:t>
            </w:r>
            <w:r>
              <w:rPr>
                <w:rFonts w:hint="eastAsia" w:ascii="仿宋" w:hAnsi="仿宋" w:eastAsia="仿宋" w:cs="仿宋"/>
                <w:color w:val="000000" w:themeColor="text1"/>
                <w:sz w:val="21"/>
                <w:szCs w:val="21"/>
                <w:highlight w:val="none"/>
                <w:lang w:eastAsia="zh-CN"/>
                <w14:textFill>
                  <w14:solidFill>
                    <w14:schemeClr w14:val="tx1"/>
                  </w14:solidFill>
                </w14:textFill>
              </w:rPr>
              <w:t>在中国国家认证认可监督管理委员会网站（</w:t>
            </w:r>
            <w:r>
              <w:rPr>
                <w:rFonts w:hint="eastAsia" w:ascii="仿宋" w:hAnsi="仿宋" w:eastAsia="仿宋" w:cs="仿宋"/>
                <w:color w:val="000000" w:themeColor="text1"/>
                <w:sz w:val="21"/>
                <w:szCs w:val="21"/>
                <w:highlight w:val="none"/>
                <w:lang w:eastAsia="zh-CN"/>
                <w14:textFill>
                  <w14:solidFill>
                    <w14:schemeClr w14:val="tx1"/>
                  </w14:solidFill>
                </w14:textFill>
              </w:rPr>
              <w:fldChar w:fldCharType="begin"/>
            </w:r>
            <w:r>
              <w:rPr>
                <w:rFonts w:hint="eastAsia" w:ascii="仿宋" w:hAnsi="仿宋" w:eastAsia="仿宋" w:cs="仿宋"/>
                <w:color w:val="000000" w:themeColor="text1"/>
                <w:sz w:val="21"/>
                <w:szCs w:val="21"/>
                <w:highlight w:val="none"/>
                <w:lang w:eastAsia="zh-CN"/>
                <w14:textFill>
                  <w14:solidFill>
                    <w14:schemeClr w14:val="tx1"/>
                  </w14:solidFill>
                </w14:textFill>
              </w:rPr>
              <w:instrText xml:space="preserve"> HYPERLINK "http://www.cnca.gov.cn）核实" </w:instrText>
            </w:r>
            <w:r>
              <w:rPr>
                <w:rFonts w:hint="eastAsia" w:ascii="仿宋" w:hAnsi="仿宋" w:eastAsia="仿宋" w:cs="仿宋"/>
                <w:color w:val="000000" w:themeColor="text1"/>
                <w:sz w:val="21"/>
                <w:szCs w:val="21"/>
                <w:highlight w:val="none"/>
                <w:lang w:eastAsia="zh-CN"/>
                <w14:textFill>
                  <w14:solidFill>
                    <w14:schemeClr w14:val="tx1"/>
                  </w14:solidFill>
                </w14:textFill>
              </w:rPr>
              <w:fldChar w:fldCharType="separate"/>
            </w:r>
            <w:r>
              <w:rPr>
                <w:rFonts w:hint="eastAsia" w:ascii="仿宋" w:hAnsi="仿宋" w:eastAsia="仿宋" w:cs="仿宋"/>
                <w:color w:val="000000" w:themeColor="text1"/>
                <w:sz w:val="21"/>
                <w:szCs w:val="21"/>
                <w:highlight w:val="none"/>
                <w:lang w:eastAsia="zh-CN"/>
                <w14:textFill>
                  <w14:solidFill>
                    <w14:schemeClr w14:val="tx1"/>
                  </w14:solidFill>
                </w14:textFill>
              </w:rPr>
              <w:t>http://www.cnca.gov.cn）核实</w:t>
            </w:r>
            <w:r>
              <w:rPr>
                <w:rFonts w:hint="eastAsia" w:ascii="仿宋" w:hAnsi="仿宋" w:eastAsia="仿宋" w:cs="仿宋"/>
                <w:color w:val="000000" w:themeColor="text1"/>
                <w:sz w:val="21"/>
                <w:szCs w:val="21"/>
                <w:highlight w:val="none"/>
                <w:lang w:eastAsia="zh-CN"/>
                <w14:textFill>
                  <w14:solidFill>
                    <w14:schemeClr w14:val="tx1"/>
                  </w14:solidFill>
                </w14:textFill>
              </w:rPr>
              <w:fldChar w:fldCharType="end"/>
            </w:r>
            <w:r>
              <w:rPr>
                <w:rFonts w:hint="eastAsia" w:ascii="仿宋" w:hAnsi="仿宋" w:eastAsia="仿宋" w:cs="仿宋"/>
                <w:color w:val="000000" w:themeColor="text1"/>
                <w:sz w:val="21"/>
                <w:szCs w:val="21"/>
                <w:highlight w:val="none"/>
                <w:lang w:eastAsia="zh-CN"/>
                <w14:textFill>
                  <w14:solidFill>
                    <w14:schemeClr w14:val="tx1"/>
                  </w14:solidFill>
                </w14:textFill>
              </w:rPr>
              <w:t>；</w:t>
            </w:r>
          </w:p>
        </w:tc>
      </w:tr>
      <w:tr>
        <w:tblPrEx>
          <w:tblCellMar>
            <w:top w:w="0" w:type="dxa"/>
            <w:left w:w="0" w:type="dxa"/>
            <w:bottom w:w="0" w:type="dxa"/>
            <w:right w:w="0" w:type="dxa"/>
          </w:tblCellMar>
        </w:tblPrEx>
        <w:trPr>
          <w:trHeight w:val="1427"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left w:val="single" w:color="000000" w:sz="6" w:space="0"/>
              <w:right w:val="single" w:color="000000" w:sz="6"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30" w:type="pct"/>
            <w:tcBorders>
              <w:top w:val="single" w:color="auto" w:sz="4" w:space="0"/>
              <w:left w:val="single" w:color="000000" w:sz="6" w:space="0"/>
              <w:bottom w:val="single" w:color="000000" w:sz="4" w:space="0"/>
              <w:right w:val="single" w:color="000000" w:sz="4" w:space="0"/>
            </w:tcBorders>
            <w:vAlign w:val="center"/>
          </w:tcPr>
          <w:p>
            <w:pPr>
              <w:pStyle w:val="18"/>
              <w:spacing w:line="300" w:lineRule="exact"/>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000000" w:themeColor="text1"/>
                <w:sz w:val="21"/>
                <w:szCs w:val="21"/>
                <w:highlight w:val="none"/>
                <w:lang w:eastAsia="zh-CN"/>
                <w14:textFill>
                  <w14:solidFill>
                    <w14:schemeClr w14:val="tx1"/>
                  </w14:solidFill>
                </w14:textFill>
              </w:rPr>
              <w:t>信誉要求</w:t>
            </w:r>
          </w:p>
        </w:tc>
        <w:tc>
          <w:tcPr>
            <w:tcW w:w="3151" w:type="pct"/>
            <w:tcBorders>
              <w:top w:val="single" w:color="auto" w:sz="4" w:space="0"/>
              <w:left w:val="nil"/>
              <w:bottom w:val="single" w:color="000000" w:sz="4" w:space="0"/>
              <w:right w:val="single" w:color="000000" w:sz="4" w:space="0"/>
            </w:tcBorders>
            <w:vAlign w:val="center"/>
          </w:tcPr>
          <w:p>
            <w:pPr>
              <w:numPr>
                <w:ilvl w:val="0"/>
                <w:numId w:val="0"/>
              </w:numPr>
              <w:rPr>
                <w:rFonts w:hint="default"/>
                <w:strike w:val="0"/>
                <w:dstrike w:val="0"/>
                <w:color w:val="auto"/>
                <w:lang w:val="en-US"/>
              </w:rPr>
            </w:pPr>
            <w:r>
              <w:rPr>
                <w:rFonts w:hint="eastAsia" w:ascii="仿宋" w:hAnsi="仿宋" w:eastAsia="仿宋" w:cs="仿宋"/>
                <w:bCs/>
                <w:strike w:val="0"/>
                <w:dstrike w:val="0"/>
                <w:color w:val="auto"/>
                <w:kern w:val="0"/>
                <w:sz w:val="21"/>
                <w:szCs w:val="21"/>
                <w:highlight w:val="none"/>
                <w:lang w:val="en-US" w:eastAsia="zh-CN" w:bidi="ar-SA"/>
              </w:rPr>
              <w:t>1.应答</w:t>
            </w:r>
            <w:r>
              <w:rPr>
                <w:rFonts w:hint="eastAsia" w:ascii="仿宋" w:hAnsi="仿宋" w:eastAsia="仿宋" w:cs="仿宋"/>
                <w:strike w:val="0"/>
                <w:dstrike w:val="0"/>
                <w:color w:val="auto"/>
                <w:kern w:val="2"/>
                <w:sz w:val="21"/>
                <w:szCs w:val="21"/>
                <w:highlight w:val="none"/>
                <w:lang w:eastAsia="zh-CN"/>
              </w:rPr>
              <w:t>人不得是最高人民法院在“信用中国”网站（</w:t>
            </w:r>
            <w:r>
              <w:rPr>
                <w:rFonts w:hint="eastAsia" w:ascii="仿宋" w:hAnsi="仿宋" w:eastAsia="仿宋" w:cs="仿宋"/>
                <w:strike w:val="0"/>
                <w:dstrike w:val="0"/>
                <w:color w:val="auto"/>
                <w:sz w:val="21"/>
                <w:szCs w:val="21"/>
                <w:highlight w:val="none"/>
              </w:rPr>
              <w:fldChar w:fldCharType="begin"/>
            </w:r>
            <w:r>
              <w:rPr>
                <w:rFonts w:hint="eastAsia" w:ascii="仿宋" w:hAnsi="仿宋" w:eastAsia="仿宋" w:cs="仿宋"/>
                <w:strike w:val="0"/>
                <w:dstrike w:val="0"/>
                <w:color w:val="auto"/>
                <w:sz w:val="21"/>
                <w:szCs w:val="21"/>
                <w:highlight w:val="none"/>
              </w:rPr>
              <w:instrText xml:space="preserve"> HYPERLINK "http://www.creditchina.gov.cn）或" </w:instrText>
            </w:r>
            <w:r>
              <w:rPr>
                <w:rFonts w:hint="eastAsia" w:ascii="仿宋" w:hAnsi="仿宋" w:eastAsia="仿宋" w:cs="仿宋"/>
                <w:strike w:val="0"/>
                <w:dstrike w:val="0"/>
                <w:color w:val="auto"/>
                <w:sz w:val="21"/>
                <w:szCs w:val="21"/>
                <w:highlight w:val="none"/>
              </w:rPr>
              <w:fldChar w:fldCharType="separate"/>
            </w:r>
            <w:r>
              <w:rPr>
                <w:rFonts w:hint="eastAsia" w:ascii="仿宋" w:hAnsi="仿宋" w:eastAsia="仿宋" w:cs="仿宋"/>
                <w:strike w:val="0"/>
                <w:dstrike w:val="0"/>
                <w:color w:val="auto"/>
                <w:kern w:val="2"/>
                <w:sz w:val="21"/>
                <w:szCs w:val="21"/>
                <w:highlight w:val="none"/>
                <w:lang w:eastAsia="zh-CN"/>
              </w:rPr>
              <w:t>www.creditchina.gov.cn）</w:t>
            </w:r>
            <w:r>
              <w:rPr>
                <w:rFonts w:hint="eastAsia" w:ascii="仿宋" w:hAnsi="仿宋" w:eastAsia="仿宋" w:cs="仿宋"/>
                <w:b w:val="0"/>
                <w:bCs w:val="0"/>
                <w:strike w:val="0"/>
                <w:dstrike w:val="0"/>
                <w:color w:val="auto"/>
                <w:kern w:val="2"/>
                <w:sz w:val="21"/>
                <w:szCs w:val="21"/>
                <w:highlight w:val="none"/>
                <w:lang w:val="en-US" w:eastAsia="zh-CN"/>
              </w:rPr>
              <w:t>或</w:t>
            </w:r>
          </w:p>
          <w:p>
            <w:pPr>
              <w:numPr>
                <w:ilvl w:val="0"/>
                <w:numId w:val="0"/>
              </w:numPr>
              <w:jc w:val="both"/>
              <w:rPr>
                <w:rFonts w:hint="eastAsia" w:ascii="仿宋" w:hAnsi="仿宋" w:eastAsia="仿宋" w:cs="仿宋"/>
                <w:strike w:val="0"/>
                <w:dstrike w:val="0"/>
                <w:color w:val="auto"/>
                <w:kern w:val="2"/>
                <w:sz w:val="21"/>
                <w:szCs w:val="21"/>
                <w:highlight w:val="none"/>
                <w:lang w:eastAsia="zh-CN"/>
              </w:rPr>
            </w:pPr>
            <w:r>
              <w:rPr>
                <w:rFonts w:hint="eastAsia" w:ascii="仿宋" w:hAnsi="仿宋" w:eastAsia="仿宋" w:cs="仿宋"/>
                <w:strike w:val="0"/>
                <w:dstrike w:val="0"/>
                <w:color w:val="auto"/>
                <w:kern w:val="2"/>
                <w:sz w:val="21"/>
                <w:szCs w:val="21"/>
                <w:highlight w:val="none"/>
                <w:lang w:eastAsia="zh-CN"/>
              </w:rPr>
              <w:t>“中国执行信息公开网</w:t>
            </w:r>
            <w:r>
              <w:rPr>
                <w:rFonts w:hint="eastAsia" w:ascii="仿宋" w:hAnsi="仿宋" w:eastAsia="仿宋" w:cs="仿宋"/>
                <w:strike w:val="0"/>
                <w:dstrike w:val="0"/>
                <w:color w:val="auto"/>
                <w:kern w:val="2"/>
                <w:sz w:val="21"/>
                <w:szCs w:val="21"/>
                <w:highlight w:val="none"/>
                <w:lang w:eastAsia="zh-CN"/>
              </w:rPr>
              <w:fldChar w:fldCharType="end"/>
            </w:r>
            <w:r>
              <w:rPr>
                <w:rFonts w:hint="eastAsia" w:ascii="仿宋" w:hAnsi="仿宋" w:eastAsia="仿宋" w:cs="仿宋"/>
                <w:strike w:val="0"/>
                <w:dstrike w:val="0"/>
                <w:color w:val="auto"/>
                <w:kern w:val="2"/>
                <w:sz w:val="21"/>
                <w:szCs w:val="21"/>
                <w:highlight w:val="none"/>
                <w:lang w:eastAsia="zh-CN"/>
              </w:rPr>
              <w:t>”（</w:t>
            </w:r>
            <w:r>
              <w:rPr>
                <w:rFonts w:hint="eastAsia" w:ascii="仿宋" w:hAnsi="仿宋" w:eastAsia="仿宋" w:cs="仿宋"/>
                <w:strike w:val="0"/>
                <w:dstrike w:val="0"/>
                <w:color w:val="auto"/>
                <w:sz w:val="21"/>
                <w:szCs w:val="21"/>
                <w:highlight w:val="none"/>
              </w:rPr>
              <w:fldChar w:fldCharType="begin"/>
            </w:r>
            <w:r>
              <w:rPr>
                <w:rFonts w:hint="eastAsia" w:ascii="仿宋" w:hAnsi="仿宋" w:eastAsia="仿宋" w:cs="仿宋"/>
                <w:strike w:val="0"/>
                <w:dstrike w:val="0"/>
                <w:color w:val="auto"/>
                <w:sz w:val="21"/>
                <w:szCs w:val="21"/>
                <w:highlight w:val="none"/>
              </w:rPr>
              <w:instrText xml:space="preserve"> HYPERLINK "http://zxgk.court.gov.cn/）列入失信被执行人名单（应附查询结果复印件并加盖单位章" </w:instrText>
            </w:r>
            <w:r>
              <w:rPr>
                <w:rFonts w:hint="eastAsia" w:ascii="仿宋" w:hAnsi="仿宋" w:eastAsia="仿宋" w:cs="仿宋"/>
                <w:strike w:val="0"/>
                <w:dstrike w:val="0"/>
                <w:color w:val="auto"/>
                <w:sz w:val="21"/>
                <w:szCs w:val="21"/>
                <w:highlight w:val="none"/>
              </w:rPr>
              <w:fldChar w:fldCharType="separate"/>
            </w:r>
            <w:r>
              <w:rPr>
                <w:rFonts w:hint="eastAsia" w:ascii="仿宋" w:hAnsi="仿宋" w:eastAsia="仿宋" w:cs="仿宋"/>
                <w:strike w:val="0"/>
                <w:dstrike w:val="0"/>
                <w:color w:val="auto"/>
                <w:kern w:val="2"/>
                <w:sz w:val="21"/>
                <w:szCs w:val="21"/>
                <w:highlight w:val="none"/>
                <w:lang w:eastAsia="zh-CN"/>
              </w:rPr>
              <w:t>http://zxgk.court.gov.cn/）列入失信被执行人名单</w:t>
            </w:r>
            <w:r>
              <w:rPr>
                <w:rFonts w:hint="eastAsia" w:ascii="仿宋" w:hAnsi="仿宋" w:eastAsia="仿宋" w:cs="仿宋"/>
                <w:strike w:val="0"/>
                <w:dstrike w:val="0"/>
                <w:color w:val="auto"/>
                <w:kern w:val="2"/>
                <w:sz w:val="21"/>
                <w:szCs w:val="21"/>
                <w:highlight w:val="none"/>
                <w:lang w:eastAsia="zh-CN"/>
              </w:rPr>
              <w:fldChar w:fldCharType="end"/>
            </w:r>
            <w:r>
              <w:rPr>
                <w:rFonts w:hint="eastAsia" w:ascii="仿宋" w:hAnsi="仿宋" w:eastAsia="仿宋" w:cs="仿宋"/>
                <w:strike w:val="0"/>
                <w:dstrike w:val="0"/>
                <w:color w:val="auto"/>
                <w:sz w:val="21"/>
                <w:szCs w:val="21"/>
                <w:highlight w:val="none"/>
                <w:lang w:eastAsia="zh-CN"/>
              </w:rPr>
              <w:t>；</w:t>
            </w:r>
          </w:p>
          <w:p>
            <w:pPr>
              <w:numPr>
                <w:ilvl w:val="0"/>
                <w:numId w:val="0"/>
              </w:numPr>
              <w:rPr>
                <w:rFonts w:hint="eastAsia" w:ascii="仿宋" w:hAnsi="仿宋" w:eastAsia="仿宋" w:cs="仿宋"/>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2.</w:t>
            </w:r>
            <w:r>
              <w:rPr>
                <w:rFonts w:hint="eastAsia" w:ascii="仿宋" w:hAnsi="仿宋" w:eastAsia="仿宋" w:cs="仿宋"/>
                <w:strike w:val="0"/>
                <w:dstrike w:val="0"/>
                <w:color w:val="auto"/>
                <w:sz w:val="21"/>
                <w:szCs w:val="21"/>
                <w:highlight w:val="none"/>
                <w:lang w:eastAsia="zh-CN"/>
              </w:rPr>
              <w:t>近</w:t>
            </w:r>
            <w:r>
              <w:rPr>
                <w:rFonts w:hint="eastAsia" w:ascii="仿宋" w:hAnsi="仿宋" w:eastAsia="仿宋" w:cs="仿宋"/>
                <w:strike w:val="0"/>
                <w:dstrike w:val="0"/>
                <w:color w:val="auto"/>
                <w:sz w:val="21"/>
                <w:szCs w:val="21"/>
                <w:highlight w:val="none"/>
                <w:lang w:val="en-US" w:eastAsia="zh-CN"/>
              </w:rPr>
              <w:t>XX</w:t>
            </w:r>
            <w:r>
              <w:rPr>
                <w:rFonts w:hint="eastAsia" w:ascii="仿宋" w:hAnsi="仿宋" w:eastAsia="仿宋" w:cs="仿宋"/>
                <w:strike w:val="0"/>
                <w:dstrike w:val="0"/>
                <w:color w:val="auto"/>
                <w:sz w:val="21"/>
                <w:szCs w:val="21"/>
                <w:highlight w:val="none"/>
                <w:lang w:eastAsia="zh-CN"/>
              </w:rPr>
              <w:t>年（20**年*月*日-报价截止日前）内应答人或其法定代</w:t>
            </w:r>
            <w:r>
              <w:rPr>
                <w:rFonts w:hint="eastAsia" w:ascii="仿宋" w:hAnsi="仿宋" w:eastAsia="仿宋" w:cs="仿宋"/>
                <w:b w:val="0"/>
                <w:bCs w:val="0"/>
                <w:strike w:val="0"/>
                <w:dstrike w:val="0"/>
                <w:color w:val="auto"/>
                <w:sz w:val="21"/>
                <w:szCs w:val="21"/>
                <w:highlight w:val="none"/>
                <w:lang w:eastAsia="zh-CN"/>
              </w:rPr>
              <w:t>表人、拟委任的项目负责人不得有行贿犯罪行为，查询网站为“中国裁判文书网”http://wenshu.court.gov.cn）；</w:t>
            </w:r>
          </w:p>
          <w:p>
            <w:pPr>
              <w:jc w:val="both"/>
              <w:rPr>
                <w:rFonts w:hint="eastAsia" w:ascii="仿宋" w:hAnsi="仿宋" w:eastAsia="仿宋" w:cs="仿宋"/>
                <w:b w:val="0"/>
                <w:bCs w:val="0"/>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3.</w:t>
            </w:r>
            <w:r>
              <w:rPr>
                <w:rFonts w:hint="eastAsia" w:ascii="仿宋" w:hAnsi="仿宋" w:eastAsia="仿宋" w:cs="仿宋"/>
                <w:strike w:val="0"/>
                <w:dstrike w:val="0"/>
                <w:color w:val="auto"/>
                <w:sz w:val="21"/>
                <w:szCs w:val="21"/>
                <w:highlight w:val="none"/>
                <w:lang w:eastAsia="zh-CN"/>
              </w:rPr>
              <w:t>应答人不得被工商行政管理机关在全国企业信用信息公示系统（http://www.gsxt.gov.cn）中列入严重违法失信企业名单</w:t>
            </w:r>
            <w:r>
              <w:rPr>
                <w:rFonts w:hint="eastAsia" w:ascii="仿宋" w:hAnsi="仿宋" w:eastAsia="仿宋" w:cs="仿宋"/>
                <w:b w:val="0"/>
                <w:bCs w:val="0"/>
                <w:strike w:val="0"/>
                <w:dstrike w:val="0"/>
                <w:color w:val="auto"/>
                <w:sz w:val="21"/>
                <w:szCs w:val="21"/>
                <w:highlight w:val="none"/>
                <w:lang w:eastAsia="zh-CN"/>
              </w:rPr>
              <w:t>。事业单位、大学除外。</w:t>
            </w:r>
          </w:p>
          <w:p>
            <w:pPr>
              <w:numPr>
                <w:ilvl w:val="0"/>
                <w:numId w:val="0"/>
              </w:numPr>
              <w:spacing w:line="240" w:lineRule="auto"/>
              <w:jc w:val="left"/>
              <w:rPr>
                <w:rFonts w:hint="eastAsia" w:ascii="仿宋" w:hAnsi="仿宋" w:eastAsia="仿宋" w:cs="仿宋"/>
                <w:strike w:val="0"/>
                <w:dstrike w:val="0"/>
                <w:color w:val="auto"/>
                <w:sz w:val="21"/>
                <w:szCs w:val="21"/>
                <w:highlight w:val="none"/>
                <w:lang w:eastAsia="zh-CN"/>
              </w:rPr>
            </w:pPr>
            <w:r>
              <w:rPr>
                <w:rFonts w:hint="eastAsia" w:ascii="仿宋" w:hAnsi="仿宋" w:eastAsia="仿宋" w:cs="仿宋"/>
                <w:strike w:val="0"/>
                <w:dstrike w:val="0"/>
                <w:color w:val="auto"/>
                <w:sz w:val="21"/>
                <w:szCs w:val="21"/>
                <w:highlight w:val="none"/>
                <w:lang w:val="en-US" w:eastAsia="zh-CN"/>
              </w:rPr>
              <w:t>4.应答人</w:t>
            </w:r>
            <w:r>
              <w:rPr>
                <w:rFonts w:hint="eastAsia" w:ascii="仿宋" w:hAnsi="仿宋" w:eastAsia="仿宋" w:cs="仿宋"/>
                <w:strike w:val="0"/>
                <w:dstrike w:val="0"/>
                <w:color w:val="auto"/>
                <w:sz w:val="21"/>
                <w:szCs w:val="21"/>
                <w:highlight w:val="none"/>
                <w:lang w:eastAsia="zh-CN"/>
              </w:rPr>
              <w:t>与本采购项目其他应答人不得存在控股关系或管理关系、单位负责人为同一人的情形。</w:t>
            </w:r>
            <w:r>
              <w:rPr>
                <w:rFonts w:hint="eastAsia" w:ascii="仿宋" w:hAnsi="仿宋" w:eastAsia="仿宋" w:cs="仿宋"/>
                <w:strike w:val="0"/>
                <w:dstrike w:val="0"/>
                <w:color w:val="auto"/>
                <w:szCs w:val="21"/>
                <w:highlight w:val="none"/>
                <w:lang w:eastAsia="zh-CN"/>
              </w:rPr>
              <w:t>在非公开采购项目中，严禁存在控股关系或管理关系、单位负责人为同一人、同一自然人同时持有两家公司非公开上市股份</w:t>
            </w:r>
            <w:r>
              <w:rPr>
                <w:rFonts w:hint="eastAsia" w:ascii="仿宋" w:hAnsi="仿宋" w:eastAsia="仿宋" w:cs="仿宋"/>
                <w:strike w:val="0"/>
                <w:dstrike w:val="0"/>
                <w:color w:val="auto"/>
                <w:szCs w:val="21"/>
                <w:highlight w:val="none"/>
                <w:lang w:val="en-US" w:eastAsia="zh-CN"/>
              </w:rPr>
              <w:t>的</w:t>
            </w:r>
            <w:r>
              <w:rPr>
                <w:rFonts w:hint="eastAsia" w:ascii="仿宋" w:hAnsi="仿宋" w:eastAsia="仿宋" w:cs="仿宋"/>
                <w:strike w:val="0"/>
                <w:dstrike w:val="0"/>
                <w:color w:val="auto"/>
                <w:szCs w:val="21"/>
                <w:highlight w:val="none"/>
                <w:lang w:eastAsia="zh-CN"/>
              </w:rPr>
              <w:t>情形。</w:t>
            </w:r>
          </w:p>
          <w:p>
            <w:pPr>
              <w:numPr>
                <w:ilvl w:val="0"/>
                <w:numId w:val="0"/>
              </w:numPr>
              <w:rPr>
                <w:rFonts w:hint="eastAsia" w:ascii="仿宋" w:hAnsi="仿宋" w:eastAsia="仿宋" w:cs="仿宋"/>
                <w:strike w:val="0"/>
                <w:dstrike w:val="0"/>
                <w:color w:val="000000" w:themeColor="text1"/>
                <w:sz w:val="21"/>
                <w:szCs w:val="21"/>
                <w:highlight w:val="none"/>
                <w:lang w:eastAsia="zh-CN"/>
                <w14:textFill>
                  <w14:solidFill>
                    <w14:schemeClr w14:val="tx1"/>
                  </w14:solidFill>
                </w14:textFill>
              </w:rPr>
            </w:pPr>
            <w:r>
              <w:rPr>
                <w:rFonts w:hint="eastAsia" w:ascii="仿宋" w:hAnsi="仿宋" w:eastAsia="仿宋" w:cs="仿宋"/>
                <w:strike w:val="0"/>
                <w:dstrike w:val="0"/>
                <w:color w:val="000000" w:themeColor="text1"/>
                <w:sz w:val="21"/>
                <w:szCs w:val="21"/>
                <w:highlight w:val="none"/>
                <w:lang w:val="en-US" w:eastAsia="zh-CN"/>
                <w14:textFill>
                  <w14:solidFill>
                    <w14:schemeClr w14:val="tx1"/>
                  </w14:solidFill>
                </w14:textFill>
              </w:rPr>
              <w:t>5.</w:t>
            </w:r>
            <w:r>
              <w:rPr>
                <w:rFonts w:hint="eastAsia" w:ascii="仿宋" w:hAnsi="仿宋" w:eastAsia="仿宋" w:cs="仿宋"/>
                <w:strike w:val="0"/>
                <w:dstrike w:val="0"/>
                <w:color w:val="0000FF"/>
                <w:sz w:val="21"/>
                <w:szCs w:val="21"/>
                <w:highlight w:val="none"/>
                <w:lang w:eastAsia="zh-CN"/>
              </w:rPr>
              <w:t>应答人应在应答文件中提供其公司章程</w:t>
            </w:r>
            <w:r>
              <w:rPr>
                <w:rFonts w:hint="eastAsia" w:ascii="仿宋" w:hAnsi="仿宋" w:eastAsia="仿宋" w:cs="仿宋"/>
                <w:strike w:val="0"/>
                <w:dstrike w:val="0"/>
                <w:color w:val="000000" w:themeColor="text1"/>
                <w:sz w:val="21"/>
                <w:szCs w:val="21"/>
                <w:highlight w:val="none"/>
                <w:lang w:eastAsia="zh-CN"/>
                <w14:textFill>
                  <w14:solidFill>
                    <w14:schemeClr w14:val="tx1"/>
                  </w14:solidFill>
                </w14:textFill>
              </w:rPr>
              <w:t>或其他能够体现出资人、股东信息的法定文件，作为评标/评审时的依据。</w:t>
            </w:r>
          </w:p>
          <w:p>
            <w:pPr>
              <w:numPr>
                <w:ilvl w:val="0"/>
                <w:numId w:val="0"/>
              </w:numPr>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6.</w:t>
            </w:r>
            <w:r>
              <w:rPr>
                <w:rFonts w:hint="eastAsia" w:ascii="仿宋" w:hAnsi="仿宋" w:eastAsia="仿宋" w:cs="仿宋"/>
                <w:color w:val="000000" w:themeColor="text1"/>
                <w:sz w:val="21"/>
                <w:szCs w:val="21"/>
                <w:highlight w:val="none"/>
                <w:lang w:eastAsia="zh-CN"/>
                <w14:textFill>
                  <w14:solidFill>
                    <w14:schemeClr w14:val="tx1"/>
                  </w14:solidFill>
                </w14:textFill>
              </w:rPr>
              <w:t>应答人承诺：中国海油在职员工（不含正式派出的）未有在应答人单位担任股东、法人代表、董事、监事和其他任职人员的情形。</w:t>
            </w:r>
          </w:p>
          <w:p>
            <w:pPr>
              <w:numPr>
                <w:ilvl w:val="0"/>
                <w:numId w:val="0"/>
              </w:numPr>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b/>
                <w:bCs/>
                <w:color w:val="C00000"/>
                <w:sz w:val="21"/>
                <w:szCs w:val="21"/>
                <w:highlight w:val="none"/>
                <w:lang w:val="en-US" w:eastAsia="zh-CN"/>
              </w:rPr>
              <w:t>上述要求应答人应提供供应商承诺书。</w:t>
            </w:r>
          </w:p>
        </w:tc>
      </w:tr>
      <w:tr>
        <w:tblPrEx>
          <w:tblCellMar>
            <w:top w:w="0" w:type="dxa"/>
            <w:left w:w="0" w:type="dxa"/>
            <w:bottom w:w="0" w:type="dxa"/>
            <w:right w:w="0" w:type="dxa"/>
          </w:tblCellMar>
        </w:tblPrEx>
        <w:trPr>
          <w:trHeight w:val="454"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left w:val="single" w:color="000000" w:sz="6" w:space="0"/>
              <w:right w:val="single" w:color="000000" w:sz="6"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30" w:type="pct"/>
            <w:tcBorders>
              <w:top w:val="single" w:color="000000" w:sz="4" w:space="0"/>
              <w:left w:val="single" w:color="000000" w:sz="6" w:space="0"/>
              <w:bottom w:val="single" w:color="000000" w:sz="4" w:space="0"/>
              <w:right w:val="single" w:color="000000" w:sz="4" w:space="0"/>
            </w:tcBorders>
            <w:vAlign w:val="center"/>
          </w:tcPr>
          <w:p>
            <w:pPr>
              <w:pStyle w:val="18"/>
              <w:numPr>
                <w:ilvl w:val="-1"/>
                <w:numId w:val="0"/>
              </w:numPr>
              <w:jc w:val="both"/>
              <w:rPr>
                <w:rFonts w:hint="eastAsia" w:ascii="仿宋" w:hAnsi="仿宋" w:eastAsia="仿宋" w:cs="仿宋"/>
                <w:color w:val="C00000"/>
                <w:kern w:val="2"/>
                <w:sz w:val="21"/>
                <w:szCs w:val="21"/>
                <w:highlight w:val="none"/>
                <w:lang w:eastAsia="zh-CN"/>
              </w:rPr>
            </w:pPr>
            <w:r>
              <w:rPr>
                <w:rFonts w:hint="eastAsia" w:ascii="仿宋" w:hAnsi="仿宋" w:eastAsia="仿宋" w:cs="仿宋"/>
                <w:color w:val="auto"/>
                <w:kern w:val="2"/>
                <w:sz w:val="21"/>
                <w:szCs w:val="21"/>
                <w:highlight w:val="none"/>
                <w:lang w:val="en-US" w:eastAsia="zh-CN" w:bidi="ar-SA"/>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应答人或应答人所提供的第三方不得存在的其他情形</w:t>
            </w:r>
          </w:p>
          <w:p>
            <w:pPr>
              <w:pStyle w:val="18"/>
              <w:jc w:val="center"/>
              <w:rPr>
                <w:rFonts w:hint="eastAsia" w:ascii="仿宋" w:hAnsi="仿宋" w:eastAsia="仿宋" w:cs="仿宋"/>
                <w:color w:val="000000" w:themeColor="text1"/>
                <w:sz w:val="21"/>
                <w:szCs w:val="21"/>
                <w:highlight w:val="none"/>
                <w:lang w:eastAsia="zh-CN"/>
                <w14:textFill>
                  <w14:solidFill>
                    <w14:schemeClr w14:val="tx1"/>
                  </w14:solidFill>
                </w14:textFill>
              </w:rPr>
            </w:pPr>
          </w:p>
        </w:tc>
        <w:tc>
          <w:tcPr>
            <w:tcW w:w="3151" w:type="pct"/>
            <w:tcBorders>
              <w:top w:val="single" w:color="000000" w:sz="4" w:space="0"/>
              <w:left w:val="nil"/>
              <w:bottom w:val="single" w:color="000000" w:sz="4" w:space="0"/>
              <w:right w:val="single" w:color="000000" w:sz="4" w:space="0"/>
            </w:tcBorders>
            <w:vAlign w:val="center"/>
          </w:tcPr>
          <w:p>
            <w:pPr>
              <w:pStyle w:val="18"/>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被中国海洋石油集团有限公司在集团范围内进行风险提示，且在中国海洋石油集团有限公司《中国海油供应链数字化平台》中被采购冻结，进入调查程序的；</w:t>
            </w:r>
          </w:p>
          <w:p>
            <w:pPr>
              <w:pStyle w:val="18"/>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w:t>
            </w:r>
            <w:r>
              <w:rPr>
                <w:rFonts w:hint="eastAsia" w:ascii="仿宋" w:hAnsi="仿宋" w:eastAsia="仿宋" w:cs="仿宋"/>
                <w:color w:val="000000" w:themeColor="text1"/>
                <w:sz w:val="21"/>
                <w:szCs w:val="21"/>
                <w:highlight w:val="none"/>
                <w:lang w:eastAsia="zh-CN"/>
                <w14:textFill>
                  <w14:solidFill>
                    <w14:schemeClr w14:val="tx1"/>
                  </w14:solidFill>
                </w14:textFill>
              </w:rPr>
              <w:t>被中国海洋石油集团有限公司处以“取消投标资格”及以上处罚，且仍在处罚期内或处罚期满但在系统中的供应商档案中的“档案状态”为“采购冻结”、“业务状态”为“冻结”的；</w:t>
            </w:r>
          </w:p>
          <w:p>
            <w:pPr>
              <w:pStyle w:val="18"/>
              <w:jc w:val="both"/>
              <w:rPr>
                <w:rFonts w:hint="eastAsia" w:ascii="仿宋" w:hAnsi="仿宋" w:eastAsia="仿宋" w:cs="仿宋"/>
                <w:color w:val="000000" w:themeColor="text1"/>
                <w:sz w:val="21"/>
                <w:szCs w:val="21"/>
                <w:highlight w:val="none"/>
                <w:lang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w:t>
            </w:r>
            <w:r>
              <w:rPr>
                <w:rFonts w:hint="eastAsia" w:ascii="仿宋" w:hAnsi="仿宋" w:eastAsia="仿宋" w:cs="仿宋"/>
                <w:color w:val="000000" w:themeColor="text1"/>
                <w:sz w:val="21"/>
                <w:szCs w:val="21"/>
                <w:highlight w:val="none"/>
                <w:lang w:eastAsia="zh-CN"/>
                <w14:textFill>
                  <w14:solidFill>
                    <w14:schemeClr w14:val="tx1"/>
                  </w14:solidFill>
                </w14:textFill>
              </w:rPr>
              <w:t>被</w:t>
            </w:r>
            <w:r>
              <w:rPr>
                <w:rFonts w:hint="eastAsia" w:ascii="仿宋" w:hAnsi="仿宋" w:eastAsia="仿宋" w:cs="仿宋"/>
                <w:color w:val="000000" w:themeColor="text1"/>
                <w:sz w:val="21"/>
                <w:szCs w:val="21"/>
                <w:highlight w:val="none"/>
                <w:lang w:val="en-US" w:eastAsia="zh-CN"/>
                <w14:textFill>
                  <w14:solidFill>
                    <w14:schemeClr w14:val="tx1"/>
                  </w14:solidFill>
                </w14:textFill>
              </w:rPr>
              <w:t>采购</w:t>
            </w:r>
            <w:r>
              <w:rPr>
                <w:rFonts w:hint="eastAsia" w:ascii="仿宋" w:hAnsi="仿宋" w:eastAsia="仿宋" w:cs="仿宋"/>
                <w:color w:val="000000" w:themeColor="text1"/>
                <w:sz w:val="21"/>
                <w:szCs w:val="21"/>
                <w:highlight w:val="none"/>
                <w:lang w:eastAsia="zh-CN"/>
                <w14:textFill>
                  <w14:solidFill>
                    <w14:schemeClr w14:val="tx1"/>
                  </w14:solidFill>
                </w14:textFill>
              </w:rPr>
              <w:t>人所属单位处以“取消投标资格”及以上处罚，且仍在处罚期内或处罚期满但在系统中的供应商档案中的“业务状态”为冻结的；</w:t>
            </w:r>
          </w:p>
        </w:tc>
      </w:tr>
      <w:tr>
        <w:tblPrEx>
          <w:tblCellMar>
            <w:top w:w="0" w:type="dxa"/>
            <w:left w:w="0" w:type="dxa"/>
            <w:bottom w:w="0" w:type="dxa"/>
            <w:right w:w="0" w:type="dxa"/>
          </w:tblCellMar>
        </w:tblPrEx>
        <w:trPr>
          <w:trHeight w:val="90"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left w:val="single" w:color="000000" w:sz="6" w:space="0"/>
              <w:right w:val="single" w:color="000000" w:sz="6"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30" w:type="pct"/>
            <w:tcBorders>
              <w:top w:val="single" w:color="000000" w:sz="4" w:space="0"/>
              <w:left w:val="single" w:color="000000" w:sz="6" w:space="0"/>
              <w:right w:val="single" w:color="000000" w:sz="4" w:space="0"/>
            </w:tcBorders>
            <w:vAlign w:val="center"/>
          </w:tcPr>
          <w:p>
            <w:pPr>
              <w:pStyle w:val="6"/>
              <w:tabs>
                <w:tab w:val="left" w:pos="770"/>
              </w:tabs>
              <w:ind w:left="0" w:right="134"/>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color w:val="000000" w:themeColor="text1"/>
                <w:sz w:val="21"/>
                <w:szCs w:val="21"/>
                <w:highlight w:val="none"/>
                <w:lang w:val="en-US" w:eastAsia="zh-CN"/>
                <w14:textFill>
                  <w14:solidFill>
                    <w14:schemeClr w14:val="tx1"/>
                  </w14:solidFill>
                </w14:textFill>
              </w:rPr>
              <w:t>制造商要求</w:t>
            </w:r>
          </w:p>
        </w:tc>
        <w:tc>
          <w:tcPr>
            <w:tcW w:w="3151" w:type="pct"/>
            <w:tcBorders>
              <w:top w:val="single" w:color="000000" w:sz="4" w:space="0"/>
              <w:left w:val="nil"/>
              <w:bottom w:val="single" w:color="000000" w:sz="4" w:space="0"/>
              <w:right w:val="single" w:color="000000" w:sz="4" w:space="0"/>
            </w:tcBorders>
            <w:vAlign w:val="center"/>
          </w:tcPr>
          <w:p>
            <w:pPr>
              <w:ind w:firstLine="0" w:firstLineChars="0"/>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不涉及</w:t>
            </w:r>
          </w:p>
        </w:tc>
      </w:tr>
      <w:tr>
        <w:tblPrEx>
          <w:tblCellMar>
            <w:top w:w="0" w:type="dxa"/>
            <w:left w:w="0" w:type="dxa"/>
            <w:bottom w:w="0" w:type="dxa"/>
            <w:right w:w="0" w:type="dxa"/>
          </w:tblCellMar>
        </w:tblPrEx>
        <w:trPr>
          <w:trHeight w:val="479"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left w:val="single" w:color="000000" w:sz="6" w:space="0"/>
              <w:right w:val="single" w:color="000000" w:sz="6"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30" w:type="pct"/>
            <w:tcBorders>
              <w:top w:val="single" w:color="000000" w:sz="4" w:space="0"/>
              <w:left w:val="single" w:color="000000" w:sz="6" w:space="0"/>
              <w:right w:val="single" w:color="000000" w:sz="4" w:space="0"/>
            </w:tcBorders>
            <w:vAlign w:val="center"/>
          </w:tcPr>
          <w:p>
            <w:pPr>
              <w:pStyle w:val="6"/>
              <w:tabs>
                <w:tab w:val="left" w:pos="770"/>
              </w:tabs>
              <w:ind w:left="0" w:right="134"/>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★代理商、贸易商、服务商要求（</w:t>
            </w:r>
            <w:r>
              <w:rPr>
                <w:rFonts w:hint="eastAsia" w:ascii="仿宋" w:hAnsi="仿宋" w:eastAsia="仿宋" w:cs="仿宋"/>
                <w:b w:val="0"/>
                <w:bCs w:val="0"/>
                <w:color w:val="auto"/>
                <w:kern w:val="0"/>
                <w:sz w:val="21"/>
                <w:szCs w:val="21"/>
                <w:highlight w:val="none"/>
                <w:lang w:val="en-US" w:eastAsia="zh-CN" w:bidi="ar-SA"/>
              </w:rPr>
              <w:t>对不满足要求的或未能提供相应证明材料的</w:t>
            </w:r>
            <w:r>
              <w:rPr>
                <w:rFonts w:hint="eastAsia" w:ascii="仿宋" w:hAnsi="仿宋" w:eastAsia="仿宋" w:cs="仿宋"/>
                <w:color w:val="auto"/>
                <w:sz w:val="21"/>
                <w:szCs w:val="21"/>
                <w:highlight w:val="none"/>
                <w:lang w:val="en-US" w:eastAsia="zh-CN"/>
              </w:rPr>
              <w:t>代理商、贸易商、服务商</w:t>
            </w:r>
            <w:r>
              <w:rPr>
                <w:rFonts w:hint="eastAsia" w:ascii="仿宋" w:hAnsi="仿宋" w:eastAsia="仿宋" w:cs="仿宋"/>
                <w:b w:val="0"/>
                <w:bCs w:val="0"/>
                <w:color w:val="auto"/>
                <w:kern w:val="0"/>
                <w:sz w:val="21"/>
                <w:szCs w:val="21"/>
                <w:highlight w:val="none"/>
                <w:lang w:val="en-US" w:eastAsia="zh-CN" w:bidi="ar-SA"/>
              </w:rPr>
              <w:t>，将影响评审结果。</w:t>
            </w:r>
            <w:r>
              <w:rPr>
                <w:rFonts w:hint="eastAsia" w:ascii="仿宋" w:hAnsi="仿宋" w:eastAsia="仿宋" w:cs="仿宋"/>
                <w:color w:val="auto"/>
                <w:sz w:val="21"/>
                <w:szCs w:val="21"/>
                <w:highlight w:val="none"/>
                <w:lang w:val="en-US" w:eastAsia="zh-CN"/>
              </w:rPr>
              <w:t>）</w:t>
            </w:r>
          </w:p>
        </w:tc>
        <w:tc>
          <w:tcPr>
            <w:tcW w:w="3151" w:type="pct"/>
            <w:tcBorders>
              <w:top w:val="single" w:color="000000" w:sz="4" w:space="0"/>
              <w:left w:val="nil"/>
              <w:bottom w:val="single" w:color="000000" w:sz="4" w:space="0"/>
              <w:right w:val="single" w:color="000000" w:sz="4" w:space="0"/>
            </w:tcBorders>
            <w:vAlign w:val="center"/>
          </w:tcPr>
          <w:p>
            <w:pPr>
              <w:pStyle w:val="18"/>
              <w:ind w:firstLine="420" w:firstLineChars="200"/>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服务商需满足：</w:t>
            </w:r>
            <w:r>
              <w:rPr>
                <w:rFonts w:hint="eastAsia" w:ascii="仿宋" w:hAnsi="仿宋" w:eastAsia="仿宋" w:cs="仿宋"/>
                <w:color w:val="0000FF"/>
                <w:sz w:val="21"/>
                <w:szCs w:val="21"/>
                <w:highlight w:val="none"/>
                <w:lang w:val="en-US" w:eastAsia="zh-CN"/>
              </w:rPr>
              <w:t>不得将中国海油作为唯一服务客户，承诺中国海油非其唯一服务客户并提供支持性材料（海油外业绩）</w:t>
            </w: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p>
            <w:pPr>
              <w:pStyle w:val="18"/>
              <w:ind w:firstLine="420" w:firstLineChars="200"/>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应答人须提交相关业绩证明文件。业绩证明文件必须至少体现以下内容：合同签署时间、项目名称及验收证明材料。具体包括：1）合同复印件（含相关技术附件）；2）合同所对应的结算发票；3）国家税务总局全国增值税发票查验平台的发票查验截图。</w:t>
            </w:r>
          </w:p>
          <w:p>
            <w:pPr>
              <w:pStyle w:val="18"/>
              <w:ind w:firstLine="420" w:firstLineChars="200"/>
              <w:jc w:val="both"/>
              <w:rPr>
                <w:rFonts w:hint="eastAsia"/>
                <w:lang w:eastAsia="zh-CN"/>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应答人所提交的业绩证明文件必须至少体现以下内容：合同签署时间、项目名称及服务验收证明材料。</w:t>
            </w:r>
          </w:p>
        </w:tc>
      </w:tr>
      <w:tr>
        <w:tblPrEx>
          <w:tblCellMar>
            <w:top w:w="0" w:type="dxa"/>
            <w:left w:w="0" w:type="dxa"/>
            <w:bottom w:w="0" w:type="dxa"/>
            <w:right w:w="0" w:type="dxa"/>
          </w:tblCellMar>
        </w:tblPrEx>
        <w:trPr>
          <w:trHeight w:val="90" w:hRule="atLeast"/>
          <w:jc w:val="center"/>
        </w:trPr>
        <w:tc>
          <w:tcPr>
            <w:tcW w:w="331" w:type="pct"/>
            <w:vMerge w:val="continue"/>
            <w:tcBorders>
              <w:left w:val="single" w:color="000000" w:sz="6" w:space="0"/>
              <w:right w:val="single" w:color="000000" w:sz="6" w:space="0"/>
            </w:tcBorders>
            <w:vAlign w:val="center"/>
          </w:tcPr>
          <w:p>
            <w:pPr>
              <w:spacing w:line="300" w:lineRule="exact"/>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left w:val="single" w:color="000000" w:sz="6" w:space="0"/>
              <w:right w:val="single" w:color="000000" w:sz="6"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30" w:type="pct"/>
            <w:tcBorders>
              <w:top w:val="single" w:color="000000" w:sz="4" w:space="0"/>
              <w:left w:val="single" w:color="000000" w:sz="6" w:space="0"/>
              <w:bottom w:val="single" w:color="000000" w:sz="4" w:space="0"/>
              <w:right w:val="single" w:color="000000" w:sz="4"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 w:val="0"/>
                <w:bCs/>
                <w:color w:val="000000" w:themeColor="text1"/>
                <w:sz w:val="21"/>
                <w:szCs w:val="21"/>
                <w:highlight w:val="none"/>
                <w:lang w:eastAsia="zh-CN"/>
                <w14:textFill>
                  <w14:solidFill>
                    <w14:schemeClr w14:val="tx1"/>
                  </w14:solidFill>
                </w14:textFill>
              </w:rPr>
              <w:t>业绩要求（</w:t>
            </w:r>
            <w:r>
              <w:rPr>
                <w:rFonts w:hint="eastAsia" w:ascii="仿宋" w:hAnsi="仿宋" w:eastAsia="仿宋" w:cs="仿宋"/>
                <w:b w:val="0"/>
                <w:bCs/>
                <w:color w:val="000000" w:themeColor="text1"/>
                <w:sz w:val="21"/>
                <w:szCs w:val="21"/>
                <w:highlight w:val="none"/>
                <w14:textFill>
                  <w14:solidFill>
                    <w14:schemeClr w14:val="tx1"/>
                  </w14:solidFill>
                </w14:textFill>
              </w:rPr>
              <w:t>（提示：提供的证明材料必须完全涵盖</w:t>
            </w:r>
            <w:r>
              <w:rPr>
                <w:rFonts w:hint="eastAsia" w:ascii="仿宋" w:hAnsi="仿宋" w:eastAsia="仿宋" w:cs="仿宋"/>
                <w:b w:val="0"/>
                <w:bCs/>
                <w:color w:val="000000" w:themeColor="text1"/>
                <w:sz w:val="21"/>
                <w:szCs w:val="21"/>
                <w:highlight w:val="none"/>
                <w:lang w:val="en-US" w:eastAsia="zh-CN"/>
                <w14:textFill>
                  <w14:solidFill>
                    <w14:schemeClr w14:val="tx1"/>
                  </w14:solidFill>
                </w14:textFill>
              </w:rPr>
              <w:t>要求的</w:t>
            </w:r>
            <w:r>
              <w:rPr>
                <w:rFonts w:hint="eastAsia" w:ascii="仿宋" w:hAnsi="仿宋" w:eastAsia="仿宋" w:cs="仿宋"/>
                <w:b w:val="0"/>
                <w:bCs/>
                <w:color w:val="000000" w:themeColor="text1"/>
                <w:sz w:val="21"/>
                <w:szCs w:val="21"/>
                <w:highlight w:val="none"/>
                <w14:textFill>
                  <w14:solidFill>
                    <w14:schemeClr w14:val="tx1"/>
                  </w14:solidFill>
                </w14:textFill>
              </w:rPr>
              <w:t>内容，否则视为无效业绩，缺少任何1项都将影响评审结果）</w:t>
            </w:r>
            <w:r>
              <w:rPr>
                <w:rFonts w:hint="eastAsia" w:ascii="仿宋" w:hAnsi="仿宋" w:eastAsia="仿宋" w:cs="仿宋"/>
                <w:b w:val="0"/>
                <w:bCs/>
                <w:color w:val="000000" w:themeColor="text1"/>
                <w:sz w:val="21"/>
                <w:szCs w:val="21"/>
                <w:highlight w:val="none"/>
                <w:lang w:eastAsia="zh-CN"/>
                <w14:textFill>
                  <w14:solidFill>
                    <w14:schemeClr w14:val="tx1"/>
                  </w14:solidFill>
                </w14:textFill>
              </w:rPr>
              <w:t>）</w:t>
            </w:r>
          </w:p>
        </w:tc>
        <w:tc>
          <w:tcPr>
            <w:tcW w:w="3151" w:type="pct"/>
            <w:tcBorders>
              <w:top w:val="single" w:color="000000" w:sz="4" w:space="0"/>
              <w:left w:val="nil"/>
              <w:bottom w:val="single" w:color="000000" w:sz="4" w:space="0"/>
              <w:right w:val="single" w:color="000000"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240" w:lineRule="auto"/>
              <w:ind w:right="0" w:firstLine="420" w:firstLineChars="200"/>
              <w:jc w:val="left"/>
              <w:textAlignment w:val="auto"/>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p>
        </w:tc>
      </w:tr>
      <w:tr>
        <w:tblPrEx>
          <w:tblCellMar>
            <w:top w:w="0" w:type="dxa"/>
            <w:left w:w="0" w:type="dxa"/>
            <w:bottom w:w="0" w:type="dxa"/>
            <w:right w:w="0" w:type="dxa"/>
          </w:tblCellMar>
        </w:tblPrEx>
        <w:trPr>
          <w:trHeight w:val="1308" w:hRule="atLeast"/>
          <w:jc w:val="center"/>
        </w:trPr>
        <w:tc>
          <w:tcPr>
            <w:tcW w:w="331"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230" w:type="pct"/>
            <w:tcBorders>
              <w:top w:val="single" w:color="auto" w:sz="4" w:space="0"/>
              <w:left w:val="single" w:color="000000" w:sz="6" w:space="0"/>
              <w:bottom w:val="nil"/>
              <w:right w:val="single" w:color="000000" w:sz="4"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付款条款</w:t>
            </w:r>
          </w:p>
        </w:tc>
        <w:tc>
          <w:tcPr>
            <w:tcW w:w="3151" w:type="pct"/>
            <w:tcBorders>
              <w:top w:val="single" w:color="auto" w:sz="4" w:space="0"/>
              <w:left w:val="nil"/>
              <w:bottom w:val="nil"/>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10"/>
              <w:textAlignment w:val="auto"/>
              <w:rPr>
                <w:rFonts w:hint="eastAsia" w:ascii="仿宋" w:hAnsi="仿宋" w:eastAsia="仿宋" w:cs="仿宋"/>
                <w:color w:val="000000" w:themeColor="text1"/>
                <w:kern w:val="2"/>
                <w:sz w:val="21"/>
                <w:szCs w:val="21"/>
                <w:highlight w:val="none"/>
                <w:lang w:val="en-US" w:eastAsia="en-US" w:bidi="ar-SA"/>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1、</w:t>
            </w:r>
            <w:r>
              <w:rPr>
                <w:rFonts w:hint="eastAsia" w:ascii="仿宋" w:hAnsi="仿宋" w:eastAsia="仿宋" w:cs="仿宋"/>
                <w:color w:val="000000" w:themeColor="text1"/>
                <w:kern w:val="2"/>
                <w:sz w:val="21"/>
                <w:szCs w:val="21"/>
                <w:highlight w:val="none"/>
                <w:lang w:val="en-US" w:eastAsia="en-US" w:bidi="ar-SA"/>
                <w14:textFill>
                  <w14:solidFill>
                    <w14:schemeClr w14:val="tx1"/>
                  </w14:solidFill>
                </w14:textFill>
              </w:rPr>
              <w:t>付款方式：银行电汇</w:t>
            </w:r>
          </w:p>
          <w:p>
            <w:pPr>
              <w:keepNext w:val="0"/>
              <w:keepLines w:val="0"/>
              <w:pageBreakBefore w:val="0"/>
              <w:widowControl w:val="0"/>
              <w:kinsoku/>
              <w:wordWrap/>
              <w:overflowPunct/>
              <w:topLinePunct w:val="0"/>
              <w:autoSpaceDE/>
              <w:autoSpaceDN/>
              <w:bidi w:val="0"/>
              <w:adjustRightInd/>
              <w:snapToGrid/>
              <w:spacing w:line="240" w:lineRule="auto"/>
              <w:ind w:right="10"/>
              <w:textAlignment w:val="auto"/>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2、</w:t>
            </w:r>
            <w:r>
              <w:rPr>
                <w:rFonts w:hint="eastAsia" w:ascii="仿宋" w:hAnsi="仿宋" w:eastAsia="仿宋" w:cs="仿宋"/>
                <w:color w:val="000000" w:themeColor="text1"/>
                <w:kern w:val="2"/>
                <w:sz w:val="21"/>
                <w:szCs w:val="21"/>
                <w:highlight w:val="none"/>
                <w:lang w:val="en-US" w:eastAsia="en-US" w:bidi="ar-SA"/>
                <w14:textFill>
                  <w14:solidFill>
                    <w14:schemeClr w14:val="tx1"/>
                  </w14:solidFill>
                </w14:textFill>
              </w:rPr>
              <w:t>付款周期要求：</w:t>
            </w: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乙方</w:t>
            </w:r>
            <w:r>
              <w:rPr>
                <w:rFonts w:hint="eastAsia" w:ascii="仿宋" w:hAnsi="仿宋" w:eastAsia="仿宋" w:cs="仿宋"/>
                <w:color w:val="000000" w:themeColor="text1"/>
                <w:kern w:val="2"/>
                <w:sz w:val="21"/>
                <w:szCs w:val="21"/>
                <w:highlight w:val="none"/>
                <w:lang w:val="en-US" w:eastAsia="en-US" w:bidi="ar-SA"/>
                <w14:textFill>
                  <w14:solidFill>
                    <w14:schemeClr w14:val="tx1"/>
                  </w14:solidFill>
                </w14:textFill>
              </w:rPr>
              <w:t>完成《</w:t>
            </w: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海洋环境生态调查</w:t>
            </w:r>
            <w:r>
              <w:rPr>
                <w:rFonts w:hint="eastAsia" w:ascii="仿宋" w:hAnsi="仿宋" w:eastAsia="仿宋" w:cs="仿宋"/>
                <w:color w:val="000000" w:themeColor="text1"/>
                <w:kern w:val="2"/>
                <w:sz w:val="21"/>
                <w:szCs w:val="21"/>
                <w:highlight w:val="none"/>
                <w:lang w:val="en-US" w:eastAsia="en-US" w:bidi="ar-SA"/>
                <w14:textFill>
                  <w14:solidFill>
                    <w14:schemeClr w14:val="tx1"/>
                  </w14:solidFill>
                </w14:textFill>
              </w:rPr>
              <w:t>报告》</w:t>
            </w: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，经甲方验收合格，甲乙双方签署验收报告，乙方提供</w:t>
            </w:r>
            <w:r>
              <w:rPr>
                <w:rFonts w:hint="eastAsia" w:ascii="仿宋" w:hAnsi="仿宋" w:eastAsia="仿宋" w:cs="仿宋"/>
                <w:color w:val="000000" w:themeColor="text1"/>
                <w:kern w:val="2"/>
                <w:sz w:val="21"/>
                <w:szCs w:val="21"/>
                <w:highlight w:val="none"/>
                <w:lang w:val="en-US" w:eastAsia="en-US" w:bidi="ar-SA"/>
                <w14:textFill>
                  <w14:solidFill>
                    <w14:schemeClr w14:val="tx1"/>
                  </w14:solidFill>
                </w14:textFill>
              </w:rPr>
              <w:t>增值税专用发票后45天内</w:t>
            </w: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支付合同金额100%</w:t>
            </w:r>
            <w:r>
              <w:rPr>
                <w:rFonts w:hint="eastAsia" w:ascii="仿宋" w:hAnsi="仿宋" w:eastAsia="仿宋" w:cs="仿宋"/>
                <w:color w:val="000000" w:themeColor="text1"/>
                <w:kern w:val="2"/>
                <w:sz w:val="21"/>
                <w:szCs w:val="21"/>
                <w:highlight w:val="none"/>
                <w:lang w:val="en-US" w:eastAsia="en-US" w:bidi="ar-SA"/>
                <w14:textFill>
                  <w14:solidFill>
                    <w14:schemeClr w14:val="tx1"/>
                  </w14:solidFill>
                </w14:textFill>
              </w:rPr>
              <w:t>；</w:t>
            </w:r>
          </w:p>
        </w:tc>
      </w:tr>
      <w:tr>
        <w:tblPrEx>
          <w:tblCellMar>
            <w:top w:w="0" w:type="dxa"/>
            <w:left w:w="0" w:type="dxa"/>
            <w:bottom w:w="0" w:type="dxa"/>
            <w:right w:w="0" w:type="dxa"/>
          </w:tblCellMar>
        </w:tblPrEx>
        <w:trPr>
          <w:trHeight w:val="454" w:hRule="atLeast"/>
          <w:jc w:val="center"/>
        </w:trPr>
        <w:tc>
          <w:tcPr>
            <w:tcW w:w="331" w:type="pct"/>
            <w:vMerge w:val="continue"/>
            <w:tcBorders>
              <w:left w:val="single" w:color="000000" w:sz="6" w:space="0"/>
              <w:right w:val="single" w:color="000000" w:sz="6" w:space="0"/>
            </w:tcBorders>
            <w:vAlign w:val="center"/>
          </w:tcPr>
          <w:p/>
        </w:tc>
        <w:tc>
          <w:tcPr>
            <w:tcW w:w="287" w:type="pct"/>
            <w:vMerge w:val="continue"/>
            <w:tcBorders>
              <w:left w:val="single" w:color="000000" w:sz="6" w:space="0"/>
              <w:right w:val="single" w:color="000000" w:sz="6" w:space="0"/>
            </w:tcBorders>
            <w:vAlign w:val="center"/>
          </w:tcPr>
          <w:p/>
        </w:tc>
        <w:tc>
          <w:tcPr>
            <w:tcW w:w="1230" w:type="pct"/>
            <w:tcBorders>
              <w:top w:val="single" w:color="000000" w:sz="4" w:space="0"/>
              <w:left w:val="single" w:color="000000" w:sz="6" w:space="0"/>
              <w:bottom w:val="single" w:color="000000" w:sz="4" w:space="0"/>
              <w:right w:val="single" w:color="000000" w:sz="4" w:space="0"/>
            </w:tcBorders>
            <w:vAlign w:val="center"/>
          </w:tcPr>
          <w:p>
            <w:pPr>
              <w:jc w:val="center"/>
              <w:rPr>
                <w:rFonts w:hint="eastAsia" w:eastAsiaTheme="minorEastAsia"/>
                <w:lang w:val="en-US" w:eastAsia="zh-CN"/>
              </w:rPr>
            </w:pPr>
            <w:r>
              <w:rPr>
                <w:rFonts w:hint="eastAsia" w:ascii="仿宋" w:hAnsi="仿宋" w:eastAsia="仿宋" w:cs="仿宋"/>
                <w:bCs/>
                <w:color w:val="000000" w:themeColor="text1"/>
                <w:kern w:val="0"/>
                <w:sz w:val="21"/>
                <w:szCs w:val="21"/>
                <w:highlight w:val="none"/>
                <w:lang w:val="en-US" w:eastAsia="zh-CN" w:bidi="ar-SA"/>
                <w14:textFill>
                  <w14:solidFill>
                    <w14:schemeClr w14:val="tx1"/>
                  </w14:solidFill>
                </w14:textFill>
              </w:rPr>
              <w:t>合同条款</w:t>
            </w:r>
          </w:p>
        </w:tc>
        <w:tc>
          <w:tcPr>
            <w:tcW w:w="3151" w:type="pct"/>
            <w:tcBorders>
              <w:top w:val="single" w:color="000000" w:sz="4" w:space="0"/>
              <w:left w:val="nil"/>
              <w:bottom w:val="single" w:color="000000" w:sz="4" w:space="0"/>
              <w:right w:val="single" w:color="000000" w:sz="4" w:space="0"/>
            </w:tcBorders>
            <w:vAlign w:val="center"/>
          </w:tcPr>
          <w:p>
            <w:pPr>
              <w:rPr>
                <w:rFonts w:hint="default" w:eastAsiaTheme="minorEastAsia"/>
                <w:lang w:val="en-US" w:eastAsia="zh-CN"/>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详见“附件3：合同文本”</w:t>
            </w:r>
          </w:p>
        </w:tc>
      </w:tr>
      <w:tr>
        <w:tblPrEx>
          <w:tblCellMar>
            <w:top w:w="0" w:type="dxa"/>
            <w:left w:w="0" w:type="dxa"/>
            <w:bottom w:w="0" w:type="dxa"/>
            <w:right w:w="0" w:type="dxa"/>
          </w:tblCellMar>
        </w:tblPrEx>
        <w:trPr>
          <w:trHeight w:val="295" w:hRule="atLeast"/>
          <w:jc w:val="center"/>
        </w:trPr>
        <w:tc>
          <w:tcPr>
            <w:tcW w:w="331"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left w:val="single" w:color="000000" w:sz="6" w:space="0"/>
              <w:right w:val="single" w:color="000000" w:sz="6"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1230" w:type="pct"/>
            <w:tcBorders>
              <w:top w:val="single" w:color="000000" w:sz="4" w:space="0"/>
              <w:left w:val="single" w:color="000000" w:sz="6" w:space="0"/>
              <w:right w:val="single" w:color="000000" w:sz="4" w:space="0"/>
            </w:tcBorders>
            <w:vAlign w:val="center"/>
          </w:tcPr>
          <w:p>
            <w:pPr>
              <w:pStyle w:val="18"/>
              <w:jc w:val="center"/>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★商务偏离要求</w:t>
            </w:r>
          </w:p>
        </w:tc>
        <w:tc>
          <w:tcPr>
            <w:tcW w:w="3151" w:type="pct"/>
            <w:tcBorders>
              <w:top w:val="single" w:color="000000" w:sz="4" w:space="0"/>
              <w:left w:val="nil"/>
              <w:bottom w:val="single" w:color="000000" w:sz="4" w:space="0"/>
              <w:right w:val="single" w:color="000000" w:sz="4" w:space="0"/>
            </w:tcBorders>
            <w:vAlign w:val="center"/>
          </w:tcPr>
          <w:p>
            <w:pPr>
              <w:pStyle w:val="18"/>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1.一般商务指标偏离超过1项，则评议不合格。</w:t>
            </w:r>
          </w:p>
          <w:p>
            <w:pPr>
              <w:pStyle w:val="18"/>
              <w:jc w:val="both"/>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18"/>
              <w:jc w:val="both"/>
              <w:rPr>
                <w:rFonts w:hint="default"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3.商务偏离表，不提供视为无偏离。</w:t>
            </w:r>
          </w:p>
        </w:tc>
      </w:tr>
      <w:tr>
        <w:tblPrEx>
          <w:tblCellMar>
            <w:top w:w="0" w:type="dxa"/>
            <w:left w:w="0" w:type="dxa"/>
            <w:bottom w:w="0" w:type="dxa"/>
            <w:right w:w="0" w:type="dxa"/>
          </w:tblCellMar>
        </w:tblPrEx>
        <w:trPr>
          <w:trHeight w:val="454" w:hRule="atLeast"/>
          <w:jc w:val="center"/>
        </w:trPr>
        <w:tc>
          <w:tcPr>
            <w:tcW w:w="331" w:type="pct"/>
            <w:vMerge w:val="restart"/>
            <w:tcBorders>
              <w:top w:val="single" w:color="auto" w:sz="4" w:space="0"/>
              <w:left w:val="single" w:color="auto" w:sz="4" w:space="0"/>
              <w:bottom w:val="single" w:color="auto" w:sz="4" w:space="0"/>
              <w:right w:val="single" w:color="auto" w:sz="4"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2</w:t>
            </w:r>
          </w:p>
        </w:tc>
        <w:tc>
          <w:tcPr>
            <w:tcW w:w="287" w:type="pct"/>
            <w:vMerge w:val="restart"/>
            <w:tcBorders>
              <w:top w:val="single" w:color="auto" w:sz="4" w:space="0"/>
              <w:left w:val="single" w:color="auto" w:sz="4" w:space="0"/>
              <w:bottom w:val="single" w:color="auto" w:sz="4" w:space="0"/>
              <w:right w:val="single" w:color="auto" w:sz="4" w:space="0"/>
            </w:tcBorders>
            <w:textDirection w:val="tbRlV"/>
            <w:vAlign w:val="center"/>
          </w:tcPr>
          <w:p>
            <w:pPr>
              <w:pStyle w:val="18"/>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r>
              <w:rPr>
                <w:rFonts w:hint="eastAsia" w:ascii="仿宋" w:hAnsi="仿宋" w:eastAsia="仿宋" w:cs="仿宋"/>
                <w:bCs/>
                <w:color w:val="000000" w:themeColor="text1"/>
                <w:sz w:val="21"/>
                <w:szCs w:val="21"/>
                <w:highlight w:val="none"/>
                <w:lang w:eastAsia="zh-CN"/>
                <w14:textFill>
                  <w14:solidFill>
                    <w14:schemeClr w14:val="tx1"/>
                  </w14:solidFill>
                </w14:textFill>
              </w:rPr>
              <w:t>技术标准</w:t>
            </w:r>
          </w:p>
        </w:tc>
        <w:tc>
          <w:tcPr>
            <w:tcW w:w="1230"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t>★规格型号/服务范围</w:t>
            </w:r>
          </w:p>
        </w:tc>
        <w:tc>
          <w:tcPr>
            <w:tcW w:w="3151" w:type="pct"/>
            <w:tcBorders>
              <w:top w:val="single" w:color="000000" w:sz="4" w:space="0"/>
              <w:left w:val="single" w:color="auto" w:sz="4" w:space="0"/>
              <w:bottom w:val="single" w:color="000000" w:sz="4" w:space="0"/>
              <w:right w:val="single" w:color="000000" w:sz="4" w:space="0"/>
            </w:tcBorders>
            <w:vAlign w:val="center"/>
          </w:tcPr>
          <w:p>
            <w:pPr>
              <w:ind w:left="105" w:leftChars="50"/>
              <w:jc w:val="left"/>
              <w:rPr>
                <w:rFonts w:hint="default" w:ascii="仿宋" w:hAnsi="仿宋" w:eastAsia="仿宋" w:cs="仿宋"/>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t>舟山物流公司码头泊位扩建工程（册子水道）海域水质及生态现状监测调查服务。详见“附件2：采购内容及技术要求”</w:t>
            </w:r>
          </w:p>
        </w:tc>
      </w:tr>
      <w:tr>
        <w:tblPrEx>
          <w:tblCellMar>
            <w:top w:w="0" w:type="dxa"/>
            <w:left w:w="0" w:type="dxa"/>
            <w:bottom w:w="0" w:type="dxa"/>
            <w:right w:w="0" w:type="dxa"/>
          </w:tblCellMar>
        </w:tblPrEx>
        <w:trPr>
          <w:trHeight w:val="454" w:hRule="atLeast"/>
          <w:jc w:val="center"/>
        </w:trPr>
        <w:tc>
          <w:tcPr>
            <w:tcW w:w="331"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top w:val="single" w:color="auto" w:sz="4" w:space="0"/>
              <w:left w:val="single" w:color="auto" w:sz="4" w:space="0"/>
              <w:bottom w:val="single" w:color="auto" w:sz="4" w:space="0"/>
              <w:right w:val="single" w:color="auto" w:sz="4" w:space="0"/>
            </w:tcBorders>
            <w:vAlign w:val="center"/>
          </w:tcPr>
          <w:p>
            <w:pPr>
              <w:pStyle w:val="18"/>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30"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14:textFill>
                  <w14:solidFill>
                    <w14:schemeClr w14:val="tx1"/>
                  </w14:solidFill>
                </w14:textFill>
              </w:rPr>
              <w:t>交货期</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/服务期</w:t>
            </w:r>
          </w:p>
        </w:tc>
        <w:tc>
          <w:tcPr>
            <w:tcW w:w="3151" w:type="pct"/>
            <w:tcBorders>
              <w:top w:val="single" w:color="000000" w:sz="4" w:space="0"/>
              <w:left w:val="single" w:color="auto" w:sz="4" w:space="0"/>
              <w:bottom w:val="single" w:color="000000" w:sz="4" w:space="0"/>
              <w:right w:val="single" w:color="000000" w:sz="4" w:space="0"/>
            </w:tcBorders>
            <w:vAlign w:val="center"/>
          </w:tcPr>
          <w:p>
            <w:pPr>
              <w:ind w:left="105" w:leftChars="50"/>
              <w:jc w:val="left"/>
              <w:rPr>
                <w:rFonts w:hint="default" w:ascii="仿宋" w:hAnsi="仿宋" w:eastAsia="仿宋" w:cs="仿宋"/>
                <w:bCs/>
                <w:color w:val="000000" w:themeColor="text1"/>
                <w:kern w:val="0"/>
                <w:sz w:val="21"/>
                <w:szCs w:val="21"/>
                <w:highlight w:val="none"/>
                <w:lang w:val="en-US"/>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t>合同签订后6个月内</w:t>
            </w:r>
          </w:p>
        </w:tc>
      </w:tr>
      <w:tr>
        <w:tblPrEx>
          <w:tblCellMar>
            <w:top w:w="0" w:type="dxa"/>
            <w:left w:w="0" w:type="dxa"/>
            <w:bottom w:w="0" w:type="dxa"/>
            <w:right w:w="0" w:type="dxa"/>
          </w:tblCellMar>
        </w:tblPrEx>
        <w:trPr>
          <w:trHeight w:val="454" w:hRule="atLeast"/>
          <w:jc w:val="center"/>
        </w:trPr>
        <w:tc>
          <w:tcPr>
            <w:tcW w:w="331"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top w:val="single" w:color="auto" w:sz="4" w:space="0"/>
              <w:left w:val="single" w:color="auto" w:sz="4" w:space="0"/>
              <w:bottom w:val="single" w:color="auto" w:sz="4" w:space="0"/>
              <w:right w:val="single" w:color="auto" w:sz="4" w:space="0"/>
            </w:tcBorders>
            <w:vAlign w:val="center"/>
          </w:tcPr>
          <w:p>
            <w:pPr>
              <w:pStyle w:val="18"/>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30"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服务进度跟踪</w:t>
            </w:r>
          </w:p>
        </w:tc>
        <w:tc>
          <w:tcPr>
            <w:tcW w:w="3151" w:type="pct"/>
            <w:tcBorders>
              <w:top w:val="single" w:color="000000" w:sz="4" w:space="0"/>
              <w:left w:val="single" w:color="auto" w:sz="4" w:space="0"/>
              <w:bottom w:val="single" w:color="000000" w:sz="4" w:space="0"/>
              <w:right w:val="single" w:color="000000" w:sz="4" w:space="0"/>
            </w:tcBorders>
            <w:vAlign w:val="center"/>
          </w:tcPr>
          <w:p>
            <w:pPr>
              <w:ind w:left="105" w:leftChars="50"/>
              <w:jc w:val="left"/>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★1、</w:t>
            </w:r>
            <w:r>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t>因海洋生态环境调查需在春秋季（3月-5月，9月-11月）采样，为加快码头扩建工程进度，乙方必须在2024年11月前完成采样监测。</w:t>
            </w:r>
          </w:p>
          <w:p>
            <w:pPr>
              <w:ind w:left="105" w:leftChars="50"/>
              <w:jc w:val="left"/>
              <w:rPr>
                <w:rFonts w:hint="eastAsia"/>
                <w:lang w:val="en-US" w:eastAsia="zh-CN"/>
              </w:rPr>
            </w:pPr>
            <w:r>
              <w:rPr>
                <w:rFonts w:hint="eastAsia" w:ascii="仿宋" w:hAnsi="仿宋" w:eastAsia="仿宋" w:cs="仿宋"/>
                <w:color w:val="000000" w:themeColor="text1"/>
                <w:kern w:val="0"/>
                <w:sz w:val="21"/>
                <w:szCs w:val="21"/>
                <w:highlight w:val="none"/>
                <w:lang w:val="en-US" w:eastAsia="zh-CN" w:bidi="ar-SA"/>
                <w14:textFill>
                  <w14:solidFill>
                    <w14:schemeClr w14:val="tx1"/>
                  </w14:solidFill>
                </w14:textFill>
              </w:rPr>
              <w:t>2、采样监测结束后2个月内出具海洋生态调查报告</w:t>
            </w:r>
          </w:p>
        </w:tc>
      </w:tr>
      <w:tr>
        <w:tblPrEx>
          <w:tblCellMar>
            <w:top w:w="0" w:type="dxa"/>
            <w:left w:w="0" w:type="dxa"/>
            <w:bottom w:w="0" w:type="dxa"/>
            <w:right w:w="0" w:type="dxa"/>
          </w:tblCellMar>
        </w:tblPrEx>
        <w:trPr>
          <w:trHeight w:val="454" w:hRule="atLeast"/>
          <w:jc w:val="center"/>
        </w:trPr>
        <w:tc>
          <w:tcPr>
            <w:tcW w:w="331"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top w:val="single" w:color="auto" w:sz="4" w:space="0"/>
              <w:left w:val="single" w:color="auto" w:sz="4" w:space="0"/>
              <w:bottom w:val="single" w:color="auto" w:sz="4" w:space="0"/>
              <w:right w:val="single" w:color="auto" w:sz="4" w:space="0"/>
            </w:tcBorders>
            <w:vAlign w:val="center"/>
          </w:tcPr>
          <w:p>
            <w:pPr>
              <w:pStyle w:val="18"/>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30"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售后服务</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/服务/作业要求</w:t>
            </w:r>
          </w:p>
        </w:tc>
        <w:tc>
          <w:tcPr>
            <w:tcW w:w="3151" w:type="pct"/>
            <w:tcBorders>
              <w:top w:val="single" w:color="000000" w:sz="4" w:space="0"/>
              <w:left w:val="single" w:color="auto" w:sz="4" w:space="0"/>
              <w:bottom w:val="single" w:color="000000" w:sz="4" w:space="0"/>
              <w:right w:val="single" w:color="000000" w:sz="4" w:space="0"/>
            </w:tcBorders>
            <w:vAlign w:val="center"/>
          </w:tcPr>
          <w:p>
            <w:pPr>
              <w:widowControl/>
              <w:ind w:right="11"/>
              <w:jc w:val="left"/>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1、</w:t>
            </w: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服务标准：满足政府主管部门对于</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海洋生态环境调查</w:t>
            </w: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报告要求，符合现行规范及法律法规。</w:t>
            </w:r>
          </w:p>
          <w:p>
            <w:pPr>
              <w:widowControl/>
              <w:ind w:right="11"/>
              <w:jc w:val="left"/>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2、</w:t>
            </w: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验收标准：对现场进行</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采样监测</w:t>
            </w: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后编写完成《</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海洋环境生态调查</w:t>
            </w: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报告》</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 xml:space="preserve"> </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并</w:t>
            </w: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通过甲方验收，签署服务验收报告。</w:t>
            </w:r>
          </w:p>
          <w:p>
            <w:pPr>
              <w:widowControl/>
              <w:ind w:right="11"/>
              <w:jc w:val="left"/>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3、质量保证：出具的</w:t>
            </w: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海洋环境生态调查</w:t>
            </w:r>
            <w:r>
              <w:rPr>
                <w:rFonts w:hint="eastAsia" w:ascii="仿宋" w:hAnsi="仿宋" w:eastAsia="仿宋" w:cs="仿宋"/>
                <w:bCs/>
                <w:color w:val="000000" w:themeColor="text1"/>
                <w:kern w:val="0"/>
                <w:sz w:val="21"/>
                <w:szCs w:val="21"/>
                <w:highlight w:val="none"/>
                <w:lang w:val="en-US" w:eastAsia="en-US"/>
                <w14:textFill>
                  <w14:solidFill>
                    <w14:schemeClr w14:val="tx1"/>
                  </w14:solidFill>
                </w14:textFill>
              </w:rPr>
              <w:t>报告》</w:t>
            </w: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应满足甲方码头扩建工程环境影响评价要求</w:t>
            </w:r>
          </w:p>
        </w:tc>
      </w:tr>
      <w:tr>
        <w:tblPrEx>
          <w:tblCellMar>
            <w:top w:w="0" w:type="dxa"/>
            <w:left w:w="0" w:type="dxa"/>
            <w:bottom w:w="0" w:type="dxa"/>
            <w:right w:w="0" w:type="dxa"/>
          </w:tblCellMar>
        </w:tblPrEx>
        <w:trPr>
          <w:trHeight w:val="1014" w:hRule="atLeast"/>
          <w:jc w:val="center"/>
        </w:trPr>
        <w:tc>
          <w:tcPr>
            <w:tcW w:w="331" w:type="pct"/>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287" w:type="pct"/>
            <w:vMerge w:val="continue"/>
            <w:tcBorders>
              <w:top w:val="single" w:color="auto" w:sz="4" w:space="0"/>
              <w:left w:val="single" w:color="auto" w:sz="4" w:space="0"/>
              <w:bottom w:val="single" w:color="auto" w:sz="4" w:space="0"/>
              <w:right w:val="single" w:color="auto" w:sz="4" w:space="0"/>
            </w:tcBorders>
            <w:vAlign w:val="center"/>
          </w:tcPr>
          <w:p>
            <w:pPr>
              <w:pStyle w:val="18"/>
              <w:spacing w:line="300" w:lineRule="exact"/>
              <w:ind w:left="113" w:right="113"/>
              <w:jc w:val="center"/>
              <w:rPr>
                <w:rFonts w:hint="eastAsia" w:ascii="仿宋" w:hAnsi="仿宋" w:eastAsia="仿宋" w:cs="仿宋"/>
                <w:bCs/>
                <w:color w:val="000000" w:themeColor="text1"/>
                <w:sz w:val="21"/>
                <w:szCs w:val="21"/>
                <w:highlight w:val="none"/>
                <w:lang w:eastAsia="zh-CN"/>
                <w14:textFill>
                  <w14:solidFill>
                    <w14:schemeClr w14:val="tx1"/>
                  </w14:solidFill>
                </w14:textFill>
              </w:rPr>
            </w:pPr>
          </w:p>
        </w:tc>
        <w:tc>
          <w:tcPr>
            <w:tcW w:w="1230" w:type="pct"/>
            <w:tcBorders>
              <w:top w:val="single" w:color="auto" w:sz="4" w:space="0"/>
              <w:left w:val="single" w:color="auto" w:sz="4" w:space="0"/>
              <w:right w:val="single" w:color="auto" w:sz="4" w:space="0"/>
            </w:tcBorders>
            <w:vAlign w:val="center"/>
          </w:tcPr>
          <w:p>
            <w:pPr>
              <w:widowControl/>
              <w:ind w:right="11"/>
              <w:jc w:val="center"/>
              <w:rPr>
                <w:rFonts w:hint="eastAsia" w:ascii="仿宋" w:hAnsi="仿宋" w:eastAsia="仿宋" w:cs="仿宋"/>
                <w:bCs/>
                <w:color w:val="000000" w:themeColor="text1"/>
                <w:kern w:val="0"/>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w:t>
            </w:r>
            <w:r>
              <w:rPr>
                <w:rFonts w:hint="eastAsia" w:ascii="仿宋" w:hAnsi="仿宋" w:eastAsia="仿宋" w:cs="仿宋"/>
                <w:bCs/>
                <w:color w:val="000000" w:themeColor="text1"/>
                <w:kern w:val="0"/>
                <w:sz w:val="21"/>
                <w:szCs w:val="21"/>
                <w:highlight w:val="none"/>
                <w14:textFill>
                  <w14:solidFill>
                    <w14:schemeClr w14:val="tx1"/>
                  </w14:solidFill>
                </w14:textFill>
              </w:rPr>
              <w:t>技术偏离要求</w:t>
            </w:r>
          </w:p>
        </w:tc>
        <w:tc>
          <w:tcPr>
            <w:tcW w:w="3151" w:type="pct"/>
            <w:tcBorders>
              <w:top w:val="single" w:color="000000" w:sz="4" w:space="0"/>
              <w:left w:val="single" w:color="auto" w:sz="4" w:space="0"/>
              <w:bottom w:val="single" w:color="000000" w:sz="4" w:space="0"/>
              <w:right w:val="single" w:color="000000" w:sz="4" w:space="0"/>
            </w:tcBorders>
            <w:vAlign w:val="center"/>
          </w:tcPr>
          <w:p>
            <w:pPr>
              <w:pStyle w:val="18"/>
              <w:jc w:val="left"/>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1、一般技术指标偏离超过1项，则评议不合格。</w:t>
            </w:r>
          </w:p>
          <w:p>
            <w:pPr>
              <w:jc w:val="left"/>
              <w:rPr>
                <w:rFonts w:hint="eastAsia" w:ascii="仿宋" w:hAnsi="仿宋" w:eastAsia="仿宋" w:cs="仿宋"/>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2、标注“★”号的条款为关键条款，对这些关键条款的任何偏离将导致应答文件被拒绝。</w:t>
            </w:r>
          </w:p>
          <w:p>
            <w:pPr>
              <w:pStyle w:val="4"/>
              <w:ind w:left="0" w:leftChars="0" w:firstLine="0" w:firstLineChars="0"/>
              <w:rPr>
                <w:rFonts w:hint="default"/>
                <w:lang w:val="en-US"/>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3.技术偏离表，不提供视为无偏离。</w:t>
            </w:r>
          </w:p>
        </w:tc>
      </w:tr>
      <w:tr>
        <w:tblPrEx>
          <w:tblCellMar>
            <w:top w:w="0" w:type="dxa"/>
            <w:left w:w="0" w:type="dxa"/>
            <w:bottom w:w="0" w:type="dxa"/>
            <w:right w:w="0" w:type="dxa"/>
          </w:tblCellMar>
        </w:tblPrEx>
        <w:trPr>
          <w:trHeight w:val="2401"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3</w:t>
            </w:r>
          </w:p>
        </w:tc>
        <w:tc>
          <w:tcPr>
            <w:tcW w:w="287" w:type="pct"/>
            <w:tcBorders>
              <w:top w:val="single" w:color="auto" w:sz="4" w:space="0"/>
              <w:left w:val="single" w:color="auto" w:sz="4" w:space="0"/>
              <w:bottom w:val="single" w:color="auto" w:sz="4" w:space="0"/>
              <w:right w:val="single" w:color="auto" w:sz="4" w:space="0"/>
            </w:tcBorders>
            <w:vAlign w:val="center"/>
          </w:tcPr>
          <w:p>
            <w:pPr>
              <w:pStyle w:val="18"/>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价</w:t>
            </w:r>
          </w:p>
          <w:p>
            <w:pPr>
              <w:pStyle w:val="18"/>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格</w:t>
            </w:r>
          </w:p>
          <w:p>
            <w:pPr>
              <w:pStyle w:val="18"/>
              <w:spacing w:line="300" w:lineRule="exact"/>
              <w:jc w:val="center"/>
              <w:rPr>
                <w:rFonts w:hint="eastAsia"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标</w:t>
            </w:r>
          </w:p>
          <w:p>
            <w:pPr>
              <w:pStyle w:val="18"/>
              <w:spacing w:line="300" w:lineRule="exact"/>
              <w:jc w:val="center"/>
              <w:rPr>
                <w:rFonts w:hint="default" w:ascii="仿宋" w:hAnsi="仿宋" w:eastAsia="仿宋" w:cs="仿宋"/>
                <w:bCs/>
                <w:color w:val="000000" w:themeColor="text1"/>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sz w:val="21"/>
                <w:szCs w:val="21"/>
                <w:highlight w:val="none"/>
                <w:lang w:val="en-US" w:eastAsia="zh-CN"/>
                <w14:textFill>
                  <w14:solidFill>
                    <w14:schemeClr w14:val="tx1"/>
                  </w14:solidFill>
                </w14:textFill>
              </w:rPr>
              <w:t>准</w:t>
            </w:r>
          </w:p>
        </w:tc>
        <w:tc>
          <w:tcPr>
            <w:tcW w:w="1230" w:type="pct"/>
            <w:tcBorders>
              <w:top w:val="single" w:color="auto" w:sz="4" w:space="0"/>
              <w:left w:val="single" w:color="auto" w:sz="4" w:space="0"/>
              <w:bottom w:val="single" w:color="auto" w:sz="4" w:space="0"/>
              <w:right w:val="single" w:color="auto" w:sz="4" w:space="0"/>
            </w:tcBorders>
            <w:vAlign w:val="center"/>
          </w:tcPr>
          <w:p>
            <w:pPr>
              <w:widowControl/>
              <w:ind w:right="11"/>
              <w:jc w:val="center"/>
              <w:rPr>
                <w:rFonts w:hint="default" w:ascii="仿宋" w:hAnsi="仿宋" w:eastAsia="仿宋" w:cs="仿宋"/>
                <w:bCs/>
                <w:color w:val="auto"/>
                <w:kern w:val="0"/>
                <w:sz w:val="21"/>
                <w:szCs w:val="21"/>
                <w:highlight w:val="none"/>
                <w:lang w:val="en-US" w:eastAsia="zh-CN"/>
              </w:rPr>
            </w:pPr>
            <w:r>
              <w:rPr>
                <w:rFonts w:hint="eastAsia" w:ascii="仿宋" w:hAnsi="仿宋" w:eastAsia="仿宋" w:cs="仿宋"/>
                <w:color w:val="auto"/>
                <w:sz w:val="21"/>
                <w:szCs w:val="21"/>
                <w:highlight w:val="none"/>
                <w:lang w:val="en-US" w:eastAsia="zh-CN"/>
              </w:rPr>
              <w:t>★</w:t>
            </w:r>
            <w:r>
              <w:rPr>
                <w:rFonts w:hint="eastAsia" w:ascii="仿宋" w:hAnsi="仿宋" w:eastAsia="仿宋" w:cs="仿宋"/>
                <w:bCs/>
                <w:color w:val="auto"/>
                <w:kern w:val="0"/>
                <w:sz w:val="21"/>
                <w:szCs w:val="21"/>
                <w:highlight w:val="none"/>
                <w:lang w:val="en-US" w:eastAsia="zh-CN"/>
              </w:rPr>
              <w:t>价格评议（结合2.0）</w:t>
            </w:r>
          </w:p>
        </w:tc>
        <w:tc>
          <w:tcPr>
            <w:tcW w:w="3151" w:type="pct"/>
            <w:tcBorders>
              <w:top w:val="single" w:color="000000" w:sz="4" w:space="0"/>
              <w:left w:val="single" w:color="auto" w:sz="4" w:space="0"/>
              <w:bottom w:val="single" w:color="000000" w:sz="4" w:space="0"/>
              <w:right w:val="single" w:color="000000" w:sz="4" w:space="0"/>
            </w:tcBorders>
            <w:vAlign w:val="center"/>
          </w:tcPr>
          <w:p>
            <w:pPr>
              <w:jc w:val="left"/>
              <w:rPr>
                <w:rFonts w:hint="eastAsia" w:ascii="仿宋" w:hAnsi="仿宋" w:eastAsia="仿宋" w:cs="仿宋"/>
                <w:color w:val="auto"/>
                <w:kern w:val="2"/>
                <w:sz w:val="21"/>
                <w:szCs w:val="21"/>
                <w:highlight w:val="none"/>
                <w:lang w:val="en-US" w:eastAsia="zh-CN" w:bidi="ar"/>
              </w:rPr>
            </w:pPr>
            <w:r>
              <w:rPr>
                <w:rFonts w:hint="eastAsia" w:ascii="仿宋" w:hAnsi="仿宋" w:eastAsia="仿宋" w:cs="仿宋"/>
                <w:b/>
                <w:bCs/>
                <w:color w:val="auto"/>
                <w:kern w:val="2"/>
                <w:sz w:val="21"/>
                <w:szCs w:val="21"/>
                <w:highlight w:val="none"/>
                <w:lang w:eastAsia="zh-CN" w:bidi="ar"/>
              </w:rPr>
              <w:t>经评审的价格（不含税）计算方法：经评审的价格（不含税）=</w:t>
            </w:r>
            <w:r>
              <w:rPr>
                <w:rFonts w:hint="eastAsia" w:ascii="仿宋" w:hAnsi="仿宋" w:eastAsia="仿宋" w:cs="仿宋"/>
                <w:b/>
                <w:bCs/>
                <w:color w:val="auto"/>
                <w:kern w:val="2"/>
                <w:sz w:val="21"/>
                <w:szCs w:val="21"/>
                <w:highlight w:val="none"/>
                <w:lang w:val="en-US" w:eastAsia="zh-CN" w:bidi="ar"/>
              </w:rPr>
              <w:t>应答人</w:t>
            </w:r>
            <w:r>
              <w:rPr>
                <w:rFonts w:hint="eastAsia" w:ascii="仿宋" w:hAnsi="仿宋" w:eastAsia="仿宋" w:cs="仿宋"/>
                <w:b/>
                <w:bCs/>
                <w:color w:val="auto"/>
                <w:kern w:val="2"/>
                <w:sz w:val="21"/>
                <w:szCs w:val="21"/>
                <w:highlight w:val="none"/>
                <w:lang w:eastAsia="zh-CN" w:bidi="ar"/>
              </w:rPr>
              <w:t>报价（不含税）+报价算术修正；</w:t>
            </w:r>
          </w:p>
          <w:p>
            <w:pPr>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
              </w:rPr>
              <w:t>（1）系统中报价与系统中挂接</w:t>
            </w:r>
            <w:r>
              <w:rPr>
                <w:rFonts w:hint="eastAsia" w:ascii="仿宋" w:hAnsi="仿宋" w:eastAsia="仿宋" w:cs="仿宋"/>
                <w:b/>
                <w:bCs/>
                <w:color w:val="auto"/>
                <w:kern w:val="2"/>
                <w:sz w:val="21"/>
                <w:szCs w:val="21"/>
                <w:highlight w:val="none"/>
                <w:lang w:val="en-US" w:eastAsia="zh-CN" w:bidi="ar"/>
              </w:rPr>
              <w:t>价格明细文件</w:t>
            </w:r>
            <w:r>
              <w:rPr>
                <w:rFonts w:hint="eastAsia" w:ascii="仿宋" w:hAnsi="仿宋" w:eastAsia="仿宋" w:cs="仿宋"/>
                <w:color w:val="auto"/>
                <w:kern w:val="2"/>
                <w:sz w:val="21"/>
                <w:szCs w:val="21"/>
                <w:highlight w:val="none"/>
                <w:lang w:val="en-US" w:eastAsia="zh-CN" w:bidi="ar"/>
              </w:rPr>
              <w:t>应保持一致；当系统报价与挂接价格明细文件不一致的，以“系统中挂接的价格明细文件”为准，如该文件出现计算错误，按如下算术修正方式修正</w:t>
            </w:r>
            <w:r>
              <w:rPr>
                <w:rFonts w:hint="eastAsia" w:ascii="仿宋" w:hAnsi="仿宋" w:eastAsia="仿宋" w:cs="仿宋"/>
                <w:color w:val="auto"/>
                <w:kern w:val="2"/>
                <w:sz w:val="21"/>
                <w:szCs w:val="21"/>
                <w:highlight w:val="none"/>
                <w:lang w:val="en-US" w:eastAsia="zh-CN" w:bidi="ar-SA"/>
              </w:rPr>
              <w:t>。</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1)大写金额和小写金额不一致的，以大写金额为准； </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2)单价金额小数点或者百分比有明显错位的，修改单价；</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3)总价金额与按单价汇总金额不一致的，以单价金额计算结果为准。 </w:t>
            </w:r>
          </w:p>
          <w:p>
            <w:pPr>
              <w:spacing w:line="240" w:lineRule="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同时出现两种以上不一致的，按照前款规定的顺序修正，即按照上述1）至3）项的顺序，逐项进行修正。询价评审小组应请应答人澄清确认修正后的报价,应答人不确认、否认或不回复的,其报价文件无效。</w:t>
            </w:r>
          </w:p>
          <w:p>
            <w:pPr>
              <w:rPr>
                <w:rFonts w:hint="eastAsia" w:ascii="仿宋" w:hAnsi="仿宋" w:eastAsia="仿宋" w:cs="仿宋"/>
                <w:color w:val="auto"/>
                <w:kern w:val="2"/>
                <w:szCs w:val="21"/>
                <w:highlight w:val="none"/>
              </w:rPr>
            </w:pPr>
            <w:r>
              <w:rPr>
                <w:rFonts w:hint="eastAsia" w:ascii="仿宋" w:hAnsi="仿宋" w:eastAsia="仿宋" w:cs="仿宋"/>
                <w:color w:val="auto"/>
                <w:kern w:val="2"/>
                <w:sz w:val="21"/>
                <w:szCs w:val="21"/>
                <w:highlight w:val="none"/>
                <w:lang w:val="en-US" w:eastAsia="zh-CN" w:bidi="ar"/>
              </w:rPr>
              <w:t>（2）</w:t>
            </w:r>
            <w:r>
              <w:rPr>
                <w:rFonts w:hint="eastAsia" w:ascii="仿宋" w:hAnsi="仿宋" w:eastAsia="仿宋" w:cs="仿宋"/>
                <w:color w:val="auto"/>
                <w:kern w:val="2"/>
                <w:szCs w:val="21"/>
                <w:highlight w:val="none"/>
              </w:rPr>
              <w:t>对于总价合同，“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报价中存在缺漏项的，则视为缺漏项价格已包含在其投标报价之中，并要求</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人书面澄清确认，</w:t>
            </w:r>
            <w:r>
              <w:rPr>
                <w:rFonts w:hint="eastAsia" w:ascii="仿宋" w:hAnsi="仿宋" w:eastAsia="仿宋" w:cs="仿宋"/>
                <w:color w:val="auto"/>
                <w:kern w:val="2"/>
                <w:szCs w:val="21"/>
                <w:highlight w:val="none"/>
                <w:lang w:eastAsia="zh-CN"/>
              </w:rPr>
              <w:t>应答人</w:t>
            </w:r>
            <w:r>
              <w:rPr>
                <w:rFonts w:hint="eastAsia" w:ascii="仿宋" w:hAnsi="仿宋" w:eastAsia="仿宋" w:cs="仿宋"/>
                <w:color w:val="auto"/>
                <w:kern w:val="2"/>
                <w:szCs w:val="21"/>
                <w:highlight w:val="none"/>
              </w:rPr>
              <w:t>不按规定回复澄清确认或确认缺漏项价格不包含在</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报价中的，</w:t>
            </w:r>
            <w:r>
              <w:rPr>
                <w:rFonts w:hint="eastAsia" w:ascii="仿宋" w:hAnsi="仿宋" w:eastAsia="仿宋" w:cs="仿宋"/>
                <w:color w:val="auto"/>
                <w:kern w:val="2"/>
                <w:szCs w:val="21"/>
                <w:highlight w:val="none"/>
                <w:lang w:val="en-US" w:eastAsia="zh-CN"/>
              </w:rPr>
              <w:t>询价评审小组</w:t>
            </w:r>
            <w:r>
              <w:rPr>
                <w:rFonts w:hint="eastAsia" w:ascii="仿宋" w:hAnsi="仿宋" w:eastAsia="仿宋" w:cs="仿宋"/>
                <w:color w:val="auto"/>
                <w:kern w:val="2"/>
                <w:szCs w:val="21"/>
                <w:highlight w:val="none"/>
              </w:rPr>
              <w:t>应当否决其</w:t>
            </w:r>
            <w:r>
              <w:rPr>
                <w:rFonts w:hint="eastAsia" w:ascii="仿宋" w:hAnsi="仿宋" w:eastAsia="仿宋" w:cs="仿宋"/>
                <w:color w:val="auto"/>
                <w:kern w:val="2"/>
                <w:szCs w:val="21"/>
                <w:highlight w:val="none"/>
                <w:lang w:val="en-US" w:eastAsia="zh-CN"/>
              </w:rPr>
              <w:t>应答文件</w:t>
            </w:r>
            <w:r>
              <w:rPr>
                <w:rFonts w:hint="eastAsia" w:ascii="仿宋" w:hAnsi="仿宋" w:eastAsia="仿宋" w:cs="仿宋"/>
                <w:color w:val="auto"/>
                <w:kern w:val="2"/>
                <w:szCs w:val="21"/>
                <w:highlight w:val="none"/>
              </w:rPr>
              <w:t>”；</w:t>
            </w:r>
          </w:p>
          <w:p>
            <w:pPr>
              <w:ind w:left="0" w:leftChars="0"/>
              <w:jc w:val="both"/>
              <w:rPr>
                <w:rFonts w:hint="eastAsia" w:ascii="仿宋" w:hAnsi="仿宋" w:eastAsia="仿宋" w:cs="仿宋"/>
                <w:bCs/>
                <w:color w:val="auto"/>
                <w:kern w:val="0"/>
                <w:sz w:val="21"/>
                <w:szCs w:val="21"/>
                <w:highlight w:val="none"/>
              </w:rPr>
            </w:pPr>
            <w:r>
              <w:rPr>
                <w:rFonts w:hint="eastAsia" w:ascii="仿宋" w:hAnsi="仿宋" w:eastAsia="仿宋" w:cs="仿宋"/>
                <w:color w:val="auto"/>
                <w:kern w:val="2"/>
                <w:szCs w:val="21"/>
                <w:highlight w:val="none"/>
              </w:rPr>
              <w:t>对于协议类合同，“</w:t>
            </w:r>
            <w:r>
              <w:rPr>
                <w:rFonts w:hint="eastAsia" w:ascii="仿宋" w:hAnsi="仿宋" w:eastAsia="仿宋" w:cs="仿宋"/>
                <w:color w:val="auto"/>
                <w:kern w:val="2"/>
                <w:szCs w:val="21"/>
                <w:highlight w:val="none"/>
                <w:lang w:val="en-US" w:eastAsia="zh-CN"/>
              </w:rPr>
              <w:t>应答</w:t>
            </w:r>
            <w:r>
              <w:rPr>
                <w:rFonts w:hint="eastAsia" w:ascii="仿宋" w:hAnsi="仿宋" w:eastAsia="仿宋" w:cs="仿宋"/>
                <w:color w:val="auto"/>
                <w:kern w:val="2"/>
                <w:szCs w:val="21"/>
                <w:highlight w:val="none"/>
              </w:rPr>
              <w:t>报价不允许缺漏项，否则将导致</w:t>
            </w:r>
            <w:r>
              <w:rPr>
                <w:rFonts w:hint="eastAsia" w:ascii="仿宋" w:hAnsi="仿宋" w:eastAsia="仿宋" w:cs="仿宋"/>
                <w:color w:val="auto"/>
                <w:kern w:val="2"/>
                <w:szCs w:val="21"/>
                <w:highlight w:val="none"/>
                <w:lang w:val="en-US" w:eastAsia="zh-CN"/>
              </w:rPr>
              <w:t>应答报价</w:t>
            </w:r>
            <w:r>
              <w:rPr>
                <w:rFonts w:hint="eastAsia" w:ascii="仿宋" w:hAnsi="仿宋" w:eastAsia="仿宋" w:cs="仿宋"/>
                <w:color w:val="auto"/>
                <w:kern w:val="2"/>
                <w:szCs w:val="21"/>
                <w:highlight w:val="none"/>
              </w:rPr>
              <w:t>被否决”</w:t>
            </w:r>
          </w:p>
        </w:tc>
      </w:tr>
      <w:tr>
        <w:tblPrEx>
          <w:tblCellMar>
            <w:top w:w="0" w:type="dxa"/>
            <w:left w:w="0" w:type="dxa"/>
            <w:bottom w:w="0" w:type="dxa"/>
            <w:right w:w="0" w:type="dxa"/>
          </w:tblCellMar>
        </w:tblPrEx>
        <w:trPr>
          <w:trHeight w:val="454" w:hRule="atLeast"/>
          <w:jc w:val="center"/>
        </w:trPr>
        <w:tc>
          <w:tcPr>
            <w:tcW w:w="331"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Cs/>
                <w:color w:val="000000" w:themeColor="text1"/>
                <w:kern w:val="0"/>
                <w:sz w:val="21"/>
                <w:szCs w:val="21"/>
                <w:highlight w:val="none"/>
                <w:lang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4</w:t>
            </w:r>
          </w:p>
        </w:tc>
        <w:tc>
          <w:tcPr>
            <w:tcW w:w="1517" w:type="pct"/>
            <w:gridSpan w:val="2"/>
            <w:tcBorders>
              <w:top w:val="single" w:color="auto" w:sz="4" w:space="0"/>
              <w:left w:val="single" w:color="auto" w:sz="4" w:space="0"/>
              <w:bottom w:val="single" w:color="auto" w:sz="4" w:space="0"/>
              <w:right w:val="single" w:color="000000" w:sz="4" w:space="0"/>
            </w:tcBorders>
            <w:vAlign w:val="center"/>
          </w:tcPr>
          <w:p>
            <w:pPr>
              <w:pStyle w:val="18"/>
              <w:numPr>
                <w:ilvl w:val="-1"/>
                <w:numId w:val="0"/>
              </w:numPr>
              <w:jc w:val="center"/>
              <w:rPr>
                <w:rFonts w:hint="eastAsia" w:ascii="仿宋" w:hAnsi="仿宋" w:eastAsia="仿宋" w:cs="仿宋"/>
                <w:color w:val="C00000"/>
                <w:kern w:val="2"/>
                <w:sz w:val="21"/>
                <w:szCs w:val="21"/>
                <w:highlight w:val="none"/>
                <w:lang w:val="en-US" w:eastAsia="zh-CN" w:bidi="ar-SA"/>
              </w:rPr>
            </w:pPr>
          </w:p>
          <w:p>
            <w:pPr>
              <w:pStyle w:val="18"/>
              <w:numPr>
                <w:ilvl w:val="-1"/>
                <w:numId w:val="0"/>
              </w:numPr>
              <w:jc w:val="center"/>
              <w:rPr>
                <w:rFonts w:hint="eastAsia" w:ascii="仿宋" w:hAnsi="仿宋" w:eastAsia="仿宋" w:cs="仿宋"/>
                <w:color w:val="C00000"/>
                <w:kern w:val="2"/>
                <w:sz w:val="21"/>
                <w:szCs w:val="21"/>
                <w:highlight w:val="none"/>
                <w:lang w:eastAsia="zh-CN"/>
              </w:rPr>
            </w:pPr>
            <w:r>
              <w:rPr>
                <w:rFonts w:hint="eastAsia" w:ascii="仿宋" w:hAnsi="仿宋" w:eastAsia="仿宋" w:cs="仿宋"/>
                <w:bCs/>
                <w:color w:val="000000" w:themeColor="text1"/>
                <w:kern w:val="0"/>
                <w:sz w:val="21"/>
                <w:szCs w:val="21"/>
                <w:highlight w:val="none"/>
                <w14:textFill>
                  <w14:solidFill>
                    <w14:schemeClr w14:val="tx1"/>
                  </w14:solidFill>
                </w14:textFill>
              </w:rPr>
              <w:t>其他补充要求</w:t>
            </w:r>
          </w:p>
          <w:p>
            <w:pPr>
              <w:widowControl/>
              <w:ind w:right="11"/>
              <w:jc w:val="center"/>
              <w:rPr>
                <w:rFonts w:hint="eastAsia" w:ascii="仿宋" w:hAnsi="仿宋" w:eastAsia="仿宋" w:cs="仿宋"/>
                <w:bCs/>
                <w:color w:val="000000" w:themeColor="text1"/>
                <w:kern w:val="0"/>
                <w:sz w:val="21"/>
                <w:szCs w:val="21"/>
                <w:highlight w:val="none"/>
                <w14:textFill>
                  <w14:solidFill>
                    <w14:schemeClr w14:val="tx1"/>
                  </w14:solidFill>
                </w14:textFill>
              </w:rPr>
            </w:pPr>
          </w:p>
        </w:tc>
        <w:tc>
          <w:tcPr>
            <w:tcW w:w="3151" w:type="pct"/>
            <w:tcBorders>
              <w:top w:val="single" w:color="000000" w:sz="4" w:space="0"/>
              <w:left w:val="nil"/>
              <w:bottom w:val="single" w:color="000000" w:sz="4" w:space="0"/>
              <w:right w:val="single" w:color="000000" w:sz="4" w:space="0"/>
            </w:tcBorders>
            <w:vAlign w:val="center"/>
          </w:tcPr>
          <w:p>
            <w:pPr>
              <w:pStyle w:val="5"/>
              <w:ind w:right="11" w:firstLine="420"/>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pPr>
            <w:r>
              <w:rPr>
                <w:rFonts w:hint="eastAsia" w:ascii="仿宋" w:hAnsi="仿宋" w:eastAsia="仿宋" w:cs="仿宋"/>
                <w:bCs/>
                <w:color w:val="000000" w:themeColor="text1"/>
                <w:kern w:val="0"/>
                <w:sz w:val="21"/>
                <w:szCs w:val="21"/>
                <w:highlight w:val="none"/>
                <w:lang w:val="en-US" w:eastAsia="zh-CN"/>
                <w14:textFill>
                  <w14:solidFill>
                    <w14:schemeClr w14:val="tx1"/>
                  </w14:solidFill>
                </w14:textFill>
              </w:rPr>
              <w:t>无</w:t>
            </w:r>
          </w:p>
        </w:tc>
      </w:tr>
    </w:tbl>
    <w:p/>
    <w:p>
      <w:pPr>
        <w:pStyle w:val="4"/>
      </w:pPr>
    </w:p>
    <w:p/>
    <w:p>
      <w:pPr>
        <w:pStyle w:val="4"/>
      </w:pPr>
    </w:p>
    <w:p>
      <w:pPr>
        <w:pStyle w:val="4"/>
        <w:ind w:firstLine="0" w:firstLineChars="0"/>
        <w:rPr>
          <w:lang w:val="en-US" w:eastAsia="zh-CN"/>
        </w:rPr>
      </w:pPr>
    </w:p>
    <w:p>
      <w:pPr>
        <w:rPr>
          <w:lang w:val="en-US" w:eastAsia="zh-CN"/>
        </w:rPr>
      </w:pPr>
    </w:p>
    <w:p>
      <w:pPr>
        <w:pStyle w:val="4"/>
        <w:rPr>
          <w:lang w:val="en-US" w:eastAsia="zh-CN"/>
        </w:rPr>
      </w:pPr>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ascii="黑体" w:hAnsi="黑体" w:eastAsia="黑体"/>
          <w:b/>
          <w:bCs/>
          <w:color w:val="000000" w:themeColor="text1"/>
          <w:sz w:val="24"/>
          <w:szCs w:val="24"/>
          <w:highlight w:val="none"/>
          <w14:textFill>
            <w14:solidFill>
              <w14:schemeClr w14:val="tx1"/>
            </w14:solidFill>
          </w14:textFill>
        </w:rPr>
        <w:t>2</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 ：</w:t>
      </w:r>
      <w:r>
        <w:rPr>
          <w:rFonts w:ascii="黑体" w:hAnsi="黑体" w:eastAsia="黑体"/>
          <w:b/>
          <w:bCs/>
          <w:color w:val="000000" w:themeColor="text1"/>
          <w:sz w:val="24"/>
          <w:szCs w:val="24"/>
          <w:highlight w:val="none"/>
          <w14:textFill>
            <w14:solidFill>
              <w14:schemeClr w14:val="tx1"/>
            </w14:solidFill>
          </w14:textFill>
        </w:rPr>
        <w:t>采</w:t>
      </w:r>
      <w:r>
        <w:rPr>
          <w:rFonts w:hint="eastAsia" w:ascii="黑体" w:hAnsi="黑体" w:eastAsia="黑体"/>
          <w:b/>
          <w:bCs/>
          <w:color w:val="000000" w:themeColor="text1"/>
          <w:sz w:val="24"/>
          <w:szCs w:val="24"/>
          <w:highlight w:val="none"/>
          <w:lang w:val="en-US" w:eastAsia="zh-CN"/>
          <w14:textFill>
            <w14:solidFill>
              <w14:schemeClr w14:val="tx1"/>
            </w14:solidFill>
          </w14:textFill>
        </w:rPr>
        <w:t>购</w:t>
      </w:r>
      <w:r>
        <w:rPr>
          <w:rFonts w:hint="eastAsia" w:ascii="黑体" w:hAnsi="黑体" w:eastAsia="黑体"/>
          <w:b/>
          <w:bCs/>
          <w:color w:val="000000" w:themeColor="text1"/>
          <w:sz w:val="24"/>
          <w:szCs w:val="24"/>
          <w:highlight w:val="none"/>
          <w14:textFill>
            <w14:solidFill>
              <w14:schemeClr w14:val="tx1"/>
            </w14:solidFill>
          </w14:textFill>
        </w:rPr>
        <w:t>内容及</w:t>
      </w:r>
      <w:r>
        <w:rPr>
          <w:rFonts w:ascii="黑体" w:hAnsi="黑体" w:eastAsia="黑体"/>
          <w:b/>
          <w:bCs/>
          <w:color w:val="000000" w:themeColor="text1"/>
          <w:sz w:val="24"/>
          <w:szCs w:val="24"/>
          <w:highlight w:val="none"/>
          <w14:textFill>
            <w14:solidFill>
              <w14:schemeClr w14:val="tx1"/>
            </w14:solidFill>
          </w14:textFill>
        </w:rPr>
        <w:t>技术要求</w:t>
      </w:r>
    </w:p>
    <w:p>
      <w:pPr>
        <w:rPr>
          <w:rFonts w:ascii="黑体" w:hAnsi="黑体" w:eastAsia="黑体"/>
          <w:color w:val="000000" w:themeColor="text1"/>
          <w:sz w:val="24"/>
          <w:szCs w:val="24"/>
          <w:highlight w:val="none"/>
          <w14:textFill>
            <w14:solidFill>
              <w14:schemeClr w14:val="tx1"/>
            </w14:solidFill>
          </w14:textFill>
        </w:rPr>
      </w:pPr>
    </w:p>
    <w:p>
      <w:pPr>
        <w:ind w:firstLine="2520" w:firstLineChars="1200"/>
        <w:rPr>
          <w:rFonts w:ascii="黑体" w:hAnsi="黑体" w:eastAsia="黑体"/>
          <w:color w:val="000000" w:themeColor="text1"/>
          <w:sz w:val="21"/>
          <w:szCs w:val="21"/>
          <w:highlight w:val="none"/>
          <w14:textFill>
            <w14:solidFill>
              <w14:schemeClr w14:val="tx1"/>
            </w14:solidFill>
          </w14:textFill>
        </w:rPr>
      </w:pPr>
      <w:r>
        <w:rPr>
          <w:rFonts w:ascii="黑体" w:hAnsi="黑体" w:eastAsia="黑体"/>
          <w:color w:val="000000" w:themeColor="text1"/>
          <w:sz w:val="21"/>
          <w:szCs w:val="21"/>
          <w:highlight w:val="none"/>
          <w14:textFill>
            <w14:solidFill>
              <w14:schemeClr w14:val="tx1"/>
            </w14:solidFill>
          </w14:textFill>
        </w:rPr>
        <w:t>采</w:t>
      </w:r>
      <w:r>
        <w:rPr>
          <w:rFonts w:hint="eastAsia" w:ascii="黑体" w:hAnsi="黑体" w:eastAsia="黑体"/>
          <w:color w:val="000000" w:themeColor="text1"/>
          <w:sz w:val="21"/>
          <w:szCs w:val="21"/>
          <w:highlight w:val="none"/>
          <w:lang w:val="en-US" w:eastAsia="zh-CN"/>
          <w14:textFill>
            <w14:solidFill>
              <w14:schemeClr w14:val="tx1"/>
            </w14:solidFill>
          </w14:textFill>
        </w:rPr>
        <w:t>购</w:t>
      </w:r>
      <w:r>
        <w:rPr>
          <w:rFonts w:hint="eastAsia" w:ascii="黑体" w:hAnsi="黑体" w:eastAsia="黑体"/>
          <w:color w:val="000000" w:themeColor="text1"/>
          <w:sz w:val="21"/>
          <w:szCs w:val="21"/>
          <w:highlight w:val="none"/>
          <w14:textFill>
            <w14:solidFill>
              <w14:schemeClr w14:val="tx1"/>
            </w14:solidFill>
          </w14:textFill>
        </w:rPr>
        <w:t>内容及</w:t>
      </w:r>
      <w:r>
        <w:rPr>
          <w:rFonts w:ascii="黑体" w:hAnsi="黑体" w:eastAsia="黑体"/>
          <w:color w:val="000000" w:themeColor="text1"/>
          <w:sz w:val="21"/>
          <w:szCs w:val="21"/>
          <w:highlight w:val="none"/>
          <w14:textFill>
            <w14:solidFill>
              <w14:schemeClr w14:val="tx1"/>
            </w14:solidFill>
          </w14:textFill>
        </w:rPr>
        <w:t>技术要求</w:t>
      </w:r>
    </w:p>
    <w:p>
      <w:pPr>
        <w:ind w:firstLine="2520" w:firstLineChars="1200"/>
        <w:rPr>
          <w:rFonts w:ascii="黑体" w:hAnsi="黑体" w:eastAsia="黑体"/>
          <w:color w:val="000000" w:themeColor="text1"/>
          <w:sz w:val="21"/>
          <w:szCs w:val="21"/>
          <w:highlight w:val="none"/>
          <w14:textFill>
            <w14:solidFill>
              <w14:schemeClr w14:val="tx1"/>
            </w14:solidFill>
          </w14:textFill>
        </w:rPr>
      </w:pP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118" w:right="0" w:firstLine="0"/>
        <w:jc w:val="left"/>
        <w:textAlignment w:val="auto"/>
        <w:rPr>
          <w:rFonts w:hint="eastAsia" w:asciiTheme="minorEastAsia" w:hAnsiTheme="minorEastAsia" w:eastAsiaTheme="minorEastAsia" w:cstheme="minorEastAsia"/>
          <w:spacing w:val="4"/>
          <w:kern w:val="0"/>
          <w:sz w:val="24"/>
          <w:szCs w:val="24"/>
        </w:rPr>
      </w:pPr>
      <w:r>
        <w:rPr>
          <w:rFonts w:hint="eastAsia" w:asciiTheme="minorEastAsia" w:hAnsiTheme="minorEastAsia" w:eastAsiaTheme="minorEastAsia" w:cstheme="minorEastAsia"/>
          <w:spacing w:val="4"/>
          <w:kern w:val="0"/>
          <w:sz w:val="24"/>
          <w:szCs w:val="24"/>
        </w:rPr>
        <w:t>需求概况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720" w:firstLineChars="300"/>
        <w:jc w:val="left"/>
        <w:textAlignment w:val="auto"/>
        <w:rPr>
          <w:rFonts w:hint="eastAsia" w:asciiTheme="minorEastAsia" w:hAnsiTheme="minorEastAsia" w:eastAsiaTheme="minorEastAsia" w:cstheme="minorEastAsia"/>
          <w:sz w:val="24"/>
          <w:szCs w:val="24"/>
          <w:lang w:val="en-US" w:eastAsia="en-US" w:bidi="ar-SA"/>
        </w:rPr>
      </w:pPr>
      <w:r>
        <w:rPr>
          <w:rFonts w:hint="eastAsia" w:asciiTheme="minorEastAsia" w:hAnsiTheme="minorEastAsia" w:eastAsiaTheme="minorEastAsia" w:cstheme="minorEastAsia"/>
          <w:sz w:val="24"/>
          <w:szCs w:val="24"/>
          <w:lang w:val="en-US" w:eastAsia="en-US" w:bidi="ar-SA"/>
        </w:rPr>
        <w:t>中海油（舟山）能源物流有限公司拟扩建老塘山一期码头平面，向</w:t>
      </w:r>
      <w:r>
        <w:rPr>
          <w:rFonts w:hint="eastAsia" w:asciiTheme="minorEastAsia" w:hAnsiTheme="minorEastAsia" w:eastAsiaTheme="minorEastAsia" w:cstheme="minorEastAsia"/>
          <w:sz w:val="24"/>
          <w:szCs w:val="24"/>
          <w:lang w:val="en-US" w:eastAsia="zh-CN" w:bidi="ar-SA"/>
        </w:rPr>
        <w:t>东南</w:t>
      </w:r>
      <w:r>
        <w:rPr>
          <w:rFonts w:hint="eastAsia" w:asciiTheme="minorEastAsia" w:hAnsiTheme="minorEastAsia" w:eastAsiaTheme="minorEastAsia" w:cstheme="minorEastAsia"/>
          <w:sz w:val="24"/>
          <w:szCs w:val="24"/>
          <w:lang w:val="en-US" w:eastAsia="en-US" w:bidi="ar-SA"/>
        </w:rPr>
        <w:t>延长40米×22米、向</w:t>
      </w:r>
      <w:r>
        <w:rPr>
          <w:rFonts w:hint="eastAsia" w:asciiTheme="minorEastAsia" w:hAnsiTheme="minorEastAsia" w:eastAsiaTheme="minorEastAsia" w:cstheme="minorEastAsia"/>
          <w:sz w:val="24"/>
          <w:szCs w:val="24"/>
          <w:lang w:val="en-US" w:eastAsia="zh-CN" w:bidi="ar-SA"/>
        </w:rPr>
        <w:t>西北</w:t>
      </w:r>
      <w:r>
        <w:rPr>
          <w:rFonts w:hint="eastAsia" w:asciiTheme="minorEastAsia" w:hAnsiTheme="minorEastAsia" w:eastAsiaTheme="minorEastAsia" w:cstheme="minorEastAsia"/>
          <w:sz w:val="24"/>
          <w:szCs w:val="24"/>
          <w:lang w:val="en-US" w:eastAsia="en-US" w:bidi="ar-SA"/>
        </w:rPr>
        <w:t>延长70×22米</w:t>
      </w:r>
      <w:r>
        <w:rPr>
          <w:rFonts w:hint="eastAsia" w:asciiTheme="minorEastAsia" w:hAnsiTheme="minorEastAsia" w:eastAsiaTheme="minorEastAsia" w:cstheme="minorEastAsia"/>
          <w:sz w:val="24"/>
          <w:szCs w:val="24"/>
          <w:lang w:val="en-US" w:eastAsia="zh-CN" w:bidi="ar-SA"/>
        </w:rPr>
        <w:t>，并</w:t>
      </w:r>
      <w:r>
        <w:rPr>
          <w:rFonts w:hint="eastAsia" w:asciiTheme="minorEastAsia" w:hAnsiTheme="minorEastAsia" w:eastAsiaTheme="minorEastAsia" w:cstheme="minorEastAsia"/>
          <w:spacing w:val="2"/>
          <w:sz w:val="24"/>
          <w:szCs w:val="24"/>
          <w:lang w:val="en-US" w:eastAsia="zh-CN"/>
        </w:rPr>
        <w:t>在3#栈桥和码头平台交界处</w:t>
      </w:r>
      <w:r>
        <w:rPr>
          <w:rFonts w:hint="eastAsia" w:asciiTheme="minorEastAsia" w:hAnsiTheme="minorEastAsia" w:eastAsiaTheme="minorEastAsia" w:cstheme="minorEastAsia"/>
          <w:spacing w:val="2"/>
          <w:sz w:val="24"/>
          <w:szCs w:val="24"/>
          <w:lang w:eastAsia="zh-CN"/>
        </w:rPr>
        <w:t>新建输灰平台，</w:t>
      </w:r>
      <w:r>
        <w:rPr>
          <w:rFonts w:hint="eastAsia" w:asciiTheme="minorEastAsia" w:hAnsiTheme="minorEastAsia" w:eastAsiaTheme="minorEastAsia" w:cstheme="minorEastAsia"/>
          <w:spacing w:val="2"/>
          <w:sz w:val="24"/>
          <w:szCs w:val="24"/>
          <w:lang w:val="en-US" w:eastAsia="zh-CN"/>
        </w:rPr>
        <w:t>作为储灰罐区</w:t>
      </w:r>
      <w:r>
        <w:rPr>
          <w:rFonts w:hint="eastAsia" w:asciiTheme="minorEastAsia" w:hAnsiTheme="minorEastAsia" w:eastAsiaTheme="minorEastAsia" w:cstheme="minorEastAsia"/>
          <w:sz w:val="24"/>
          <w:szCs w:val="24"/>
          <w:lang w:val="en-US" w:eastAsia="zh-CN" w:bidi="ar-SA"/>
        </w:rPr>
        <w:t>。根据《海洋工程环境影响评价技术导则》的要求，需进行</w:t>
      </w:r>
      <w:r>
        <w:rPr>
          <w:rFonts w:hint="eastAsia" w:asciiTheme="minorEastAsia" w:hAnsiTheme="minorEastAsia" w:eastAsiaTheme="minorEastAsia" w:cstheme="minorEastAsia"/>
          <w:spacing w:val="0"/>
          <w:sz w:val="24"/>
          <w:szCs w:val="24"/>
          <w:lang w:eastAsia="zh-CN"/>
        </w:rPr>
        <w:t>（册子水道）海域水质及生态现状监测调查</w:t>
      </w:r>
      <w:r>
        <w:rPr>
          <w:rFonts w:hint="eastAsia" w:asciiTheme="minorEastAsia" w:hAnsiTheme="minorEastAsia" w:eastAsiaTheme="minorEastAsia" w:cstheme="minorEastAsia"/>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120" w:right="224"/>
        <w:jc w:val="left"/>
        <w:textAlignment w:val="auto"/>
        <w:outlineLvl w:val="1"/>
        <w:rPr>
          <w:rFonts w:hint="eastAsia" w:asciiTheme="minorEastAsia" w:hAnsiTheme="minorEastAsia" w:eastAsiaTheme="minorEastAsia" w:cstheme="minorEastAsia"/>
          <w:spacing w:val="4"/>
          <w:sz w:val="24"/>
          <w:szCs w:val="24"/>
          <w:lang w:val="en-US" w:eastAsia="en-US" w:bidi="ar-SA"/>
        </w:rPr>
      </w:pPr>
      <w:bookmarkStart w:id="0" w:name="二、服务内容和范围"/>
      <w:bookmarkEnd w:id="0"/>
      <w:r>
        <w:rPr>
          <w:rFonts w:hint="eastAsia" w:asciiTheme="minorEastAsia" w:hAnsiTheme="minorEastAsia" w:eastAsiaTheme="minorEastAsia" w:cstheme="minorEastAsia"/>
          <w:spacing w:val="4"/>
          <w:sz w:val="24"/>
          <w:szCs w:val="24"/>
          <w:lang w:val="en-US" w:eastAsia="en-US" w:bidi="ar-SA"/>
        </w:rPr>
        <w:t>二、服务内容和范围</w:t>
      </w:r>
    </w:p>
    <w:p>
      <w:pPr>
        <w:pStyle w:val="3"/>
        <w:pageBreakBefore w:val="0"/>
        <w:widowControl w:val="0"/>
        <w:kinsoku/>
        <w:wordWrap/>
        <w:overflowPunct/>
        <w:topLinePunct w:val="0"/>
        <w:autoSpaceDE/>
        <w:autoSpaceDN/>
        <w:bidi w:val="0"/>
        <w:adjustRightInd/>
        <w:snapToGrid/>
        <w:spacing w:before="0" w:beforeLines="0" w:after="0" w:afterLines="0" w:line="360" w:lineRule="auto"/>
        <w:ind w:firstLine="240" w:firstLineChars="100"/>
        <w:textAlignment w:val="auto"/>
        <w:rPr>
          <w:rFonts w:hint="eastAsia" w:asciiTheme="minorEastAsia" w:hAnsiTheme="minorEastAsia" w:eastAsiaTheme="minorEastAsia" w:cstheme="minorEastAsia"/>
          <w:b w:val="0"/>
          <w:bCs/>
          <w:spacing w:val="0"/>
          <w:sz w:val="24"/>
          <w:szCs w:val="24"/>
          <w:lang w:val="en-US" w:eastAsia="zh-CN"/>
        </w:rPr>
      </w:pPr>
      <w:r>
        <w:rPr>
          <w:rFonts w:hint="eastAsia" w:asciiTheme="minorEastAsia" w:hAnsiTheme="minorEastAsia" w:eastAsiaTheme="minorEastAsia" w:cstheme="minorEastAsia"/>
          <w:b w:val="0"/>
          <w:bCs/>
          <w:spacing w:val="0"/>
          <w:sz w:val="24"/>
          <w:szCs w:val="24"/>
          <w:lang w:eastAsia="zh-CN"/>
        </w:rPr>
        <w:t>1、服务内容</w:t>
      </w:r>
    </w:p>
    <w:p>
      <w:pPr>
        <w:pStyle w:val="3"/>
        <w:pageBreakBefore w:val="0"/>
        <w:widowControl w:val="0"/>
        <w:kinsoku/>
        <w:wordWrap/>
        <w:overflowPunct/>
        <w:topLinePunct w:val="0"/>
        <w:autoSpaceDE/>
        <w:autoSpaceDN/>
        <w:bidi w:val="0"/>
        <w:adjustRightInd/>
        <w:snapToGrid/>
        <w:spacing w:before="0" w:beforeLines="0" w:after="0" w:afterLines="0" w:line="360" w:lineRule="auto"/>
        <w:ind w:firstLine="480" w:firstLineChars="200"/>
        <w:textAlignment w:val="auto"/>
        <w:rPr>
          <w:rFonts w:hint="eastAsia" w:asciiTheme="minorEastAsia" w:hAnsiTheme="minorEastAsia" w:eastAsiaTheme="minorEastAsia" w:cstheme="minorEastAsia"/>
          <w:b w:val="0"/>
          <w:bCs/>
          <w:spacing w:val="0"/>
          <w:sz w:val="24"/>
          <w:szCs w:val="24"/>
          <w:lang w:eastAsia="zh-CN"/>
        </w:rPr>
      </w:pPr>
      <w:r>
        <w:rPr>
          <w:rFonts w:hint="eastAsia" w:asciiTheme="minorEastAsia" w:hAnsiTheme="minorEastAsia" w:eastAsiaTheme="minorEastAsia" w:cstheme="minorEastAsia"/>
          <w:b w:val="0"/>
          <w:bCs/>
          <w:spacing w:val="0"/>
          <w:sz w:val="24"/>
          <w:szCs w:val="24"/>
          <w:lang w:eastAsia="zh-CN"/>
        </w:rPr>
        <w:t>舟山物流公司码头泊位扩建工程（册子水道）海域水质及生态现状监测调查服务。</w:t>
      </w:r>
    </w:p>
    <w:p>
      <w:pPr>
        <w:pStyle w:val="3"/>
        <w:pageBreakBefore w:val="0"/>
        <w:widowControl w:val="0"/>
        <w:kinsoku/>
        <w:wordWrap/>
        <w:overflowPunct/>
        <w:topLinePunct w:val="0"/>
        <w:autoSpaceDE/>
        <w:autoSpaceDN/>
        <w:bidi w:val="0"/>
        <w:adjustRightInd/>
        <w:snapToGrid/>
        <w:spacing w:before="0" w:beforeLines="0" w:after="0" w:afterLines="0" w:line="360" w:lineRule="auto"/>
        <w:ind w:firstLine="240" w:firstLineChars="100"/>
        <w:textAlignment w:val="auto"/>
        <w:rPr>
          <w:rFonts w:hint="eastAsia" w:asciiTheme="minorEastAsia" w:hAnsiTheme="minorEastAsia" w:eastAsiaTheme="minorEastAsia" w:cstheme="minorEastAsia"/>
          <w:b w:val="0"/>
          <w:bCs/>
          <w:spacing w:val="0"/>
          <w:sz w:val="24"/>
          <w:szCs w:val="24"/>
          <w:lang w:eastAsia="zh-CN"/>
        </w:rPr>
      </w:pPr>
      <w:r>
        <w:rPr>
          <w:rFonts w:hint="eastAsia" w:asciiTheme="minorEastAsia" w:hAnsiTheme="minorEastAsia" w:eastAsiaTheme="minorEastAsia" w:cstheme="minorEastAsia"/>
          <w:b w:val="0"/>
          <w:bCs/>
          <w:spacing w:val="0"/>
          <w:sz w:val="24"/>
          <w:szCs w:val="24"/>
          <w:lang w:eastAsia="zh-CN"/>
        </w:rPr>
        <w:t>2、工作量清单</w:t>
      </w:r>
    </w:p>
    <w:tbl>
      <w:tblPr>
        <w:tblStyle w:val="14"/>
        <w:tblW w:w="8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0"/>
        <w:gridCol w:w="1592"/>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690" w:type="dxa"/>
            <w:vAlign w:val="center"/>
          </w:tcPr>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right="115" w:rightChars="55" w:firstLine="0" w:firstLineChars="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名称</w:t>
            </w:r>
          </w:p>
        </w:tc>
        <w:tc>
          <w:tcPr>
            <w:tcW w:w="1592" w:type="dxa"/>
            <w:vAlign w:val="center"/>
          </w:tcPr>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right="115" w:rightChars="55" w:firstLine="0" w:firstLineChars="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数量</w:t>
            </w:r>
          </w:p>
        </w:tc>
        <w:tc>
          <w:tcPr>
            <w:tcW w:w="4525" w:type="dxa"/>
            <w:vAlign w:val="center"/>
          </w:tcPr>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right="115" w:rightChars="55" w:firstLine="0" w:firstLineChars="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0" w:type="dxa"/>
            <w:vAlign w:val="center"/>
          </w:tcPr>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right="115" w:rightChars="55"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（册子水道）海域水质及生态现状监测调查服务</w:t>
            </w:r>
          </w:p>
        </w:tc>
        <w:tc>
          <w:tcPr>
            <w:tcW w:w="1592" w:type="dxa"/>
            <w:vAlign w:val="center"/>
          </w:tcPr>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right="115" w:rightChars="55" w:firstLine="0" w:firstLineChars="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1项</w:t>
            </w:r>
          </w:p>
        </w:tc>
        <w:tc>
          <w:tcPr>
            <w:tcW w:w="4525" w:type="dxa"/>
            <w:vAlign w:val="center"/>
          </w:tcPr>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right="115" w:rightChars="55" w:firstLine="0" w:firstLineChars="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对</w:t>
            </w:r>
            <w:r>
              <w:rPr>
                <w:rFonts w:hint="eastAsia" w:asciiTheme="minorEastAsia" w:hAnsiTheme="minorEastAsia" w:eastAsiaTheme="minorEastAsia" w:cstheme="minorEastAsia"/>
                <w:sz w:val="24"/>
                <w:szCs w:val="24"/>
                <w:lang w:eastAsia="zh-CN"/>
              </w:rPr>
              <w:t>（册子水道）海域水质及生态现状</w:t>
            </w:r>
            <w:r>
              <w:rPr>
                <w:rFonts w:hint="eastAsia" w:asciiTheme="minorEastAsia" w:hAnsiTheme="minorEastAsia" w:eastAsiaTheme="minorEastAsia" w:cstheme="minorEastAsia"/>
                <w:sz w:val="24"/>
                <w:szCs w:val="24"/>
                <w:lang w:val="en-US" w:eastAsia="zh-CN"/>
              </w:rPr>
              <w:t>进行</w:t>
            </w:r>
            <w:r>
              <w:rPr>
                <w:rFonts w:hint="eastAsia" w:asciiTheme="minorEastAsia" w:hAnsiTheme="minorEastAsia" w:eastAsiaTheme="minorEastAsia" w:cstheme="minorEastAsia"/>
                <w:sz w:val="24"/>
                <w:szCs w:val="24"/>
                <w:lang w:eastAsia="zh-CN"/>
              </w:rPr>
              <w:t>监测</w:t>
            </w:r>
            <w:r>
              <w:rPr>
                <w:rFonts w:hint="eastAsia" w:asciiTheme="minorEastAsia" w:hAnsiTheme="minorEastAsia" w:eastAsiaTheme="minorEastAsia" w:cstheme="minorEastAsia"/>
                <w:sz w:val="24"/>
                <w:szCs w:val="24"/>
                <w:lang w:val="en-US" w:eastAsia="zh-CN"/>
              </w:rPr>
              <w:t>调查，调查范围应能覆盖建设项目的环境影响所及区域，并能充分满足环境影响评价与预测的要求。</w:t>
            </w:r>
          </w:p>
        </w:tc>
      </w:tr>
    </w:tbl>
    <w:p>
      <w:pPr>
        <w:pStyle w:val="3"/>
        <w:pageBreakBefore w:val="0"/>
        <w:widowControl w:val="0"/>
        <w:kinsoku/>
        <w:wordWrap/>
        <w:overflowPunct/>
        <w:topLinePunct w:val="0"/>
        <w:autoSpaceDE/>
        <w:autoSpaceDN/>
        <w:bidi w:val="0"/>
        <w:adjustRightInd/>
        <w:snapToGrid/>
        <w:spacing w:before="0" w:beforeLines="0" w:after="0" w:afterLines="0" w:line="360" w:lineRule="auto"/>
        <w:ind w:firstLine="241" w:firstLineChars="100"/>
        <w:textAlignment w:val="auto"/>
        <w:rPr>
          <w:rFonts w:hint="eastAsia" w:asciiTheme="minorEastAsia" w:hAnsiTheme="minorEastAsia" w:eastAsiaTheme="minorEastAsia" w:cstheme="minorEastAsia"/>
          <w:spacing w:val="0"/>
          <w:sz w:val="24"/>
          <w:szCs w:val="24"/>
          <w:lang w:eastAsia="zh-CN"/>
        </w:rPr>
      </w:pPr>
      <w:r>
        <w:rPr>
          <w:rFonts w:hint="eastAsia" w:asciiTheme="minorEastAsia" w:hAnsiTheme="minorEastAsia" w:eastAsiaTheme="minorEastAsia" w:cstheme="minorEastAsia"/>
          <w:spacing w:val="0"/>
          <w:sz w:val="24"/>
          <w:szCs w:val="24"/>
          <w:lang w:eastAsia="zh-CN"/>
        </w:rPr>
        <w:t>3、服务地点</w:t>
      </w:r>
    </w:p>
    <w:p>
      <w:pPr>
        <w:pStyle w:val="3"/>
        <w:pageBreakBefore w:val="0"/>
        <w:widowControl w:val="0"/>
        <w:kinsoku/>
        <w:wordWrap/>
        <w:overflowPunct/>
        <w:topLinePunct w:val="0"/>
        <w:autoSpaceDE/>
        <w:autoSpaceDN/>
        <w:bidi w:val="0"/>
        <w:adjustRightInd/>
        <w:snapToGrid/>
        <w:spacing w:before="0" w:beforeLines="0" w:after="0" w:afterLines="0" w:line="360" w:lineRule="auto"/>
        <w:ind w:firstLine="241" w:firstLineChars="100"/>
        <w:textAlignment w:val="auto"/>
        <w:rPr>
          <w:rFonts w:hint="eastAsia" w:asciiTheme="minorEastAsia" w:hAnsiTheme="minorEastAsia" w:eastAsiaTheme="minorEastAsia" w:cstheme="minorEastAsia"/>
          <w:spacing w:val="0"/>
          <w:sz w:val="24"/>
          <w:szCs w:val="24"/>
          <w:lang w:eastAsia="zh-CN"/>
        </w:rPr>
      </w:pPr>
      <w:r>
        <w:rPr>
          <w:rFonts w:hint="eastAsia" w:asciiTheme="minorEastAsia" w:hAnsiTheme="minorEastAsia" w:eastAsiaTheme="minorEastAsia" w:cstheme="minorEastAsia"/>
          <w:spacing w:val="0"/>
          <w:sz w:val="24"/>
          <w:szCs w:val="24"/>
          <w:lang w:eastAsia="zh-CN"/>
        </w:rPr>
        <w:t>浙江省舟山市定海区老塘山一期码头</w:t>
      </w:r>
    </w:p>
    <w:p>
      <w:pPr>
        <w:pStyle w:val="3"/>
        <w:pageBreakBefore w:val="0"/>
        <w:widowControl w:val="0"/>
        <w:kinsoku/>
        <w:wordWrap/>
        <w:overflowPunct/>
        <w:topLinePunct w:val="0"/>
        <w:autoSpaceDE/>
        <w:autoSpaceDN/>
        <w:bidi w:val="0"/>
        <w:adjustRightInd/>
        <w:snapToGrid/>
        <w:spacing w:before="0" w:beforeLines="0" w:after="0" w:afterLines="0" w:line="360" w:lineRule="auto"/>
        <w:ind w:firstLine="241" w:firstLineChars="100"/>
        <w:textAlignment w:val="auto"/>
        <w:rPr>
          <w:rFonts w:hint="eastAsia" w:asciiTheme="minorEastAsia" w:hAnsiTheme="minorEastAsia" w:eastAsiaTheme="minorEastAsia" w:cstheme="minorEastAsia"/>
          <w:spacing w:val="0"/>
          <w:sz w:val="24"/>
          <w:szCs w:val="24"/>
          <w:lang w:eastAsia="zh-CN"/>
        </w:rPr>
      </w:pPr>
      <w:r>
        <w:rPr>
          <w:rFonts w:hint="eastAsia" w:asciiTheme="minorEastAsia" w:hAnsiTheme="minorEastAsia" w:eastAsiaTheme="minorEastAsia" w:cstheme="minorEastAsia"/>
          <w:spacing w:val="0"/>
          <w:sz w:val="24"/>
          <w:szCs w:val="24"/>
          <w:lang w:eastAsia="zh-CN"/>
        </w:rPr>
        <w:t>4、服务期限</w:t>
      </w:r>
    </w:p>
    <w:p>
      <w:pPr>
        <w:pStyle w:val="3"/>
        <w:pageBreakBefore w:val="0"/>
        <w:widowControl w:val="0"/>
        <w:kinsoku/>
        <w:wordWrap/>
        <w:overflowPunct/>
        <w:topLinePunct w:val="0"/>
        <w:autoSpaceDE/>
        <w:autoSpaceDN/>
        <w:bidi w:val="0"/>
        <w:adjustRightInd/>
        <w:snapToGrid/>
        <w:spacing w:before="0" w:beforeLines="0" w:after="0" w:afterLines="0" w:line="360" w:lineRule="auto"/>
        <w:ind w:firstLine="241" w:firstLineChars="1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t>合同签订后6个月内</w:t>
      </w:r>
      <w:r>
        <w:rPr>
          <w:rFonts w:hint="eastAsia" w:asciiTheme="minorEastAsia" w:hAnsiTheme="minorEastAsia" w:eastAsiaTheme="minorEastAsia" w:cstheme="minorEastAsia"/>
          <w:i w:val="0"/>
          <w:iCs w:val="0"/>
          <w:caps w:val="0"/>
          <w:color w:val="000000"/>
          <w:spacing w:val="0"/>
          <w:sz w:val="24"/>
          <w:szCs w:val="24"/>
          <w:shd w:val="clear"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120" w:right="224"/>
        <w:jc w:val="left"/>
        <w:textAlignment w:val="auto"/>
        <w:outlineLvl w:val="1"/>
        <w:rPr>
          <w:rFonts w:hint="eastAsia" w:asciiTheme="minorEastAsia" w:hAnsiTheme="minorEastAsia" w:eastAsiaTheme="minorEastAsia" w:cstheme="minorEastAsia"/>
          <w:spacing w:val="4"/>
          <w:sz w:val="24"/>
          <w:szCs w:val="24"/>
          <w:lang w:val="en-US" w:eastAsia="en-US" w:bidi="ar-SA"/>
        </w:rPr>
      </w:pPr>
      <w:r>
        <w:rPr>
          <w:rFonts w:hint="eastAsia" w:asciiTheme="minorEastAsia" w:hAnsiTheme="minorEastAsia" w:eastAsiaTheme="minorEastAsia" w:cstheme="minorEastAsia"/>
          <w:spacing w:val="4"/>
          <w:sz w:val="24"/>
          <w:szCs w:val="24"/>
          <w:lang w:val="en-US" w:eastAsia="en-US" w:bidi="ar-SA"/>
        </w:rPr>
        <w:t>三、执行标准／规范</w:t>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《海洋工程环境影响评价技术导则》。《海洋调查规范》（GB/T 12763-2007）、《海洋监测规范》（GB 17378-2007） 、《海洋渔业资源调查规范》（SC/T 9403-2012）和《海洋监测技术规程》（HY/T 147-2013）</w:t>
      </w:r>
    </w:p>
    <w:p>
      <w:pPr>
        <w:keepNext w:val="0"/>
        <w:keepLines w:val="0"/>
        <w:pageBreakBefore w:val="0"/>
        <w:widowControl w:val="0"/>
        <w:kinsoku/>
        <w:wordWrap/>
        <w:overflowPunct/>
        <w:topLinePunct w:val="0"/>
        <w:autoSpaceDE/>
        <w:autoSpaceDN/>
        <w:bidi w:val="0"/>
        <w:adjustRightInd/>
        <w:snapToGrid/>
        <w:spacing w:line="360" w:lineRule="auto"/>
        <w:ind w:left="120" w:right="224"/>
        <w:jc w:val="left"/>
        <w:textAlignment w:val="auto"/>
        <w:outlineLvl w:val="1"/>
        <w:rPr>
          <w:rFonts w:hint="eastAsia" w:asciiTheme="minorEastAsia" w:hAnsiTheme="minorEastAsia" w:eastAsiaTheme="minorEastAsia" w:cstheme="minorEastAsia"/>
          <w:spacing w:val="4"/>
          <w:sz w:val="24"/>
          <w:szCs w:val="24"/>
          <w:lang w:val="en-US" w:eastAsia="en-US" w:bidi="ar-SA"/>
        </w:rPr>
      </w:pPr>
      <w:r>
        <w:rPr>
          <w:rFonts w:hint="eastAsia" w:asciiTheme="minorEastAsia" w:hAnsiTheme="minorEastAsia" w:eastAsiaTheme="minorEastAsia" w:cstheme="minorEastAsia"/>
          <w:spacing w:val="4"/>
          <w:sz w:val="24"/>
          <w:szCs w:val="24"/>
          <w:lang w:val="en-US" w:eastAsia="en-US" w:bidi="ar-SA"/>
        </w:rPr>
        <w:t>四、服务要求</w:t>
      </w:r>
    </w:p>
    <w:p>
      <w:pPr>
        <w:keepNext w:val="0"/>
        <w:keepLines w:val="0"/>
        <w:pageBreakBefore w:val="0"/>
        <w:widowControl w:val="0"/>
        <w:tabs>
          <w:tab w:val="left" w:pos="959"/>
        </w:tabs>
        <w:kinsoku/>
        <w:wordWrap/>
        <w:overflowPunct/>
        <w:topLinePunct w:val="0"/>
        <w:autoSpaceDE/>
        <w:autoSpaceDN/>
        <w:bidi w:val="0"/>
        <w:adjustRightInd/>
        <w:snapToGrid/>
        <w:spacing w:line="360" w:lineRule="auto"/>
        <w:ind w:right="221" w:firstLine="240" w:firstLineChars="100"/>
        <w:jc w:val="left"/>
        <w:textAlignment w:val="auto"/>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1、具体服务要求</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项目码头附近海域布设12个水质调查站位（3个断面，每个断面4个站位）、6个沉积物环境调查站位、8个生态环境及渔业资源调查站位及2条潮间带断面，春季或秋季调查一次。经纬度见表1监测站位坐标及监测内容，具体位置见图1海洋监测点位布置图。</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1</w:t>
      </w:r>
      <w:r>
        <w:rPr>
          <w:rFonts w:hint="eastAsia" w:asciiTheme="minorEastAsia" w:hAnsiTheme="minorEastAsia" w:eastAsiaTheme="minorEastAsia" w:cstheme="minorEastAsia"/>
          <w:b/>
          <w:bCs/>
          <w:color w:val="000000"/>
          <w:sz w:val="24"/>
          <w:szCs w:val="24"/>
          <w:lang w:val="en-US" w:eastAsia="zh-CN"/>
        </w:rPr>
        <w:t>)</w:t>
      </w:r>
      <w:r>
        <w:rPr>
          <w:rFonts w:hint="eastAsia" w:asciiTheme="minorEastAsia" w:hAnsiTheme="minorEastAsia" w:eastAsiaTheme="minorEastAsia" w:cstheme="minorEastAsia"/>
          <w:b/>
          <w:bCs/>
          <w:color w:val="000000"/>
          <w:sz w:val="24"/>
          <w:szCs w:val="24"/>
        </w:rPr>
        <w:t>水质</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bCs/>
          <w:color w:val="000000"/>
          <w:sz w:val="24"/>
          <w:szCs w:val="24"/>
        </w:rPr>
        <w:t>监测站位：</w:t>
      </w:r>
      <w:r>
        <w:rPr>
          <w:rFonts w:hint="eastAsia" w:asciiTheme="minorEastAsia" w:hAnsiTheme="minorEastAsia" w:eastAsiaTheme="minorEastAsia" w:cstheme="minorEastAsia"/>
          <w:bCs/>
          <w:color w:val="000000"/>
          <w:sz w:val="24"/>
          <w:szCs w:val="24"/>
        </w:rPr>
        <w:t>项目附近海域共设12个测站（S1~S12），经纬度见表1，具体位置见图1。</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bCs/>
          <w:color w:val="000000"/>
          <w:sz w:val="24"/>
          <w:szCs w:val="24"/>
        </w:rPr>
        <w:t>监测因子：</w:t>
      </w:r>
      <w:r>
        <w:rPr>
          <w:rFonts w:hint="eastAsia" w:asciiTheme="minorEastAsia" w:hAnsiTheme="minorEastAsia" w:eastAsiaTheme="minorEastAsia" w:cstheme="minorEastAsia"/>
          <w:bCs/>
          <w:color w:val="000000"/>
          <w:sz w:val="24"/>
          <w:szCs w:val="24"/>
        </w:rPr>
        <w:t>温度、盐度、SS、pH、DO、COD、无机氮(包括NO</w:t>
      </w:r>
      <w:r>
        <w:rPr>
          <w:rFonts w:hint="eastAsia" w:asciiTheme="minorEastAsia" w:hAnsiTheme="minorEastAsia" w:eastAsiaTheme="minorEastAsia" w:cstheme="minorEastAsia"/>
          <w:bCs/>
          <w:color w:val="000000"/>
          <w:sz w:val="24"/>
          <w:szCs w:val="24"/>
          <w:vertAlign w:val="subscript"/>
        </w:rPr>
        <w:t>3</w:t>
      </w:r>
      <w:r>
        <w:rPr>
          <w:rFonts w:hint="eastAsia" w:asciiTheme="minorEastAsia" w:hAnsiTheme="minorEastAsia" w:eastAsiaTheme="minorEastAsia" w:cstheme="minorEastAsia"/>
          <w:bCs/>
          <w:color w:val="000000"/>
          <w:sz w:val="24"/>
          <w:szCs w:val="24"/>
        </w:rPr>
        <w:t>-N、NO</w:t>
      </w:r>
      <w:r>
        <w:rPr>
          <w:rFonts w:hint="eastAsia" w:asciiTheme="minorEastAsia" w:hAnsiTheme="minorEastAsia" w:eastAsiaTheme="minorEastAsia" w:cstheme="minorEastAsia"/>
          <w:bCs/>
          <w:color w:val="000000"/>
          <w:sz w:val="24"/>
          <w:szCs w:val="24"/>
          <w:vertAlign w:val="subscript"/>
        </w:rPr>
        <w:t>2</w:t>
      </w:r>
      <w:r>
        <w:rPr>
          <w:rFonts w:hint="eastAsia" w:asciiTheme="minorEastAsia" w:hAnsiTheme="minorEastAsia" w:eastAsiaTheme="minorEastAsia" w:cstheme="minorEastAsia"/>
          <w:bCs/>
          <w:color w:val="000000"/>
          <w:sz w:val="24"/>
          <w:szCs w:val="24"/>
        </w:rPr>
        <w:t>-N和NH</w:t>
      </w:r>
      <w:r>
        <w:rPr>
          <w:rFonts w:hint="eastAsia" w:asciiTheme="minorEastAsia" w:hAnsiTheme="minorEastAsia" w:eastAsiaTheme="minorEastAsia" w:cstheme="minorEastAsia"/>
          <w:bCs/>
          <w:color w:val="000000"/>
          <w:sz w:val="24"/>
          <w:szCs w:val="24"/>
          <w:vertAlign w:val="subscript"/>
        </w:rPr>
        <w:t>3</w:t>
      </w:r>
      <w:r>
        <w:rPr>
          <w:rFonts w:hint="eastAsia" w:asciiTheme="minorEastAsia" w:hAnsiTheme="minorEastAsia" w:eastAsiaTheme="minorEastAsia" w:cstheme="minorEastAsia"/>
          <w:bCs/>
          <w:color w:val="000000"/>
          <w:sz w:val="24"/>
          <w:szCs w:val="24"/>
        </w:rPr>
        <w:t>-N)、活性磷酸盐、石油类、挥发性酚和Cu、Zn、Pb、Cd、Cr、Hg和As；</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bCs/>
          <w:color w:val="000000"/>
          <w:sz w:val="24"/>
          <w:szCs w:val="24"/>
        </w:rPr>
        <w:t>监测频次与层次：</w:t>
      </w:r>
      <w:r>
        <w:rPr>
          <w:rFonts w:hint="eastAsia" w:asciiTheme="minorEastAsia" w:hAnsiTheme="minorEastAsia" w:eastAsiaTheme="minorEastAsia" w:cstheme="minorEastAsia"/>
          <w:bCs/>
          <w:color w:val="000000"/>
          <w:sz w:val="24"/>
          <w:szCs w:val="24"/>
        </w:rPr>
        <w:t>春季或秋季监测1次。水深小于10m的站位仅采表层水样（离水面0.5m）；水深大于10m小于25m时采表层（离水面0.5m）、底层（离海底1.0m）样；水深大于25m时采表层（离水面0.5m）、中层（距水面10m）、底层（离海底1.0m）样；石油类仅采表层水样。</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2</w:t>
      </w:r>
      <w:r>
        <w:rPr>
          <w:rFonts w:hint="eastAsia" w:asciiTheme="minorEastAsia" w:hAnsiTheme="minorEastAsia" w:eastAsiaTheme="minorEastAsia" w:cstheme="minorEastAsia"/>
          <w:b/>
          <w:bCs/>
          <w:color w:val="000000"/>
          <w:sz w:val="24"/>
          <w:szCs w:val="24"/>
          <w:lang w:val="en-US" w:eastAsia="zh-CN"/>
        </w:rPr>
        <w:t>)</w:t>
      </w:r>
      <w:r>
        <w:rPr>
          <w:rFonts w:hint="eastAsia" w:asciiTheme="minorEastAsia" w:hAnsiTheme="minorEastAsia" w:eastAsiaTheme="minorEastAsia" w:cstheme="minorEastAsia"/>
          <w:b/>
          <w:bCs/>
          <w:color w:val="000000"/>
          <w:sz w:val="24"/>
          <w:szCs w:val="24"/>
        </w:rPr>
        <w:t>沉积物</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bCs/>
          <w:color w:val="000000"/>
          <w:sz w:val="24"/>
          <w:szCs w:val="24"/>
        </w:rPr>
        <w:t>监测站位：</w:t>
      </w:r>
      <w:r>
        <w:rPr>
          <w:rFonts w:hint="eastAsia" w:asciiTheme="minorEastAsia" w:hAnsiTheme="minorEastAsia" w:eastAsiaTheme="minorEastAsia" w:cstheme="minorEastAsia"/>
          <w:bCs/>
          <w:color w:val="000000"/>
          <w:sz w:val="24"/>
          <w:szCs w:val="24"/>
        </w:rPr>
        <w:t>同海洋水质监测站位中的S1、S3、S5、S7、S10、S12；</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bCs/>
          <w:color w:val="000000"/>
          <w:sz w:val="24"/>
          <w:szCs w:val="24"/>
        </w:rPr>
        <w:t>监测因子：</w:t>
      </w:r>
      <w:r>
        <w:rPr>
          <w:rFonts w:hint="eastAsia" w:asciiTheme="minorEastAsia" w:hAnsiTheme="minorEastAsia" w:eastAsiaTheme="minorEastAsia" w:cstheme="minorEastAsia"/>
          <w:bCs/>
          <w:color w:val="000000"/>
          <w:sz w:val="24"/>
          <w:szCs w:val="24"/>
        </w:rPr>
        <w:t>有机碳、硫化物、石油类、Cu、Zn、Pb、Cd、Cr、Hg和As</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bCs/>
          <w:color w:val="000000"/>
          <w:sz w:val="24"/>
          <w:szCs w:val="24"/>
        </w:rPr>
        <w:t>监测频率与层次：</w:t>
      </w:r>
      <w:r>
        <w:rPr>
          <w:rFonts w:hint="eastAsia" w:asciiTheme="minorEastAsia" w:hAnsiTheme="minorEastAsia" w:eastAsiaTheme="minorEastAsia" w:cstheme="minorEastAsia"/>
          <w:bCs/>
          <w:color w:val="000000"/>
          <w:sz w:val="24"/>
          <w:szCs w:val="24"/>
        </w:rPr>
        <w:t>于水质监测期间进行一次监测；沉积物样品采集表层沉积物。</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3</w:t>
      </w:r>
      <w:r>
        <w:rPr>
          <w:rFonts w:hint="eastAsia" w:asciiTheme="minorEastAsia" w:hAnsiTheme="minorEastAsia" w:eastAsiaTheme="minorEastAsia" w:cstheme="minorEastAsia"/>
          <w:b/>
          <w:bCs/>
          <w:color w:val="000000"/>
          <w:sz w:val="24"/>
          <w:szCs w:val="24"/>
          <w:lang w:val="en-US" w:eastAsia="zh-CN"/>
        </w:rPr>
        <w:t>)</w:t>
      </w:r>
      <w:r>
        <w:rPr>
          <w:rFonts w:hint="eastAsia" w:asciiTheme="minorEastAsia" w:hAnsiTheme="minorEastAsia" w:eastAsiaTheme="minorEastAsia" w:cstheme="minorEastAsia"/>
          <w:b/>
          <w:bCs/>
          <w:color w:val="000000"/>
          <w:sz w:val="24"/>
          <w:szCs w:val="24"/>
        </w:rPr>
        <w:t>海洋生态和生物资源</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bCs/>
          <w:color w:val="000000"/>
          <w:sz w:val="24"/>
          <w:szCs w:val="24"/>
        </w:rPr>
        <w:t>监测站位：</w:t>
      </w:r>
      <w:r>
        <w:rPr>
          <w:rFonts w:hint="eastAsia" w:asciiTheme="minorEastAsia" w:hAnsiTheme="minorEastAsia" w:eastAsiaTheme="minorEastAsia" w:cstheme="minorEastAsia"/>
          <w:bCs/>
          <w:color w:val="000000"/>
          <w:sz w:val="24"/>
          <w:szCs w:val="24"/>
        </w:rPr>
        <w:t>同海洋水质监测站位中的S1、S3、S5、S6、S7、S10、S11、S12；</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bCs/>
          <w:color w:val="000000"/>
          <w:sz w:val="24"/>
          <w:szCs w:val="24"/>
        </w:rPr>
        <w:t>监测项目：</w:t>
      </w:r>
      <w:r>
        <w:rPr>
          <w:rFonts w:hint="eastAsia" w:asciiTheme="minorEastAsia" w:hAnsiTheme="minorEastAsia" w:eastAsiaTheme="minorEastAsia" w:cstheme="minorEastAsia"/>
          <w:bCs/>
          <w:color w:val="000000"/>
          <w:sz w:val="24"/>
          <w:szCs w:val="24"/>
        </w:rPr>
        <w:t>叶绿素a、浮游植物、浮游动物、底栖生物（种类、密度和生物量），鱼卵仔鱼（</w:t>
      </w:r>
      <w:r>
        <w:rPr>
          <w:rFonts w:hint="eastAsia" w:asciiTheme="minorEastAsia" w:hAnsiTheme="minorEastAsia" w:eastAsiaTheme="minorEastAsia" w:cstheme="minorEastAsia"/>
          <w:bCs/>
          <w:color w:val="000000"/>
          <w:sz w:val="24"/>
          <w:szCs w:val="24"/>
          <w:lang w:val="en-GB"/>
        </w:rPr>
        <w:t>种类组成、数量分布及主要优势种</w:t>
      </w:r>
      <w:r>
        <w:rPr>
          <w:rFonts w:hint="eastAsia" w:asciiTheme="minorEastAsia" w:hAnsiTheme="minorEastAsia" w:eastAsiaTheme="minorEastAsia" w:cstheme="minorEastAsia"/>
          <w:bCs/>
          <w:color w:val="000000"/>
          <w:sz w:val="24"/>
          <w:szCs w:val="24"/>
        </w:rPr>
        <w:t>）、游泳动物（</w:t>
      </w:r>
      <w:r>
        <w:rPr>
          <w:rFonts w:hint="eastAsia" w:asciiTheme="minorEastAsia" w:hAnsiTheme="minorEastAsia" w:eastAsiaTheme="minorEastAsia" w:cstheme="minorEastAsia"/>
          <w:bCs/>
          <w:color w:val="000000"/>
          <w:sz w:val="24"/>
          <w:szCs w:val="24"/>
          <w:lang w:val="en-GB"/>
        </w:rPr>
        <w:t>渔获物种类组成、渔获物生物学特征、优势种分布、渔获量数量分布、现存相对资源密度</w:t>
      </w:r>
      <w:r>
        <w:rPr>
          <w:rFonts w:hint="eastAsia" w:asciiTheme="minorEastAsia" w:hAnsiTheme="minorEastAsia" w:eastAsiaTheme="minorEastAsia" w:cstheme="minorEastAsia"/>
          <w:bCs/>
          <w:color w:val="000000"/>
          <w:sz w:val="24"/>
          <w:szCs w:val="24"/>
        </w:rPr>
        <w:t>）、生物体质量（监测指标为汞、镉、铅、铬、砷、铜、锌、石油烃、六六六、滴滴涕）。</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bCs/>
          <w:color w:val="000000"/>
          <w:sz w:val="24"/>
          <w:szCs w:val="24"/>
        </w:rPr>
        <w:t>监测频率：</w:t>
      </w:r>
      <w:r>
        <w:rPr>
          <w:rFonts w:hint="eastAsia" w:asciiTheme="minorEastAsia" w:hAnsiTheme="minorEastAsia" w:eastAsiaTheme="minorEastAsia" w:cstheme="minorEastAsia"/>
          <w:bCs/>
          <w:color w:val="000000"/>
          <w:sz w:val="24"/>
          <w:szCs w:val="24"/>
        </w:rPr>
        <w:t>于水质监测期间进行一次监测。</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bCs/>
          <w:color w:val="000000"/>
          <w:sz w:val="24"/>
          <w:szCs w:val="24"/>
        </w:rPr>
        <w:t>4</w:t>
      </w:r>
      <w:r>
        <w:rPr>
          <w:rFonts w:hint="eastAsia" w:asciiTheme="minorEastAsia" w:hAnsiTheme="minorEastAsia" w:eastAsiaTheme="minorEastAsia" w:cstheme="minorEastAsia"/>
          <w:b/>
          <w:bCs/>
          <w:color w:val="000000"/>
          <w:sz w:val="24"/>
          <w:szCs w:val="24"/>
          <w:lang w:val="en-US" w:eastAsia="zh-CN"/>
        </w:rPr>
        <w:t>)</w:t>
      </w:r>
      <w:r>
        <w:rPr>
          <w:rFonts w:hint="eastAsia" w:asciiTheme="minorEastAsia" w:hAnsiTheme="minorEastAsia" w:eastAsiaTheme="minorEastAsia" w:cstheme="minorEastAsia"/>
          <w:b/>
          <w:bCs/>
          <w:color w:val="000000"/>
          <w:sz w:val="24"/>
          <w:szCs w:val="24"/>
        </w:rPr>
        <w:t>潮间带生物</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color w:val="000000"/>
          <w:sz w:val="24"/>
          <w:szCs w:val="24"/>
        </w:rPr>
        <w:t>监测断面：</w:t>
      </w:r>
      <w:r>
        <w:rPr>
          <w:rFonts w:hint="eastAsia" w:asciiTheme="minorEastAsia" w:hAnsiTheme="minorEastAsia" w:eastAsiaTheme="minorEastAsia" w:cstheme="minorEastAsia"/>
          <w:bCs/>
          <w:color w:val="000000"/>
          <w:sz w:val="24"/>
          <w:szCs w:val="24"/>
        </w:rPr>
        <w:t>设置2个监测断面（T1、T2），详见表1和图1。</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color w:val="000000"/>
          <w:sz w:val="24"/>
          <w:szCs w:val="24"/>
        </w:rPr>
        <w:t>监测项目：</w:t>
      </w:r>
      <w:r>
        <w:rPr>
          <w:rFonts w:hint="eastAsia" w:asciiTheme="minorEastAsia" w:hAnsiTheme="minorEastAsia" w:eastAsiaTheme="minorEastAsia" w:cstheme="minorEastAsia"/>
          <w:bCs/>
          <w:color w:val="000000"/>
          <w:sz w:val="24"/>
          <w:szCs w:val="24"/>
        </w:rPr>
        <w:t>进行潮间带底栖生物监测；</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Cs/>
          <w:color w:val="000000"/>
          <w:sz w:val="24"/>
          <w:szCs w:val="24"/>
        </w:rPr>
      </w:pPr>
      <w:r>
        <w:rPr>
          <w:rFonts w:hint="eastAsia" w:asciiTheme="minorEastAsia" w:hAnsiTheme="minorEastAsia" w:eastAsiaTheme="minorEastAsia" w:cstheme="minorEastAsia"/>
          <w:b/>
          <w:color w:val="000000"/>
          <w:sz w:val="24"/>
          <w:szCs w:val="24"/>
        </w:rPr>
        <w:t>监测频率：</w:t>
      </w:r>
      <w:r>
        <w:rPr>
          <w:rFonts w:hint="eastAsia" w:asciiTheme="minorEastAsia" w:hAnsiTheme="minorEastAsia" w:eastAsiaTheme="minorEastAsia" w:cstheme="minorEastAsia"/>
          <w:bCs/>
          <w:color w:val="000000"/>
          <w:sz w:val="24"/>
          <w:szCs w:val="24"/>
        </w:rPr>
        <w:t>于大潮汛期间监测1次。</w:t>
      </w:r>
    </w:p>
    <w:p>
      <w:pPr>
        <w:spacing w:before="60" w:line="360" w:lineRule="auto"/>
        <w:ind w:left="480"/>
        <w:jc w:val="center"/>
        <w:rPr>
          <w:rFonts w:ascii="Times New Roman" w:hAnsi="Times New Roman"/>
          <w:b/>
          <w:bCs/>
          <w:sz w:val="24"/>
        </w:rPr>
      </w:pPr>
      <w:r>
        <w:rPr>
          <w:rFonts w:ascii="Times New Roman" w:hAnsi="Times New Roman"/>
          <w:b/>
          <w:bCs/>
          <w:sz w:val="24"/>
        </w:rPr>
        <w:t>表1  监测站位坐标及监测内容</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926"/>
        <w:gridCol w:w="2044"/>
        <w:gridCol w:w="3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b/>
                <w:bCs/>
              </w:rPr>
            </w:pPr>
            <w:r>
              <w:rPr>
                <w:rFonts w:ascii="Times New Roman" w:hAnsi="Times New Roman"/>
                <w:b/>
                <w:bCs/>
              </w:rPr>
              <w:t>站位</w:t>
            </w:r>
          </w:p>
        </w:tc>
        <w:tc>
          <w:tcPr>
            <w:tcW w:w="1926" w:type="dxa"/>
            <w:shd w:val="clear" w:color="auto" w:fill="auto"/>
            <w:noWrap w:val="0"/>
            <w:vAlign w:val="center"/>
          </w:tcPr>
          <w:p>
            <w:pPr>
              <w:jc w:val="center"/>
              <w:rPr>
                <w:rFonts w:ascii="Times New Roman" w:hAnsi="Times New Roman"/>
                <w:b/>
                <w:bCs/>
              </w:rPr>
            </w:pPr>
            <w:r>
              <w:rPr>
                <w:rFonts w:ascii="Times New Roman" w:hAnsi="Times New Roman"/>
                <w:b/>
                <w:bCs/>
              </w:rPr>
              <w:t>经度</w:t>
            </w:r>
          </w:p>
        </w:tc>
        <w:tc>
          <w:tcPr>
            <w:tcW w:w="2044" w:type="dxa"/>
            <w:shd w:val="clear" w:color="auto" w:fill="auto"/>
            <w:noWrap w:val="0"/>
            <w:vAlign w:val="center"/>
          </w:tcPr>
          <w:p>
            <w:pPr>
              <w:jc w:val="center"/>
              <w:rPr>
                <w:rFonts w:ascii="Times New Roman" w:hAnsi="Times New Roman"/>
                <w:b/>
                <w:bCs/>
              </w:rPr>
            </w:pPr>
            <w:r>
              <w:rPr>
                <w:rFonts w:ascii="Times New Roman" w:hAnsi="Times New Roman"/>
                <w:b/>
                <w:bCs/>
              </w:rPr>
              <w:t>纬度</w:t>
            </w:r>
          </w:p>
        </w:tc>
        <w:tc>
          <w:tcPr>
            <w:tcW w:w="3504" w:type="dxa"/>
            <w:shd w:val="clear" w:color="auto" w:fill="auto"/>
            <w:noWrap w:val="0"/>
            <w:vAlign w:val="center"/>
          </w:tcPr>
          <w:p>
            <w:pPr>
              <w:jc w:val="center"/>
              <w:rPr>
                <w:rFonts w:ascii="Times New Roman" w:hAnsi="Times New Roman"/>
                <w:b/>
                <w:bCs/>
              </w:rPr>
            </w:pPr>
            <w:r>
              <w:rPr>
                <w:rFonts w:ascii="Times New Roman" w:hAnsi="Times New Roman"/>
                <w:b/>
                <w:bCs/>
              </w:rPr>
              <w:t>监测内容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1</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56</w:t>
            </w:r>
            <w:r>
              <w:rPr>
                <w:rFonts w:ascii="Times New Roman" w:hAnsi="Times New Roman"/>
              </w:rPr>
              <w:t>′</w:t>
            </w:r>
            <w:r>
              <w:rPr>
                <w:rFonts w:hint="eastAsia" w:ascii="Times New Roman" w:hAnsi="Times New Roman"/>
              </w:rPr>
              <w:t>44.83</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08</w:t>
            </w:r>
            <w:r>
              <w:rPr>
                <w:rFonts w:ascii="Times New Roman" w:hAnsi="Times New Roman"/>
              </w:rPr>
              <w:t>′</w:t>
            </w:r>
            <w:r>
              <w:rPr>
                <w:rFonts w:hint="eastAsia" w:ascii="Times New Roman" w:hAnsi="Times New Roman"/>
              </w:rPr>
              <w:t>04.86</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水质、沉积物、海洋生态</w:t>
            </w:r>
            <w:r>
              <w:rPr>
                <w:rFonts w:hint="eastAsia" w:ascii="Times New Roman" w:hAnsi="Times New Roman"/>
              </w:rPr>
              <w:t>和生物资源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2</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55</w:t>
            </w:r>
            <w:r>
              <w:rPr>
                <w:rFonts w:ascii="Times New Roman" w:hAnsi="Times New Roman"/>
              </w:rPr>
              <w:t>′</w:t>
            </w:r>
            <w:r>
              <w:rPr>
                <w:rFonts w:hint="eastAsia" w:ascii="Times New Roman" w:hAnsi="Times New Roman"/>
              </w:rPr>
              <w:t>54.63</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07</w:t>
            </w:r>
            <w:r>
              <w:rPr>
                <w:rFonts w:ascii="Times New Roman" w:hAnsi="Times New Roman"/>
              </w:rPr>
              <w:t>′</w:t>
            </w:r>
            <w:r>
              <w:rPr>
                <w:rFonts w:hint="eastAsia" w:ascii="Times New Roman" w:hAnsi="Times New Roman"/>
              </w:rPr>
              <w:t>42.96</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3</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54</w:t>
            </w:r>
            <w:r>
              <w:rPr>
                <w:rFonts w:ascii="Times New Roman" w:hAnsi="Times New Roman"/>
              </w:rPr>
              <w:t>′</w:t>
            </w:r>
            <w:r>
              <w:rPr>
                <w:rFonts w:hint="eastAsia" w:ascii="Times New Roman" w:hAnsi="Times New Roman"/>
              </w:rPr>
              <w:t>56.24</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07</w:t>
            </w:r>
            <w:r>
              <w:rPr>
                <w:rFonts w:ascii="Times New Roman" w:hAnsi="Times New Roman"/>
              </w:rPr>
              <w:t>′</w:t>
            </w:r>
            <w:r>
              <w:rPr>
                <w:rFonts w:hint="eastAsia" w:ascii="Times New Roman" w:hAnsi="Times New Roman"/>
              </w:rPr>
              <w:t>15.53</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水质、沉积物、海洋生态</w:t>
            </w:r>
            <w:r>
              <w:rPr>
                <w:rFonts w:hint="eastAsia" w:ascii="Times New Roman" w:hAnsi="Times New Roman"/>
              </w:rPr>
              <w:t>和生物资源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4</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53</w:t>
            </w:r>
            <w:r>
              <w:rPr>
                <w:rFonts w:ascii="Times New Roman" w:hAnsi="Times New Roman"/>
              </w:rPr>
              <w:t>′</w:t>
            </w:r>
            <w:r>
              <w:rPr>
                <w:rFonts w:hint="eastAsia" w:ascii="Times New Roman" w:hAnsi="Times New Roman"/>
              </w:rPr>
              <w:t>47.82</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06</w:t>
            </w:r>
            <w:r>
              <w:rPr>
                <w:rFonts w:ascii="Times New Roman" w:hAnsi="Times New Roman"/>
              </w:rPr>
              <w:t>′</w:t>
            </w:r>
            <w:r>
              <w:rPr>
                <w:rFonts w:hint="eastAsia" w:ascii="Times New Roman" w:hAnsi="Times New Roman"/>
              </w:rPr>
              <w:t>44.24</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5</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58</w:t>
            </w:r>
            <w:r>
              <w:rPr>
                <w:rFonts w:ascii="Times New Roman" w:hAnsi="Times New Roman"/>
              </w:rPr>
              <w:t>′</w:t>
            </w:r>
            <w:r>
              <w:rPr>
                <w:rFonts w:hint="eastAsia" w:ascii="Times New Roman" w:hAnsi="Times New Roman"/>
              </w:rPr>
              <w:t>40.56</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03</w:t>
            </w:r>
            <w:r>
              <w:rPr>
                <w:rFonts w:ascii="Times New Roman" w:hAnsi="Times New Roman"/>
              </w:rPr>
              <w:t>′</w:t>
            </w:r>
            <w:r>
              <w:rPr>
                <w:rFonts w:hint="eastAsia" w:ascii="Times New Roman" w:hAnsi="Times New Roman"/>
              </w:rPr>
              <w:t>05.82</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水质、沉积物、海洋生态</w:t>
            </w:r>
            <w:r>
              <w:rPr>
                <w:rFonts w:hint="eastAsia" w:ascii="Times New Roman" w:hAnsi="Times New Roman"/>
              </w:rPr>
              <w:t>和生物资源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6</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57</w:t>
            </w:r>
            <w:r>
              <w:rPr>
                <w:rFonts w:ascii="Times New Roman" w:hAnsi="Times New Roman"/>
              </w:rPr>
              <w:t>′</w:t>
            </w:r>
            <w:r>
              <w:rPr>
                <w:rFonts w:hint="eastAsia" w:ascii="Times New Roman" w:hAnsi="Times New Roman"/>
              </w:rPr>
              <w:t>57.18</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02</w:t>
            </w:r>
            <w:r>
              <w:rPr>
                <w:rFonts w:ascii="Times New Roman" w:hAnsi="Times New Roman"/>
              </w:rPr>
              <w:t>′</w:t>
            </w:r>
            <w:r>
              <w:rPr>
                <w:rFonts w:hint="eastAsia" w:ascii="Times New Roman" w:hAnsi="Times New Roman"/>
              </w:rPr>
              <w:t>43.91</w:t>
            </w:r>
            <w:r>
              <w:rPr>
                <w:rFonts w:ascii="Times New Roman" w:hAnsi="Times New Roman"/>
              </w:rPr>
              <w:t>″</w:t>
            </w:r>
          </w:p>
        </w:tc>
        <w:tc>
          <w:tcPr>
            <w:tcW w:w="3504" w:type="dxa"/>
            <w:shd w:val="clear" w:color="auto" w:fill="auto"/>
            <w:noWrap w:val="0"/>
            <w:vAlign w:val="center"/>
          </w:tcPr>
          <w:p>
            <w:pPr>
              <w:jc w:val="center"/>
              <w:rPr>
                <w:rFonts w:hint="eastAsia" w:ascii="Times New Roman" w:hAnsi="Times New Roman"/>
              </w:rPr>
            </w:pPr>
            <w:r>
              <w:rPr>
                <w:rFonts w:ascii="Times New Roman" w:hAnsi="Times New Roman"/>
              </w:rPr>
              <w:t>水质、海洋生态</w:t>
            </w:r>
            <w:r>
              <w:rPr>
                <w:rFonts w:hint="eastAsia" w:ascii="Times New Roman" w:hAnsi="Times New Roman"/>
              </w:rPr>
              <w:t>和生物资源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7</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57</w:t>
            </w:r>
            <w:r>
              <w:rPr>
                <w:rFonts w:ascii="Times New Roman" w:hAnsi="Times New Roman"/>
              </w:rPr>
              <w:t>′</w:t>
            </w:r>
            <w:r>
              <w:rPr>
                <w:rFonts w:hint="eastAsia" w:ascii="Times New Roman" w:hAnsi="Times New Roman"/>
              </w:rPr>
              <w:t>22.58</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02</w:t>
            </w:r>
            <w:r>
              <w:rPr>
                <w:rFonts w:ascii="Times New Roman" w:hAnsi="Times New Roman"/>
              </w:rPr>
              <w:t>′</w:t>
            </w:r>
            <w:r>
              <w:rPr>
                <w:rFonts w:hint="eastAsia" w:ascii="Times New Roman" w:hAnsi="Times New Roman"/>
              </w:rPr>
              <w:t>27.02</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水质、沉积物、海洋生态</w:t>
            </w:r>
            <w:r>
              <w:rPr>
                <w:rFonts w:hint="eastAsia" w:ascii="Times New Roman" w:hAnsi="Times New Roman"/>
              </w:rPr>
              <w:t>和生物资源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8</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56</w:t>
            </w:r>
            <w:r>
              <w:rPr>
                <w:rFonts w:ascii="Times New Roman" w:hAnsi="Times New Roman"/>
              </w:rPr>
              <w:t>′</w:t>
            </w:r>
            <w:r>
              <w:rPr>
                <w:rFonts w:hint="eastAsia" w:ascii="Times New Roman" w:hAnsi="Times New Roman"/>
              </w:rPr>
              <w:t>22.86</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01</w:t>
            </w:r>
            <w:r>
              <w:rPr>
                <w:rFonts w:ascii="Times New Roman" w:hAnsi="Times New Roman"/>
              </w:rPr>
              <w:t>′</w:t>
            </w:r>
            <w:r>
              <w:rPr>
                <w:rFonts w:hint="eastAsia" w:ascii="Times New Roman" w:hAnsi="Times New Roman"/>
              </w:rPr>
              <w:t>56.51</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9</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2</w:t>
            </w:r>
            <w:r>
              <w:rPr>
                <w:rFonts w:ascii="Times New Roman" w:hAnsi="Times New Roman"/>
              </w:rPr>
              <w:t>°</w:t>
            </w:r>
            <w:r>
              <w:rPr>
                <w:rFonts w:hint="eastAsia" w:ascii="Times New Roman" w:hAnsi="Times New Roman"/>
              </w:rPr>
              <w:t>01</w:t>
            </w:r>
            <w:r>
              <w:rPr>
                <w:rFonts w:ascii="Times New Roman" w:hAnsi="Times New Roman"/>
              </w:rPr>
              <w:t>′</w:t>
            </w:r>
            <w:r>
              <w:rPr>
                <w:rFonts w:hint="eastAsia" w:ascii="Times New Roman" w:hAnsi="Times New Roman"/>
              </w:rPr>
              <w:t>04.22</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29</w:t>
            </w:r>
            <w:r>
              <w:rPr>
                <w:rFonts w:ascii="Times New Roman" w:hAnsi="Times New Roman"/>
              </w:rPr>
              <w:t>°</w:t>
            </w:r>
            <w:r>
              <w:rPr>
                <w:rFonts w:hint="eastAsia" w:ascii="Times New Roman" w:hAnsi="Times New Roman"/>
              </w:rPr>
              <w:t>59</w:t>
            </w:r>
            <w:r>
              <w:rPr>
                <w:rFonts w:ascii="Times New Roman" w:hAnsi="Times New Roman"/>
              </w:rPr>
              <w:t>′</w:t>
            </w:r>
            <w:r>
              <w:rPr>
                <w:rFonts w:hint="eastAsia" w:ascii="Times New Roman" w:hAnsi="Times New Roman"/>
              </w:rPr>
              <w:t>26.45</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10</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2</w:t>
            </w:r>
            <w:r>
              <w:rPr>
                <w:rFonts w:ascii="Times New Roman" w:hAnsi="Times New Roman"/>
              </w:rPr>
              <w:t>°</w:t>
            </w:r>
            <w:r>
              <w:rPr>
                <w:rFonts w:hint="eastAsia" w:ascii="Times New Roman" w:hAnsi="Times New Roman"/>
              </w:rPr>
              <w:t>00</w:t>
            </w:r>
            <w:r>
              <w:rPr>
                <w:rFonts w:ascii="Times New Roman" w:hAnsi="Times New Roman"/>
              </w:rPr>
              <w:t>′</w:t>
            </w:r>
            <w:r>
              <w:rPr>
                <w:rFonts w:hint="eastAsia" w:ascii="Times New Roman" w:hAnsi="Times New Roman"/>
              </w:rPr>
              <w:t>17.77</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29</w:t>
            </w:r>
            <w:r>
              <w:rPr>
                <w:rFonts w:ascii="Times New Roman" w:hAnsi="Times New Roman"/>
              </w:rPr>
              <w:t>°</w:t>
            </w:r>
            <w:r>
              <w:rPr>
                <w:rFonts w:hint="eastAsia" w:ascii="Times New Roman" w:hAnsi="Times New Roman"/>
              </w:rPr>
              <w:t>59</w:t>
            </w:r>
            <w:r>
              <w:rPr>
                <w:rFonts w:ascii="Times New Roman" w:hAnsi="Times New Roman"/>
              </w:rPr>
              <w:t>′</w:t>
            </w:r>
            <w:r>
              <w:rPr>
                <w:rFonts w:hint="eastAsia" w:ascii="Times New Roman" w:hAnsi="Times New Roman"/>
              </w:rPr>
              <w:t>03.98</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水质、沉积物、海洋生态</w:t>
            </w:r>
            <w:r>
              <w:rPr>
                <w:rFonts w:hint="eastAsia" w:ascii="Times New Roman" w:hAnsi="Times New Roman"/>
              </w:rPr>
              <w:t>和生物资源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11</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59</w:t>
            </w:r>
            <w:r>
              <w:rPr>
                <w:rFonts w:ascii="Times New Roman" w:hAnsi="Times New Roman"/>
              </w:rPr>
              <w:t>′</w:t>
            </w:r>
            <w:r>
              <w:rPr>
                <w:rFonts w:hint="eastAsia" w:ascii="Times New Roman" w:hAnsi="Times New Roman"/>
              </w:rPr>
              <w:t>24.83</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29</w:t>
            </w:r>
            <w:r>
              <w:rPr>
                <w:rFonts w:ascii="Times New Roman" w:hAnsi="Times New Roman"/>
              </w:rPr>
              <w:t>°</w:t>
            </w:r>
            <w:r>
              <w:rPr>
                <w:rFonts w:hint="eastAsia" w:ascii="Times New Roman" w:hAnsi="Times New Roman"/>
              </w:rPr>
              <w:t>58</w:t>
            </w:r>
            <w:r>
              <w:rPr>
                <w:rFonts w:ascii="Times New Roman" w:hAnsi="Times New Roman"/>
              </w:rPr>
              <w:t>′</w:t>
            </w:r>
            <w:r>
              <w:rPr>
                <w:rFonts w:hint="eastAsia" w:ascii="Times New Roman" w:hAnsi="Times New Roman"/>
              </w:rPr>
              <w:t>38.56</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水质、海洋生态</w:t>
            </w:r>
            <w:r>
              <w:rPr>
                <w:rFonts w:hint="eastAsia" w:ascii="Times New Roman" w:hAnsi="Times New Roman"/>
              </w:rPr>
              <w:t>和生物资源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S</w:t>
            </w:r>
            <w:r>
              <w:rPr>
                <w:rFonts w:ascii="Times New Roman" w:hAnsi="Times New Roman"/>
              </w:rPr>
              <w:t>12</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58</w:t>
            </w:r>
            <w:r>
              <w:rPr>
                <w:rFonts w:ascii="Times New Roman" w:hAnsi="Times New Roman"/>
              </w:rPr>
              <w:t>′</w:t>
            </w:r>
            <w:r>
              <w:rPr>
                <w:rFonts w:hint="eastAsia" w:ascii="Times New Roman" w:hAnsi="Times New Roman"/>
              </w:rPr>
              <w:t>38.18</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29</w:t>
            </w:r>
            <w:r>
              <w:rPr>
                <w:rFonts w:ascii="Times New Roman" w:hAnsi="Times New Roman"/>
              </w:rPr>
              <w:t>°</w:t>
            </w:r>
            <w:r>
              <w:rPr>
                <w:rFonts w:hint="eastAsia" w:ascii="Times New Roman" w:hAnsi="Times New Roman"/>
              </w:rPr>
              <w:t>58</w:t>
            </w:r>
            <w:r>
              <w:rPr>
                <w:rFonts w:ascii="Times New Roman" w:hAnsi="Times New Roman"/>
              </w:rPr>
              <w:t>′</w:t>
            </w:r>
            <w:r>
              <w:rPr>
                <w:rFonts w:hint="eastAsia" w:ascii="Times New Roman" w:hAnsi="Times New Roman"/>
              </w:rPr>
              <w:t>15.03</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水质、沉积物、海洋生态</w:t>
            </w:r>
            <w:r>
              <w:rPr>
                <w:rFonts w:hint="eastAsia" w:ascii="Times New Roman" w:hAnsi="Times New Roman"/>
              </w:rPr>
              <w:t>和生物资源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T</w:t>
            </w:r>
            <w:r>
              <w:rPr>
                <w:rFonts w:ascii="Times New Roman" w:hAnsi="Times New Roman"/>
              </w:rPr>
              <w:t>1</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58</w:t>
            </w:r>
            <w:r>
              <w:rPr>
                <w:rFonts w:ascii="Times New Roman" w:hAnsi="Times New Roman"/>
              </w:rPr>
              <w:t>′</w:t>
            </w:r>
            <w:r>
              <w:rPr>
                <w:rFonts w:hint="eastAsia" w:ascii="Times New Roman" w:hAnsi="Times New Roman"/>
              </w:rPr>
              <w:t>46.14</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03</w:t>
            </w:r>
            <w:r>
              <w:rPr>
                <w:rFonts w:ascii="Times New Roman" w:hAnsi="Times New Roman"/>
              </w:rPr>
              <w:t>′</w:t>
            </w:r>
            <w:r>
              <w:rPr>
                <w:rFonts w:hint="eastAsia" w:ascii="Times New Roman" w:hAnsi="Times New Roman"/>
              </w:rPr>
              <w:t>08.64</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潮间带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8" w:type="dxa"/>
            <w:shd w:val="clear" w:color="auto" w:fill="auto"/>
            <w:noWrap w:val="0"/>
            <w:vAlign w:val="center"/>
          </w:tcPr>
          <w:p>
            <w:pPr>
              <w:jc w:val="center"/>
              <w:rPr>
                <w:rFonts w:ascii="Times New Roman" w:hAnsi="Times New Roman"/>
              </w:rPr>
            </w:pPr>
            <w:r>
              <w:rPr>
                <w:rFonts w:hint="eastAsia" w:ascii="Times New Roman" w:hAnsi="Times New Roman"/>
              </w:rPr>
              <w:t>T</w:t>
            </w:r>
            <w:r>
              <w:rPr>
                <w:rFonts w:ascii="Times New Roman" w:hAnsi="Times New Roman"/>
              </w:rPr>
              <w:t>2</w:t>
            </w:r>
          </w:p>
        </w:tc>
        <w:tc>
          <w:tcPr>
            <w:tcW w:w="1926" w:type="dxa"/>
            <w:shd w:val="clear" w:color="auto" w:fill="auto"/>
            <w:noWrap w:val="0"/>
            <w:vAlign w:val="center"/>
          </w:tcPr>
          <w:p>
            <w:pPr>
              <w:jc w:val="center"/>
              <w:rPr>
                <w:rFonts w:ascii="Times New Roman" w:hAnsi="Times New Roman"/>
              </w:rPr>
            </w:pPr>
            <w:r>
              <w:rPr>
                <w:rFonts w:ascii="Times New Roman" w:hAnsi="Times New Roman"/>
              </w:rPr>
              <w:t>12</w:t>
            </w:r>
            <w:r>
              <w:rPr>
                <w:rFonts w:hint="eastAsia" w:ascii="Times New Roman" w:hAnsi="Times New Roman"/>
              </w:rPr>
              <w:t>1</w:t>
            </w:r>
            <w:r>
              <w:rPr>
                <w:rFonts w:ascii="Times New Roman" w:hAnsi="Times New Roman"/>
              </w:rPr>
              <w:t>°</w:t>
            </w:r>
            <w:r>
              <w:rPr>
                <w:rFonts w:hint="eastAsia" w:ascii="Times New Roman" w:hAnsi="Times New Roman"/>
              </w:rPr>
              <w:t>55</w:t>
            </w:r>
            <w:r>
              <w:rPr>
                <w:rFonts w:ascii="Times New Roman" w:hAnsi="Times New Roman"/>
              </w:rPr>
              <w:t>′</w:t>
            </w:r>
            <w:r>
              <w:rPr>
                <w:rFonts w:hint="eastAsia" w:ascii="Times New Roman" w:hAnsi="Times New Roman"/>
              </w:rPr>
              <w:t>53.65</w:t>
            </w:r>
            <w:r>
              <w:rPr>
                <w:rFonts w:ascii="Times New Roman" w:hAnsi="Times New Roman"/>
              </w:rPr>
              <w:t>″</w:t>
            </w:r>
          </w:p>
        </w:tc>
        <w:tc>
          <w:tcPr>
            <w:tcW w:w="2044" w:type="dxa"/>
            <w:shd w:val="clear" w:color="auto" w:fill="auto"/>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w:t>
            </w:r>
            <w:r>
              <w:rPr>
                <w:rFonts w:hint="eastAsia" w:ascii="Times New Roman" w:hAnsi="Times New Roman"/>
              </w:rPr>
              <w:t>04</w:t>
            </w:r>
            <w:r>
              <w:rPr>
                <w:rFonts w:ascii="Times New Roman" w:hAnsi="Times New Roman"/>
              </w:rPr>
              <w:t>′</w:t>
            </w:r>
            <w:r>
              <w:rPr>
                <w:rFonts w:hint="eastAsia" w:ascii="Times New Roman" w:hAnsi="Times New Roman"/>
              </w:rPr>
              <w:t>08.88</w:t>
            </w:r>
            <w:r>
              <w:rPr>
                <w:rFonts w:ascii="Times New Roman" w:hAnsi="Times New Roman"/>
              </w:rPr>
              <w:t>″</w:t>
            </w:r>
          </w:p>
        </w:tc>
        <w:tc>
          <w:tcPr>
            <w:tcW w:w="3504" w:type="dxa"/>
            <w:shd w:val="clear" w:color="auto" w:fill="auto"/>
            <w:noWrap w:val="0"/>
            <w:vAlign w:val="center"/>
          </w:tcPr>
          <w:p>
            <w:pPr>
              <w:jc w:val="center"/>
              <w:rPr>
                <w:rFonts w:ascii="Times New Roman" w:hAnsi="Times New Roman"/>
              </w:rPr>
            </w:pPr>
            <w:r>
              <w:rPr>
                <w:rFonts w:ascii="Times New Roman" w:hAnsi="Times New Roman"/>
              </w:rPr>
              <w:t>潮间带</w:t>
            </w:r>
          </w:p>
        </w:tc>
      </w:tr>
    </w:tbl>
    <w:p>
      <w:pPr>
        <w:rPr>
          <w:rFonts w:hint="eastAsia" w:ascii="Times New Roman" w:hAnsi="Times New Roman"/>
        </w:rPr>
      </w:pPr>
      <w:r>
        <w:rPr>
          <w:rFonts w:hint="eastAsia" w:ascii="Times New Roman" w:hAnsi="Times New Roman"/>
        </w:rPr>
        <w:t>注：监测站位可根据现场通航状况和采样条件进行调整。</w:t>
      </w:r>
    </w:p>
    <w:p>
      <w:pPr>
        <w:rPr>
          <w:rFonts w:hint="eastAsia" w:ascii="Times New Roman" w:hAnsi="Times New Roman"/>
        </w:rPr>
        <w:sectPr>
          <w:pgSz w:w="11906" w:h="16838"/>
          <w:pgMar w:top="1440" w:right="1800" w:bottom="1440" w:left="1800" w:header="851" w:footer="992" w:gutter="0"/>
          <w:cols w:space="720" w:num="1"/>
          <w:docGrid w:type="lines" w:linePitch="312" w:charSpace="0"/>
        </w:sectPr>
      </w:pPr>
    </w:p>
    <w:p>
      <w:pPr>
        <w:spacing w:before="60" w:line="360" w:lineRule="auto"/>
        <w:ind w:left="480"/>
        <w:jc w:val="center"/>
        <w:rPr>
          <w:rFonts w:hint="eastAsia" w:ascii="Times New Roman" w:hAnsi="Times New Roman"/>
          <w:b/>
          <w:bCs/>
          <w:sz w:val="24"/>
          <w:lang w:val="en-US" w:eastAsia="en-US"/>
        </w:rPr>
      </w:pPr>
      <w:r>
        <w:rPr>
          <w:rFonts w:hint="eastAsia" w:ascii="Times New Roman" w:hAnsi="Times New Roman"/>
          <w:b/>
          <w:bCs/>
          <w:sz w:val="24"/>
        </w:rPr>
        <w:t>图1</w:t>
      </w:r>
      <w:r>
        <w:rPr>
          <w:rFonts w:ascii="Times New Roman" w:hAnsi="Times New Roman"/>
          <w:b/>
          <w:bCs/>
          <w:sz w:val="24"/>
        </w:rPr>
        <w:t xml:space="preserve">  </w:t>
      </w:r>
      <w:r>
        <w:rPr>
          <w:rFonts w:hint="eastAsia" w:ascii="Times New Roman" w:hAnsi="Times New Roman"/>
          <w:b/>
          <w:bCs/>
          <w:sz w:val="24"/>
        </w:rPr>
        <w:t>海洋监测点位布置图</w:t>
      </w:r>
    </w:p>
    <w:p>
      <w:r>
        <w:drawing>
          <wp:inline distT="0" distB="0" distL="114300" distR="114300">
            <wp:extent cx="5271135" cy="441960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271135" cy="4419600"/>
                    </a:xfrm>
                    <a:prstGeom prst="rect">
                      <a:avLst/>
                    </a:prstGeom>
                    <a:noFill/>
                    <a:ln>
                      <a:noFill/>
                    </a:ln>
                  </pic:spPr>
                </pic:pic>
              </a:graphicData>
            </a:graphic>
          </wp:inline>
        </w:drawing>
      </w:r>
    </w:p>
    <w:p>
      <w:pPr>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kern w:val="2"/>
          <w:sz w:val="24"/>
          <w:szCs w:val="24"/>
          <w:lang w:val="en-US" w:eastAsia="en-US" w:bidi="ar-SA"/>
        </w:rPr>
        <w:t>、保密要求：</w:t>
      </w:r>
      <w:r>
        <w:rPr>
          <w:rFonts w:hint="eastAsia" w:asciiTheme="minorEastAsia" w:hAnsiTheme="minorEastAsia" w:eastAsiaTheme="minorEastAsia" w:cstheme="minorEastAsia"/>
          <w:kern w:val="2"/>
          <w:sz w:val="24"/>
          <w:szCs w:val="24"/>
          <w:lang w:val="en-US" w:eastAsia="zh-CN" w:bidi="ar-SA"/>
        </w:rPr>
        <w:t>对中海油（舟山）能源物流有限公司本服务有关内容主动承担保密义务，未经本公司同意，不向第三方透露。保密信息包括但不限于文件、图纸、图表、数据等。</w:t>
      </w:r>
    </w:p>
    <w:p>
      <w:pPr>
        <w:pStyle w:val="6"/>
        <w:keepNext w:val="0"/>
        <w:keepLines w:val="0"/>
        <w:pageBreakBefore w:val="0"/>
        <w:widowControl w:val="0"/>
        <w:kinsoku/>
        <w:wordWrap/>
        <w:overflowPunct/>
        <w:topLinePunct w:val="0"/>
        <w:autoSpaceDE/>
        <w:autoSpaceDN/>
        <w:bidi w:val="0"/>
        <w:adjustRightInd/>
        <w:snapToGrid/>
        <w:spacing w:before="0" w:line="360" w:lineRule="auto"/>
        <w:ind w:left="0" w:leftChars="0" w:right="115" w:rightChars="55" w:firstLine="0" w:firstLineChars="0"/>
        <w:textAlignment w:val="auto"/>
        <w:rPr>
          <w:rFonts w:hint="eastAsia" w:asciiTheme="minorEastAsia" w:hAnsiTheme="minorEastAsia" w:eastAsiaTheme="minorEastAsia" w:cstheme="minorEastAsia"/>
          <w:sz w:val="24"/>
          <w:szCs w:val="24"/>
          <w:lang w:val="en-US" w:eastAsia="en-US" w:bidi="ar-SA"/>
        </w:rPr>
      </w:pPr>
      <w:r>
        <w:rPr>
          <w:rFonts w:hint="eastAsia" w:asciiTheme="minorEastAsia" w:hAnsiTheme="minorEastAsia" w:eastAsiaTheme="minorEastAsia" w:cstheme="minorEastAsia"/>
          <w:spacing w:val="4"/>
          <w:sz w:val="24"/>
          <w:szCs w:val="24"/>
          <w:lang w:val="en-US" w:eastAsia="en-US" w:bidi="ar-SA"/>
        </w:rPr>
        <w:t>五、配备资源要求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en-US" w:bidi="ar-SA"/>
        </w:rPr>
        <w:t>1、 机具要求：</w:t>
      </w:r>
      <w:r>
        <w:rPr>
          <w:rFonts w:hint="eastAsia" w:asciiTheme="minorEastAsia" w:hAnsiTheme="minorEastAsia" w:eastAsiaTheme="minorEastAsia" w:cstheme="minorEastAsia"/>
          <w:kern w:val="2"/>
          <w:sz w:val="24"/>
          <w:szCs w:val="24"/>
          <w:lang w:val="en-US" w:eastAsia="zh-CN" w:bidi="ar-SA"/>
        </w:rPr>
        <w:t>配备本项目监测调查所需的机具、设备。</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en-US" w:bidi="ar-SA"/>
        </w:rPr>
        <w:t>2、 材料要求：</w:t>
      </w:r>
      <w:r>
        <w:rPr>
          <w:rFonts w:hint="eastAsia" w:asciiTheme="minorEastAsia" w:hAnsiTheme="minorEastAsia" w:eastAsiaTheme="minorEastAsia" w:cstheme="minorEastAsia"/>
          <w:kern w:val="2"/>
          <w:sz w:val="24"/>
          <w:szCs w:val="24"/>
          <w:lang w:val="en-US" w:eastAsia="zh-CN" w:bidi="ar-SA"/>
        </w:rPr>
        <w:t>无</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kern w:val="2"/>
          <w:sz w:val="24"/>
          <w:szCs w:val="24"/>
          <w:lang w:val="en-US" w:eastAsia="en-US" w:bidi="ar-SA"/>
        </w:rPr>
      </w:pPr>
      <w:r>
        <w:rPr>
          <w:rFonts w:hint="eastAsia" w:asciiTheme="minorEastAsia" w:hAnsiTheme="minorEastAsia" w:eastAsiaTheme="minorEastAsia" w:cstheme="minorEastAsia"/>
          <w:kern w:val="2"/>
          <w:sz w:val="24"/>
          <w:szCs w:val="24"/>
          <w:lang w:val="en-US" w:eastAsia="en-US" w:bidi="ar-SA"/>
        </w:rPr>
        <w:t>3、 人员要求：</w:t>
      </w:r>
      <w:r>
        <w:rPr>
          <w:rFonts w:hint="eastAsia" w:asciiTheme="minorEastAsia" w:hAnsiTheme="minorEastAsia" w:eastAsiaTheme="minorEastAsia" w:cstheme="minorEastAsia"/>
          <w:kern w:val="2"/>
          <w:sz w:val="24"/>
          <w:szCs w:val="24"/>
          <w:lang w:val="en-US" w:eastAsia="zh-CN" w:bidi="ar-SA"/>
        </w:rPr>
        <w:t>无</w:t>
      </w:r>
      <w:r>
        <w:rPr>
          <w:rFonts w:hint="eastAsia" w:asciiTheme="minorEastAsia" w:hAnsiTheme="minorEastAsia" w:eastAsiaTheme="minorEastAsia" w:cstheme="minorEastAsia"/>
          <w:kern w:val="2"/>
          <w:sz w:val="24"/>
          <w:szCs w:val="24"/>
          <w:lang w:val="en-US" w:eastAsia="en-US" w:bidi="ar-SA"/>
        </w:rPr>
        <w:t>。</w:t>
      </w:r>
    </w:p>
    <w:p>
      <w:pPr>
        <w:keepNext w:val="0"/>
        <w:keepLines w:val="0"/>
        <w:pageBreakBefore w:val="0"/>
        <w:widowControl w:val="0"/>
        <w:kinsoku/>
        <w:wordWrap/>
        <w:overflowPunct/>
        <w:topLinePunct w:val="0"/>
        <w:autoSpaceDE/>
        <w:autoSpaceDN/>
        <w:bidi w:val="0"/>
        <w:adjustRightInd/>
        <w:snapToGrid/>
        <w:spacing w:after="0" w:line="360" w:lineRule="auto"/>
        <w:ind w:right="221"/>
        <w:jc w:val="left"/>
        <w:textAlignment w:val="auto"/>
        <w:rPr>
          <w:rFonts w:hint="eastAsia" w:asciiTheme="minorEastAsia" w:hAnsiTheme="minorEastAsia" w:eastAsiaTheme="minorEastAsia" w:cstheme="minorEastAsia"/>
          <w:sz w:val="24"/>
          <w:szCs w:val="24"/>
          <w:lang w:val="en-US" w:eastAsia="en-US" w:bidi="ar-SA"/>
        </w:rPr>
      </w:pPr>
      <w:r>
        <w:rPr>
          <w:rFonts w:hint="eastAsia" w:asciiTheme="minorEastAsia" w:hAnsiTheme="minorEastAsia" w:eastAsiaTheme="minorEastAsia" w:cstheme="minorEastAsia"/>
          <w:sz w:val="24"/>
          <w:szCs w:val="24"/>
          <w:lang w:val="en-US" w:eastAsia="en-US" w:bidi="ar-SA"/>
        </w:rPr>
        <w:t>六、服务进度跟踪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pacing w:val="0"/>
          <w:kern w:val="0"/>
          <w:sz w:val="24"/>
          <w:szCs w:val="24"/>
          <w:lang w:val="en-US" w:eastAsia="zh-CN" w:bidi="ar-SA"/>
        </w:rPr>
      </w:pPr>
      <w:r>
        <w:rPr>
          <w:rFonts w:hint="eastAsia" w:asciiTheme="minorEastAsia" w:hAnsiTheme="minorEastAsia" w:eastAsiaTheme="minorEastAsia" w:cstheme="minorEastAsia"/>
          <w:spacing w:val="0"/>
          <w:kern w:val="0"/>
          <w:sz w:val="24"/>
          <w:szCs w:val="24"/>
          <w:lang w:val="en-US" w:eastAsia="zh-CN" w:bidi="ar-SA"/>
        </w:rPr>
        <w:t>★1、因海洋生态环境调查需在春秋季（3月-5月，9月-11月）采样，为加快码头扩建工程进度，乙方必须在2024年11月前完成采样监测。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heme="minorEastAsia" w:hAnsiTheme="minorEastAsia" w:eastAsiaTheme="minorEastAsia" w:cstheme="minorEastAsia"/>
          <w:spacing w:val="0"/>
          <w:kern w:val="0"/>
          <w:sz w:val="24"/>
          <w:szCs w:val="24"/>
          <w:lang w:val="en-US" w:eastAsia="zh-CN" w:bidi="ar-SA"/>
        </w:rPr>
      </w:pPr>
      <w:r>
        <w:rPr>
          <w:rFonts w:hint="eastAsia" w:asciiTheme="minorEastAsia" w:hAnsiTheme="minorEastAsia" w:eastAsiaTheme="minorEastAsia" w:cstheme="minorEastAsia"/>
          <w:spacing w:val="0"/>
          <w:kern w:val="0"/>
          <w:sz w:val="24"/>
          <w:szCs w:val="24"/>
          <w:lang w:val="en-US" w:eastAsia="zh-CN" w:bidi="ar-SA"/>
        </w:rPr>
        <w:t>2、采样监测结束后2个月内出具海洋生态调查报告。</w:t>
      </w:r>
    </w:p>
    <w:p>
      <w:pPr>
        <w:keepNext w:val="0"/>
        <w:keepLines w:val="0"/>
        <w:pageBreakBefore w:val="0"/>
        <w:widowControl w:val="0"/>
        <w:kinsoku/>
        <w:wordWrap/>
        <w:overflowPunct/>
        <w:topLinePunct w:val="0"/>
        <w:autoSpaceDE/>
        <w:autoSpaceDN/>
        <w:bidi w:val="0"/>
        <w:adjustRightInd/>
        <w:snapToGrid/>
        <w:spacing w:after="0" w:line="360" w:lineRule="auto"/>
        <w:ind w:right="221"/>
        <w:jc w:val="left"/>
        <w:textAlignment w:val="auto"/>
        <w:rPr>
          <w:rFonts w:hint="eastAsia" w:asciiTheme="minorEastAsia" w:hAnsiTheme="minorEastAsia" w:eastAsiaTheme="minorEastAsia" w:cstheme="minorEastAsia"/>
          <w:sz w:val="24"/>
          <w:szCs w:val="24"/>
          <w:lang w:val="en-US" w:eastAsia="en-US" w:bidi="ar-SA"/>
        </w:rPr>
      </w:pPr>
      <w:r>
        <w:rPr>
          <w:rFonts w:hint="eastAsia" w:asciiTheme="minorEastAsia" w:hAnsiTheme="minorEastAsia" w:eastAsiaTheme="minorEastAsia" w:cstheme="minorEastAsia"/>
          <w:sz w:val="24"/>
          <w:szCs w:val="24"/>
          <w:lang w:val="en-US" w:eastAsia="en-US" w:bidi="ar-SA"/>
        </w:rPr>
        <w:t>七、服务及验收标准</w:t>
      </w:r>
    </w:p>
    <w:p>
      <w:pPr>
        <w:keepNext w:val="0"/>
        <w:keepLines w:val="0"/>
        <w:pageBreakBefore w:val="0"/>
        <w:widowControl w:val="0"/>
        <w:tabs>
          <w:tab w:val="left" w:pos="959"/>
        </w:tabs>
        <w:kinsoku/>
        <w:wordWrap/>
        <w:overflowPunct/>
        <w:topLinePunct w:val="0"/>
        <w:autoSpaceDE/>
        <w:autoSpaceDN/>
        <w:bidi w:val="0"/>
        <w:adjustRightInd/>
        <w:snapToGrid/>
        <w:spacing w:after="0" w:line="360" w:lineRule="auto"/>
        <w:ind w:right="224" w:firstLine="492" w:firstLineChars="200"/>
        <w:jc w:val="left"/>
        <w:textAlignment w:val="auto"/>
        <w:rPr>
          <w:rFonts w:hint="eastAsia" w:asciiTheme="minorEastAsia" w:hAnsiTheme="minorEastAsia" w:eastAsiaTheme="minorEastAsia" w:cstheme="minorEastAsia"/>
          <w:sz w:val="24"/>
          <w:szCs w:val="24"/>
          <w:lang w:val="en-US" w:eastAsia="en-US" w:bidi="ar-SA"/>
        </w:rPr>
      </w:pPr>
      <w:r>
        <w:rPr>
          <w:rFonts w:hint="eastAsia" w:asciiTheme="minorEastAsia" w:hAnsiTheme="minorEastAsia" w:eastAsiaTheme="minorEastAsia" w:cstheme="minorEastAsia"/>
          <w:spacing w:val="3"/>
          <w:sz w:val="24"/>
          <w:szCs w:val="24"/>
          <w:lang w:val="en-US" w:eastAsia="zh-CN" w:bidi="ar-SA"/>
        </w:rPr>
        <w:t>1、</w:t>
      </w:r>
      <w:r>
        <w:rPr>
          <w:rFonts w:hint="eastAsia" w:asciiTheme="minorEastAsia" w:hAnsiTheme="minorEastAsia" w:eastAsiaTheme="minorEastAsia" w:cstheme="minorEastAsia"/>
          <w:spacing w:val="3"/>
          <w:sz w:val="24"/>
          <w:szCs w:val="24"/>
          <w:lang w:val="en-US" w:eastAsia="en-US" w:bidi="ar-SA"/>
        </w:rPr>
        <w:t>服务标准：满足政府主管部门对于</w:t>
      </w:r>
      <w:r>
        <w:rPr>
          <w:rFonts w:hint="eastAsia" w:asciiTheme="minorEastAsia" w:hAnsiTheme="minorEastAsia" w:eastAsiaTheme="minorEastAsia" w:cstheme="minorEastAsia"/>
          <w:spacing w:val="3"/>
          <w:sz w:val="24"/>
          <w:szCs w:val="24"/>
          <w:lang w:val="en-US" w:eastAsia="zh-CN" w:bidi="ar-SA"/>
        </w:rPr>
        <w:t>海洋生态环境调查</w:t>
      </w:r>
      <w:r>
        <w:rPr>
          <w:rFonts w:hint="eastAsia" w:asciiTheme="minorEastAsia" w:hAnsiTheme="minorEastAsia" w:eastAsiaTheme="minorEastAsia" w:cstheme="minorEastAsia"/>
          <w:spacing w:val="3"/>
          <w:sz w:val="24"/>
          <w:szCs w:val="24"/>
          <w:lang w:val="en-US" w:eastAsia="en-US" w:bidi="ar-SA"/>
        </w:rPr>
        <w:t>报告要求，符合现行规范及法律法规。</w:t>
      </w:r>
    </w:p>
    <w:p>
      <w:pPr>
        <w:keepNext w:val="0"/>
        <w:keepLines w:val="0"/>
        <w:pageBreakBefore w:val="0"/>
        <w:widowControl w:val="0"/>
        <w:kinsoku/>
        <w:wordWrap/>
        <w:overflowPunct/>
        <w:topLinePunct w:val="0"/>
        <w:autoSpaceDE/>
        <w:autoSpaceDN/>
        <w:bidi w:val="0"/>
        <w:adjustRightInd/>
        <w:snapToGrid/>
        <w:spacing w:after="0" w:line="360" w:lineRule="auto"/>
        <w:ind w:right="222" w:firstLine="492" w:firstLineChars="200"/>
        <w:jc w:val="both"/>
        <w:textAlignment w:val="auto"/>
        <w:rPr>
          <w:rFonts w:hint="eastAsia" w:asciiTheme="minorEastAsia" w:hAnsiTheme="minorEastAsia" w:eastAsiaTheme="minorEastAsia" w:cstheme="minorEastAsia"/>
          <w:sz w:val="24"/>
          <w:szCs w:val="24"/>
          <w:lang w:val="en-US" w:eastAsia="en-US" w:bidi="ar-SA"/>
        </w:rPr>
      </w:pPr>
      <w:r>
        <w:rPr>
          <w:rFonts w:hint="eastAsia" w:asciiTheme="minorEastAsia" w:hAnsiTheme="minorEastAsia" w:eastAsiaTheme="minorEastAsia" w:cstheme="minorEastAsia"/>
          <w:spacing w:val="3"/>
          <w:sz w:val="24"/>
          <w:szCs w:val="24"/>
          <w:lang w:val="en-US" w:eastAsia="zh-CN" w:bidi="ar-SA"/>
        </w:rPr>
        <w:t>2、</w:t>
      </w:r>
      <w:r>
        <w:rPr>
          <w:rFonts w:hint="eastAsia" w:asciiTheme="minorEastAsia" w:hAnsiTheme="minorEastAsia" w:eastAsiaTheme="minorEastAsia" w:cstheme="minorEastAsia"/>
          <w:spacing w:val="3"/>
          <w:sz w:val="24"/>
          <w:szCs w:val="24"/>
          <w:lang w:val="en-US" w:eastAsia="en-US" w:bidi="ar-SA"/>
        </w:rPr>
        <w:t>验收标准：对现场进行</w:t>
      </w:r>
      <w:r>
        <w:rPr>
          <w:rFonts w:hint="eastAsia" w:asciiTheme="minorEastAsia" w:hAnsiTheme="minorEastAsia" w:eastAsiaTheme="minorEastAsia" w:cstheme="minorEastAsia"/>
          <w:spacing w:val="3"/>
          <w:sz w:val="24"/>
          <w:szCs w:val="24"/>
          <w:lang w:val="en-US" w:eastAsia="zh-CN" w:bidi="ar-SA"/>
        </w:rPr>
        <w:t>采样监测</w:t>
      </w:r>
      <w:r>
        <w:rPr>
          <w:rFonts w:hint="eastAsia" w:asciiTheme="minorEastAsia" w:hAnsiTheme="minorEastAsia" w:eastAsiaTheme="minorEastAsia" w:cstheme="minorEastAsia"/>
          <w:spacing w:val="3"/>
          <w:sz w:val="24"/>
          <w:szCs w:val="24"/>
          <w:lang w:val="en-US" w:eastAsia="en-US" w:bidi="ar-SA"/>
        </w:rPr>
        <w:t>后编写完成</w:t>
      </w:r>
      <w:r>
        <w:rPr>
          <w:rFonts w:hint="eastAsia" w:asciiTheme="minorEastAsia" w:hAnsiTheme="minorEastAsia" w:eastAsiaTheme="minorEastAsia" w:cstheme="minorEastAsia"/>
          <w:sz w:val="24"/>
          <w:szCs w:val="24"/>
          <w:lang w:val="en-US" w:eastAsia="en-US" w:bidi="ar-SA"/>
        </w:rPr>
        <w:t>《</w:t>
      </w:r>
      <w:r>
        <w:rPr>
          <w:rFonts w:hint="eastAsia" w:asciiTheme="minorEastAsia" w:hAnsiTheme="minorEastAsia" w:eastAsiaTheme="minorEastAsia" w:cstheme="minorEastAsia"/>
          <w:sz w:val="24"/>
          <w:szCs w:val="24"/>
          <w:lang w:val="en-US" w:eastAsia="zh-CN" w:bidi="ar-SA"/>
        </w:rPr>
        <w:t>海洋环境生态调查</w:t>
      </w:r>
      <w:r>
        <w:rPr>
          <w:rFonts w:hint="eastAsia" w:asciiTheme="minorEastAsia" w:hAnsiTheme="minorEastAsia" w:eastAsiaTheme="minorEastAsia" w:cstheme="minorEastAsia"/>
          <w:sz w:val="24"/>
          <w:szCs w:val="24"/>
          <w:lang w:val="en-US" w:eastAsia="en-US" w:bidi="ar-SA"/>
        </w:rPr>
        <w:t>报告》</w:t>
      </w:r>
      <w:r>
        <w:rPr>
          <w:rFonts w:hint="eastAsia" w:asciiTheme="minorEastAsia" w:hAnsiTheme="minorEastAsia" w:eastAsiaTheme="minorEastAsia" w:cstheme="minorEastAsia"/>
          <w:sz w:val="24"/>
          <w:szCs w:val="24"/>
          <w:lang w:val="en-US" w:eastAsia="zh-CN" w:bidi="ar-SA"/>
        </w:rPr>
        <w:t>，</w:t>
      </w:r>
      <w:r>
        <w:rPr>
          <w:rFonts w:hint="eastAsia" w:asciiTheme="minorEastAsia" w:hAnsiTheme="minorEastAsia" w:eastAsiaTheme="minorEastAsia" w:cstheme="minorEastAsia"/>
          <w:sz w:val="24"/>
          <w:szCs w:val="24"/>
          <w:lang w:val="en-US" w:eastAsia="en-US" w:bidi="ar-SA"/>
        </w:rPr>
        <w:t xml:space="preserve"> </w:t>
      </w:r>
      <w:r>
        <w:rPr>
          <w:rFonts w:hint="eastAsia" w:asciiTheme="minorEastAsia" w:hAnsiTheme="minorEastAsia" w:eastAsiaTheme="minorEastAsia" w:cstheme="minorEastAsia"/>
          <w:sz w:val="24"/>
          <w:szCs w:val="24"/>
          <w:lang w:val="en-US" w:eastAsia="zh-CN" w:bidi="ar-SA"/>
        </w:rPr>
        <w:t>并</w:t>
      </w:r>
      <w:r>
        <w:rPr>
          <w:rFonts w:hint="eastAsia" w:asciiTheme="minorEastAsia" w:hAnsiTheme="minorEastAsia" w:eastAsiaTheme="minorEastAsia" w:cstheme="minorEastAsia"/>
          <w:spacing w:val="6"/>
          <w:sz w:val="24"/>
          <w:szCs w:val="24"/>
          <w:lang w:val="en-US" w:eastAsia="en-US" w:bidi="ar-SA"/>
        </w:rPr>
        <w:t>通过甲方</w:t>
      </w:r>
      <w:r>
        <w:rPr>
          <w:rFonts w:hint="eastAsia" w:asciiTheme="minorEastAsia" w:hAnsiTheme="minorEastAsia" w:eastAsiaTheme="minorEastAsia" w:cstheme="minorEastAsia"/>
          <w:spacing w:val="2"/>
          <w:sz w:val="24"/>
          <w:szCs w:val="24"/>
          <w:lang w:val="en-US" w:eastAsia="en-US" w:bidi="ar-SA"/>
        </w:rPr>
        <w:t>验收，签署服务验收报告。</w:t>
      </w:r>
    </w:p>
    <w:p>
      <w:pPr>
        <w:keepNext w:val="0"/>
        <w:keepLines w:val="0"/>
        <w:pageBreakBefore w:val="0"/>
        <w:widowControl w:val="0"/>
        <w:kinsoku/>
        <w:wordWrap/>
        <w:overflowPunct/>
        <w:topLinePunct w:val="0"/>
        <w:autoSpaceDE/>
        <w:autoSpaceDN/>
        <w:bidi w:val="0"/>
        <w:adjustRightInd/>
        <w:snapToGrid/>
        <w:spacing w:after="0" w:line="360" w:lineRule="auto"/>
        <w:ind w:left="120" w:right="224"/>
        <w:jc w:val="left"/>
        <w:textAlignment w:val="auto"/>
        <w:outlineLvl w:val="1"/>
        <w:rPr>
          <w:rFonts w:hint="eastAsia" w:asciiTheme="minorEastAsia" w:hAnsiTheme="minorEastAsia" w:eastAsiaTheme="minorEastAsia" w:cstheme="minorEastAsia"/>
          <w:sz w:val="24"/>
          <w:szCs w:val="24"/>
          <w:lang w:val="en-US" w:eastAsia="en-US" w:bidi="ar-SA"/>
        </w:rPr>
      </w:pPr>
      <w:r>
        <w:rPr>
          <w:rFonts w:hint="eastAsia" w:asciiTheme="minorEastAsia" w:hAnsiTheme="minorEastAsia" w:eastAsiaTheme="minorEastAsia" w:cstheme="minorEastAsia"/>
          <w:sz w:val="24"/>
          <w:szCs w:val="24"/>
          <w:lang w:val="en-US" w:eastAsia="en-US" w:bidi="ar-SA"/>
        </w:rPr>
        <w:t>八、质量保证</w:t>
      </w:r>
    </w:p>
    <w:p>
      <w:pPr>
        <w:keepNext w:val="0"/>
        <w:keepLines w:val="0"/>
        <w:pageBreakBefore w:val="0"/>
        <w:widowControl w:val="0"/>
        <w:kinsoku/>
        <w:wordWrap/>
        <w:overflowPunct/>
        <w:topLinePunct w:val="0"/>
        <w:autoSpaceDE/>
        <w:autoSpaceDN/>
        <w:bidi w:val="0"/>
        <w:adjustRightInd/>
        <w:snapToGrid/>
        <w:spacing w:after="0" w:line="360" w:lineRule="auto"/>
        <w:ind w:right="222" w:firstLine="480" w:firstLineChars="200"/>
        <w:jc w:val="both"/>
        <w:textAlignment w:val="auto"/>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出具的</w:t>
      </w:r>
      <w:r>
        <w:rPr>
          <w:rFonts w:hint="eastAsia" w:asciiTheme="minorEastAsia" w:hAnsiTheme="minorEastAsia" w:eastAsiaTheme="minorEastAsia" w:cstheme="minorEastAsia"/>
          <w:sz w:val="24"/>
          <w:szCs w:val="24"/>
          <w:lang w:val="en-US" w:eastAsia="en-US" w:bidi="ar-SA"/>
        </w:rPr>
        <w:t>《</w:t>
      </w:r>
      <w:r>
        <w:rPr>
          <w:rFonts w:hint="eastAsia" w:asciiTheme="minorEastAsia" w:hAnsiTheme="minorEastAsia" w:eastAsiaTheme="minorEastAsia" w:cstheme="minorEastAsia"/>
          <w:sz w:val="24"/>
          <w:szCs w:val="24"/>
          <w:lang w:val="en-US" w:eastAsia="zh-CN" w:bidi="ar-SA"/>
        </w:rPr>
        <w:t>海洋环境生态调查</w:t>
      </w:r>
      <w:r>
        <w:rPr>
          <w:rFonts w:hint="eastAsia" w:asciiTheme="minorEastAsia" w:hAnsiTheme="minorEastAsia" w:eastAsiaTheme="minorEastAsia" w:cstheme="minorEastAsia"/>
          <w:sz w:val="24"/>
          <w:szCs w:val="24"/>
          <w:lang w:val="en-US" w:eastAsia="en-US" w:bidi="ar-SA"/>
        </w:rPr>
        <w:t>报告》</w:t>
      </w:r>
      <w:r>
        <w:rPr>
          <w:rFonts w:hint="eastAsia" w:asciiTheme="minorEastAsia" w:hAnsiTheme="minorEastAsia" w:eastAsiaTheme="minorEastAsia" w:cstheme="minorEastAsia"/>
          <w:sz w:val="24"/>
          <w:szCs w:val="24"/>
          <w:lang w:val="en-US" w:eastAsia="zh-CN" w:bidi="ar-SA"/>
        </w:rPr>
        <w:t>应满足甲方码头扩建工程环境影响评价要求。</w:t>
      </w:r>
    </w:p>
    <w:p>
      <w:pPr>
        <w:keepNext w:val="0"/>
        <w:keepLines w:val="0"/>
        <w:pageBreakBefore w:val="0"/>
        <w:widowControl w:val="0"/>
        <w:kinsoku/>
        <w:wordWrap/>
        <w:overflowPunct/>
        <w:topLinePunct w:val="0"/>
        <w:autoSpaceDE/>
        <w:autoSpaceDN/>
        <w:bidi w:val="0"/>
        <w:adjustRightInd/>
        <w:snapToGrid/>
        <w:spacing w:after="0" w:line="360" w:lineRule="auto"/>
        <w:ind w:left="120" w:right="21"/>
        <w:jc w:val="left"/>
        <w:textAlignment w:val="auto"/>
        <w:outlineLvl w:val="1"/>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lang w:val="en-US" w:eastAsia="en-US" w:bidi="ar-SA"/>
        </w:rPr>
        <w:t>九、其他要求</w:t>
      </w:r>
    </w:p>
    <w:p>
      <w:pPr>
        <w:keepNext w:val="0"/>
        <w:keepLines w:val="0"/>
        <w:pageBreakBefore w:val="0"/>
        <w:widowControl w:val="0"/>
        <w:kinsoku/>
        <w:wordWrap/>
        <w:overflowPunct/>
        <w:topLinePunct w:val="0"/>
        <w:autoSpaceDE/>
        <w:autoSpaceDN/>
        <w:bidi w:val="0"/>
        <w:adjustRightInd/>
        <w:snapToGrid/>
        <w:spacing w:after="0" w:line="360" w:lineRule="auto"/>
        <w:ind w:left="317" w:right="221"/>
        <w:jc w:val="left"/>
        <w:textAlignment w:val="auto"/>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en-US" w:bidi="ar-SA"/>
        </w:rPr>
        <w:t>1、技术联系人：</w:t>
      </w:r>
      <w:r>
        <w:rPr>
          <w:rFonts w:hint="eastAsia" w:asciiTheme="minorEastAsia" w:hAnsiTheme="minorEastAsia" w:eastAsiaTheme="minorEastAsia" w:cstheme="minorEastAsia"/>
          <w:sz w:val="24"/>
          <w:szCs w:val="24"/>
          <w:lang w:val="en-US" w:eastAsia="zh-CN" w:bidi="ar-SA"/>
        </w:rPr>
        <w:t>金杰 15858075553</w:t>
      </w:r>
    </w:p>
    <w:p>
      <w:pPr>
        <w:keepNext w:val="0"/>
        <w:keepLines w:val="0"/>
        <w:pageBreakBefore w:val="0"/>
        <w:widowControl w:val="0"/>
        <w:kinsoku/>
        <w:wordWrap/>
        <w:overflowPunct/>
        <w:topLinePunct w:val="0"/>
        <w:autoSpaceDE/>
        <w:autoSpaceDN/>
        <w:bidi w:val="0"/>
        <w:adjustRightInd/>
        <w:snapToGrid/>
        <w:spacing w:after="0" w:line="360" w:lineRule="auto"/>
        <w:ind w:left="317" w:right="221"/>
        <w:jc w:val="left"/>
        <w:textAlignment w:val="auto"/>
        <w:rPr>
          <w:rFonts w:hint="eastAsia" w:asciiTheme="minorEastAsia" w:hAnsiTheme="minorEastAsia" w:eastAsiaTheme="minorEastAsia" w:cstheme="minorEastAsia"/>
          <w:sz w:val="24"/>
          <w:szCs w:val="24"/>
          <w:lang w:val="en-US" w:eastAsia="en-US" w:bidi="ar-SA"/>
        </w:rPr>
      </w:pPr>
      <w:r>
        <w:rPr>
          <w:rFonts w:hint="eastAsia" w:asciiTheme="minorEastAsia" w:hAnsiTheme="minorEastAsia" w:eastAsiaTheme="minorEastAsia" w:cstheme="minorEastAsia"/>
          <w:sz w:val="24"/>
          <w:szCs w:val="24"/>
          <w:lang w:val="en-US" w:eastAsia="en-US" w:bidi="ar-SA"/>
        </w:rPr>
        <w:t>2、付款方式：银行电汇</w:t>
      </w:r>
    </w:p>
    <w:p>
      <w:pPr>
        <w:keepNext w:val="0"/>
        <w:keepLines w:val="0"/>
        <w:pageBreakBefore w:val="0"/>
        <w:widowControl w:val="0"/>
        <w:kinsoku/>
        <w:wordWrap/>
        <w:overflowPunct/>
        <w:topLinePunct w:val="0"/>
        <w:autoSpaceDE/>
        <w:autoSpaceDN/>
        <w:bidi w:val="0"/>
        <w:adjustRightInd/>
        <w:snapToGrid/>
        <w:spacing w:after="0" w:line="360" w:lineRule="auto"/>
        <w:ind w:left="317" w:right="221"/>
        <w:jc w:val="left"/>
        <w:textAlignment w:val="auto"/>
        <w:rPr>
          <w:rFonts w:hint="eastAsia" w:asciiTheme="minorEastAsia" w:hAnsiTheme="minorEastAsia" w:eastAsiaTheme="minorEastAsia" w:cstheme="minorEastAsia"/>
          <w:sz w:val="24"/>
          <w:szCs w:val="24"/>
          <w:lang w:val="en-US" w:eastAsia="en-US" w:bidi="ar-SA"/>
        </w:rPr>
      </w:pPr>
      <w:r>
        <w:rPr>
          <w:rFonts w:hint="eastAsia" w:asciiTheme="minorEastAsia" w:hAnsiTheme="minorEastAsia" w:eastAsiaTheme="minorEastAsia" w:cstheme="minorEastAsia"/>
          <w:sz w:val="24"/>
          <w:szCs w:val="24"/>
          <w:lang w:val="en-US" w:eastAsia="en-US" w:bidi="ar-SA"/>
        </w:rPr>
        <w:t>3、付款周期要求：一次性付款，完成《</w:t>
      </w:r>
      <w:r>
        <w:rPr>
          <w:rFonts w:hint="eastAsia" w:asciiTheme="minorEastAsia" w:hAnsiTheme="minorEastAsia" w:eastAsiaTheme="minorEastAsia" w:cstheme="minorEastAsia"/>
          <w:sz w:val="24"/>
          <w:szCs w:val="24"/>
          <w:lang w:val="en-US" w:eastAsia="zh-CN" w:bidi="ar-SA"/>
        </w:rPr>
        <w:t>海洋环境生态调查</w:t>
      </w:r>
      <w:r>
        <w:rPr>
          <w:rFonts w:hint="eastAsia" w:asciiTheme="minorEastAsia" w:hAnsiTheme="minorEastAsia" w:eastAsiaTheme="minorEastAsia" w:cstheme="minorEastAsia"/>
          <w:sz w:val="24"/>
          <w:szCs w:val="24"/>
          <w:lang w:val="en-US" w:eastAsia="en-US" w:bidi="ar-SA"/>
        </w:rPr>
        <w:t>报告》</w:t>
      </w:r>
      <w:r>
        <w:rPr>
          <w:rFonts w:hint="eastAsia" w:asciiTheme="minorEastAsia" w:hAnsiTheme="minorEastAsia" w:eastAsiaTheme="minorEastAsia" w:cstheme="minorEastAsia"/>
          <w:sz w:val="24"/>
          <w:szCs w:val="24"/>
          <w:lang w:val="en-US" w:eastAsia="zh-CN" w:bidi="ar-SA"/>
        </w:rPr>
        <w:t>，经甲方验收合格，甲乙双方签署验收报告，乙方提供</w:t>
      </w:r>
      <w:r>
        <w:rPr>
          <w:rFonts w:hint="eastAsia" w:asciiTheme="minorEastAsia" w:hAnsiTheme="minorEastAsia" w:eastAsiaTheme="minorEastAsia" w:cstheme="minorEastAsia"/>
          <w:sz w:val="24"/>
          <w:szCs w:val="24"/>
          <w:lang w:val="en-US" w:eastAsia="en-US" w:bidi="ar-SA"/>
        </w:rPr>
        <w:t>增值税专用发票后45天内付款；</w:t>
      </w:r>
    </w:p>
    <w:p>
      <w:pPr>
        <w:keepNext w:val="0"/>
        <w:keepLines w:val="0"/>
        <w:pageBreakBefore w:val="0"/>
        <w:widowControl w:val="0"/>
        <w:kinsoku/>
        <w:wordWrap/>
        <w:overflowPunct/>
        <w:topLinePunct w:val="0"/>
        <w:autoSpaceDE/>
        <w:autoSpaceDN/>
        <w:bidi w:val="0"/>
        <w:adjustRightInd/>
        <w:snapToGrid/>
        <w:spacing w:after="0" w:line="360" w:lineRule="auto"/>
        <w:ind w:left="317" w:right="221"/>
        <w:jc w:val="left"/>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sz w:val="24"/>
          <w:szCs w:val="24"/>
          <w:lang w:val="en-US" w:eastAsia="en-US" w:bidi="ar-SA"/>
        </w:rPr>
        <w:t>4、结算方式：验收后一次性结算</w:t>
      </w:r>
      <w:r>
        <w:rPr>
          <w:rFonts w:hint="eastAsia" w:asciiTheme="minorEastAsia" w:hAnsiTheme="minorEastAsia" w:eastAsiaTheme="minorEastAsia" w:cstheme="minorEastAsia"/>
          <w:sz w:val="24"/>
          <w:szCs w:val="24"/>
          <w:lang w:val="en-US" w:eastAsia="zh-CN" w:bidi="ar-SA"/>
        </w:rPr>
        <w:t>。</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380" w:lineRule="exact"/>
        <w:jc w:val="left"/>
        <w:textAlignment w:val="auto"/>
        <w:outlineLvl w:val="9"/>
        <w:rPr>
          <w:rFonts w:hint="eastAsia" w:asciiTheme="minorEastAsia" w:hAnsiTheme="minorEastAsia" w:eastAsiaTheme="minorEastAsia"/>
          <w:color w:val="000000" w:themeColor="text1"/>
          <w:sz w:val="21"/>
          <w:szCs w:val="21"/>
          <w:highlight w:val="none"/>
          <w14:textFill>
            <w14:solidFill>
              <w14:schemeClr w14:val="tx1"/>
            </w14:solidFill>
          </w14:textFill>
        </w:rPr>
      </w:pPr>
    </w:p>
    <w:p/>
    <w:p>
      <w:pPr>
        <w:rPr>
          <w:rFonts w:hint="eastAsia"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br w:type="page"/>
      </w:r>
    </w:p>
    <w:p>
      <w:pPr>
        <w:keepNext w:val="0"/>
        <w:keepLines w:val="0"/>
        <w:pageBreakBefore w:val="0"/>
        <w:widowControl/>
        <w:kinsoku/>
        <w:wordWrap/>
        <w:overflowPunct/>
        <w:topLinePunct w:val="0"/>
        <w:autoSpaceDE/>
        <w:autoSpaceDN/>
        <w:bidi w:val="0"/>
        <w:adjustRightInd/>
        <w:snapToGrid/>
        <w:textAlignment w:val="auto"/>
        <w:outlineLvl w:val="9"/>
        <w:rPr>
          <w:rFonts w:ascii="黑体" w:hAnsi="黑体" w:eastAsia="黑体"/>
          <w:b/>
          <w:bCs/>
          <w:color w:val="000000" w:themeColor="text1"/>
          <w:sz w:val="24"/>
          <w:szCs w:val="24"/>
          <w:highlight w:val="none"/>
          <w14:textFill>
            <w14:solidFill>
              <w14:schemeClr w14:val="tx1"/>
            </w14:solidFill>
          </w14:textFill>
        </w:rPr>
      </w:pPr>
      <w:r>
        <w:rPr>
          <w:rFonts w:hint="eastAsia" w:ascii="黑体" w:hAnsi="黑体" w:eastAsia="黑体"/>
          <w:b/>
          <w:bCs/>
          <w:color w:val="000000" w:themeColor="text1"/>
          <w:sz w:val="24"/>
          <w:szCs w:val="24"/>
          <w:highlight w:val="none"/>
          <w14:textFill>
            <w14:solidFill>
              <w14:schemeClr w14:val="tx1"/>
            </w14:solidFill>
          </w14:textFill>
        </w:rPr>
        <w:t>附件</w:t>
      </w: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3： </w:t>
      </w:r>
      <w:r>
        <w:rPr>
          <w:rFonts w:hint="eastAsia" w:ascii="黑体" w:hAnsi="黑体" w:eastAsia="黑体"/>
          <w:b/>
          <w:bCs/>
          <w:color w:val="000000" w:themeColor="text1"/>
          <w:sz w:val="24"/>
          <w:szCs w:val="24"/>
          <w:highlight w:val="none"/>
          <w14:textFill>
            <w14:solidFill>
              <w14:schemeClr w14:val="tx1"/>
            </w14:solidFill>
          </w14:textFill>
        </w:rPr>
        <w:t>合同</w:t>
      </w:r>
      <w:r>
        <w:rPr>
          <w:rFonts w:ascii="黑体" w:hAnsi="黑体" w:eastAsia="黑体"/>
          <w:b/>
          <w:bCs/>
          <w:color w:val="000000" w:themeColor="text1"/>
          <w:sz w:val="24"/>
          <w:szCs w:val="24"/>
          <w:highlight w:val="none"/>
          <w14:textFill>
            <w14:solidFill>
              <w14:schemeClr w14:val="tx1"/>
            </w14:solidFill>
          </w14:textFill>
        </w:rPr>
        <w:t>文本</w:t>
      </w:r>
    </w:p>
    <w:p>
      <w:pPr>
        <w:rPr>
          <w:rFonts w:ascii="宋体" w:hAnsi="宋体" w:eastAsia="宋体" w:cs="宋体"/>
          <w:b/>
          <w:sz w:val="36"/>
          <w:szCs w:val="36"/>
        </w:rPr>
      </w:pPr>
    </w:p>
    <w:p>
      <w:pPr>
        <w:jc w:val="center"/>
        <w:rPr>
          <w:rFonts w:hint="eastAsia" w:ascii="宋体" w:hAnsi="宋体" w:eastAsia="宋体" w:cs="宋体"/>
          <w:b/>
          <w:sz w:val="24"/>
          <w:lang w:eastAsia="zh-CN"/>
        </w:rPr>
      </w:pPr>
      <w:bookmarkStart w:id="1" w:name="_Hlk135656855"/>
      <w:r>
        <w:rPr>
          <w:rFonts w:hint="eastAsia" w:ascii="宋体" w:hAnsi="宋体" w:eastAsia="宋体" w:cs="宋体"/>
          <w:b/>
          <w:bCs/>
          <w:sz w:val="52"/>
          <w:szCs w:val="52"/>
          <w:lang w:eastAsia="zh-CN"/>
        </w:rPr>
        <w:t>舟山物流公司码头泊位扩建工程（册子水道）海域水质及生态现状监测调查服务合同</w:t>
      </w:r>
    </w:p>
    <w:bookmarkEnd w:id="1"/>
    <w:p>
      <w:pPr>
        <w:jc w:val="center"/>
        <w:rPr>
          <w:rFonts w:ascii="宋体" w:hAnsi="宋体" w:eastAsia="宋体" w:cs="宋体"/>
          <w:b/>
          <w:sz w:val="24"/>
        </w:rPr>
      </w:pPr>
    </w:p>
    <w:p>
      <w:pPr>
        <w:jc w:val="center"/>
        <w:rPr>
          <w:rFonts w:ascii="宋体" w:hAnsi="宋体" w:eastAsia="宋体" w:cs="宋体"/>
          <w:b/>
          <w:sz w:val="24"/>
        </w:rPr>
      </w:pPr>
    </w:p>
    <w:p>
      <w:pPr>
        <w:jc w:val="center"/>
        <w:rPr>
          <w:rFonts w:ascii="宋体" w:hAnsi="宋体" w:eastAsia="宋体" w:cs="宋体"/>
          <w:b/>
          <w:sz w:val="24"/>
        </w:rPr>
      </w:pPr>
    </w:p>
    <w:p>
      <w:pPr>
        <w:jc w:val="center"/>
        <w:rPr>
          <w:rFonts w:ascii="宋体" w:hAnsi="宋体" w:eastAsia="宋体" w:cs="宋体"/>
          <w:b/>
          <w:sz w:val="24"/>
        </w:rPr>
      </w:pPr>
    </w:p>
    <w:p>
      <w:pPr>
        <w:jc w:val="center"/>
        <w:rPr>
          <w:rFonts w:ascii="宋体" w:hAnsi="宋体" w:eastAsia="宋体" w:cs="宋体"/>
          <w:b/>
          <w:sz w:val="30"/>
          <w:szCs w:val="30"/>
          <w:u w:val="single"/>
        </w:rPr>
      </w:pPr>
      <w:r>
        <w:rPr>
          <w:rFonts w:hint="eastAsia" w:ascii="宋体" w:hAnsi="宋体" w:eastAsia="宋体" w:cs="宋体"/>
          <w:b/>
          <w:sz w:val="30"/>
          <w:szCs w:val="30"/>
        </w:rPr>
        <w:t>（合同编号：</w:t>
      </w:r>
      <w:r>
        <w:rPr>
          <w:rFonts w:hint="eastAsia" w:ascii="宋体" w:hAnsi="宋体" w:eastAsia="宋体" w:cs="宋体"/>
          <w:b/>
          <w:sz w:val="30"/>
          <w:szCs w:val="30"/>
          <w:u w:val="single"/>
          <w:lang w:eastAsia="zh-CN"/>
        </w:rPr>
        <w:t>***</w:t>
      </w:r>
      <w:r>
        <w:rPr>
          <w:rFonts w:hint="eastAsia" w:ascii="宋体" w:hAnsi="宋体" w:eastAsia="宋体" w:cs="宋体"/>
          <w:b/>
          <w:sz w:val="30"/>
          <w:szCs w:val="30"/>
        </w:rPr>
        <w:t>）</w:t>
      </w:r>
    </w:p>
    <w:p>
      <w:pPr>
        <w:widowControl w:val="0"/>
        <w:tabs>
          <w:tab w:val="left" w:pos="1175"/>
        </w:tabs>
        <w:spacing w:before="36"/>
        <w:ind w:left="780"/>
        <w:jc w:val="left"/>
        <w:rPr>
          <w:rFonts w:ascii="宋体" w:hAnsi="宋体" w:eastAsia="宋体" w:cs="宋体"/>
          <w:b/>
          <w:kern w:val="0"/>
          <w:sz w:val="28"/>
          <w:szCs w:val="28"/>
          <w:lang w:val="en-US" w:eastAsia="zh-CN" w:bidi="ar-SA"/>
        </w:rPr>
      </w:pPr>
    </w:p>
    <w:p>
      <w:pPr>
        <w:rPr>
          <w:rFonts w:ascii="宋体" w:hAnsi="宋体" w:eastAsia="宋体" w:cs="宋体"/>
          <w:b/>
          <w:sz w:val="28"/>
          <w:szCs w:val="28"/>
        </w:rPr>
      </w:pPr>
    </w:p>
    <w:p>
      <w:pPr>
        <w:widowControl w:val="0"/>
        <w:tabs>
          <w:tab w:val="left" w:pos="1175"/>
        </w:tabs>
        <w:spacing w:before="36"/>
        <w:ind w:left="780"/>
        <w:jc w:val="left"/>
        <w:rPr>
          <w:rFonts w:ascii="宋体" w:hAnsi="宋体" w:eastAsia="宋体" w:cs="宋体"/>
          <w:b/>
          <w:kern w:val="0"/>
          <w:sz w:val="28"/>
          <w:szCs w:val="28"/>
          <w:lang w:val="en-US" w:eastAsia="zh-CN" w:bidi="ar-SA"/>
        </w:rPr>
      </w:pPr>
    </w:p>
    <w:p/>
    <w:p>
      <w:pPr>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服务接受方（甲方）：</w:t>
      </w:r>
      <w:r>
        <w:rPr>
          <w:rFonts w:hint="eastAsia" w:ascii="宋体" w:hAnsi="宋体" w:eastAsia="宋体" w:cs="宋体"/>
          <w:b/>
          <w:sz w:val="28"/>
          <w:szCs w:val="28"/>
          <w:highlight w:val="none"/>
          <w:lang w:eastAsia="zh-CN"/>
        </w:rPr>
        <w:t>***</w:t>
      </w:r>
    </w:p>
    <w:p>
      <w:pPr>
        <w:rPr>
          <w:rFonts w:hint="eastAsia" w:ascii="宋体" w:hAnsi="宋体" w:eastAsia="宋体" w:cs="宋体"/>
          <w:b/>
          <w:sz w:val="28"/>
          <w:szCs w:val="28"/>
          <w:highlight w:val="none"/>
          <w:lang w:eastAsia="zh-CN"/>
        </w:rPr>
      </w:pPr>
      <w:r>
        <w:rPr>
          <w:rFonts w:hint="eastAsia" w:ascii="宋体" w:hAnsi="宋体" w:eastAsia="宋体" w:cs="宋体"/>
          <w:b/>
          <w:sz w:val="28"/>
          <w:szCs w:val="28"/>
          <w:highlight w:val="none"/>
        </w:rPr>
        <w:t>服务提供方（乙方）：</w:t>
      </w:r>
      <w:r>
        <w:rPr>
          <w:rFonts w:hint="eastAsia" w:ascii="宋体" w:hAnsi="宋体" w:eastAsia="宋体" w:cs="宋体"/>
          <w:b/>
          <w:sz w:val="28"/>
          <w:szCs w:val="28"/>
          <w:highlight w:val="none"/>
          <w:lang w:eastAsia="zh-CN"/>
        </w:rPr>
        <w:t>***</w:t>
      </w:r>
    </w:p>
    <w:p>
      <w:pPr>
        <w:rPr>
          <w:rFonts w:ascii="宋体" w:hAnsi="宋体" w:eastAsia="宋体" w:cs="宋体"/>
          <w:b/>
          <w:sz w:val="24"/>
        </w:rPr>
      </w:pPr>
    </w:p>
    <w:p>
      <w:pPr>
        <w:jc w:val="center"/>
        <w:rPr>
          <w:rFonts w:ascii="宋体" w:hAnsi="宋体" w:eastAsia="宋体" w:cs="宋体"/>
          <w:b/>
          <w:sz w:val="24"/>
        </w:rPr>
      </w:pPr>
    </w:p>
    <w:p>
      <w:pPr>
        <w:jc w:val="center"/>
        <w:rPr>
          <w:rFonts w:ascii="宋体" w:hAnsi="宋体" w:eastAsia="宋体" w:cs="宋体"/>
          <w:b/>
          <w:sz w:val="24"/>
        </w:rPr>
      </w:pPr>
    </w:p>
    <w:p>
      <w:pPr>
        <w:widowControl w:val="0"/>
        <w:tabs>
          <w:tab w:val="left" w:pos="1175"/>
        </w:tabs>
        <w:spacing w:before="36"/>
        <w:ind w:left="780"/>
        <w:jc w:val="left"/>
        <w:rPr>
          <w:rFonts w:ascii="宋体" w:hAnsi="宋体" w:eastAsia="宋体" w:cs="宋体"/>
          <w:b/>
          <w:kern w:val="0"/>
          <w:sz w:val="24"/>
          <w:szCs w:val="21"/>
          <w:lang w:val="en-US" w:eastAsia="zh-CN" w:bidi="ar-SA"/>
        </w:rPr>
      </w:pPr>
    </w:p>
    <w:p/>
    <w:p>
      <w:pPr>
        <w:rPr>
          <w:rFonts w:ascii="宋体" w:hAnsi="宋体" w:eastAsia="宋体" w:cs="宋体"/>
          <w:b/>
          <w:sz w:val="24"/>
        </w:rPr>
      </w:pPr>
    </w:p>
    <w:p>
      <w:pPr>
        <w:rPr>
          <w:rFonts w:ascii="宋体" w:hAnsi="宋体" w:eastAsia="宋体" w:cs="宋体"/>
          <w:b/>
          <w:sz w:val="24"/>
        </w:rPr>
      </w:pPr>
    </w:p>
    <w:p>
      <w:pPr>
        <w:spacing w:line="360" w:lineRule="auto"/>
        <w:rPr>
          <w:rFonts w:ascii="宋体" w:hAnsi="宋体" w:eastAsia="宋体" w:cs="宋体"/>
          <w:b/>
          <w:sz w:val="24"/>
        </w:rPr>
      </w:pPr>
    </w:p>
    <w:p>
      <w:pPr>
        <w:spacing w:line="360" w:lineRule="auto"/>
        <w:ind w:firstLine="1980" w:firstLineChars="825"/>
        <w:rPr>
          <w:rFonts w:ascii="宋体" w:hAnsi="宋体" w:eastAsia="宋体" w:cs="宋体"/>
          <w:b/>
          <w:sz w:val="24"/>
        </w:rPr>
      </w:pPr>
      <w:r>
        <w:rPr>
          <w:rFonts w:hint="eastAsia" w:ascii="宋体" w:hAnsi="宋体" w:eastAsia="宋体" w:cs="宋体"/>
          <w:sz w:val="24"/>
        </w:rPr>
        <w:t>签订地点：</w:t>
      </w:r>
      <w:r>
        <w:rPr>
          <w:rFonts w:hint="eastAsia" w:ascii="宋体" w:hAnsi="宋体" w:eastAsia="宋体" w:cs="宋体"/>
          <w:sz w:val="24"/>
          <w:u w:val="single"/>
          <w:lang w:val="en-US" w:eastAsia="zh-CN"/>
        </w:rPr>
        <w:t>浙江舟山</w:t>
      </w:r>
    </w:p>
    <w:p>
      <w:pPr>
        <w:spacing w:line="360" w:lineRule="auto"/>
        <w:ind w:firstLine="1980" w:firstLineChars="825"/>
        <w:rPr>
          <w:rFonts w:ascii="宋体" w:hAnsi="宋体" w:eastAsia="宋体" w:cs="宋体"/>
          <w:sz w:val="24"/>
          <w:u w:val="single"/>
        </w:rPr>
        <w:sectPr>
          <w:headerReference r:id="rId4" w:type="first"/>
          <w:footerReference r:id="rId6" w:type="first"/>
          <w:headerReference r:id="rId3" w:type="default"/>
          <w:footerReference r:id="rId5" w:type="default"/>
          <w:pgSz w:w="11906" w:h="16838"/>
          <w:pgMar w:top="1440" w:right="1797" w:bottom="1440" w:left="1797" w:header="0" w:footer="992" w:gutter="0"/>
          <w:cols w:space="425" w:num="1"/>
          <w:docGrid w:type="lines" w:linePitch="312" w:charSpace="0"/>
        </w:sectPr>
      </w:pPr>
      <w:r>
        <w:rPr>
          <w:rFonts w:hint="eastAsia" w:ascii="宋体" w:hAnsi="宋体" w:eastAsia="宋体" w:cs="宋体"/>
          <w:sz w:val="24"/>
        </w:rPr>
        <w:t>签订时间：</w:t>
      </w:r>
      <w:r>
        <w:rPr>
          <w:rFonts w:hint="eastAsia" w:ascii="宋体" w:hAnsi="宋体" w:eastAsia="宋体" w:cs="宋体"/>
          <w:sz w:val="24"/>
          <w:u w:val="single"/>
          <w:lang w:val="en-US" w:eastAsia="zh-CN"/>
        </w:rPr>
        <w:t>2024年   月</w:t>
      </w:r>
    </w:p>
    <w:p>
      <w:pPr>
        <w:spacing w:line="360" w:lineRule="auto"/>
        <w:ind w:firstLine="361" w:firstLineChars="100"/>
        <w:jc w:val="center"/>
        <w:rPr>
          <w:rFonts w:hint="eastAsia" w:hAnsi="宋体" w:eastAsiaTheme="minorEastAsia"/>
          <w:b/>
          <w:sz w:val="18"/>
          <w:szCs w:val="18"/>
          <w:u w:val="none"/>
          <w:lang w:eastAsia="zh-CN"/>
        </w:rPr>
      </w:pPr>
      <w:r>
        <w:rPr>
          <w:rFonts w:hint="eastAsia" w:ascii="Times New Roman" w:hAnsi="宋体" w:eastAsia="宋体" w:cs="Times New Roman"/>
          <w:b/>
          <w:sz w:val="36"/>
          <w:szCs w:val="36"/>
          <w:u w:val="none"/>
          <w:lang w:eastAsia="zh-CN"/>
        </w:rPr>
        <w:t>舟山物流公司码头泊位扩建工程（册子水道）海域水质及生态现状监测调查服务合同</w:t>
      </w:r>
    </w:p>
    <w:p>
      <w:pPr>
        <w:spacing w:line="360" w:lineRule="auto"/>
        <w:ind w:right="84"/>
        <w:jc w:val="center"/>
        <w:rPr>
          <w:rFonts w:hint="eastAsia" w:hAnsi="宋体" w:eastAsiaTheme="minorEastAsia"/>
          <w:szCs w:val="21"/>
          <w:highlight w:val="none"/>
          <w:u w:val="single"/>
          <w:lang w:eastAsia="zh-CN"/>
        </w:rPr>
      </w:pPr>
      <w:r>
        <w:rPr>
          <w:rFonts w:hint="eastAsia" w:hAnsi="宋体"/>
          <w:szCs w:val="21"/>
          <w:highlight w:val="none"/>
        </w:rPr>
        <w:t xml:space="preserve">                                            合同编号：</w:t>
      </w:r>
      <w:r>
        <w:rPr>
          <w:rFonts w:hint="eastAsia" w:eastAsiaTheme="minorEastAsia"/>
          <w:szCs w:val="21"/>
          <w:highlight w:val="none"/>
          <w:u w:val="single"/>
          <w:lang w:eastAsia="zh-CN"/>
        </w:rPr>
        <w:t>***</w:t>
      </w:r>
    </w:p>
    <w:p>
      <w:pPr>
        <w:adjustRightInd w:val="0"/>
        <w:snapToGrid w:val="0"/>
        <w:spacing w:before="93" w:beforeLines="30" w:after="93" w:afterLines="30" w:line="360" w:lineRule="auto"/>
        <w:ind w:firstLine="567"/>
        <w:rPr>
          <w:rFonts w:hAnsi="宋体"/>
          <w:szCs w:val="21"/>
          <w:highlight w:val="none"/>
        </w:rPr>
      </w:pPr>
    </w:p>
    <w:p>
      <w:pPr>
        <w:adjustRightInd w:val="0"/>
        <w:snapToGrid w:val="0"/>
        <w:spacing w:before="93" w:beforeLines="30" w:after="93" w:afterLines="30" w:line="360" w:lineRule="auto"/>
        <w:ind w:firstLine="567"/>
        <w:rPr>
          <w:rFonts w:ascii="宋体" w:hAnsi="宋体"/>
          <w:b/>
          <w:sz w:val="24"/>
          <w:highlight w:val="none"/>
        </w:rPr>
      </w:pPr>
      <w:r>
        <w:rPr>
          <w:rFonts w:ascii="宋体" w:hAnsi="宋体"/>
          <w:sz w:val="24"/>
          <w:highlight w:val="none"/>
        </w:rPr>
        <w:t>本服务合同（以下称“合同”或“本合同”）由</w:t>
      </w:r>
      <w:r>
        <w:rPr>
          <w:rFonts w:hint="eastAsia" w:ascii="宋体" w:hAnsi="宋体"/>
          <w:sz w:val="24"/>
          <w:highlight w:val="none"/>
        </w:rPr>
        <w:t>以下双方</w:t>
      </w:r>
      <w:r>
        <w:rPr>
          <w:rFonts w:ascii="宋体" w:hAnsi="宋体"/>
          <w:sz w:val="24"/>
          <w:highlight w:val="none"/>
        </w:rPr>
        <w:t>签</w:t>
      </w:r>
      <w:r>
        <w:rPr>
          <w:rFonts w:hint="eastAsia" w:ascii="宋体" w:hAnsi="宋体"/>
          <w:sz w:val="24"/>
          <w:highlight w:val="none"/>
        </w:rPr>
        <w:t>订：</w:t>
      </w:r>
    </w:p>
    <w:p>
      <w:pPr>
        <w:tabs>
          <w:tab w:val="left" w:pos="567"/>
          <w:tab w:val="left" w:pos="900"/>
        </w:tabs>
        <w:adjustRightInd w:val="0"/>
        <w:snapToGrid w:val="0"/>
        <w:spacing w:before="93" w:beforeLines="30" w:after="93" w:afterLines="30" w:line="360" w:lineRule="auto"/>
        <w:ind w:left="556" w:leftChars="265" w:right="-512" w:rightChars="-244" w:firstLine="9" w:firstLineChars="4"/>
        <w:rPr>
          <w:rFonts w:ascii="宋体" w:hAnsi="宋体"/>
          <w:sz w:val="24"/>
          <w:highlight w:val="none"/>
        </w:rPr>
      </w:pPr>
      <w:r>
        <w:rPr>
          <w:rFonts w:hint="eastAsia" w:ascii="宋体" w:hAnsi="宋体"/>
          <w:sz w:val="24"/>
          <w:highlight w:val="none"/>
        </w:rPr>
        <w:t>甲</w:t>
      </w:r>
      <w:r>
        <w:rPr>
          <w:rFonts w:ascii="宋体" w:hAnsi="宋体"/>
          <w:sz w:val="24"/>
          <w:highlight w:val="none"/>
        </w:rPr>
        <w:t xml:space="preserve">    </w:t>
      </w:r>
      <w:r>
        <w:rPr>
          <w:rFonts w:hint="eastAsia" w:ascii="宋体" w:hAnsi="宋体"/>
          <w:sz w:val="24"/>
          <w:highlight w:val="none"/>
        </w:rPr>
        <w:t>方：</w:t>
      </w:r>
      <w:r>
        <w:rPr>
          <w:rFonts w:hint="eastAsia" w:ascii="宋体" w:hAnsi="宋体"/>
          <w:sz w:val="18"/>
          <w:szCs w:val="18"/>
          <w:highlight w:val="none"/>
          <w:u w:val="single"/>
          <w:lang w:val="en-US" w:eastAsia="zh-CN"/>
        </w:rPr>
        <w:t>***</w:t>
      </w:r>
      <w:r>
        <w:rPr>
          <w:rFonts w:ascii="宋体" w:hAnsi="宋体"/>
          <w:sz w:val="24"/>
          <w:highlight w:val="none"/>
        </w:rPr>
        <w:t xml:space="preserve">  </w:t>
      </w:r>
      <w:r>
        <w:rPr>
          <w:rFonts w:hint="eastAsia" w:ascii="宋体" w:hAnsi="宋体"/>
          <w:sz w:val="24"/>
          <w:highlight w:val="none"/>
          <w:lang w:val="en-US" w:eastAsia="zh-CN"/>
        </w:rPr>
        <w:t xml:space="preserve">      </w:t>
      </w:r>
    </w:p>
    <w:p>
      <w:pPr>
        <w:tabs>
          <w:tab w:val="left" w:pos="567"/>
          <w:tab w:val="left" w:pos="900"/>
        </w:tabs>
        <w:adjustRightInd w:val="0"/>
        <w:snapToGrid w:val="0"/>
        <w:spacing w:before="93" w:beforeLines="30" w:after="93" w:afterLines="30" w:line="360" w:lineRule="auto"/>
        <w:ind w:right="-57" w:rightChars="-27" w:firstLine="648" w:firstLineChars="270"/>
        <w:jc w:val="left"/>
        <w:rPr>
          <w:rFonts w:ascii="宋体" w:hAnsi="宋体"/>
          <w:sz w:val="24"/>
          <w:highlight w:val="none"/>
        </w:rPr>
      </w:pPr>
      <w:r>
        <w:rPr>
          <w:rFonts w:hint="eastAsia" w:ascii="宋体" w:hAnsi="宋体"/>
          <w:sz w:val="24"/>
          <w:highlight w:val="none"/>
        </w:rPr>
        <w:t>注册地址：</w:t>
      </w:r>
      <w:r>
        <w:rPr>
          <w:rFonts w:hint="eastAsia" w:ascii="宋体" w:hAnsi="宋体"/>
          <w:sz w:val="18"/>
          <w:szCs w:val="18"/>
          <w:highlight w:val="none"/>
          <w:u w:val="single"/>
        </w:rPr>
        <w:t xml:space="preserve"> </w:t>
      </w:r>
      <w:r>
        <w:rPr>
          <w:rFonts w:ascii="宋体" w:hAnsi="宋体"/>
          <w:sz w:val="18"/>
          <w:szCs w:val="18"/>
          <w:highlight w:val="none"/>
          <w:u w:val="single"/>
        </w:rPr>
        <w:t xml:space="preserve">        </w:t>
      </w:r>
      <w:r>
        <w:rPr>
          <w:rFonts w:ascii="宋体" w:hAnsi="宋体"/>
          <w:sz w:val="24"/>
          <w:highlight w:val="none"/>
        </w:rPr>
        <w:t xml:space="preserve">  </w:t>
      </w:r>
    </w:p>
    <w:p>
      <w:pPr>
        <w:tabs>
          <w:tab w:val="left" w:pos="567"/>
          <w:tab w:val="left" w:pos="900"/>
        </w:tabs>
        <w:adjustRightInd w:val="0"/>
        <w:snapToGrid w:val="0"/>
        <w:spacing w:before="93" w:beforeLines="30" w:after="93" w:afterLines="30" w:line="360" w:lineRule="auto"/>
        <w:ind w:right="-57" w:rightChars="-27" w:firstLine="648" w:firstLineChars="270"/>
        <w:jc w:val="left"/>
        <w:rPr>
          <w:rFonts w:ascii="宋体" w:hAnsi="宋体"/>
          <w:sz w:val="24"/>
          <w:highlight w:val="none"/>
        </w:rPr>
      </w:pPr>
      <w:r>
        <w:rPr>
          <w:rFonts w:hint="eastAsia" w:ascii="宋体" w:hAnsi="宋体"/>
          <w:sz w:val="24"/>
          <w:highlight w:val="none"/>
        </w:rPr>
        <w:t>乙</w:t>
      </w:r>
      <w:r>
        <w:rPr>
          <w:rFonts w:ascii="宋体" w:hAnsi="宋体"/>
          <w:sz w:val="24"/>
          <w:highlight w:val="none"/>
        </w:rPr>
        <w:t xml:space="preserve">    </w:t>
      </w:r>
      <w:r>
        <w:rPr>
          <w:rFonts w:hint="eastAsia" w:ascii="宋体" w:hAnsi="宋体"/>
          <w:sz w:val="24"/>
          <w:highlight w:val="none"/>
        </w:rPr>
        <w:t>方：</w:t>
      </w:r>
      <w:r>
        <w:rPr>
          <w:rFonts w:ascii="宋体" w:hAnsi="宋体"/>
          <w:sz w:val="24"/>
          <w:highlight w:val="none"/>
          <w:u w:val="single"/>
        </w:rPr>
        <w:t xml:space="preserve"> </w:t>
      </w:r>
      <w:r>
        <w:rPr>
          <w:rFonts w:ascii="宋体" w:hAnsi="宋体"/>
          <w:sz w:val="18"/>
          <w:szCs w:val="18"/>
          <w:highlight w:val="none"/>
          <w:u w:val="single"/>
        </w:rPr>
        <w:t xml:space="preserve"> </w:t>
      </w:r>
      <w:r>
        <w:rPr>
          <w:rFonts w:hint="eastAsia" w:ascii="宋体" w:hAnsi="宋体"/>
          <w:sz w:val="18"/>
          <w:szCs w:val="18"/>
          <w:highlight w:val="none"/>
          <w:u w:val="single"/>
          <w:lang w:eastAsia="zh-CN"/>
        </w:rPr>
        <w:t>***</w:t>
      </w:r>
      <w:r>
        <w:rPr>
          <w:rFonts w:ascii="宋体" w:hAnsi="宋体"/>
          <w:sz w:val="24"/>
          <w:highlight w:val="none"/>
          <w:u w:val="single"/>
        </w:rPr>
        <w:t xml:space="preserve"> </w:t>
      </w:r>
    </w:p>
    <w:p>
      <w:pPr>
        <w:tabs>
          <w:tab w:val="left" w:pos="567"/>
          <w:tab w:val="left" w:pos="900"/>
        </w:tabs>
        <w:adjustRightInd w:val="0"/>
        <w:snapToGrid w:val="0"/>
        <w:spacing w:before="93" w:beforeLines="30" w:after="93" w:afterLines="30" w:line="360" w:lineRule="auto"/>
        <w:ind w:right="-57" w:rightChars="-27" w:firstLine="648" w:firstLineChars="270"/>
        <w:jc w:val="left"/>
        <w:rPr>
          <w:rFonts w:ascii="宋体" w:hAnsi="宋体"/>
          <w:sz w:val="18"/>
          <w:szCs w:val="18"/>
          <w:highlight w:val="none"/>
          <w:u w:val="single"/>
        </w:rPr>
      </w:pPr>
      <w:r>
        <w:rPr>
          <w:rFonts w:hint="eastAsia" w:ascii="宋体" w:hAnsi="宋体"/>
          <w:sz w:val="24"/>
          <w:highlight w:val="none"/>
        </w:rPr>
        <w:t>注册地址：</w:t>
      </w:r>
      <w:r>
        <w:rPr>
          <w:rFonts w:hint="eastAsia" w:ascii="宋体" w:hAnsi="宋体"/>
          <w:sz w:val="18"/>
          <w:szCs w:val="18"/>
          <w:highlight w:val="none"/>
          <w:u w:val="single"/>
        </w:rPr>
        <w:t xml:space="preserve"> </w:t>
      </w:r>
      <w:r>
        <w:rPr>
          <w:rFonts w:ascii="宋体" w:hAnsi="宋体"/>
          <w:sz w:val="18"/>
          <w:szCs w:val="18"/>
          <w:highlight w:val="none"/>
          <w:u w:val="single"/>
        </w:rPr>
        <w:t xml:space="preserve">                     </w:t>
      </w:r>
    </w:p>
    <w:p>
      <w:pPr>
        <w:adjustRightInd w:val="0"/>
        <w:snapToGrid w:val="0"/>
        <w:spacing w:before="93" w:beforeLines="30" w:after="93" w:afterLines="30" w:line="360" w:lineRule="auto"/>
        <w:ind w:firstLine="567"/>
        <w:rPr>
          <w:rFonts w:ascii="宋体" w:hAnsi="宋体"/>
          <w:sz w:val="24"/>
        </w:rPr>
      </w:pPr>
      <w:r>
        <w:rPr>
          <w:rFonts w:hint="eastAsia" w:ascii="宋体" w:hAnsi="宋体"/>
          <w:sz w:val="24"/>
        </w:rPr>
        <w:t>根据《中华人民共和国民法典》及中华人民共和国各级立法、行政机关颁布并生效的法律、法规、规章及其它规范性文件（“法律法规”），在遵循平等、自愿、公平和诚实信用原则的基础上，经协商一致，双方订立本合同如下：</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2" w:name="_Toc276888298"/>
      <w:bookmarkStart w:id="3" w:name="_Toc275096412"/>
      <w:bookmarkStart w:id="4" w:name="_Toc364839361"/>
      <w:bookmarkStart w:id="5" w:name="_Toc276888365"/>
      <w:bookmarkStart w:id="6" w:name="_Toc276825187"/>
      <w:bookmarkStart w:id="7" w:name="_Toc276828333"/>
      <w:bookmarkStart w:id="8" w:name="_Toc276578424"/>
      <w:bookmarkStart w:id="9" w:name="_Toc276842694"/>
      <w:bookmarkStart w:id="10" w:name="_Toc275096343"/>
      <w:bookmarkStart w:id="11" w:name="_Toc275173805"/>
      <w:bookmarkStart w:id="12" w:name="_Toc299915678"/>
      <w:bookmarkStart w:id="13" w:name="_Toc276842642"/>
      <w:r>
        <w:rPr>
          <w:rFonts w:hint="eastAsia" w:ascii="宋体" w:hAnsi="宋体"/>
          <w:b w:val="0"/>
          <w:szCs w:val="24"/>
        </w:rPr>
        <w:t xml:space="preserve"> </w:t>
      </w:r>
      <w:r>
        <w:rPr>
          <w:rFonts w:ascii="宋体" w:hAnsi="宋体"/>
          <w:b w:val="0"/>
          <w:szCs w:val="24"/>
        </w:rPr>
        <w:t>服务</w:t>
      </w:r>
      <w:bookmarkEnd w:id="2"/>
      <w:bookmarkEnd w:id="3"/>
      <w:bookmarkEnd w:id="4"/>
      <w:bookmarkEnd w:id="5"/>
      <w:bookmarkEnd w:id="6"/>
      <w:bookmarkEnd w:id="7"/>
      <w:bookmarkEnd w:id="8"/>
      <w:bookmarkEnd w:id="9"/>
      <w:bookmarkEnd w:id="10"/>
      <w:bookmarkEnd w:id="11"/>
      <w:bookmarkEnd w:id="12"/>
      <w:bookmarkEnd w:id="13"/>
    </w:p>
    <w:p>
      <w:pPr>
        <w:numPr>
          <w:ilvl w:val="1"/>
          <w:numId w:val="5"/>
        </w:numPr>
        <w:tabs>
          <w:tab w:val="left" w:pos="709"/>
          <w:tab w:val="clear" w:pos="540"/>
        </w:tabs>
        <w:adjustRightInd w:val="0"/>
        <w:snapToGrid w:val="0"/>
        <w:spacing w:before="93" w:beforeLines="30" w:after="93" w:afterLines="30" w:line="360" w:lineRule="auto"/>
        <w:ind w:left="709" w:hanging="709"/>
        <w:rPr>
          <w:rFonts w:ascii="宋体" w:hAnsi="宋体"/>
          <w:sz w:val="24"/>
        </w:rPr>
      </w:pPr>
      <w:r>
        <w:rPr>
          <w:rFonts w:hint="eastAsia" w:ascii="宋体" w:hAnsi="宋体"/>
          <w:color w:val="000000"/>
          <w:sz w:val="24"/>
        </w:rPr>
        <w:t>乙方应根据本合同约定为甲方提供【</w:t>
      </w:r>
      <w:r>
        <w:rPr>
          <w:rFonts w:hint="eastAsia" w:ascii="宋体" w:hAnsi="宋体"/>
          <w:color w:val="000000"/>
          <w:sz w:val="24"/>
          <w:lang w:eastAsia="zh-CN"/>
        </w:rPr>
        <w:t>舟山物流公司码头泊位扩建工程（册子水道）海域水质及生态现状监测调查服务</w:t>
      </w:r>
      <w:r>
        <w:rPr>
          <w:rFonts w:hint="eastAsia" w:ascii="宋体" w:hAnsi="宋体"/>
          <w:color w:val="000000"/>
          <w:sz w:val="24"/>
        </w:rPr>
        <w:t>】，完成合同约定的全部工作，具体服务和相关工作的内容、范围、地点及要求【详见本合同附件一】。</w:t>
      </w:r>
    </w:p>
    <w:p>
      <w:pPr>
        <w:numPr>
          <w:ilvl w:val="1"/>
          <w:numId w:val="5"/>
        </w:numPr>
        <w:tabs>
          <w:tab w:val="left" w:pos="709"/>
          <w:tab w:val="clear" w:pos="540"/>
        </w:tabs>
        <w:adjustRightInd w:val="0"/>
        <w:snapToGrid w:val="0"/>
        <w:spacing w:before="93" w:beforeLines="30" w:after="93" w:afterLines="30" w:line="360" w:lineRule="auto"/>
        <w:ind w:left="709" w:hanging="709"/>
        <w:rPr>
          <w:rFonts w:ascii="宋体" w:hAnsi="宋体"/>
          <w:sz w:val="24"/>
          <w:u w:val="single"/>
        </w:rPr>
      </w:pPr>
      <w:r>
        <w:rPr>
          <w:rFonts w:hint="eastAsia" w:ascii="宋体" w:hAnsi="宋体"/>
          <w:color w:val="000000"/>
          <w:sz w:val="24"/>
        </w:rPr>
        <w:t>乙方应执行良好的行业惯例提供优质、高效的服务。在提供服务过程中，乙方应维护甲方利益，不得实施任何违背甲方利益的行为。</w:t>
      </w:r>
    </w:p>
    <w:p>
      <w:pPr>
        <w:numPr>
          <w:ilvl w:val="1"/>
          <w:numId w:val="5"/>
        </w:numPr>
        <w:tabs>
          <w:tab w:val="left" w:pos="709"/>
          <w:tab w:val="clear" w:pos="540"/>
        </w:tabs>
        <w:adjustRightInd w:val="0"/>
        <w:snapToGrid w:val="0"/>
        <w:spacing w:before="93" w:beforeLines="30" w:after="93" w:afterLines="30" w:line="360" w:lineRule="auto"/>
        <w:ind w:left="709" w:hanging="709"/>
        <w:rPr>
          <w:rFonts w:ascii="宋体" w:hAnsi="宋体"/>
          <w:sz w:val="24"/>
          <w:u w:val="single"/>
        </w:rPr>
      </w:pPr>
      <w:r>
        <w:rPr>
          <w:rFonts w:hint="eastAsia" w:ascii="宋体" w:hAnsi="宋体"/>
          <w:color w:val="000000"/>
          <w:sz w:val="24"/>
        </w:rPr>
        <w:t>即使本合同未对某项工作予以明确约定，但是，如相关工作系乙方提供同类服务时，通过执行良好的行业惯例应当预见和完成的工作，或属于为实现本合同目的应当实施的工作，乙方应以符合本合同目的的方式实施该等工作，乙方无权要求调整合同总价或工作期限。</w:t>
      </w:r>
    </w:p>
    <w:p>
      <w:pPr>
        <w:numPr>
          <w:ilvl w:val="1"/>
          <w:numId w:val="5"/>
        </w:numPr>
        <w:tabs>
          <w:tab w:val="left" w:pos="709"/>
          <w:tab w:val="clear" w:pos="540"/>
        </w:tabs>
        <w:adjustRightInd w:val="0"/>
        <w:snapToGrid w:val="0"/>
        <w:spacing w:before="93" w:beforeLines="30" w:after="93" w:afterLines="30" w:line="360" w:lineRule="auto"/>
        <w:ind w:left="709" w:hanging="709"/>
        <w:rPr>
          <w:rFonts w:ascii="宋体" w:hAnsi="宋体"/>
          <w:color w:val="000000"/>
          <w:sz w:val="24"/>
        </w:rPr>
      </w:pPr>
      <w:r>
        <w:rPr>
          <w:rFonts w:hint="eastAsia" w:ascii="宋体" w:hAnsi="宋体"/>
          <w:sz w:val="24"/>
        </w:rPr>
        <w:t>乙方提供的服务将用于【</w:t>
      </w:r>
      <w:r>
        <w:rPr>
          <w:rFonts w:hint="eastAsia" w:ascii="宋体" w:hAnsi="宋体"/>
          <w:sz w:val="24"/>
          <w:lang w:eastAsia="zh-CN"/>
        </w:rPr>
        <w:t>舟山物流公司码头泊位扩建工程（册子水道）海域水质及生态现状监测调查服务</w:t>
      </w:r>
      <w:r>
        <w:rPr>
          <w:rFonts w:hint="eastAsia" w:ascii="宋体" w:hAnsi="宋体"/>
          <w:sz w:val="24"/>
        </w:rPr>
        <w:t>】项目/工程。</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highlight w:val="none"/>
        </w:rPr>
      </w:pPr>
      <w:bookmarkStart w:id="14" w:name="_Toc296955842"/>
      <w:bookmarkStart w:id="15" w:name="_Toc288479378"/>
      <w:bookmarkStart w:id="16" w:name="_Toc296959304"/>
      <w:bookmarkStart w:id="17" w:name="_Toc299915679"/>
      <w:bookmarkStart w:id="18" w:name="_Toc364839362"/>
      <w:bookmarkStart w:id="19" w:name="_Toc291435828"/>
      <w:bookmarkStart w:id="20" w:name="_Toc291435895"/>
      <w:bookmarkStart w:id="21" w:name="_Toc273451829"/>
      <w:bookmarkStart w:id="22" w:name="_Toc278889775"/>
      <w:bookmarkStart w:id="23" w:name="_Toc274754020"/>
      <w:bookmarkStart w:id="24" w:name="_Toc274403530"/>
      <w:bookmarkStart w:id="25" w:name="_Toc274668316"/>
      <w:bookmarkStart w:id="26" w:name="_Toc273451896"/>
      <w:bookmarkStart w:id="27" w:name="_Toc274669314"/>
      <w:bookmarkStart w:id="28" w:name="_Toc274075954"/>
      <w:bookmarkStart w:id="29" w:name="_Toc274474905"/>
      <w:bookmarkStart w:id="30" w:name="_Toc274076142"/>
      <w:bookmarkStart w:id="31" w:name="_Toc274343601"/>
      <w:r>
        <w:rPr>
          <w:rFonts w:hint="eastAsia" w:ascii="宋体" w:hAnsi="宋体"/>
          <w:b w:val="0"/>
          <w:szCs w:val="24"/>
          <w:highlight w:val="none"/>
        </w:rPr>
        <w:t xml:space="preserve"> 合同</w:t>
      </w:r>
      <w:bookmarkEnd w:id="14"/>
      <w:bookmarkEnd w:id="15"/>
      <w:r>
        <w:rPr>
          <w:rFonts w:hint="eastAsia" w:ascii="宋体" w:hAnsi="宋体"/>
          <w:b w:val="0"/>
          <w:szCs w:val="24"/>
          <w:highlight w:val="none"/>
        </w:rPr>
        <w:t>总价</w:t>
      </w:r>
      <w:bookmarkEnd w:id="16"/>
      <w:bookmarkEnd w:id="17"/>
      <w:r>
        <w:rPr>
          <w:rFonts w:hint="eastAsia" w:ascii="宋体" w:hAnsi="宋体"/>
          <w:b w:val="0"/>
          <w:szCs w:val="24"/>
          <w:highlight w:val="none"/>
        </w:rPr>
        <w:t>和付款</w:t>
      </w:r>
      <w:bookmarkEnd w:id="18"/>
    </w:p>
    <w:p>
      <w:pPr>
        <w:numPr>
          <w:ilvl w:val="1"/>
          <w:numId w:val="6"/>
        </w:numPr>
        <w:tabs>
          <w:tab w:val="left" w:pos="709"/>
        </w:tabs>
        <w:adjustRightInd w:val="0"/>
        <w:snapToGrid w:val="0"/>
        <w:spacing w:before="93" w:beforeLines="30" w:after="93" w:afterLines="30" w:line="360" w:lineRule="auto"/>
        <w:ind w:left="709" w:hanging="709"/>
        <w:rPr>
          <w:rFonts w:ascii="宋体" w:hAnsi="宋体"/>
          <w:sz w:val="24"/>
          <w:highlight w:val="none"/>
        </w:rPr>
      </w:pPr>
      <w:r>
        <w:rPr>
          <w:rFonts w:hint="eastAsia" w:ascii="宋体" w:hAnsi="宋体"/>
          <w:sz w:val="24"/>
          <w:highlight w:val="none"/>
          <w:lang w:eastAsia="zh-CN"/>
        </w:rPr>
        <w:t>本合同项下的合同总价</w:t>
      </w:r>
      <w:r>
        <w:rPr>
          <w:rFonts w:ascii="宋体" w:hAnsi="宋体"/>
          <w:sz w:val="24"/>
          <w:highlight w:val="none"/>
        </w:rPr>
        <w:t>为【RMB】【</w:t>
      </w:r>
      <w:r>
        <w:rPr>
          <w:rFonts w:hint="eastAsia" w:ascii="宋体" w:hAnsi="宋体"/>
          <w:sz w:val="24"/>
          <w:highlight w:val="none"/>
          <w:lang w:eastAsia="zh-CN"/>
        </w:rPr>
        <w:t>***</w:t>
      </w:r>
      <w:r>
        <w:rPr>
          <w:rFonts w:ascii="宋体" w:hAnsi="宋体"/>
          <w:sz w:val="24"/>
          <w:highlight w:val="none"/>
        </w:rPr>
        <w:t>】（大写：【人民币】【</w:t>
      </w:r>
      <w:r>
        <w:rPr>
          <w:rFonts w:hint="eastAsia" w:ascii="宋体" w:hAnsi="宋体"/>
          <w:sz w:val="24"/>
          <w:highlight w:val="none"/>
          <w:lang w:eastAsia="zh-CN"/>
        </w:rPr>
        <w:t>***</w:t>
      </w:r>
      <w:r>
        <w:rPr>
          <w:rFonts w:ascii="宋体" w:hAnsi="宋体"/>
          <w:sz w:val="24"/>
          <w:highlight w:val="none"/>
        </w:rPr>
        <w:t>】）。</w:t>
      </w:r>
      <w:r>
        <w:rPr>
          <w:rFonts w:hint="eastAsia" w:ascii="宋体" w:hAnsi="宋体"/>
          <w:sz w:val="24"/>
          <w:highlight w:val="none"/>
          <w:lang w:eastAsia="zh-CN"/>
        </w:rPr>
        <w:t>合同总价为含税（包括增值税）总金额。其中，</w:t>
      </w:r>
      <w:r>
        <w:rPr>
          <w:rFonts w:ascii="宋体" w:hAnsi="宋体"/>
          <w:sz w:val="24"/>
          <w:highlight w:val="none"/>
        </w:rPr>
        <w:t>不含增值税合同价款为人民币【RMB】【</w:t>
      </w:r>
      <w:r>
        <w:rPr>
          <w:rFonts w:hint="eastAsia" w:ascii="宋体" w:hAnsi="宋体"/>
          <w:sz w:val="24"/>
          <w:highlight w:val="none"/>
          <w:lang w:eastAsia="zh-CN"/>
        </w:rPr>
        <w:t>***</w:t>
      </w:r>
      <w:r>
        <w:rPr>
          <w:rFonts w:ascii="宋体" w:hAnsi="宋体"/>
          <w:sz w:val="24"/>
          <w:highlight w:val="none"/>
        </w:rPr>
        <w:t>】（大写：【人民币】：【</w:t>
      </w:r>
      <w:r>
        <w:rPr>
          <w:rFonts w:hint="eastAsia" w:ascii="宋体" w:hAnsi="宋体"/>
          <w:sz w:val="24"/>
          <w:highlight w:val="none"/>
          <w:lang w:eastAsia="zh-CN"/>
        </w:rPr>
        <w:t>***</w:t>
      </w:r>
      <w:r>
        <w:rPr>
          <w:rFonts w:ascii="宋体" w:hAnsi="宋体"/>
          <w:sz w:val="24"/>
          <w:highlight w:val="none"/>
        </w:rPr>
        <w:t>】），增值税税率为</w:t>
      </w:r>
      <w:r>
        <w:rPr>
          <w:rFonts w:hint="eastAsia" w:ascii="宋体" w:hAnsi="宋体"/>
          <w:sz w:val="24"/>
          <w:highlight w:val="none"/>
          <w:lang w:eastAsia="zh-CN"/>
        </w:rPr>
        <w:t>***</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lang w:eastAsia="zh-CN"/>
        </w:rPr>
        <w:t>合同总价</w:t>
      </w:r>
      <w:r>
        <w:rPr>
          <w:rFonts w:hint="eastAsia" w:ascii="宋体" w:hAnsi="宋体"/>
          <w:sz w:val="24"/>
          <w:highlight w:val="none"/>
        </w:rPr>
        <w:t>的各分项价格和组成详见本合同附件二】。</w:t>
      </w:r>
    </w:p>
    <w:p>
      <w:pPr>
        <w:numPr>
          <w:ilvl w:val="1"/>
          <w:numId w:val="6"/>
        </w:numPr>
        <w:tabs>
          <w:tab w:val="left" w:pos="709"/>
        </w:tabs>
        <w:adjustRightInd w:val="0"/>
        <w:snapToGrid w:val="0"/>
        <w:spacing w:before="93" w:beforeLines="30" w:after="93" w:afterLines="30" w:line="360" w:lineRule="auto"/>
        <w:ind w:left="709" w:hanging="709"/>
        <w:rPr>
          <w:rFonts w:ascii="宋体" w:hAnsi="宋体"/>
          <w:sz w:val="24"/>
        </w:rPr>
      </w:pPr>
      <w:r>
        <w:rPr>
          <w:rFonts w:hint="eastAsia" w:ascii="宋体" w:hAnsi="宋体"/>
          <w:sz w:val="24"/>
          <w:highlight w:val="none"/>
          <w:lang w:eastAsia="zh-CN"/>
        </w:rPr>
        <w:t>合同总价是本合同项下乙方完成工作、完整履行本合同，甲方应支付的全部金额。</w:t>
      </w:r>
      <w:r>
        <w:rPr>
          <w:rFonts w:hint="eastAsia" w:hAnsi="宋体"/>
          <w:sz w:val="24"/>
          <w:highlight w:val="none"/>
        </w:rPr>
        <w:t>除非根据本合同规定或国家增值税税率调整引起</w:t>
      </w:r>
      <w:r>
        <w:rPr>
          <w:rFonts w:hint="eastAsia" w:hAnsi="宋体"/>
          <w:sz w:val="24"/>
          <w:highlight w:val="none"/>
          <w:lang w:eastAsia="zh-CN"/>
        </w:rPr>
        <w:t>合同总价</w:t>
      </w:r>
      <w:r>
        <w:rPr>
          <w:rFonts w:hint="eastAsia" w:hAnsi="宋体"/>
          <w:sz w:val="24"/>
          <w:highlight w:val="none"/>
        </w:rPr>
        <w:t>调整外，</w:t>
      </w:r>
      <w:r>
        <w:rPr>
          <w:rFonts w:hint="eastAsia" w:ascii="宋体" w:hAnsi="宋体"/>
          <w:sz w:val="24"/>
          <w:highlight w:val="none"/>
          <w:lang w:eastAsia="zh-CN"/>
        </w:rPr>
        <w:t>合同总价</w:t>
      </w:r>
      <w:r>
        <w:rPr>
          <w:rFonts w:hint="eastAsia" w:ascii="宋体" w:hAnsi="宋体"/>
          <w:sz w:val="24"/>
          <w:highlight w:val="none"/>
        </w:rPr>
        <w:t>为固定价格，不受通货膨胀、利率、汇率、税费、成本及市场等因素变化的影响。</w:t>
      </w:r>
      <w:r>
        <w:rPr>
          <w:sz w:val="24"/>
          <w:highlight w:val="none"/>
        </w:rPr>
        <w:t>为免疑义，如果增值税税率因国家增值税税率调整而发生变化，</w:t>
      </w:r>
      <w:r>
        <w:rPr>
          <w:rFonts w:hint="eastAsia" w:eastAsiaTheme="minorEastAsia"/>
          <w:sz w:val="24"/>
          <w:highlight w:val="none"/>
          <w:lang w:eastAsia="zh-CN"/>
        </w:rPr>
        <w:t>合同总价</w:t>
      </w:r>
      <w:r>
        <w:rPr>
          <w:sz w:val="24"/>
          <w:highlight w:val="none"/>
        </w:rPr>
        <w:t>自动调整，但不含增值税的合同价款保持不变。</w:t>
      </w:r>
      <w:r>
        <w:rPr>
          <w:rFonts w:hint="eastAsia" w:ascii="宋体" w:hAnsi="宋体"/>
          <w:sz w:val="24"/>
          <w:highlight w:val="none"/>
        </w:rPr>
        <w:t>除非合同另有约定，乙方应承担其在履行合同义务时产生的全部费用和税费。乙方确认，其同意</w:t>
      </w:r>
      <w:r>
        <w:rPr>
          <w:rFonts w:hint="eastAsia" w:ascii="宋体" w:hAnsi="宋体"/>
          <w:sz w:val="24"/>
          <w:highlight w:val="none"/>
          <w:lang w:eastAsia="zh-CN"/>
        </w:rPr>
        <w:t>合同总价</w:t>
      </w:r>
      <w:r>
        <w:rPr>
          <w:rFonts w:hint="eastAsia" w:ascii="宋体" w:hAnsi="宋体"/>
          <w:sz w:val="24"/>
          <w:highlight w:val="none"/>
        </w:rPr>
        <w:t>前已经获得了所有信息并已考虑了所有可能影响成本和费用的因素。为避免歧义，</w:t>
      </w:r>
      <w:r>
        <w:rPr>
          <w:rFonts w:hint="eastAsia" w:ascii="宋体" w:hAnsi="宋体"/>
          <w:sz w:val="24"/>
          <w:highlight w:val="none"/>
          <w:lang w:eastAsia="zh-CN"/>
        </w:rPr>
        <w:t>合同总价</w:t>
      </w:r>
      <w:r>
        <w:rPr>
          <w:rFonts w:ascii="宋体" w:hAnsi="宋体"/>
          <w:sz w:val="24"/>
          <w:highlight w:val="none"/>
        </w:rPr>
        <w:t>包括：完成工作所需的设备、</w:t>
      </w:r>
      <w:r>
        <w:rPr>
          <w:rFonts w:ascii="宋体" w:hAnsi="宋体"/>
          <w:sz w:val="24"/>
        </w:rPr>
        <w:t>器具、材料、供应品、备品备件等的费用；</w:t>
      </w:r>
      <w:r>
        <w:rPr>
          <w:rFonts w:hint="eastAsia" w:ascii="宋体" w:hAnsi="宋体"/>
          <w:sz w:val="24"/>
        </w:rPr>
        <w:t>直接成本、间接成本、</w:t>
      </w:r>
      <w:r>
        <w:rPr>
          <w:rFonts w:ascii="宋体" w:hAnsi="宋体"/>
          <w:sz w:val="24"/>
        </w:rPr>
        <w:t>人力成本；履行质量保证责任的费用；与合同相关的所有税费；</w:t>
      </w:r>
      <w:r>
        <w:rPr>
          <w:rFonts w:hint="eastAsia" w:ascii="宋体" w:hAnsi="宋体"/>
          <w:sz w:val="24"/>
        </w:rPr>
        <w:t>或有费用及合同没有列明但系为实现合同目的所必需的工作和服务费用；乙方所有的风险、义务和责任，以及合同中明确说明由乙方承担的成本和费用等</w:t>
      </w:r>
      <w:r>
        <w:rPr>
          <w:rFonts w:ascii="宋体" w:hAnsi="宋体"/>
          <w:sz w:val="24"/>
        </w:rPr>
        <w:t>。</w:t>
      </w:r>
    </w:p>
    <w:p>
      <w:pPr>
        <w:numPr>
          <w:ilvl w:val="1"/>
          <w:numId w:val="6"/>
        </w:numPr>
        <w:tabs>
          <w:tab w:val="left" w:pos="709"/>
        </w:tabs>
        <w:adjustRightInd w:val="0"/>
        <w:snapToGrid w:val="0"/>
        <w:spacing w:before="93" w:beforeLines="30" w:after="93" w:afterLines="30" w:line="360" w:lineRule="auto"/>
        <w:ind w:left="709" w:hanging="709"/>
        <w:rPr>
          <w:rFonts w:ascii="宋体" w:hAnsi="宋体"/>
          <w:sz w:val="24"/>
        </w:rPr>
      </w:pPr>
      <w:r>
        <w:rPr>
          <w:rFonts w:hint="eastAsia" w:ascii="宋体" w:hAnsi="宋体"/>
          <w:sz w:val="24"/>
        </w:rPr>
        <w:t>双方应根据法律法规各自承担其应承担的与本合同有关的所有税费。甲方有权根据法律法规和本合同的规定从应支付给乙方的合同总价中扣除应由甲方代扣、代缴的乙方应付税费，但应向乙方提供完税证明。</w:t>
      </w:r>
    </w:p>
    <w:p>
      <w:pPr>
        <w:widowControl/>
        <w:numPr>
          <w:ilvl w:val="0"/>
          <w:numId w:val="7"/>
        </w:numPr>
        <w:tabs>
          <w:tab w:val="left" w:pos="851"/>
        </w:tabs>
        <w:adjustRightInd w:val="0"/>
        <w:spacing w:line="360" w:lineRule="auto"/>
        <w:ind w:left="420" w:hanging="420"/>
        <w:contextualSpacing/>
        <w:jc w:val="both"/>
        <w:rPr>
          <w:rFonts w:ascii="宋体" w:hAnsi="宋体" w:eastAsia="宋体" w:cs="Calibri"/>
          <w:kern w:val="0"/>
          <w:sz w:val="24"/>
          <w:szCs w:val="21"/>
          <w:lang w:val="en-US" w:eastAsia="zh-CN" w:bidi="ar-SA"/>
        </w:rPr>
      </w:pPr>
      <w:r>
        <w:rPr>
          <w:rFonts w:hint="eastAsia" w:ascii="宋体" w:hAnsi="宋体" w:eastAsia="宋体" w:cs="Calibri"/>
          <w:kern w:val="0"/>
          <w:sz w:val="24"/>
          <w:szCs w:val="21"/>
          <w:lang w:val="en-US" w:eastAsia="zh-CN" w:bidi="ar-SA"/>
        </w:rPr>
        <w:t xml:space="preserve"> </w:t>
      </w:r>
      <w:r>
        <w:rPr>
          <w:rFonts w:ascii="宋体" w:hAnsi="宋体" w:eastAsia="宋体" w:cs="Calibri"/>
          <w:kern w:val="0"/>
          <w:sz w:val="24"/>
          <w:szCs w:val="21"/>
          <w:lang w:val="en-US" w:eastAsia="zh-CN" w:bidi="ar-SA"/>
        </w:rPr>
        <w:t xml:space="preserve"> </w:t>
      </w:r>
      <w:r>
        <w:rPr>
          <w:rFonts w:hint="eastAsia" w:ascii="宋体" w:hAnsi="宋体" w:eastAsia="宋体" w:cs="Calibri"/>
          <w:kern w:val="0"/>
          <w:sz w:val="24"/>
          <w:szCs w:val="21"/>
          <w:lang w:val="en-US" w:eastAsia="zh-CN" w:bidi="ar-SA"/>
        </w:rPr>
        <w:t>支付货币：</w:t>
      </w:r>
    </w:p>
    <w:p>
      <w:pPr>
        <w:widowControl/>
        <w:tabs>
          <w:tab w:val="left" w:pos="567"/>
        </w:tabs>
        <w:adjustRightInd w:val="0"/>
        <w:spacing w:line="360" w:lineRule="auto"/>
        <w:ind w:left="706" w:leftChars="336" w:firstLine="2"/>
        <w:contextualSpacing/>
        <w:jc w:val="left"/>
        <w:rPr>
          <w:rFonts w:ascii="宋体" w:hAnsi="宋体" w:eastAsia="宋体" w:cs="Arial"/>
          <w:bCs/>
          <w:color w:val="44546A"/>
          <w:kern w:val="0"/>
          <w:sz w:val="24"/>
          <w:szCs w:val="21"/>
          <w:lang w:val="en-US" w:eastAsia="zh-CN" w:bidi="ar-SA"/>
        </w:rPr>
      </w:pPr>
      <w:r>
        <w:rPr>
          <w:rFonts w:hint="eastAsia" w:ascii="宋体" w:hAnsi="宋体" w:eastAsia="宋体" w:cs="Calibri"/>
          <w:kern w:val="0"/>
          <w:sz w:val="24"/>
          <w:szCs w:val="21"/>
          <w:lang w:val="en-US" w:eastAsia="zh-CN" w:bidi="ar-SA"/>
        </w:rPr>
        <w:t>本合同项下的所有应付款项均应以</w:t>
      </w:r>
      <w:r>
        <w:rPr>
          <w:rFonts w:hint="eastAsia" w:ascii="宋体" w:hAnsi="宋体" w:eastAsia="宋体" w:cs="Arial"/>
          <w:color w:val="44546A"/>
          <w:kern w:val="0"/>
          <w:sz w:val="24"/>
          <w:szCs w:val="21"/>
          <w:lang w:val="en-US" w:eastAsia="zh-CN" w:bidi="ar-SA"/>
        </w:rPr>
        <w:t>【</w:t>
      </w:r>
      <w:r>
        <w:rPr>
          <w:rFonts w:hint="eastAsia" w:ascii="宋体" w:hAnsi="宋体" w:eastAsia="宋体" w:cs="Arial"/>
          <w:color w:val="44546A"/>
          <w:kern w:val="0"/>
          <w:sz w:val="24"/>
          <w:szCs w:val="21"/>
          <w:highlight w:val="magenta"/>
          <w:lang w:val="en-US" w:eastAsia="zh-CN" w:bidi="ar-SA"/>
        </w:rPr>
        <w:t>人民币</w:t>
      </w:r>
      <w:r>
        <w:rPr>
          <w:rFonts w:hint="eastAsia" w:ascii="宋体" w:hAnsi="宋体" w:eastAsia="宋体" w:cs="Arial"/>
          <w:color w:val="44546A"/>
          <w:kern w:val="0"/>
          <w:sz w:val="24"/>
          <w:szCs w:val="21"/>
          <w:lang w:val="en-US" w:eastAsia="zh-CN" w:bidi="ar-SA"/>
        </w:rPr>
        <w:t>】</w:t>
      </w:r>
      <w:r>
        <w:rPr>
          <w:rFonts w:hint="eastAsia" w:ascii="宋体" w:hAnsi="宋体" w:eastAsia="宋体" w:cs="Calibri"/>
          <w:kern w:val="0"/>
          <w:sz w:val="24"/>
          <w:szCs w:val="21"/>
          <w:lang w:val="en-US" w:eastAsia="zh-CN" w:bidi="ar-SA"/>
        </w:rPr>
        <w:t>支付。</w:t>
      </w:r>
    </w:p>
    <w:p>
      <w:pPr>
        <w:numPr>
          <w:ilvl w:val="0"/>
          <w:numId w:val="8"/>
        </w:numPr>
        <w:tabs>
          <w:tab w:val="left" w:pos="709"/>
        </w:tabs>
        <w:adjustRightInd w:val="0"/>
        <w:snapToGrid w:val="0"/>
        <w:spacing w:before="93" w:beforeLines="30" w:after="93" w:afterLines="30" w:line="360" w:lineRule="auto"/>
        <w:ind w:hanging="840"/>
        <w:rPr>
          <w:rFonts w:ascii="宋体" w:hAnsi="宋体"/>
          <w:sz w:val="24"/>
        </w:rPr>
      </w:pPr>
      <w:r>
        <w:rPr>
          <w:rFonts w:hint="eastAsia" w:ascii="宋体" w:hAnsi="宋体"/>
          <w:sz w:val="24"/>
        </w:rPr>
        <w:t>本合同项下的</w:t>
      </w:r>
      <w:r>
        <w:rPr>
          <w:rFonts w:ascii="宋体" w:hAnsi="宋体"/>
          <w:color w:val="000000"/>
          <w:sz w:val="24"/>
        </w:rPr>
        <w:t>付款方式：</w:t>
      </w:r>
      <w:r>
        <w:rPr>
          <w:rFonts w:hint="eastAsia" w:ascii="宋体" w:hAnsi="宋体"/>
          <w:color w:val="000000"/>
          <w:sz w:val="24"/>
          <w:highlight w:val="yellow"/>
        </w:rPr>
        <w:t>【☑</w:t>
      </w:r>
      <w:r>
        <w:rPr>
          <w:rFonts w:ascii="宋体" w:hAnsi="宋体"/>
          <w:color w:val="000000"/>
          <w:sz w:val="24"/>
          <w:highlight w:val="yellow"/>
        </w:rPr>
        <w:t>银行电汇；</w:t>
      </w:r>
      <w:r>
        <w:rPr>
          <w:rFonts w:hint="eastAsia" w:ascii="宋体" w:hAnsi="宋体"/>
          <w:color w:val="000000"/>
          <w:sz w:val="24"/>
          <w:highlight w:val="yellow"/>
        </w:rPr>
        <w:t>□</w:t>
      </w:r>
      <w:r>
        <w:rPr>
          <w:rFonts w:ascii="宋体" w:hAnsi="宋体"/>
          <w:color w:val="000000"/>
          <w:sz w:val="24"/>
          <w:highlight w:val="yellow"/>
        </w:rPr>
        <w:t>其它</w:t>
      </w:r>
      <w:r>
        <w:rPr>
          <w:rFonts w:ascii="宋体" w:hAnsi="宋体"/>
          <w:color w:val="000000"/>
          <w:sz w:val="24"/>
          <w:highlight w:val="yellow"/>
          <w:u w:val="single"/>
        </w:rPr>
        <w:t xml:space="preserve"> </w:t>
      </w:r>
      <w:r>
        <w:rPr>
          <w:rFonts w:hint="eastAsia" w:ascii="宋体" w:hAnsi="宋体"/>
          <w:color w:val="000000"/>
          <w:sz w:val="24"/>
          <w:highlight w:val="yellow"/>
          <w:u w:val="single"/>
        </w:rPr>
        <w:t xml:space="preserve">   </w:t>
      </w:r>
      <w:r>
        <w:rPr>
          <w:rFonts w:hint="eastAsia" w:ascii="宋体" w:hAnsi="宋体"/>
          <w:color w:val="000000"/>
          <w:sz w:val="24"/>
          <w:highlight w:val="yellow"/>
        </w:rPr>
        <w:t>】</w:t>
      </w:r>
      <w:r>
        <w:rPr>
          <w:rFonts w:hint="eastAsia" w:ascii="宋体" w:hAnsi="宋体"/>
          <w:color w:val="000000"/>
          <w:sz w:val="24"/>
        </w:rPr>
        <w:t>。</w:t>
      </w:r>
    </w:p>
    <w:p>
      <w:pPr>
        <w:pStyle w:val="12"/>
      </w:pPr>
      <w:r>
        <w:rPr>
          <w:rFonts w:hint="eastAsia" w:ascii="宋体" w:hAnsi="宋体"/>
          <w:sz w:val="24"/>
        </w:rPr>
        <w:t>付款进度：</w:t>
      </w:r>
    </w:p>
    <w:p>
      <w:pPr>
        <w:numPr>
          <w:ilvl w:val="0"/>
          <w:numId w:val="0"/>
        </w:numPr>
        <w:adjustRightInd/>
        <w:snapToGrid/>
        <w:spacing w:before="0" w:beforeLines="-2147483648" w:after="0" w:afterLines="-2147483648" w:line="360" w:lineRule="auto"/>
        <w:ind w:left="0" w:leftChars="0" w:firstLine="840" w:firstLineChars="350"/>
        <w:rPr>
          <w:rFonts w:ascii="宋体" w:hAnsi="宋体"/>
          <w:sz w:val="24"/>
        </w:rPr>
      </w:pP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p>
    <w:p>
      <w:pPr>
        <w:numPr>
          <w:ilvl w:val="0"/>
          <w:numId w:val="8"/>
        </w:numPr>
        <w:tabs>
          <w:tab w:val="left" w:pos="709"/>
        </w:tabs>
        <w:adjustRightInd w:val="0"/>
        <w:snapToGrid w:val="0"/>
        <w:spacing w:before="93" w:beforeLines="30" w:after="93" w:afterLines="30" w:line="360" w:lineRule="auto"/>
        <w:ind w:hanging="698"/>
        <w:rPr>
          <w:rFonts w:ascii="宋体" w:hAnsi="宋体"/>
          <w:sz w:val="24"/>
        </w:rPr>
      </w:pPr>
      <w:r>
        <w:rPr>
          <w:rFonts w:hint="eastAsia" w:ascii="宋体" w:hAnsi="宋体"/>
          <w:color w:val="000000"/>
          <w:sz w:val="24"/>
        </w:rPr>
        <w:t>乙方应根据合同约定的付款条件和进度，提前向甲方开具符合中国法律法规要求的发票并提供相关支持文件。如乙方提供的服务属于增值税应税范围，乙方应为甲方开具增值税专用发票。如乙方未开具上述发票或提供相关支持文件，甲方有权拒付相关合同价款。如果甲方对乙方出具的该等发票和提供的相关支持文件无异议，应于收到该等发票和相关支持文件之日起</w:t>
      </w:r>
      <w:r>
        <w:rPr>
          <w:rFonts w:hint="eastAsia" w:ascii="宋体" w:hAnsi="宋体"/>
          <w:color w:val="000000"/>
          <w:sz w:val="24"/>
          <w:highlight w:val="magenta"/>
        </w:rPr>
        <w:t>【45】</w:t>
      </w:r>
      <w:r>
        <w:rPr>
          <w:rFonts w:hint="eastAsia" w:ascii="宋体" w:hAnsi="宋体"/>
          <w:color w:val="000000"/>
          <w:sz w:val="24"/>
        </w:rPr>
        <w:t>日内向乙方付款。</w:t>
      </w:r>
      <w:r>
        <w:rPr>
          <w:color w:val="000000"/>
          <w:sz w:val="24"/>
        </w:rPr>
        <w:t>如付款到期日非为银行工作日，则付款到期日顺延至下一个银行工作日。</w:t>
      </w:r>
      <w:r>
        <w:rPr>
          <w:rFonts w:hint="eastAsia"/>
          <w:sz w:val="24"/>
        </w:rPr>
        <w:t>如甲方对乙方开具的该等发票和相关支持文件有异议，应于收到发票及相关支持文件后</w:t>
      </w:r>
      <w:r>
        <w:rPr>
          <w:rFonts w:hint="eastAsia"/>
          <w:sz w:val="24"/>
          <w:highlight w:val="magenta"/>
        </w:rPr>
        <w:t>【10】</w:t>
      </w:r>
      <w:r>
        <w:rPr>
          <w:rFonts w:hint="eastAsia"/>
          <w:sz w:val="24"/>
        </w:rPr>
        <w:t>日内通知乙方，乙方应重新开具发票和相关支持文件</w:t>
      </w:r>
      <w:r>
        <w:rPr>
          <w:rFonts w:hint="eastAsia" w:hAnsi="宋体"/>
          <w:sz w:val="24"/>
        </w:rPr>
        <w:t>，</w:t>
      </w:r>
      <w:r>
        <w:rPr>
          <w:color w:val="000000"/>
          <w:sz w:val="24"/>
        </w:rPr>
        <w:t>甲方应于收到乙方重新开具的发票和相关支持文件后</w:t>
      </w:r>
      <w:r>
        <w:rPr>
          <w:color w:val="000000"/>
          <w:sz w:val="24"/>
          <w:highlight w:val="magenta"/>
        </w:rPr>
        <w:t>【</w:t>
      </w:r>
      <w:r>
        <w:rPr>
          <w:rFonts w:hint="eastAsia"/>
          <w:color w:val="000000"/>
          <w:sz w:val="24"/>
          <w:highlight w:val="magenta"/>
        </w:rPr>
        <w:t>45</w:t>
      </w:r>
      <w:r>
        <w:rPr>
          <w:color w:val="000000"/>
          <w:sz w:val="24"/>
          <w:highlight w:val="magenta"/>
        </w:rPr>
        <w:t>】</w:t>
      </w:r>
      <w:r>
        <w:rPr>
          <w:color w:val="000000"/>
          <w:sz w:val="24"/>
        </w:rPr>
        <w:t>日内向乙方付款</w:t>
      </w:r>
      <w:r>
        <w:rPr>
          <w:rFonts w:hint="eastAsia" w:ascii="宋体" w:hAnsi="宋体"/>
          <w:color w:val="000000"/>
          <w:sz w:val="24"/>
        </w:rPr>
        <w:t>。</w:t>
      </w:r>
    </w:p>
    <w:p>
      <w:pPr>
        <w:numPr>
          <w:ilvl w:val="0"/>
          <w:numId w:val="8"/>
        </w:numPr>
        <w:tabs>
          <w:tab w:val="left" w:pos="709"/>
        </w:tabs>
        <w:adjustRightInd w:val="0"/>
        <w:snapToGrid w:val="0"/>
        <w:spacing w:before="93" w:beforeLines="30" w:after="93" w:afterLines="30" w:line="360" w:lineRule="auto"/>
        <w:ind w:hanging="840"/>
        <w:rPr>
          <w:rFonts w:ascii="宋体" w:hAnsi="宋体"/>
          <w:sz w:val="24"/>
        </w:rPr>
      </w:pPr>
      <w:r>
        <w:rPr>
          <w:rFonts w:hint="eastAsia" w:ascii="宋体" w:hAnsi="宋体"/>
          <w:sz w:val="24"/>
        </w:rPr>
        <w:t>乙方</w:t>
      </w:r>
      <w:r>
        <w:rPr>
          <w:rFonts w:ascii="宋体" w:hAnsi="宋体"/>
          <w:sz w:val="24"/>
        </w:rPr>
        <w:t>账户</w:t>
      </w:r>
    </w:p>
    <w:p>
      <w:pPr>
        <w:tabs>
          <w:tab w:val="left" w:pos="709"/>
          <w:tab w:val="left" w:pos="1418"/>
        </w:tabs>
        <w:adjustRightInd w:val="0"/>
        <w:snapToGrid w:val="0"/>
        <w:spacing w:before="93" w:beforeLines="30" w:after="93" w:afterLines="30" w:line="360" w:lineRule="auto"/>
        <w:ind w:left="708" w:leftChars="337"/>
        <w:rPr>
          <w:rFonts w:hint="eastAsia" w:ascii="宋体" w:hAnsi="宋体" w:eastAsia="宋体"/>
          <w:spacing w:val="10"/>
          <w:sz w:val="24"/>
          <w:szCs w:val="24"/>
          <w:highlight w:val="none"/>
          <w:lang w:eastAsia="zh-CN"/>
        </w:rPr>
      </w:pPr>
      <w:r>
        <w:rPr>
          <w:rFonts w:ascii="宋体" w:hAnsi="宋体"/>
          <w:sz w:val="24"/>
        </w:rPr>
        <w:t>乙方应通过如下账户收取合同总价及其它款项，并通过该账户向甲方支付</w:t>
      </w:r>
      <w:r>
        <w:rPr>
          <w:rFonts w:hint="eastAsia" w:ascii="宋体" w:hAnsi="宋体" w:eastAsia="宋体"/>
          <w:spacing w:val="10"/>
          <w:sz w:val="24"/>
          <w:szCs w:val="24"/>
          <w:highlight w:val="none"/>
        </w:rPr>
        <w:t>乙方名称：</w:t>
      </w:r>
      <w:r>
        <w:rPr>
          <w:rFonts w:hint="eastAsia" w:ascii="宋体" w:hAnsi="宋体" w:eastAsia="宋体"/>
          <w:spacing w:val="10"/>
          <w:sz w:val="24"/>
          <w:szCs w:val="24"/>
          <w:highlight w:val="none"/>
          <w:lang w:eastAsia="zh-CN"/>
        </w:rPr>
        <w:t>***</w:t>
      </w:r>
    </w:p>
    <w:p>
      <w:pPr>
        <w:tabs>
          <w:tab w:val="left" w:pos="709"/>
          <w:tab w:val="left" w:pos="1418"/>
        </w:tabs>
        <w:adjustRightInd w:val="0"/>
        <w:snapToGrid w:val="0"/>
        <w:spacing w:before="93" w:beforeLines="30" w:after="93" w:afterLines="30" w:line="360" w:lineRule="auto"/>
        <w:ind w:left="708" w:leftChars="337"/>
        <w:rPr>
          <w:rFonts w:ascii="宋体" w:hAnsi="宋体" w:eastAsia="宋体"/>
          <w:spacing w:val="10"/>
          <w:sz w:val="24"/>
          <w:szCs w:val="24"/>
          <w:highlight w:val="none"/>
        </w:rPr>
      </w:pPr>
      <w:r>
        <w:rPr>
          <w:rFonts w:hint="eastAsia" w:ascii="宋体" w:hAnsi="宋体" w:eastAsia="宋体"/>
          <w:spacing w:val="10"/>
          <w:sz w:val="24"/>
          <w:szCs w:val="24"/>
          <w:highlight w:val="none"/>
        </w:rPr>
        <w:t xml:space="preserve">账    号：   </w:t>
      </w:r>
    </w:p>
    <w:p>
      <w:pPr>
        <w:tabs>
          <w:tab w:val="left" w:pos="709"/>
          <w:tab w:val="left" w:pos="1418"/>
        </w:tabs>
        <w:adjustRightInd w:val="0"/>
        <w:snapToGrid w:val="0"/>
        <w:spacing w:before="93" w:beforeLines="30" w:after="93" w:afterLines="30" w:line="360" w:lineRule="auto"/>
        <w:ind w:left="708" w:leftChars="337"/>
        <w:rPr>
          <w:rFonts w:ascii="宋体" w:hAnsi="宋体" w:eastAsia="宋体"/>
          <w:spacing w:val="10"/>
          <w:sz w:val="24"/>
          <w:szCs w:val="24"/>
          <w:highlight w:val="none"/>
        </w:rPr>
      </w:pPr>
      <w:r>
        <w:rPr>
          <w:rFonts w:hint="eastAsia" w:ascii="宋体" w:hAnsi="宋体" w:eastAsia="宋体"/>
          <w:spacing w:val="10"/>
          <w:sz w:val="24"/>
          <w:szCs w:val="24"/>
          <w:highlight w:val="none"/>
        </w:rPr>
        <w:t xml:space="preserve">开户行名称： </w:t>
      </w:r>
    </w:p>
    <w:p>
      <w:pPr>
        <w:tabs>
          <w:tab w:val="left" w:pos="709"/>
          <w:tab w:val="left" w:pos="1418"/>
        </w:tabs>
        <w:adjustRightInd w:val="0"/>
        <w:snapToGrid w:val="0"/>
        <w:spacing w:before="93" w:beforeLines="30" w:after="93" w:afterLines="30" w:line="360" w:lineRule="auto"/>
        <w:ind w:left="708" w:leftChars="337"/>
        <w:rPr>
          <w:rFonts w:ascii="宋体" w:hAnsi="宋体" w:eastAsia="宋体"/>
          <w:spacing w:val="10"/>
          <w:sz w:val="24"/>
          <w:szCs w:val="24"/>
          <w:highlight w:val="none"/>
        </w:rPr>
      </w:pPr>
      <w:r>
        <w:rPr>
          <w:rFonts w:hint="eastAsia" w:ascii="宋体" w:hAnsi="宋体" w:eastAsia="宋体"/>
          <w:spacing w:val="10"/>
          <w:sz w:val="24"/>
          <w:szCs w:val="24"/>
          <w:highlight w:val="none"/>
        </w:rPr>
        <w:t xml:space="preserve">开户行地址： </w:t>
      </w:r>
    </w:p>
    <w:p>
      <w:pPr>
        <w:tabs>
          <w:tab w:val="left" w:pos="709"/>
          <w:tab w:val="left" w:pos="1418"/>
        </w:tabs>
        <w:adjustRightInd w:val="0"/>
        <w:snapToGrid w:val="0"/>
        <w:spacing w:before="93" w:beforeLines="30" w:after="93" w:afterLines="30" w:line="360" w:lineRule="auto"/>
        <w:ind w:left="708" w:leftChars="337"/>
        <w:rPr>
          <w:rFonts w:ascii="宋体" w:hAnsi="宋体" w:eastAsia="宋体"/>
          <w:spacing w:val="10"/>
          <w:sz w:val="24"/>
          <w:szCs w:val="24"/>
          <w:highlight w:val="none"/>
        </w:rPr>
      </w:pPr>
      <w:r>
        <w:rPr>
          <w:rFonts w:hint="eastAsia" w:ascii="宋体" w:hAnsi="宋体" w:eastAsia="宋体"/>
          <w:spacing w:val="10"/>
          <w:sz w:val="24"/>
          <w:szCs w:val="24"/>
          <w:highlight w:val="none"/>
        </w:rPr>
        <w:t>行      号：</w:t>
      </w:r>
      <w:r>
        <w:rPr>
          <w:rFonts w:ascii="宋体" w:hAnsi="宋体" w:eastAsia="宋体"/>
          <w:spacing w:val="10"/>
          <w:sz w:val="24"/>
          <w:szCs w:val="24"/>
          <w:highlight w:val="none"/>
        </w:rPr>
        <w:t xml:space="preserve">  </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highlight w:val="none"/>
        </w:rPr>
      </w:pPr>
      <w:bookmarkStart w:id="32" w:name="_Toc364839363"/>
      <w:bookmarkStart w:id="33" w:name="_Toc299912665"/>
      <w:bookmarkStart w:id="34" w:name="_Toc299915681"/>
      <w:r>
        <w:rPr>
          <w:rFonts w:hint="eastAsia" w:ascii="宋体" w:hAnsi="宋体"/>
          <w:b w:val="0"/>
          <w:szCs w:val="24"/>
          <w:highlight w:val="none"/>
        </w:rPr>
        <w:t xml:space="preserve"> 工作期限</w:t>
      </w:r>
      <w:bookmarkEnd w:id="32"/>
    </w:p>
    <w:p>
      <w:pPr>
        <w:pStyle w:val="8"/>
        <w:numPr>
          <w:ilvl w:val="0"/>
          <w:numId w:val="9"/>
        </w:numPr>
        <w:tabs>
          <w:tab w:val="left" w:pos="709"/>
        </w:tabs>
        <w:autoSpaceDE w:val="0"/>
        <w:autoSpaceDN w:val="0"/>
        <w:adjustRightInd w:val="0"/>
        <w:spacing w:before="93" w:beforeLines="30" w:after="93" w:afterLines="30" w:line="360" w:lineRule="auto"/>
        <w:ind w:left="709" w:hanging="709"/>
        <w:rPr>
          <w:rFonts w:ascii="宋体" w:hAnsi="宋体" w:eastAsia="宋体"/>
          <w:color w:val="0000FF"/>
          <w:sz w:val="24"/>
          <w:szCs w:val="24"/>
          <w:highlight w:val="none"/>
        </w:rPr>
      </w:pPr>
      <w:r>
        <w:rPr>
          <w:rFonts w:hint="eastAsia" w:ascii="宋体" w:hAnsi="宋体" w:eastAsia="宋体"/>
          <w:color w:val="0000FF"/>
          <w:sz w:val="24"/>
          <w:szCs w:val="24"/>
          <w:highlight w:val="none"/>
        </w:rPr>
        <w:t>工作期限</w:t>
      </w:r>
      <w:r>
        <w:rPr>
          <w:rFonts w:hint="eastAsia" w:ascii="宋体" w:hAnsi="宋体" w:eastAsia="宋体"/>
          <w:color w:val="0000FF"/>
          <w:sz w:val="24"/>
          <w:szCs w:val="24"/>
        </w:rPr>
        <w:t>为：【</w:t>
      </w:r>
      <w:r>
        <w:rPr>
          <w:rFonts w:hint="eastAsia" w:ascii="宋体" w:hAnsi="宋体" w:eastAsia="宋体"/>
          <w:color w:val="0000FF"/>
          <w:sz w:val="24"/>
          <w:szCs w:val="24"/>
          <w:lang w:val="en-US" w:eastAsia="zh-CN"/>
        </w:rPr>
        <w:t>合同签订后6个月内</w:t>
      </w:r>
      <w:r>
        <w:rPr>
          <w:rFonts w:hint="eastAsia" w:ascii="宋体" w:hAnsi="宋体" w:eastAsia="宋体"/>
          <w:color w:val="0000FF"/>
          <w:sz w:val="24"/>
          <w:szCs w:val="24"/>
        </w:rPr>
        <w:t>】</w:t>
      </w:r>
      <w:r>
        <w:rPr>
          <w:rFonts w:hint="eastAsia" w:ascii="宋体" w:hAnsi="宋体" w:eastAsia="宋体"/>
          <w:color w:val="0000FF"/>
          <w:sz w:val="24"/>
          <w:szCs w:val="24"/>
          <w:highlight w:val="none"/>
        </w:rPr>
        <w:t xml:space="preserve"> ；</w:t>
      </w:r>
    </w:p>
    <w:p>
      <w:pPr>
        <w:pStyle w:val="8"/>
        <w:numPr>
          <w:ilvl w:val="0"/>
          <w:numId w:val="9"/>
        </w:numPr>
        <w:tabs>
          <w:tab w:val="left" w:pos="709"/>
        </w:tabs>
        <w:autoSpaceDE w:val="0"/>
        <w:autoSpaceDN w:val="0"/>
        <w:adjustRightInd w:val="0"/>
        <w:spacing w:before="93" w:beforeLines="30" w:after="93" w:afterLines="30" w:line="360" w:lineRule="auto"/>
        <w:ind w:left="709" w:hanging="709"/>
        <w:rPr>
          <w:rFonts w:ascii="宋体" w:hAnsi="宋体" w:eastAsia="宋体"/>
          <w:sz w:val="24"/>
          <w:szCs w:val="24"/>
        </w:rPr>
      </w:pPr>
      <w:r>
        <w:rPr>
          <w:rFonts w:ascii="宋体" w:hAnsi="宋体" w:eastAsia="宋体"/>
          <w:sz w:val="24"/>
          <w:szCs w:val="24"/>
        </w:rPr>
        <w:t>乙方</w:t>
      </w:r>
      <w:r>
        <w:rPr>
          <w:rFonts w:hint="eastAsia" w:ascii="宋体" w:hAnsi="宋体" w:eastAsia="宋体"/>
          <w:sz w:val="24"/>
          <w:szCs w:val="24"/>
        </w:rPr>
        <w:t>应严格根据工作进度和工作期限，提供合同项下的服务，</w:t>
      </w:r>
      <w:r>
        <w:rPr>
          <w:rFonts w:ascii="宋体" w:hAnsi="宋体" w:eastAsia="宋体"/>
          <w:sz w:val="24"/>
          <w:szCs w:val="24"/>
        </w:rPr>
        <w:t>完成合同</w:t>
      </w:r>
      <w:r>
        <w:rPr>
          <w:rFonts w:hint="eastAsia" w:ascii="宋体" w:hAnsi="宋体" w:eastAsia="宋体"/>
          <w:sz w:val="24"/>
          <w:szCs w:val="24"/>
        </w:rPr>
        <w:t>项下的全部</w:t>
      </w:r>
      <w:r>
        <w:rPr>
          <w:rFonts w:ascii="宋体" w:hAnsi="宋体" w:eastAsia="宋体"/>
          <w:sz w:val="24"/>
          <w:szCs w:val="24"/>
        </w:rPr>
        <w:t>工作，履行合同</w:t>
      </w:r>
      <w:r>
        <w:rPr>
          <w:rFonts w:hint="eastAsia" w:ascii="宋体" w:hAnsi="宋体" w:eastAsia="宋体"/>
          <w:sz w:val="24"/>
          <w:szCs w:val="24"/>
        </w:rPr>
        <w:t>约</w:t>
      </w:r>
      <w:r>
        <w:rPr>
          <w:rFonts w:ascii="宋体" w:hAnsi="宋体" w:eastAsia="宋体"/>
          <w:sz w:val="24"/>
          <w:szCs w:val="24"/>
        </w:rPr>
        <w:t>定的义务</w:t>
      </w:r>
      <w:r>
        <w:rPr>
          <w:rFonts w:hint="eastAsia" w:ascii="宋体" w:hAnsi="宋体" w:eastAsia="宋体"/>
          <w:sz w:val="24"/>
          <w:szCs w:val="24"/>
        </w:rPr>
        <w:t>，向甲方提交工作成果。</w:t>
      </w:r>
    </w:p>
    <w:p>
      <w:pPr>
        <w:pStyle w:val="8"/>
        <w:numPr>
          <w:ilvl w:val="0"/>
          <w:numId w:val="9"/>
        </w:numPr>
        <w:tabs>
          <w:tab w:val="left" w:pos="709"/>
        </w:tabs>
        <w:autoSpaceDE w:val="0"/>
        <w:autoSpaceDN w:val="0"/>
        <w:adjustRightInd w:val="0"/>
        <w:spacing w:before="93" w:beforeLines="30" w:after="93" w:afterLines="30" w:line="360" w:lineRule="auto"/>
        <w:ind w:left="709" w:hanging="709"/>
        <w:rPr>
          <w:rFonts w:ascii="宋体" w:hAnsi="宋体" w:eastAsia="宋体"/>
          <w:color w:val="000000"/>
          <w:sz w:val="24"/>
          <w:szCs w:val="24"/>
        </w:rPr>
      </w:pPr>
      <w:r>
        <w:rPr>
          <w:rFonts w:hint="eastAsia" w:ascii="宋体" w:hAnsi="宋体" w:eastAsia="宋体"/>
          <w:color w:val="000000"/>
          <w:sz w:val="24"/>
          <w:szCs w:val="24"/>
        </w:rPr>
        <w:t>乙方应提供高效、及时的服务，确保服务实际进度符合工作进度和工作期限的要求。</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35" w:name="_Toc364839364"/>
      <w:bookmarkStart w:id="36" w:name="_Toc299915683"/>
      <w:r>
        <w:rPr>
          <w:rFonts w:hint="eastAsia" w:ascii="宋体" w:hAnsi="宋体"/>
          <w:b w:val="0"/>
          <w:szCs w:val="24"/>
        </w:rPr>
        <w:t xml:space="preserve"> 乙方人员</w:t>
      </w:r>
      <w:bookmarkEnd w:id="35"/>
      <w:bookmarkEnd w:id="36"/>
    </w:p>
    <w:p>
      <w:pPr>
        <w:numPr>
          <w:ilvl w:val="1"/>
          <w:numId w:val="10"/>
        </w:numPr>
        <w:tabs>
          <w:tab w:val="left" w:pos="709"/>
          <w:tab w:val="clear" w:pos="540"/>
        </w:tabs>
        <w:adjustRightInd w:val="0"/>
        <w:snapToGrid w:val="0"/>
        <w:spacing w:before="93" w:beforeLines="30" w:after="93" w:afterLines="30" w:line="360" w:lineRule="auto"/>
        <w:ind w:left="709" w:hanging="709"/>
        <w:rPr>
          <w:rFonts w:ascii="宋体" w:hAnsi="宋体"/>
          <w:sz w:val="24"/>
        </w:rPr>
      </w:pPr>
      <w:r>
        <w:rPr>
          <w:rFonts w:hint="eastAsia" w:ascii="宋体" w:hAnsi="宋体"/>
          <w:sz w:val="24"/>
        </w:rPr>
        <w:t>一般要求：</w:t>
      </w:r>
    </w:p>
    <w:p>
      <w:pPr>
        <w:numPr>
          <w:ilvl w:val="0"/>
          <w:numId w:val="11"/>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乙方应选聘、组织充足、适格、有经验的人员执行、完成</w:t>
      </w:r>
      <w:r>
        <w:rPr>
          <w:rFonts w:hint="eastAsia" w:ascii="宋体" w:hAnsi="宋体"/>
          <w:sz w:val="24"/>
        </w:rPr>
        <w:t>本合同项下的工作</w:t>
      </w:r>
      <w:r>
        <w:rPr>
          <w:rFonts w:ascii="宋体" w:hAnsi="宋体"/>
          <w:sz w:val="24"/>
        </w:rPr>
        <w:t>。</w:t>
      </w:r>
    </w:p>
    <w:p>
      <w:pPr>
        <w:numPr>
          <w:ilvl w:val="0"/>
          <w:numId w:val="11"/>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本合同履行过程中，乙方应对其员工的报酬、福利、社会保险、</w:t>
      </w:r>
      <w:r>
        <w:rPr>
          <w:rFonts w:hint="eastAsia" w:ascii="宋体" w:hAnsi="宋体"/>
          <w:sz w:val="24"/>
        </w:rPr>
        <w:t>商业保险、</w:t>
      </w:r>
      <w:r>
        <w:rPr>
          <w:rFonts w:ascii="宋体" w:hAnsi="宋体"/>
          <w:sz w:val="24"/>
        </w:rPr>
        <w:t>食宿、交通负责，相关费用已包含于合同</w:t>
      </w:r>
      <w:r>
        <w:rPr>
          <w:rFonts w:hint="eastAsia" w:ascii="宋体" w:hAnsi="宋体"/>
          <w:sz w:val="24"/>
        </w:rPr>
        <w:t>总价</w:t>
      </w:r>
      <w:r>
        <w:rPr>
          <w:rFonts w:ascii="宋体" w:hAnsi="宋体"/>
          <w:sz w:val="24"/>
        </w:rPr>
        <w:t>中。</w:t>
      </w:r>
    </w:p>
    <w:p>
      <w:pPr>
        <w:numPr>
          <w:ilvl w:val="0"/>
          <w:numId w:val="11"/>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本合同履行过程中，乙方应建立并维系合法、适当的劳动关系。</w:t>
      </w:r>
    </w:p>
    <w:p>
      <w:pPr>
        <w:numPr>
          <w:ilvl w:val="0"/>
          <w:numId w:val="11"/>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乙方应采取措施确保其工作人员在执行工作过程中严格遵守本合同和法律法规的规定。</w:t>
      </w:r>
    </w:p>
    <w:p>
      <w:pPr>
        <w:numPr>
          <w:ilvl w:val="0"/>
          <w:numId w:val="11"/>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甲方有权要求乙方更换其</w:t>
      </w:r>
      <w:r>
        <w:rPr>
          <w:rFonts w:hint="eastAsia" w:ascii="宋体" w:hAnsi="宋体"/>
          <w:sz w:val="24"/>
        </w:rPr>
        <w:t>工作</w:t>
      </w:r>
      <w:r>
        <w:rPr>
          <w:rFonts w:ascii="宋体" w:hAnsi="宋体"/>
          <w:sz w:val="24"/>
        </w:rPr>
        <w:t>人员，乙方应严格执行甲方的要求。</w:t>
      </w:r>
    </w:p>
    <w:p>
      <w:pPr>
        <w:numPr>
          <w:ilvl w:val="1"/>
          <w:numId w:val="10"/>
        </w:numPr>
        <w:tabs>
          <w:tab w:val="left" w:pos="709"/>
          <w:tab w:val="clear" w:pos="540"/>
        </w:tabs>
        <w:adjustRightInd w:val="0"/>
        <w:snapToGrid w:val="0"/>
        <w:spacing w:before="93" w:beforeLines="30" w:after="93" w:afterLines="30" w:line="360" w:lineRule="auto"/>
        <w:ind w:left="709" w:hanging="709"/>
        <w:rPr>
          <w:rFonts w:ascii="宋体" w:hAnsi="宋体"/>
          <w:sz w:val="24"/>
        </w:rPr>
      </w:pPr>
      <w:r>
        <w:rPr>
          <w:rFonts w:hint="eastAsia" w:ascii="宋体" w:hAnsi="宋体"/>
          <w:sz w:val="24"/>
        </w:rPr>
        <w:t>乙方代表：</w:t>
      </w:r>
    </w:p>
    <w:p>
      <w:pPr>
        <w:numPr>
          <w:ilvl w:val="1"/>
          <w:numId w:val="12"/>
        </w:numPr>
        <w:tabs>
          <w:tab w:val="left" w:pos="1276"/>
        </w:tabs>
        <w:adjustRightInd w:val="0"/>
        <w:snapToGrid w:val="0"/>
        <w:spacing w:before="93" w:beforeLines="30" w:after="93" w:afterLines="30" w:line="360" w:lineRule="auto"/>
        <w:ind w:left="1276" w:hanging="567"/>
        <w:rPr>
          <w:rFonts w:ascii="宋体" w:hAnsi="宋体"/>
          <w:sz w:val="24"/>
        </w:rPr>
      </w:pPr>
      <w:r>
        <w:rPr>
          <w:rFonts w:hint="eastAsia" w:ascii="宋体" w:hAnsi="宋体"/>
          <w:sz w:val="24"/>
        </w:rPr>
        <w:t>乙方开始提供本合同项下的服务（“开始日”）</w:t>
      </w:r>
      <w:r>
        <w:rPr>
          <w:rFonts w:ascii="宋体" w:hAnsi="宋体"/>
          <w:sz w:val="24"/>
        </w:rPr>
        <w:t>前，乙方应以书面方式任命一名有经验、具备相应能力和资质的人员担任乙方代表，全权代表乙方履行本合同。乙方任命乙方代表应获得甲方的事先书面批准；未经甲方事先书面批准，乙方不得更换乙方代表。</w:t>
      </w:r>
    </w:p>
    <w:p>
      <w:pPr>
        <w:numPr>
          <w:ilvl w:val="1"/>
          <w:numId w:val="12"/>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乙方代表向甲方发出的任何与本合同有关的书面通知、请示、要求、批准和确认构成对乙方有约束力的文件。</w:t>
      </w:r>
    </w:p>
    <w:p>
      <w:pPr>
        <w:numPr>
          <w:ilvl w:val="1"/>
          <w:numId w:val="12"/>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甲方可要求乙方更换乙方代表，乙方应根据甲方的要求予以更换。</w:t>
      </w:r>
    </w:p>
    <w:p>
      <w:pPr>
        <w:numPr>
          <w:ilvl w:val="1"/>
          <w:numId w:val="10"/>
        </w:numPr>
        <w:tabs>
          <w:tab w:val="left" w:pos="709"/>
          <w:tab w:val="clear" w:pos="540"/>
        </w:tabs>
        <w:adjustRightInd w:val="0"/>
        <w:snapToGrid w:val="0"/>
        <w:spacing w:before="93" w:beforeLines="30" w:after="93" w:afterLines="30" w:line="360" w:lineRule="auto"/>
        <w:ind w:left="709" w:hanging="709"/>
        <w:rPr>
          <w:rFonts w:ascii="宋体" w:hAnsi="宋体"/>
          <w:sz w:val="24"/>
        </w:rPr>
      </w:pPr>
      <w:bookmarkStart w:id="37" w:name="_Toc299550435"/>
      <w:bookmarkStart w:id="38" w:name="_Toc299550327"/>
      <w:r>
        <w:rPr>
          <w:rFonts w:hint="eastAsia" w:ascii="宋体" w:hAnsi="宋体"/>
          <w:sz w:val="24"/>
        </w:rPr>
        <w:t>乙方关键人员：</w:t>
      </w:r>
      <w:bookmarkEnd w:id="37"/>
      <w:bookmarkEnd w:id="38"/>
      <w:r>
        <w:rPr>
          <w:rFonts w:hint="eastAsia" w:ascii="宋体" w:hAnsi="宋体"/>
          <w:sz w:val="24"/>
        </w:rPr>
        <w:t xml:space="preserve"> </w:t>
      </w:r>
    </w:p>
    <w:p>
      <w:pPr>
        <w:numPr>
          <w:ilvl w:val="2"/>
          <w:numId w:val="13"/>
        </w:numPr>
        <w:adjustRightInd w:val="0"/>
        <w:snapToGrid w:val="0"/>
        <w:spacing w:before="93" w:beforeLines="30" w:after="93" w:afterLines="30" w:line="360" w:lineRule="auto"/>
        <w:ind w:hanging="551"/>
        <w:rPr>
          <w:rFonts w:ascii="宋体" w:hAnsi="宋体"/>
          <w:sz w:val="24"/>
          <w:highlight w:val="none"/>
        </w:rPr>
      </w:pPr>
      <w:bookmarkStart w:id="39" w:name="_Toc299550436"/>
      <w:bookmarkStart w:id="40" w:name="_Toc299550328"/>
      <w:r>
        <w:rPr>
          <w:rFonts w:hint="eastAsia" w:ascii="宋体" w:hAnsi="宋体"/>
          <w:sz w:val="24"/>
        </w:rPr>
        <w:t>开始日前，甲乙双方应</w:t>
      </w:r>
      <w:r>
        <w:rPr>
          <w:rFonts w:hint="eastAsia" w:ascii="宋体" w:hAnsi="宋体"/>
          <w:sz w:val="24"/>
          <w:highlight w:val="none"/>
        </w:rPr>
        <w:t>以书面方式确定乙方关键人员的清单【详见本合同附件三】，该等人员应具备其职责要求的资质和能力。</w:t>
      </w:r>
      <w:bookmarkEnd w:id="39"/>
      <w:bookmarkEnd w:id="40"/>
    </w:p>
    <w:p>
      <w:pPr>
        <w:numPr>
          <w:ilvl w:val="2"/>
          <w:numId w:val="13"/>
        </w:numPr>
        <w:tabs>
          <w:tab w:val="left" w:pos="1276"/>
        </w:tabs>
        <w:adjustRightInd w:val="0"/>
        <w:snapToGrid w:val="0"/>
        <w:spacing w:before="93" w:beforeLines="30" w:after="93" w:afterLines="30" w:line="360" w:lineRule="auto"/>
        <w:ind w:hanging="551"/>
        <w:rPr>
          <w:rFonts w:ascii="宋体" w:hAnsi="宋体"/>
          <w:sz w:val="24"/>
          <w:highlight w:val="none"/>
        </w:rPr>
      </w:pPr>
      <w:r>
        <w:rPr>
          <w:rFonts w:ascii="宋体" w:hAnsi="宋体"/>
          <w:sz w:val="24"/>
          <w:highlight w:val="none"/>
        </w:rPr>
        <w:t>乙方关键人员的变更应获得甲方的事先书面同意，任何乙方关键人员的变更不得对工作期限、工作实际进度、工作质量或工作的执行产生不利影响。被更换的乙方关键人员应与新人员工作一段时间，以确保工作顺利交接。</w:t>
      </w:r>
    </w:p>
    <w:p>
      <w:pPr>
        <w:numPr>
          <w:ilvl w:val="2"/>
          <w:numId w:val="13"/>
        </w:numPr>
        <w:tabs>
          <w:tab w:val="left" w:pos="1276"/>
        </w:tabs>
        <w:adjustRightInd w:val="0"/>
        <w:snapToGrid w:val="0"/>
        <w:spacing w:before="93" w:beforeLines="30" w:after="93" w:afterLines="30" w:line="360" w:lineRule="auto"/>
        <w:ind w:hanging="551"/>
        <w:rPr>
          <w:rFonts w:ascii="宋体" w:hAnsi="宋体"/>
          <w:sz w:val="24"/>
          <w:highlight w:val="none"/>
        </w:rPr>
      </w:pPr>
      <w:bookmarkStart w:id="41" w:name="_Toc299912668"/>
      <w:bookmarkStart w:id="42" w:name="_Toc299915684"/>
      <w:r>
        <w:rPr>
          <w:rFonts w:hint="eastAsia" w:ascii="宋体" w:hAnsi="宋体"/>
          <w:sz w:val="24"/>
          <w:highlight w:val="none"/>
        </w:rPr>
        <w:t>甲方可要求更换乙方关键人员，乙方应根据甲方的要求予以更换。</w:t>
      </w:r>
    </w:p>
    <w:bookmarkEnd w:id="41"/>
    <w:bookmarkEnd w:id="42"/>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highlight w:val="none"/>
        </w:rPr>
      </w:pPr>
      <w:bookmarkStart w:id="43" w:name="_Toc364839366"/>
      <w:bookmarkStart w:id="44" w:name="_Toc299915685"/>
      <w:bookmarkStart w:id="45" w:name="_Toc276828339"/>
      <w:r>
        <w:rPr>
          <w:rFonts w:hint="eastAsia" w:ascii="宋体" w:hAnsi="宋体"/>
          <w:b w:val="0"/>
          <w:szCs w:val="24"/>
          <w:highlight w:val="none"/>
        </w:rPr>
        <w:t xml:space="preserve"> 工作设施</w:t>
      </w:r>
      <w:bookmarkEnd w:id="43"/>
      <w:bookmarkEnd w:id="44"/>
      <w:r>
        <w:rPr>
          <w:rFonts w:hint="eastAsia" w:ascii="宋体" w:hAnsi="宋体"/>
          <w:b w:val="0"/>
          <w:szCs w:val="24"/>
          <w:highlight w:val="none"/>
        </w:rPr>
        <w:t>（不涉及）</w:t>
      </w:r>
    </w:p>
    <w:p>
      <w:pPr>
        <w:numPr>
          <w:ilvl w:val="1"/>
          <w:numId w:val="14"/>
        </w:numPr>
        <w:tabs>
          <w:tab w:val="left" w:pos="709"/>
          <w:tab w:val="left" w:pos="1080"/>
          <w:tab w:val="clear" w:pos="540"/>
        </w:tabs>
        <w:adjustRightInd w:val="0"/>
        <w:snapToGrid w:val="0"/>
        <w:spacing w:before="93" w:beforeLines="30" w:after="93" w:afterLines="30" w:line="360" w:lineRule="auto"/>
        <w:ind w:left="709" w:hanging="709"/>
        <w:rPr>
          <w:rFonts w:ascii="宋体" w:hAnsi="宋体"/>
          <w:sz w:val="24"/>
        </w:rPr>
      </w:pPr>
      <w:r>
        <w:rPr>
          <w:rFonts w:ascii="宋体" w:hAnsi="宋体"/>
          <w:sz w:val="24"/>
        </w:rPr>
        <w:t>乙方应及时提供完成服务所需的全部办公场所、设施、设备、材料、器具等（“</w:t>
      </w:r>
      <w:r>
        <w:rPr>
          <w:rFonts w:hint="eastAsia" w:ascii="宋体" w:hAnsi="宋体"/>
          <w:sz w:val="24"/>
        </w:rPr>
        <w:t>工作</w:t>
      </w:r>
      <w:r>
        <w:rPr>
          <w:rFonts w:ascii="宋体" w:hAnsi="宋体"/>
          <w:sz w:val="24"/>
        </w:rPr>
        <w:t>设施”）。</w:t>
      </w:r>
    </w:p>
    <w:p>
      <w:pPr>
        <w:numPr>
          <w:ilvl w:val="1"/>
          <w:numId w:val="14"/>
        </w:numPr>
        <w:tabs>
          <w:tab w:val="left" w:pos="709"/>
          <w:tab w:val="left" w:pos="1080"/>
          <w:tab w:val="clear" w:pos="540"/>
        </w:tabs>
        <w:adjustRightInd w:val="0"/>
        <w:snapToGrid w:val="0"/>
        <w:spacing w:before="93" w:beforeLines="30" w:after="93" w:afterLines="30" w:line="360" w:lineRule="auto"/>
        <w:ind w:left="709" w:hanging="709"/>
        <w:rPr>
          <w:rFonts w:ascii="宋体" w:hAnsi="宋体"/>
          <w:sz w:val="24"/>
        </w:rPr>
      </w:pPr>
      <w:r>
        <w:rPr>
          <w:rFonts w:ascii="宋体" w:hAnsi="宋体"/>
          <w:sz w:val="24"/>
        </w:rPr>
        <w:t>乙方保证，其提供的工作设施应处于良好的工作状态，符合本合同和法律法规的要求，不存在影响服务提供的缺陷，具备完成相关服务及其通常的用途。</w:t>
      </w:r>
    </w:p>
    <w:p>
      <w:pPr>
        <w:numPr>
          <w:ilvl w:val="1"/>
          <w:numId w:val="14"/>
        </w:numPr>
        <w:tabs>
          <w:tab w:val="left" w:pos="709"/>
          <w:tab w:val="left" w:pos="1080"/>
          <w:tab w:val="clear" w:pos="540"/>
        </w:tabs>
        <w:adjustRightInd w:val="0"/>
        <w:snapToGrid w:val="0"/>
        <w:spacing w:before="93" w:beforeLines="30" w:after="93" w:afterLines="30" w:line="360" w:lineRule="auto"/>
        <w:ind w:left="709" w:hanging="709"/>
        <w:rPr>
          <w:rFonts w:ascii="宋体" w:hAnsi="宋体"/>
          <w:sz w:val="24"/>
        </w:rPr>
      </w:pPr>
      <w:r>
        <w:rPr>
          <w:rFonts w:ascii="宋体" w:hAnsi="宋体"/>
          <w:sz w:val="24"/>
        </w:rPr>
        <w:t>如甲方发现工作设施存在缺陷或不符合本合同的</w:t>
      </w:r>
      <w:r>
        <w:rPr>
          <w:rFonts w:hint="eastAsia" w:ascii="宋体" w:hAnsi="宋体"/>
          <w:sz w:val="24"/>
        </w:rPr>
        <w:t>约</w:t>
      </w:r>
      <w:r>
        <w:rPr>
          <w:rFonts w:ascii="宋体" w:hAnsi="宋体"/>
          <w:sz w:val="24"/>
        </w:rPr>
        <w:t>定，有权要求乙方进行修理和更换，乙方不得因工作设施的修理或更换要求调整合同价</w:t>
      </w:r>
      <w:r>
        <w:rPr>
          <w:rFonts w:hint="eastAsia" w:ascii="宋体" w:hAnsi="宋体"/>
          <w:sz w:val="24"/>
        </w:rPr>
        <w:t>款</w:t>
      </w:r>
      <w:r>
        <w:rPr>
          <w:rFonts w:ascii="宋体" w:hAnsi="宋体"/>
          <w:sz w:val="24"/>
        </w:rPr>
        <w:t>或延长工作期限。</w:t>
      </w:r>
    </w:p>
    <w:bookmarkEnd w:id="45"/>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46" w:name="_Toc364839367"/>
      <w:bookmarkStart w:id="47" w:name="_Toc299915686"/>
      <w:r>
        <w:rPr>
          <w:rFonts w:hint="eastAsia" w:ascii="宋体" w:hAnsi="宋体"/>
          <w:b w:val="0"/>
          <w:szCs w:val="24"/>
        </w:rPr>
        <w:t xml:space="preserve"> 监督检查</w:t>
      </w:r>
      <w:bookmarkEnd w:id="46"/>
      <w:bookmarkEnd w:id="47"/>
    </w:p>
    <w:p>
      <w:pPr>
        <w:numPr>
          <w:ilvl w:val="1"/>
          <w:numId w:val="15"/>
        </w:numPr>
        <w:tabs>
          <w:tab w:val="clear" w:pos="540"/>
        </w:tabs>
        <w:adjustRightInd w:val="0"/>
        <w:snapToGrid w:val="0"/>
        <w:spacing w:before="93" w:beforeLines="30" w:after="93" w:afterLines="30" w:line="360" w:lineRule="auto"/>
        <w:ind w:left="709" w:hanging="709"/>
        <w:rPr>
          <w:rFonts w:ascii="宋体" w:hAnsi="宋体"/>
          <w:sz w:val="24"/>
        </w:rPr>
      </w:pPr>
      <w:r>
        <w:rPr>
          <w:rFonts w:ascii="宋体" w:hAnsi="宋体"/>
          <w:sz w:val="24"/>
        </w:rPr>
        <w:t>甲方或其聘任的第三方有权（包括进入乙方工作场地）对乙方工作进度、质量、安全等进行监督和检查。</w:t>
      </w:r>
    </w:p>
    <w:p>
      <w:pPr>
        <w:numPr>
          <w:ilvl w:val="1"/>
          <w:numId w:val="15"/>
        </w:numPr>
        <w:tabs>
          <w:tab w:val="left" w:pos="709"/>
          <w:tab w:val="clear" w:pos="540"/>
        </w:tabs>
        <w:adjustRightInd w:val="0"/>
        <w:snapToGrid w:val="0"/>
        <w:spacing w:before="93" w:beforeLines="30" w:after="93" w:afterLines="30" w:line="360" w:lineRule="auto"/>
        <w:ind w:left="709" w:hanging="709"/>
        <w:rPr>
          <w:rFonts w:ascii="宋体" w:hAnsi="宋体"/>
          <w:sz w:val="24"/>
        </w:rPr>
      </w:pPr>
      <w:r>
        <w:rPr>
          <w:rFonts w:ascii="宋体" w:hAnsi="宋体"/>
          <w:sz w:val="24"/>
        </w:rPr>
        <w:t>乙方应</w:t>
      </w:r>
      <w:r>
        <w:rPr>
          <w:rFonts w:hint="eastAsia" w:ascii="宋体" w:hAnsi="宋体"/>
          <w:sz w:val="24"/>
        </w:rPr>
        <w:t>积极</w:t>
      </w:r>
      <w:r>
        <w:rPr>
          <w:rFonts w:ascii="宋体" w:hAnsi="宋体"/>
          <w:sz w:val="24"/>
        </w:rPr>
        <w:t>配合甲方</w:t>
      </w:r>
      <w:r>
        <w:rPr>
          <w:rFonts w:hint="eastAsia" w:ascii="宋体" w:hAnsi="宋体"/>
          <w:sz w:val="24"/>
        </w:rPr>
        <w:t>或其聘任的第三方</w:t>
      </w:r>
      <w:r>
        <w:rPr>
          <w:rFonts w:ascii="宋体" w:hAnsi="宋体"/>
          <w:sz w:val="24"/>
        </w:rPr>
        <w:t>的</w:t>
      </w:r>
      <w:r>
        <w:rPr>
          <w:rFonts w:hint="eastAsia" w:ascii="宋体" w:hAnsi="宋体"/>
          <w:sz w:val="24"/>
        </w:rPr>
        <w:t>监督检查，确保甲方及其聘任的第三方人员有权及时进入相关场地，并</w:t>
      </w:r>
      <w:r>
        <w:rPr>
          <w:rFonts w:ascii="宋体" w:hAnsi="宋体"/>
          <w:sz w:val="24"/>
        </w:rPr>
        <w:t>为</w:t>
      </w:r>
      <w:r>
        <w:rPr>
          <w:rFonts w:hint="eastAsia" w:ascii="宋体" w:hAnsi="宋体"/>
          <w:sz w:val="24"/>
        </w:rPr>
        <w:t>该等人员</w:t>
      </w:r>
      <w:r>
        <w:rPr>
          <w:rFonts w:ascii="宋体" w:hAnsi="宋体"/>
          <w:sz w:val="24"/>
        </w:rPr>
        <w:t>提供足够的</w:t>
      </w:r>
      <w:r>
        <w:rPr>
          <w:rFonts w:hint="eastAsia" w:ascii="宋体" w:hAnsi="宋体"/>
          <w:sz w:val="24"/>
        </w:rPr>
        <w:t>支持和便利。乙方应</w:t>
      </w:r>
      <w:r>
        <w:rPr>
          <w:rFonts w:ascii="宋体" w:hAnsi="宋体"/>
          <w:sz w:val="24"/>
        </w:rPr>
        <w:t>指</w:t>
      </w:r>
      <w:r>
        <w:rPr>
          <w:rFonts w:hint="eastAsia" w:ascii="宋体" w:hAnsi="宋体"/>
          <w:sz w:val="24"/>
        </w:rPr>
        <w:t>派</w:t>
      </w:r>
      <w:r>
        <w:rPr>
          <w:rFonts w:ascii="宋体" w:hAnsi="宋体"/>
          <w:sz w:val="24"/>
        </w:rPr>
        <w:t>专人</w:t>
      </w:r>
      <w:r>
        <w:rPr>
          <w:rFonts w:hint="eastAsia" w:ascii="宋体" w:hAnsi="宋体"/>
          <w:sz w:val="24"/>
        </w:rPr>
        <w:t>负责与甲方或其聘任的第三方</w:t>
      </w:r>
      <w:r>
        <w:rPr>
          <w:rFonts w:ascii="宋体" w:hAnsi="宋体"/>
          <w:sz w:val="24"/>
        </w:rPr>
        <w:t>联系，</w:t>
      </w:r>
      <w:r>
        <w:rPr>
          <w:rFonts w:hint="eastAsia" w:ascii="宋体" w:hAnsi="宋体"/>
          <w:sz w:val="24"/>
        </w:rPr>
        <w:t>根据甲方要求，</w:t>
      </w:r>
      <w:r>
        <w:rPr>
          <w:rFonts w:ascii="宋体" w:hAnsi="宋体"/>
          <w:sz w:val="24"/>
        </w:rPr>
        <w:t>提供</w:t>
      </w:r>
      <w:r>
        <w:rPr>
          <w:rFonts w:hint="eastAsia" w:ascii="宋体" w:hAnsi="宋体"/>
          <w:sz w:val="24"/>
        </w:rPr>
        <w:t>服务</w:t>
      </w:r>
      <w:r>
        <w:rPr>
          <w:rFonts w:ascii="宋体" w:hAnsi="宋体"/>
          <w:sz w:val="24"/>
        </w:rPr>
        <w:t>进度、</w:t>
      </w:r>
      <w:r>
        <w:rPr>
          <w:rFonts w:hint="eastAsia" w:ascii="宋体" w:hAnsi="宋体"/>
          <w:sz w:val="24"/>
        </w:rPr>
        <w:t>计划、</w:t>
      </w:r>
      <w:r>
        <w:rPr>
          <w:rFonts w:ascii="宋体" w:hAnsi="宋体"/>
          <w:sz w:val="24"/>
        </w:rPr>
        <w:t>质量、存在</w:t>
      </w:r>
      <w:r>
        <w:rPr>
          <w:rFonts w:hint="eastAsia" w:ascii="宋体" w:hAnsi="宋体"/>
          <w:sz w:val="24"/>
        </w:rPr>
        <w:t>的</w:t>
      </w:r>
      <w:r>
        <w:rPr>
          <w:rFonts w:ascii="宋体" w:hAnsi="宋体"/>
          <w:sz w:val="24"/>
        </w:rPr>
        <w:t>问题、预防及整改措施</w:t>
      </w:r>
      <w:r>
        <w:rPr>
          <w:rFonts w:hint="eastAsia" w:ascii="宋体" w:hAnsi="宋体"/>
          <w:sz w:val="24"/>
        </w:rPr>
        <w:t>及其它</w:t>
      </w:r>
      <w:r>
        <w:rPr>
          <w:rFonts w:ascii="宋体" w:hAnsi="宋体"/>
          <w:sz w:val="24"/>
        </w:rPr>
        <w:t>服务</w:t>
      </w:r>
      <w:r>
        <w:rPr>
          <w:rFonts w:hint="eastAsia" w:ascii="宋体" w:hAnsi="宋体"/>
          <w:sz w:val="24"/>
        </w:rPr>
        <w:t>信息。</w:t>
      </w:r>
    </w:p>
    <w:p>
      <w:pPr>
        <w:numPr>
          <w:ilvl w:val="1"/>
          <w:numId w:val="15"/>
        </w:numPr>
        <w:tabs>
          <w:tab w:val="left" w:pos="709"/>
          <w:tab w:val="clear" w:pos="540"/>
        </w:tabs>
        <w:adjustRightInd w:val="0"/>
        <w:snapToGrid w:val="0"/>
        <w:spacing w:before="93" w:beforeLines="30" w:after="93" w:afterLines="30" w:line="360" w:lineRule="auto"/>
        <w:ind w:left="709" w:hanging="709"/>
        <w:rPr>
          <w:rFonts w:ascii="宋体" w:hAnsi="宋体"/>
          <w:color w:val="000000"/>
          <w:sz w:val="24"/>
        </w:rPr>
      </w:pPr>
      <w:r>
        <w:rPr>
          <w:rFonts w:hint="eastAsia" w:ascii="宋体" w:hAnsi="宋体"/>
          <w:sz w:val="24"/>
        </w:rPr>
        <w:t>在监督检查过程中，</w:t>
      </w:r>
      <w:r>
        <w:rPr>
          <w:rFonts w:hint="eastAsia" w:ascii="宋体" w:hAnsi="宋体"/>
          <w:color w:val="000000"/>
          <w:sz w:val="24"/>
        </w:rPr>
        <w:t>如发现乙方的工作实际进度无法达到工作期限的要求，或乙方的工作存在任何缺陷、瑕疵、疏漏或不符合本合同的约定，乙方应按甲方要求提出和实施改进和补救措施（包括但不限于增加人员、设备、倒班次数、服务时间等），乙方应承担因此产生的全部责任和费用，乙方无权就改进和补救措施要求调整工作期限或增加费用。</w:t>
      </w:r>
      <w:r>
        <w:rPr>
          <w:rFonts w:ascii="宋体" w:hAnsi="宋体"/>
          <w:color w:val="000000"/>
          <w:sz w:val="24"/>
        </w:rPr>
        <w:t>如甲方认为乙方</w:t>
      </w:r>
      <w:r>
        <w:rPr>
          <w:rFonts w:hint="eastAsia" w:ascii="宋体" w:hAnsi="宋体"/>
          <w:color w:val="000000"/>
          <w:sz w:val="24"/>
        </w:rPr>
        <w:t>采取改进或补救措施后仍不能确保按时</w:t>
      </w:r>
      <w:r>
        <w:rPr>
          <w:rFonts w:ascii="宋体" w:hAnsi="宋体"/>
          <w:color w:val="000000"/>
          <w:sz w:val="24"/>
        </w:rPr>
        <w:t>完成某项</w:t>
      </w:r>
      <w:r>
        <w:rPr>
          <w:rFonts w:hint="eastAsia" w:ascii="宋体" w:hAnsi="宋体"/>
          <w:color w:val="000000"/>
          <w:sz w:val="24"/>
        </w:rPr>
        <w:t>服务</w:t>
      </w:r>
      <w:r>
        <w:rPr>
          <w:rFonts w:ascii="宋体" w:hAnsi="宋体"/>
          <w:color w:val="000000"/>
          <w:sz w:val="24"/>
        </w:rPr>
        <w:t>且将影响</w:t>
      </w:r>
      <w:r>
        <w:rPr>
          <w:rFonts w:hint="eastAsia" w:ascii="宋体" w:hAnsi="宋体"/>
          <w:color w:val="000000"/>
          <w:sz w:val="24"/>
        </w:rPr>
        <w:t>整体工作期限</w:t>
      </w:r>
      <w:r>
        <w:rPr>
          <w:rFonts w:ascii="宋体" w:hAnsi="宋体"/>
          <w:color w:val="000000"/>
          <w:sz w:val="24"/>
        </w:rPr>
        <w:t>，甲方有权委托第三方</w:t>
      </w:r>
      <w:r>
        <w:rPr>
          <w:rFonts w:hint="eastAsia" w:ascii="宋体" w:hAnsi="宋体"/>
          <w:color w:val="000000"/>
          <w:sz w:val="24"/>
        </w:rPr>
        <w:t>完成相关服务</w:t>
      </w:r>
      <w:r>
        <w:rPr>
          <w:rFonts w:ascii="宋体" w:hAnsi="宋体"/>
          <w:color w:val="000000"/>
          <w:sz w:val="24"/>
        </w:rPr>
        <w:t>，</w:t>
      </w:r>
      <w:r>
        <w:rPr>
          <w:rFonts w:hint="eastAsia" w:ascii="宋体" w:hAnsi="宋体"/>
          <w:color w:val="000000"/>
          <w:sz w:val="24"/>
        </w:rPr>
        <w:t>因此</w:t>
      </w:r>
      <w:r>
        <w:rPr>
          <w:rFonts w:ascii="宋体" w:hAnsi="宋体"/>
          <w:color w:val="000000"/>
          <w:sz w:val="24"/>
        </w:rPr>
        <w:t>发生的费用由乙方</w:t>
      </w:r>
      <w:r>
        <w:rPr>
          <w:rFonts w:hint="eastAsia" w:ascii="宋体" w:hAnsi="宋体"/>
          <w:color w:val="000000"/>
          <w:sz w:val="24"/>
        </w:rPr>
        <w:t>承担</w:t>
      </w:r>
      <w:r>
        <w:rPr>
          <w:rFonts w:ascii="宋体" w:hAnsi="宋体"/>
          <w:color w:val="000000"/>
          <w:sz w:val="24"/>
        </w:rPr>
        <w:t>，甲方有权</w:t>
      </w:r>
      <w:r>
        <w:rPr>
          <w:rFonts w:hint="eastAsia" w:ascii="宋体" w:hAnsi="宋体"/>
          <w:color w:val="000000"/>
          <w:sz w:val="24"/>
        </w:rPr>
        <w:t>直接</w:t>
      </w:r>
      <w:r>
        <w:rPr>
          <w:rFonts w:ascii="宋体" w:hAnsi="宋体"/>
          <w:color w:val="000000"/>
          <w:sz w:val="24"/>
        </w:rPr>
        <w:t>从</w:t>
      </w:r>
      <w:r>
        <w:rPr>
          <w:rFonts w:hint="eastAsia" w:ascii="宋体" w:hAnsi="宋体"/>
          <w:color w:val="000000"/>
          <w:sz w:val="24"/>
        </w:rPr>
        <w:t>合同总价</w:t>
      </w:r>
      <w:r>
        <w:rPr>
          <w:rFonts w:ascii="宋体" w:hAnsi="宋体"/>
          <w:color w:val="000000"/>
          <w:sz w:val="24"/>
        </w:rPr>
        <w:t>中扣除该等费用</w:t>
      </w:r>
      <w:r>
        <w:rPr>
          <w:rFonts w:hint="eastAsia" w:ascii="宋体" w:hAnsi="宋体"/>
          <w:color w:val="000000"/>
          <w:sz w:val="24"/>
        </w:rPr>
        <w:t>。</w:t>
      </w:r>
      <w:bookmarkStart w:id="48" w:name="_Toc276888305"/>
      <w:bookmarkStart w:id="49" w:name="_Toc276761482"/>
      <w:bookmarkStart w:id="50" w:name="_Toc276842701"/>
      <w:bookmarkStart w:id="51" w:name="_Toc276760527"/>
      <w:bookmarkStart w:id="52" w:name="_Toc276888372"/>
    </w:p>
    <w:bookmarkEnd w:id="48"/>
    <w:bookmarkEnd w:id="49"/>
    <w:bookmarkEnd w:id="50"/>
    <w:bookmarkEnd w:id="51"/>
    <w:bookmarkEnd w:id="52"/>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53" w:name="_Toc299915687"/>
      <w:bookmarkStart w:id="54" w:name="_Toc364839368"/>
      <w:r>
        <w:rPr>
          <w:rFonts w:hint="eastAsia" w:ascii="宋体" w:hAnsi="宋体"/>
          <w:b w:val="0"/>
          <w:szCs w:val="24"/>
        </w:rPr>
        <w:t xml:space="preserve"> 工作成果及验收</w:t>
      </w:r>
      <w:bookmarkEnd w:id="53"/>
      <w:bookmarkEnd w:id="54"/>
    </w:p>
    <w:p>
      <w:pPr>
        <w:numPr>
          <w:ilvl w:val="1"/>
          <w:numId w:val="16"/>
        </w:numPr>
        <w:tabs>
          <w:tab w:val="left" w:pos="709"/>
        </w:tabs>
        <w:adjustRightInd w:val="0"/>
        <w:snapToGrid w:val="0"/>
        <w:spacing w:before="93" w:beforeLines="30" w:after="93" w:afterLines="30" w:line="360" w:lineRule="auto"/>
        <w:ind w:left="709" w:hanging="709"/>
        <w:rPr>
          <w:rFonts w:ascii="宋体" w:hAnsi="宋体"/>
          <w:bCs/>
          <w:sz w:val="24"/>
          <w:highlight w:val="none"/>
        </w:rPr>
      </w:pPr>
      <w:r>
        <w:rPr>
          <w:rFonts w:hint="eastAsia" w:ascii="宋体" w:hAnsi="宋体"/>
          <w:color w:val="000000"/>
          <w:sz w:val="24"/>
        </w:rPr>
        <w:t>乙方于工作期限结束前应提供符合本合同要求的工作成果，并对工作</w:t>
      </w:r>
      <w:r>
        <w:rPr>
          <w:rFonts w:ascii="宋体" w:hAnsi="宋体"/>
          <w:color w:val="000000"/>
          <w:sz w:val="24"/>
        </w:rPr>
        <w:t>成果的</w:t>
      </w:r>
      <w:r>
        <w:rPr>
          <w:rFonts w:hint="eastAsia" w:ascii="宋体" w:hAnsi="宋体"/>
          <w:color w:val="000000"/>
          <w:sz w:val="24"/>
        </w:rPr>
        <w:t>准确</w:t>
      </w:r>
      <w:r>
        <w:rPr>
          <w:rFonts w:ascii="宋体" w:hAnsi="宋体"/>
          <w:color w:val="000000"/>
          <w:sz w:val="24"/>
        </w:rPr>
        <w:t>性、完整性负责。</w:t>
      </w:r>
      <w:r>
        <w:rPr>
          <w:rFonts w:hint="eastAsia" w:ascii="宋体" w:hAnsi="宋体"/>
          <w:sz w:val="24"/>
        </w:rPr>
        <w:t>双方应根据合同约定对乙方工作及工作成果进行验收，</w:t>
      </w:r>
      <w:r>
        <w:rPr>
          <w:rFonts w:hint="eastAsia" w:ascii="宋体" w:hAnsi="宋体"/>
          <w:bCs/>
          <w:sz w:val="24"/>
        </w:rPr>
        <w:t>验收的时间、地点、方式、验收</w:t>
      </w:r>
      <w:r>
        <w:rPr>
          <w:rFonts w:hint="eastAsia" w:ascii="宋体" w:hAnsi="宋体"/>
          <w:bCs/>
          <w:sz w:val="24"/>
          <w:highlight w:val="none"/>
        </w:rPr>
        <w:t>标准、条件及双方的责任和义务【详见本合同附件四】。</w:t>
      </w:r>
    </w:p>
    <w:p>
      <w:pPr>
        <w:numPr>
          <w:ilvl w:val="1"/>
          <w:numId w:val="16"/>
        </w:numPr>
        <w:tabs>
          <w:tab w:val="left" w:pos="709"/>
        </w:tabs>
        <w:adjustRightInd w:val="0"/>
        <w:snapToGrid w:val="0"/>
        <w:spacing w:before="93" w:beforeLines="30" w:after="93" w:afterLines="30" w:line="360" w:lineRule="auto"/>
        <w:ind w:left="709" w:hanging="709"/>
        <w:rPr>
          <w:rFonts w:ascii="宋体" w:hAnsi="宋体"/>
          <w:bCs/>
          <w:sz w:val="24"/>
        </w:rPr>
      </w:pPr>
      <w:r>
        <w:rPr>
          <w:rFonts w:ascii="宋体" w:hAnsi="宋体"/>
          <w:bCs/>
          <w:sz w:val="24"/>
        </w:rPr>
        <w:t>如验收过程发现工作存在</w:t>
      </w:r>
      <w:r>
        <w:rPr>
          <w:rFonts w:ascii="宋体" w:hAnsi="宋体"/>
          <w:sz w:val="24"/>
        </w:rPr>
        <w:t>任何缺陷、瑕疵、疏漏或不符合本合同的</w:t>
      </w:r>
      <w:r>
        <w:rPr>
          <w:rFonts w:hint="eastAsia" w:ascii="宋体" w:hAnsi="宋体"/>
          <w:sz w:val="24"/>
        </w:rPr>
        <w:t>约</w:t>
      </w:r>
      <w:r>
        <w:rPr>
          <w:rFonts w:ascii="宋体" w:hAnsi="宋体"/>
          <w:sz w:val="24"/>
        </w:rPr>
        <w:t>定，乙方应根据甲方的要求，立即采取一切必要、合理的</w:t>
      </w:r>
      <w:r>
        <w:rPr>
          <w:rFonts w:ascii="宋体" w:hAnsi="宋体"/>
          <w:color w:val="000000"/>
          <w:sz w:val="24"/>
        </w:rPr>
        <w:t>补救</w:t>
      </w:r>
      <w:r>
        <w:rPr>
          <w:rFonts w:ascii="宋体" w:hAnsi="宋体"/>
          <w:sz w:val="24"/>
        </w:rPr>
        <w:t>措施排除该等缺陷、瑕疵和疏漏。乙方应承担因此发生的一切费用。</w:t>
      </w:r>
    </w:p>
    <w:p>
      <w:pPr>
        <w:numPr>
          <w:ilvl w:val="1"/>
          <w:numId w:val="16"/>
        </w:numPr>
        <w:tabs>
          <w:tab w:val="left" w:pos="709"/>
        </w:tabs>
        <w:adjustRightInd w:val="0"/>
        <w:snapToGrid w:val="0"/>
        <w:spacing w:before="93" w:beforeLines="30" w:after="93" w:afterLines="30" w:line="360" w:lineRule="auto"/>
        <w:ind w:left="709" w:hanging="709"/>
        <w:rPr>
          <w:rFonts w:ascii="宋体" w:hAnsi="宋体"/>
          <w:sz w:val="24"/>
        </w:rPr>
      </w:pPr>
      <w:r>
        <w:rPr>
          <w:rFonts w:hint="eastAsia" w:ascii="宋体" w:hAnsi="宋体"/>
          <w:bCs/>
          <w:sz w:val="24"/>
        </w:rPr>
        <w:t>甲方验收乙方工作并不减少、免除乙方本合同项下的任何义务</w:t>
      </w:r>
      <w:r>
        <w:rPr>
          <w:rFonts w:hint="eastAsia" w:ascii="宋体" w:hAnsi="宋体"/>
          <w:sz w:val="24"/>
        </w:rPr>
        <w:t>（包括乙方对工作达到合同要求应承担的责任）。</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55" w:name="_Toc364839369"/>
      <w:bookmarkStart w:id="56" w:name="_Toc299915688"/>
      <w:r>
        <w:rPr>
          <w:rFonts w:hint="eastAsia" w:ascii="宋体" w:hAnsi="宋体"/>
          <w:b w:val="0"/>
          <w:szCs w:val="24"/>
        </w:rPr>
        <w:t xml:space="preserve"> 质量保证</w:t>
      </w:r>
      <w:bookmarkEnd w:id="55"/>
      <w:bookmarkEnd w:id="56"/>
    </w:p>
    <w:p>
      <w:pPr>
        <w:numPr>
          <w:ilvl w:val="0"/>
          <w:numId w:val="17"/>
        </w:numPr>
        <w:tabs>
          <w:tab w:val="left" w:pos="709"/>
        </w:tabs>
        <w:adjustRightInd w:val="0"/>
        <w:snapToGrid w:val="0"/>
        <w:spacing w:before="93" w:beforeLines="30" w:after="93" w:afterLines="30" w:line="360" w:lineRule="auto"/>
        <w:ind w:left="709" w:hanging="709"/>
        <w:rPr>
          <w:rFonts w:ascii="宋体" w:hAnsi="宋体"/>
          <w:sz w:val="24"/>
        </w:rPr>
      </w:pPr>
      <w:r>
        <w:rPr>
          <w:rFonts w:ascii="宋体" w:hAnsi="宋体"/>
          <w:color w:val="000000"/>
          <w:sz w:val="24"/>
        </w:rPr>
        <w:t>乙方</w:t>
      </w:r>
      <w:r>
        <w:rPr>
          <w:rFonts w:hint="eastAsia" w:ascii="宋体" w:hAnsi="宋体"/>
          <w:color w:val="000000"/>
          <w:sz w:val="24"/>
        </w:rPr>
        <w:t>承诺</w:t>
      </w:r>
      <w:r>
        <w:rPr>
          <w:rFonts w:ascii="宋体" w:hAnsi="宋体"/>
          <w:color w:val="000000"/>
          <w:sz w:val="24"/>
        </w:rPr>
        <w:t>，其</w:t>
      </w:r>
      <w:r>
        <w:rPr>
          <w:rFonts w:hint="eastAsia" w:ascii="宋体" w:hAnsi="宋体"/>
          <w:color w:val="000000"/>
          <w:sz w:val="24"/>
        </w:rPr>
        <w:t>任何</w:t>
      </w:r>
      <w:r>
        <w:rPr>
          <w:rFonts w:ascii="宋体" w:hAnsi="宋体"/>
          <w:color w:val="000000"/>
          <w:sz w:val="24"/>
        </w:rPr>
        <w:t>工作和交付的</w:t>
      </w:r>
      <w:r>
        <w:rPr>
          <w:rFonts w:hint="eastAsia" w:ascii="宋体" w:hAnsi="宋体"/>
          <w:sz w:val="24"/>
        </w:rPr>
        <w:t>工作成果</w:t>
      </w:r>
      <w:r>
        <w:rPr>
          <w:rFonts w:ascii="宋体" w:hAnsi="宋体"/>
          <w:color w:val="000000"/>
          <w:sz w:val="24"/>
        </w:rPr>
        <w:t>符合</w:t>
      </w:r>
      <w:r>
        <w:rPr>
          <w:rFonts w:hint="eastAsia" w:ascii="宋体" w:hAnsi="宋体"/>
          <w:color w:val="000000"/>
          <w:sz w:val="24"/>
        </w:rPr>
        <w:t>本合同、法律法规、行业规范、标准和良好的行业惯例的要求</w:t>
      </w:r>
      <w:r>
        <w:rPr>
          <w:rFonts w:ascii="宋体" w:hAnsi="宋体"/>
          <w:color w:val="000000"/>
          <w:sz w:val="24"/>
        </w:rPr>
        <w:t>，不存在任何缺陷。</w:t>
      </w:r>
    </w:p>
    <w:p>
      <w:pPr>
        <w:numPr>
          <w:ilvl w:val="0"/>
          <w:numId w:val="17"/>
        </w:numPr>
        <w:tabs>
          <w:tab w:val="left" w:pos="709"/>
        </w:tabs>
        <w:adjustRightInd w:val="0"/>
        <w:snapToGrid w:val="0"/>
        <w:spacing w:before="93" w:beforeLines="30" w:after="93" w:afterLines="30" w:line="360" w:lineRule="auto"/>
        <w:ind w:left="709" w:hanging="709"/>
        <w:rPr>
          <w:rFonts w:ascii="宋体" w:hAnsi="宋体"/>
          <w:color w:val="000000"/>
          <w:sz w:val="24"/>
          <w:highlight w:val="none"/>
        </w:rPr>
      </w:pPr>
      <w:r>
        <w:rPr>
          <w:rFonts w:ascii="宋体" w:hAnsi="宋体"/>
          <w:color w:val="000000"/>
          <w:sz w:val="24"/>
        </w:rPr>
        <w:t>如果</w:t>
      </w:r>
      <w:r>
        <w:rPr>
          <w:rFonts w:hint="eastAsia" w:ascii="宋体" w:hAnsi="宋体"/>
          <w:color w:val="000000"/>
          <w:sz w:val="24"/>
        </w:rPr>
        <w:t>乙方完成的工作或提交的工作成果在</w:t>
      </w:r>
      <w:r>
        <w:rPr>
          <w:rFonts w:ascii="宋体" w:hAnsi="宋体"/>
          <w:color w:val="000000"/>
          <w:sz w:val="24"/>
        </w:rPr>
        <w:t>质保期内出现任何属于</w:t>
      </w:r>
      <w:r>
        <w:rPr>
          <w:rFonts w:hint="eastAsia" w:ascii="宋体" w:hAnsi="宋体"/>
          <w:color w:val="000000"/>
          <w:sz w:val="24"/>
        </w:rPr>
        <w:t>本合同</w:t>
      </w:r>
      <w:r>
        <w:rPr>
          <w:rFonts w:ascii="宋体" w:hAnsi="宋体"/>
          <w:color w:val="000000"/>
          <w:sz w:val="24"/>
        </w:rPr>
        <w:t>第</w:t>
      </w:r>
      <w:r>
        <w:rPr>
          <w:color w:val="000000"/>
          <w:sz w:val="24"/>
        </w:rPr>
        <w:t>8.1</w:t>
      </w:r>
      <w:r>
        <w:rPr>
          <w:rFonts w:ascii="宋体" w:hAnsi="宋体"/>
          <w:color w:val="000000"/>
          <w:sz w:val="24"/>
        </w:rPr>
        <w:t>款规</w:t>
      </w:r>
      <w:r>
        <w:rPr>
          <w:rFonts w:ascii="宋体" w:hAnsi="宋体"/>
          <w:color w:val="000000"/>
          <w:sz w:val="24"/>
          <w:highlight w:val="none"/>
        </w:rPr>
        <w:t>定的质量保证范围内的问题，甲方应及时通知乙方，乙方应在</w:t>
      </w:r>
      <w:r>
        <w:rPr>
          <w:rFonts w:hint="eastAsia" w:ascii="宋体" w:hAnsi="宋体"/>
          <w:color w:val="000000"/>
          <w:sz w:val="24"/>
          <w:highlight w:val="none"/>
        </w:rPr>
        <w:t>收到该等通知后【</w:t>
      </w:r>
      <w:r>
        <w:rPr>
          <w:rFonts w:ascii="宋体" w:hAnsi="宋体"/>
          <w:color w:val="000000"/>
          <w:sz w:val="24"/>
          <w:highlight w:val="none"/>
        </w:rPr>
        <w:t>二（2）</w:t>
      </w:r>
      <w:r>
        <w:rPr>
          <w:rFonts w:hint="eastAsia" w:ascii="宋体" w:hAnsi="宋体"/>
          <w:color w:val="000000"/>
          <w:sz w:val="24"/>
          <w:highlight w:val="none"/>
        </w:rPr>
        <w:t>】</w:t>
      </w:r>
      <w:r>
        <w:rPr>
          <w:rFonts w:ascii="宋体" w:hAnsi="宋体"/>
          <w:color w:val="000000"/>
          <w:sz w:val="24"/>
          <w:highlight w:val="none"/>
        </w:rPr>
        <w:t>日内予以回复，并在甲方要求的合理时间内委派人员进行修复或重新实施相关工作（“整改”） ，直至消除该等缺陷。</w:t>
      </w:r>
      <w:r>
        <w:rPr>
          <w:rFonts w:hint="eastAsia" w:ascii="宋体" w:hAnsi="宋体"/>
          <w:color w:val="000000"/>
          <w:sz w:val="24"/>
          <w:highlight w:val="none"/>
        </w:rPr>
        <w:t>整改相关工作的实施方案应获得甲方认可。整改</w:t>
      </w:r>
      <w:r>
        <w:rPr>
          <w:rFonts w:ascii="宋体" w:hAnsi="宋体"/>
          <w:color w:val="000000"/>
          <w:sz w:val="24"/>
          <w:highlight w:val="none"/>
        </w:rPr>
        <w:t>相关工作完成后，乙方应进行检验</w:t>
      </w:r>
      <w:r>
        <w:rPr>
          <w:rFonts w:hint="eastAsia" w:ascii="宋体" w:hAnsi="宋体"/>
          <w:color w:val="000000"/>
          <w:sz w:val="24"/>
          <w:highlight w:val="none"/>
        </w:rPr>
        <w:t>，并出具修复、检验报告。整改后的工作的质保期自修复或重新实施之日起重新计算。</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highlight w:val="none"/>
        </w:rPr>
      </w:pPr>
      <w:bookmarkStart w:id="57" w:name="_Toc299915691"/>
      <w:bookmarkStart w:id="58" w:name="_Toc299912675"/>
      <w:bookmarkStart w:id="59" w:name="_Toc364839370"/>
      <w:r>
        <w:rPr>
          <w:rFonts w:ascii="宋体" w:hAnsi="宋体"/>
          <w:b w:val="0"/>
          <w:szCs w:val="24"/>
          <w:highlight w:val="none"/>
        </w:rPr>
        <w:t xml:space="preserve"> </w:t>
      </w:r>
      <w:r>
        <w:rPr>
          <w:rFonts w:hint="eastAsia" w:ascii="宋体" w:hAnsi="宋体"/>
          <w:b w:val="0"/>
          <w:szCs w:val="24"/>
          <w:highlight w:val="none"/>
        </w:rPr>
        <w:t>工作</w:t>
      </w:r>
      <w:r>
        <w:rPr>
          <w:rFonts w:ascii="宋体" w:hAnsi="宋体"/>
          <w:b w:val="0"/>
          <w:szCs w:val="24"/>
          <w:highlight w:val="none"/>
        </w:rPr>
        <w:t>变更</w:t>
      </w:r>
      <w:bookmarkEnd w:id="57"/>
      <w:bookmarkEnd w:id="58"/>
      <w:bookmarkEnd w:id="59"/>
    </w:p>
    <w:p>
      <w:pPr>
        <w:numPr>
          <w:ilvl w:val="0"/>
          <w:numId w:val="18"/>
        </w:numPr>
        <w:tabs>
          <w:tab w:val="left" w:pos="709"/>
          <w:tab w:val="clear" w:pos="1260"/>
        </w:tabs>
        <w:adjustRightInd w:val="0"/>
        <w:snapToGrid w:val="0"/>
        <w:spacing w:before="93" w:beforeLines="30" w:after="93" w:afterLines="30" w:line="360" w:lineRule="auto"/>
        <w:ind w:left="709" w:hanging="709"/>
        <w:rPr>
          <w:rFonts w:ascii="宋体" w:hAnsi="宋体"/>
          <w:spacing w:val="-2"/>
          <w:sz w:val="24"/>
          <w:highlight w:val="none"/>
        </w:rPr>
      </w:pPr>
      <w:r>
        <w:rPr>
          <w:rFonts w:ascii="宋体" w:hAnsi="宋体"/>
          <w:bCs/>
          <w:sz w:val="24"/>
          <w:highlight w:val="none"/>
        </w:rPr>
        <w:t>无论基于何种原因，甲方</w:t>
      </w:r>
      <w:r>
        <w:rPr>
          <w:rFonts w:ascii="宋体" w:hAnsi="宋体"/>
          <w:spacing w:val="-2"/>
          <w:sz w:val="24"/>
          <w:highlight w:val="none"/>
        </w:rPr>
        <w:t>有权随时向乙方发出工作变更通知，要求进行工作变更。</w:t>
      </w:r>
    </w:p>
    <w:p>
      <w:pPr>
        <w:numPr>
          <w:ilvl w:val="0"/>
          <w:numId w:val="18"/>
        </w:numPr>
        <w:tabs>
          <w:tab w:val="left" w:pos="709"/>
        </w:tabs>
        <w:adjustRightInd w:val="0"/>
        <w:snapToGrid w:val="0"/>
        <w:spacing w:before="93" w:beforeLines="30" w:after="93" w:afterLines="30" w:line="360" w:lineRule="auto"/>
        <w:ind w:left="709" w:hanging="709"/>
        <w:rPr>
          <w:rFonts w:ascii="宋体" w:hAnsi="宋体"/>
          <w:color w:val="000000"/>
          <w:sz w:val="24"/>
        </w:rPr>
      </w:pPr>
      <w:r>
        <w:rPr>
          <w:rFonts w:ascii="宋体" w:hAnsi="宋体"/>
          <w:color w:val="000000"/>
          <w:sz w:val="24"/>
          <w:highlight w:val="none"/>
        </w:rPr>
        <w:t>收到变更通知后</w:t>
      </w:r>
      <w:r>
        <w:rPr>
          <w:rFonts w:hint="eastAsia" w:ascii="宋体" w:hAnsi="宋体"/>
          <w:color w:val="000000"/>
          <w:sz w:val="24"/>
          <w:highlight w:val="none"/>
        </w:rPr>
        <w:t>【二（2）】</w:t>
      </w:r>
      <w:r>
        <w:rPr>
          <w:rFonts w:ascii="宋体" w:hAnsi="宋体"/>
          <w:color w:val="000000"/>
          <w:sz w:val="24"/>
          <w:highlight w:val="none"/>
        </w:rPr>
        <w:t>日内</w:t>
      </w:r>
      <w:r>
        <w:rPr>
          <w:rFonts w:ascii="宋体" w:hAnsi="宋体"/>
          <w:color w:val="000000"/>
          <w:sz w:val="24"/>
        </w:rPr>
        <w:t>，乙方应向甲方提交</w:t>
      </w:r>
      <w:r>
        <w:rPr>
          <w:rFonts w:hint="eastAsia" w:ascii="宋体" w:hAnsi="宋体"/>
          <w:color w:val="000000"/>
          <w:sz w:val="24"/>
        </w:rPr>
        <w:t>变更的实施方案以及变更的影响</w:t>
      </w:r>
      <w:r>
        <w:rPr>
          <w:rFonts w:ascii="宋体" w:hAnsi="宋体"/>
          <w:color w:val="000000"/>
          <w:sz w:val="24"/>
        </w:rPr>
        <w:t>：</w:t>
      </w:r>
    </w:p>
    <w:p>
      <w:pPr>
        <w:numPr>
          <w:ilvl w:val="2"/>
          <w:numId w:val="19"/>
        </w:numPr>
        <w:tabs>
          <w:tab w:val="left" w:pos="1276"/>
          <w:tab w:val="clear" w:pos="280"/>
        </w:tabs>
        <w:adjustRightInd w:val="0"/>
        <w:snapToGrid w:val="0"/>
        <w:spacing w:before="93" w:beforeLines="30" w:after="93" w:afterLines="30" w:line="360" w:lineRule="auto"/>
        <w:ind w:left="1276" w:leftChars="338" w:hanging="566" w:hangingChars="236"/>
        <w:rPr>
          <w:rFonts w:ascii="宋体" w:hAnsi="宋体"/>
          <w:color w:val="000000"/>
          <w:sz w:val="24"/>
        </w:rPr>
      </w:pPr>
      <w:r>
        <w:rPr>
          <w:rFonts w:ascii="宋体" w:hAnsi="宋体"/>
          <w:color w:val="000000"/>
          <w:sz w:val="24"/>
        </w:rPr>
        <w:t>变更对工作的影响；</w:t>
      </w:r>
    </w:p>
    <w:p>
      <w:pPr>
        <w:numPr>
          <w:ilvl w:val="2"/>
          <w:numId w:val="19"/>
        </w:numPr>
        <w:tabs>
          <w:tab w:val="left" w:pos="1276"/>
          <w:tab w:val="clear" w:pos="280"/>
        </w:tabs>
        <w:adjustRightInd w:val="0"/>
        <w:snapToGrid w:val="0"/>
        <w:spacing w:before="93" w:beforeLines="30" w:after="93" w:afterLines="30" w:line="360" w:lineRule="auto"/>
        <w:ind w:left="1276" w:leftChars="338" w:hanging="566" w:hangingChars="236"/>
        <w:rPr>
          <w:rFonts w:ascii="宋体" w:hAnsi="宋体"/>
          <w:color w:val="000000"/>
          <w:sz w:val="24"/>
        </w:rPr>
      </w:pPr>
      <w:r>
        <w:rPr>
          <w:rFonts w:ascii="宋体" w:hAnsi="宋体"/>
          <w:color w:val="000000"/>
          <w:sz w:val="24"/>
        </w:rPr>
        <w:t>变更对工作期限的影响；</w:t>
      </w:r>
    </w:p>
    <w:p>
      <w:pPr>
        <w:numPr>
          <w:ilvl w:val="2"/>
          <w:numId w:val="19"/>
        </w:numPr>
        <w:tabs>
          <w:tab w:val="left" w:pos="1276"/>
          <w:tab w:val="clear" w:pos="280"/>
        </w:tabs>
        <w:adjustRightInd w:val="0"/>
        <w:snapToGrid w:val="0"/>
        <w:spacing w:before="93" w:beforeLines="30" w:after="93" w:afterLines="30" w:line="360" w:lineRule="auto"/>
        <w:ind w:left="1276" w:leftChars="338" w:hanging="566" w:hangingChars="236"/>
        <w:rPr>
          <w:rFonts w:ascii="宋体" w:hAnsi="宋体"/>
          <w:color w:val="000000"/>
          <w:sz w:val="24"/>
        </w:rPr>
      </w:pPr>
      <w:r>
        <w:rPr>
          <w:rFonts w:ascii="宋体" w:hAnsi="宋体"/>
          <w:color w:val="000000"/>
          <w:sz w:val="24"/>
        </w:rPr>
        <w:t>变更对合同价款的影响；</w:t>
      </w:r>
    </w:p>
    <w:p>
      <w:pPr>
        <w:numPr>
          <w:ilvl w:val="2"/>
          <w:numId w:val="19"/>
        </w:numPr>
        <w:tabs>
          <w:tab w:val="left" w:pos="1276"/>
          <w:tab w:val="clear" w:pos="280"/>
        </w:tabs>
        <w:adjustRightInd w:val="0"/>
        <w:snapToGrid w:val="0"/>
        <w:spacing w:before="93" w:beforeLines="30" w:after="93" w:afterLines="30" w:line="360" w:lineRule="auto"/>
        <w:ind w:left="1276" w:leftChars="338" w:hanging="566" w:hangingChars="236"/>
        <w:rPr>
          <w:rFonts w:ascii="宋体" w:hAnsi="宋体"/>
          <w:color w:val="000000"/>
          <w:sz w:val="24"/>
        </w:rPr>
      </w:pPr>
      <w:r>
        <w:rPr>
          <w:rFonts w:ascii="宋体" w:hAnsi="宋体"/>
          <w:color w:val="000000"/>
          <w:sz w:val="24"/>
        </w:rPr>
        <w:t>实施变更的要求和方案。</w:t>
      </w:r>
    </w:p>
    <w:p>
      <w:pPr>
        <w:tabs>
          <w:tab w:val="left" w:pos="709"/>
        </w:tabs>
        <w:adjustRightInd w:val="0"/>
        <w:snapToGrid w:val="0"/>
        <w:spacing w:before="93" w:beforeLines="30" w:after="93" w:afterLines="30" w:line="360" w:lineRule="auto"/>
        <w:ind w:left="709"/>
        <w:rPr>
          <w:rFonts w:ascii="宋体" w:hAnsi="宋体"/>
          <w:color w:val="000000"/>
          <w:sz w:val="24"/>
        </w:rPr>
      </w:pPr>
      <w:r>
        <w:rPr>
          <w:rFonts w:ascii="宋体" w:hAnsi="宋体"/>
          <w:color w:val="000000"/>
          <w:sz w:val="24"/>
        </w:rPr>
        <w:t>对于上述事项，乙方应提供适当的证明文件。</w:t>
      </w:r>
    </w:p>
    <w:p>
      <w:pPr>
        <w:numPr>
          <w:ilvl w:val="0"/>
          <w:numId w:val="18"/>
        </w:numPr>
        <w:tabs>
          <w:tab w:val="left" w:pos="709"/>
        </w:tabs>
        <w:adjustRightInd w:val="0"/>
        <w:snapToGrid w:val="0"/>
        <w:spacing w:before="93" w:beforeLines="30" w:after="93" w:afterLines="30" w:line="360" w:lineRule="auto"/>
        <w:ind w:left="709" w:hanging="709"/>
        <w:rPr>
          <w:rFonts w:ascii="宋体" w:hAnsi="宋体"/>
          <w:spacing w:val="-2"/>
          <w:sz w:val="24"/>
        </w:rPr>
      </w:pPr>
      <w:r>
        <w:rPr>
          <w:rFonts w:ascii="宋体" w:hAnsi="宋体"/>
          <w:color w:val="000000"/>
          <w:sz w:val="24"/>
        </w:rPr>
        <w:t>乙方提交变更</w:t>
      </w:r>
      <w:r>
        <w:rPr>
          <w:rFonts w:hint="eastAsia" w:ascii="宋体" w:hAnsi="宋体"/>
          <w:color w:val="000000"/>
          <w:sz w:val="24"/>
        </w:rPr>
        <w:t>影响并经甲方评估后</w:t>
      </w:r>
      <w:r>
        <w:rPr>
          <w:rFonts w:ascii="宋体" w:hAnsi="宋体"/>
          <w:color w:val="000000"/>
          <w:sz w:val="24"/>
        </w:rPr>
        <w:t>，双方应就工作变更及其影响进行协商。如双方就相关事项达成一致，且甲方决定实施工作变更，双方将共同签署变更确认单</w:t>
      </w:r>
      <w:r>
        <w:rPr>
          <w:rFonts w:hint="eastAsia" w:ascii="宋体" w:hAnsi="宋体"/>
          <w:color w:val="000000"/>
          <w:sz w:val="24"/>
        </w:rPr>
        <w:t>或另行签署合同对本合同进行变更</w:t>
      </w:r>
      <w:r>
        <w:rPr>
          <w:rFonts w:ascii="宋体" w:hAnsi="宋体"/>
          <w:color w:val="000000"/>
          <w:sz w:val="24"/>
        </w:rPr>
        <w:t>，乙方应立即执行。如双方未能就工作变更事项达成一致，甲方有权单方面发出工作变更指令。乙方收到工作变更指令后，应立即实施相关工作</w:t>
      </w:r>
      <w:r>
        <w:rPr>
          <w:rFonts w:hint="eastAsia" w:ascii="宋体" w:hAnsi="宋体"/>
          <w:color w:val="000000"/>
          <w:sz w:val="24"/>
        </w:rPr>
        <w:t>。</w:t>
      </w:r>
    </w:p>
    <w:p>
      <w:pPr>
        <w:numPr>
          <w:ilvl w:val="0"/>
          <w:numId w:val="18"/>
        </w:numPr>
        <w:tabs>
          <w:tab w:val="left" w:pos="709"/>
        </w:tabs>
        <w:adjustRightInd w:val="0"/>
        <w:snapToGrid w:val="0"/>
        <w:spacing w:before="93" w:beforeLines="30" w:after="93" w:afterLines="30" w:line="360" w:lineRule="auto"/>
        <w:ind w:left="709" w:hanging="709"/>
        <w:rPr>
          <w:rFonts w:ascii="宋体" w:hAnsi="宋体"/>
          <w:spacing w:val="-2"/>
          <w:sz w:val="24"/>
        </w:rPr>
      </w:pPr>
      <w:r>
        <w:rPr>
          <w:rFonts w:ascii="宋体" w:hAnsi="宋体"/>
          <w:spacing w:val="-2"/>
          <w:sz w:val="24"/>
        </w:rPr>
        <w:t>未经甲方同意，乙方不得进行任何工作变更。</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60" w:name="_Toc364839371"/>
      <w:bookmarkStart w:id="61" w:name="_Toc299915693"/>
      <w:r>
        <w:rPr>
          <w:rFonts w:hint="eastAsia" w:ascii="宋体" w:hAnsi="宋体"/>
          <w:b w:val="0"/>
          <w:szCs w:val="24"/>
        </w:rPr>
        <w:t xml:space="preserve"> 工作暂停</w:t>
      </w:r>
      <w:bookmarkEnd w:id="60"/>
      <w:bookmarkEnd w:id="61"/>
    </w:p>
    <w:p>
      <w:pPr>
        <w:numPr>
          <w:ilvl w:val="1"/>
          <w:numId w:val="20"/>
        </w:numPr>
        <w:tabs>
          <w:tab w:val="left" w:pos="709"/>
          <w:tab w:val="clear" w:pos="540"/>
        </w:tabs>
        <w:adjustRightInd w:val="0"/>
        <w:snapToGrid w:val="0"/>
        <w:spacing w:before="93" w:beforeLines="30" w:after="93" w:afterLines="30" w:line="360" w:lineRule="auto"/>
        <w:ind w:left="709" w:hanging="709"/>
        <w:rPr>
          <w:rFonts w:ascii="宋体" w:hAnsi="宋体"/>
          <w:bCs/>
          <w:sz w:val="24"/>
        </w:rPr>
      </w:pPr>
      <w:r>
        <w:rPr>
          <w:rFonts w:ascii="宋体" w:hAnsi="宋体"/>
          <w:kern w:val="0"/>
          <w:sz w:val="24"/>
        </w:rPr>
        <w:t>乙方造成的暂停</w:t>
      </w:r>
      <w:r>
        <w:rPr>
          <w:rFonts w:hint="eastAsia" w:ascii="宋体" w:hAnsi="宋体"/>
          <w:bCs/>
          <w:sz w:val="24"/>
        </w:rPr>
        <w:t>：</w:t>
      </w:r>
    </w:p>
    <w:p>
      <w:pPr>
        <w:tabs>
          <w:tab w:val="left" w:pos="709"/>
        </w:tabs>
        <w:adjustRightInd w:val="0"/>
        <w:snapToGrid w:val="0"/>
        <w:spacing w:before="93" w:beforeLines="30" w:after="93" w:afterLines="30" w:line="360" w:lineRule="auto"/>
        <w:ind w:left="708" w:leftChars="337"/>
        <w:rPr>
          <w:rFonts w:ascii="宋体" w:hAnsi="宋体"/>
          <w:bCs/>
          <w:sz w:val="24"/>
        </w:rPr>
      </w:pPr>
      <w:r>
        <w:rPr>
          <w:rFonts w:hint="eastAsia" w:ascii="宋体" w:hAnsi="宋体"/>
          <w:bCs/>
          <w:sz w:val="24"/>
        </w:rPr>
        <w:t>如甲方认为乙方的工作存在重大缺陷或与本合同约定不符，甲方有权要求乙方暂停全部或部分工作，直至乙方采取措施消除该等缺陷。乙方消除相关缺陷并经甲方同意后，方可恢复工作。甲方对该等停工造成的损失不承担任何责任，乙方无权要求调整合同总价或工作期限。</w:t>
      </w:r>
    </w:p>
    <w:p>
      <w:pPr>
        <w:numPr>
          <w:ilvl w:val="1"/>
          <w:numId w:val="20"/>
        </w:numPr>
        <w:tabs>
          <w:tab w:val="left" w:pos="709"/>
          <w:tab w:val="clear" w:pos="540"/>
        </w:tabs>
        <w:adjustRightInd w:val="0"/>
        <w:snapToGrid w:val="0"/>
        <w:spacing w:before="93" w:beforeLines="30" w:after="93" w:afterLines="30" w:line="360" w:lineRule="auto"/>
        <w:ind w:left="709" w:hanging="709"/>
        <w:rPr>
          <w:rFonts w:ascii="宋体" w:hAnsi="宋体"/>
          <w:sz w:val="24"/>
        </w:rPr>
      </w:pPr>
      <w:r>
        <w:rPr>
          <w:rFonts w:ascii="宋体" w:hAnsi="宋体"/>
          <w:kern w:val="0"/>
          <w:sz w:val="24"/>
        </w:rPr>
        <w:t>甲方造成的暂停</w:t>
      </w:r>
      <w:r>
        <w:rPr>
          <w:rFonts w:hint="eastAsia" w:ascii="宋体" w:hAnsi="宋体"/>
          <w:sz w:val="24"/>
        </w:rPr>
        <w:t>：</w:t>
      </w:r>
    </w:p>
    <w:p>
      <w:pPr>
        <w:numPr>
          <w:ilvl w:val="0"/>
          <w:numId w:val="21"/>
        </w:numPr>
        <w:tabs>
          <w:tab w:val="left" w:pos="1276"/>
          <w:tab w:val="clear" w:pos="420"/>
        </w:tabs>
        <w:adjustRightInd w:val="0"/>
        <w:snapToGrid w:val="0"/>
        <w:spacing w:before="93" w:beforeLines="30" w:after="93" w:afterLines="30" w:line="360" w:lineRule="auto"/>
        <w:ind w:left="1276" w:hanging="567"/>
        <w:rPr>
          <w:rFonts w:ascii="宋体" w:hAnsi="宋体"/>
          <w:kern w:val="0"/>
          <w:sz w:val="24"/>
        </w:rPr>
      </w:pPr>
      <w:r>
        <w:rPr>
          <w:rFonts w:ascii="宋体" w:hAnsi="宋体"/>
          <w:kern w:val="0"/>
          <w:sz w:val="24"/>
        </w:rPr>
        <w:t>无论基于</w:t>
      </w:r>
      <w:r>
        <w:rPr>
          <w:rFonts w:hint="eastAsia" w:ascii="宋体" w:hAnsi="宋体"/>
          <w:kern w:val="0"/>
          <w:sz w:val="24"/>
        </w:rPr>
        <w:t>任何</w:t>
      </w:r>
      <w:r>
        <w:rPr>
          <w:rFonts w:ascii="宋体" w:hAnsi="宋体"/>
          <w:kern w:val="0"/>
          <w:sz w:val="24"/>
        </w:rPr>
        <w:t>原因，甲方有权</w:t>
      </w:r>
      <w:r>
        <w:rPr>
          <w:rFonts w:hint="eastAsia" w:ascii="宋体" w:hAnsi="宋体"/>
          <w:kern w:val="0"/>
          <w:sz w:val="24"/>
        </w:rPr>
        <w:t>随时向乙方发出暂停通知，要求</w:t>
      </w:r>
      <w:r>
        <w:rPr>
          <w:rFonts w:ascii="宋体" w:hAnsi="宋体"/>
          <w:kern w:val="0"/>
          <w:sz w:val="24"/>
        </w:rPr>
        <w:t>乙方暂停全部或部分</w:t>
      </w:r>
      <w:r>
        <w:rPr>
          <w:rFonts w:hint="eastAsia" w:ascii="宋体" w:hAnsi="宋体"/>
          <w:kern w:val="0"/>
          <w:sz w:val="24"/>
        </w:rPr>
        <w:t>工作</w:t>
      </w:r>
      <w:r>
        <w:rPr>
          <w:rFonts w:ascii="宋体" w:hAnsi="宋体"/>
          <w:kern w:val="0"/>
          <w:sz w:val="24"/>
        </w:rPr>
        <w:t>。</w:t>
      </w:r>
    </w:p>
    <w:p>
      <w:pPr>
        <w:numPr>
          <w:ilvl w:val="0"/>
          <w:numId w:val="21"/>
        </w:numPr>
        <w:tabs>
          <w:tab w:val="left" w:pos="1276"/>
          <w:tab w:val="clear" w:pos="420"/>
        </w:tabs>
        <w:adjustRightInd w:val="0"/>
        <w:snapToGrid w:val="0"/>
        <w:spacing w:before="93" w:beforeLines="30" w:after="93" w:afterLines="30" w:line="360" w:lineRule="auto"/>
        <w:ind w:left="1276" w:hanging="567"/>
        <w:rPr>
          <w:rFonts w:ascii="宋体" w:hAnsi="宋体"/>
          <w:kern w:val="0"/>
          <w:sz w:val="24"/>
        </w:rPr>
      </w:pPr>
      <w:r>
        <w:rPr>
          <w:rFonts w:hint="eastAsia" w:ascii="宋体" w:hAnsi="宋体"/>
          <w:kern w:val="0"/>
          <w:sz w:val="24"/>
        </w:rPr>
        <w:t>乙方</w:t>
      </w:r>
      <w:r>
        <w:rPr>
          <w:rFonts w:ascii="宋体" w:hAnsi="宋体"/>
          <w:kern w:val="0"/>
          <w:sz w:val="24"/>
        </w:rPr>
        <w:t>接到</w:t>
      </w:r>
      <w:r>
        <w:rPr>
          <w:rFonts w:hint="eastAsia" w:ascii="宋体" w:hAnsi="宋体"/>
          <w:kern w:val="0"/>
          <w:sz w:val="24"/>
        </w:rPr>
        <w:t>暂停</w:t>
      </w:r>
      <w:r>
        <w:rPr>
          <w:rFonts w:ascii="宋体" w:hAnsi="宋体"/>
          <w:kern w:val="0"/>
          <w:sz w:val="24"/>
        </w:rPr>
        <w:t>通知后，</w:t>
      </w:r>
      <w:r>
        <w:rPr>
          <w:rFonts w:hint="eastAsia" w:ascii="宋体" w:hAnsi="宋体"/>
          <w:kern w:val="0"/>
          <w:sz w:val="24"/>
        </w:rPr>
        <w:t>应根据暂停</w:t>
      </w:r>
      <w:r>
        <w:rPr>
          <w:rFonts w:ascii="宋体" w:hAnsi="宋体"/>
          <w:kern w:val="0"/>
          <w:sz w:val="24"/>
        </w:rPr>
        <w:t>通知规定的时间及范围暂停</w:t>
      </w:r>
      <w:r>
        <w:rPr>
          <w:rFonts w:hint="eastAsia" w:ascii="宋体" w:hAnsi="宋体"/>
          <w:kern w:val="0"/>
          <w:sz w:val="24"/>
        </w:rPr>
        <w:t>工作，</w:t>
      </w:r>
      <w:r>
        <w:rPr>
          <w:rFonts w:hint="eastAsia" w:ascii="宋体" w:hAnsi="宋体"/>
          <w:sz w:val="24"/>
        </w:rPr>
        <w:t>妥善保护已完成的工作，</w:t>
      </w:r>
      <w:r>
        <w:rPr>
          <w:rFonts w:ascii="宋体" w:hAnsi="宋体"/>
          <w:kern w:val="0"/>
          <w:sz w:val="24"/>
        </w:rPr>
        <w:t>继续执行未暂停的</w:t>
      </w:r>
      <w:r>
        <w:rPr>
          <w:rFonts w:hint="eastAsia" w:ascii="宋体" w:hAnsi="宋体"/>
          <w:kern w:val="0"/>
          <w:sz w:val="24"/>
        </w:rPr>
        <w:t>工作。</w:t>
      </w:r>
    </w:p>
    <w:p>
      <w:pPr>
        <w:numPr>
          <w:ilvl w:val="0"/>
          <w:numId w:val="21"/>
        </w:numPr>
        <w:tabs>
          <w:tab w:val="left" w:pos="1276"/>
          <w:tab w:val="clear" w:pos="420"/>
        </w:tabs>
        <w:adjustRightInd w:val="0"/>
        <w:snapToGrid w:val="0"/>
        <w:spacing w:before="93" w:beforeLines="30" w:after="93" w:afterLines="30" w:line="360" w:lineRule="auto"/>
        <w:ind w:left="1276" w:hanging="567"/>
        <w:rPr>
          <w:rFonts w:ascii="宋体" w:hAnsi="宋体"/>
          <w:kern w:val="0"/>
          <w:sz w:val="24"/>
        </w:rPr>
      </w:pPr>
      <w:r>
        <w:rPr>
          <w:rFonts w:ascii="宋体" w:hAnsi="宋体"/>
          <w:kern w:val="0"/>
          <w:sz w:val="24"/>
        </w:rPr>
        <w:t>乙方收到甲方复工通知后应立即恢复执行</w:t>
      </w:r>
      <w:r>
        <w:rPr>
          <w:rFonts w:hint="eastAsia" w:ascii="宋体" w:hAnsi="宋体"/>
          <w:kern w:val="0"/>
          <w:sz w:val="24"/>
        </w:rPr>
        <w:t>工作</w:t>
      </w:r>
      <w:r>
        <w:rPr>
          <w:rFonts w:ascii="宋体" w:hAnsi="宋体"/>
          <w:kern w:val="0"/>
          <w:sz w:val="24"/>
        </w:rPr>
        <w:t>。</w:t>
      </w:r>
    </w:p>
    <w:p>
      <w:pPr>
        <w:numPr>
          <w:ilvl w:val="0"/>
          <w:numId w:val="21"/>
        </w:numPr>
        <w:tabs>
          <w:tab w:val="left" w:pos="1276"/>
          <w:tab w:val="clear" w:pos="420"/>
        </w:tabs>
        <w:adjustRightInd w:val="0"/>
        <w:snapToGrid w:val="0"/>
        <w:spacing w:before="93" w:beforeLines="30" w:after="93" w:afterLines="30" w:line="360" w:lineRule="auto"/>
        <w:ind w:left="1276" w:hanging="567"/>
        <w:rPr>
          <w:rFonts w:ascii="宋体" w:hAnsi="宋体"/>
          <w:sz w:val="24"/>
        </w:rPr>
      </w:pPr>
      <w:r>
        <w:rPr>
          <w:rFonts w:hint="eastAsia" w:ascii="宋体" w:hAnsi="宋体"/>
          <w:sz w:val="24"/>
        </w:rPr>
        <w:t>对于甲方要求的停工（因本合同第11.1原因导致的暂停除外），乙方有权根据暂停工作期限，要求对工作期限进行调整，乙方应尽量减少停工对工作期限的影响。</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62" w:name="_Toc364839372"/>
      <w:r>
        <w:rPr>
          <w:rFonts w:hint="eastAsia" w:ascii="宋体" w:hAnsi="宋体"/>
          <w:b w:val="0"/>
          <w:szCs w:val="24"/>
        </w:rPr>
        <w:t>权利保证</w:t>
      </w:r>
      <w:bookmarkEnd w:id="33"/>
      <w:bookmarkEnd w:id="34"/>
      <w:bookmarkEnd w:id="62"/>
    </w:p>
    <w:bookmarkEnd w:id="19"/>
    <w:bookmarkEnd w:id="20"/>
    <w:bookmarkEnd w:id="21"/>
    <w:bookmarkEnd w:id="22"/>
    <w:bookmarkEnd w:id="23"/>
    <w:bookmarkEnd w:id="24"/>
    <w:bookmarkEnd w:id="25"/>
    <w:bookmarkEnd w:id="26"/>
    <w:bookmarkEnd w:id="27"/>
    <w:bookmarkEnd w:id="28"/>
    <w:bookmarkEnd w:id="29"/>
    <w:bookmarkEnd w:id="30"/>
    <w:bookmarkEnd w:id="31"/>
    <w:p>
      <w:pPr>
        <w:widowControl/>
        <w:numPr>
          <w:ilvl w:val="0"/>
          <w:numId w:val="22"/>
        </w:numPr>
        <w:tabs>
          <w:tab w:val="left" w:pos="709"/>
        </w:tabs>
        <w:adjustRightInd w:val="0"/>
        <w:snapToGrid w:val="0"/>
        <w:spacing w:before="93" w:beforeLines="30" w:after="93" w:afterLines="30" w:line="360" w:lineRule="auto"/>
        <w:ind w:left="709" w:hanging="709"/>
        <w:rPr>
          <w:rFonts w:ascii="宋体" w:hAnsi="宋体"/>
          <w:sz w:val="24"/>
        </w:rPr>
      </w:pPr>
      <w:r>
        <w:rPr>
          <w:rFonts w:ascii="宋体" w:hAnsi="宋体"/>
          <w:sz w:val="24"/>
        </w:rPr>
        <w:t>乙方保证，</w:t>
      </w:r>
      <w:r>
        <w:rPr>
          <w:rFonts w:hint="eastAsia" w:ascii="宋体" w:hAnsi="宋体"/>
          <w:sz w:val="24"/>
        </w:rPr>
        <w:t>其执行工作未侵犯任何第三方的权利，其执行工作、提供的工作成果未侵</w:t>
      </w:r>
      <w:r>
        <w:rPr>
          <w:rFonts w:ascii="宋体" w:hAnsi="宋体"/>
          <w:sz w:val="24"/>
        </w:rPr>
        <w:t>犯任何第三方的专利权、商标权</w:t>
      </w:r>
      <w:r>
        <w:rPr>
          <w:rFonts w:hint="eastAsia" w:ascii="宋体" w:hAnsi="宋体"/>
          <w:sz w:val="24"/>
        </w:rPr>
        <w:t>或其它知识产</w:t>
      </w:r>
      <w:r>
        <w:rPr>
          <w:rFonts w:ascii="宋体" w:hAnsi="宋体"/>
          <w:sz w:val="24"/>
        </w:rPr>
        <w:t>权</w:t>
      </w:r>
      <w:r>
        <w:rPr>
          <w:rFonts w:hint="eastAsia" w:ascii="宋体" w:hAnsi="宋体"/>
          <w:sz w:val="24"/>
        </w:rPr>
        <w:t>，工作成果的所有权及</w:t>
      </w:r>
      <w:r>
        <w:rPr>
          <w:rFonts w:ascii="宋体" w:hAnsi="宋体"/>
          <w:sz w:val="24"/>
        </w:rPr>
        <w:t>包含的全部专利、商标</w:t>
      </w:r>
      <w:r>
        <w:rPr>
          <w:rFonts w:hint="eastAsia" w:ascii="宋体" w:hAnsi="宋体"/>
          <w:sz w:val="24"/>
        </w:rPr>
        <w:t>及其它知识产权</w:t>
      </w:r>
      <w:r>
        <w:rPr>
          <w:rFonts w:ascii="宋体" w:hAnsi="宋体"/>
          <w:sz w:val="24"/>
        </w:rPr>
        <w:t>均为乙方</w:t>
      </w:r>
      <w:r>
        <w:rPr>
          <w:rFonts w:hint="eastAsia" w:ascii="宋体" w:hAnsi="宋体"/>
          <w:sz w:val="24"/>
        </w:rPr>
        <w:t>合法</w:t>
      </w:r>
      <w:r>
        <w:rPr>
          <w:rFonts w:ascii="宋体" w:hAnsi="宋体"/>
          <w:sz w:val="24"/>
        </w:rPr>
        <w:t>拥有或已获得</w:t>
      </w:r>
      <w:r>
        <w:rPr>
          <w:rFonts w:hint="eastAsia" w:ascii="宋体" w:hAnsi="宋体"/>
          <w:sz w:val="24"/>
        </w:rPr>
        <w:t>第三方</w:t>
      </w:r>
      <w:r>
        <w:rPr>
          <w:rFonts w:ascii="宋体" w:hAnsi="宋体"/>
          <w:sz w:val="24"/>
        </w:rPr>
        <w:t>的</w:t>
      </w:r>
      <w:r>
        <w:rPr>
          <w:rFonts w:hint="eastAsia" w:ascii="宋体" w:hAnsi="宋体"/>
          <w:sz w:val="24"/>
        </w:rPr>
        <w:t>有效</w:t>
      </w:r>
      <w:r>
        <w:rPr>
          <w:rFonts w:ascii="宋体" w:hAnsi="宋体"/>
          <w:sz w:val="24"/>
        </w:rPr>
        <w:t>授权。</w:t>
      </w:r>
    </w:p>
    <w:p>
      <w:pPr>
        <w:widowControl/>
        <w:numPr>
          <w:ilvl w:val="0"/>
          <w:numId w:val="22"/>
        </w:numPr>
        <w:tabs>
          <w:tab w:val="left" w:pos="709"/>
        </w:tabs>
        <w:adjustRightInd w:val="0"/>
        <w:snapToGrid w:val="0"/>
        <w:spacing w:before="93" w:beforeLines="30" w:after="93" w:afterLines="30" w:line="360" w:lineRule="auto"/>
        <w:ind w:left="709" w:hanging="709"/>
        <w:rPr>
          <w:rFonts w:ascii="宋体" w:hAnsi="宋体"/>
          <w:color w:val="000000"/>
          <w:sz w:val="24"/>
        </w:rPr>
      </w:pPr>
      <w:r>
        <w:rPr>
          <w:rFonts w:hint="eastAsia" w:ascii="宋体" w:hAnsi="宋体"/>
          <w:sz w:val="24"/>
        </w:rPr>
        <w:t>如乙方执行工作及提供的工作成果侵犯任何第三方的权利（包括</w:t>
      </w:r>
      <w:r>
        <w:rPr>
          <w:rFonts w:ascii="宋体" w:hAnsi="宋体"/>
          <w:sz w:val="24"/>
        </w:rPr>
        <w:t>知识产权</w:t>
      </w:r>
      <w:r>
        <w:rPr>
          <w:rFonts w:hint="eastAsia" w:ascii="宋体" w:hAnsi="宋体"/>
          <w:sz w:val="24"/>
        </w:rPr>
        <w:t>）</w:t>
      </w:r>
      <w:r>
        <w:rPr>
          <w:rFonts w:ascii="宋体" w:hAnsi="宋体"/>
          <w:sz w:val="24"/>
        </w:rPr>
        <w:t>，</w:t>
      </w:r>
      <w:r>
        <w:rPr>
          <w:rFonts w:ascii="宋体" w:hAnsi="宋体"/>
          <w:color w:val="000000"/>
          <w:sz w:val="24"/>
        </w:rPr>
        <w:t>乙方应根据甲方的要求，在确保工作符合本合同的</w:t>
      </w:r>
      <w:r>
        <w:rPr>
          <w:rFonts w:hint="eastAsia" w:ascii="宋体" w:hAnsi="宋体"/>
          <w:color w:val="000000"/>
          <w:sz w:val="24"/>
        </w:rPr>
        <w:t>约</w:t>
      </w:r>
      <w:r>
        <w:rPr>
          <w:rFonts w:ascii="宋体" w:hAnsi="宋体"/>
          <w:color w:val="000000"/>
          <w:sz w:val="24"/>
        </w:rPr>
        <w:t>定和要求的前提下，采取必要的措施获得相关的权利或对工作和工作成果进行必要的调整，确保其履行本合同和工作成果不侵犯</w:t>
      </w:r>
      <w:r>
        <w:rPr>
          <w:rFonts w:hint="eastAsia" w:ascii="宋体" w:hAnsi="宋体"/>
          <w:color w:val="000000"/>
          <w:sz w:val="24"/>
        </w:rPr>
        <w:t>任何</w:t>
      </w:r>
      <w:r>
        <w:rPr>
          <w:rFonts w:hint="eastAsia" w:ascii="宋体" w:hAnsi="宋体"/>
          <w:sz w:val="24"/>
        </w:rPr>
        <w:t>第三方的权利（包括</w:t>
      </w:r>
      <w:r>
        <w:rPr>
          <w:rFonts w:ascii="宋体" w:hAnsi="宋体"/>
          <w:color w:val="000000"/>
          <w:sz w:val="24"/>
        </w:rPr>
        <w:t>知识产权</w:t>
      </w:r>
      <w:r>
        <w:rPr>
          <w:rFonts w:hint="eastAsia" w:ascii="宋体" w:hAnsi="宋体"/>
          <w:color w:val="000000"/>
          <w:sz w:val="24"/>
        </w:rPr>
        <w:t>）</w:t>
      </w:r>
      <w:r>
        <w:rPr>
          <w:rFonts w:ascii="宋体" w:hAnsi="宋体"/>
          <w:color w:val="000000"/>
          <w:sz w:val="24"/>
        </w:rPr>
        <w:t>。</w:t>
      </w:r>
      <w:r>
        <w:rPr>
          <w:rFonts w:hint="eastAsia" w:ascii="宋体" w:hAnsi="宋体"/>
          <w:color w:val="000000"/>
          <w:sz w:val="24"/>
        </w:rPr>
        <w:t>乙方根据本款采取的措施不影响甲方的任何其它权利或补救措施。</w:t>
      </w:r>
      <w:r>
        <w:rPr>
          <w:rFonts w:hint="eastAsia"/>
          <w:bCs/>
          <w:color w:val="000000" w:themeColor="text1"/>
          <w:sz w:val="24"/>
          <w14:textFill>
            <w14:solidFill>
              <w14:schemeClr w14:val="tx1"/>
            </w14:solidFill>
          </w14:textFill>
        </w:rPr>
        <w:t>如因使用乙方提供的服务而使甲方遭受任何第三方提出诉讼、索赔、指控等，乙方应负责与第三方交涉，并承担甲方因此产生的任何损失。</w:t>
      </w:r>
    </w:p>
    <w:p>
      <w:pPr>
        <w:widowControl/>
        <w:numPr>
          <w:ilvl w:val="0"/>
          <w:numId w:val="22"/>
        </w:numPr>
        <w:tabs>
          <w:tab w:val="left" w:pos="709"/>
        </w:tabs>
        <w:adjustRightInd w:val="0"/>
        <w:snapToGrid w:val="0"/>
        <w:spacing w:before="93" w:beforeLines="30" w:after="93" w:afterLines="30" w:line="360" w:lineRule="auto"/>
        <w:ind w:left="709" w:hanging="709"/>
        <w:rPr>
          <w:rFonts w:ascii="宋体" w:hAnsi="宋体"/>
          <w:color w:val="000000"/>
          <w:sz w:val="24"/>
        </w:rPr>
      </w:pPr>
      <w:r>
        <w:rPr>
          <w:bCs/>
          <w:color w:val="000000" w:themeColor="text1"/>
          <w:sz w:val="24"/>
          <w14:textFill>
            <w14:solidFill>
              <w14:schemeClr w14:val="tx1"/>
            </w14:solidFill>
          </w14:textFill>
        </w:rPr>
        <w:t>与工作和工作成果有关的所有资料、文件</w:t>
      </w:r>
      <w:r>
        <w:rPr>
          <w:rFonts w:hint="eastAsia"/>
          <w:bCs/>
          <w:color w:val="000000" w:themeColor="text1"/>
          <w:sz w:val="24"/>
          <w14:textFill>
            <w14:solidFill>
              <w14:schemeClr w14:val="tx1"/>
            </w14:solidFill>
          </w14:textFill>
        </w:rPr>
        <w:t>及其包含的知识产权，包括因履行本合同产生的所有新的知识产权均</w:t>
      </w:r>
      <w:r>
        <w:rPr>
          <w:bCs/>
          <w:color w:val="000000" w:themeColor="text1"/>
          <w:sz w:val="24"/>
          <w14:textFill>
            <w14:solidFill>
              <w14:schemeClr w14:val="tx1"/>
            </w14:solidFill>
          </w14:textFill>
        </w:rPr>
        <w:t>为甲方所有，甲方享有全部权益，工作完成时应全部移交甲方，未经甲方允许，乙方不得使用和转让。</w:t>
      </w:r>
    </w:p>
    <w:p>
      <w:pPr>
        <w:widowControl/>
        <w:numPr>
          <w:ilvl w:val="0"/>
          <w:numId w:val="22"/>
        </w:numPr>
        <w:tabs>
          <w:tab w:val="left" w:pos="709"/>
        </w:tabs>
        <w:adjustRightInd w:val="0"/>
        <w:snapToGrid w:val="0"/>
        <w:spacing w:before="93" w:beforeLines="30" w:after="93" w:afterLines="30" w:line="360" w:lineRule="auto"/>
        <w:ind w:left="709" w:hanging="709"/>
        <w:rPr>
          <w:rFonts w:ascii="宋体" w:hAnsi="宋体"/>
          <w:color w:val="auto"/>
          <w:sz w:val="24"/>
          <w:highlight w:val="none"/>
        </w:rPr>
      </w:pPr>
      <w:r>
        <w:rPr>
          <w:rFonts w:hint="eastAsia" w:ascii="宋体" w:hAnsi="宋体"/>
          <w:color w:val="auto"/>
          <w:sz w:val="24"/>
          <w:highlight w:val="none"/>
        </w:rPr>
        <w:t>乙方无权因本条的适用而延长工作期限或调整合同总价。</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color w:val="auto"/>
          <w:szCs w:val="24"/>
          <w:highlight w:val="none"/>
        </w:rPr>
      </w:pPr>
      <w:bookmarkStart w:id="63" w:name="_Toc364839373"/>
      <w:bookmarkStart w:id="64" w:name="_Toc299915689"/>
      <w:r>
        <w:rPr>
          <w:rFonts w:hint="eastAsia" w:ascii="宋体" w:hAnsi="宋体"/>
          <w:b w:val="0"/>
          <w:color w:val="auto"/>
          <w:szCs w:val="24"/>
          <w:highlight w:val="none"/>
        </w:rPr>
        <w:t>违约责任</w:t>
      </w:r>
      <w:bookmarkEnd w:id="63"/>
      <w:bookmarkEnd w:id="64"/>
    </w:p>
    <w:p>
      <w:pPr>
        <w:numPr>
          <w:ilvl w:val="1"/>
          <w:numId w:val="23"/>
        </w:numPr>
        <w:tabs>
          <w:tab w:val="left" w:pos="709"/>
          <w:tab w:val="clear" w:pos="840"/>
        </w:tabs>
        <w:adjustRightInd w:val="0"/>
        <w:snapToGrid w:val="0"/>
        <w:spacing w:before="93" w:beforeLines="30" w:after="93" w:afterLines="30" w:line="360" w:lineRule="auto"/>
        <w:ind w:left="709" w:hanging="709"/>
        <w:rPr>
          <w:rFonts w:ascii="宋体" w:hAnsi="宋体"/>
          <w:color w:val="auto"/>
          <w:sz w:val="24"/>
          <w:highlight w:val="none"/>
        </w:rPr>
      </w:pPr>
      <w:r>
        <w:rPr>
          <w:rFonts w:ascii="宋体" w:hAnsi="宋体"/>
          <w:color w:val="auto"/>
          <w:sz w:val="24"/>
          <w:highlight w:val="none"/>
        </w:rPr>
        <w:t>乙方</w:t>
      </w:r>
      <w:r>
        <w:rPr>
          <w:rFonts w:hint="eastAsia" w:ascii="宋体" w:hAnsi="宋体"/>
          <w:color w:val="auto"/>
          <w:sz w:val="24"/>
          <w:highlight w:val="none"/>
        </w:rPr>
        <w:t>发生下列任一违约行为时</w:t>
      </w:r>
      <w:r>
        <w:rPr>
          <w:rFonts w:ascii="宋体" w:hAnsi="宋体"/>
          <w:color w:val="auto"/>
          <w:sz w:val="24"/>
          <w:highlight w:val="none"/>
        </w:rPr>
        <w:t>，应向甲方支付合同总价</w:t>
      </w:r>
      <w:r>
        <w:rPr>
          <w:rFonts w:ascii="宋体" w:hAnsi="宋体"/>
          <w:bCs/>
          <w:color w:val="auto"/>
          <w:sz w:val="24"/>
          <w:highlight w:val="none"/>
        </w:rPr>
        <w:t>【</w:t>
      </w:r>
      <w:r>
        <w:rPr>
          <w:rFonts w:hint="eastAsia" w:ascii="宋体" w:hAnsi="宋体"/>
          <w:bCs/>
          <w:color w:val="auto"/>
          <w:sz w:val="24"/>
          <w:highlight w:val="none"/>
        </w:rPr>
        <w:t>10%</w:t>
      </w:r>
      <w:r>
        <w:rPr>
          <w:rFonts w:ascii="宋体" w:hAnsi="宋体"/>
          <w:bCs/>
          <w:color w:val="auto"/>
          <w:sz w:val="24"/>
          <w:highlight w:val="none"/>
        </w:rPr>
        <w:t>】</w:t>
      </w:r>
      <w:r>
        <w:rPr>
          <w:rFonts w:ascii="宋体" w:hAnsi="宋体"/>
          <w:color w:val="auto"/>
          <w:sz w:val="24"/>
          <w:highlight w:val="none"/>
        </w:rPr>
        <w:t>的违约金，并赔偿甲方因</w:t>
      </w:r>
      <w:r>
        <w:rPr>
          <w:rFonts w:hint="eastAsia" w:ascii="宋体" w:hAnsi="宋体"/>
          <w:color w:val="auto"/>
          <w:sz w:val="24"/>
          <w:highlight w:val="none"/>
        </w:rPr>
        <w:t>此</w:t>
      </w:r>
      <w:r>
        <w:rPr>
          <w:rFonts w:ascii="宋体" w:hAnsi="宋体"/>
          <w:color w:val="auto"/>
          <w:sz w:val="24"/>
          <w:highlight w:val="none"/>
        </w:rPr>
        <w:t>遭受的</w:t>
      </w:r>
      <w:r>
        <w:rPr>
          <w:rFonts w:hint="eastAsia"/>
          <w:bCs/>
          <w:color w:val="auto"/>
          <w:sz w:val="24"/>
          <w:highlight w:val="none"/>
        </w:rPr>
        <w:t>超出违约金数额的</w:t>
      </w:r>
      <w:r>
        <w:rPr>
          <w:rFonts w:ascii="宋体" w:hAnsi="宋体"/>
          <w:color w:val="auto"/>
          <w:sz w:val="24"/>
          <w:highlight w:val="none"/>
        </w:rPr>
        <w:t>全部损失</w:t>
      </w:r>
      <w:r>
        <w:rPr>
          <w:rFonts w:hint="eastAsia" w:ascii="宋体" w:hAnsi="宋体"/>
          <w:color w:val="auto"/>
          <w:sz w:val="24"/>
          <w:highlight w:val="none"/>
        </w:rPr>
        <w:t>：</w:t>
      </w:r>
    </w:p>
    <w:p>
      <w:pPr>
        <w:numPr>
          <w:ilvl w:val="2"/>
          <w:numId w:val="24"/>
        </w:numPr>
        <w:tabs>
          <w:tab w:val="left" w:pos="1276"/>
        </w:tabs>
        <w:adjustRightInd w:val="0"/>
        <w:snapToGrid w:val="0"/>
        <w:spacing w:before="93" w:beforeLines="30" w:after="93" w:afterLines="30" w:line="360" w:lineRule="auto"/>
        <w:ind w:left="1276" w:hanging="567"/>
        <w:rPr>
          <w:rFonts w:ascii="宋体" w:hAnsi="宋体"/>
          <w:color w:val="auto"/>
          <w:sz w:val="24"/>
          <w:highlight w:val="none"/>
        </w:rPr>
      </w:pPr>
      <w:r>
        <w:rPr>
          <w:rFonts w:ascii="宋体" w:hAnsi="宋体"/>
          <w:color w:val="auto"/>
          <w:sz w:val="24"/>
          <w:highlight w:val="none"/>
        </w:rPr>
        <w:t>乙方提供的服务</w:t>
      </w:r>
      <w:r>
        <w:rPr>
          <w:rFonts w:hint="eastAsia" w:ascii="宋体" w:hAnsi="宋体"/>
          <w:color w:val="auto"/>
          <w:sz w:val="24"/>
          <w:highlight w:val="none"/>
        </w:rPr>
        <w:t>、工作成果</w:t>
      </w:r>
      <w:r>
        <w:rPr>
          <w:rFonts w:ascii="宋体" w:hAnsi="宋体"/>
          <w:color w:val="auto"/>
          <w:sz w:val="24"/>
          <w:highlight w:val="none"/>
        </w:rPr>
        <w:t>等</w:t>
      </w:r>
      <w:r>
        <w:rPr>
          <w:rFonts w:hint="eastAsia" w:ascii="宋体" w:hAnsi="宋体"/>
          <w:color w:val="auto"/>
          <w:sz w:val="24"/>
          <w:highlight w:val="none"/>
        </w:rPr>
        <w:t>不符合本</w:t>
      </w:r>
      <w:r>
        <w:rPr>
          <w:rFonts w:ascii="宋体" w:hAnsi="宋体"/>
          <w:color w:val="auto"/>
          <w:sz w:val="24"/>
          <w:highlight w:val="none"/>
        </w:rPr>
        <w:t>合同</w:t>
      </w:r>
      <w:r>
        <w:rPr>
          <w:rFonts w:hint="eastAsia" w:ascii="宋体" w:hAnsi="宋体"/>
          <w:color w:val="auto"/>
          <w:sz w:val="24"/>
          <w:highlight w:val="none"/>
        </w:rPr>
        <w:t>的</w:t>
      </w:r>
      <w:r>
        <w:rPr>
          <w:rFonts w:ascii="宋体" w:hAnsi="宋体"/>
          <w:color w:val="auto"/>
          <w:sz w:val="24"/>
          <w:highlight w:val="none"/>
        </w:rPr>
        <w:t>要求</w:t>
      </w:r>
      <w:r>
        <w:rPr>
          <w:rFonts w:hint="eastAsia" w:ascii="宋体" w:hAnsi="宋体"/>
          <w:color w:val="auto"/>
          <w:sz w:val="24"/>
          <w:highlight w:val="none"/>
        </w:rPr>
        <w:t>；</w:t>
      </w:r>
    </w:p>
    <w:p>
      <w:pPr>
        <w:numPr>
          <w:ilvl w:val="2"/>
          <w:numId w:val="24"/>
        </w:numPr>
        <w:tabs>
          <w:tab w:val="left" w:pos="1276"/>
        </w:tabs>
        <w:adjustRightInd w:val="0"/>
        <w:snapToGrid w:val="0"/>
        <w:spacing w:before="93" w:beforeLines="30" w:after="93" w:afterLines="30" w:line="360" w:lineRule="auto"/>
        <w:ind w:left="1276" w:hanging="567"/>
        <w:rPr>
          <w:rFonts w:ascii="宋体" w:hAnsi="宋体"/>
          <w:color w:val="auto"/>
          <w:sz w:val="24"/>
          <w:highlight w:val="none"/>
        </w:rPr>
      </w:pPr>
      <w:r>
        <w:rPr>
          <w:rFonts w:ascii="宋体" w:hAnsi="宋体"/>
          <w:color w:val="auto"/>
          <w:sz w:val="24"/>
          <w:highlight w:val="none"/>
        </w:rPr>
        <w:t>拒绝</w:t>
      </w:r>
      <w:r>
        <w:rPr>
          <w:rFonts w:hint="eastAsia" w:ascii="宋体" w:hAnsi="宋体"/>
          <w:color w:val="auto"/>
          <w:sz w:val="24"/>
          <w:highlight w:val="none"/>
        </w:rPr>
        <w:t>对不符合本合同要求的服务或工作成果进行修复、更换或调整；</w:t>
      </w:r>
    </w:p>
    <w:p>
      <w:pPr>
        <w:numPr>
          <w:ilvl w:val="2"/>
          <w:numId w:val="24"/>
        </w:numPr>
        <w:tabs>
          <w:tab w:val="left" w:pos="1276"/>
        </w:tabs>
        <w:adjustRightInd w:val="0"/>
        <w:snapToGrid w:val="0"/>
        <w:spacing w:before="93" w:beforeLines="30" w:after="93" w:afterLines="30" w:line="360" w:lineRule="auto"/>
        <w:ind w:left="1276" w:hanging="567"/>
        <w:rPr>
          <w:rFonts w:ascii="宋体" w:hAnsi="宋体"/>
          <w:sz w:val="24"/>
        </w:rPr>
      </w:pPr>
      <w:r>
        <w:rPr>
          <w:rFonts w:hint="eastAsia" w:ascii="宋体" w:hAnsi="宋体"/>
          <w:sz w:val="24"/>
        </w:rPr>
        <w:t>拒绝更换</w:t>
      </w:r>
      <w:r>
        <w:rPr>
          <w:rFonts w:ascii="宋体" w:hAnsi="宋体"/>
          <w:sz w:val="24"/>
        </w:rPr>
        <w:t>不</w:t>
      </w:r>
      <w:r>
        <w:rPr>
          <w:rFonts w:hint="eastAsia" w:ascii="宋体" w:hAnsi="宋体"/>
          <w:sz w:val="24"/>
        </w:rPr>
        <w:t>适格</w:t>
      </w:r>
      <w:r>
        <w:rPr>
          <w:rFonts w:ascii="宋体" w:hAnsi="宋体"/>
          <w:sz w:val="24"/>
        </w:rPr>
        <w:t>的</w:t>
      </w:r>
      <w:r>
        <w:rPr>
          <w:rFonts w:hint="eastAsia" w:ascii="宋体" w:hAnsi="宋体"/>
          <w:sz w:val="24"/>
        </w:rPr>
        <w:t>工作</w:t>
      </w:r>
      <w:r>
        <w:rPr>
          <w:rFonts w:ascii="宋体" w:hAnsi="宋体"/>
          <w:sz w:val="24"/>
        </w:rPr>
        <w:t>人员</w:t>
      </w:r>
      <w:r>
        <w:rPr>
          <w:rFonts w:hint="eastAsia" w:ascii="宋体" w:hAnsi="宋体"/>
          <w:sz w:val="24"/>
        </w:rPr>
        <w:t>；</w:t>
      </w:r>
    </w:p>
    <w:p>
      <w:pPr>
        <w:numPr>
          <w:ilvl w:val="2"/>
          <w:numId w:val="24"/>
        </w:numPr>
        <w:tabs>
          <w:tab w:val="left" w:pos="1276"/>
        </w:tabs>
        <w:adjustRightInd w:val="0"/>
        <w:snapToGrid w:val="0"/>
        <w:spacing w:before="93" w:beforeLines="30" w:after="93" w:afterLines="30" w:line="360" w:lineRule="auto"/>
        <w:ind w:left="1276" w:hanging="567"/>
        <w:rPr>
          <w:rFonts w:ascii="宋体" w:hAnsi="宋体"/>
          <w:sz w:val="24"/>
        </w:rPr>
      </w:pPr>
      <w:r>
        <w:rPr>
          <w:rFonts w:hint="eastAsia" w:ascii="宋体" w:hAnsi="宋体"/>
          <w:sz w:val="24"/>
        </w:rPr>
        <w:t>未经甲方许可，擅自更换其关键工作人员；</w:t>
      </w:r>
    </w:p>
    <w:p>
      <w:pPr>
        <w:numPr>
          <w:ilvl w:val="2"/>
          <w:numId w:val="24"/>
        </w:numPr>
        <w:tabs>
          <w:tab w:val="left" w:pos="1276"/>
        </w:tabs>
        <w:adjustRightInd w:val="0"/>
        <w:snapToGrid w:val="0"/>
        <w:spacing w:before="93" w:beforeLines="30" w:after="93" w:afterLines="30" w:line="360" w:lineRule="auto"/>
        <w:ind w:left="1276" w:hanging="567"/>
        <w:rPr>
          <w:rFonts w:ascii="宋体" w:hAnsi="宋体"/>
          <w:sz w:val="24"/>
        </w:rPr>
      </w:pPr>
      <w:r>
        <w:rPr>
          <w:rFonts w:hint="eastAsia" w:ascii="宋体" w:hAnsi="宋体"/>
          <w:sz w:val="24"/>
        </w:rPr>
        <w:t>未经甲方同意擅自进行分包；</w:t>
      </w:r>
    </w:p>
    <w:p>
      <w:pPr>
        <w:numPr>
          <w:ilvl w:val="2"/>
          <w:numId w:val="24"/>
        </w:numPr>
        <w:tabs>
          <w:tab w:val="left" w:pos="1276"/>
        </w:tabs>
        <w:adjustRightInd w:val="0"/>
        <w:snapToGrid w:val="0"/>
        <w:spacing w:before="93" w:beforeLines="30" w:after="93" w:afterLines="30" w:line="360" w:lineRule="auto"/>
        <w:ind w:left="1276" w:hanging="567"/>
        <w:rPr>
          <w:rFonts w:ascii="宋体" w:hAnsi="宋体"/>
          <w:sz w:val="24"/>
        </w:rPr>
      </w:pPr>
      <w:r>
        <w:rPr>
          <w:rFonts w:hint="eastAsia" w:ascii="宋体" w:hAnsi="宋体"/>
          <w:sz w:val="24"/>
        </w:rPr>
        <w:t>转包；</w:t>
      </w:r>
    </w:p>
    <w:p>
      <w:pPr>
        <w:numPr>
          <w:ilvl w:val="2"/>
          <w:numId w:val="24"/>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不遵守甲方关于健康、安全和环保</w:t>
      </w:r>
      <w:r>
        <w:rPr>
          <w:rFonts w:hint="eastAsia" w:ascii="宋体" w:hAnsi="宋体"/>
          <w:sz w:val="24"/>
        </w:rPr>
        <w:t>的</w:t>
      </w:r>
      <w:r>
        <w:rPr>
          <w:rFonts w:ascii="宋体" w:hAnsi="宋体"/>
          <w:sz w:val="24"/>
        </w:rPr>
        <w:t>规定</w:t>
      </w:r>
      <w:r>
        <w:rPr>
          <w:rFonts w:hint="eastAsia" w:ascii="宋体" w:hAnsi="宋体"/>
          <w:sz w:val="24"/>
        </w:rPr>
        <w:t>；</w:t>
      </w:r>
    </w:p>
    <w:p>
      <w:pPr>
        <w:numPr>
          <w:ilvl w:val="2"/>
          <w:numId w:val="24"/>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乙方或其雇员对甲方实施欺诈行为</w:t>
      </w:r>
      <w:r>
        <w:rPr>
          <w:rFonts w:hint="eastAsia" w:ascii="宋体" w:hAnsi="宋体"/>
          <w:sz w:val="24"/>
        </w:rPr>
        <w:t>；</w:t>
      </w:r>
    </w:p>
    <w:p>
      <w:pPr>
        <w:numPr>
          <w:ilvl w:val="2"/>
          <w:numId w:val="24"/>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乙方或其雇员的行为损害了甲方的利益</w:t>
      </w:r>
      <w:r>
        <w:rPr>
          <w:rFonts w:hint="eastAsia" w:ascii="宋体" w:hAnsi="宋体"/>
          <w:sz w:val="24"/>
        </w:rPr>
        <w:t>或</w:t>
      </w:r>
      <w:r>
        <w:rPr>
          <w:rFonts w:ascii="宋体" w:hAnsi="宋体"/>
          <w:sz w:val="24"/>
        </w:rPr>
        <w:t>声誉</w:t>
      </w:r>
      <w:r>
        <w:rPr>
          <w:rFonts w:hint="eastAsia" w:ascii="宋体" w:hAnsi="宋体"/>
          <w:sz w:val="24"/>
        </w:rPr>
        <w:t>；</w:t>
      </w:r>
    </w:p>
    <w:p>
      <w:pPr>
        <w:numPr>
          <w:ilvl w:val="2"/>
          <w:numId w:val="24"/>
        </w:numPr>
        <w:tabs>
          <w:tab w:val="left" w:pos="1276"/>
        </w:tabs>
        <w:adjustRightInd w:val="0"/>
        <w:snapToGrid w:val="0"/>
        <w:spacing w:before="93" w:beforeLines="30" w:after="93" w:afterLines="30" w:line="360" w:lineRule="auto"/>
        <w:ind w:left="1276" w:hanging="567"/>
        <w:rPr>
          <w:rFonts w:ascii="宋体" w:hAnsi="宋体"/>
          <w:sz w:val="24"/>
        </w:rPr>
      </w:pPr>
      <w:r>
        <w:rPr>
          <w:rFonts w:hint="eastAsia" w:ascii="宋体" w:hAnsi="宋体"/>
          <w:sz w:val="24"/>
        </w:rPr>
        <w:t>乙方违反第11.1条约定的权利保证</w:t>
      </w:r>
      <w:r>
        <w:rPr>
          <w:rFonts w:ascii="宋体" w:hAnsi="宋体"/>
          <w:sz w:val="24"/>
        </w:rPr>
        <w:t>。</w:t>
      </w:r>
    </w:p>
    <w:p>
      <w:pPr>
        <w:numPr>
          <w:ilvl w:val="1"/>
          <w:numId w:val="23"/>
        </w:numPr>
        <w:tabs>
          <w:tab w:val="left" w:pos="709"/>
          <w:tab w:val="clear" w:pos="840"/>
        </w:tabs>
        <w:adjustRightInd w:val="0"/>
        <w:snapToGrid w:val="0"/>
        <w:spacing w:before="93" w:beforeLines="30" w:after="93" w:afterLines="30" w:line="360" w:lineRule="auto"/>
        <w:ind w:left="709" w:hanging="709"/>
        <w:rPr>
          <w:rFonts w:ascii="宋体" w:hAnsi="宋体"/>
          <w:sz w:val="24"/>
          <w:highlight w:val="none"/>
        </w:rPr>
      </w:pPr>
      <w:r>
        <w:rPr>
          <w:rFonts w:ascii="宋体" w:hAnsi="宋体"/>
          <w:sz w:val="24"/>
          <w:highlight w:val="none"/>
        </w:rPr>
        <w:t>就乙方的上述违约行为</w:t>
      </w:r>
      <w:r>
        <w:rPr>
          <w:rFonts w:hint="eastAsia" w:ascii="宋体" w:hAnsi="宋体"/>
          <w:sz w:val="24"/>
          <w:highlight w:val="none"/>
        </w:rPr>
        <w:t>，甲方除有权依据本合同第</w:t>
      </w:r>
      <w:r>
        <w:rPr>
          <w:sz w:val="24"/>
          <w:highlight w:val="none"/>
        </w:rPr>
        <w:t>12.1</w:t>
      </w:r>
      <w:r>
        <w:rPr>
          <w:rFonts w:hint="eastAsia" w:ascii="宋体" w:hAnsi="宋体"/>
          <w:sz w:val="24"/>
          <w:highlight w:val="none"/>
        </w:rPr>
        <w:t>款要求乙方承担违约责任外，有权</w:t>
      </w:r>
      <w:r>
        <w:rPr>
          <w:rFonts w:ascii="宋体" w:hAnsi="宋体"/>
          <w:sz w:val="24"/>
          <w:highlight w:val="none"/>
        </w:rPr>
        <w:t>向乙方出具书面通知，要求乙方进行更正或整改</w:t>
      </w:r>
      <w:r>
        <w:rPr>
          <w:rFonts w:hint="eastAsia" w:ascii="宋体" w:hAnsi="宋体"/>
          <w:sz w:val="24"/>
          <w:highlight w:val="none"/>
        </w:rPr>
        <w:t>。如</w:t>
      </w:r>
      <w:r>
        <w:rPr>
          <w:rFonts w:ascii="宋体" w:hAnsi="宋体"/>
          <w:sz w:val="24"/>
          <w:highlight w:val="none"/>
        </w:rPr>
        <w:t>乙方</w:t>
      </w:r>
      <w:r>
        <w:rPr>
          <w:rFonts w:hint="eastAsia" w:ascii="宋体" w:hAnsi="宋体"/>
          <w:sz w:val="24"/>
          <w:highlight w:val="none"/>
        </w:rPr>
        <w:t>收到该等通知后【</w:t>
      </w:r>
      <w:r>
        <w:rPr>
          <w:rFonts w:hint="eastAsia"/>
          <w:sz w:val="24"/>
          <w:highlight w:val="none"/>
        </w:rPr>
        <w:t>十（</w:t>
      </w:r>
      <w:r>
        <w:rPr>
          <w:sz w:val="24"/>
          <w:highlight w:val="none"/>
        </w:rPr>
        <w:t>10</w:t>
      </w:r>
      <w:r>
        <w:rPr>
          <w:rFonts w:hint="eastAsia"/>
          <w:sz w:val="24"/>
          <w:highlight w:val="none"/>
        </w:rPr>
        <w:t>）</w:t>
      </w:r>
      <w:r>
        <w:rPr>
          <w:rFonts w:hint="eastAsia" w:ascii="宋体" w:hAnsi="宋体"/>
          <w:sz w:val="24"/>
          <w:highlight w:val="none"/>
        </w:rPr>
        <w:t>】</w:t>
      </w:r>
      <w:r>
        <w:rPr>
          <w:rFonts w:ascii="宋体" w:hAnsi="宋体"/>
          <w:sz w:val="24"/>
          <w:highlight w:val="none"/>
        </w:rPr>
        <w:t>个工作日内未按照甲方要求</w:t>
      </w:r>
      <w:r>
        <w:rPr>
          <w:rFonts w:hint="eastAsia" w:ascii="宋体" w:hAnsi="宋体"/>
          <w:sz w:val="24"/>
          <w:highlight w:val="none"/>
        </w:rPr>
        <w:t>作出</w:t>
      </w:r>
      <w:r>
        <w:rPr>
          <w:rFonts w:ascii="宋体" w:hAnsi="宋体"/>
          <w:sz w:val="24"/>
          <w:highlight w:val="none"/>
        </w:rPr>
        <w:t>更正或进行整改的，甲方有权立即</w:t>
      </w:r>
      <w:r>
        <w:rPr>
          <w:rFonts w:hint="eastAsia" w:ascii="宋体" w:hAnsi="宋体"/>
          <w:sz w:val="24"/>
          <w:highlight w:val="none"/>
        </w:rPr>
        <w:t>解除</w:t>
      </w:r>
      <w:r>
        <w:rPr>
          <w:rFonts w:ascii="宋体" w:hAnsi="宋体"/>
          <w:sz w:val="24"/>
          <w:highlight w:val="none"/>
        </w:rPr>
        <w:t>本合同，乙方应赔偿甲方</w:t>
      </w:r>
      <w:r>
        <w:rPr>
          <w:rFonts w:hint="eastAsia" w:ascii="宋体" w:hAnsi="宋体"/>
          <w:sz w:val="24"/>
          <w:highlight w:val="none"/>
        </w:rPr>
        <w:t>因此</w:t>
      </w:r>
      <w:r>
        <w:rPr>
          <w:rFonts w:ascii="宋体" w:hAnsi="宋体"/>
          <w:sz w:val="24"/>
          <w:highlight w:val="none"/>
        </w:rPr>
        <w:t>而遭受的</w:t>
      </w:r>
      <w:r>
        <w:rPr>
          <w:rFonts w:hint="eastAsia"/>
          <w:bCs/>
          <w:sz w:val="24"/>
          <w:highlight w:val="none"/>
        </w:rPr>
        <w:t>超出违约金数额的</w:t>
      </w:r>
      <w:r>
        <w:rPr>
          <w:rFonts w:ascii="宋体" w:hAnsi="宋体"/>
          <w:sz w:val="24"/>
          <w:highlight w:val="none"/>
        </w:rPr>
        <w:t>全部损失。</w:t>
      </w:r>
    </w:p>
    <w:p>
      <w:pPr>
        <w:numPr>
          <w:ilvl w:val="1"/>
          <w:numId w:val="23"/>
        </w:numPr>
        <w:tabs>
          <w:tab w:val="left" w:pos="709"/>
          <w:tab w:val="clear" w:pos="840"/>
        </w:tabs>
        <w:adjustRightInd w:val="0"/>
        <w:snapToGrid w:val="0"/>
        <w:spacing w:before="93" w:beforeLines="30" w:after="93" w:afterLines="30" w:line="360" w:lineRule="auto"/>
        <w:ind w:left="709" w:hanging="709"/>
        <w:rPr>
          <w:rFonts w:ascii="宋体" w:hAnsi="宋体"/>
          <w:sz w:val="24"/>
          <w:highlight w:val="none"/>
        </w:rPr>
      </w:pPr>
      <w:r>
        <w:rPr>
          <w:rFonts w:hint="eastAsia" w:ascii="宋体" w:hAnsi="宋体"/>
          <w:sz w:val="24"/>
          <w:highlight w:val="none"/>
        </w:rPr>
        <w:t>如乙方未能在合同规定的工作期限内完成全部工作，每延期一日，乙方应向甲方支付合同总价的</w:t>
      </w:r>
      <w:r>
        <w:rPr>
          <w:rFonts w:ascii="宋体" w:hAnsi="宋体"/>
          <w:bCs/>
          <w:sz w:val="24"/>
          <w:highlight w:val="none"/>
        </w:rPr>
        <w:t>【</w:t>
      </w:r>
      <w:r>
        <w:rPr>
          <w:rFonts w:hint="eastAsia" w:ascii="宋体" w:hAnsi="宋体"/>
          <w:bCs/>
          <w:sz w:val="24"/>
          <w:highlight w:val="none"/>
        </w:rPr>
        <w:t>1‰</w:t>
      </w:r>
      <w:r>
        <w:rPr>
          <w:rFonts w:ascii="宋体" w:hAnsi="宋体"/>
          <w:bCs/>
          <w:sz w:val="24"/>
          <w:highlight w:val="none"/>
        </w:rPr>
        <w:t>】</w:t>
      </w:r>
      <w:r>
        <w:rPr>
          <w:rFonts w:hint="eastAsia" w:ascii="宋体" w:hAnsi="宋体"/>
          <w:sz w:val="24"/>
          <w:highlight w:val="none"/>
        </w:rPr>
        <w:t>作为延期违约金。如延期超过</w:t>
      </w:r>
      <w:r>
        <w:rPr>
          <w:rFonts w:ascii="宋体" w:hAnsi="宋体"/>
          <w:bCs/>
          <w:sz w:val="24"/>
          <w:highlight w:val="none"/>
        </w:rPr>
        <w:t>【</w:t>
      </w:r>
      <w:r>
        <w:rPr>
          <w:rFonts w:hint="eastAsia" w:ascii="宋体" w:hAnsi="宋体"/>
          <w:bCs/>
          <w:sz w:val="24"/>
          <w:highlight w:val="none"/>
        </w:rPr>
        <w:t>10</w:t>
      </w:r>
      <w:r>
        <w:rPr>
          <w:rFonts w:ascii="宋体" w:hAnsi="宋体"/>
          <w:bCs/>
          <w:sz w:val="24"/>
          <w:highlight w:val="none"/>
        </w:rPr>
        <w:t>】</w:t>
      </w:r>
      <w:r>
        <w:rPr>
          <w:rFonts w:hint="eastAsia" w:ascii="宋体" w:hAnsi="宋体"/>
          <w:sz w:val="24"/>
          <w:highlight w:val="none"/>
        </w:rPr>
        <w:t>日，除要求乙方支付违约金外，甲方有权解除本合同，并有权要求乙方赔偿甲方因此遭受的</w:t>
      </w:r>
      <w:r>
        <w:rPr>
          <w:rFonts w:hint="eastAsia"/>
          <w:bCs/>
          <w:sz w:val="24"/>
          <w:highlight w:val="none"/>
        </w:rPr>
        <w:t>超出违约金数额的</w:t>
      </w:r>
      <w:r>
        <w:rPr>
          <w:rFonts w:hint="eastAsia" w:ascii="宋体" w:hAnsi="宋体"/>
          <w:sz w:val="24"/>
          <w:highlight w:val="none"/>
        </w:rPr>
        <w:t>全部损失。</w:t>
      </w:r>
    </w:p>
    <w:p>
      <w:pPr>
        <w:numPr>
          <w:ilvl w:val="1"/>
          <w:numId w:val="23"/>
        </w:numPr>
        <w:tabs>
          <w:tab w:val="left" w:pos="709"/>
          <w:tab w:val="clear" w:pos="840"/>
        </w:tabs>
        <w:adjustRightInd w:val="0"/>
        <w:snapToGrid w:val="0"/>
        <w:spacing w:before="93" w:beforeLines="30" w:after="93" w:afterLines="30" w:line="360" w:lineRule="auto"/>
        <w:ind w:left="709" w:hanging="709"/>
        <w:rPr>
          <w:rFonts w:ascii="宋体" w:hAnsi="宋体"/>
          <w:sz w:val="24"/>
          <w:highlight w:val="none"/>
        </w:rPr>
      </w:pPr>
      <w:r>
        <w:rPr>
          <w:rFonts w:ascii="宋体" w:hAnsi="宋体"/>
          <w:sz w:val="24"/>
          <w:highlight w:val="none"/>
        </w:rPr>
        <w:t>乙方根据本合同的</w:t>
      </w:r>
      <w:r>
        <w:rPr>
          <w:rFonts w:hint="eastAsia" w:ascii="宋体" w:hAnsi="宋体"/>
          <w:sz w:val="24"/>
          <w:highlight w:val="none"/>
        </w:rPr>
        <w:t>约</w:t>
      </w:r>
      <w:r>
        <w:rPr>
          <w:rFonts w:ascii="宋体" w:hAnsi="宋体"/>
          <w:sz w:val="24"/>
          <w:highlight w:val="none"/>
        </w:rPr>
        <w:t>定应承担违约金或赔偿责任的，甲方有权从合同</w:t>
      </w:r>
      <w:r>
        <w:rPr>
          <w:rFonts w:hint="eastAsia" w:ascii="宋体" w:hAnsi="宋体"/>
          <w:sz w:val="24"/>
          <w:highlight w:val="none"/>
        </w:rPr>
        <w:t>总价</w:t>
      </w:r>
      <w:r>
        <w:rPr>
          <w:rFonts w:ascii="宋体" w:hAnsi="宋体"/>
          <w:sz w:val="24"/>
          <w:highlight w:val="none"/>
        </w:rPr>
        <w:t>余额</w:t>
      </w:r>
      <w:r>
        <w:rPr>
          <w:rFonts w:hint="eastAsia" w:ascii="宋体" w:hAnsi="宋体"/>
          <w:sz w:val="24"/>
          <w:highlight w:val="none"/>
        </w:rPr>
        <w:t>中直接扣除</w:t>
      </w:r>
      <w:r>
        <w:rPr>
          <w:rFonts w:ascii="宋体" w:hAnsi="宋体"/>
          <w:sz w:val="24"/>
          <w:highlight w:val="none"/>
        </w:rPr>
        <w:t>。</w:t>
      </w:r>
    </w:p>
    <w:p>
      <w:pPr>
        <w:numPr>
          <w:ilvl w:val="1"/>
          <w:numId w:val="23"/>
        </w:numPr>
        <w:tabs>
          <w:tab w:val="left" w:pos="709"/>
          <w:tab w:val="clear" w:pos="840"/>
        </w:tabs>
        <w:adjustRightInd w:val="0"/>
        <w:snapToGrid w:val="0"/>
        <w:spacing w:before="93" w:beforeLines="30" w:after="93" w:afterLines="30" w:line="360" w:lineRule="auto"/>
        <w:ind w:left="709" w:hanging="709"/>
        <w:rPr>
          <w:rFonts w:ascii="宋体" w:hAnsi="宋体"/>
          <w:sz w:val="24"/>
          <w:highlight w:val="none"/>
        </w:rPr>
      </w:pPr>
      <w:r>
        <w:rPr>
          <w:rFonts w:hint="eastAsia" w:ascii="宋体" w:hAnsi="宋体"/>
          <w:sz w:val="24"/>
          <w:highlight w:val="none"/>
        </w:rPr>
        <w:t>如仅因甲方原因，甲方逾期向乙方付款，乙方应向甲方发出书面催款通知，甲方应在收到该等通知后【三十（30）】日内付款，否则，即应自该等【三十（30）】日期间结束之日起，按合同订立时1年期贷款市场报价利率计</w:t>
      </w:r>
      <w:r>
        <w:rPr>
          <w:rFonts w:hint="eastAsia" w:ascii="宋体" w:hAnsi="宋体"/>
          <w:sz w:val="24"/>
        </w:rPr>
        <w:t>算并支付应付未付合同价款的利息，最高不超过相关应付未付合同价款的</w:t>
      </w:r>
      <w:r>
        <w:rPr>
          <w:rFonts w:hint="eastAsia" w:ascii="宋体" w:hAnsi="宋体"/>
          <w:sz w:val="24"/>
          <w:highlight w:val="none"/>
        </w:rPr>
        <w:t>【百分之十（10%）】。双方同意，该等利息的支付是甲方就未能如期支付相关合同价款所需承担的全部责任。</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highlight w:val="none"/>
        </w:rPr>
      </w:pPr>
      <w:bookmarkStart w:id="65" w:name="_Toc364839374"/>
      <w:bookmarkStart w:id="66" w:name="_Toc299915694"/>
      <w:bookmarkStart w:id="67" w:name="_Toc299912679"/>
      <w:r>
        <w:rPr>
          <w:rFonts w:ascii="宋体" w:hAnsi="宋体"/>
          <w:b w:val="0"/>
          <w:szCs w:val="24"/>
          <w:highlight w:val="none"/>
        </w:rPr>
        <w:t>合同</w:t>
      </w:r>
      <w:bookmarkStart w:id="68" w:name="OLE_LINK3"/>
      <w:r>
        <w:rPr>
          <w:rFonts w:hint="eastAsia" w:ascii="宋体" w:hAnsi="宋体"/>
          <w:b w:val="0"/>
          <w:szCs w:val="24"/>
          <w:highlight w:val="none"/>
        </w:rPr>
        <w:t>的解除和</w:t>
      </w:r>
      <w:r>
        <w:rPr>
          <w:rFonts w:ascii="宋体" w:hAnsi="宋体"/>
          <w:b w:val="0"/>
          <w:szCs w:val="24"/>
          <w:highlight w:val="none"/>
        </w:rPr>
        <w:t>终</w:t>
      </w:r>
      <w:bookmarkEnd w:id="68"/>
      <w:r>
        <w:rPr>
          <w:rFonts w:ascii="宋体" w:hAnsi="宋体"/>
          <w:b w:val="0"/>
          <w:szCs w:val="24"/>
          <w:highlight w:val="none"/>
        </w:rPr>
        <w:t>止</w:t>
      </w:r>
      <w:bookmarkEnd w:id="65"/>
      <w:bookmarkEnd w:id="66"/>
      <w:bookmarkEnd w:id="67"/>
    </w:p>
    <w:p>
      <w:pPr>
        <w:numPr>
          <w:ilvl w:val="0"/>
          <w:numId w:val="25"/>
        </w:numPr>
        <w:tabs>
          <w:tab w:val="left" w:pos="709"/>
          <w:tab w:val="clear" w:pos="1260"/>
        </w:tabs>
        <w:autoSpaceDE w:val="0"/>
        <w:autoSpaceDN w:val="0"/>
        <w:adjustRightInd w:val="0"/>
        <w:snapToGrid w:val="0"/>
        <w:spacing w:before="93" w:beforeLines="30" w:after="93" w:afterLines="30" w:line="360" w:lineRule="auto"/>
        <w:ind w:left="709" w:hanging="709"/>
        <w:rPr>
          <w:rFonts w:ascii="宋体" w:hAnsi="宋体"/>
          <w:kern w:val="0"/>
          <w:sz w:val="24"/>
          <w:highlight w:val="none"/>
        </w:rPr>
      </w:pPr>
      <w:r>
        <w:rPr>
          <w:rFonts w:hint="eastAsia" w:ascii="宋体" w:hAnsi="宋体"/>
          <w:kern w:val="0"/>
          <w:sz w:val="24"/>
          <w:highlight w:val="none"/>
        </w:rPr>
        <w:t>如发生以下任一情形，经书面通知乙方，甲方有权解除本合同：</w:t>
      </w:r>
    </w:p>
    <w:p>
      <w:pPr>
        <w:widowControl/>
        <w:numPr>
          <w:ilvl w:val="0"/>
          <w:numId w:val="26"/>
        </w:numPr>
        <w:adjustRightInd w:val="0"/>
        <w:snapToGrid w:val="0"/>
        <w:spacing w:before="93" w:beforeLines="30" w:after="93" w:afterLines="30" w:line="360" w:lineRule="auto"/>
        <w:ind w:left="1276" w:hanging="567"/>
        <w:jc w:val="left"/>
        <w:rPr>
          <w:rFonts w:ascii="宋体" w:hAnsi="宋体"/>
          <w:sz w:val="24"/>
          <w:highlight w:val="none"/>
        </w:rPr>
      </w:pPr>
      <w:r>
        <w:rPr>
          <w:rFonts w:hint="eastAsia" w:ascii="宋体" w:hAnsi="宋体"/>
          <w:sz w:val="24"/>
          <w:highlight w:val="none"/>
        </w:rPr>
        <w:t>本合同明确规定甲方有权解除合同的情形；</w:t>
      </w:r>
    </w:p>
    <w:p>
      <w:pPr>
        <w:widowControl/>
        <w:numPr>
          <w:ilvl w:val="0"/>
          <w:numId w:val="26"/>
        </w:numPr>
        <w:adjustRightInd w:val="0"/>
        <w:snapToGrid w:val="0"/>
        <w:spacing w:before="93" w:beforeLines="30" w:after="93" w:afterLines="30" w:line="360" w:lineRule="auto"/>
        <w:ind w:left="1276" w:hanging="567"/>
        <w:jc w:val="left"/>
        <w:rPr>
          <w:rFonts w:ascii="宋体" w:hAnsi="宋体"/>
          <w:sz w:val="24"/>
          <w:highlight w:val="none"/>
        </w:rPr>
      </w:pPr>
      <w:r>
        <w:rPr>
          <w:rFonts w:ascii="宋体" w:hAnsi="宋体"/>
          <w:sz w:val="24"/>
          <w:highlight w:val="none"/>
        </w:rPr>
        <w:t>乙方破产、资不抵债、停业清理、解散、被兼并、被查封</w:t>
      </w:r>
      <w:r>
        <w:rPr>
          <w:rFonts w:hint="eastAsia" w:ascii="宋体" w:hAnsi="宋体"/>
          <w:sz w:val="24"/>
          <w:highlight w:val="none"/>
        </w:rPr>
        <w:t>；</w:t>
      </w:r>
    </w:p>
    <w:p>
      <w:pPr>
        <w:widowControl/>
        <w:numPr>
          <w:ilvl w:val="0"/>
          <w:numId w:val="26"/>
        </w:numPr>
        <w:adjustRightInd w:val="0"/>
        <w:snapToGrid w:val="0"/>
        <w:spacing w:before="93" w:beforeLines="30" w:after="93" w:afterLines="30" w:line="360" w:lineRule="auto"/>
        <w:ind w:left="1276" w:hanging="567"/>
        <w:jc w:val="left"/>
        <w:rPr>
          <w:rFonts w:ascii="宋体" w:hAnsi="宋体"/>
          <w:sz w:val="24"/>
          <w:highlight w:val="none"/>
        </w:rPr>
      </w:pPr>
      <w:r>
        <w:rPr>
          <w:rFonts w:ascii="宋体" w:hAnsi="宋体"/>
          <w:sz w:val="24"/>
          <w:highlight w:val="none"/>
        </w:rPr>
        <w:t>乙方</w:t>
      </w:r>
      <w:r>
        <w:rPr>
          <w:rFonts w:hint="eastAsia" w:ascii="宋体" w:hAnsi="宋体"/>
          <w:sz w:val="24"/>
          <w:highlight w:val="none"/>
        </w:rPr>
        <w:t>有其它严重违约行为</w:t>
      </w:r>
      <w:r>
        <w:rPr>
          <w:rFonts w:ascii="宋体" w:hAnsi="宋体"/>
          <w:sz w:val="24"/>
          <w:highlight w:val="none"/>
        </w:rPr>
        <w:t>，</w:t>
      </w:r>
      <w:r>
        <w:rPr>
          <w:rFonts w:hint="eastAsia" w:ascii="宋体" w:hAnsi="宋体"/>
          <w:sz w:val="24"/>
          <w:highlight w:val="none"/>
        </w:rPr>
        <w:t>且未在甲方要求的合理期限内纠正；</w:t>
      </w:r>
    </w:p>
    <w:p>
      <w:pPr>
        <w:widowControl/>
        <w:numPr>
          <w:ilvl w:val="0"/>
          <w:numId w:val="26"/>
        </w:numPr>
        <w:adjustRightInd w:val="0"/>
        <w:snapToGrid w:val="0"/>
        <w:spacing w:before="93" w:beforeLines="30" w:after="93" w:afterLines="30" w:line="360" w:lineRule="auto"/>
        <w:ind w:left="1276" w:hanging="567"/>
        <w:jc w:val="left"/>
        <w:rPr>
          <w:rFonts w:ascii="宋体" w:hAnsi="宋体"/>
          <w:sz w:val="24"/>
          <w:highlight w:val="none"/>
        </w:rPr>
      </w:pPr>
      <w:r>
        <w:rPr>
          <w:rFonts w:hint="eastAsia" w:ascii="宋体" w:hAnsi="宋体"/>
          <w:sz w:val="24"/>
          <w:highlight w:val="none"/>
        </w:rPr>
        <w:t>不可抗力</w:t>
      </w:r>
      <w:r>
        <w:rPr>
          <w:rFonts w:ascii="宋体" w:hAnsi="宋体"/>
          <w:sz w:val="24"/>
          <w:highlight w:val="none"/>
        </w:rPr>
        <w:t>持续超过【</w:t>
      </w:r>
      <w:r>
        <w:rPr>
          <w:rFonts w:hint="eastAsia" w:ascii="宋体" w:hAnsi="宋体"/>
          <w:sz w:val="24"/>
          <w:highlight w:val="none"/>
        </w:rPr>
        <w:t>六十（</w:t>
      </w:r>
      <w:r>
        <w:rPr>
          <w:rFonts w:ascii="宋体" w:hAnsi="宋体"/>
          <w:sz w:val="24"/>
          <w:highlight w:val="none"/>
        </w:rPr>
        <w:t>6</w:t>
      </w:r>
      <w:r>
        <w:rPr>
          <w:rFonts w:hint="eastAsia" w:ascii="宋体" w:hAnsi="宋体"/>
          <w:sz w:val="24"/>
          <w:highlight w:val="none"/>
        </w:rPr>
        <w:t>0）</w:t>
      </w:r>
      <w:r>
        <w:rPr>
          <w:rFonts w:ascii="宋体" w:hAnsi="宋体"/>
          <w:sz w:val="24"/>
          <w:highlight w:val="none"/>
        </w:rPr>
        <w:t>】</w:t>
      </w:r>
      <w:r>
        <w:rPr>
          <w:rFonts w:hint="eastAsia" w:ascii="宋体" w:hAnsi="宋体"/>
          <w:sz w:val="24"/>
          <w:highlight w:val="none"/>
        </w:rPr>
        <w:t>日。</w:t>
      </w:r>
    </w:p>
    <w:p>
      <w:pPr>
        <w:numPr>
          <w:ilvl w:val="0"/>
          <w:numId w:val="25"/>
        </w:numPr>
        <w:tabs>
          <w:tab w:val="left" w:pos="709"/>
          <w:tab w:val="clear" w:pos="1260"/>
        </w:tabs>
        <w:autoSpaceDE w:val="0"/>
        <w:autoSpaceDN w:val="0"/>
        <w:adjustRightInd w:val="0"/>
        <w:snapToGrid w:val="0"/>
        <w:spacing w:before="93" w:beforeLines="30" w:after="93" w:afterLines="30" w:line="360" w:lineRule="auto"/>
        <w:ind w:left="709" w:hanging="709"/>
        <w:rPr>
          <w:rFonts w:ascii="宋体" w:hAnsi="宋体"/>
          <w:sz w:val="24"/>
          <w:highlight w:val="none"/>
        </w:rPr>
      </w:pPr>
      <w:r>
        <w:rPr>
          <w:rFonts w:hint="eastAsia" w:ascii="宋体" w:hAnsi="宋体"/>
          <w:sz w:val="24"/>
          <w:highlight w:val="none"/>
        </w:rPr>
        <w:t>如因乙方违约甲方解除本合同的，乙</w:t>
      </w:r>
      <w:r>
        <w:rPr>
          <w:rFonts w:ascii="宋体" w:hAnsi="宋体"/>
          <w:sz w:val="24"/>
          <w:highlight w:val="none"/>
        </w:rPr>
        <w:t>方应退回甲方已经支付的</w:t>
      </w:r>
      <w:r>
        <w:rPr>
          <w:rFonts w:hint="eastAsia" w:ascii="宋体" w:hAnsi="宋体"/>
          <w:sz w:val="24"/>
          <w:highlight w:val="none"/>
        </w:rPr>
        <w:t>全部款项，并根据本合同约定支付违约金，并且甲方有权要求乙方赔偿其因此遭受的</w:t>
      </w:r>
      <w:r>
        <w:rPr>
          <w:rFonts w:hint="eastAsia"/>
          <w:bCs/>
          <w:sz w:val="24"/>
          <w:highlight w:val="none"/>
        </w:rPr>
        <w:t>超出违约金数额的</w:t>
      </w:r>
      <w:r>
        <w:rPr>
          <w:rFonts w:hint="eastAsia" w:ascii="宋体" w:hAnsi="宋体"/>
          <w:sz w:val="24"/>
          <w:highlight w:val="none"/>
        </w:rPr>
        <w:t>全部损失。</w:t>
      </w:r>
      <w:r>
        <w:rPr>
          <w:rFonts w:ascii="宋体" w:hAnsi="宋体"/>
          <w:sz w:val="24"/>
          <w:highlight w:val="none"/>
        </w:rPr>
        <w:t>甲方</w:t>
      </w:r>
      <w:r>
        <w:rPr>
          <w:rFonts w:hint="eastAsia" w:ascii="宋体" w:hAnsi="宋体"/>
          <w:sz w:val="24"/>
          <w:highlight w:val="none"/>
        </w:rPr>
        <w:t>有权以</w:t>
      </w:r>
      <w:r>
        <w:rPr>
          <w:rFonts w:ascii="宋体" w:hAnsi="宋体"/>
          <w:sz w:val="24"/>
          <w:highlight w:val="none"/>
        </w:rPr>
        <w:t>适当的条件和方式</w:t>
      </w:r>
      <w:r>
        <w:rPr>
          <w:rFonts w:hint="eastAsia" w:ascii="宋体" w:hAnsi="宋体"/>
          <w:sz w:val="24"/>
          <w:highlight w:val="none"/>
        </w:rPr>
        <w:t>购买</w:t>
      </w:r>
      <w:r>
        <w:rPr>
          <w:rFonts w:ascii="宋体" w:hAnsi="宋体"/>
          <w:sz w:val="24"/>
          <w:highlight w:val="none"/>
        </w:rPr>
        <w:t>与</w:t>
      </w:r>
      <w:r>
        <w:rPr>
          <w:rFonts w:hint="eastAsia" w:ascii="宋体" w:hAnsi="宋体"/>
          <w:sz w:val="24"/>
          <w:highlight w:val="none"/>
        </w:rPr>
        <w:t>本合同项下同等服务</w:t>
      </w:r>
      <w:r>
        <w:rPr>
          <w:rFonts w:ascii="宋体" w:hAnsi="宋体"/>
          <w:sz w:val="24"/>
          <w:highlight w:val="none"/>
        </w:rPr>
        <w:t>，</w:t>
      </w:r>
      <w:r>
        <w:rPr>
          <w:rFonts w:hint="eastAsia" w:ascii="宋体" w:hAnsi="宋体"/>
          <w:sz w:val="24"/>
          <w:highlight w:val="none"/>
        </w:rPr>
        <w:t>甲方</w:t>
      </w:r>
      <w:r>
        <w:rPr>
          <w:rFonts w:ascii="宋体" w:hAnsi="宋体"/>
          <w:sz w:val="24"/>
          <w:highlight w:val="none"/>
        </w:rPr>
        <w:t>购买</w:t>
      </w:r>
      <w:r>
        <w:rPr>
          <w:rFonts w:hint="eastAsia" w:ascii="宋体" w:hAnsi="宋体"/>
          <w:sz w:val="24"/>
          <w:highlight w:val="none"/>
        </w:rPr>
        <w:t>同等服务的差额费用包含在甲方损失范围内</w:t>
      </w:r>
      <w:r>
        <w:rPr>
          <w:rFonts w:ascii="宋体" w:hAnsi="宋体"/>
          <w:sz w:val="24"/>
          <w:highlight w:val="none"/>
        </w:rPr>
        <w:t>。</w:t>
      </w:r>
    </w:p>
    <w:p>
      <w:pPr>
        <w:numPr>
          <w:ilvl w:val="0"/>
          <w:numId w:val="25"/>
        </w:numPr>
        <w:tabs>
          <w:tab w:val="left" w:pos="709"/>
          <w:tab w:val="clear" w:pos="1260"/>
        </w:tabs>
        <w:autoSpaceDE w:val="0"/>
        <w:autoSpaceDN w:val="0"/>
        <w:adjustRightInd w:val="0"/>
        <w:snapToGrid w:val="0"/>
        <w:spacing w:before="93" w:beforeLines="30" w:after="93" w:afterLines="30" w:line="360" w:lineRule="auto"/>
        <w:ind w:left="709" w:hanging="709"/>
        <w:rPr>
          <w:rFonts w:ascii="宋体" w:hAnsi="宋体"/>
          <w:sz w:val="24"/>
        </w:rPr>
      </w:pPr>
      <w:r>
        <w:rPr>
          <w:rFonts w:hint="eastAsia" w:ascii="宋体" w:hAnsi="宋体"/>
          <w:sz w:val="24"/>
          <w:highlight w:val="none"/>
        </w:rPr>
        <w:t>无论基于何种原因，经</w:t>
      </w:r>
      <w:r>
        <w:rPr>
          <w:rFonts w:ascii="宋体" w:hAnsi="宋体"/>
          <w:sz w:val="24"/>
          <w:highlight w:val="none"/>
        </w:rPr>
        <w:t>提前【</w:t>
      </w:r>
      <w:r>
        <w:rPr>
          <w:rFonts w:hint="eastAsia" w:ascii="宋体" w:hAnsi="宋体"/>
          <w:sz w:val="24"/>
          <w:highlight w:val="none"/>
        </w:rPr>
        <w:t>十五（15）</w:t>
      </w:r>
      <w:r>
        <w:rPr>
          <w:rFonts w:ascii="宋体" w:hAnsi="宋体"/>
          <w:sz w:val="24"/>
          <w:highlight w:val="none"/>
        </w:rPr>
        <w:t>】</w:t>
      </w:r>
      <w:r>
        <w:rPr>
          <w:rFonts w:hint="eastAsia" w:ascii="宋体" w:hAnsi="宋体"/>
          <w:sz w:val="24"/>
          <w:highlight w:val="none"/>
        </w:rPr>
        <w:t>日</w:t>
      </w:r>
      <w:r>
        <w:rPr>
          <w:rFonts w:ascii="宋体" w:hAnsi="宋体"/>
          <w:sz w:val="24"/>
          <w:highlight w:val="none"/>
        </w:rPr>
        <w:t>书面通知</w:t>
      </w:r>
      <w:r>
        <w:rPr>
          <w:rFonts w:hint="eastAsia" w:ascii="宋体" w:hAnsi="宋体"/>
          <w:sz w:val="24"/>
          <w:highlight w:val="none"/>
        </w:rPr>
        <w:t>乙方</w:t>
      </w:r>
      <w:r>
        <w:rPr>
          <w:rFonts w:ascii="宋体" w:hAnsi="宋体"/>
          <w:sz w:val="24"/>
          <w:highlight w:val="none"/>
        </w:rPr>
        <w:t>，甲方有权随</w:t>
      </w:r>
      <w:r>
        <w:rPr>
          <w:rFonts w:ascii="宋体" w:hAnsi="宋体"/>
          <w:sz w:val="24"/>
        </w:rPr>
        <w:t>时</w:t>
      </w:r>
      <w:r>
        <w:rPr>
          <w:rFonts w:hint="eastAsia" w:ascii="宋体" w:hAnsi="宋体"/>
          <w:sz w:val="24"/>
        </w:rPr>
        <w:t>终止本</w:t>
      </w:r>
      <w:r>
        <w:rPr>
          <w:rFonts w:ascii="宋体" w:hAnsi="宋体"/>
          <w:sz w:val="24"/>
        </w:rPr>
        <w:t>合同。乙方</w:t>
      </w:r>
      <w:r>
        <w:rPr>
          <w:rFonts w:hint="eastAsia" w:ascii="宋体" w:hAnsi="宋体"/>
          <w:sz w:val="24"/>
        </w:rPr>
        <w:t>收到</w:t>
      </w:r>
      <w:r>
        <w:rPr>
          <w:rFonts w:ascii="宋体" w:hAnsi="宋体"/>
          <w:sz w:val="24"/>
        </w:rPr>
        <w:t>甲方</w:t>
      </w:r>
      <w:r>
        <w:rPr>
          <w:rFonts w:hint="eastAsia" w:ascii="宋体" w:hAnsi="宋体"/>
          <w:sz w:val="24"/>
        </w:rPr>
        <w:t>终止</w:t>
      </w:r>
      <w:r>
        <w:rPr>
          <w:rFonts w:ascii="宋体" w:hAnsi="宋体"/>
          <w:sz w:val="24"/>
        </w:rPr>
        <w:t>合同的</w:t>
      </w:r>
      <w:r>
        <w:rPr>
          <w:rFonts w:hint="eastAsia" w:ascii="宋体" w:hAnsi="宋体"/>
          <w:sz w:val="24"/>
        </w:rPr>
        <w:t>书面</w:t>
      </w:r>
      <w:r>
        <w:rPr>
          <w:rFonts w:ascii="宋体" w:hAnsi="宋体"/>
          <w:sz w:val="24"/>
        </w:rPr>
        <w:t>通知</w:t>
      </w:r>
      <w:r>
        <w:rPr>
          <w:rFonts w:hint="eastAsia" w:ascii="宋体" w:hAnsi="宋体"/>
          <w:sz w:val="24"/>
        </w:rPr>
        <w:t>后，</w:t>
      </w:r>
      <w:r>
        <w:rPr>
          <w:rFonts w:ascii="宋体" w:hAnsi="宋体"/>
          <w:sz w:val="24"/>
        </w:rPr>
        <w:t>应立即停止</w:t>
      </w:r>
      <w:r>
        <w:rPr>
          <w:rFonts w:hint="eastAsia" w:ascii="宋体" w:hAnsi="宋体"/>
          <w:sz w:val="24"/>
        </w:rPr>
        <w:t>实施与</w:t>
      </w:r>
      <w:r>
        <w:rPr>
          <w:rFonts w:ascii="宋体" w:hAnsi="宋体"/>
          <w:sz w:val="24"/>
        </w:rPr>
        <w:t>本合同</w:t>
      </w:r>
      <w:r>
        <w:rPr>
          <w:rFonts w:hint="eastAsia" w:ascii="宋体" w:hAnsi="宋体"/>
          <w:sz w:val="24"/>
        </w:rPr>
        <w:t>有</w:t>
      </w:r>
      <w:r>
        <w:rPr>
          <w:rFonts w:ascii="宋体" w:hAnsi="宋体"/>
          <w:sz w:val="24"/>
        </w:rPr>
        <w:t>关的工作</w:t>
      </w:r>
      <w:r>
        <w:rPr>
          <w:rFonts w:hint="eastAsia" w:ascii="宋体" w:hAnsi="宋体"/>
          <w:sz w:val="24"/>
        </w:rPr>
        <w:t>，</w:t>
      </w:r>
      <w:r>
        <w:rPr>
          <w:rFonts w:ascii="宋体" w:hAnsi="宋体"/>
          <w:sz w:val="24"/>
        </w:rPr>
        <w:t>并对</w:t>
      </w:r>
      <w:r>
        <w:rPr>
          <w:rFonts w:hint="eastAsia" w:ascii="宋体" w:hAnsi="宋体"/>
          <w:sz w:val="24"/>
        </w:rPr>
        <w:t>已履行</w:t>
      </w:r>
      <w:r>
        <w:rPr>
          <w:rFonts w:ascii="宋体" w:hAnsi="宋体"/>
          <w:sz w:val="24"/>
        </w:rPr>
        <w:t>的</w:t>
      </w:r>
      <w:r>
        <w:rPr>
          <w:rFonts w:hint="eastAsia" w:ascii="宋体" w:hAnsi="宋体"/>
          <w:sz w:val="24"/>
        </w:rPr>
        <w:t>部分</w:t>
      </w:r>
      <w:r>
        <w:rPr>
          <w:rFonts w:ascii="宋体" w:hAnsi="宋体"/>
          <w:sz w:val="24"/>
        </w:rPr>
        <w:t>进行结算。甲方收到乙方的结算</w:t>
      </w:r>
      <w:r>
        <w:rPr>
          <w:rFonts w:hint="eastAsia" w:ascii="宋体" w:hAnsi="宋体"/>
          <w:sz w:val="24"/>
        </w:rPr>
        <w:t>要求</w:t>
      </w:r>
      <w:r>
        <w:rPr>
          <w:rFonts w:ascii="宋体" w:hAnsi="宋体"/>
          <w:sz w:val="24"/>
        </w:rPr>
        <w:t>后，</w:t>
      </w:r>
      <w:r>
        <w:rPr>
          <w:rFonts w:hint="eastAsia" w:ascii="宋体" w:hAnsi="宋体"/>
          <w:sz w:val="24"/>
        </w:rPr>
        <w:t>应</w:t>
      </w:r>
      <w:r>
        <w:rPr>
          <w:rFonts w:ascii="宋体" w:hAnsi="宋体"/>
          <w:sz w:val="24"/>
        </w:rPr>
        <w:t>与乙方协商结算</w:t>
      </w:r>
      <w:r>
        <w:rPr>
          <w:rFonts w:hint="eastAsia" w:ascii="宋体" w:hAnsi="宋体"/>
          <w:sz w:val="24"/>
        </w:rPr>
        <w:t>数额、</w:t>
      </w:r>
      <w:r>
        <w:rPr>
          <w:rFonts w:ascii="宋体" w:hAnsi="宋体"/>
          <w:sz w:val="24"/>
        </w:rPr>
        <w:t>因甲方终止合同</w:t>
      </w:r>
      <w:r>
        <w:rPr>
          <w:rFonts w:hint="eastAsia" w:ascii="宋体" w:hAnsi="宋体"/>
          <w:sz w:val="24"/>
        </w:rPr>
        <w:t>需向</w:t>
      </w:r>
      <w:r>
        <w:rPr>
          <w:rFonts w:ascii="宋体" w:hAnsi="宋体"/>
          <w:sz w:val="24"/>
        </w:rPr>
        <w:t>乙方</w:t>
      </w:r>
      <w:r>
        <w:rPr>
          <w:rFonts w:hint="eastAsia" w:ascii="宋体" w:hAnsi="宋体"/>
          <w:sz w:val="24"/>
        </w:rPr>
        <w:t>支付</w:t>
      </w:r>
      <w:r>
        <w:rPr>
          <w:rFonts w:ascii="宋体" w:hAnsi="宋体"/>
          <w:sz w:val="24"/>
        </w:rPr>
        <w:t>的补偿</w:t>
      </w:r>
      <w:r>
        <w:rPr>
          <w:rFonts w:hint="eastAsia" w:ascii="宋体" w:hAnsi="宋体"/>
          <w:sz w:val="24"/>
        </w:rPr>
        <w:t>款等事项</w:t>
      </w:r>
      <w:r>
        <w:rPr>
          <w:rFonts w:ascii="宋体" w:hAnsi="宋体"/>
          <w:sz w:val="24"/>
        </w:rPr>
        <w:t>。</w:t>
      </w:r>
      <w:r>
        <w:rPr>
          <w:rFonts w:hint="eastAsia" w:ascii="宋体" w:hAnsi="宋体"/>
          <w:sz w:val="24"/>
        </w:rPr>
        <w:t>甲方因终止合同向</w:t>
      </w:r>
      <w:r>
        <w:rPr>
          <w:rFonts w:ascii="宋体" w:hAnsi="宋体"/>
          <w:sz w:val="24"/>
        </w:rPr>
        <w:t>乙方</w:t>
      </w:r>
      <w:r>
        <w:rPr>
          <w:rFonts w:hint="eastAsia" w:ascii="宋体" w:hAnsi="宋体"/>
          <w:sz w:val="24"/>
        </w:rPr>
        <w:t>支付的补偿款以乙方为</w:t>
      </w:r>
      <w:r>
        <w:rPr>
          <w:rFonts w:ascii="宋体" w:hAnsi="宋体"/>
          <w:sz w:val="24"/>
        </w:rPr>
        <w:t>履行合同已</w:t>
      </w:r>
      <w:r>
        <w:rPr>
          <w:rFonts w:hint="eastAsia" w:ascii="宋体" w:hAnsi="宋体"/>
          <w:sz w:val="24"/>
        </w:rPr>
        <w:t>实际</w:t>
      </w:r>
      <w:r>
        <w:rPr>
          <w:rFonts w:ascii="宋体" w:hAnsi="宋体"/>
          <w:sz w:val="24"/>
        </w:rPr>
        <w:t>发生</w:t>
      </w:r>
      <w:r>
        <w:rPr>
          <w:rFonts w:hint="eastAsia" w:ascii="宋体" w:hAnsi="宋体"/>
          <w:sz w:val="24"/>
        </w:rPr>
        <w:t>的</w:t>
      </w:r>
      <w:r>
        <w:rPr>
          <w:rFonts w:ascii="宋体" w:hAnsi="宋体"/>
          <w:sz w:val="24"/>
        </w:rPr>
        <w:t>直接、合理费用</w:t>
      </w:r>
      <w:r>
        <w:rPr>
          <w:rFonts w:hint="eastAsia" w:ascii="宋体" w:hAnsi="宋体"/>
          <w:sz w:val="24"/>
        </w:rPr>
        <w:t>为限。如甲方</w:t>
      </w:r>
      <w:r>
        <w:rPr>
          <w:rFonts w:ascii="宋体" w:hAnsi="宋体"/>
          <w:sz w:val="24"/>
        </w:rPr>
        <w:t>已支付的合同</w:t>
      </w:r>
      <w:r>
        <w:rPr>
          <w:rFonts w:hint="eastAsia" w:ascii="宋体" w:hAnsi="宋体"/>
          <w:sz w:val="24"/>
        </w:rPr>
        <w:t>价款</w:t>
      </w:r>
      <w:r>
        <w:rPr>
          <w:rFonts w:ascii="宋体" w:hAnsi="宋体"/>
          <w:sz w:val="24"/>
        </w:rPr>
        <w:t>不足以涵盖该等费用，经乙方提供证明文件</w:t>
      </w:r>
      <w:r>
        <w:rPr>
          <w:rFonts w:hint="eastAsia" w:ascii="宋体" w:hAnsi="宋体"/>
          <w:sz w:val="24"/>
        </w:rPr>
        <w:t>后</w:t>
      </w:r>
      <w:r>
        <w:rPr>
          <w:rFonts w:ascii="宋体" w:hAnsi="宋体"/>
          <w:sz w:val="24"/>
        </w:rPr>
        <w:t>，甲方应向乙方支付差额部分</w:t>
      </w:r>
      <w:r>
        <w:rPr>
          <w:rFonts w:hint="eastAsia" w:ascii="宋体" w:hAnsi="宋体"/>
          <w:sz w:val="24"/>
        </w:rPr>
        <w:t>。</w:t>
      </w:r>
      <w:r>
        <w:rPr>
          <w:rFonts w:ascii="宋体" w:hAnsi="宋体"/>
          <w:sz w:val="24"/>
        </w:rPr>
        <w:t>但是，如甲方已支付的合同</w:t>
      </w:r>
      <w:r>
        <w:rPr>
          <w:rFonts w:hint="eastAsia" w:ascii="宋体" w:hAnsi="宋体"/>
          <w:sz w:val="24"/>
        </w:rPr>
        <w:t>价款</w:t>
      </w:r>
      <w:r>
        <w:rPr>
          <w:rFonts w:ascii="宋体" w:hAnsi="宋体"/>
          <w:sz w:val="24"/>
        </w:rPr>
        <w:t>超过该等费用，乙方应向甲方</w:t>
      </w:r>
      <w:r>
        <w:rPr>
          <w:rFonts w:hint="eastAsia" w:ascii="宋体" w:hAnsi="宋体"/>
          <w:sz w:val="24"/>
        </w:rPr>
        <w:t>返还超</w:t>
      </w:r>
      <w:r>
        <w:rPr>
          <w:rFonts w:ascii="宋体" w:hAnsi="宋体"/>
          <w:sz w:val="24"/>
        </w:rPr>
        <w:t>额部分</w:t>
      </w:r>
      <w:r>
        <w:rPr>
          <w:rFonts w:hint="eastAsia" w:ascii="宋体" w:hAnsi="宋体"/>
          <w:sz w:val="24"/>
        </w:rPr>
        <w:t>。</w:t>
      </w:r>
      <w:r>
        <w:rPr>
          <w:rFonts w:ascii="宋体" w:hAnsi="宋体"/>
          <w:sz w:val="24"/>
        </w:rPr>
        <w:t>甲方向乙方支付的</w:t>
      </w:r>
      <w:r>
        <w:rPr>
          <w:rFonts w:hint="eastAsia" w:ascii="宋体" w:hAnsi="宋体"/>
          <w:sz w:val="24"/>
        </w:rPr>
        <w:t>该等补偿款</w:t>
      </w:r>
      <w:r>
        <w:rPr>
          <w:rFonts w:ascii="宋体" w:hAnsi="宋体"/>
          <w:sz w:val="24"/>
        </w:rPr>
        <w:t>系甲方</w:t>
      </w:r>
      <w:r>
        <w:rPr>
          <w:rFonts w:hint="eastAsia" w:ascii="宋体" w:hAnsi="宋体"/>
          <w:sz w:val="24"/>
        </w:rPr>
        <w:t>根据本款规定</w:t>
      </w:r>
      <w:r>
        <w:rPr>
          <w:rFonts w:ascii="宋体" w:hAnsi="宋体"/>
          <w:sz w:val="24"/>
        </w:rPr>
        <w:t>终止合同时</w:t>
      </w:r>
      <w:r>
        <w:rPr>
          <w:rFonts w:hint="eastAsia" w:ascii="宋体" w:hAnsi="宋体"/>
          <w:sz w:val="24"/>
        </w:rPr>
        <w:t>，</w:t>
      </w:r>
      <w:r>
        <w:rPr>
          <w:rFonts w:ascii="宋体" w:hAnsi="宋体"/>
          <w:sz w:val="24"/>
        </w:rPr>
        <w:t>乙方可获得的</w:t>
      </w:r>
      <w:r>
        <w:rPr>
          <w:rFonts w:hint="eastAsia" w:ascii="宋体" w:hAnsi="宋体"/>
          <w:sz w:val="24"/>
        </w:rPr>
        <w:t>全部赔偿。任何时候乙方均无权要求甲方赔偿因合同终止而引起的预期利润的损失或损害。</w:t>
      </w:r>
    </w:p>
    <w:p>
      <w:pPr>
        <w:numPr>
          <w:ilvl w:val="0"/>
          <w:numId w:val="25"/>
        </w:numPr>
        <w:tabs>
          <w:tab w:val="left" w:pos="709"/>
        </w:tabs>
        <w:autoSpaceDE w:val="0"/>
        <w:autoSpaceDN w:val="0"/>
        <w:adjustRightInd w:val="0"/>
        <w:snapToGrid w:val="0"/>
        <w:spacing w:before="93" w:beforeLines="30" w:after="93" w:afterLines="30" w:line="360" w:lineRule="auto"/>
        <w:ind w:left="709" w:hanging="709"/>
        <w:rPr>
          <w:rFonts w:ascii="宋体" w:hAnsi="宋体"/>
          <w:kern w:val="0"/>
          <w:sz w:val="24"/>
        </w:rPr>
      </w:pPr>
      <w:r>
        <w:rPr>
          <w:rFonts w:ascii="宋体" w:hAnsi="宋体"/>
          <w:kern w:val="0"/>
          <w:sz w:val="24"/>
        </w:rPr>
        <w:t>如本合同根据</w:t>
      </w:r>
      <w:r>
        <w:rPr>
          <w:rFonts w:hint="eastAsia" w:ascii="宋体" w:hAnsi="宋体"/>
          <w:kern w:val="0"/>
          <w:sz w:val="24"/>
        </w:rPr>
        <w:t>本条第</w:t>
      </w:r>
      <w:r>
        <w:rPr>
          <w:kern w:val="0"/>
          <w:sz w:val="24"/>
        </w:rPr>
        <w:t>13.2</w:t>
      </w:r>
      <w:r>
        <w:rPr>
          <w:rFonts w:hint="eastAsia" w:ascii="宋体" w:hAnsi="宋体"/>
          <w:kern w:val="0"/>
          <w:sz w:val="24"/>
        </w:rPr>
        <w:t>款</w:t>
      </w:r>
      <w:r>
        <w:rPr>
          <w:rFonts w:ascii="宋体" w:hAnsi="宋体"/>
          <w:kern w:val="0"/>
          <w:sz w:val="24"/>
        </w:rPr>
        <w:t>终止，对于合同终止前乙方完成的工作成果，乙方应立即移交给甲方，甲方拥有相关工作成果的全部权益；如甲方已付合同价款超过乙方已完成工作的价值，乙方应向甲方返还差额部分。</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69" w:name="_Toc364839375"/>
      <w:bookmarkStart w:id="70" w:name="_Toc299915690"/>
      <w:r>
        <w:rPr>
          <w:rFonts w:ascii="宋体" w:hAnsi="宋体"/>
          <w:b w:val="0"/>
          <w:szCs w:val="24"/>
        </w:rPr>
        <w:t>健康、安全</w:t>
      </w:r>
      <w:r>
        <w:rPr>
          <w:rFonts w:hint="eastAsia" w:ascii="宋体" w:hAnsi="宋体"/>
          <w:b w:val="0"/>
          <w:szCs w:val="24"/>
        </w:rPr>
        <w:t>和</w:t>
      </w:r>
      <w:r>
        <w:rPr>
          <w:rFonts w:ascii="宋体" w:hAnsi="宋体"/>
          <w:b w:val="0"/>
          <w:szCs w:val="24"/>
        </w:rPr>
        <w:t>环保</w:t>
      </w:r>
      <w:bookmarkEnd w:id="69"/>
      <w:bookmarkEnd w:id="70"/>
    </w:p>
    <w:p>
      <w:pPr>
        <w:numPr>
          <w:ilvl w:val="0"/>
          <w:numId w:val="27"/>
        </w:numPr>
        <w:tabs>
          <w:tab w:val="left" w:pos="709"/>
          <w:tab w:val="clear" w:pos="0"/>
        </w:tabs>
        <w:adjustRightInd w:val="0"/>
        <w:snapToGrid w:val="0"/>
        <w:spacing w:before="93" w:beforeLines="30" w:after="93" w:afterLines="30" w:line="360" w:lineRule="auto"/>
        <w:ind w:left="709" w:hanging="709"/>
        <w:rPr>
          <w:rFonts w:ascii="宋体" w:hAnsi="宋体"/>
          <w:sz w:val="24"/>
        </w:rPr>
      </w:pPr>
      <w:r>
        <w:rPr>
          <w:rFonts w:ascii="宋体" w:hAnsi="宋体"/>
          <w:sz w:val="24"/>
        </w:rPr>
        <w:t>乙方在</w:t>
      </w:r>
      <w:r>
        <w:rPr>
          <w:rFonts w:hint="eastAsia" w:ascii="宋体" w:hAnsi="宋体"/>
          <w:sz w:val="24"/>
        </w:rPr>
        <w:t>履行</w:t>
      </w:r>
      <w:r>
        <w:rPr>
          <w:rFonts w:ascii="宋体" w:hAnsi="宋体"/>
          <w:sz w:val="24"/>
        </w:rPr>
        <w:t>合同时，应遵守</w:t>
      </w:r>
      <w:r>
        <w:rPr>
          <w:rFonts w:hint="eastAsia" w:ascii="宋体" w:hAnsi="宋体"/>
          <w:sz w:val="24"/>
        </w:rPr>
        <w:t>中国相关</w:t>
      </w:r>
      <w:r>
        <w:rPr>
          <w:rFonts w:ascii="宋体" w:hAnsi="宋体"/>
          <w:sz w:val="24"/>
        </w:rPr>
        <w:t>法律法规及甲方关于健康、安全及环保的规定</w:t>
      </w:r>
      <w:r>
        <w:rPr>
          <w:rFonts w:hint="eastAsia" w:ascii="宋体" w:hAnsi="宋体"/>
          <w:sz w:val="24"/>
        </w:rPr>
        <w:t>：</w:t>
      </w:r>
    </w:p>
    <w:p>
      <w:pPr>
        <w:numPr>
          <w:ilvl w:val="0"/>
          <w:numId w:val="28"/>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乙方应为有机会出差或驻场的</w:t>
      </w:r>
      <w:r>
        <w:rPr>
          <w:rFonts w:hint="eastAsia" w:ascii="宋体" w:hAnsi="宋体"/>
          <w:sz w:val="24"/>
        </w:rPr>
        <w:t>人员</w:t>
      </w:r>
      <w:r>
        <w:rPr>
          <w:rFonts w:ascii="宋体" w:hAnsi="宋体"/>
          <w:sz w:val="24"/>
        </w:rPr>
        <w:t>购买人身意外保险或其它相关项目的保险</w:t>
      </w:r>
      <w:r>
        <w:rPr>
          <w:rFonts w:hint="eastAsia" w:ascii="宋体" w:hAnsi="宋体"/>
          <w:sz w:val="24"/>
        </w:rPr>
        <w:t>；</w:t>
      </w:r>
    </w:p>
    <w:p>
      <w:pPr>
        <w:numPr>
          <w:ilvl w:val="0"/>
          <w:numId w:val="28"/>
        </w:numPr>
        <w:tabs>
          <w:tab w:val="left" w:pos="1276"/>
        </w:tabs>
        <w:adjustRightInd w:val="0"/>
        <w:snapToGrid w:val="0"/>
        <w:spacing w:before="93" w:beforeLines="30" w:after="93" w:afterLines="30" w:line="360" w:lineRule="auto"/>
        <w:ind w:left="1276" w:hanging="567"/>
        <w:rPr>
          <w:rFonts w:ascii="宋体" w:hAnsi="宋体"/>
          <w:sz w:val="24"/>
        </w:rPr>
      </w:pPr>
      <w:r>
        <w:rPr>
          <w:rFonts w:ascii="宋体" w:hAnsi="宋体"/>
          <w:sz w:val="24"/>
        </w:rPr>
        <w:t>甲方有权根据需要修订其健康、安全及环保政策并将最新文件发给乙方以</w:t>
      </w:r>
      <w:r>
        <w:rPr>
          <w:rFonts w:hint="eastAsia" w:ascii="宋体" w:hAnsi="宋体"/>
          <w:sz w:val="24"/>
        </w:rPr>
        <w:t>便</w:t>
      </w:r>
      <w:r>
        <w:rPr>
          <w:rFonts w:ascii="宋体" w:hAnsi="宋体"/>
          <w:sz w:val="24"/>
        </w:rPr>
        <w:t>遵照执行。</w:t>
      </w:r>
    </w:p>
    <w:p>
      <w:pPr>
        <w:numPr>
          <w:ilvl w:val="0"/>
          <w:numId w:val="27"/>
        </w:numPr>
        <w:tabs>
          <w:tab w:val="left" w:pos="709"/>
          <w:tab w:val="clear" w:pos="0"/>
        </w:tabs>
        <w:adjustRightInd w:val="0"/>
        <w:snapToGrid w:val="0"/>
        <w:spacing w:before="93" w:beforeLines="30" w:after="93" w:afterLines="30" w:line="360" w:lineRule="auto"/>
        <w:ind w:left="709" w:hanging="709"/>
        <w:rPr>
          <w:rFonts w:ascii="宋体" w:hAnsi="宋体"/>
          <w:kern w:val="0"/>
          <w:sz w:val="24"/>
        </w:rPr>
      </w:pPr>
      <w:r>
        <w:rPr>
          <w:rFonts w:hint="eastAsia" w:ascii="宋体" w:hAnsi="宋体"/>
          <w:sz w:val="24"/>
        </w:rPr>
        <w:t>乙方应保证其完成工作和工作成果符合国家要求的健康、安全及环保标准。因乙方未能按国家相关规定和甲方的要求，而在健康、安全、环保方面给甲方造成的任何损失由乙方全额承担。</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71" w:name="_Toc364839376"/>
      <w:bookmarkStart w:id="72" w:name="_Toc300147855"/>
      <w:r>
        <w:rPr>
          <w:rFonts w:hint="eastAsia" w:ascii="宋体" w:hAnsi="宋体"/>
          <w:b w:val="0"/>
          <w:szCs w:val="24"/>
        </w:rPr>
        <w:t>转让和分包</w:t>
      </w:r>
      <w:bookmarkEnd w:id="71"/>
      <w:bookmarkEnd w:id="72"/>
    </w:p>
    <w:p>
      <w:pPr>
        <w:widowControl/>
        <w:numPr>
          <w:ilvl w:val="0"/>
          <w:numId w:val="29"/>
        </w:numPr>
        <w:tabs>
          <w:tab w:val="left" w:pos="709"/>
        </w:tabs>
        <w:adjustRightInd w:val="0"/>
        <w:snapToGrid w:val="0"/>
        <w:spacing w:before="93" w:beforeLines="30" w:after="93" w:afterLines="30" w:line="360" w:lineRule="auto"/>
        <w:ind w:left="709" w:hanging="709"/>
        <w:rPr>
          <w:rFonts w:ascii="宋体" w:hAnsi="宋体"/>
          <w:sz w:val="24"/>
        </w:rPr>
      </w:pPr>
      <w:r>
        <w:rPr>
          <w:rFonts w:ascii="宋体" w:hAnsi="宋体"/>
          <w:sz w:val="24"/>
        </w:rPr>
        <w:t>未经甲方</w:t>
      </w:r>
      <w:r>
        <w:rPr>
          <w:rFonts w:hint="eastAsia" w:ascii="宋体" w:hAnsi="宋体"/>
          <w:sz w:val="24"/>
        </w:rPr>
        <w:t>事先</w:t>
      </w:r>
      <w:r>
        <w:rPr>
          <w:rFonts w:ascii="宋体" w:hAnsi="宋体"/>
          <w:sz w:val="24"/>
        </w:rPr>
        <w:t>书面同意，乙方不得</w:t>
      </w:r>
      <w:r>
        <w:rPr>
          <w:rFonts w:hint="eastAsia" w:ascii="宋体" w:hAnsi="宋体"/>
          <w:sz w:val="24"/>
        </w:rPr>
        <w:t>将</w:t>
      </w:r>
      <w:r>
        <w:rPr>
          <w:rFonts w:ascii="宋体" w:hAnsi="宋体"/>
          <w:sz w:val="24"/>
        </w:rPr>
        <w:t>其</w:t>
      </w:r>
      <w:r>
        <w:rPr>
          <w:rFonts w:hint="eastAsia" w:ascii="宋体" w:hAnsi="宋体"/>
          <w:sz w:val="24"/>
        </w:rPr>
        <w:t>在本</w:t>
      </w:r>
      <w:r>
        <w:rPr>
          <w:rFonts w:ascii="宋体" w:hAnsi="宋体"/>
          <w:sz w:val="24"/>
        </w:rPr>
        <w:t>合同</w:t>
      </w:r>
      <w:r>
        <w:rPr>
          <w:rFonts w:hint="eastAsia" w:ascii="宋体" w:hAnsi="宋体"/>
          <w:sz w:val="24"/>
        </w:rPr>
        <w:t>项下</w:t>
      </w:r>
      <w:r>
        <w:rPr>
          <w:rFonts w:ascii="宋体" w:hAnsi="宋体"/>
          <w:sz w:val="24"/>
        </w:rPr>
        <w:t>的</w:t>
      </w:r>
      <w:r>
        <w:rPr>
          <w:rFonts w:hint="eastAsia" w:ascii="宋体" w:hAnsi="宋体"/>
          <w:sz w:val="24"/>
        </w:rPr>
        <w:t>任何权利和</w:t>
      </w:r>
      <w:r>
        <w:rPr>
          <w:rFonts w:ascii="宋体" w:hAnsi="宋体"/>
          <w:sz w:val="24"/>
        </w:rPr>
        <w:t>义务</w:t>
      </w:r>
      <w:r>
        <w:rPr>
          <w:rFonts w:hint="eastAsia" w:ascii="宋体" w:hAnsi="宋体"/>
          <w:sz w:val="24"/>
        </w:rPr>
        <w:t>全部或部分转让给任何第三方，包括乙方的关联企业</w:t>
      </w:r>
      <w:r>
        <w:rPr>
          <w:rFonts w:ascii="宋体" w:hAnsi="宋体"/>
          <w:sz w:val="24"/>
        </w:rPr>
        <w:t>。</w:t>
      </w:r>
      <w:r>
        <w:rPr>
          <w:rFonts w:hint="eastAsia" w:ascii="宋体" w:hAnsi="宋体"/>
          <w:sz w:val="24"/>
        </w:rPr>
        <w:t>甲方</w:t>
      </w:r>
      <w:r>
        <w:rPr>
          <w:rFonts w:ascii="宋体" w:hAnsi="宋体"/>
          <w:sz w:val="24"/>
        </w:rPr>
        <w:t>可以</w:t>
      </w:r>
      <w:r>
        <w:rPr>
          <w:rFonts w:hint="eastAsia" w:ascii="宋体" w:hAnsi="宋体"/>
          <w:sz w:val="24"/>
        </w:rPr>
        <w:t>将其在</w:t>
      </w:r>
      <w:r>
        <w:rPr>
          <w:rFonts w:ascii="宋体" w:hAnsi="宋体"/>
          <w:sz w:val="24"/>
        </w:rPr>
        <w:t>本合同</w:t>
      </w:r>
      <w:r>
        <w:rPr>
          <w:rFonts w:hint="eastAsia" w:ascii="宋体" w:hAnsi="宋体"/>
          <w:sz w:val="24"/>
        </w:rPr>
        <w:t>项下的</w:t>
      </w:r>
      <w:r>
        <w:rPr>
          <w:rFonts w:ascii="宋体" w:hAnsi="宋体"/>
          <w:sz w:val="24"/>
        </w:rPr>
        <w:t>权利和义务</w:t>
      </w:r>
      <w:r>
        <w:rPr>
          <w:rFonts w:hint="eastAsia" w:ascii="宋体" w:hAnsi="宋体"/>
          <w:sz w:val="24"/>
        </w:rPr>
        <w:t>全部或部分</w:t>
      </w:r>
      <w:r>
        <w:rPr>
          <w:rFonts w:ascii="宋体" w:hAnsi="宋体"/>
          <w:sz w:val="24"/>
        </w:rPr>
        <w:t>转让给</w:t>
      </w:r>
      <w:r>
        <w:rPr>
          <w:rFonts w:hint="eastAsia" w:ascii="宋体" w:hAnsi="宋体"/>
          <w:sz w:val="24"/>
        </w:rPr>
        <w:t>其关联企业</w:t>
      </w:r>
      <w:r>
        <w:rPr>
          <w:rFonts w:ascii="宋体" w:hAnsi="宋体"/>
          <w:sz w:val="24"/>
        </w:rPr>
        <w:t>，</w:t>
      </w:r>
      <w:r>
        <w:rPr>
          <w:rFonts w:hint="eastAsia" w:ascii="宋体" w:hAnsi="宋体"/>
          <w:sz w:val="24"/>
        </w:rPr>
        <w:t>且无需</w:t>
      </w:r>
      <w:r>
        <w:rPr>
          <w:rFonts w:ascii="宋体" w:hAnsi="宋体"/>
          <w:sz w:val="24"/>
        </w:rPr>
        <w:t>事先征得</w:t>
      </w:r>
      <w:r>
        <w:rPr>
          <w:rFonts w:hint="eastAsia" w:ascii="宋体" w:hAnsi="宋体"/>
          <w:sz w:val="24"/>
        </w:rPr>
        <w:t>乙方</w:t>
      </w:r>
      <w:r>
        <w:rPr>
          <w:rFonts w:ascii="宋体" w:hAnsi="宋体"/>
          <w:sz w:val="24"/>
        </w:rPr>
        <w:t>的同意，但应书面通知</w:t>
      </w:r>
      <w:r>
        <w:rPr>
          <w:rFonts w:hint="eastAsia" w:ascii="宋体" w:hAnsi="宋体"/>
          <w:sz w:val="24"/>
        </w:rPr>
        <w:t>乙方</w:t>
      </w:r>
      <w:r>
        <w:rPr>
          <w:rFonts w:ascii="宋体" w:hAnsi="宋体"/>
          <w:sz w:val="24"/>
        </w:rPr>
        <w:t>。</w:t>
      </w:r>
    </w:p>
    <w:p>
      <w:pPr>
        <w:widowControl/>
        <w:numPr>
          <w:ilvl w:val="0"/>
          <w:numId w:val="29"/>
        </w:numPr>
        <w:tabs>
          <w:tab w:val="left" w:pos="709"/>
        </w:tabs>
        <w:adjustRightInd w:val="0"/>
        <w:snapToGrid w:val="0"/>
        <w:spacing w:before="93" w:beforeLines="30" w:after="93" w:afterLines="30" w:line="360" w:lineRule="auto"/>
        <w:ind w:left="709" w:hanging="709"/>
        <w:rPr>
          <w:rFonts w:ascii="宋体" w:hAnsi="宋体"/>
          <w:sz w:val="24"/>
        </w:rPr>
      </w:pPr>
      <w:r>
        <w:rPr>
          <w:rFonts w:hint="eastAsia" w:ascii="宋体" w:hAnsi="宋体"/>
          <w:sz w:val="24"/>
        </w:rPr>
        <w:t>未经甲方事先书面同意，乙方不得将其在本合同项下的任何义务分包给任何第三方，包括乙方的关联企业。</w:t>
      </w:r>
      <w:bookmarkStart w:id="73" w:name="_DV_C867"/>
      <w:r>
        <w:rPr>
          <w:rFonts w:hint="eastAsia" w:ascii="宋体" w:hAnsi="宋体"/>
          <w:sz w:val="24"/>
        </w:rPr>
        <w:t>乙方不得将本合同转包给任何第三方，包括其关联企业。</w:t>
      </w:r>
      <w:bookmarkEnd w:id="73"/>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74" w:name="_Toc299912680"/>
      <w:bookmarkStart w:id="75" w:name="_Toc299915695"/>
      <w:bookmarkStart w:id="76" w:name="_Toc364839377"/>
      <w:r>
        <w:rPr>
          <w:rFonts w:hint="eastAsia" w:ascii="宋体" w:hAnsi="宋体"/>
          <w:b w:val="0"/>
          <w:szCs w:val="24"/>
        </w:rPr>
        <w:t>不可抗力</w:t>
      </w:r>
      <w:bookmarkEnd w:id="74"/>
      <w:bookmarkEnd w:id="75"/>
      <w:bookmarkEnd w:id="76"/>
    </w:p>
    <w:p>
      <w:pPr>
        <w:widowControl/>
        <w:numPr>
          <w:ilvl w:val="0"/>
          <w:numId w:val="30"/>
        </w:numPr>
        <w:tabs>
          <w:tab w:val="left" w:pos="1175"/>
        </w:tabs>
        <w:snapToGrid w:val="0"/>
        <w:spacing w:before="93" w:beforeLines="30" w:after="93" w:afterLines="30"/>
        <w:ind w:left="709" w:hanging="709"/>
        <w:jc w:val="left"/>
        <w:rPr>
          <w:rFonts w:ascii="宋体" w:hAnsi="宋体" w:eastAsia="宋体" w:cstheme="minorBidi"/>
          <w:kern w:val="0"/>
          <w:sz w:val="24"/>
          <w:szCs w:val="21"/>
          <w:lang w:val="en-US" w:eastAsia="zh-CN" w:bidi="ar-SA"/>
        </w:rPr>
      </w:pPr>
      <w:bookmarkStart w:id="77" w:name="_Toc299915696"/>
      <w:bookmarkStart w:id="78" w:name="_Toc299912681"/>
      <w:bookmarkStart w:id="79" w:name="_Toc299550771"/>
      <w:r>
        <w:rPr>
          <w:rFonts w:hint="eastAsia" w:ascii="宋体" w:hAnsi="宋体" w:eastAsia="宋体" w:cstheme="minorBidi"/>
          <w:kern w:val="0"/>
          <w:sz w:val="24"/>
          <w:szCs w:val="21"/>
          <w:lang w:val="en-US" w:eastAsia="zh-CN" w:bidi="ar-SA"/>
        </w:rPr>
        <w:t>不可抗力系指阻止或妨碍一方履行其在本合同项下义务的事件或情况；受障碍影响的一方除了应证明该事件已经达到阻止或妨碍其履行合同项下义务的后果，还应证明：</w:t>
      </w:r>
    </w:p>
    <w:p>
      <w:pPr>
        <w:widowControl/>
        <w:numPr>
          <w:ilvl w:val="0"/>
          <w:numId w:val="31"/>
        </w:numPr>
        <w:tabs>
          <w:tab w:val="left" w:pos="1175"/>
        </w:tabs>
        <w:snapToGrid w:val="0"/>
        <w:spacing w:before="93" w:beforeLines="30" w:after="93" w:afterLines="30"/>
        <w:ind w:left="1560" w:hanging="720"/>
        <w:jc w:val="left"/>
        <w:rPr>
          <w:rFonts w:ascii="宋体" w:hAnsi="宋体" w:eastAsia="宋体" w:cstheme="minorBidi"/>
          <w:kern w:val="0"/>
          <w:sz w:val="24"/>
          <w:szCs w:val="21"/>
          <w:lang w:val="en-US" w:eastAsia="zh-CN" w:bidi="ar-SA"/>
        </w:rPr>
      </w:pPr>
      <w:r>
        <w:rPr>
          <w:rFonts w:hint="eastAsia" w:ascii="宋体" w:hAnsi="宋体" w:eastAsia="宋体" w:cstheme="minorBidi"/>
          <w:kern w:val="0"/>
          <w:sz w:val="24"/>
          <w:szCs w:val="21"/>
          <w:lang w:val="en-US" w:eastAsia="zh-CN" w:bidi="ar-SA"/>
        </w:rPr>
        <w:t>该障碍在订立合同时无法被合理预见；和</w:t>
      </w:r>
    </w:p>
    <w:p>
      <w:pPr>
        <w:widowControl/>
        <w:numPr>
          <w:ilvl w:val="0"/>
          <w:numId w:val="31"/>
        </w:numPr>
        <w:tabs>
          <w:tab w:val="left" w:pos="1175"/>
        </w:tabs>
        <w:snapToGrid w:val="0"/>
        <w:spacing w:before="93" w:beforeLines="30" w:after="93" w:afterLines="30"/>
        <w:ind w:left="1560" w:hanging="720"/>
        <w:jc w:val="left"/>
        <w:rPr>
          <w:rFonts w:ascii="宋体" w:hAnsi="宋体" w:eastAsia="宋体" w:cstheme="minorBidi"/>
          <w:kern w:val="0"/>
          <w:sz w:val="24"/>
          <w:szCs w:val="21"/>
          <w:lang w:val="en-US" w:eastAsia="zh-CN" w:bidi="ar-SA"/>
        </w:rPr>
      </w:pPr>
      <w:r>
        <w:rPr>
          <w:rFonts w:hint="eastAsia" w:ascii="宋体" w:hAnsi="宋体" w:eastAsia="宋体" w:cstheme="minorBidi"/>
          <w:kern w:val="0"/>
          <w:sz w:val="24"/>
          <w:szCs w:val="21"/>
          <w:lang w:val="en-US" w:eastAsia="zh-CN" w:bidi="ar-SA"/>
        </w:rPr>
        <w:t>该障碍超出其合理控制范围；同时</w:t>
      </w:r>
    </w:p>
    <w:p>
      <w:pPr>
        <w:widowControl/>
        <w:numPr>
          <w:ilvl w:val="0"/>
          <w:numId w:val="31"/>
        </w:numPr>
        <w:tabs>
          <w:tab w:val="left" w:pos="1175"/>
        </w:tabs>
        <w:snapToGrid w:val="0"/>
        <w:spacing w:before="93" w:beforeLines="30" w:after="93" w:afterLines="30"/>
        <w:ind w:left="1560" w:hanging="720"/>
        <w:jc w:val="left"/>
        <w:rPr>
          <w:rFonts w:ascii="宋体" w:hAnsi="宋体" w:eastAsia="宋体" w:cstheme="minorBidi"/>
          <w:kern w:val="0"/>
          <w:sz w:val="24"/>
          <w:szCs w:val="21"/>
          <w:lang w:val="en-US" w:eastAsia="zh-CN" w:bidi="ar-SA"/>
        </w:rPr>
      </w:pPr>
      <w:r>
        <w:rPr>
          <w:rFonts w:hint="eastAsia" w:ascii="宋体" w:hAnsi="宋体" w:eastAsia="宋体" w:cstheme="minorBidi"/>
          <w:kern w:val="0"/>
          <w:sz w:val="24"/>
          <w:szCs w:val="21"/>
          <w:lang w:val="en-US" w:eastAsia="zh-CN" w:bidi="ar-SA"/>
        </w:rPr>
        <w:t>障碍的后果无法被受影响的一方合理避免或克服。</w:t>
      </w:r>
    </w:p>
    <w:p>
      <w:pPr>
        <w:widowControl/>
        <w:numPr>
          <w:ilvl w:val="0"/>
          <w:numId w:val="30"/>
        </w:numPr>
        <w:tabs>
          <w:tab w:val="left" w:pos="1175"/>
        </w:tabs>
        <w:snapToGrid w:val="0"/>
        <w:spacing w:before="93" w:beforeLines="30" w:after="93" w:afterLines="30"/>
        <w:ind w:left="709" w:hanging="709"/>
        <w:jc w:val="left"/>
        <w:rPr>
          <w:rFonts w:ascii="宋体" w:hAnsi="宋体" w:eastAsia="宋体" w:cstheme="minorBidi"/>
          <w:kern w:val="0"/>
          <w:sz w:val="24"/>
          <w:szCs w:val="21"/>
          <w:lang w:val="en-US" w:eastAsia="zh-CN" w:bidi="ar-SA"/>
        </w:rPr>
      </w:pPr>
      <w:r>
        <w:rPr>
          <w:rFonts w:ascii="宋体" w:hAnsi="宋体" w:eastAsia="宋体" w:cstheme="minorBidi"/>
          <w:kern w:val="0"/>
          <w:sz w:val="24"/>
          <w:szCs w:val="21"/>
          <w:lang w:val="en-US" w:eastAsia="zh-CN" w:bidi="ar-SA"/>
        </w:rPr>
        <w:t>如果一方遭受不可抗力，应立即（不迟于24小时内）通知另一方，并采取一切合理、必要的措施减少损失及不可抗力的影响，恢复合同的履行。不可抗力结束后48小时内，遭受不可抗力的一方应向另一方通报不可抗力的情况，包括不可抗力造成的损害</w:t>
      </w:r>
      <w:r>
        <w:rPr>
          <w:rFonts w:hint="eastAsia" w:ascii="宋体" w:hAnsi="宋体" w:eastAsia="宋体" w:cstheme="minorBidi"/>
          <w:kern w:val="0"/>
          <w:sz w:val="24"/>
          <w:szCs w:val="21"/>
          <w:lang w:val="en-US" w:eastAsia="zh-CN" w:bidi="ar-SA"/>
        </w:rPr>
        <w:t>、延续时间、合同设备受影响的范围、补救措施等，如不可抗力持续发生，遭受不可抗力的一方应及时更新该等信息。</w:t>
      </w:r>
    </w:p>
    <w:p>
      <w:pPr>
        <w:widowControl/>
        <w:numPr>
          <w:ilvl w:val="0"/>
          <w:numId w:val="30"/>
        </w:numPr>
        <w:tabs>
          <w:tab w:val="left" w:pos="1175"/>
        </w:tabs>
        <w:snapToGrid w:val="0"/>
        <w:spacing w:before="93" w:beforeLines="30" w:after="93" w:afterLines="30"/>
        <w:ind w:left="709" w:hanging="709"/>
        <w:jc w:val="left"/>
        <w:rPr>
          <w:rFonts w:ascii="宋体" w:hAnsi="宋体" w:eastAsia="宋体" w:cstheme="minorBidi"/>
          <w:kern w:val="0"/>
          <w:sz w:val="24"/>
          <w:szCs w:val="21"/>
          <w:lang w:val="en-US" w:eastAsia="zh-CN" w:bidi="ar-SA"/>
        </w:rPr>
      </w:pPr>
      <w:r>
        <w:rPr>
          <w:rFonts w:ascii="宋体" w:hAnsi="宋体" w:eastAsia="宋体" w:cstheme="minorBidi"/>
          <w:kern w:val="0"/>
          <w:sz w:val="24"/>
          <w:szCs w:val="21"/>
          <w:lang w:val="en-US" w:eastAsia="zh-CN" w:bidi="ar-SA"/>
        </w:rPr>
        <w:t>不可抗力发生后，</w:t>
      </w:r>
      <w:r>
        <w:rPr>
          <w:rFonts w:hint="eastAsia" w:ascii="宋体" w:hAnsi="宋体" w:eastAsia="宋体" w:cstheme="minorBidi"/>
          <w:kern w:val="0"/>
          <w:sz w:val="24"/>
          <w:szCs w:val="21"/>
          <w:lang w:val="en-US" w:eastAsia="zh-CN" w:bidi="ar-SA"/>
        </w:rPr>
        <w:t>遭受不可抗力一方</w:t>
      </w:r>
      <w:r>
        <w:rPr>
          <w:rFonts w:ascii="宋体" w:hAnsi="宋体" w:eastAsia="宋体" w:cstheme="minorBidi"/>
          <w:kern w:val="0"/>
          <w:sz w:val="24"/>
          <w:szCs w:val="21"/>
          <w:lang w:val="en-US" w:eastAsia="zh-CN" w:bidi="ar-SA"/>
        </w:rPr>
        <w:t>应采取措施尽量避免和减少损失的扩大，</w:t>
      </w:r>
      <w:r>
        <w:rPr>
          <w:rFonts w:hint="eastAsia" w:ascii="宋体" w:hAnsi="宋体" w:eastAsia="宋体" w:cstheme="minorBidi"/>
          <w:kern w:val="0"/>
          <w:sz w:val="24"/>
          <w:szCs w:val="21"/>
          <w:lang w:val="en-US" w:eastAsia="zh-CN" w:bidi="ar-SA"/>
        </w:rPr>
        <w:t>该方</w:t>
      </w:r>
      <w:r>
        <w:rPr>
          <w:rFonts w:ascii="宋体" w:hAnsi="宋体" w:eastAsia="宋体" w:cstheme="minorBidi"/>
          <w:kern w:val="0"/>
          <w:sz w:val="24"/>
          <w:szCs w:val="21"/>
          <w:lang w:val="en-US" w:eastAsia="zh-CN" w:bidi="ar-SA"/>
        </w:rPr>
        <w:t>没有采取有效措施导致损失扩大的，应对扩大的损失承担责任</w:t>
      </w:r>
      <w:r>
        <w:rPr>
          <w:rFonts w:hint="eastAsia" w:ascii="宋体" w:hAnsi="宋体" w:eastAsia="宋体" w:cstheme="minorBidi"/>
          <w:kern w:val="0"/>
          <w:sz w:val="24"/>
          <w:szCs w:val="21"/>
          <w:lang w:val="en-US" w:eastAsia="zh-CN" w:bidi="ar-SA"/>
        </w:rPr>
        <w:t>。</w:t>
      </w:r>
    </w:p>
    <w:p>
      <w:pPr>
        <w:widowControl/>
        <w:numPr>
          <w:ilvl w:val="0"/>
          <w:numId w:val="30"/>
        </w:numPr>
        <w:tabs>
          <w:tab w:val="left" w:pos="1175"/>
        </w:tabs>
        <w:snapToGrid w:val="0"/>
        <w:spacing w:before="93" w:beforeLines="30" w:after="93" w:afterLines="30"/>
        <w:ind w:left="709" w:hanging="709"/>
        <w:jc w:val="left"/>
        <w:rPr>
          <w:rFonts w:ascii="宋体" w:hAnsi="宋体" w:eastAsia="宋体" w:cstheme="minorBidi"/>
          <w:kern w:val="0"/>
          <w:sz w:val="24"/>
          <w:szCs w:val="21"/>
          <w:highlight w:val="none"/>
          <w:lang w:val="en-US" w:eastAsia="zh-CN" w:bidi="ar-SA"/>
        </w:rPr>
      </w:pPr>
      <w:r>
        <w:rPr>
          <w:rFonts w:hint="eastAsia" w:ascii="宋体" w:hAnsi="宋体" w:eastAsia="宋体" w:cstheme="minorBidi"/>
          <w:kern w:val="0"/>
          <w:sz w:val="24"/>
          <w:szCs w:val="21"/>
          <w:highlight w:val="none"/>
          <w:lang w:val="en-US" w:eastAsia="zh-CN" w:bidi="ar-SA"/>
        </w:rPr>
        <w:t>如发生不可抗力，双方各自承担其人员和财产损失。一旦不可抗力停止或者影响消除，双方应立即履行其义务，合同的期限应该相应顺延。如果不可抗力的影响持续超过【5】日，双方应该共同商议应对措施。</w:t>
      </w:r>
    </w:p>
    <w:p>
      <w:pPr>
        <w:widowControl/>
        <w:numPr>
          <w:ilvl w:val="0"/>
          <w:numId w:val="30"/>
        </w:numPr>
        <w:tabs>
          <w:tab w:val="left" w:pos="1175"/>
        </w:tabs>
        <w:snapToGrid w:val="0"/>
        <w:spacing w:before="93" w:beforeLines="30" w:after="93" w:afterLines="30"/>
        <w:ind w:left="709" w:hanging="709"/>
        <w:jc w:val="left"/>
        <w:rPr>
          <w:rFonts w:ascii="宋体" w:hAnsi="宋体" w:eastAsia="宋体" w:cstheme="minorBidi"/>
          <w:kern w:val="0"/>
          <w:sz w:val="24"/>
          <w:szCs w:val="21"/>
          <w:highlight w:val="none"/>
          <w:lang w:val="en-US" w:eastAsia="zh-CN" w:bidi="ar-SA"/>
        </w:rPr>
      </w:pPr>
      <w:r>
        <w:rPr>
          <w:rFonts w:hint="eastAsia" w:ascii="宋体" w:hAnsi="宋体" w:eastAsia="宋体" w:cstheme="minorBidi"/>
          <w:kern w:val="0"/>
          <w:sz w:val="24"/>
          <w:szCs w:val="21"/>
          <w:highlight w:val="none"/>
          <w:lang w:val="en-US" w:eastAsia="zh-CN" w:bidi="ar-SA"/>
        </w:rPr>
        <w:t>任何一方迟延履行合同后遭受不可抗力的，不得减少、免除该方在本合同项下的任何义务和责任。</w:t>
      </w:r>
    </w:p>
    <w:p>
      <w:pPr>
        <w:widowControl/>
        <w:numPr>
          <w:ilvl w:val="0"/>
          <w:numId w:val="30"/>
        </w:numPr>
        <w:tabs>
          <w:tab w:val="left" w:pos="1175"/>
        </w:tabs>
        <w:snapToGrid w:val="0"/>
        <w:spacing w:before="93" w:beforeLines="30" w:after="93" w:afterLines="30"/>
        <w:ind w:left="709" w:hanging="709"/>
        <w:jc w:val="left"/>
        <w:rPr>
          <w:rFonts w:ascii="宋体" w:hAnsi="宋体" w:eastAsia="宋体" w:cstheme="minorBidi"/>
          <w:kern w:val="0"/>
          <w:sz w:val="24"/>
          <w:szCs w:val="21"/>
          <w:highlight w:val="none"/>
          <w:lang w:val="en-US" w:eastAsia="zh-CN" w:bidi="ar-SA"/>
        </w:rPr>
      </w:pPr>
      <w:r>
        <w:rPr>
          <w:rFonts w:hint="eastAsia" w:ascii="宋体" w:hAnsi="宋体" w:eastAsia="宋体" w:cstheme="minorBidi"/>
          <w:kern w:val="0"/>
          <w:sz w:val="24"/>
          <w:szCs w:val="21"/>
          <w:highlight w:val="none"/>
          <w:lang w:val="en-US" w:eastAsia="zh-CN" w:bidi="ar-SA"/>
        </w:rPr>
        <w:t>任何一方因不可抗力不能或迟延履行本合同，在不可抗力的所涉范围内不承担违约责任。不可抗力的发生不能造成任何一方支付额外款项、赔偿或其它救济方式，双方放弃对不可抗力事项进行索赔的权利。</w:t>
      </w:r>
    </w:p>
    <w:p>
      <w:pPr>
        <w:pStyle w:val="26"/>
        <w:keepNext w:val="0"/>
        <w:keepLines w:val="0"/>
        <w:tabs>
          <w:tab w:val="clear" w:pos="720"/>
        </w:tabs>
        <w:adjustRightInd w:val="0"/>
        <w:snapToGrid w:val="0"/>
        <w:spacing w:before="93" w:beforeLines="30" w:beforeAutospacing="0" w:after="93" w:afterLines="30" w:afterAutospacing="0" w:line="360" w:lineRule="auto"/>
        <w:ind w:left="720" w:hanging="720"/>
        <w:jc w:val="left"/>
        <w:rPr>
          <w:b w:val="0"/>
          <w:highlight w:val="none"/>
        </w:rPr>
      </w:pPr>
      <w:bookmarkStart w:id="80" w:name="_Toc364839378"/>
      <w:r>
        <w:rPr>
          <w:rFonts w:hint="eastAsia" w:ascii="宋体" w:hAnsi="宋体"/>
          <w:b w:val="0"/>
          <w:szCs w:val="24"/>
          <w:highlight w:val="none"/>
        </w:rPr>
        <w:t>保障</w:t>
      </w:r>
      <w:bookmarkEnd w:id="77"/>
      <w:bookmarkEnd w:id="78"/>
      <w:bookmarkEnd w:id="79"/>
      <w:bookmarkEnd w:id="80"/>
      <w:bookmarkStart w:id="81" w:name="_Toc298158360"/>
      <w:bookmarkStart w:id="82" w:name="_Toc300147858"/>
    </w:p>
    <w:p>
      <w:pPr>
        <w:widowControl/>
        <w:numPr>
          <w:ilvl w:val="0"/>
          <w:numId w:val="32"/>
        </w:numPr>
        <w:tabs>
          <w:tab w:val="left" w:pos="1175"/>
        </w:tabs>
        <w:snapToGrid w:val="0"/>
        <w:spacing w:before="93" w:beforeLines="30" w:after="93" w:afterLines="30"/>
        <w:ind w:left="709" w:hanging="709"/>
        <w:jc w:val="left"/>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highlight w:val="none"/>
          <w:lang w:val="en-US" w:eastAsia="zh-CN" w:bidi="ar-SA"/>
        </w:rPr>
        <w:t>乙方、乙方代理或分包商（如有）因履行合同造成任何第三方财产损失、损坏、人身伤亡或疾病，乙方应承担全部责任，并应确保甲方免于所有相关的索赔、损失、损害、费用和责任，包括但不限于在甲方因此需向第三</w:t>
      </w:r>
      <w:r>
        <w:rPr>
          <w:rFonts w:hint="eastAsia" w:ascii="宋体" w:hAnsi="宋体" w:eastAsia="宋体" w:cs="Times New Roman"/>
          <w:kern w:val="2"/>
          <w:sz w:val="24"/>
          <w:szCs w:val="24"/>
          <w:lang w:val="en-US" w:eastAsia="zh-CN" w:bidi="ar-SA"/>
        </w:rPr>
        <w:t>方支付任何赔偿时，乙方均应全额予以补偿。</w:t>
      </w:r>
    </w:p>
    <w:p>
      <w:pPr>
        <w:widowControl/>
        <w:numPr>
          <w:ilvl w:val="0"/>
          <w:numId w:val="32"/>
        </w:numPr>
        <w:tabs>
          <w:tab w:val="left" w:pos="1175"/>
        </w:tabs>
        <w:snapToGrid w:val="0"/>
        <w:spacing w:before="93" w:beforeLines="30" w:after="93" w:afterLines="30"/>
        <w:ind w:left="709" w:hanging="709"/>
        <w:jc w:val="left"/>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 xml:space="preserve">如因履行本合同，乙方及其人员、乙方代理、分包商及其人员（如有）的任何财产（包括但不限于设备、装置、器材等，且无论该等财产属于自有、租用、租赁或以其它方式提供）发生毁损、灭失或其它损失，除非该等损失系因甲方故意或重大过失所致，乙方应自行承担全部损失，并应确保甲方免于所有相关的索赔、损失、损害、费用和责任。 </w:t>
      </w:r>
    </w:p>
    <w:p>
      <w:pPr>
        <w:widowControl/>
        <w:numPr>
          <w:ilvl w:val="0"/>
          <w:numId w:val="32"/>
        </w:numPr>
        <w:tabs>
          <w:tab w:val="left" w:pos="1175"/>
        </w:tabs>
        <w:snapToGrid w:val="0"/>
        <w:spacing w:before="93" w:beforeLines="30" w:after="93" w:afterLines="30"/>
        <w:ind w:left="709" w:hanging="709"/>
        <w:jc w:val="left"/>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如因履行本合同而发生的或与履行本合同有关的乙方、乙方代理及分包商（如有）的人员发生人身伤亡或疾病，除非该等人身伤亡或疾病系因甲方故意或重大过失所致，乙方应对上述人员的人身伤亡或疾病负责，并确保甲方免于所有相关的索赔、损失、损害、费用和责任，包括但不限于甲方因此需要支付任何赔偿时，乙方均应全额予以补偿。</w:t>
      </w:r>
    </w:p>
    <w:p>
      <w:pPr>
        <w:widowControl/>
        <w:numPr>
          <w:ilvl w:val="0"/>
          <w:numId w:val="32"/>
        </w:numPr>
        <w:tabs>
          <w:tab w:val="left" w:pos="1175"/>
        </w:tabs>
        <w:snapToGrid w:val="0"/>
        <w:spacing w:before="93" w:beforeLines="30" w:after="93" w:afterLines="30"/>
        <w:ind w:left="709" w:hanging="709"/>
        <w:jc w:val="left"/>
        <w:rPr>
          <w:rFonts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如因履行本合同，乙方造成任何江、河、湖、海、陆地、大气及其它环境污染，乙方应单独承担全部责任，包括消除污染源、赔偿污染造成的损失、承担污染产生的法律责任和污染造成的停工损失等，并应确保甲方免于所有相关的索赔、损失、损害、费用和责任，包括但不限于在甲方因此需要支付任何赔偿时，乙方均应全额予以补偿。</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83" w:name="_Toc364839379"/>
      <w:r>
        <w:rPr>
          <w:rFonts w:hint="eastAsia" w:ascii="宋体" w:hAnsi="宋体"/>
          <w:b w:val="0"/>
          <w:szCs w:val="24"/>
        </w:rPr>
        <w:t>保密</w:t>
      </w:r>
      <w:bookmarkEnd w:id="81"/>
      <w:bookmarkEnd w:id="82"/>
      <w:bookmarkEnd w:id="83"/>
    </w:p>
    <w:p>
      <w:pPr>
        <w:numPr>
          <w:ilvl w:val="0"/>
          <w:numId w:val="33"/>
        </w:numPr>
        <w:tabs>
          <w:tab w:val="left" w:pos="709"/>
        </w:tabs>
        <w:adjustRightInd w:val="0"/>
        <w:snapToGrid w:val="0"/>
        <w:spacing w:before="93" w:beforeLines="30" w:after="93" w:afterLines="30" w:line="360" w:lineRule="auto"/>
        <w:ind w:left="709" w:hanging="709"/>
        <w:rPr>
          <w:rFonts w:ascii="宋体" w:hAnsi="宋体"/>
          <w:sz w:val="24"/>
        </w:rPr>
      </w:pPr>
      <w:r>
        <w:rPr>
          <w:rFonts w:ascii="宋体" w:hAnsi="宋体"/>
          <w:sz w:val="24"/>
        </w:rPr>
        <w:t>除非法律法规、政府机关另行强制要求，未经</w:t>
      </w:r>
      <w:r>
        <w:rPr>
          <w:rFonts w:hint="eastAsia" w:ascii="宋体" w:hAnsi="宋体"/>
          <w:sz w:val="24"/>
        </w:rPr>
        <w:t>甲方事先书面</w:t>
      </w:r>
      <w:r>
        <w:rPr>
          <w:rFonts w:ascii="宋体" w:hAnsi="宋体"/>
          <w:sz w:val="24"/>
        </w:rPr>
        <w:t>同意，</w:t>
      </w:r>
      <w:r>
        <w:rPr>
          <w:rFonts w:hint="eastAsia" w:ascii="宋体" w:hAnsi="宋体"/>
          <w:sz w:val="24"/>
        </w:rPr>
        <w:t>乙方</w:t>
      </w:r>
      <w:r>
        <w:rPr>
          <w:rFonts w:ascii="宋体" w:hAnsi="宋体"/>
          <w:sz w:val="24"/>
        </w:rPr>
        <w:t>不得将</w:t>
      </w:r>
      <w:r>
        <w:rPr>
          <w:rFonts w:hint="eastAsia" w:ascii="宋体" w:hAnsi="宋体"/>
          <w:sz w:val="24"/>
        </w:rPr>
        <w:t>甲方</w:t>
      </w:r>
      <w:r>
        <w:rPr>
          <w:rFonts w:ascii="宋体" w:hAnsi="宋体"/>
          <w:sz w:val="24"/>
        </w:rPr>
        <w:t>保密信息披露给任何第三方（包括与合同无关的</w:t>
      </w:r>
      <w:r>
        <w:rPr>
          <w:rFonts w:hint="eastAsia" w:ascii="宋体" w:hAnsi="宋体"/>
          <w:sz w:val="24"/>
        </w:rPr>
        <w:t>乙方</w:t>
      </w:r>
      <w:r>
        <w:rPr>
          <w:rFonts w:ascii="宋体" w:hAnsi="宋体"/>
          <w:sz w:val="24"/>
        </w:rPr>
        <w:t>员工和政府部门），亦不得将该等信息用于与本合同无关的用途。保密信息包括但不限于：</w:t>
      </w:r>
      <w:r>
        <w:rPr>
          <w:rFonts w:hint="eastAsia" w:ascii="宋体" w:hAnsi="宋体"/>
          <w:sz w:val="24"/>
        </w:rPr>
        <w:t>本</w:t>
      </w:r>
      <w:r>
        <w:rPr>
          <w:rFonts w:ascii="宋体" w:hAnsi="宋体"/>
          <w:sz w:val="24"/>
        </w:rPr>
        <w:t>合同内容；</w:t>
      </w:r>
      <w:r>
        <w:rPr>
          <w:rFonts w:hint="eastAsia" w:ascii="宋体" w:hAnsi="宋体"/>
          <w:sz w:val="24"/>
        </w:rPr>
        <w:t>甲方提供的</w:t>
      </w:r>
      <w:r>
        <w:rPr>
          <w:rFonts w:ascii="宋体" w:hAnsi="宋体"/>
          <w:sz w:val="24"/>
        </w:rPr>
        <w:t>与本合同有关的任何技术信息、图纸、样本、资料等；</w:t>
      </w:r>
      <w:r>
        <w:rPr>
          <w:rFonts w:hint="eastAsia" w:ascii="宋体" w:hAnsi="宋体"/>
          <w:sz w:val="24"/>
        </w:rPr>
        <w:t>甲方</w:t>
      </w:r>
      <w:r>
        <w:rPr>
          <w:rFonts w:ascii="宋体" w:hAnsi="宋体"/>
          <w:sz w:val="24"/>
        </w:rPr>
        <w:t>提供的或</w:t>
      </w:r>
      <w:r>
        <w:rPr>
          <w:rFonts w:hint="eastAsia" w:ascii="宋体" w:hAnsi="宋体"/>
          <w:sz w:val="24"/>
        </w:rPr>
        <w:t>乙方</w:t>
      </w:r>
      <w:r>
        <w:rPr>
          <w:rFonts w:ascii="宋体" w:hAnsi="宋体"/>
          <w:sz w:val="24"/>
        </w:rPr>
        <w:t>获得的与项目或甲方有关的任何技术和商务信息。</w:t>
      </w:r>
    </w:p>
    <w:p>
      <w:pPr>
        <w:numPr>
          <w:ilvl w:val="0"/>
          <w:numId w:val="33"/>
        </w:numPr>
        <w:tabs>
          <w:tab w:val="left" w:pos="709"/>
        </w:tabs>
        <w:adjustRightInd w:val="0"/>
        <w:snapToGrid w:val="0"/>
        <w:spacing w:before="93" w:beforeLines="30" w:after="93" w:afterLines="30" w:line="360" w:lineRule="auto"/>
        <w:ind w:left="709" w:hanging="709"/>
        <w:rPr>
          <w:rFonts w:ascii="宋体" w:hAnsi="宋体" w:eastAsia="宋体" w:cs="Times New Roman"/>
          <w:sz w:val="24"/>
        </w:rPr>
      </w:pPr>
      <w:r>
        <w:rPr>
          <w:rFonts w:hint="eastAsia" w:ascii="宋体" w:hAnsi="宋体" w:eastAsia="宋体" w:cs="Times New Roman"/>
          <w:sz w:val="24"/>
        </w:rPr>
        <w:t>一方违反保密义务时，另一方有权要求该方停止侵害、消除影响或采取其他合理的救济措施，该方还应赔偿因违约行为而给对方造成的全部损失。</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84" w:name="_Toc287977559"/>
      <w:bookmarkStart w:id="85" w:name="_Toc364839380"/>
      <w:bookmarkStart w:id="86" w:name="_Toc299550775"/>
      <w:bookmarkStart w:id="87" w:name="_Toc296955886"/>
      <w:bookmarkStart w:id="88" w:name="_Toc299912683"/>
      <w:bookmarkStart w:id="89" w:name="_Toc288479437"/>
      <w:bookmarkStart w:id="90" w:name="_Toc299915698"/>
      <w:bookmarkStart w:id="91" w:name="_Toc296959348"/>
      <w:r>
        <w:rPr>
          <w:rFonts w:hint="eastAsia" w:ascii="宋体" w:hAnsi="宋体"/>
          <w:b w:val="0"/>
          <w:szCs w:val="24"/>
        </w:rPr>
        <w:t>审计</w:t>
      </w:r>
      <w:bookmarkEnd w:id="84"/>
      <w:bookmarkEnd w:id="85"/>
      <w:bookmarkEnd w:id="86"/>
      <w:bookmarkEnd w:id="87"/>
      <w:bookmarkEnd w:id="88"/>
      <w:bookmarkEnd w:id="89"/>
      <w:bookmarkEnd w:id="90"/>
      <w:bookmarkEnd w:id="91"/>
      <w:r>
        <w:rPr>
          <w:rFonts w:hint="eastAsia"/>
          <w:b w:val="0"/>
          <w:szCs w:val="24"/>
        </w:rPr>
        <w:t>、禁止商业贿赂和反腐败</w:t>
      </w:r>
    </w:p>
    <w:p>
      <w:pPr>
        <w:numPr>
          <w:ilvl w:val="0"/>
          <w:numId w:val="34"/>
        </w:numPr>
        <w:adjustRightInd w:val="0"/>
        <w:snapToGrid w:val="0"/>
        <w:spacing w:before="93" w:beforeLines="30" w:after="93" w:afterLines="30" w:line="360" w:lineRule="auto"/>
        <w:ind w:left="709" w:hanging="709"/>
        <w:rPr>
          <w:rFonts w:ascii="宋体" w:hAnsi="宋体"/>
          <w:sz w:val="24"/>
          <w:highlight w:val="none"/>
        </w:rPr>
      </w:pPr>
      <w:r>
        <w:rPr>
          <w:rFonts w:hint="eastAsia" w:ascii="宋体" w:hAnsi="宋体"/>
          <w:kern w:val="0"/>
          <w:sz w:val="24"/>
        </w:rPr>
        <w:t>乙方应根据甲方要求，接受和配合甲方或甲方委</w:t>
      </w:r>
      <w:r>
        <w:rPr>
          <w:rFonts w:hint="eastAsia" w:ascii="宋体" w:hAnsi="宋体"/>
          <w:sz w:val="24"/>
        </w:rPr>
        <w:t>托的会计师事务所进行的与本合同相关的审计，包括配合甲方或甲方委托的会计师事务所对分包商进行的与分包合同相关的审计。乙方应在分包合同中要求其分包商接受与本合同</w:t>
      </w:r>
      <w:r>
        <w:rPr>
          <w:rFonts w:hint="eastAsia" w:ascii="宋体" w:hAnsi="宋体"/>
          <w:kern w:val="0"/>
          <w:sz w:val="24"/>
        </w:rPr>
        <w:t>相同</w:t>
      </w:r>
      <w:r>
        <w:rPr>
          <w:rFonts w:hint="eastAsia" w:ascii="宋体" w:hAnsi="宋体"/>
          <w:sz w:val="24"/>
        </w:rPr>
        <w:t>的审计要求，包括分包商应无条件接受和配合甲方或甲方委托</w:t>
      </w:r>
      <w:r>
        <w:rPr>
          <w:rFonts w:hint="eastAsia" w:ascii="宋体" w:hAnsi="宋体"/>
          <w:sz w:val="24"/>
          <w:highlight w:val="none"/>
        </w:rPr>
        <w:t>的会计师事务所对分包商进行的与分包合同相关的审计。</w:t>
      </w:r>
    </w:p>
    <w:p>
      <w:pPr>
        <w:numPr>
          <w:ilvl w:val="0"/>
          <w:numId w:val="34"/>
        </w:numPr>
        <w:adjustRightInd w:val="0"/>
        <w:snapToGrid w:val="0"/>
        <w:spacing w:before="93" w:beforeLines="30" w:after="93" w:afterLines="30" w:line="360" w:lineRule="auto"/>
        <w:ind w:left="709" w:hanging="709"/>
        <w:rPr>
          <w:rFonts w:ascii="宋体" w:hAnsi="宋体"/>
          <w:sz w:val="24"/>
          <w:highlight w:val="none"/>
        </w:rPr>
      </w:pPr>
      <w:r>
        <w:rPr>
          <w:rFonts w:hint="eastAsia" w:ascii="宋体" w:hAnsi="宋体"/>
          <w:kern w:val="0"/>
          <w:sz w:val="24"/>
          <w:highlight w:val="none"/>
        </w:rPr>
        <w:t>乙方应保存与本合同相关的记录和账目，保存期限为本合同终止后【十（</w:t>
      </w:r>
      <w:r>
        <w:rPr>
          <w:rFonts w:ascii="宋体" w:hAnsi="宋体"/>
          <w:kern w:val="0"/>
          <w:sz w:val="24"/>
          <w:highlight w:val="none"/>
        </w:rPr>
        <w:t>10</w:t>
      </w:r>
      <w:r>
        <w:rPr>
          <w:rFonts w:hint="eastAsia" w:ascii="宋体" w:hAnsi="宋体"/>
          <w:kern w:val="0"/>
          <w:sz w:val="24"/>
          <w:highlight w:val="none"/>
        </w:rPr>
        <w:t>）】年或遵从所在国相关规定。经提前通知，甲方或甲方委托的会计师事务所有权检查并复制该等记录和账目。</w:t>
      </w:r>
    </w:p>
    <w:p>
      <w:pPr>
        <w:numPr>
          <w:ilvl w:val="0"/>
          <w:numId w:val="34"/>
        </w:numPr>
        <w:adjustRightInd w:val="0"/>
        <w:snapToGrid w:val="0"/>
        <w:spacing w:before="93" w:beforeLines="30" w:after="93" w:afterLines="30" w:line="360" w:lineRule="auto"/>
        <w:ind w:left="709" w:hanging="709"/>
        <w:rPr>
          <w:rFonts w:ascii="宋体" w:hAnsi="宋体"/>
          <w:sz w:val="24"/>
        </w:rPr>
      </w:pPr>
      <w:r>
        <w:rPr>
          <w:rFonts w:hint="eastAsia"/>
          <w:sz w:val="24"/>
          <w:highlight w:val="none"/>
        </w:rPr>
        <w:t>双方确认并承诺，双方熟悉并了解合同签订地和履行地关于禁止商业贿赂和反腐败的法律、法规及商业政策，双方承诺双方的高级职员、员工、授权代表或者代理商将会严格遵守前述禁止商业贿赂和反腐败的法律、法规及商业政策。卖方应在其分包合同（如有）中要求分包商遵守相同的禁止</w:t>
      </w:r>
      <w:r>
        <w:rPr>
          <w:rFonts w:hint="eastAsia"/>
          <w:sz w:val="24"/>
        </w:rPr>
        <w:t>商业贿赂及反腐败要求。违反禁止商业贿赂和反腐败法律、法规及商业政策的一方将承担相应的法律责任及所有不利后果，且守约方有权因此随时终止本合同。</w:t>
      </w:r>
    </w:p>
    <w:p>
      <w:pPr>
        <w:pStyle w:val="26"/>
        <w:keepNext w:val="0"/>
        <w:keepLines w:val="0"/>
        <w:tabs>
          <w:tab w:val="left" w:pos="1276"/>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92" w:name="_Toc364839381"/>
      <w:bookmarkStart w:id="93" w:name="_Toc297822760"/>
      <w:bookmarkStart w:id="94" w:name="_Toc299915699"/>
      <w:r>
        <w:rPr>
          <w:rFonts w:hint="eastAsia" w:ascii="宋体" w:hAnsi="宋体"/>
          <w:b w:val="0"/>
          <w:szCs w:val="24"/>
        </w:rPr>
        <w:t>通知</w:t>
      </w:r>
      <w:bookmarkEnd w:id="92"/>
      <w:bookmarkEnd w:id="93"/>
      <w:bookmarkEnd w:id="94"/>
    </w:p>
    <w:p>
      <w:pPr>
        <w:widowControl/>
        <w:numPr>
          <w:ilvl w:val="0"/>
          <w:numId w:val="35"/>
        </w:numPr>
        <w:tabs>
          <w:tab w:val="left" w:pos="709"/>
        </w:tabs>
        <w:autoSpaceDE w:val="0"/>
        <w:autoSpaceDN w:val="0"/>
        <w:adjustRightInd w:val="0"/>
        <w:snapToGrid w:val="0"/>
        <w:spacing w:before="93" w:beforeLines="30" w:after="93" w:afterLines="30" w:line="360" w:lineRule="auto"/>
        <w:ind w:left="709" w:hanging="709"/>
        <w:jc w:val="left"/>
        <w:textAlignment w:val="bottom"/>
        <w:rPr>
          <w:rFonts w:ascii="宋体" w:hAnsi="宋体"/>
          <w:sz w:val="24"/>
        </w:rPr>
      </w:pPr>
      <w:r>
        <w:rPr>
          <w:rFonts w:hint="eastAsia" w:ascii="宋体" w:hAnsi="宋体"/>
          <w:sz w:val="24"/>
        </w:rPr>
        <w:t>通知应根据本合同约定以亲自递送、特快专递、传真等方式送达。</w:t>
      </w:r>
      <w:r>
        <w:rPr>
          <w:rFonts w:ascii="宋体" w:hAnsi="宋体"/>
          <w:sz w:val="24"/>
        </w:rPr>
        <w:t>通知在下列情况视为</w:t>
      </w:r>
      <w:r>
        <w:rPr>
          <w:rFonts w:hint="eastAsia" w:ascii="宋体" w:hAnsi="宋体"/>
          <w:sz w:val="24"/>
        </w:rPr>
        <w:t>送达</w:t>
      </w:r>
      <w:r>
        <w:rPr>
          <w:rFonts w:ascii="宋体" w:hAnsi="宋体"/>
          <w:sz w:val="24"/>
        </w:rPr>
        <w:t>：</w:t>
      </w:r>
    </w:p>
    <w:p>
      <w:pPr>
        <w:widowControl/>
        <w:numPr>
          <w:ilvl w:val="1"/>
          <w:numId w:val="36"/>
        </w:numPr>
        <w:adjustRightInd w:val="0"/>
        <w:snapToGrid w:val="0"/>
        <w:spacing w:before="93" w:beforeLines="30" w:after="93" w:afterLines="30" w:line="360" w:lineRule="auto"/>
        <w:ind w:left="1276" w:hanging="567"/>
        <w:jc w:val="left"/>
        <w:rPr>
          <w:rFonts w:ascii="宋体" w:hAnsi="宋体"/>
          <w:sz w:val="24"/>
        </w:rPr>
      </w:pPr>
      <w:r>
        <w:rPr>
          <w:rFonts w:ascii="宋体" w:hAnsi="宋体"/>
          <w:sz w:val="24"/>
        </w:rPr>
        <w:t>如采</w:t>
      </w:r>
      <w:r>
        <w:rPr>
          <w:rFonts w:hint="eastAsia" w:ascii="宋体" w:hAnsi="宋体"/>
          <w:sz w:val="24"/>
        </w:rPr>
        <w:t>用</w:t>
      </w:r>
      <w:r>
        <w:rPr>
          <w:rFonts w:ascii="宋体" w:hAnsi="宋体"/>
          <w:sz w:val="24"/>
        </w:rPr>
        <w:t>亲自递送方式，于</w:t>
      </w:r>
      <w:r>
        <w:rPr>
          <w:rFonts w:hint="eastAsia" w:ascii="宋体" w:hAnsi="宋体"/>
          <w:sz w:val="24"/>
        </w:rPr>
        <w:t>签收确认</w:t>
      </w:r>
      <w:r>
        <w:rPr>
          <w:rFonts w:ascii="宋体" w:hAnsi="宋体"/>
          <w:sz w:val="24"/>
        </w:rPr>
        <w:t>之时；</w:t>
      </w:r>
    </w:p>
    <w:p>
      <w:pPr>
        <w:widowControl/>
        <w:numPr>
          <w:ilvl w:val="1"/>
          <w:numId w:val="36"/>
        </w:numPr>
        <w:adjustRightInd w:val="0"/>
        <w:snapToGrid w:val="0"/>
        <w:spacing w:before="93" w:beforeLines="30" w:after="93" w:afterLines="30" w:line="360" w:lineRule="auto"/>
        <w:ind w:left="1276" w:hanging="567"/>
        <w:jc w:val="left"/>
        <w:rPr>
          <w:rFonts w:ascii="宋体" w:hAnsi="宋体"/>
          <w:sz w:val="24"/>
        </w:rPr>
      </w:pPr>
      <w:r>
        <w:rPr>
          <w:rFonts w:ascii="宋体" w:hAnsi="宋体"/>
          <w:sz w:val="24"/>
        </w:rPr>
        <w:t>如采</w:t>
      </w:r>
      <w:r>
        <w:rPr>
          <w:rFonts w:hint="eastAsia" w:ascii="宋体" w:hAnsi="宋体"/>
          <w:sz w:val="24"/>
        </w:rPr>
        <w:t>用特快专递</w:t>
      </w:r>
      <w:r>
        <w:rPr>
          <w:rFonts w:ascii="宋体" w:hAnsi="宋体"/>
          <w:sz w:val="24"/>
        </w:rPr>
        <w:t>方式，于</w:t>
      </w:r>
      <w:r>
        <w:rPr>
          <w:rFonts w:hint="eastAsia" w:ascii="宋体" w:hAnsi="宋体"/>
          <w:sz w:val="24"/>
        </w:rPr>
        <w:t>收件人签收</w:t>
      </w:r>
      <w:r>
        <w:rPr>
          <w:rFonts w:ascii="宋体" w:hAnsi="宋体"/>
          <w:sz w:val="24"/>
        </w:rPr>
        <w:t>之时</w:t>
      </w:r>
      <w:r>
        <w:rPr>
          <w:rFonts w:hint="eastAsia" w:ascii="宋体" w:hAnsi="宋体"/>
          <w:sz w:val="24"/>
        </w:rPr>
        <w:t>；</w:t>
      </w:r>
    </w:p>
    <w:p>
      <w:pPr>
        <w:widowControl/>
        <w:numPr>
          <w:ilvl w:val="1"/>
          <w:numId w:val="36"/>
        </w:numPr>
        <w:adjustRightInd w:val="0"/>
        <w:snapToGrid w:val="0"/>
        <w:spacing w:before="93" w:beforeLines="30" w:after="93" w:afterLines="30" w:line="360" w:lineRule="auto"/>
        <w:ind w:left="1276" w:hanging="567"/>
        <w:jc w:val="left"/>
        <w:rPr>
          <w:rFonts w:ascii="宋体" w:hAnsi="宋体"/>
          <w:sz w:val="24"/>
        </w:rPr>
      </w:pPr>
      <w:r>
        <w:rPr>
          <w:rFonts w:ascii="宋体" w:hAnsi="宋体"/>
          <w:sz w:val="24"/>
        </w:rPr>
        <w:t>如采</w:t>
      </w:r>
      <w:r>
        <w:rPr>
          <w:rFonts w:hint="eastAsia" w:ascii="宋体" w:hAnsi="宋体"/>
          <w:sz w:val="24"/>
        </w:rPr>
        <w:t>用</w:t>
      </w:r>
      <w:r>
        <w:rPr>
          <w:rFonts w:ascii="宋体" w:hAnsi="宋体"/>
          <w:sz w:val="24"/>
        </w:rPr>
        <w:t>传真方式，于确认传输之时</w:t>
      </w:r>
      <w:r>
        <w:rPr>
          <w:rFonts w:hint="eastAsia" w:ascii="宋体" w:hAnsi="宋体"/>
          <w:sz w:val="24"/>
        </w:rPr>
        <w:t>。</w:t>
      </w:r>
    </w:p>
    <w:p>
      <w:pPr>
        <w:widowControl/>
        <w:numPr>
          <w:ilvl w:val="0"/>
          <w:numId w:val="35"/>
        </w:numPr>
        <w:tabs>
          <w:tab w:val="left" w:pos="709"/>
        </w:tabs>
        <w:autoSpaceDE w:val="0"/>
        <w:autoSpaceDN w:val="0"/>
        <w:adjustRightInd w:val="0"/>
        <w:snapToGrid w:val="0"/>
        <w:spacing w:before="93" w:beforeLines="30" w:after="93" w:afterLines="30" w:line="360" w:lineRule="auto"/>
        <w:ind w:left="709" w:hanging="709"/>
        <w:jc w:val="left"/>
        <w:textAlignment w:val="bottom"/>
        <w:rPr>
          <w:rFonts w:ascii="宋体" w:hAnsi="宋体" w:eastAsia="宋体" w:cs="Times New Roman"/>
          <w:sz w:val="24"/>
        </w:rPr>
      </w:pPr>
      <w:r>
        <w:rPr>
          <w:rFonts w:hint="eastAsia" w:ascii="宋体" w:hAnsi="宋体" w:eastAsia="宋体" w:cs="Times New Roman"/>
          <w:sz w:val="24"/>
        </w:rPr>
        <w:t>除非一方另行明确要求，双方可通过互联网电子邮件进行通讯联系或传送文件。因不能合理控制的原因导致任何互联网电子邮件遗失、延误、被截取、破坏或修改的，通知发出方不承担因此造成的任何损失、损害、费用、伤害或不便。</w:t>
      </w:r>
    </w:p>
    <w:p>
      <w:pPr>
        <w:widowControl/>
        <w:numPr>
          <w:ilvl w:val="0"/>
          <w:numId w:val="35"/>
        </w:numPr>
        <w:tabs>
          <w:tab w:val="left" w:pos="709"/>
        </w:tabs>
        <w:autoSpaceDE w:val="0"/>
        <w:autoSpaceDN w:val="0"/>
        <w:adjustRightInd w:val="0"/>
        <w:snapToGrid w:val="0"/>
        <w:spacing w:before="93" w:beforeLines="30" w:after="93" w:afterLines="30" w:line="360" w:lineRule="auto"/>
        <w:ind w:left="709" w:hanging="709"/>
        <w:jc w:val="left"/>
        <w:textAlignment w:val="bottom"/>
        <w:rPr>
          <w:rFonts w:ascii="宋体" w:hAnsi="宋体" w:eastAsia="宋体" w:cs="Times New Roman"/>
          <w:sz w:val="24"/>
        </w:rPr>
      </w:pPr>
      <w:r>
        <w:rPr>
          <w:rFonts w:hint="eastAsia" w:ascii="宋体" w:hAnsi="宋体" w:eastAsia="宋体" w:cs="Times New Roman"/>
          <w:sz w:val="24"/>
        </w:rPr>
        <w:t>本合同送达地址适用范围包括就本合同发生争议时相关文件和法律文书的 送达（包括争议进入仲裁、民事诉讼程序后的一审、二审、再审和执行程序）。</w:t>
      </w:r>
    </w:p>
    <w:p>
      <w:pPr>
        <w:pStyle w:val="26"/>
        <w:keepNext w:val="0"/>
        <w:keepLines w:val="0"/>
        <w:tabs>
          <w:tab w:val="left" w:pos="1276"/>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95" w:name="_Toc364839382"/>
      <w:bookmarkStart w:id="96" w:name="_Toc299915700"/>
      <w:r>
        <w:rPr>
          <w:rFonts w:hint="eastAsia" w:ascii="宋体" w:hAnsi="宋体"/>
          <w:b w:val="0"/>
          <w:szCs w:val="24"/>
        </w:rPr>
        <w:t>法律适用和争议解决</w:t>
      </w:r>
      <w:bookmarkEnd w:id="95"/>
      <w:bookmarkEnd w:id="96"/>
    </w:p>
    <w:p>
      <w:pPr>
        <w:widowControl/>
        <w:numPr>
          <w:ilvl w:val="0"/>
          <w:numId w:val="37"/>
        </w:numPr>
        <w:tabs>
          <w:tab w:val="left" w:pos="709"/>
        </w:tabs>
        <w:autoSpaceDE w:val="0"/>
        <w:autoSpaceDN w:val="0"/>
        <w:adjustRightInd w:val="0"/>
        <w:snapToGrid w:val="0"/>
        <w:spacing w:before="93" w:beforeLines="30" w:after="93" w:afterLines="30" w:line="360" w:lineRule="auto"/>
        <w:ind w:left="709" w:hanging="709"/>
        <w:jc w:val="left"/>
        <w:textAlignment w:val="bottom"/>
        <w:rPr>
          <w:rFonts w:ascii="宋体" w:hAnsi="宋体"/>
          <w:sz w:val="24"/>
          <w:highlight w:val="none"/>
        </w:rPr>
      </w:pPr>
      <w:bookmarkStart w:id="97" w:name="_Toc291354277"/>
      <w:bookmarkStart w:id="98" w:name="_Toc291365399"/>
      <w:bookmarkStart w:id="99" w:name="_Toc291275281"/>
      <w:r>
        <w:rPr>
          <w:rFonts w:hint="eastAsia" w:ascii="宋体" w:hAnsi="宋体"/>
          <w:sz w:val="24"/>
        </w:rPr>
        <w:t>本合同适用中华人民共和国（不含香港特别行政区、澳门特别行政区和台</w:t>
      </w:r>
      <w:r>
        <w:rPr>
          <w:rFonts w:hint="eastAsia" w:ascii="宋体" w:hAnsi="宋体"/>
          <w:sz w:val="24"/>
          <w:highlight w:val="none"/>
        </w:rPr>
        <w:t>湾地区）法律。</w:t>
      </w:r>
    </w:p>
    <w:p>
      <w:pPr>
        <w:widowControl/>
        <w:numPr>
          <w:ilvl w:val="0"/>
          <w:numId w:val="37"/>
        </w:numPr>
        <w:tabs>
          <w:tab w:val="left" w:pos="709"/>
        </w:tabs>
        <w:autoSpaceDE w:val="0"/>
        <w:autoSpaceDN w:val="0"/>
        <w:adjustRightInd w:val="0"/>
        <w:snapToGrid w:val="0"/>
        <w:spacing w:before="93" w:beforeLines="30" w:after="93" w:afterLines="30" w:line="360" w:lineRule="auto"/>
        <w:ind w:left="709" w:hanging="709"/>
        <w:jc w:val="left"/>
        <w:textAlignment w:val="bottom"/>
        <w:rPr>
          <w:rFonts w:ascii="宋体" w:hAnsi="宋体"/>
          <w:sz w:val="24"/>
        </w:rPr>
      </w:pPr>
      <w:r>
        <w:rPr>
          <w:rFonts w:ascii="宋体" w:hAnsi="宋体"/>
          <w:sz w:val="24"/>
          <w:highlight w:val="none"/>
        </w:rPr>
        <w:t>因履行</w:t>
      </w:r>
      <w:r>
        <w:rPr>
          <w:rFonts w:hint="eastAsia" w:ascii="宋体" w:hAnsi="宋体"/>
          <w:sz w:val="24"/>
          <w:highlight w:val="none"/>
        </w:rPr>
        <w:t>本</w:t>
      </w:r>
      <w:r>
        <w:rPr>
          <w:rFonts w:ascii="宋体" w:hAnsi="宋体"/>
          <w:sz w:val="24"/>
          <w:highlight w:val="none"/>
        </w:rPr>
        <w:t>合同发生的或与本合同有关的一切争议，双方</w:t>
      </w:r>
      <w:r>
        <w:rPr>
          <w:rFonts w:hint="eastAsia" w:ascii="宋体" w:hAnsi="宋体"/>
          <w:sz w:val="24"/>
          <w:highlight w:val="none"/>
        </w:rPr>
        <w:t>首先应</w:t>
      </w:r>
      <w:r>
        <w:rPr>
          <w:rFonts w:ascii="宋体" w:hAnsi="宋体"/>
          <w:sz w:val="24"/>
          <w:highlight w:val="none"/>
        </w:rPr>
        <w:t>友好协商解决，</w:t>
      </w:r>
      <w:r>
        <w:rPr>
          <w:rFonts w:hint="eastAsia" w:ascii="宋体" w:hAnsi="宋体"/>
          <w:sz w:val="24"/>
          <w:highlight w:val="none"/>
        </w:rPr>
        <w:t>如</w:t>
      </w:r>
      <w:r>
        <w:rPr>
          <w:rFonts w:ascii="宋体" w:hAnsi="宋体"/>
          <w:sz w:val="24"/>
          <w:highlight w:val="none"/>
        </w:rPr>
        <w:t>经协商</w:t>
      </w:r>
      <w:r>
        <w:rPr>
          <w:rFonts w:hint="eastAsia" w:ascii="宋体" w:hAnsi="宋体"/>
          <w:sz w:val="24"/>
          <w:highlight w:val="none"/>
        </w:rPr>
        <w:t>【</w:t>
      </w:r>
      <w:r>
        <w:rPr>
          <w:rFonts w:ascii="宋体" w:hAnsi="宋体"/>
          <w:sz w:val="24"/>
          <w:highlight w:val="none"/>
        </w:rPr>
        <w:t>六</w:t>
      </w:r>
      <w:r>
        <w:rPr>
          <w:rFonts w:hint="eastAsia" w:ascii="宋体" w:hAnsi="宋体"/>
          <w:sz w:val="24"/>
          <w:highlight w:val="none"/>
        </w:rPr>
        <w:t>十（</w:t>
      </w:r>
      <w:r>
        <w:rPr>
          <w:rFonts w:ascii="宋体" w:hAnsi="宋体"/>
          <w:sz w:val="24"/>
          <w:highlight w:val="none"/>
        </w:rPr>
        <w:t>6</w:t>
      </w:r>
      <w:r>
        <w:rPr>
          <w:rFonts w:hint="eastAsia" w:ascii="宋体" w:hAnsi="宋体"/>
          <w:sz w:val="24"/>
          <w:highlight w:val="none"/>
        </w:rPr>
        <w:t>0）】日内</w:t>
      </w:r>
      <w:r>
        <w:rPr>
          <w:rFonts w:ascii="宋体" w:hAnsi="宋体"/>
          <w:sz w:val="24"/>
          <w:highlight w:val="none"/>
        </w:rPr>
        <w:t>仍不能解决</w:t>
      </w:r>
      <w:r>
        <w:rPr>
          <w:rFonts w:hint="eastAsia" w:ascii="宋体" w:hAnsi="宋体"/>
          <w:sz w:val="24"/>
          <w:highlight w:val="none"/>
        </w:rPr>
        <w:t>，</w:t>
      </w:r>
      <w:r>
        <w:rPr>
          <w:rFonts w:ascii="宋体" w:hAnsi="宋体"/>
          <w:sz w:val="24"/>
          <w:highlight w:val="none"/>
        </w:rPr>
        <w:t>双方同意：</w:t>
      </w:r>
      <w:r>
        <w:rPr>
          <w:rFonts w:ascii="宋体" w:hAnsi="宋体"/>
          <w:color w:val="auto"/>
          <w:sz w:val="24"/>
          <w:highlight w:val="none"/>
        </w:rPr>
        <w:t>向甲方所在地人民法院起诉</w:t>
      </w:r>
      <w:r>
        <w:rPr>
          <w:rFonts w:hint="eastAsia" w:ascii="宋体" w:hAnsi="宋体"/>
          <w:bCs/>
          <w:sz w:val="24"/>
        </w:rPr>
        <w:t>。</w:t>
      </w:r>
    </w:p>
    <w:p>
      <w:pPr>
        <w:widowControl/>
        <w:numPr>
          <w:ilvl w:val="0"/>
          <w:numId w:val="37"/>
        </w:numPr>
        <w:tabs>
          <w:tab w:val="left" w:pos="709"/>
        </w:tabs>
        <w:autoSpaceDE w:val="0"/>
        <w:autoSpaceDN w:val="0"/>
        <w:adjustRightInd w:val="0"/>
        <w:snapToGrid w:val="0"/>
        <w:spacing w:before="93" w:beforeLines="30" w:after="93" w:afterLines="30" w:line="360" w:lineRule="auto"/>
        <w:ind w:left="709" w:hanging="709"/>
        <w:jc w:val="left"/>
        <w:textAlignment w:val="bottom"/>
        <w:rPr>
          <w:rFonts w:ascii="宋体" w:hAnsi="宋体"/>
          <w:b/>
          <w:sz w:val="24"/>
        </w:rPr>
      </w:pPr>
      <w:r>
        <w:rPr>
          <w:rFonts w:hint="eastAsia" w:ascii="宋体" w:hAnsi="宋体"/>
          <w:sz w:val="24"/>
        </w:rPr>
        <w:t>争议解决期间</w:t>
      </w:r>
      <w:r>
        <w:rPr>
          <w:rFonts w:ascii="宋体" w:hAnsi="宋体"/>
          <w:sz w:val="24"/>
        </w:rPr>
        <w:t>，除争议事项外，双方应继续履行本合同。</w:t>
      </w:r>
    </w:p>
    <w:p>
      <w:pPr>
        <w:pStyle w:val="26"/>
        <w:keepNext w:val="0"/>
        <w:keepLines w:val="0"/>
        <w:tabs>
          <w:tab w:val="clear" w:pos="720"/>
        </w:tabs>
        <w:adjustRightInd w:val="0"/>
        <w:snapToGrid w:val="0"/>
        <w:spacing w:before="93" w:beforeLines="30" w:beforeAutospacing="0" w:after="93" w:afterLines="30" w:afterAutospacing="0" w:line="360" w:lineRule="auto"/>
        <w:ind w:left="0" w:firstLine="420"/>
        <w:jc w:val="left"/>
        <w:rPr>
          <w:rFonts w:ascii="宋体" w:hAnsi="宋体"/>
          <w:b w:val="0"/>
          <w:szCs w:val="24"/>
        </w:rPr>
      </w:pPr>
      <w:bookmarkStart w:id="100" w:name="_Toc364839383"/>
      <w:r>
        <w:rPr>
          <w:rFonts w:ascii="宋体" w:hAnsi="宋体"/>
          <w:b w:val="0"/>
          <w:szCs w:val="24"/>
        </w:rPr>
        <w:t>其它</w:t>
      </w:r>
      <w:bookmarkEnd w:id="100"/>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hint="eastAsia"/>
          <w:sz w:val="24"/>
        </w:rPr>
        <w:t>在本合同签订时如乙方属于《保障中小企业款项支付条例》（“条例”）规定的中小企业，本合同所约定的付款期限、方式、条件和违约责任等交易条件应遵守该条例的规定。如本合同约定的任何交易条件违反该条例，甲方应按照符合该条例规定的交易条件履行合同，并应按照条例的规定与乙方协商变更本合同的该等交易条件，以保障乙方享有条例规定的合法权益。</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ascii="宋体" w:hAnsi="宋体"/>
          <w:sz w:val="24"/>
        </w:rPr>
        <w:t>本合同自甲乙双方</w:t>
      </w:r>
      <w:r>
        <w:rPr>
          <w:rFonts w:hint="eastAsia" w:ascii="宋体" w:hAnsi="宋体"/>
          <w:sz w:val="24"/>
        </w:rPr>
        <w:t>法定代表人或授权代表</w:t>
      </w:r>
      <w:r>
        <w:rPr>
          <w:rFonts w:ascii="宋体" w:hAnsi="宋体"/>
          <w:sz w:val="24"/>
        </w:rPr>
        <w:t>签</w:t>
      </w:r>
      <w:r>
        <w:rPr>
          <w:rFonts w:hint="eastAsia" w:ascii="宋体" w:hAnsi="宋体"/>
          <w:sz w:val="24"/>
        </w:rPr>
        <w:t>字并盖章</w:t>
      </w:r>
      <w:r>
        <w:rPr>
          <w:rFonts w:ascii="宋体" w:hAnsi="宋体"/>
          <w:sz w:val="24"/>
        </w:rPr>
        <w:t>之日起生效</w:t>
      </w:r>
      <w:r>
        <w:rPr>
          <w:rFonts w:hint="eastAsia" w:ascii="宋体" w:hAnsi="宋体"/>
          <w:sz w:val="24"/>
        </w:rPr>
        <w:t>，</w:t>
      </w:r>
      <w:bookmarkStart w:id="101" w:name="OLE_LINK11"/>
      <w:bookmarkStart w:id="102" w:name="OLE_LINK12"/>
      <w:r>
        <w:rPr>
          <w:rFonts w:hint="eastAsia" w:ascii="宋体" w:hAnsi="宋体"/>
          <w:sz w:val="24"/>
        </w:rPr>
        <w:t>自双方履行完本合同项下全部权利和义务后终止</w:t>
      </w:r>
      <w:bookmarkEnd w:id="101"/>
      <w:bookmarkEnd w:id="102"/>
      <w:r>
        <w:rPr>
          <w:rFonts w:ascii="宋体" w:hAnsi="宋体"/>
          <w:sz w:val="24"/>
        </w:rPr>
        <w:t>。</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hint="eastAsia" w:ascii="宋体" w:hAnsi="宋体"/>
          <w:sz w:val="24"/>
        </w:rPr>
        <w:t>本合同签署以前双方就本合同约定的服务的提供和接受及</w:t>
      </w:r>
      <w:r>
        <w:rPr>
          <w:rFonts w:ascii="宋体" w:hAnsi="宋体"/>
          <w:sz w:val="24"/>
        </w:rPr>
        <w:t>相关事宜</w:t>
      </w:r>
      <w:r>
        <w:rPr>
          <w:rFonts w:hint="eastAsia" w:ascii="宋体" w:hAnsi="宋体"/>
          <w:sz w:val="24"/>
        </w:rPr>
        <w:t>达成的所有口头和</w:t>
      </w:r>
      <w:r>
        <w:rPr>
          <w:rFonts w:ascii="宋体" w:hAnsi="宋体"/>
          <w:sz w:val="24"/>
        </w:rPr>
        <w:t>/</w:t>
      </w:r>
      <w:r>
        <w:rPr>
          <w:rFonts w:hint="eastAsia" w:ascii="宋体" w:hAnsi="宋体"/>
          <w:sz w:val="24"/>
        </w:rPr>
        <w:t>或书面的声明、文件、信件及双方其它形式的通信在本合同生效后自动失效。</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ascii="宋体" w:hAnsi="宋体"/>
          <w:sz w:val="24"/>
        </w:rPr>
        <w:t>未经另一方事先书面同意，任何一方不得以任何方式使用另一方的名称、商品商标、服务商标、企业标志、商号或品牌。</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ascii="宋体" w:hAnsi="宋体"/>
          <w:sz w:val="24"/>
        </w:rPr>
        <w:t>如</w:t>
      </w:r>
      <w:r>
        <w:rPr>
          <w:rFonts w:hint="eastAsia" w:ascii="宋体" w:hAnsi="宋体"/>
          <w:sz w:val="24"/>
        </w:rPr>
        <w:t>果</w:t>
      </w:r>
      <w:r>
        <w:rPr>
          <w:rFonts w:ascii="宋体" w:hAnsi="宋体"/>
          <w:sz w:val="24"/>
        </w:rPr>
        <w:t>本合同</w:t>
      </w:r>
      <w:r>
        <w:rPr>
          <w:rFonts w:hint="eastAsia" w:ascii="宋体" w:hAnsi="宋体"/>
          <w:sz w:val="24"/>
        </w:rPr>
        <w:t>的</w:t>
      </w:r>
      <w:r>
        <w:rPr>
          <w:rFonts w:ascii="宋体" w:hAnsi="宋体"/>
          <w:sz w:val="24"/>
        </w:rPr>
        <w:t>任何条款</w:t>
      </w:r>
      <w:r>
        <w:rPr>
          <w:rFonts w:hint="eastAsia" w:ascii="宋体" w:hAnsi="宋体"/>
          <w:sz w:val="24"/>
        </w:rPr>
        <w:t>或规定</w:t>
      </w:r>
      <w:r>
        <w:rPr>
          <w:rFonts w:ascii="宋体" w:hAnsi="宋体"/>
          <w:sz w:val="24"/>
        </w:rPr>
        <w:t>被裁定</w:t>
      </w:r>
      <w:r>
        <w:rPr>
          <w:rFonts w:hint="eastAsia" w:ascii="宋体" w:hAnsi="宋体"/>
          <w:sz w:val="24"/>
        </w:rPr>
        <w:t>为</w:t>
      </w:r>
      <w:r>
        <w:rPr>
          <w:rFonts w:ascii="宋体" w:hAnsi="宋体"/>
          <w:sz w:val="24"/>
        </w:rPr>
        <w:t>无效、不合法或不可</w:t>
      </w:r>
      <w:r>
        <w:rPr>
          <w:rFonts w:hint="eastAsia" w:ascii="宋体" w:hAnsi="宋体"/>
          <w:sz w:val="24"/>
        </w:rPr>
        <w:t>强制</w:t>
      </w:r>
      <w:r>
        <w:rPr>
          <w:rFonts w:ascii="宋体" w:hAnsi="宋体"/>
          <w:sz w:val="24"/>
        </w:rPr>
        <w:t>执行，</w:t>
      </w:r>
      <w:r>
        <w:rPr>
          <w:rFonts w:hint="eastAsia" w:ascii="宋体" w:hAnsi="宋体"/>
          <w:sz w:val="24"/>
        </w:rPr>
        <w:t>该条款或规定应视为被删除，本合同</w:t>
      </w:r>
      <w:r>
        <w:rPr>
          <w:rFonts w:ascii="宋体" w:hAnsi="宋体"/>
          <w:sz w:val="24"/>
        </w:rPr>
        <w:t>其它条款</w:t>
      </w:r>
      <w:r>
        <w:rPr>
          <w:rFonts w:hint="eastAsia" w:ascii="宋体" w:hAnsi="宋体"/>
          <w:sz w:val="24"/>
        </w:rPr>
        <w:t>不受影响，</w:t>
      </w:r>
      <w:r>
        <w:rPr>
          <w:rFonts w:ascii="宋体" w:hAnsi="宋体"/>
          <w:sz w:val="24"/>
        </w:rPr>
        <w:t>仍</w:t>
      </w:r>
      <w:r>
        <w:rPr>
          <w:rFonts w:hint="eastAsia" w:ascii="宋体" w:hAnsi="宋体"/>
          <w:sz w:val="24"/>
        </w:rPr>
        <w:t>继续</w:t>
      </w:r>
      <w:r>
        <w:rPr>
          <w:rFonts w:ascii="宋体" w:hAnsi="宋体"/>
          <w:sz w:val="24"/>
        </w:rPr>
        <w:t>有效。</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ascii="宋体" w:hAnsi="宋体"/>
          <w:sz w:val="24"/>
        </w:rPr>
        <w:t>本合同履行过程中，</w:t>
      </w:r>
      <w:r>
        <w:rPr>
          <w:rFonts w:hint="eastAsia" w:ascii="宋体" w:hAnsi="宋体"/>
          <w:sz w:val="24"/>
        </w:rPr>
        <w:t>如</w:t>
      </w:r>
      <w:r>
        <w:rPr>
          <w:rFonts w:ascii="宋体" w:hAnsi="宋体"/>
          <w:sz w:val="24"/>
        </w:rPr>
        <w:t>乙方</w:t>
      </w:r>
      <w:r>
        <w:rPr>
          <w:rFonts w:hint="eastAsia" w:ascii="宋体" w:hAnsi="宋体"/>
          <w:sz w:val="24"/>
        </w:rPr>
        <w:t>发生重组、</w:t>
      </w:r>
      <w:r>
        <w:rPr>
          <w:rFonts w:ascii="宋体" w:hAnsi="宋体"/>
          <w:sz w:val="24"/>
        </w:rPr>
        <w:t>合并、</w:t>
      </w:r>
      <w:r>
        <w:rPr>
          <w:rFonts w:hint="eastAsia" w:ascii="宋体" w:hAnsi="宋体"/>
          <w:sz w:val="24"/>
        </w:rPr>
        <w:t>分立、重大股权或资产转让，应及时通知甲方。经甲方事先书面同意，乙方应安排具有相应资质的主体继续履行本合同，否则乙方不得执行前述重组、合并、分立或转让。乙方应根据甲方的要求，为继续履行本合同的主体安排履约担保。</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ascii="宋体" w:hAnsi="宋体"/>
          <w:sz w:val="24"/>
        </w:rPr>
        <w:t>本合同</w:t>
      </w:r>
      <w:r>
        <w:rPr>
          <w:rFonts w:hint="eastAsia" w:ascii="宋体" w:hAnsi="宋体"/>
          <w:sz w:val="24"/>
        </w:rPr>
        <w:t>解除或终止</w:t>
      </w:r>
      <w:r>
        <w:rPr>
          <w:rFonts w:ascii="宋体" w:hAnsi="宋体"/>
          <w:sz w:val="24"/>
        </w:rPr>
        <w:t>后</w:t>
      </w:r>
      <w:r>
        <w:rPr>
          <w:rFonts w:hint="eastAsia" w:ascii="宋体" w:hAnsi="宋体"/>
          <w:sz w:val="24"/>
        </w:rPr>
        <w:t>，本合同项下关于知识产权、保密、保障、责任、适用法律、争议解决和其它具有持续性效力的条款继续</w:t>
      </w:r>
      <w:r>
        <w:rPr>
          <w:rFonts w:ascii="宋体" w:hAnsi="宋体"/>
          <w:sz w:val="24"/>
        </w:rPr>
        <w:t>有效。</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hint="eastAsia" w:ascii="宋体" w:hAnsi="宋体"/>
          <w:sz w:val="24"/>
        </w:rPr>
        <w:t>本</w:t>
      </w:r>
      <w:r>
        <w:rPr>
          <w:rFonts w:ascii="宋体" w:hAnsi="宋体"/>
          <w:sz w:val="24"/>
        </w:rPr>
        <w:t>合同未尽事宜，应由双方协商</w:t>
      </w:r>
      <w:r>
        <w:rPr>
          <w:rFonts w:hint="eastAsia" w:ascii="宋体" w:hAnsi="宋体"/>
          <w:sz w:val="24"/>
        </w:rPr>
        <w:t>确定</w:t>
      </w:r>
      <w:r>
        <w:rPr>
          <w:rFonts w:ascii="宋体" w:hAnsi="宋体"/>
          <w:sz w:val="24"/>
        </w:rPr>
        <w:t>，并签订补充协议，补充协议与本合同具有同等法律效力。</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ascii="宋体" w:hAnsi="宋体"/>
          <w:sz w:val="24"/>
        </w:rPr>
        <w:t>本合同的任何变更、修改或增减，须经双方协商</w:t>
      </w:r>
      <w:r>
        <w:rPr>
          <w:rFonts w:hint="eastAsia" w:ascii="宋体" w:hAnsi="宋体"/>
          <w:sz w:val="24"/>
        </w:rPr>
        <w:t>一致、法定代表人或</w:t>
      </w:r>
      <w:r>
        <w:rPr>
          <w:rFonts w:ascii="宋体" w:hAnsi="宋体"/>
          <w:sz w:val="24"/>
        </w:rPr>
        <w:t>授权代表签署书面文件</w:t>
      </w:r>
      <w:r>
        <w:rPr>
          <w:rFonts w:hint="eastAsia" w:ascii="宋体" w:hAnsi="宋体"/>
          <w:sz w:val="24"/>
        </w:rPr>
        <w:t>或盖章</w:t>
      </w:r>
      <w:r>
        <w:rPr>
          <w:rFonts w:ascii="宋体" w:hAnsi="宋体"/>
          <w:sz w:val="24"/>
        </w:rPr>
        <w:t>后</w:t>
      </w:r>
      <w:r>
        <w:rPr>
          <w:rFonts w:hint="eastAsia" w:ascii="宋体" w:hAnsi="宋体"/>
          <w:sz w:val="24"/>
        </w:rPr>
        <w:t>生</w:t>
      </w:r>
      <w:r>
        <w:rPr>
          <w:rFonts w:ascii="宋体" w:hAnsi="宋体"/>
          <w:sz w:val="24"/>
        </w:rPr>
        <w:t>效。</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hint="eastAsia" w:ascii="宋体" w:hAnsi="宋体"/>
          <w:sz w:val="24"/>
        </w:rPr>
        <w:t>本合同系双方协商、讨论的结果，合同内容非一方当事人单方拟定。本合同不属于格式合同，条款内容不属于格式条款。</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rPr>
      </w:pPr>
      <w:r>
        <w:rPr>
          <w:rFonts w:hint="eastAsia" w:ascii="宋体" w:hAnsi="宋体"/>
          <w:sz w:val="24"/>
        </w:rPr>
        <w:t>本合同正文、附件及其后的修改文件和补充文件均应采用中文书写。附件及其后的修改文件和补充文件作为本合同不可分割的组成部分，与本合同正文具有同等法律效力。</w:t>
      </w:r>
    </w:p>
    <w:p>
      <w:pPr>
        <w:numPr>
          <w:ilvl w:val="1"/>
          <w:numId w:val="38"/>
        </w:numPr>
        <w:tabs>
          <w:tab w:val="left" w:pos="709"/>
          <w:tab w:val="clear" w:pos="142"/>
        </w:tabs>
        <w:adjustRightInd w:val="0"/>
        <w:snapToGrid w:val="0"/>
        <w:spacing w:before="93" w:beforeLines="30" w:after="93" w:afterLines="30" w:line="360" w:lineRule="auto"/>
        <w:ind w:left="709" w:hanging="709"/>
        <w:rPr>
          <w:rFonts w:ascii="宋体" w:hAnsi="宋体"/>
          <w:sz w:val="24"/>
          <w:highlight w:val="none"/>
        </w:rPr>
      </w:pPr>
      <w:r>
        <w:rPr>
          <w:rFonts w:ascii="宋体" w:hAnsi="宋体"/>
          <w:sz w:val="24"/>
          <w:highlight w:val="none"/>
        </w:rPr>
        <w:t>本合同一式</w:t>
      </w:r>
      <w:r>
        <w:rPr>
          <w:rFonts w:hint="eastAsia" w:ascii="宋体" w:hAnsi="宋体"/>
          <w:sz w:val="24"/>
          <w:highlight w:val="none"/>
        </w:rPr>
        <w:t>【贰】</w:t>
      </w:r>
      <w:r>
        <w:rPr>
          <w:rFonts w:ascii="宋体" w:hAnsi="宋体"/>
          <w:sz w:val="24"/>
          <w:highlight w:val="none"/>
        </w:rPr>
        <w:t>份，</w:t>
      </w:r>
      <w:r>
        <w:rPr>
          <w:rFonts w:hint="eastAsia" w:ascii="宋体" w:hAnsi="宋体"/>
          <w:sz w:val="24"/>
          <w:highlight w:val="none"/>
        </w:rPr>
        <w:t>甲乙双方各持【壹】份</w:t>
      </w:r>
      <w:r>
        <w:rPr>
          <w:rFonts w:ascii="宋体" w:hAnsi="宋体"/>
          <w:sz w:val="24"/>
          <w:highlight w:val="none"/>
        </w:rPr>
        <w:t>，具有同等效力。</w:t>
      </w:r>
    </w:p>
    <w:p>
      <w:pPr>
        <w:tabs>
          <w:tab w:val="left" w:pos="850"/>
        </w:tabs>
        <w:autoSpaceDE w:val="0"/>
        <w:autoSpaceDN w:val="0"/>
        <w:spacing w:line="360" w:lineRule="auto"/>
        <w:jc w:val="center"/>
        <w:textAlignment w:val="bottom"/>
        <w:rPr>
          <w:rFonts w:ascii="宋体" w:hAnsi="宋体"/>
          <w:b/>
          <w:sz w:val="24"/>
        </w:rPr>
      </w:pPr>
      <w:r>
        <w:rPr>
          <w:rFonts w:ascii="宋体" w:hAnsi="宋体"/>
          <w:sz w:val="24"/>
        </w:rPr>
        <w:br w:type="page"/>
      </w:r>
      <w:r>
        <w:rPr>
          <w:rFonts w:hint="eastAsia" w:ascii="宋体" w:hAnsi="宋体"/>
          <w:b/>
          <w:sz w:val="24"/>
        </w:rPr>
        <w:t>（本页无正文，为签章页）</w:t>
      </w:r>
    </w:p>
    <w:p>
      <w:pPr>
        <w:tabs>
          <w:tab w:val="left" w:pos="850"/>
        </w:tabs>
        <w:autoSpaceDE w:val="0"/>
        <w:autoSpaceDN w:val="0"/>
        <w:spacing w:line="360" w:lineRule="auto"/>
        <w:ind w:firstLine="600"/>
        <w:textAlignment w:val="bottom"/>
        <w:rPr>
          <w:rFonts w:ascii="宋体" w:hAnsi="宋体"/>
          <w:sz w:val="24"/>
        </w:rPr>
      </w:pPr>
    </w:p>
    <w:tbl>
      <w:tblPr>
        <w:tblStyle w:val="13"/>
        <w:tblW w:w="5000" w:type="pct"/>
        <w:tblInd w:w="0" w:type="dxa"/>
        <w:tblLayout w:type="autofit"/>
        <w:tblCellMar>
          <w:top w:w="0" w:type="dxa"/>
          <w:left w:w="108" w:type="dxa"/>
          <w:bottom w:w="0" w:type="dxa"/>
          <w:right w:w="108" w:type="dxa"/>
        </w:tblCellMar>
      </w:tblPr>
      <w:tblGrid>
        <w:gridCol w:w="4440"/>
        <w:gridCol w:w="4088"/>
      </w:tblGrid>
      <w:tr>
        <w:tblPrEx>
          <w:tblCellMar>
            <w:top w:w="0" w:type="dxa"/>
            <w:left w:w="108" w:type="dxa"/>
            <w:bottom w:w="0" w:type="dxa"/>
            <w:right w:w="108" w:type="dxa"/>
          </w:tblCellMar>
        </w:tblPrEx>
        <w:trPr>
          <w:trHeight w:val="2653" w:hRule="atLeast"/>
        </w:trPr>
        <w:tc>
          <w:tcPr>
            <w:tcW w:w="2603" w:type="pct"/>
          </w:tcPr>
          <w:p>
            <w:pPr>
              <w:tabs>
                <w:tab w:val="left" w:pos="850"/>
              </w:tabs>
              <w:autoSpaceDE w:val="0"/>
              <w:autoSpaceDN w:val="0"/>
              <w:spacing w:line="360" w:lineRule="auto"/>
              <w:textAlignment w:val="bottom"/>
              <w:rPr>
                <w:rFonts w:ascii="宋体" w:hAnsi="宋体"/>
                <w:sz w:val="24"/>
                <w:highlight w:val="none"/>
              </w:rPr>
            </w:pPr>
          </w:p>
          <w:p>
            <w:pPr>
              <w:tabs>
                <w:tab w:val="left" w:pos="850"/>
              </w:tabs>
              <w:autoSpaceDE w:val="0"/>
              <w:autoSpaceDN w:val="0"/>
              <w:spacing w:line="360" w:lineRule="auto"/>
              <w:textAlignment w:val="bottom"/>
              <w:rPr>
                <w:rFonts w:ascii="宋体" w:hAnsi="宋体"/>
                <w:sz w:val="24"/>
                <w:highlight w:val="none"/>
              </w:rPr>
            </w:pPr>
          </w:p>
          <w:p>
            <w:pPr>
              <w:tabs>
                <w:tab w:val="left" w:pos="850"/>
              </w:tabs>
              <w:autoSpaceDE w:val="0"/>
              <w:autoSpaceDN w:val="0"/>
              <w:spacing w:line="360" w:lineRule="auto"/>
              <w:textAlignment w:val="bottom"/>
              <w:rPr>
                <w:rFonts w:ascii="宋体" w:hAnsi="宋体"/>
                <w:sz w:val="24"/>
                <w:highlight w:val="none"/>
              </w:rPr>
            </w:pPr>
            <w:r>
              <w:rPr>
                <w:rFonts w:ascii="宋体" w:hAnsi="宋体"/>
                <w:sz w:val="24"/>
                <w:highlight w:val="none"/>
              </w:rPr>
              <w:t>甲方</w:t>
            </w:r>
            <w:r>
              <w:rPr>
                <w:rFonts w:hint="eastAsia" w:ascii="宋体" w:hAnsi="宋体"/>
                <w:sz w:val="24"/>
                <w:highlight w:val="none"/>
              </w:rPr>
              <w:t>：</w:t>
            </w:r>
            <w:r>
              <w:rPr>
                <w:rFonts w:hint="eastAsia" w:ascii="宋体" w:hAnsi="宋体"/>
                <w:sz w:val="24"/>
                <w:highlight w:val="none"/>
                <w:lang w:val="en-US" w:eastAsia="zh-CN"/>
              </w:rPr>
              <w:t>***</w:t>
            </w:r>
            <w:r>
              <w:rPr>
                <w:rFonts w:hint="eastAsia" w:ascii="宋体" w:hAnsi="宋体"/>
                <w:sz w:val="24"/>
                <w:highlight w:val="none"/>
              </w:rPr>
              <w:t>（盖章）</w:t>
            </w:r>
          </w:p>
        </w:tc>
        <w:tc>
          <w:tcPr>
            <w:tcW w:w="2397" w:type="pct"/>
          </w:tcPr>
          <w:p>
            <w:pPr>
              <w:tabs>
                <w:tab w:val="left" w:pos="850"/>
              </w:tabs>
              <w:autoSpaceDE w:val="0"/>
              <w:autoSpaceDN w:val="0"/>
              <w:spacing w:line="360" w:lineRule="auto"/>
              <w:textAlignment w:val="bottom"/>
              <w:rPr>
                <w:rFonts w:ascii="宋体" w:hAnsi="宋体"/>
                <w:sz w:val="24"/>
                <w:highlight w:val="none"/>
              </w:rPr>
            </w:pPr>
          </w:p>
          <w:p>
            <w:pPr>
              <w:tabs>
                <w:tab w:val="left" w:pos="850"/>
              </w:tabs>
              <w:autoSpaceDE w:val="0"/>
              <w:autoSpaceDN w:val="0"/>
              <w:spacing w:line="360" w:lineRule="auto"/>
              <w:textAlignment w:val="bottom"/>
              <w:rPr>
                <w:rFonts w:ascii="宋体" w:hAnsi="宋体"/>
                <w:sz w:val="24"/>
                <w:highlight w:val="none"/>
              </w:rPr>
            </w:pPr>
          </w:p>
          <w:p>
            <w:pPr>
              <w:tabs>
                <w:tab w:val="left" w:pos="850"/>
              </w:tabs>
              <w:autoSpaceDE w:val="0"/>
              <w:autoSpaceDN w:val="0"/>
              <w:spacing w:line="360" w:lineRule="auto"/>
              <w:textAlignment w:val="bottom"/>
              <w:rPr>
                <w:rFonts w:ascii="宋体" w:hAnsi="宋体"/>
                <w:sz w:val="24"/>
                <w:highlight w:val="none"/>
              </w:rPr>
            </w:pPr>
            <w:r>
              <w:rPr>
                <w:rFonts w:ascii="宋体" w:hAnsi="宋体"/>
                <w:sz w:val="24"/>
                <w:highlight w:val="none"/>
              </w:rPr>
              <w:t>乙方</w:t>
            </w:r>
            <w:r>
              <w:rPr>
                <w:rFonts w:hint="eastAsia" w:ascii="宋体" w:hAnsi="宋体"/>
                <w:sz w:val="24"/>
                <w:highlight w:val="none"/>
              </w:rPr>
              <w:t>：</w:t>
            </w:r>
            <w:r>
              <w:rPr>
                <w:rFonts w:hint="eastAsia" w:ascii="宋体" w:hAnsi="宋体"/>
                <w:sz w:val="24"/>
                <w:highlight w:val="none"/>
                <w:lang w:eastAsia="zh-CN"/>
              </w:rPr>
              <w:t>***</w:t>
            </w:r>
            <w:r>
              <w:rPr>
                <w:rFonts w:hint="eastAsia" w:ascii="宋体" w:hAnsi="宋体"/>
                <w:sz w:val="24"/>
                <w:highlight w:val="none"/>
              </w:rPr>
              <w:t>（盖章）</w:t>
            </w:r>
          </w:p>
          <w:p>
            <w:pPr>
              <w:tabs>
                <w:tab w:val="left" w:pos="850"/>
              </w:tabs>
              <w:autoSpaceDE w:val="0"/>
              <w:autoSpaceDN w:val="0"/>
              <w:spacing w:line="360" w:lineRule="auto"/>
              <w:textAlignment w:val="bottom"/>
              <w:rPr>
                <w:rFonts w:ascii="宋体" w:hAnsi="宋体"/>
                <w:sz w:val="24"/>
                <w:highlight w:val="none"/>
              </w:rPr>
            </w:pPr>
          </w:p>
        </w:tc>
      </w:tr>
      <w:tr>
        <w:tblPrEx>
          <w:tblCellMar>
            <w:top w:w="0" w:type="dxa"/>
            <w:left w:w="108" w:type="dxa"/>
            <w:bottom w:w="0" w:type="dxa"/>
            <w:right w:w="108" w:type="dxa"/>
          </w:tblCellMar>
        </w:tblPrEx>
        <w:trPr>
          <w:trHeight w:val="2390" w:hRule="atLeast"/>
        </w:trPr>
        <w:tc>
          <w:tcPr>
            <w:tcW w:w="2603" w:type="pct"/>
            <w:vAlign w:val="center"/>
          </w:tcPr>
          <w:p>
            <w:pPr>
              <w:tabs>
                <w:tab w:val="left" w:pos="850"/>
              </w:tabs>
              <w:autoSpaceDE w:val="0"/>
              <w:autoSpaceDN w:val="0"/>
              <w:spacing w:line="360" w:lineRule="auto"/>
              <w:textAlignment w:val="bottom"/>
              <w:rPr>
                <w:rFonts w:ascii="宋体" w:hAnsi="宋体"/>
                <w:sz w:val="24"/>
              </w:rPr>
            </w:pPr>
            <w:r>
              <w:rPr>
                <w:rFonts w:ascii="宋体" w:hAnsi="宋体"/>
                <w:sz w:val="24"/>
              </w:rPr>
              <w:t>法定代表人或授权代表签字：</w:t>
            </w:r>
          </w:p>
          <w:p>
            <w:pPr>
              <w:tabs>
                <w:tab w:val="left" w:pos="850"/>
              </w:tabs>
              <w:autoSpaceDE w:val="0"/>
              <w:autoSpaceDN w:val="0"/>
              <w:spacing w:line="360" w:lineRule="auto"/>
              <w:textAlignment w:val="bottom"/>
              <w:rPr>
                <w:rFonts w:ascii="宋体" w:hAnsi="宋体"/>
                <w:sz w:val="24"/>
              </w:rPr>
            </w:pPr>
          </w:p>
          <w:p>
            <w:pPr>
              <w:tabs>
                <w:tab w:val="left" w:pos="850"/>
              </w:tabs>
              <w:autoSpaceDE w:val="0"/>
              <w:autoSpaceDN w:val="0"/>
              <w:spacing w:line="360" w:lineRule="auto"/>
              <w:textAlignment w:val="bottom"/>
              <w:rPr>
                <w:rFonts w:ascii="宋体" w:hAnsi="宋体"/>
                <w:sz w:val="24"/>
              </w:rPr>
            </w:pPr>
          </w:p>
          <w:p>
            <w:pPr>
              <w:tabs>
                <w:tab w:val="left" w:pos="850"/>
              </w:tabs>
              <w:autoSpaceDE w:val="0"/>
              <w:autoSpaceDN w:val="0"/>
              <w:spacing w:line="360" w:lineRule="auto"/>
              <w:textAlignment w:val="bottom"/>
              <w:rPr>
                <w:rFonts w:ascii="宋体" w:hAnsi="宋体"/>
                <w:sz w:val="24"/>
              </w:rPr>
            </w:pPr>
          </w:p>
          <w:p>
            <w:pPr>
              <w:tabs>
                <w:tab w:val="left" w:pos="850"/>
              </w:tabs>
              <w:autoSpaceDE w:val="0"/>
              <w:autoSpaceDN w:val="0"/>
              <w:spacing w:line="360" w:lineRule="auto"/>
              <w:textAlignment w:val="bottom"/>
              <w:rPr>
                <w:rFonts w:ascii="宋体" w:hAnsi="宋体"/>
                <w:sz w:val="24"/>
              </w:rPr>
            </w:pP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tc>
        <w:tc>
          <w:tcPr>
            <w:tcW w:w="2397" w:type="pct"/>
            <w:vAlign w:val="center"/>
          </w:tcPr>
          <w:p>
            <w:pPr>
              <w:tabs>
                <w:tab w:val="left" w:pos="850"/>
              </w:tabs>
              <w:autoSpaceDE w:val="0"/>
              <w:autoSpaceDN w:val="0"/>
              <w:spacing w:line="360" w:lineRule="auto"/>
              <w:textAlignment w:val="bottom"/>
              <w:rPr>
                <w:rFonts w:ascii="宋体" w:hAnsi="宋体"/>
                <w:sz w:val="24"/>
              </w:rPr>
            </w:pPr>
            <w:r>
              <w:rPr>
                <w:rFonts w:ascii="宋体" w:hAnsi="宋体"/>
                <w:sz w:val="24"/>
              </w:rPr>
              <w:t>法定代表人或授权代表签字：</w:t>
            </w:r>
          </w:p>
          <w:p>
            <w:pPr>
              <w:tabs>
                <w:tab w:val="left" w:pos="850"/>
              </w:tabs>
              <w:autoSpaceDE w:val="0"/>
              <w:autoSpaceDN w:val="0"/>
              <w:spacing w:line="360" w:lineRule="auto"/>
              <w:textAlignment w:val="bottom"/>
              <w:rPr>
                <w:rFonts w:ascii="宋体" w:hAnsi="宋体"/>
                <w:sz w:val="24"/>
              </w:rPr>
            </w:pPr>
          </w:p>
          <w:p>
            <w:pPr>
              <w:tabs>
                <w:tab w:val="left" w:pos="850"/>
              </w:tabs>
              <w:autoSpaceDE w:val="0"/>
              <w:autoSpaceDN w:val="0"/>
              <w:spacing w:line="360" w:lineRule="auto"/>
              <w:textAlignment w:val="bottom"/>
              <w:rPr>
                <w:rFonts w:ascii="宋体" w:hAnsi="宋体"/>
                <w:sz w:val="24"/>
              </w:rPr>
            </w:pPr>
          </w:p>
          <w:p>
            <w:pPr>
              <w:tabs>
                <w:tab w:val="left" w:pos="850"/>
              </w:tabs>
              <w:autoSpaceDE w:val="0"/>
              <w:autoSpaceDN w:val="0"/>
              <w:spacing w:line="360" w:lineRule="auto"/>
              <w:textAlignment w:val="bottom"/>
              <w:rPr>
                <w:rFonts w:ascii="宋体" w:hAnsi="宋体"/>
                <w:sz w:val="24"/>
              </w:rPr>
            </w:pPr>
          </w:p>
          <w:p>
            <w:pPr>
              <w:tabs>
                <w:tab w:val="left" w:pos="850"/>
              </w:tabs>
              <w:autoSpaceDE w:val="0"/>
              <w:autoSpaceDN w:val="0"/>
              <w:spacing w:line="360" w:lineRule="auto"/>
              <w:textAlignment w:val="bottom"/>
              <w:rPr>
                <w:rFonts w:ascii="宋体" w:hAnsi="宋体"/>
                <w:sz w:val="24"/>
              </w:rPr>
            </w:pP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tc>
      </w:tr>
    </w:tbl>
    <w:p>
      <w:pPr>
        <w:snapToGrid w:val="0"/>
        <w:spacing w:line="360" w:lineRule="exact"/>
        <w:rPr>
          <w:rFonts w:hint="default" w:ascii="宋体" w:hAnsi="宋体" w:eastAsiaTheme="minorEastAsia"/>
          <w:sz w:val="24"/>
          <w:lang w:val="en-US" w:eastAsia="zh-CN"/>
        </w:rPr>
      </w:pPr>
      <w:r>
        <w:rPr>
          <w:rFonts w:hint="eastAsia" w:ascii="宋体" w:hAnsi="宋体"/>
          <w:sz w:val="24"/>
          <w:lang w:val="en-US" w:eastAsia="zh-CN"/>
        </w:rPr>
        <w:t>日期：   年   月    日               日期：   年   月    日</w:t>
      </w:r>
    </w:p>
    <w:p>
      <w:pPr>
        <w:snapToGrid w:val="0"/>
        <w:spacing w:line="360" w:lineRule="exact"/>
        <w:rPr>
          <w:rFonts w:hint="default" w:ascii="宋体" w:hAnsi="宋体" w:eastAsiaTheme="minorEastAsia"/>
          <w:b/>
          <w:bCs/>
          <w:sz w:val="24"/>
          <w:lang w:val="en-US" w:eastAsia="zh-CN"/>
        </w:rPr>
      </w:pPr>
    </w:p>
    <w:p>
      <w:pPr>
        <w:rPr>
          <w:rFonts w:ascii="宋体" w:hAnsi="宋体"/>
          <w:b w:val="0"/>
          <w:szCs w:val="24"/>
        </w:rPr>
      </w:pPr>
      <w:bookmarkStart w:id="103" w:name="_Toc364839384"/>
      <w:bookmarkStart w:id="104" w:name="_Toc299915704"/>
      <w:r>
        <w:rPr>
          <w:rFonts w:ascii="宋体" w:hAnsi="宋体"/>
          <w:b w:val="0"/>
          <w:szCs w:val="24"/>
        </w:rPr>
        <w:br w:type="page"/>
      </w:r>
    </w:p>
    <w:p>
      <w:pPr>
        <w:pStyle w:val="26"/>
        <w:keepNext w:val="0"/>
        <w:keepLines w:val="0"/>
        <w:numPr>
          <w:ilvl w:val="0"/>
          <w:numId w:val="0"/>
        </w:numPr>
        <w:spacing w:beforeLines="-2147483648" w:beforeAutospacing="0" w:afterLines="-2147483648" w:afterAutospacing="0" w:line="360" w:lineRule="exact"/>
        <w:ind w:left="0" w:firstLine="0"/>
        <w:jc w:val="left"/>
        <w:rPr>
          <w:rFonts w:ascii="宋体" w:hAnsi="宋体"/>
          <w:b w:val="0"/>
          <w:szCs w:val="24"/>
        </w:rPr>
      </w:pPr>
      <w:r>
        <w:rPr>
          <w:rFonts w:ascii="宋体" w:hAnsi="宋体"/>
          <w:b w:val="0"/>
          <w:szCs w:val="24"/>
        </w:rPr>
        <w:t>附件一：工作内容</w:t>
      </w:r>
      <w:r>
        <w:rPr>
          <w:rFonts w:hint="eastAsia" w:ascii="宋体" w:hAnsi="宋体"/>
          <w:b w:val="0"/>
          <w:szCs w:val="24"/>
        </w:rPr>
        <w:t>、范围及地点</w:t>
      </w:r>
      <w:bookmarkEnd w:id="103"/>
      <w:bookmarkEnd w:id="104"/>
      <w:bookmarkStart w:id="105" w:name="_Toc13248927"/>
      <w:bookmarkStart w:id="106" w:name="_Toc13249324"/>
    </w:p>
    <w:bookmarkEnd w:id="105"/>
    <w:bookmarkEnd w:id="106"/>
    <w:p>
      <w:pPr>
        <w:spacing w:line="479" w:lineRule="exact"/>
        <w:jc w:val="left"/>
        <w:outlineLvl w:val="1"/>
        <w:rPr>
          <w:rFonts w:hint="default" w:ascii="宋体" w:hAnsi="宋体" w:eastAsia="宋体" w:cstheme="minorBidi"/>
          <w:spacing w:val="2"/>
          <w:kern w:val="0"/>
          <w:sz w:val="24"/>
          <w:szCs w:val="24"/>
          <w:lang w:val="en-US" w:eastAsia="zh-CN" w:bidi="ar-SA"/>
        </w:rPr>
      </w:pPr>
      <w:r>
        <w:rPr>
          <w:rFonts w:hint="eastAsia" w:ascii="宋体" w:hAnsi="宋体" w:eastAsia="宋体" w:cstheme="minorBidi"/>
          <w:spacing w:val="2"/>
          <w:kern w:val="0"/>
          <w:sz w:val="24"/>
          <w:szCs w:val="24"/>
          <w:lang w:val="en-US" w:eastAsia="zh-CN" w:bidi="ar-SA"/>
        </w:rPr>
        <w:t>详见询价文件技术要求</w:t>
      </w:r>
    </w:p>
    <w:p>
      <w:pPr>
        <w:spacing w:before="2" w:line="100" w:lineRule="exact"/>
        <w:jc w:val="left"/>
        <w:rPr>
          <w:rFonts w:ascii="微软雅黑" w:hAnsi="微软雅黑" w:eastAsia="微软雅黑"/>
          <w:kern w:val="0"/>
          <w:sz w:val="10"/>
          <w:szCs w:val="10"/>
        </w:rPr>
      </w:pPr>
    </w:p>
    <w:p>
      <w:pPr>
        <w:widowControl w:val="0"/>
        <w:spacing w:before="36" w:line="360" w:lineRule="auto"/>
        <w:ind w:left="0"/>
        <w:jc w:val="left"/>
        <w:rPr>
          <w:rFonts w:asciiTheme="minorEastAsia" w:hAnsiTheme="minorEastAsia" w:eastAsiaTheme="minorEastAsia" w:cstheme="minorBidi"/>
          <w:kern w:val="0"/>
          <w:sz w:val="24"/>
          <w:szCs w:val="24"/>
          <w:lang w:val="en-US" w:eastAsia="zh-CN" w:bidi="ar-SA"/>
        </w:rPr>
      </w:pPr>
      <w:r>
        <w:rPr>
          <w:rFonts w:asciiTheme="minorEastAsia" w:hAnsiTheme="minorEastAsia" w:eastAsiaTheme="minorEastAsia" w:cstheme="minorBidi"/>
          <w:kern w:val="0"/>
          <w:sz w:val="24"/>
          <w:szCs w:val="24"/>
          <w:lang w:val="en-US" w:eastAsia="zh-CN" w:bidi="ar-SA"/>
        </w:rPr>
        <w:br w:type="page"/>
      </w:r>
    </w:p>
    <w:p>
      <w:pPr>
        <w:pStyle w:val="26"/>
        <w:keepNext w:val="0"/>
        <w:keepLines w:val="0"/>
        <w:numPr>
          <w:ilvl w:val="0"/>
          <w:numId w:val="0"/>
        </w:numPr>
        <w:spacing w:beforeLines="-2147483648" w:beforeAutospacing="0" w:afterLines="-2147483648" w:afterAutospacing="0" w:line="360" w:lineRule="exact"/>
        <w:ind w:left="0" w:firstLine="0"/>
        <w:jc w:val="left"/>
        <w:rPr>
          <w:rFonts w:asciiTheme="minorEastAsia" w:hAnsiTheme="minorEastAsia" w:eastAsiaTheme="minorEastAsia"/>
          <w:b/>
          <w:bCs/>
        </w:rPr>
      </w:pPr>
      <w:bookmarkStart w:id="107" w:name="_Toc299915706"/>
      <w:bookmarkStart w:id="108" w:name="_Toc364839386"/>
      <w:r>
        <w:rPr>
          <w:rFonts w:hint="eastAsia" w:ascii="宋体" w:hAnsi="宋体"/>
          <w:b w:val="0"/>
          <w:szCs w:val="24"/>
        </w:rPr>
        <w:t>附件二：价格表</w:t>
      </w:r>
      <w:bookmarkEnd w:id="107"/>
      <w:bookmarkEnd w:id="108"/>
      <w:r>
        <w:rPr>
          <w:rFonts w:hint="eastAsia" w:asciiTheme="minorEastAsia" w:hAnsiTheme="minorEastAsia" w:eastAsiaTheme="minorEastAsia"/>
          <w:b/>
          <w:bCs/>
        </w:rPr>
        <w:t xml:space="preserve">  </w:t>
      </w:r>
    </w:p>
    <w:p>
      <w:pPr>
        <w:spacing w:line="360" w:lineRule="exact"/>
        <w:rPr>
          <w:rFonts w:ascii="宋体" w:hAnsi="宋体"/>
          <w:sz w:val="24"/>
          <w:lang w:val="zh-CN"/>
        </w:rPr>
      </w:pPr>
      <w:r>
        <w:rPr>
          <w:rFonts w:hint="eastAsia" w:ascii="宋体" w:hAnsi="宋体" w:eastAsia="宋体" w:cs="宋体"/>
          <w:sz w:val="24"/>
          <w:szCs w:val="24"/>
          <w:lang w:val="en-US" w:eastAsia="zh-CN"/>
        </w:rPr>
        <w:t>详见询价文件</w:t>
      </w:r>
      <w:r>
        <w:rPr>
          <w:rFonts w:hint="eastAsia" w:ascii="宋体" w:hAnsi="宋体" w:eastAsia="宋体" w:cs="宋体"/>
          <w:sz w:val="24"/>
          <w:szCs w:val="24"/>
        </w:rPr>
        <w:t>报价单格式</w:t>
      </w:r>
      <w:r>
        <w:rPr>
          <w:rFonts w:ascii="宋体" w:hAnsi="宋体"/>
          <w:sz w:val="24"/>
          <w:lang w:val="zh-CN"/>
        </w:rPr>
        <w:br w:type="page"/>
      </w:r>
    </w:p>
    <w:p>
      <w:pPr>
        <w:pStyle w:val="26"/>
        <w:keepNext w:val="0"/>
        <w:keepLines w:val="0"/>
        <w:numPr>
          <w:ilvl w:val="0"/>
          <w:numId w:val="0"/>
        </w:numPr>
        <w:spacing w:beforeLines="-2147483648" w:beforeAutospacing="0" w:afterLines="-2147483648" w:afterAutospacing="0" w:line="360" w:lineRule="exact"/>
        <w:ind w:left="0" w:firstLine="0"/>
        <w:jc w:val="left"/>
        <w:rPr>
          <w:rFonts w:ascii="宋体" w:hAnsi="宋体"/>
          <w:b w:val="0"/>
          <w:szCs w:val="24"/>
          <w:highlight w:val="yellow"/>
        </w:rPr>
      </w:pPr>
      <w:bookmarkStart w:id="109" w:name="_Toc364839387"/>
      <w:bookmarkStart w:id="110" w:name="_Toc299915707"/>
      <w:r>
        <w:rPr>
          <w:rFonts w:hint="eastAsia" w:ascii="宋体" w:hAnsi="宋体"/>
          <w:b w:val="0"/>
          <w:szCs w:val="24"/>
          <w:highlight w:val="yellow"/>
        </w:rPr>
        <w:t>附件三：乙方关键人员</w:t>
      </w:r>
      <w:bookmarkEnd w:id="109"/>
      <w:bookmarkEnd w:id="110"/>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2642"/>
        <w:gridCol w:w="1489"/>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序号</w:t>
            </w:r>
          </w:p>
        </w:tc>
        <w:tc>
          <w:tcPr>
            <w:tcW w:w="2642" w:type="dxa"/>
          </w:tcPr>
          <w:p>
            <w:pPr>
              <w:spacing w:line="360" w:lineRule="exact"/>
              <w:rPr>
                <w:rFonts w:ascii="宋体" w:hAnsi="宋体"/>
                <w:sz w:val="24"/>
                <w:highlight w:val="yellow"/>
              </w:rPr>
            </w:pPr>
            <w:r>
              <w:rPr>
                <w:rFonts w:hint="eastAsia" w:ascii="宋体" w:hAnsi="宋体"/>
                <w:sz w:val="24"/>
                <w:highlight w:val="yellow"/>
              </w:rPr>
              <w:t>专业</w:t>
            </w:r>
          </w:p>
        </w:tc>
        <w:tc>
          <w:tcPr>
            <w:tcW w:w="1489" w:type="dxa"/>
          </w:tcPr>
          <w:p>
            <w:pPr>
              <w:spacing w:line="360" w:lineRule="exact"/>
              <w:rPr>
                <w:rFonts w:ascii="宋体" w:hAnsi="宋体"/>
                <w:sz w:val="24"/>
                <w:highlight w:val="yellow"/>
              </w:rPr>
            </w:pPr>
            <w:r>
              <w:rPr>
                <w:rFonts w:hint="eastAsia" w:ascii="宋体" w:hAnsi="宋体"/>
                <w:sz w:val="24"/>
                <w:highlight w:val="yellow"/>
              </w:rPr>
              <w:t>姓名</w:t>
            </w:r>
          </w:p>
        </w:tc>
        <w:tc>
          <w:tcPr>
            <w:tcW w:w="1211" w:type="dxa"/>
          </w:tcPr>
          <w:p>
            <w:pPr>
              <w:spacing w:line="360" w:lineRule="exact"/>
              <w:rPr>
                <w:rFonts w:ascii="宋体" w:hAnsi="宋体"/>
                <w:sz w:val="24"/>
                <w:highlight w:val="yellow"/>
              </w:rPr>
            </w:pPr>
            <w:r>
              <w:rPr>
                <w:rFonts w:hint="eastAsia" w:ascii="宋体" w:hAnsi="宋体"/>
                <w:sz w:val="24"/>
                <w:highlight w:val="yellow"/>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2</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3</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4</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5</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6</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7</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8</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9</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10</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11</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12</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13</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14</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15</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16</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17</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 w:type="dxa"/>
          </w:tcPr>
          <w:p>
            <w:pPr>
              <w:spacing w:line="360" w:lineRule="exact"/>
              <w:rPr>
                <w:rFonts w:ascii="宋体" w:hAnsi="宋体"/>
                <w:sz w:val="24"/>
                <w:highlight w:val="yellow"/>
              </w:rPr>
            </w:pPr>
            <w:r>
              <w:rPr>
                <w:rFonts w:hint="eastAsia" w:ascii="宋体" w:hAnsi="宋体"/>
                <w:sz w:val="24"/>
                <w:highlight w:val="yellow"/>
              </w:rPr>
              <w:t>18</w:t>
            </w:r>
          </w:p>
        </w:tc>
        <w:tc>
          <w:tcPr>
            <w:tcW w:w="2642" w:type="dxa"/>
          </w:tcPr>
          <w:p>
            <w:pPr>
              <w:spacing w:line="360" w:lineRule="exact"/>
              <w:rPr>
                <w:rFonts w:ascii="宋体" w:hAnsi="宋体"/>
                <w:sz w:val="24"/>
                <w:highlight w:val="yellow"/>
              </w:rPr>
            </w:pPr>
          </w:p>
        </w:tc>
        <w:tc>
          <w:tcPr>
            <w:tcW w:w="1489" w:type="dxa"/>
          </w:tcPr>
          <w:p>
            <w:pPr>
              <w:spacing w:line="360" w:lineRule="exact"/>
              <w:rPr>
                <w:rFonts w:ascii="宋体" w:hAnsi="宋体"/>
                <w:sz w:val="24"/>
                <w:highlight w:val="yellow"/>
              </w:rPr>
            </w:pPr>
          </w:p>
        </w:tc>
        <w:tc>
          <w:tcPr>
            <w:tcW w:w="1211" w:type="dxa"/>
          </w:tcPr>
          <w:p>
            <w:pPr>
              <w:spacing w:line="360" w:lineRule="exact"/>
              <w:rPr>
                <w:rFonts w:ascii="宋体" w:hAnsi="宋体"/>
                <w:sz w:val="24"/>
                <w:highlight w:val="yellow"/>
                <w:lang w:val="zh-CN"/>
              </w:rPr>
            </w:pPr>
          </w:p>
        </w:tc>
      </w:tr>
    </w:tbl>
    <w:p>
      <w:pPr>
        <w:pStyle w:val="26"/>
        <w:keepNext w:val="0"/>
        <w:keepLines w:val="0"/>
        <w:numPr>
          <w:ilvl w:val="0"/>
          <w:numId w:val="0"/>
        </w:numPr>
        <w:spacing w:beforeLines="-2147483648" w:beforeAutospacing="0" w:afterLines="-2147483648" w:afterAutospacing="0" w:line="360" w:lineRule="exact"/>
        <w:ind w:left="0" w:firstLine="0"/>
        <w:jc w:val="left"/>
        <w:rPr>
          <w:rFonts w:ascii="宋体" w:hAnsi="宋体"/>
          <w:b w:val="0"/>
          <w:szCs w:val="24"/>
        </w:rPr>
      </w:pPr>
      <w:bookmarkStart w:id="111" w:name="_Toc364839388"/>
      <w:bookmarkStart w:id="112" w:name="_Toc299915708"/>
      <w:r>
        <w:rPr>
          <w:rFonts w:ascii="宋体" w:hAnsi="宋体"/>
          <w:b w:val="0"/>
          <w:szCs w:val="24"/>
        </w:rPr>
        <w:br w:type="page"/>
      </w:r>
    </w:p>
    <w:p>
      <w:pPr>
        <w:pStyle w:val="26"/>
        <w:keepNext w:val="0"/>
        <w:keepLines w:val="0"/>
        <w:numPr>
          <w:ilvl w:val="0"/>
          <w:numId w:val="0"/>
        </w:numPr>
        <w:spacing w:beforeLines="-2147483648" w:beforeAutospacing="0" w:afterLines="-2147483648" w:afterAutospacing="0" w:line="360" w:lineRule="exact"/>
        <w:ind w:left="0" w:firstLine="0"/>
        <w:jc w:val="left"/>
        <w:rPr>
          <w:rFonts w:ascii="宋体" w:hAnsi="宋体"/>
          <w:b w:val="0"/>
          <w:szCs w:val="24"/>
        </w:rPr>
      </w:pPr>
      <w:r>
        <w:rPr>
          <w:rFonts w:hint="eastAsia" w:ascii="宋体" w:hAnsi="宋体"/>
          <w:b w:val="0"/>
          <w:szCs w:val="24"/>
        </w:rPr>
        <w:t>附件四：</w:t>
      </w:r>
      <w:bookmarkEnd w:id="111"/>
      <w:bookmarkEnd w:id="112"/>
      <w:r>
        <w:rPr>
          <w:rFonts w:hint="eastAsia" w:ascii="宋体" w:hAnsi="宋体"/>
          <w:b w:val="0"/>
          <w:szCs w:val="24"/>
        </w:rPr>
        <w:t>服务完工确认书</w:t>
      </w:r>
    </w:p>
    <w:bookmarkEnd w:id="97"/>
    <w:bookmarkEnd w:id="98"/>
    <w:bookmarkEnd w:id="99"/>
    <w:p>
      <w:pPr>
        <w:shd w:val="clear" w:color="auto" w:fill="FFFFFF"/>
        <w:ind w:firstLine="6195" w:firstLineChars="2950"/>
        <w:rPr>
          <w:rFonts w:ascii="宋体" w:hAnsi="宋体" w:eastAsia="宋体" w:cs="宋体"/>
          <w:color w:val="000000"/>
          <w:szCs w:val="21"/>
        </w:rPr>
      </w:pPr>
      <w:r>
        <w:rPr>
          <w:rFonts w:hint="eastAsia" w:ascii="宋体" w:hAnsi="宋体" w:eastAsia="宋体" w:cs="宋体"/>
          <w:color w:val="000000"/>
          <w:szCs w:val="21"/>
        </w:rPr>
        <w:t>编号：PM-01-19-C04</w:t>
      </w:r>
    </w:p>
    <w:p>
      <w:pPr>
        <w:shd w:val="clear" w:color="auto" w:fill="FFFFFF"/>
        <w:ind w:firstLine="6195" w:firstLineChars="2950"/>
        <w:rPr>
          <w:rFonts w:ascii="宋体" w:hAnsi="宋体" w:eastAsia="宋体" w:cs="宋体"/>
          <w:color w:val="000000"/>
          <w:szCs w:val="21"/>
        </w:rPr>
      </w:pPr>
      <w:r>
        <w:rPr>
          <w:rFonts w:hint="eastAsia" w:ascii="宋体" w:hAnsi="宋体" w:eastAsia="宋体" w:cs="宋体"/>
          <w:color w:val="000000"/>
          <w:szCs w:val="21"/>
        </w:rPr>
        <w:t>版本：2016-01</w:t>
      </w:r>
    </w:p>
    <w:p>
      <w:pPr>
        <w:shd w:val="clear" w:color="auto" w:fill="FFFFFF"/>
        <w:jc w:val="center"/>
        <w:outlineLvl w:val="0"/>
        <w:rPr>
          <w:rFonts w:ascii="宋体" w:hAnsi="宋体" w:eastAsia="宋体" w:cs="宋体"/>
          <w:b/>
          <w:color w:val="000000"/>
          <w:sz w:val="36"/>
          <w:szCs w:val="36"/>
        </w:rPr>
      </w:pPr>
      <w:bookmarkStart w:id="113" w:name="_Toc22469"/>
      <w:bookmarkStart w:id="114" w:name="_Toc9256"/>
      <w:bookmarkStart w:id="115" w:name="_Toc6459"/>
      <w:bookmarkStart w:id="116" w:name="_Toc5937"/>
      <w:r>
        <w:rPr>
          <w:rFonts w:hint="eastAsia" w:ascii="宋体" w:hAnsi="宋体" w:eastAsia="宋体" w:cs="宋体"/>
          <w:b/>
          <w:color w:val="000000"/>
          <w:sz w:val="36"/>
          <w:szCs w:val="36"/>
        </w:rPr>
        <w:t>服务完工确认书</w:t>
      </w:r>
      <w:bookmarkEnd w:id="113"/>
      <w:bookmarkEnd w:id="114"/>
      <w:bookmarkEnd w:id="115"/>
      <w:bookmarkEnd w:id="116"/>
    </w:p>
    <w:tbl>
      <w:tblPr>
        <w:tblStyle w:val="13"/>
        <w:tblW w:w="9621" w:type="dxa"/>
        <w:tblInd w:w="-5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3242"/>
        <w:gridCol w:w="873"/>
        <w:gridCol w:w="3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2184" w:type="dxa"/>
            <w:vAlign w:val="center"/>
          </w:tcPr>
          <w:p>
            <w:pPr>
              <w:shd w:val="clear" w:color="auto" w:fill="FFFFFF"/>
              <w:jc w:val="center"/>
              <w:rPr>
                <w:rFonts w:ascii="宋体" w:hAnsi="宋体" w:eastAsia="宋体" w:cs="宋体"/>
                <w:color w:val="000000"/>
                <w:sz w:val="28"/>
                <w:szCs w:val="28"/>
              </w:rPr>
            </w:pPr>
            <w:r>
              <w:rPr>
                <w:rFonts w:hint="eastAsia" w:ascii="宋体" w:hAnsi="宋体" w:eastAsia="宋体" w:cs="宋体"/>
                <w:color w:val="000000"/>
                <w:sz w:val="28"/>
                <w:szCs w:val="28"/>
              </w:rPr>
              <w:t>服务名称</w:t>
            </w:r>
          </w:p>
        </w:tc>
        <w:tc>
          <w:tcPr>
            <w:tcW w:w="7437" w:type="dxa"/>
            <w:gridSpan w:val="3"/>
            <w:vAlign w:val="center"/>
          </w:tcPr>
          <w:p>
            <w:pPr>
              <w:shd w:val="clear" w:color="auto" w:fill="FFFFFF"/>
              <w:spacing w:before="80" w:after="80" w:line="360" w:lineRule="auto"/>
              <w:outlineLvl w:val="0"/>
              <w:rPr>
                <w:rFonts w:ascii="宋体" w:hAnsi="宋体" w:eastAsia="宋体" w:cs="宋体"/>
                <w:bCs/>
                <w:color w:val="000000"/>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trPr>
        <w:tc>
          <w:tcPr>
            <w:tcW w:w="2184" w:type="dxa"/>
            <w:vAlign w:val="center"/>
          </w:tcPr>
          <w:p>
            <w:pPr>
              <w:shd w:val="clear" w:color="auto" w:fill="FFFFFF"/>
              <w:jc w:val="center"/>
              <w:rPr>
                <w:rFonts w:ascii="宋体" w:hAnsi="宋体" w:eastAsia="宋体" w:cs="宋体"/>
                <w:color w:val="000000"/>
                <w:sz w:val="28"/>
                <w:szCs w:val="28"/>
              </w:rPr>
            </w:pPr>
            <w:r>
              <w:rPr>
                <w:rFonts w:hint="eastAsia" w:ascii="宋体" w:hAnsi="宋体" w:eastAsia="宋体" w:cs="宋体"/>
                <w:color w:val="000000"/>
                <w:sz w:val="28"/>
                <w:szCs w:val="28"/>
              </w:rPr>
              <w:t>总包单位</w:t>
            </w:r>
          </w:p>
        </w:tc>
        <w:tc>
          <w:tcPr>
            <w:tcW w:w="7437" w:type="dxa"/>
            <w:gridSpan w:val="3"/>
            <w:vAlign w:val="center"/>
          </w:tcPr>
          <w:p>
            <w:pPr>
              <w:shd w:val="clear" w:color="auto" w:fill="FFFFFF"/>
              <w:rPr>
                <w:rFonts w:ascii="宋体" w:hAnsi="宋体" w:eastAsia="宋体" w:cs="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trPr>
        <w:tc>
          <w:tcPr>
            <w:tcW w:w="2184" w:type="dxa"/>
            <w:vAlign w:val="center"/>
          </w:tcPr>
          <w:p>
            <w:pPr>
              <w:shd w:val="clear" w:color="auto" w:fill="FFFFFF"/>
              <w:jc w:val="center"/>
              <w:rPr>
                <w:rFonts w:ascii="宋体" w:hAnsi="宋体" w:eastAsia="宋体" w:cs="宋体"/>
                <w:color w:val="000000"/>
                <w:sz w:val="28"/>
                <w:szCs w:val="28"/>
              </w:rPr>
            </w:pPr>
            <w:r>
              <w:rPr>
                <w:rFonts w:hint="eastAsia" w:ascii="宋体" w:hAnsi="宋体" w:eastAsia="宋体" w:cs="宋体"/>
                <w:color w:val="000000"/>
                <w:sz w:val="28"/>
                <w:szCs w:val="28"/>
              </w:rPr>
              <w:t>分包单位</w:t>
            </w:r>
          </w:p>
        </w:tc>
        <w:tc>
          <w:tcPr>
            <w:tcW w:w="7437" w:type="dxa"/>
            <w:gridSpan w:val="3"/>
            <w:vAlign w:val="center"/>
          </w:tcPr>
          <w:p>
            <w:pPr>
              <w:shd w:val="clear" w:color="auto" w:fill="FFFFFF"/>
              <w:rPr>
                <w:rFonts w:ascii="宋体" w:hAnsi="宋体" w:eastAsia="宋体" w:cs="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trPr>
        <w:tc>
          <w:tcPr>
            <w:tcW w:w="2184" w:type="dxa"/>
            <w:vAlign w:val="center"/>
          </w:tcPr>
          <w:p>
            <w:pPr>
              <w:shd w:val="clear" w:color="auto" w:fill="FFFFFF"/>
              <w:jc w:val="center"/>
              <w:rPr>
                <w:rFonts w:ascii="宋体" w:hAnsi="宋体" w:eastAsia="宋体" w:cs="宋体"/>
                <w:color w:val="000000"/>
                <w:sz w:val="28"/>
                <w:szCs w:val="28"/>
              </w:rPr>
            </w:pPr>
            <w:r>
              <w:rPr>
                <w:rFonts w:hint="eastAsia" w:ascii="宋体" w:hAnsi="宋体" w:eastAsia="宋体" w:cs="宋体"/>
                <w:color w:val="000000"/>
                <w:sz w:val="28"/>
                <w:szCs w:val="28"/>
              </w:rPr>
              <w:t>服务地点</w:t>
            </w:r>
          </w:p>
        </w:tc>
        <w:tc>
          <w:tcPr>
            <w:tcW w:w="3242" w:type="dxa"/>
            <w:vAlign w:val="center"/>
          </w:tcPr>
          <w:p>
            <w:pPr>
              <w:shd w:val="clear" w:color="auto" w:fill="FFFFFF"/>
              <w:rPr>
                <w:rFonts w:ascii="宋体" w:hAnsi="宋体" w:eastAsia="宋体" w:cs="宋体"/>
                <w:color w:val="000000"/>
                <w:sz w:val="28"/>
                <w:szCs w:val="28"/>
              </w:rPr>
            </w:pPr>
          </w:p>
        </w:tc>
        <w:tc>
          <w:tcPr>
            <w:tcW w:w="873" w:type="dxa"/>
          </w:tcPr>
          <w:p>
            <w:pPr>
              <w:shd w:val="clear" w:color="auto" w:fill="FFFFFF"/>
              <w:rPr>
                <w:rFonts w:ascii="宋体" w:hAnsi="宋体" w:eastAsia="宋体" w:cs="宋体"/>
                <w:color w:val="000000"/>
                <w:sz w:val="28"/>
                <w:szCs w:val="28"/>
              </w:rPr>
            </w:pPr>
            <w:r>
              <w:rPr>
                <w:rFonts w:hint="eastAsia" w:ascii="宋体" w:hAnsi="宋体" w:eastAsia="宋体" w:cs="宋体"/>
                <w:color w:val="000000"/>
                <w:sz w:val="28"/>
                <w:szCs w:val="28"/>
              </w:rPr>
              <w:t>工期</w:t>
            </w:r>
          </w:p>
        </w:tc>
        <w:tc>
          <w:tcPr>
            <w:tcW w:w="3322" w:type="dxa"/>
            <w:vAlign w:val="center"/>
          </w:tcPr>
          <w:p>
            <w:pPr>
              <w:shd w:val="clear" w:color="auto" w:fill="FFFFFF"/>
              <w:rPr>
                <w:rFonts w:ascii="宋体" w:hAnsi="宋体" w:eastAsia="宋体" w:cs="宋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8" w:hRule="atLeast"/>
        </w:trPr>
        <w:tc>
          <w:tcPr>
            <w:tcW w:w="9621" w:type="dxa"/>
            <w:gridSpan w:val="4"/>
          </w:tcPr>
          <w:p>
            <w:pPr>
              <w:shd w:val="clear" w:color="auto" w:fill="FFFFFF"/>
              <w:spacing w:line="400" w:lineRule="exact"/>
              <w:rPr>
                <w:rFonts w:ascii="宋体" w:hAnsi="宋体" w:eastAsia="宋体" w:cs="宋体"/>
                <w:color w:val="000000"/>
                <w:sz w:val="28"/>
                <w:szCs w:val="28"/>
              </w:rPr>
            </w:pPr>
            <w:r>
              <w:rPr>
                <w:rFonts w:hint="eastAsia" w:ascii="宋体" w:hAnsi="宋体" w:eastAsia="宋体" w:cs="宋体"/>
                <w:color w:val="000000"/>
                <w:sz w:val="28"/>
                <w:szCs w:val="28"/>
              </w:rPr>
              <w:t>合同完成情况：</w:t>
            </w:r>
          </w:p>
          <w:p>
            <w:pPr>
              <w:shd w:val="clear" w:color="auto" w:fill="FFFFFF"/>
              <w:spacing w:line="400" w:lineRule="exact"/>
              <w:rPr>
                <w:rFonts w:ascii="宋体" w:hAnsi="宋体" w:eastAsia="宋体" w:cs="宋体"/>
                <w:color w:val="000000"/>
                <w:sz w:val="28"/>
                <w:szCs w:val="28"/>
              </w:rPr>
            </w:pPr>
            <w:r>
              <w:rPr>
                <w:rFonts w:hint="eastAsia" w:ascii="宋体" w:hAnsi="宋体" w:eastAsia="宋体" w:cs="宋体"/>
                <w:color w:val="000000"/>
                <w:sz w:val="28"/>
                <w:szCs w:val="28"/>
              </w:rPr>
              <w:t>（请注明合同内是否存在变更）</w:t>
            </w:r>
          </w:p>
          <w:p>
            <w:pPr>
              <w:shd w:val="clear" w:color="auto" w:fill="FFFFFF"/>
              <w:spacing w:before="80" w:after="80" w:line="360" w:lineRule="auto"/>
              <w:rPr>
                <w:rFonts w:ascii="宋体" w:hAnsi="宋体" w:eastAsia="宋体" w:cs="宋体"/>
                <w:color w:val="000000"/>
                <w:sz w:val="24"/>
              </w:rPr>
            </w:pPr>
          </w:p>
          <w:p>
            <w:pPr>
              <w:shd w:val="clear" w:color="auto" w:fill="FFFFFF"/>
              <w:spacing w:before="80" w:after="80" w:line="360" w:lineRule="auto"/>
              <w:rPr>
                <w:rFonts w:ascii="宋体" w:hAnsi="宋体" w:eastAsia="宋体" w:cs="宋体"/>
                <w:color w:val="000000"/>
                <w:sz w:val="24"/>
              </w:rPr>
            </w:pPr>
          </w:p>
          <w:p>
            <w:pPr>
              <w:shd w:val="clear" w:color="auto" w:fill="FFFFFF"/>
              <w:spacing w:before="80" w:after="80" w:line="360" w:lineRule="auto"/>
              <w:rPr>
                <w:rFonts w:ascii="宋体" w:hAnsi="宋体" w:eastAsia="宋体" w:cs="宋体"/>
                <w:color w:val="000000"/>
                <w:sz w:val="24"/>
              </w:rPr>
            </w:pPr>
          </w:p>
          <w:p>
            <w:pPr>
              <w:shd w:val="clear" w:color="auto" w:fill="FFFFFF"/>
              <w:spacing w:before="80" w:after="80" w:line="360" w:lineRule="auto"/>
              <w:rPr>
                <w:rFonts w:ascii="宋体" w:hAnsi="宋体" w:eastAsia="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9621" w:type="dxa"/>
            <w:gridSpan w:val="4"/>
          </w:tcPr>
          <w:p>
            <w:pPr>
              <w:shd w:val="clear" w:color="auto" w:fill="FFFFFF"/>
              <w:rPr>
                <w:rFonts w:ascii="宋体" w:hAnsi="宋体" w:eastAsia="宋体" w:cs="宋体"/>
                <w:color w:val="000000"/>
                <w:sz w:val="28"/>
                <w:szCs w:val="28"/>
              </w:rPr>
            </w:pPr>
            <w:r>
              <w:rPr>
                <w:rFonts w:hint="eastAsia" w:ascii="宋体" w:hAnsi="宋体" w:eastAsia="宋体" w:cs="宋体"/>
                <w:color w:val="000000"/>
                <w:sz w:val="28"/>
                <w:szCs w:val="28"/>
              </w:rPr>
              <w:t>上述服务已于    年   月   日竣工，请总包单位给予确认。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9621" w:type="dxa"/>
            <w:gridSpan w:val="4"/>
          </w:tcPr>
          <w:p>
            <w:pPr>
              <w:shd w:val="clear" w:color="auto" w:fill="FFFFFF"/>
              <w:rPr>
                <w:rFonts w:ascii="宋体" w:hAnsi="宋体" w:eastAsia="宋体" w:cs="宋体"/>
                <w:color w:val="000000"/>
                <w:sz w:val="28"/>
                <w:szCs w:val="28"/>
              </w:rPr>
            </w:pPr>
            <w:r>
              <w:rPr>
                <w:rFonts w:hint="eastAsia" w:ascii="宋体" w:hAnsi="宋体" w:eastAsia="宋体" w:cs="宋体"/>
                <w:color w:val="000000"/>
                <w:sz w:val="28"/>
                <w:szCs w:val="28"/>
              </w:rPr>
              <w:t>申请单位盖章：</w:t>
            </w:r>
          </w:p>
          <w:p>
            <w:pPr>
              <w:shd w:val="clear" w:color="auto" w:fill="FFFFFF"/>
              <w:rPr>
                <w:rFonts w:ascii="宋体" w:hAnsi="宋体" w:eastAsia="宋体" w:cs="宋体"/>
                <w:color w:val="000000"/>
                <w:sz w:val="28"/>
                <w:szCs w:val="28"/>
              </w:rPr>
            </w:pPr>
          </w:p>
          <w:p>
            <w:pPr>
              <w:shd w:val="clear" w:color="auto" w:fill="FFFFFF"/>
              <w:rPr>
                <w:rFonts w:ascii="宋体" w:hAnsi="宋体" w:eastAsia="宋体" w:cs="宋体"/>
                <w:color w:val="000000"/>
                <w:sz w:val="28"/>
                <w:szCs w:val="28"/>
              </w:rPr>
            </w:pPr>
            <w:r>
              <w:rPr>
                <w:rFonts w:hint="eastAsia" w:ascii="宋体" w:hAnsi="宋体" w:eastAsia="宋体" w:cs="宋体"/>
                <w:color w:val="000000"/>
                <w:sz w:val="28"/>
                <w:szCs w:val="28"/>
              </w:rPr>
              <w:t xml:space="preserve">                                  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trPr>
        <w:tc>
          <w:tcPr>
            <w:tcW w:w="9621" w:type="dxa"/>
            <w:gridSpan w:val="4"/>
          </w:tcPr>
          <w:p>
            <w:pPr>
              <w:shd w:val="clear" w:color="auto" w:fill="FFFFFF"/>
              <w:rPr>
                <w:rFonts w:ascii="宋体" w:hAnsi="宋体" w:eastAsia="宋体" w:cs="宋体"/>
                <w:color w:val="000000"/>
                <w:sz w:val="28"/>
                <w:szCs w:val="28"/>
              </w:rPr>
            </w:pPr>
            <w:r>
              <w:rPr>
                <w:rFonts w:hint="eastAsia" w:ascii="宋体" w:hAnsi="宋体" w:eastAsia="宋体" w:cs="宋体"/>
                <w:color w:val="000000"/>
                <w:sz w:val="28"/>
                <w:szCs w:val="28"/>
              </w:rPr>
              <w:t>总包单位意见：</w:t>
            </w:r>
          </w:p>
          <w:p>
            <w:pPr>
              <w:shd w:val="clear" w:color="auto" w:fill="FFFFFF"/>
              <w:rPr>
                <w:rFonts w:ascii="宋体" w:hAnsi="宋体" w:eastAsia="宋体" w:cs="宋体"/>
                <w:color w:val="000000"/>
                <w:sz w:val="28"/>
                <w:szCs w:val="28"/>
              </w:rPr>
            </w:pPr>
          </w:p>
          <w:p>
            <w:pPr>
              <w:shd w:val="clear" w:color="auto" w:fill="FFFFFF"/>
              <w:rPr>
                <w:rFonts w:ascii="宋体" w:hAnsi="宋体" w:eastAsia="宋体" w:cs="宋体"/>
                <w:color w:val="000000"/>
                <w:sz w:val="28"/>
                <w:szCs w:val="28"/>
              </w:rPr>
            </w:pPr>
            <w:r>
              <w:rPr>
                <w:rFonts w:hint="eastAsia" w:ascii="宋体" w:hAnsi="宋体" w:eastAsia="宋体" w:cs="宋体"/>
                <w:color w:val="000000"/>
                <w:sz w:val="28"/>
                <w:szCs w:val="28"/>
              </w:rPr>
              <w:t>项目经理签字：                             年     月     日</w:t>
            </w:r>
          </w:p>
        </w:tc>
      </w:tr>
    </w:tbl>
    <w:p>
      <w:pPr>
        <w:shd w:val="clear" w:color="auto" w:fill="FFFFFF"/>
        <w:ind w:firstLine="420" w:firstLineChars="200"/>
        <w:rPr>
          <w:rFonts w:ascii="宋体" w:hAnsi="宋体" w:eastAsia="宋体" w:cs="宋体"/>
          <w:color w:val="000000"/>
        </w:rPr>
      </w:pPr>
      <w:r>
        <w:rPr>
          <w:rFonts w:hint="eastAsia" w:ascii="宋体" w:hAnsi="宋体" w:eastAsia="宋体" w:cs="宋体"/>
          <w:color w:val="000000"/>
        </w:rPr>
        <w:t>说明：1、此表由分包单位在服务完工后负责填写。</w:t>
      </w:r>
    </w:p>
    <w:p>
      <w:pPr>
        <w:numPr>
          <w:ilvl w:val="0"/>
          <w:numId w:val="39"/>
        </w:numPr>
        <w:shd w:val="clear" w:color="auto" w:fill="FFFFFF"/>
        <w:ind w:firstLine="1050" w:firstLineChars="500"/>
        <w:rPr>
          <w:rFonts w:ascii="宋体" w:hAnsi="宋体" w:eastAsia="宋体" w:cs="宋体"/>
          <w:color w:val="000000"/>
        </w:rPr>
      </w:pPr>
      <w:r>
        <w:rPr>
          <w:rFonts w:hint="eastAsia" w:ascii="宋体" w:hAnsi="宋体" w:eastAsia="宋体" w:cs="宋体"/>
          <w:color w:val="000000"/>
        </w:rPr>
        <w:t>此表是总包方最终支付服务款的依据。</w:t>
      </w:r>
    </w:p>
    <w:p>
      <w:pPr>
        <w:rPr>
          <w:rFonts w:ascii="宋体" w:hAnsi="宋体" w:eastAsia="宋体" w:cs="宋体"/>
          <w:color w:val="000000"/>
        </w:rPr>
      </w:pPr>
      <w:r>
        <w:rPr>
          <w:rFonts w:hint="eastAsia" w:ascii="宋体" w:hAnsi="宋体" w:eastAsia="宋体" w:cs="宋体"/>
          <w:color w:val="000000"/>
        </w:rPr>
        <w:br w:type="page"/>
      </w:r>
    </w:p>
    <w:p>
      <w:pPr>
        <w:pStyle w:val="26"/>
        <w:keepNext w:val="0"/>
        <w:keepLines w:val="0"/>
        <w:numPr>
          <w:ilvl w:val="0"/>
          <w:numId w:val="0"/>
        </w:numPr>
        <w:tabs>
          <w:tab w:val="left" w:pos="2564"/>
        </w:tabs>
        <w:spacing w:before="62" w:beforeLines="-2147483648" w:beforeAutospacing="0" w:after="62" w:afterLines="-2147483648" w:afterAutospacing="0" w:line="360" w:lineRule="auto"/>
        <w:ind w:left="0" w:firstLine="0"/>
        <w:jc w:val="left"/>
        <w:outlineLvl w:val="0"/>
        <w:rPr>
          <w:rFonts w:ascii="宋体" w:hAnsi="宋体" w:cs="宋体"/>
          <w:b/>
          <w:bCs/>
          <w:color w:val="000000"/>
        </w:rPr>
      </w:pPr>
      <w:bookmarkStart w:id="117" w:name="_Toc26118"/>
      <w:r>
        <w:rPr>
          <w:rFonts w:hint="eastAsia" w:ascii="宋体" w:hAnsi="宋体" w:cs="宋体"/>
          <w:b/>
          <w:bCs/>
          <w:color w:val="000000"/>
        </w:rPr>
        <w:t>附件五：承包商健康安全环境管理承诺书</w:t>
      </w:r>
      <w:bookmarkEnd w:id="117"/>
    </w:p>
    <w:p>
      <w:pPr>
        <w:spacing w:line="360" w:lineRule="auto"/>
        <w:jc w:val="center"/>
        <w:rPr>
          <w:rFonts w:ascii="宋体" w:hAnsi="宋体" w:eastAsia="宋体" w:cs="宋体"/>
          <w:b/>
          <w:color w:val="000000"/>
          <w:sz w:val="28"/>
          <w:szCs w:val="28"/>
        </w:rPr>
      </w:pPr>
      <w:r>
        <w:rPr>
          <w:rFonts w:hint="eastAsia" w:ascii="宋体" w:hAnsi="宋体" w:eastAsia="宋体" w:cs="宋体"/>
          <w:b/>
          <w:color w:val="000000"/>
          <w:sz w:val="28"/>
          <w:szCs w:val="28"/>
        </w:rPr>
        <w:t>承包商健康安全环境管理承诺书</w:t>
      </w:r>
    </w:p>
    <w:p>
      <w:pPr>
        <w:spacing w:line="360" w:lineRule="auto"/>
        <w:rPr>
          <w:rFonts w:ascii="宋体" w:hAnsi="宋体" w:eastAsia="宋体" w:cs="宋体"/>
          <w:b/>
          <w:color w:val="000000"/>
          <w:sz w:val="28"/>
          <w:szCs w:val="28"/>
        </w:rPr>
      </w:pP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本单位财务状况满足承包要求。注册资金满足相应资质要求的金额；流动资金不低于承包额的10-30%。</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 xml:space="preserve">在承包项目实施过程中，派驻现场管理机构主要人员（项目经理、项目副经理、总工、安全监督等）保持稳定，不随意换人。个别确需更换的，报甲方认可后再换人。 </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同意按照承包额2-3%的比例预交安全风险抵押金，或由甲方从预付款中扣留。</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同意按照国家规定的行业安全投入比例，以承包额的1-2%的比例作为专项安全投入资金，确保专款专用。做好人员个人防护，降温或保暖措施，设备安全维护、检验，现场安全规范（安全防护、隔离、警告标识等）管理，满足甲方明确的作业安全要求。</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保证进入现场的作业人员都得到了相应的安全培训，具备基本的文化素质和安全技能。特殊工种持证上岗率保持100%。</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保证进入作业现场的设备、机具性能良好，满足施工需要和安全要求。特种设备、移动电气、手持式电动工具等定期检验有效率保持100%。保证服从我方对承包商设备管理的相关规定和要求，服从我方对设备使用过程中的监督检查，按照我方要求对相关问题进行整改落实，保证按我方要求办理设备退场手续。</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不进行转包和再分包。特殊情况确需再分包时，必须报甲方认可后再进行，并按甲方要求做好对再分包商的安全管理。</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支持和服从甲方的安全管理（包括自己的再分包商），接受甲方的监督检和查违规处罚。</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积极参与甲方组织的“五想五不干”行为观察、隐患排查治理等安全活动。</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及时、如实向甲方报告所发生的事故事件，并认真进行调查处理，完善相应的安全管理措施。</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建立健全现场质量管理网络机构，现场必须按专业配备胜任的专职质量员，人员一经确定，不得随意更换。</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按行业、标准、合同及我方管理要求及时编制、完善、上报各类项目施工技术方案，并切实按审批的方案组织施工。</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进入现场的工程测量器具，必须报验合格。</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现场施工资料、竣工资料等必须与工程进度同步、齐全，确保真实、有效，并及时提交。</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承包方必须加强施工过程控制，加强现场质量管理，建立与所承担项目相适宜的质量管理制度，服从我方项目部的管理要求，如有违反，我方项目部有权根据情况给予处罚。</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在项目开工前一周提交项目总进度计划（三级计划）、人力资源组织计划、设备投入计划、进度权重划分表。进度计划中各关键里程碑点清晰，逻辑清楚。</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严格按项目部要求，及时准确的编制报送施工周月报。</w:t>
      </w:r>
    </w:p>
    <w:p>
      <w:pPr>
        <w:numPr>
          <w:ilvl w:val="0"/>
          <w:numId w:val="40"/>
        </w:numPr>
        <w:adjustRightInd w:val="0"/>
        <w:spacing w:line="360" w:lineRule="auto"/>
        <w:ind w:left="426" w:hanging="426"/>
        <w:textAlignment w:val="baseline"/>
        <w:rPr>
          <w:rFonts w:ascii="宋体" w:hAnsi="宋体" w:eastAsia="宋体" w:cs="宋体"/>
          <w:color w:val="000000"/>
          <w:szCs w:val="21"/>
        </w:rPr>
      </w:pPr>
      <w:r>
        <w:rPr>
          <w:rFonts w:hint="eastAsia" w:ascii="宋体" w:hAnsi="宋体" w:eastAsia="宋体" w:cs="宋体"/>
          <w:color w:val="000000"/>
          <w:szCs w:val="21"/>
        </w:rPr>
        <w:t>在施工过程中，严格按计划执行，不得随意调整更改计划。</w:t>
      </w:r>
    </w:p>
    <w:p>
      <w:pPr>
        <w:spacing w:line="360" w:lineRule="auto"/>
        <w:rPr>
          <w:rFonts w:ascii="宋体" w:hAnsi="宋体" w:eastAsia="宋体" w:cs="宋体"/>
          <w:color w:val="000000"/>
          <w:sz w:val="28"/>
          <w:szCs w:val="28"/>
        </w:rPr>
      </w:pPr>
    </w:p>
    <w:p>
      <w:pPr>
        <w:pStyle w:val="26"/>
        <w:numPr>
          <w:ilvl w:val="0"/>
          <w:numId w:val="0"/>
        </w:numPr>
        <w:tabs>
          <w:tab w:val="left" w:pos="2564"/>
          <w:tab w:val="clear" w:pos="720"/>
        </w:tabs>
        <w:spacing w:before="62" w:after="62" w:line="360" w:lineRule="auto"/>
        <w:jc w:val="left"/>
        <w:rPr>
          <w:rFonts w:ascii="宋体" w:hAnsi="宋体" w:cs="宋体"/>
          <w:color w:val="000000"/>
        </w:rPr>
        <w:sectPr>
          <w:headerReference r:id="rId8" w:type="first"/>
          <w:footerReference r:id="rId10" w:type="first"/>
          <w:headerReference r:id="rId7" w:type="default"/>
          <w:footerReference r:id="rId9" w:type="default"/>
          <w:pgSz w:w="11906" w:h="16838"/>
          <w:pgMar w:top="1440" w:right="1797" w:bottom="1440" w:left="1797" w:header="851" w:footer="737" w:gutter="0"/>
          <w:cols w:space="720" w:num="1"/>
          <w:titlePg/>
          <w:docGrid w:type="lines" w:linePitch="312" w:charSpace="0"/>
        </w:sectPr>
      </w:pPr>
    </w:p>
    <w:p>
      <w:pPr>
        <w:pStyle w:val="26"/>
        <w:keepNext w:val="0"/>
        <w:keepLines w:val="0"/>
        <w:numPr>
          <w:ilvl w:val="0"/>
          <w:numId w:val="0"/>
        </w:numPr>
        <w:tabs>
          <w:tab w:val="left" w:pos="2564"/>
        </w:tabs>
        <w:spacing w:before="48" w:beforeLines="-2147483648" w:beforeAutospacing="0" w:after="48" w:afterLines="-2147483648" w:afterAutospacing="0" w:line="360" w:lineRule="auto"/>
        <w:ind w:left="0" w:firstLine="0"/>
        <w:jc w:val="left"/>
        <w:outlineLvl w:val="0"/>
        <w:rPr>
          <w:rFonts w:ascii="宋体" w:hAnsi="宋体" w:cs="宋体"/>
          <w:b/>
          <w:bCs/>
          <w:color w:val="000000"/>
        </w:rPr>
      </w:pPr>
      <w:bookmarkStart w:id="118" w:name="_Toc32759"/>
      <w:r>
        <w:rPr>
          <w:rFonts w:hint="eastAsia" w:ascii="宋体" w:hAnsi="宋体" w:cs="宋体"/>
          <w:b/>
          <w:bCs/>
          <w:color w:val="000000"/>
        </w:rPr>
        <w:t>附件六：廉洁协议</w:t>
      </w:r>
      <w:bookmarkEnd w:id="118"/>
    </w:p>
    <w:p>
      <w:pPr>
        <w:spacing w:line="360" w:lineRule="auto"/>
        <w:jc w:val="center"/>
        <w:rPr>
          <w:rFonts w:ascii="宋体" w:hAnsi="宋体" w:eastAsia="宋体" w:cs="宋体"/>
          <w:b/>
          <w:color w:val="000000"/>
          <w:sz w:val="28"/>
          <w:szCs w:val="28"/>
        </w:rPr>
      </w:pPr>
      <w:r>
        <w:rPr>
          <w:rFonts w:hint="eastAsia" w:ascii="宋体" w:hAnsi="宋体" w:eastAsia="宋体" w:cs="宋体"/>
          <w:b/>
          <w:color w:val="000000"/>
          <w:sz w:val="28"/>
          <w:szCs w:val="28"/>
        </w:rPr>
        <w:t>廉洁协议</w:t>
      </w:r>
    </w:p>
    <w:p>
      <w:pPr>
        <w:spacing w:line="360" w:lineRule="auto"/>
        <w:ind w:firstLine="420" w:firstLineChars="200"/>
        <w:rPr>
          <w:rFonts w:ascii="宋体" w:hAnsi="宋体" w:eastAsia="宋体" w:cs="宋体"/>
          <w:color w:val="000000"/>
          <w:szCs w:val="21"/>
        </w:rPr>
      </w:pPr>
      <w:r>
        <w:rPr>
          <w:rFonts w:hint="eastAsia" w:ascii="宋体" w:hAnsi="宋体" w:eastAsia="宋体" w:cs="宋体"/>
          <w:color w:val="000000"/>
          <w:szCs w:val="21"/>
        </w:rPr>
        <w:t>为进一步加强廉政建设，规范甲乙双方的各项活动，防止发生各种谋取不正当利益的违法违规行为，从源头上预防治理腐败，根据国家有关的法律法规规定，特制定本廉洁条款。</w:t>
      </w:r>
    </w:p>
    <w:p>
      <w:pPr>
        <w:spacing w:line="360" w:lineRule="auto"/>
        <w:rPr>
          <w:rFonts w:ascii="宋体" w:hAnsi="宋体" w:eastAsia="宋体" w:cs="宋体"/>
          <w:color w:val="000000"/>
          <w:szCs w:val="21"/>
        </w:rPr>
      </w:pPr>
      <w:r>
        <w:rPr>
          <w:rFonts w:hint="eastAsia" w:ascii="宋体" w:hAnsi="宋体" w:eastAsia="宋体" w:cs="宋体"/>
          <w:color w:val="000000"/>
          <w:szCs w:val="21"/>
        </w:rPr>
        <w:t>第一条 甲乙双方的权利和义务</w:t>
      </w:r>
    </w:p>
    <w:p>
      <w:pPr>
        <w:spacing w:line="360" w:lineRule="auto"/>
        <w:rPr>
          <w:rFonts w:ascii="宋体" w:hAnsi="宋体" w:eastAsia="宋体" w:cs="宋体"/>
          <w:color w:val="000000"/>
          <w:szCs w:val="21"/>
        </w:rPr>
      </w:pPr>
      <w:r>
        <w:rPr>
          <w:rFonts w:hint="eastAsia" w:ascii="宋体" w:hAnsi="宋体" w:eastAsia="宋体" w:cs="宋体"/>
          <w:color w:val="000000"/>
          <w:szCs w:val="21"/>
        </w:rPr>
        <w:t>（一）在双方的业务交往中，共同遵守相关的法律法规。</w:t>
      </w:r>
    </w:p>
    <w:p>
      <w:pPr>
        <w:spacing w:line="360" w:lineRule="auto"/>
        <w:rPr>
          <w:rFonts w:ascii="宋体" w:hAnsi="宋体" w:eastAsia="宋体" w:cs="宋体"/>
          <w:color w:val="000000"/>
          <w:szCs w:val="21"/>
        </w:rPr>
      </w:pPr>
      <w:r>
        <w:rPr>
          <w:rFonts w:hint="eastAsia" w:ascii="宋体" w:hAnsi="宋体" w:eastAsia="宋体" w:cs="宋体"/>
          <w:color w:val="000000"/>
          <w:szCs w:val="21"/>
        </w:rPr>
        <w:t>（二）加强本单位廉政建设和对员工的廉洁从业教育，不断提高员工的廉洁自律意识。</w:t>
      </w:r>
    </w:p>
    <w:p>
      <w:pPr>
        <w:spacing w:line="360" w:lineRule="auto"/>
        <w:rPr>
          <w:rFonts w:ascii="宋体" w:hAnsi="宋体" w:eastAsia="宋体" w:cs="宋体"/>
          <w:color w:val="000000"/>
          <w:szCs w:val="21"/>
        </w:rPr>
      </w:pPr>
      <w:r>
        <w:rPr>
          <w:rFonts w:hint="eastAsia" w:ascii="宋体" w:hAnsi="宋体" w:eastAsia="宋体" w:cs="宋体"/>
          <w:color w:val="000000"/>
          <w:szCs w:val="21"/>
        </w:rPr>
        <w:t>（三）加强对本单位员工的监督与检查，并自觉接受对方廉政监督。当发现对方在彼此的业务交往中存在可能或有违法违规行为时，应及时给予提醒制止，并通报对方，进行调查、处理。</w:t>
      </w:r>
    </w:p>
    <w:p>
      <w:pPr>
        <w:spacing w:line="360" w:lineRule="auto"/>
        <w:rPr>
          <w:rFonts w:ascii="宋体" w:hAnsi="宋体" w:eastAsia="宋体" w:cs="宋体"/>
          <w:color w:val="000000"/>
          <w:szCs w:val="21"/>
        </w:rPr>
      </w:pPr>
      <w:r>
        <w:rPr>
          <w:rFonts w:hint="eastAsia" w:ascii="宋体" w:hAnsi="宋体" w:eastAsia="宋体" w:cs="宋体"/>
          <w:color w:val="000000"/>
          <w:szCs w:val="21"/>
        </w:rPr>
        <w:t>第二条 甲方的责任</w:t>
      </w:r>
    </w:p>
    <w:p>
      <w:pPr>
        <w:spacing w:line="360" w:lineRule="auto"/>
        <w:rPr>
          <w:rFonts w:ascii="宋体" w:hAnsi="宋体" w:eastAsia="宋体" w:cs="宋体"/>
          <w:color w:val="000000"/>
          <w:szCs w:val="21"/>
        </w:rPr>
      </w:pPr>
      <w:r>
        <w:rPr>
          <w:rFonts w:hint="eastAsia" w:ascii="宋体" w:hAnsi="宋体" w:eastAsia="宋体" w:cs="宋体"/>
          <w:color w:val="000000"/>
          <w:szCs w:val="21"/>
        </w:rPr>
        <w:t>（一）不准向乙方索要或接受回扣、礼金、有价证券、贵重物品和好处费、感谢费等；不准在乙方报销任何由甲方或个人支付的费用。</w:t>
      </w:r>
    </w:p>
    <w:p>
      <w:pPr>
        <w:spacing w:line="360" w:lineRule="auto"/>
        <w:rPr>
          <w:rFonts w:ascii="宋体" w:hAnsi="宋体" w:eastAsia="宋体" w:cs="宋体"/>
          <w:color w:val="000000"/>
          <w:szCs w:val="21"/>
        </w:rPr>
      </w:pPr>
      <w:r>
        <w:rPr>
          <w:rFonts w:hint="eastAsia" w:ascii="宋体" w:hAnsi="宋体" w:eastAsia="宋体" w:cs="宋体"/>
          <w:color w:val="000000"/>
          <w:szCs w:val="21"/>
        </w:rPr>
        <w:t>（二）不准参加乙方安排的宴请和健身、娱乐等活动；不得接受乙方提供的通讯工具、交通工具和高档办公用品等。</w:t>
      </w:r>
    </w:p>
    <w:p>
      <w:pPr>
        <w:spacing w:line="360" w:lineRule="auto"/>
        <w:rPr>
          <w:rFonts w:ascii="宋体" w:hAnsi="宋体" w:eastAsia="宋体" w:cs="宋体"/>
          <w:color w:val="000000"/>
          <w:szCs w:val="21"/>
        </w:rPr>
      </w:pPr>
      <w:r>
        <w:rPr>
          <w:rFonts w:hint="eastAsia" w:ascii="宋体" w:hAnsi="宋体" w:eastAsia="宋体" w:cs="宋体"/>
          <w:color w:val="000000"/>
          <w:szCs w:val="21"/>
        </w:rPr>
        <w:t>（三）不准要求、暗示和接受乙方为个人装修住房、婚丧嫁娶、配偶子女的工作安排以及出国（境）旅游等提供方便。</w:t>
      </w:r>
    </w:p>
    <w:p>
      <w:pPr>
        <w:spacing w:line="360" w:lineRule="auto"/>
        <w:rPr>
          <w:rFonts w:ascii="宋体" w:hAnsi="宋体" w:eastAsia="宋体" w:cs="宋体"/>
          <w:color w:val="000000"/>
          <w:szCs w:val="21"/>
        </w:rPr>
      </w:pPr>
      <w:r>
        <w:rPr>
          <w:rFonts w:hint="eastAsia" w:ascii="宋体" w:hAnsi="宋体" w:eastAsia="宋体" w:cs="宋体"/>
          <w:color w:val="000000"/>
          <w:szCs w:val="21"/>
        </w:rPr>
        <w:t>（四）配偶、子女不得从事与乙方承包本工程有关的设备材料供应、工程分包、劳务等经济活动。</w:t>
      </w:r>
    </w:p>
    <w:p>
      <w:pPr>
        <w:spacing w:line="360" w:lineRule="auto"/>
        <w:rPr>
          <w:rFonts w:ascii="宋体" w:hAnsi="宋体" w:eastAsia="宋体" w:cs="宋体"/>
          <w:color w:val="000000"/>
          <w:szCs w:val="21"/>
        </w:rPr>
      </w:pPr>
      <w:r>
        <w:rPr>
          <w:rFonts w:hint="eastAsia" w:ascii="宋体" w:hAnsi="宋体" w:eastAsia="宋体" w:cs="宋体"/>
          <w:color w:val="000000"/>
          <w:szCs w:val="21"/>
        </w:rPr>
        <w:t>（五）不得以任何理由向乙方推荐分包单位或要求乙方购买项目合同规定外的材料、设备和服务等。</w:t>
      </w:r>
    </w:p>
    <w:p>
      <w:pPr>
        <w:spacing w:line="360" w:lineRule="auto"/>
        <w:rPr>
          <w:rFonts w:ascii="宋体" w:hAnsi="宋体" w:eastAsia="宋体" w:cs="宋体"/>
          <w:color w:val="000000"/>
          <w:szCs w:val="21"/>
        </w:rPr>
      </w:pPr>
      <w:r>
        <w:rPr>
          <w:rFonts w:hint="eastAsia" w:ascii="宋体" w:hAnsi="宋体" w:eastAsia="宋体" w:cs="宋体"/>
          <w:color w:val="000000"/>
          <w:szCs w:val="21"/>
        </w:rPr>
        <w:t>（六）其它不廉洁行为。</w:t>
      </w:r>
    </w:p>
    <w:p>
      <w:pPr>
        <w:spacing w:line="360" w:lineRule="auto"/>
        <w:rPr>
          <w:rFonts w:ascii="宋体" w:hAnsi="宋体" w:eastAsia="宋体" w:cs="宋体"/>
          <w:color w:val="000000"/>
          <w:szCs w:val="21"/>
        </w:rPr>
      </w:pPr>
      <w:r>
        <w:rPr>
          <w:rFonts w:hint="eastAsia" w:ascii="宋体" w:hAnsi="宋体" w:eastAsia="宋体" w:cs="宋体"/>
          <w:color w:val="000000"/>
          <w:szCs w:val="21"/>
        </w:rPr>
        <w:t>第三条 乙方的责任</w:t>
      </w:r>
    </w:p>
    <w:p>
      <w:pPr>
        <w:spacing w:line="360" w:lineRule="auto"/>
        <w:rPr>
          <w:rFonts w:ascii="宋体" w:hAnsi="宋体" w:eastAsia="宋体" w:cs="宋体"/>
          <w:color w:val="000000"/>
          <w:szCs w:val="21"/>
        </w:rPr>
      </w:pPr>
      <w:r>
        <w:rPr>
          <w:rFonts w:hint="eastAsia" w:ascii="宋体" w:hAnsi="宋体" w:eastAsia="宋体" w:cs="宋体"/>
          <w:color w:val="000000"/>
          <w:szCs w:val="21"/>
        </w:rPr>
        <w:t>（一）不准以任何理由向甲方工作人员（含家属、子女，下同）行贿或馈赠礼物、礼金、有价证券、贵重物品及象征性低价物品。</w:t>
      </w:r>
    </w:p>
    <w:p>
      <w:pPr>
        <w:spacing w:line="360" w:lineRule="auto"/>
        <w:rPr>
          <w:rFonts w:ascii="宋体" w:hAnsi="宋体" w:eastAsia="宋体" w:cs="宋体"/>
          <w:color w:val="000000"/>
          <w:szCs w:val="21"/>
        </w:rPr>
      </w:pPr>
      <w:r>
        <w:rPr>
          <w:rFonts w:hint="eastAsia" w:ascii="宋体" w:hAnsi="宋体" w:eastAsia="宋体" w:cs="宋体"/>
          <w:color w:val="000000"/>
          <w:szCs w:val="21"/>
        </w:rPr>
        <w:t>（二）不准以任何名义为甲方工作人员报销应由对方或个人支付的费用。</w:t>
      </w:r>
    </w:p>
    <w:p>
      <w:pPr>
        <w:spacing w:line="360" w:lineRule="auto"/>
        <w:rPr>
          <w:rFonts w:ascii="宋体" w:hAnsi="宋体" w:eastAsia="宋体" w:cs="宋体"/>
          <w:color w:val="000000"/>
          <w:szCs w:val="21"/>
        </w:rPr>
      </w:pPr>
      <w:r>
        <w:rPr>
          <w:rFonts w:hint="eastAsia" w:ascii="宋体" w:hAnsi="宋体" w:eastAsia="宋体" w:cs="宋体"/>
          <w:color w:val="000000"/>
          <w:szCs w:val="21"/>
        </w:rPr>
        <w:t>（三）不准以任何理由安排甲方工作人员参加宴请及健身、娱乐和旅游等活动。</w:t>
      </w:r>
    </w:p>
    <w:p>
      <w:pPr>
        <w:spacing w:line="360" w:lineRule="auto"/>
        <w:rPr>
          <w:rFonts w:ascii="宋体" w:hAnsi="宋体" w:eastAsia="宋体" w:cs="宋体"/>
          <w:color w:val="000000"/>
          <w:szCs w:val="21"/>
        </w:rPr>
      </w:pPr>
      <w:r>
        <w:rPr>
          <w:rFonts w:hint="eastAsia" w:ascii="宋体" w:hAnsi="宋体" w:eastAsia="宋体" w:cs="宋体"/>
          <w:color w:val="000000"/>
          <w:szCs w:val="21"/>
        </w:rPr>
        <w:t>（四）不准为甲方单位和工作人员购置或提供通讯工具、交通工具和高档办公用品和装修住房等。</w:t>
      </w:r>
    </w:p>
    <w:p>
      <w:pPr>
        <w:spacing w:line="360" w:lineRule="auto"/>
        <w:rPr>
          <w:rFonts w:ascii="宋体" w:hAnsi="宋体" w:eastAsia="宋体" w:cs="宋体"/>
          <w:color w:val="000000"/>
          <w:szCs w:val="21"/>
        </w:rPr>
      </w:pPr>
      <w:r>
        <w:rPr>
          <w:rFonts w:hint="eastAsia" w:ascii="宋体" w:hAnsi="宋体" w:eastAsia="宋体" w:cs="宋体"/>
          <w:color w:val="000000"/>
          <w:szCs w:val="21"/>
        </w:rPr>
        <w:t>（五）其它不廉洁行为。</w:t>
      </w:r>
    </w:p>
    <w:p>
      <w:pPr>
        <w:spacing w:line="360" w:lineRule="auto"/>
        <w:rPr>
          <w:rFonts w:ascii="宋体" w:hAnsi="宋体" w:eastAsia="宋体" w:cs="宋体"/>
          <w:color w:val="000000"/>
          <w:szCs w:val="21"/>
        </w:rPr>
      </w:pPr>
      <w:r>
        <w:rPr>
          <w:rFonts w:hint="eastAsia" w:ascii="宋体" w:hAnsi="宋体" w:eastAsia="宋体" w:cs="宋体"/>
          <w:color w:val="000000"/>
          <w:szCs w:val="21"/>
        </w:rPr>
        <w:t>第四条 违约责任</w:t>
      </w:r>
    </w:p>
    <w:p>
      <w:pPr>
        <w:spacing w:line="360" w:lineRule="auto"/>
        <w:rPr>
          <w:rFonts w:ascii="宋体" w:hAnsi="宋体" w:eastAsia="宋体" w:cs="宋体"/>
          <w:color w:val="000000"/>
          <w:szCs w:val="21"/>
        </w:rPr>
      </w:pPr>
      <w:r>
        <w:rPr>
          <w:rFonts w:hint="eastAsia" w:ascii="宋体" w:hAnsi="宋体" w:eastAsia="宋体" w:cs="宋体"/>
          <w:color w:val="000000"/>
          <w:szCs w:val="21"/>
        </w:rPr>
        <w:t>（一）甲方发现乙方有违反本条款或者采用不正当的手段贿赂甲方工作人员，甲方应向乙方领导举报，并取消乙方供应商资格，由此给甲方造成的损失均由乙方承担。</w:t>
      </w:r>
    </w:p>
    <w:p>
      <w:pPr>
        <w:spacing w:line="360" w:lineRule="auto"/>
        <w:rPr>
          <w:rFonts w:ascii="宋体" w:hAnsi="宋体" w:eastAsia="宋体" w:cs="宋体"/>
          <w:color w:val="000000"/>
          <w:szCs w:val="21"/>
        </w:rPr>
      </w:pPr>
      <w:r>
        <w:rPr>
          <w:rFonts w:hint="eastAsia" w:ascii="宋体" w:hAnsi="宋体" w:eastAsia="宋体" w:cs="宋体"/>
          <w:color w:val="000000"/>
          <w:szCs w:val="21"/>
        </w:rPr>
        <w:t>（二）乙方如发现甲方工作人员有违反上述条款，应当向甲方领导举报，甲方不得找任何借口对乙方进行报复或刁难、延误工作。</w:t>
      </w:r>
    </w:p>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lang w:val="en-US" w:eastAsia="zh-CN"/>
        </w:rPr>
      </w:pPr>
    </w:p>
    <w:p>
      <w:pPr>
        <w:pStyle w:val="4"/>
        <w:rPr>
          <w:lang w:val="en-US" w:eastAsia="zh-CN"/>
        </w:rPr>
      </w:pPr>
    </w:p>
    <w:p>
      <w:pPr>
        <w:rPr>
          <w:rFonts w:hint="eastAsia"/>
          <w:b/>
          <w:strike w:val="0"/>
          <w:dstrike w:val="0"/>
          <w:sz w:val="24"/>
          <w:lang w:val="en-US" w:eastAsia="zh-CN"/>
        </w:rPr>
      </w:pPr>
      <w:r>
        <w:rPr>
          <w:rFonts w:hint="eastAsia"/>
          <w:b/>
          <w:strike w:val="0"/>
          <w:dstrike w:val="0"/>
          <w:sz w:val="24"/>
          <w:lang w:val="en-US" w:eastAsia="zh-CN"/>
        </w:rPr>
        <w:br w:type="page"/>
      </w:r>
    </w:p>
    <w:p>
      <w:pPr>
        <w:pStyle w:val="19"/>
        <w:keepNext w:val="0"/>
        <w:keepLines w:val="0"/>
        <w:pageBreakBefore w:val="0"/>
        <w:widowControl/>
        <w:kinsoku/>
        <w:wordWrap/>
        <w:overflowPunct/>
        <w:topLinePunct w:val="0"/>
        <w:autoSpaceDE/>
        <w:autoSpaceDN/>
        <w:bidi w:val="0"/>
        <w:adjustRightInd/>
        <w:snapToGrid/>
        <w:spacing w:before="240" w:after="240" w:line="360" w:lineRule="auto"/>
        <w:jc w:val="left"/>
        <w:textAlignment w:val="auto"/>
        <w:outlineLvl w:val="0"/>
        <w:rPr>
          <w:rFonts w:hint="eastAsia"/>
          <w:b/>
          <w:strike w:val="0"/>
          <w:dstrike w:val="0"/>
          <w:sz w:val="24"/>
          <w:lang w:val="en-US" w:eastAsia="zh-CN"/>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19"/>
        <w:keepNext w:val="0"/>
        <w:keepLines w:val="0"/>
        <w:pageBreakBefore w:val="0"/>
        <w:widowControl/>
        <w:kinsoku/>
        <w:wordWrap/>
        <w:overflowPunct/>
        <w:topLinePunct w:val="0"/>
        <w:autoSpaceDE/>
        <w:autoSpaceDN/>
        <w:bidi w:val="0"/>
        <w:adjustRightInd/>
        <w:snapToGrid/>
        <w:spacing w:before="240" w:after="240" w:line="360" w:lineRule="auto"/>
        <w:jc w:val="left"/>
        <w:textAlignment w:val="auto"/>
        <w:outlineLvl w:val="0"/>
        <w:rPr>
          <w:rFonts w:hint="eastAsia"/>
          <w:b/>
          <w:strike w:val="0"/>
          <w:dstrike w:val="0"/>
          <w:sz w:val="24"/>
        </w:rPr>
      </w:pPr>
      <w:r>
        <w:rPr>
          <w:rFonts w:hint="eastAsia"/>
          <w:b/>
          <w:strike w:val="0"/>
          <w:dstrike w:val="0"/>
          <w:sz w:val="24"/>
          <w:lang w:val="en-US" w:eastAsia="zh-CN"/>
        </w:rPr>
        <w:t xml:space="preserve">附件4： </w:t>
      </w:r>
      <w:r>
        <w:rPr>
          <w:rFonts w:hint="eastAsia"/>
          <w:b/>
          <w:strike w:val="0"/>
          <w:dstrike w:val="0"/>
          <w:sz w:val="24"/>
        </w:rPr>
        <w:t>供应商履约异常处罚方式</w:t>
      </w:r>
    </w:p>
    <w:p>
      <w:pPr>
        <w:keepNext w:val="0"/>
        <w:keepLines w:val="0"/>
        <w:pageBreakBefore w:val="0"/>
        <w:widowControl/>
        <w:kinsoku/>
        <w:wordWrap/>
        <w:overflowPunct/>
        <w:topLinePunct w:val="0"/>
        <w:autoSpaceDE/>
        <w:autoSpaceDN/>
        <w:bidi w:val="0"/>
        <w:adjustRightInd/>
        <w:snapToGrid/>
        <w:spacing w:before="0" w:after="0" w:line="240" w:lineRule="auto"/>
        <w:jc w:val="left"/>
        <w:textAlignment w:val="auto"/>
        <w:outlineLvl w:val="1"/>
        <w:rPr>
          <w:rFonts w:hint="eastAsia" w:eastAsia="宋体"/>
          <w:b/>
          <w:strike w:val="0"/>
          <w:dstrike w:val="0"/>
          <w:sz w:val="24"/>
          <w:lang w:eastAsia="zh-CN"/>
        </w:rPr>
      </w:pPr>
      <w:r>
        <w:rPr>
          <w:rFonts w:hint="eastAsia"/>
          <w:b/>
          <w:strike w:val="0"/>
          <w:dstrike w:val="0"/>
          <w:sz w:val="24"/>
          <w:lang w:val="en-US" w:eastAsia="zh-CN"/>
        </w:rPr>
        <w:t>4.1海油发展供应商处理情形和处理标准</w:t>
      </w:r>
    </w:p>
    <w:tbl>
      <w:tblPr>
        <w:tblStyle w:val="13"/>
        <w:tblpPr w:leftFromText="180" w:rightFromText="180" w:vertAnchor="text" w:horzAnchor="page" w:tblpX="1294" w:tblpY="376"/>
        <w:tblOverlap w:val="never"/>
        <w:tblW w:w="145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9"/>
        <w:gridCol w:w="5433"/>
        <w:gridCol w:w="11"/>
        <w:gridCol w:w="8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4596"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textAlignment w:val="center"/>
              <w:rPr>
                <w:b/>
                <w:bCs/>
                <w:sz w:val="21"/>
                <w:szCs w:val="21"/>
                <w:lang w:bidi="ar"/>
              </w:rPr>
            </w:pPr>
            <w:r>
              <w:rPr>
                <w:rFonts w:hint="eastAsia"/>
                <w:b/>
                <w:bCs/>
                <w:sz w:val="21"/>
                <w:szCs w:val="21"/>
                <w:lang w:val="en-US" w:eastAsia="zh-CN" w:bidi="ar"/>
              </w:rPr>
              <w:t>一、履约异常供应商处理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7" w:hRule="atLeast"/>
        </w:trPr>
        <w:tc>
          <w:tcPr>
            <w:tcW w:w="14596" w:type="dxa"/>
            <w:gridSpan w:val="4"/>
            <w:tcBorders>
              <w:tl2br w:val="nil"/>
              <w:tr2bl w:val="nil"/>
            </w:tcBorders>
            <w:shd w:val="clear" w:color="auto" w:fill="auto"/>
            <w:vAlign w:val="center"/>
          </w:tcPr>
          <w:tbl>
            <w:tblPr>
              <w:tblStyle w:val="13"/>
              <w:tblW w:w="14589"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395"/>
              <w:gridCol w:w="83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9"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b/>
                      <w:bCs/>
                      <w:color w:val="000000"/>
                      <w:sz w:val="21"/>
                      <w:szCs w:val="21"/>
                    </w:rPr>
                  </w:pPr>
                  <w:r>
                    <w:rPr>
                      <w:rFonts w:hint="eastAsia"/>
                      <w:b/>
                      <w:bCs/>
                      <w:color w:val="000000"/>
                      <w:sz w:val="21"/>
                      <w:szCs w:val="21"/>
                      <w:lang w:bidi="ar"/>
                    </w:rPr>
                    <w:t>序号</w:t>
                  </w:r>
                </w:p>
              </w:tc>
              <w:tc>
                <w:tcPr>
                  <w:tcW w:w="2395"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b/>
                      <w:bCs/>
                      <w:color w:val="000000"/>
                      <w:sz w:val="21"/>
                      <w:szCs w:val="21"/>
                    </w:rPr>
                  </w:pPr>
                  <w:r>
                    <w:rPr>
                      <w:rFonts w:hint="eastAsia"/>
                      <w:b/>
                      <w:bCs/>
                      <w:color w:val="000000"/>
                      <w:sz w:val="21"/>
                      <w:szCs w:val="21"/>
                      <w:lang w:bidi="ar"/>
                    </w:rPr>
                    <w:t>违规类型</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b/>
                      <w:bCs/>
                      <w:color w:val="000000"/>
                      <w:sz w:val="21"/>
                      <w:szCs w:val="21"/>
                    </w:rPr>
                  </w:pPr>
                  <w:r>
                    <w:rPr>
                      <w:rFonts w:hint="eastAsia"/>
                      <w:b/>
                      <w:bCs/>
                      <w:color w:val="000000"/>
                      <w:sz w:val="21"/>
                      <w:szCs w:val="21"/>
                      <w:lang w:bidi="ar"/>
                    </w:rPr>
                    <w:t>违规情形说明</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ind w:firstLine="422" w:firstLineChars="200"/>
                    <w:textAlignment w:val="center"/>
                    <w:rPr>
                      <w:b/>
                      <w:bCs/>
                      <w:color w:val="000000"/>
                      <w:sz w:val="21"/>
                      <w:szCs w:val="21"/>
                    </w:rPr>
                  </w:pPr>
                  <w:r>
                    <w:rPr>
                      <w:rFonts w:hint="eastAsia"/>
                      <w:b/>
                      <w:bCs/>
                      <w:color w:val="000000"/>
                      <w:sz w:val="21"/>
                      <w:szCs w:val="21"/>
                      <w:lang w:bidi="ar"/>
                    </w:rPr>
                    <w:t>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r>
                    <w:rPr>
                      <w:rFonts w:hint="eastAsia"/>
                      <w:color w:val="000000"/>
                      <w:sz w:val="21"/>
                      <w:szCs w:val="21"/>
                      <w:lang w:bidi="ar"/>
                    </w:rPr>
                    <w:t>1</w:t>
                  </w:r>
                </w:p>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r>
                    <w:rPr>
                      <w:rFonts w:hint="eastAsia"/>
                      <w:color w:val="000000"/>
                      <w:sz w:val="21"/>
                      <w:szCs w:val="21"/>
                      <w:lang w:bidi="ar"/>
                    </w:rPr>
                    <w:t>提供虚假资料</w:t>
                  </w:r>
                </w:p>
              </w:tc>
              <w:tc>
                <w:tcPr>
                  <w:tcW w:w="8364" w:type="dxa"/>
                  <w:shd w:val="clear" w:color="auto" w:fill="auto"/>
                  <w:vAlign w:val="center"/>
                </w:tcPr>
                <w:p>
                  <w:pPr>
                    <w:pStyle w:val="2"/>
                    <w:keepNext w:val="0"/>
                    <w:keepLines w:val="0"/>
                    <w:pageBreakBefore w:val="0"/>
                    <w:numPr>
                      <w:ilvl w:val="-1"/>
                      <w:numId w:val="0"/>
                    </w:numPr>
                    <w:kinsoku/>
                    <w:wordWrap/>
                    <w:overflowPunct/>
                    <w:topLinePunct w:val="0"/>
                    <w:autoSpaceDE/>
                    <w:autoSpaceDN/>
                    <w:bidi w:val="0"/>
                    <w:adjustRightInd/>
                    <w:snapToGrid/>
                    <w:rPr>
                      <w:rFonts w:hint="eastAsia" w:ascii="宋体" w:hAnsi="宋体" w:eastAsia="宋体" w:cs="宋体"/>
                      <w:bCs w:val="0"/>
                      <w:color w:val="000000"/>
                      <w:kern w:val="0"/>
                      <w:sz w:val="21"/>
                      <w:szCs w:val="21"/>
                      <w:lang w:val="en-US" w:eastAsia="zh-CN" w:bidi="ar"/>
                    </w:rPr>
                  </w:pPr>
                  <w:r>
                    <w:rPr>
                      <w:rFonts w:hint="eastAsia" w:ascii="宋体" w:hAnsi="宋体" w:eastAsia="宋体" w:cs="宋体"/>
                      <w:bCs w:val="0"/>
                      <w:color w:val="000000"/>
                      <w:kern w:val="0"/>
                      <w:sz w:val="21"/>
                      <w:szCs w:val="21"/>
                      <w:lang w:val="en-US" w:eastAsia="zh-CN" w:bidi="ar"/>
                    </w:rPr>
                    <w:t>提供虚假材料（资质文件、业绩、财务状况、书面承诺等）进行供应商注册、资格审查或参与采购项目，未签订合同的，未造成实质性影响的（有效竞争人不少于3家的）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color w:val="000000"/>
                      <w:sz w:val="21"/>
                      <w:szCs w:val="21"/>
                    </w:rPr>
                  </w:pPr>
                </w:p>
              </w:tc>
              <w:tc>
                <w:tcPr>
                  <w:tcW w:w="8364" w:type="dxa"/>
                  <w:shd w:val="clear" w:color="auto" w:fill="auto"/>
                  <w:vAlign w:val="center"/>
                </w:tcPr>
                <w:p>
                  <w:pPr>
                    <w:pStyle w:val="2"/>
                    <w:keepNext w:val="0"/>
                    <w:keepLines w:val="0"/>
                    <w:pageBreakBefore w:val="0"/>
                    <w:numPr>
                      <w:ilvl w:val="-1"/>
                      <w:numId w:val="0"/>
                    </w:numPr>
                    <w:kinsoku/>
                    <w:wordWrap/>
                    <w:overflowPunct/>
                    <w:topLinePunct w:val="0"/>
                    <w:autoSpaceDE/>
                    <w:autoSpaceDN/>
                    <w:bidi w:val="0"/>
                    <w:adjustRightInd/>
                    <w:snapToGrid/>
                    <w:rPr>
                      <w:rFonts w:hint="default" w:ascii="宋体" w:hAnsi="宋体" w:eastAsia="宋体" w:cs="宋体"/>
                      <w:bCs w:val="0"/>
                      <w:color w:val="000000"/>
                      <w:kern w:val="0"/>
                      <w:sz w:val="21"/>
                      <w:szCs w:val="21"/>
                      <w:lang w:val="en-US" w:eastAsia="zh-CN" w:bidi="ar"/>
                    </w:rPr>
                  </w:pPr>
                  <w:r>
                    <w:rPr>
                      <w:rFonts w:hint="eastAsia" w:ascii="宋体" w:hAnsi="宋体" w:eastAsia="宋体" w:cs="宋体"/>
                      <w:bCs w:val="0"/>
                      <w:color w:val="000000"/>
                      <w:kern w:val="0"/>
                      <w:sz w:val="21"/>
                      <w:szCs w:val="21"/>
                      <w:lang w:val="en-US" w:eastAsia="zh-CN" w:bidi="ar"/>
                    </w:rPr>
                    <w:t>提供虚假材料（资质文件、业绩、财务状况、书面承诺等）进行供应商注册、资格审查或参与采购项目，未签订合同的，造成实质性影响的（有效竞争人少于3家的）或已签订合同且已执行的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eastAsia="宋体"/>
                      <w:color w:val="000000"/>
                      <w:sz w:val="21"/>
                      <w:szCs w:val="21"/>
                      <w:lang w:eastAsia="zh-CN"/>
                    </w:rPr>
                  </w:pPr>
                  <w:r>
                    <w:rPr>
                      <w:rFonts w:hint="eastAsia"/>
                      <w:color w:val="000000"/>
                      <w:sz w:val="21"/>
                      <w:szCs w:val="21"/>
                      <w:lang w:bidi="ar"/>
                    </w:rPr>
                    <w:t>禁用两年</w:t>
                  </w:r>
                  <w:r>
                    <w:rPr>
                      <w:rFonts w:hint="eastAsia"/>
                      <w:color w:val="000000"/>
                      <w:sz w:val="21"/>
                      <w:szCs w:val="21"/>
                      <w:lang w:eastAsia="zh-CN" w:bidi="ar"/>
                    </w:rPr>
                    <w:t>，</w:t>
                  </w:r>
                  <w:r>
                    <w:rPr>
                      <w:rFonts w:hint="eastAsia" w:ascii="宋体" w:hAnsi="宋体" w:cs="宋体"/>
                      <w:color w:val="000000" w:themeColor="text1"/>
                      <w:kern w:val="0"/>
                      <w:sz w:val="21"/>
                      <w:szCs w:val="21"/>
                      <w14:textFill>
                        <w14:solidFill>
                          <w14:schemeClr w14:val="tx1"/>
                        </w14:solidFill>
                      </w14:textFill>
                    </w:rPr>
                    <w:t>造成损失根据损失程度再增加对其处理。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color w:val="000000"/>
                      <w:sz w:val="21"/>
                      <w:szCs w:val="21"/>
                      <w:lang w:val="en-US"/>
                    </w:rPr>
                  </w:pPr>
                  <w:r>
                    <w:rPr>
                      <w:rFonts w:hint="eastAsia"/>
                      <w:color w:val="000000"/>
                      <w:sz w:val="21"/>
                      <w:szCs w:val="21"/>
                      <w:lang w:val="en-US" w:eastAsia="zh-CN" w:bidi="ar"/>
                    </w:rPr>
                    <w:t>2</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r>
                    <w:rPr>
                      <w:rFonts w:hint="eastAsia"/>
                      <w:color w:val="000000"/>
                      <w:sz w:val="21"/>
                      <w:szCs w:val="21"/>
                      <w:lang w:bidi="ar"/>
                    </w:rPr>
                    <w:t>恶意串通</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为达到不正当目的相互恶意串通，未签订合同的或已签订合同且已执行但未造成合同额外损失的。</w:t>
                  </w:r>
                  <w:r>
                    <w:rPr>
                      <w:rFonts w:hint="eastAsia"/>
                      <w:color w:val="000000"/>
                      <w:sz w:val="21"/>
                      <w:szCs w:val="21"/>
                      <w:highlight w:val="none"/>
                      <w:lang w:bidi="ar"/>
                    </w:rPr>
                    <w:t>恶意串通包括：①供应商与采购人或招标机构串通，由采购人或招标机构提出有利于特定供应商中标的要求；②供应商与采购人、招标机构或其他供应商串通陪标的；③供应商之间相互串通，以不正当的手段排挤其他供应商</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highlight w:val="none"/>
                    </w:rPr>
                  </w:pPr>
                  <w:r>
                    <w:rPr>
                      <w:rFonts w:hint="eastAsia" w:ascii="宋体" w:hAnsi="宋体" w:eastAsia="宋体" w:cs="宋体"/>
                      <w:i w:val="0"/>
                      <w:iCs w:val="0"/>
                      <w:color w:val="000000"/>
                      <w:kern w:val="0"/>
                      <w:sz w:val="21"/>
                      <w:szCs w:val="21"/>
                      <w:highlight w:val="none"/>
                      <w:u w:val="none"/>
                      <w:lang w:val="en-US" w:eastAsia="zh-CN" w:bidi="ar"/>
                    </w:rPr>
                    <w:t>为达到不正当目的相互恶意串通，已签订合同且已执行并造成合同额外损失的。</w:t>
                  </w:r>
                  <w:r>
                    <w:rPr>
                      <w:rFonts w:hint="eastAsia"/>
                      <w:color w:val="000000"/>
                      <w:sz w:val="21"/>
                      <w:szCs w:val="21"/>
                      <w:highlight w:val="none"/>
                      <w:lang w:bidi="ar"/>
                    </w:rPr>
                    <w:t>恶意串通包括：①供应商与采购人或招标机构串通，由采购人或招标机构提出有利于特定供应商中标的要求；②供应商与采购人、招标机构或其他供应商串通陪标的；③供应商之间相互串通，以不正当的手段排挤其他供应商</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strike/>
                      <w:color w:val="000000"/>
                      <w:sz w:val="21"/>
                      <w:szCs w:val="21"/>
                      <w:highlight w:val="none"/>
                      <w:lang w:bidi="ar"/>
                    </w:rPr>
                  </w:pPr>
                  <w:r>
                    <w:rPr>
                      <w:rFonts w:hint="eastAsia" w:ascii="宋体" w:hAnsi="宋体" w:eastAsia="宋体" w:cs="宋体"/>
                      <w:i w:val="0"/>
                      <w:iCs w:val="0"/>
                      <w:color w:val="000000"/>
                      <w:kern w:val="0"/>
                      <w:sz w:val="21"/>
                      <w:szCs w:val="21"/>
                      <w:u w:val="none"/>
                      <w:lang w:val="en-US" w:eastAsia="zh-CN" w:bidi="ar"/>
                    </w:rPr>
                    <w:t>为达到不正当目的相互恶意串通的注册供应商。恶意串通包括：①供应商与采购人或招标机构串通，由采购人或招标机构提出有利于特定供应商中标的要求；②供应商与采购人、招标机构或其他供应商串通陪标的；③供应商之间相互串通，以不正当的手段排挤其他供应商；</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129"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val="en-US" w:eastAsia="zh-CN" w:bidi="ar"/>
                    </w:rPr>
                    <w:t>3</w:t>
                  </w:r>
                </w:p>
              </w:tc>
              <w:tc>
                <w:tcPr>
                  <w:tcW w:w="2395" w:type="dxa"/>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行贿</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向采购交易所涉及的相关方或能产生实际影响的相关方行贿。</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对供应商给予“禁用两年”或“长期禁用”处理，行贿判定的依据为公司内部执纪部门书面通知等。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129"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ascii="宋体" w:hAnsi="宋体" w:eastAsia="宋体" w:cs="宋体"/>
                      <w:color w:val="000000"/>
                      <w:kern w:val="0"/>
                      <w:sz w:val="21"/>
                      <w:szCs w:val="21"/>
                      <w:lang w:val="en-US" w:eastAsia="zh-CN" w:bidi="ar-SA"/>
                    </w:rPr>
                  </w:pPr>
                  <w:r>
                    <w:rPr>
                      <w:rFonts w:hint="eastAsia"/>
                      <w:color w:val="000000"/>
                      <w:sz w:val="21"/>
                      <w:szCs w:val="21"/>
                      <w:lang w:val="en-US" w:eastAsia="zh-CN" w:bidi="ar"/>
                    </w:rPr>
                    <w:t>4</w:t>
                  </w:r>
                </w:p>
              </w:tc>
              <w:tc>
                <w:tcPr>
                  <w:tcW w:w="2395"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排挤其他供应商</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在采购结果公布之前，违法违规获得非公开评标信息，或采取不正当手段妨碍、排挤其他供应商投标或中标的，证据确凿的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eastAsia="宋体"/>
                      <w:color w:val="000000"/>
                      <w:sz w:val="21"/>
                      <w:szCs w:val="21"/>
                      <w:lang w:eastAsia="zh-CN"/>
                    </w:rPr>
                  </w:pPr>
                  <w:r>
                    <w:rPr>
                      <w:rFonts w:hint="eastAsia"/>
                      <w:color w:val="000000"/>
                      <w:sz w:val="21"/>
                      <w:szCs w:val="21"/>
                      <w:lang w:val="en-US" w:eastAsia="zh-CN" w:bidi="ar"/>
                    </w:rPr>
                    <w:t>5</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r>
                    <w:rPr>
                      <w:rFonts w:hint="eastAsia"/>
                      <w:color w:val="000000"/>
                      <w:sz w:val="21"/>
                      <w:szCs w:val="21"/>
                      <w:lang w:bidi="ar"/>
                    </w:rPr>
                    <w:t>中途撤销投标</w:t>
                  </w:r>
                </w:p>
              </w:tc>
              <w:tc>
                <w:tcPr>
                  <w:tcW w:w="8364" w:type="dxa"/>
                  <w:shd w:val="clear" w:color="auto" w:fill="auto"/>
                  <w:vAlign w:val="center"/>
                </w:tcPr>
                <w:p>
                  <w:pPr>
                    <w:pStyle w:val="2"/>
                    <w:keepNext w:val="0"/>
                    <w:keepLines w:val="0"/>
                    <w:pageBreakBefore w:val="0"/>
                    <w:numPr>
                      <w:ilvl w:val="-1"/>
                      <w:numId w:val="0"/>
                    </w:numPr>
                    <w:kinsoku/>
                    <w:wordWrap/>
                    <w:overflowPunct/>
                    <w:topLinePunct w:val="0"/>
                    <w:autoSpaceDE/>
                    <w:autoSpaceDN/>
                    <w:bidi w:val="0"/>
                    <w:adjustRightInd/>
                    <w:snapToGrid/>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投标截止后撤销投标文件的，以及在中标公示或公告阶段，中标候选人放弃中标资格,未对采办过程造成影响的（有效竞争人不少于3家的）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color w:val="000000"/>
                      <w:sz w:val="21"/>
                      <w:szCs w:val="21"/>
                    </w:rPr>
                  </w:pPr>
                </w:p>
              </w:tc>
              <w:tc>
                <w:tcPr>
                  <w:tcW w:w="8364" w:type="dxa"/>
                  <w:shd w:val="clear" w:color="auto" w:fill="auto"/>
                  <w:vAlign w:val="center"/>
                </w:tcPr>
                <w:p>
                  <w:pPr>
                    <w:pStyle w:val="2"/>
                    <w:keepNext w:val="0"/>
                    <w:keepLines w:val="0"/>
                    <w:pageBreakBefore w:val="0"/>
                    <w:numPr>
                      <w:ilvl w:val="-1"/>
                      <w:numId w:val="0"/>
                    </w:numPr>
                    <w:kinsoku/>
                    <w:wordWrap/>
                    <w:overflowPunct/>
                    <w:topLinePunct w:val="0"/>
                    <w:autoSpaceDE/>
                    <w:autoSpaceDN/>
                    <w:bidi w:val="0"/>
                    <w:adjustRightInd/>
                    <w:snapToGrid/>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投标截止后撤销投标文件的，以及在中标公示或公告阶段，中标候选人放弃中标资格,且对采办过程造成影响的（有效竞争人少于3家的）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129"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val="en-US" w:eastAsia="zh-CN" w:bidi="ar"/>
                    </w:rPr>
                    <w:t>6</w:t>
                  </w:r>
                </w:p>
              </w:tc>
              <w:tc>
                <w:tcPr>
                  <w:tcW w:w="2395"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拒不签订合同</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default" w:ascii="宋体" w:hAnsi="宋体" w:eastAsia="宋体" w:cs="宋体"/>
                      <w:color w:val="000000"/>
                      <w:kern w:val="0"/>
                      <w:sz w:val="21"/>
                      <w:szCs w:val="21"/>
                      <w:lang w:val="en-US" w:eastAsia="zh-CN" w:bidi="ar-SA"/>
                    </w:rPr>
                  </w:pPr>
                  <w:r>
                    <w:rPr>
                      <w:rFonts w:hint="eastAsia"/>
                      <w:color w:val="000000"/>
                      <w:sz w:val="21"/>
                      <w:szCs w:val="21"/>
                      <w:lang w:bidi="ar"/>
                    </w:rPr>
                    <w:t>获取中标资格或成交资格拒绝签订合同的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129"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eastAsia="宋体"/>
                      <w:color w:val="000000"/>
                      <w:sz w:val="21"/>
                      <w:szCs w:val="21"/>
                      <w:lang w:eastAsia="zh-CN"/>
                    </w:rPr>
                  </w:pPr>
                  <w:r>
                    <w:rPr>
                      <w:rFonts w:hint="eastAsia"/>
                      <w:color w:val="000000"/>
                      <w:sz w:val="21"/>
                      <w:szCs w:val="21"/>
                      <w:lang w:val="en-US" w:eastAsia="zh-CN" w:bidi="ar"/>
                    </w:rPr>
                    <w:t>7</w:t>
                  </w:r>
                </w:p>
              </w:tc>
              <w:tc>
                <w:tcPr>
                  <w:tcW w:w="2395"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r>
                    <w:rPr>
                      <w:rFonts w:hint="eastAsia"/>
                      <w:color w:val="000000"/>
                      <w:sz w:val="21"/>
                      <w:szCs w:val="21"/>
                      <w:lang w:bidi="ar"/>
                    </w:rPr>
                    <w:t>不遵守招投标纪律</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strike w:val="0"/>
                      <w:color w:val="000000"/>
                      <w:kern w:val="0"/>
                      <w:sz w:val="21"/>
                      <w:szCs w:val="21"/>
                      <w:u w:val="none"/>
                      <w:lang w:val="en-US" w:eastAsia="zh-CN" w:bidi="ar"/>
                    </w:rPr>
                    <w:t>不</w:t>
                  </w:r>
                  <w:r>
                    <w:rPr>
                      <w:rFonts w:hint="eastAsia" w:ascii="宋体" w:hAnsi="宋体" w:eastAsia="宋体" w:cs="宋体"/>
                      <w:i w:val="0"/>
                      <w:iCs w:val="0"/>
                      <w:color w:val="000000"/>
                      <w:kern w:val="0"/>
                      <w:sz w:val="21"/>
                      <w:szCs w:val="21"/>
                      <w:u w:val="none"/>
                      <w:lang w:val="en-US" w:eastAsia="zh-CN" w:bidi="ar"/>
                    </w:rPr>
                    <w:t>遵守招投标相关纪律或工作要求：如在开标、评标现场无理取闹，违反招投标程序,不遵守招投标秩序等情形。</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ascii="宋体" w:hAnsi="宋体" w:eastAsia="宋体" w:cs="宋体"/>
                      <w:color w:val="000000"/>
                      <w:kern w:val="0"/>
                      <w:sz w:val="21"/>
                      <w:szCs w:val="21"/>
                      <w:lang w:val="en-US" w:eastAsia="zh-CN" w:bidi="ar-SA"/>
                    </w:rPr>
                  </w:pPr>
                  <w:r>
                    <w:rPr>
                      <w:rFonts w:hint="eastAsia"/>
                      <w:color w:val="000000"/>
                      <w:sz w:val="21"/>
                      <w:szCs w:val="21"/>
                      <w:lang w:val="en-US" w:eastAsia="zh-CN" w:bidi="ar"/>
                    </w:rPr>
                    <w:t>8</w:t>
                  </w:r>
                </w:p>
              </w:tc>
              <w:tc>
                <w:tcPr>
                  <w:tcW w:w="2395" w:type="dxa"/>
                  <w:vMerge w:val="restart"/>
                  <w:shd w:val="clear" w:color="auto" w:fill="auto"/>
                  <w:vAlign w:val="center"/>
                </w:tcPr>
                <w:p>
                  <w:pPr>
                    <w:pStyle w:val="2"/>
                    <w:keepNext w:val="0"/>
                    <w:keepLines w:val="0"/>
                    <w:pageBreakBefore w:val="0"/>
                    <w:numPr>
                      <w:ilvl w:val="-1"/>
                      <w:numId w:val="0"/>
                    </w:numPr>
                    <w:kinsoku/>
                    <w:wordWrap/>
                    <w:overflowPunct/>
                    <w:topLinePunct w:val="0"/>
                    <w:autoSpaceDE/>
                    <w:autoSpaceDN/>
                    <w:bidi w:val="0"/>
                    <w:adjustRightInd/>
                    <w:snapToGrid/>
                    <w:rPr>
                      <w:rFonts w:hint="eastAsia" w:ascii="宋体" w:hAnsi="宋体" w:eastAsia="宋体" w:cs="宋体"/>
                      <w:color w:val="auto"/>
                      <w:kern w:val="44"/>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无事实依据对采购过程、采购结果或供应商处理结果进行乱投诉、举报的缠诉、滥诉行为。</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情节较轻的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恶意投诉、举报的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对伪造证据、捏造事实、诬陷招标方或供应商管理、供应商使用单位人员的，一经查证</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color w:val="000000"/>
                      <w:sz w:val="21"/>
                      <w:szCs w:val="21"/>
                      <w:lang w:val="en-US"/>
                    </w:rPr>
                  </w:pPr>
                  <w:r>
                    <w:rPr>
                      <w:rFonts w:hint="eastAsia"/>
                      <w:color w:val="000000"/>
                      <w:sz w:val="21"/>
                      <w:szCs w:val="21"/>
                      <w:lang w:val="en-US" w:eastAsia="zh-CN" w:bidi="ar"/>
                    </w:rPr>
                    <w:t>9</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r>
                    <w:rPr>
                      <w:rFonts w:hint="eastAsia"/>
                      <w:color w:val="000000"/>
                      <w:sz w:val="21"/>
                      <w:szCs w:val="21"/>
                      <w:lang w:bidi="ar"/>
                    </w:rPr>
                    <w:t>擅自变更、不按照合同规定履行或者擅自终止合同的</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s="宋体"/>
                      <w:i w:val="0"/>
                      <w:iCs w:val="0"/>
                      <w:color w:val="000000"/>
                      <w:kern w:val="0"/>
                      <w:sz w:val="21"/>
                      <w:szCs w:val="21"/>
                      <w:u w:val="none"/>
                      <w:lang w:val="en-US" w:eastAsia="zh-CN" w:bidi="ar"/>
                    </w:rPr>
                    <w:t>情节较轻的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s="宋体"/>
                      <w:i w:val="0"/>
                      <w:iCs w:val="0"/>
                      <w:color w:val="000000"/>
                      <w:kern w:val="0"/>
                      <w:sz w:val="21"/>
                      <w:szCs w:val="21"/>
                      <w:u w:val="none"/>
                      <w:lang w:val="en-US" w:eastAsia="zh-CN" w:bidi="ar"/>
                    </w:rPr>
                    <w:t>情节严重的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r>
                    <w:rPr>
                      <w:rFonts w:hint="eastAsia"/>
                      <w:color w:val="000000"/>
                      <w:sz w:val="21"/>
                      <w:szCs w:val="21"/>
                      <w:lang w:val="en-US" w:eastAsia="zh-CN" w:bidi="ar"/>
                    </w:rPr>
                    <w:t>10</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eastAsia="宋体"/>
                      <w:color w:val="000000"/>
                      <w:sz w:val="21"/>
                      <w:szCs w:val="21"/>
                      <w:lang w:val="en-US" w:eastAsia="zh-CN"/>
                    </w:rPr>
                  </w:pPr>
                  <w:r>
                    <w:rPr>
                      <w:rFonts w:hint="eastAsia"/>
                      <w:strike w:val="0"/>
                      <w:color w:val="000000"/>
                      <w:sz w:val="21"/>
                      <w:szCs w:val="21"/>
                      <w:lang w:bidi="ar"/>
                    </w:rPr>
                    <w:t>擅自降低标的功能标准或改变功能结构</w:t>
                  </w:r>
                  <w:r>
                    <w:rPr>
                      <w:rFonts w:hint="eastAsia"/>
                      <w:strike w:val="0"/>
                      <w:color w:val="000000"/>
                      <w:sz w:val="21"/>
                      <w:szCs w:val="21"/>
                      <w:lang w:val="en-US" w:eastAsia="zh-CN" w:bidi="ar"/>
                    </w:rPr>
                    <w:t>。</w:t>
                  </w:r>
                  <w:r>
                    <w:rPr>
                      <w:rFonts w:hint="eastAsia" w:cs="宋体"/>
                      <w:i w:val="0"/>
                      <w:iCs w:val="0"/>
                      <w:color w:val="000000"/>
                      <w:kern w:val="0"/>
                      <w:sz w:val="21"/>
                      <w:szCs w:val="21"/>
                      <w:u w:val="none"/>
                      <w:lang w:val="en-US" w:eastAsia="zh-CN" w:bidi="ar"/>
                    </w:rPr>
                    <w:t>供应商在提供工程、货物、服务时，擅自降低原来规定的功能标准，改变功能结构，使采购原有的功能要求得不到保证</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及时整改</w:t>
                  </w:r>
                  <w:r>
                    <w:rPr>
                      <w:rFonts w:hint="eastAsia"/>
                      <w:color w:val="000000"/>
                      <w:sz w:val="21"/>
                      <w:szCs w:val="21"/>
                      <w:lang w:val="en-US" w:eastAsia="zh-CN" w:bidi="ar"/>
                    </w:rPr>
                    <w:t>且</w:t>
                  </w:r>
                  <w:r>
                    <w:rPr>
                      <w:rFonts w:hint="eastAsia"/>
                      <w:color w:val="000000"/>
                      <w:sz w:val="21"/>
                      <w:szCs w:val="21"/>
                      <w:lang w:bidi="ar"/>
                    </w:rPr>
                    <w:t>未造成影响的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及时整改但造成一定影响的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及时整改但影响较重的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eastAsia="宋体"/>
                      <w:color w:val="000000"/>
                      <w:sz w:val="21"/>
                      <w:szCs w:val="21"/>
                      <w:lang w:eastAsia="zh-CN"/>
                    </w:rPr>
                  </w:pPr>
                  <w:r>
                    <w:rPr>
                      <w:rFonts w:hint="eastAsia"/>
                      <w:color w:val="000000"/>
                      <w:sz w:val="21"/>
                      <w:szCs w:val="21"/>
                      <w:lang w:bidi="ar"/>
                    </w:rPr>
                    <w:t>拒不整改的</w:t>
                  </w:r>
                  <w:r>
                    <w:rPr>
                      <w:rFonts w:hint="eastAsia" w:ascii="宋体" w:hAnsi="宋体" w:eastAsia="宋体" w:cs="宋体"/>
                      <w:i w:val="0"/>
                      <w:iCs w:val="0"/>
                      <w:color w:val="000000"/>
                      <w:kern w:val="0"/>
                      <w:sz w:val="21"/>
                      <w:szCs w:val="21"/>
                      <w:highlight w:val="none"/>
                      <w:u w:val="none"/>
                      <w:lang w:val="en-US" w:eastAsia="zh-CN" w:bidi="ar"/>
                    </w:rPr>
                    <w:t>，或未及时整改且影响</w:t>
                  </w:r>
                  <w:r>
                    <w:rPr>
                      <w:rFonts w:hint="eastAsia" w:cs="宋体"/>
                      <w:i w:val="0"/>
                      <w:iCs w:val="0"/>
                      <w:color w:val="000000"/>
                      <w:kern w:val="0"/>
                      <w:sz w:val="21"/>
                      <w:szCs w:val="21"/>
                      <w:highlight w:val="none"/>
                      <w:u w:val="none"/>
                      <w:lang w:val="en-US" w:eastAsia="zh-CN" w:bidi="ar"/>
                    </w:rPr>
                    <w:t>较重</w:t>
                  </w:r>
                  <w:r>
                    <w:rPr>
                      <w:rFonts w:hint="eastAsia" w:ascii="宋体" w:hAnsi="宋体" w:eastAsia="宋体" w:cs="宋体"/>
                      <w:i w:val="0"/>
                      <w:iCs w:val="0"/>
                      <w:color w:val="000000"/>
                      <w:kern w:val="0"/>
                      <w:sz w:val="21"/>
                      <w:szCs w:val="21"/>
                      <w:highlight w:val="none"/>
                      <w:u w:val="none"/>
                      <w:lang w:val="en-US" w:eastAsia="zh-CN" w:bidi="ar"/>
                    </w:rPr>
                    <w:t>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color w:val="000000"/>
                      <w:sz w:val="21"/>
                      <w:szCs w:val="21"/>
                      <w:lang w:val="en-US"/>
                    </w:rPr>
                  </w:pPr>
                  <w:r>
                    <w:rPr>
                      <w:rFonts w:hint="eastAsia"/>
                      <w:color w:val="000000"/>
                      <w:sz w:val="21"/>
                      <w:szCs w:val="21"/>
                      <w:lang w:val="en-US" w:eastAsia="zh-CN" w:bidi="ar"/>
                    </w:rPr>
                    <w:t>11</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假冒其他厂家品牌，提供伪劣商品、以假乱真弄虚作假的</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对生产经营造成影响较小</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对生产经营影响较大</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color w:val="000000"/>
                      <w:sz w:val="21"/>
                      <w:szCs w:val="21"/>
                      <w:lang w:val="en-US"/>
                    </w:rPr>
                  </w:pPr>
                  <w:r>
                    <w:rPr>
                      <w:rFonts w:hint="eastAsia"/>
                      <w:color w:val="000000"/>
                      <w:sz w:val="21"/>
                      <w:szCs w:val="21"/>
                      <w:lang w:val="en-US" w:eastAsia="zh-CN" w:bidi="ar"/>
                    </w:rPr>
                    <w:t>12</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出现供给不足（即“短斤少两”行为）</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及时整改未产生影响的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不予处理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整改但产生影响的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对供应商或相关品类给予“禁用一年”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拒不更正的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ascii="宋体" w:hAnsi="宋体" w:eastAsia="宋体" w:cs="宋体"/>
                      <w:color w:val="000000"/>
                      <w:kern w:val="0"/>
                      <w:sz w:val="21"/>
                      <w:szCs w:val="21"/>
                      <w:lang w:val="en-US" w:eastAsia="zh-CN" w:bidi="ar-SA"/>
                    </w:rPr>
                  </w:pPr>
                  <w:r>
                    <w:rPr>
                      <w:rFonts w:hint="eastAsia"/>
                      <w:color w:val="000000"/>
                      <w:sz w:val="21"/>
                      <w:szCs w:val="21"/>
                      <w:lang w:val="en-US" w:eastAsia="zh-CN" w:bidi="ar"/>
                    </w:rPr>
                    <w:t>13</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提供虚假进度报告</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未造成实质影响的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造成实质性影响的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val="en-US" w:eastAsia="zh-CN" w:bidi="ar"/>
                    </w:rPr>
                    <w:t>14</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strike w:val="0"/>
                      <w:color w:val="000000"/>
                      <w:sz w:val="21"/>
                      <w:szCs w:val="21"/>
                      <w:lang w:bidi="ar"/>
                    </w:rPr>
                    <w:t>违反规定</w:t>
                  </w:r>
                  <w:r>
                    <w:rPr>
                      <w:rFonts w:hint="eastAsia"/>
                      <w:strike w:val="0"/>
                      <w:color w:val="000000"/>
                      <w:sz w:val="21"/>
                      <w:szCs w:val="21"/>
                      <w:lang w:val="en-US" w:eastAsia="zh-CN" w:bidi="ar"/>
                    </w:rPr>
                    <w:t>将</w:t>
                  </w:r>
                  <w:r>
                    <w:rPr>
                      <w:rFonts w:hint="eastAsia"/>
                      <w:strike w:val="0"/>
                      <w:color w:val="000000"/>
                      <w:sz w:val="21"/>
                      <w:szCs w:val="21"/>
                      <w:lang w:bidi="ar"/>
                    </w:rPr>
                    <w:t>中标项目或合同转让、转包、分包</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及时更正其违规行为的</w:t>
                  </w:r>
                  <w:r>
                    <w:rPr>
                      <w:rFonts w:hint="eastAsia" w:ascii="宋体" w:hAnsi="宋体" w:eastAsia="宋体" w:cs="宋体"/>
                      <w:i w:val="0"/>
                      <w:iCs w:val="0"/>
                      <w:color w:val="000000"/>
                      <w:kern w:val="0"/>
                      <w:sz w:val="21"/>
                      <w:szCs w:val="21"/>
                      <w:u w:val="none"/>
                      <w:lang w:val="en-US" w:eastAsia="zh-CN" w:bidi="ar"/>
                    </w:rPr>
                    <w:t>，</w:t>
                  </w:r>
                  <w:r>
                    <w:rPr>
                      <w:rFonts w:hint="eastAsia" w:cs="宋体"/>
                      <w:i w:val="0"/>
                      <w:iCs w:val="0"/>
                      <w:color w:val="000000"/>
                      <w:kern w:val="0"/>
                      <w:sz w:val="21"/>
                      <w:szCs w:val="21"/>
                      <w:u w:val="none"/>
                      <w:lang w:val="en-US" w:eastAsia="zh-CN" w:bidi="ar"/>
                    </w:rPr>
                    <w:t>对生产经营未产生影响的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及时更正其违规行为的，</w:t>
                  </w:r>
                  <w:r>
                    <w:rPr>
                      <w:rFonts w:hint="eastAsia" w:cs="宋体"/>
                      <w:i w:val="0"/>
                      <w:iCs w:val="0"/>
                      <w:color w:val="000000"/>
                      <w:kern w:val="0"/>
                      <w:sz w:val="21"/>
                      <w:szCs w:val="21"/>
                      <w:u w:val="none"/>
                      <w:lang w:val="en-US" w:eastAsia="zh-CN" w:bidi="ar"/>
                    </w:rPr>
                    <w:t>对生产经营产生影响的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未及时更正其违规行为的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拒绝更正其违规行为的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ascii="宋体" w:hAnsi="宋体" w:eastAsia="宋体" w:cs="宋体"/>
                      <w:color w:val="000000"/>
                      <w:kern w:val="0"/>
                      <w:sz w:val="21"/>
                      <w:szCs w:val="21"/>
                      <w:lang w:val="en-US" w:eastAsia="zh-CN" w:bidi="ar-SA"/>
                    </w:rPr>
                  </w:pPr>
                  <w:r>
                    <w:rPr>
                      <w:rFonts w:hint="eastAsia"/>
                      <w:color w:val="000000"/>
                      <w:sz w:val="21"/>
                      <w:szCs w:val="21"/>
                      <w:lang w:val="en-US" w:eastAsia="zh-CN" w:bidi="ar"/>
                    </w:rPr>
                    <w:t>15</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未经同意拖延交工、交货日期，延缓执行合同的期限</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未造成</w:t>
                  </w:r>
                  <w:r>
                    <w:rPr>
                      <w:rFonts w:hint="eastAsia" w:cs="宋体"/>
                      <w:i w:val="0"/>
                      <w:iCs w:val="0"/>
                      <w:color w:val="000000"/>
                      <w:kern w:val="0"/>
                      <w:sz w:val="21"/>
                      <w:szCs w:val="21"/>
                      <w:u w:val="none"/>
                      <w:lang w:val="en-US" w:eastAsia="zh-CN" w:bidi="ar"/>
                    </w:rPr>
                    <w:t>实质</w:t>
                  </w:r>
                  <w:r>
                    <w:rPr>
                      <w:rFonts w:hint="eastAsia" w:ascii="宋体" w:hAnsi="宋体" w:eastAsia="宋体" w:cs="宋体"/>
                      <w:i w:val="0"/>
                      <w:iCs w:val="0"/>
                      <w:color w:val="000000"/>
                      <w:kern w:val="0"/>
                      <w:sz w:val="21"/>
                      <w:szCs w:val="21"/>
                      <w:u w:val="none"/>
                      <w:lang w:val="en-US" w:eastAsia="zh-CN" w:bidi="ar"/>
                    </w:rPr>
                    <w:t>影响</w:t>
                  </w:r>
                  <w:r>
                    <w:rPr>
                      <w:rFonts w:hint="eastAsia"/>
                      <w:color w:val="000000"/>
                      <w:sz w:val="21"/>
                      <w:szCs w:val="21"/>
                      <w:lang w:bidi="ar"/>
                    </w:rPr>
                    <w:t>且愿意协商解决或承担赔偿责任的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造成</w:t>
                  </w:r>
                  <w:r>
                    <w:rPr>
                      <w:rFonts w:hint="eastAsia" w:cs="宋体"/>
                      <w:i w:val="0"/>
                      <w:iCs w:val="0"/>
                      <w:color w:val="000000"/>
                      <w:kern w:val="0"/>
                      <w:sz w:val="21"/>
                      <w:szCs w:val="21"/>
                      <w:u w:val="none"/>
                      <w:lang w:val="en-US" w:eastAsia="zh-CN" w:bidi="ar"/>
                    </w:rPr>
                    <w:t>较轻</w:t>
                  </w:r>
                  <w:r>
                    <w:rPr>
                      <w:rFonts w:hint="eastAsia" w:ascii="宋体" w:hAnsi="宋体" w:eastAsia="宋体" w:cs="宋体"/>
                      <w:i w:val="0"/>
                      <w:iCs w:val="0"/>
                      <w:color w:val="000000"/>
                      <w:kern w:val="0"/>
                      <w:sz w:val="21"/>
                      <w:szCs w:val="21"/>
                      <w:u w:val="none"/>
                      <w:lang w:val="en-US" w:eastAsia="zh-CN" w:bidi="ar"/>
                    </w:rPr>
                    <w:t>影响但愿意协商解决的</w:t>
                  </w:r>
                </w:p>
              </w:tc>
              <w:tc>
                <w:tcPr>
                  <w:tcW w:w="2701" w:type="dxa"/>
                  <w:shd w:val="clear" w:color="auto" w:fill="auto"/>
                  <w:vAlign w:val="center"/>
                </w:tcPr>
                <w:p>
                  <w:pPr>
                    <w:keepNext w:val="0"/>
                    <w:keepLines w:val="0"/>
                    <w:pageBreakBefore w:val="0"/>
                    <w:numPr>
                      <w:ins w:id="0" w:author="陈洁" w:date=""/>
                    </w:numPr>
                    <w:kinsoku/>
                    <w:wordWrap/>
                    <w:overflowPunct/>
                    <w:topLinePunct w:val="0"/>
                    <w:autoSpaceDE/>
                    <w:autoSpaceDN/>
                    <w:bidi w:val="0"/>
                    <w:adjustRightInd/>
                    <w:snapToGrid/>
                    <w:textAlignment w:val="center"/>
                    <w:rPr>
                      <w:rFonts w:hint="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ascii="宋体" w:hAnsi="宋体" w:eastAsia="宋体" w:cs="宋体"/>
                      <w:color w:val="000000"/>
                      <w:kern w:val="0"/>
                      <w:sz w:val="21"/>
                      <w:szCs w:val="21"/>
                      <w:lang w:val="en-US" w:eastAsia="zh-CN" w:bidi="ar-SA"/>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造成</w:t>
                  </w:r>
                  <w:r>
                    <w:rPr>
                      <w:rFonts w:hint="eastAsia" w:cs="宋体"/>
                      <w:i w:val="0"/>
                      <w:iCs w:val="0"/>
                      <w:color w:val="000000"/>
                      <w:kern w:val="0"/>
                      <w:sz w:val="21"/>
                      <w:szCs w:val="21"/>
                      <w:u w:val="none"/>
                      <w:lang w:val="en-US" w:eastAsia="zh-CN" w:bidi="ar"/>
                    </w:rPr>
                    <w:t>较重</w:t>
                  </w:r>
                  <w:r>
                    <w:rPr>
                      <w:rFonts w:hint="eastAsia" w:ascii="宋体" w:hAnsi="宋体" w:eastAsia="宋体" w:cs="宋体"/>
                      <w:i w:val="0"/>
                      <w:iCs w:val="0"/>
                      <w:color w:val="000000"/>
                      <w:kern w:val="0"/>
                      <w:sz w:val="21"/>
                      <w:szCs w:val="21"/>
                      <w:u w:val="none"/>
                      <w:lang w:val="en-US" w:eastAsia="zh-CN" w:bidi="ar"/>
                    </w:rPr>
                    <w:t>影响但愿意协商解决的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造成</w:t>
                  </w:r>
                  <w:r>
                    <w:rPr>
                      <w:rFonts w:hint="eastAsia" w:cs="宋体"/>
                      <w:i w:val="0"/>
                      <w:iCs w:val="0"/>
                      <w:color w:val="000000"/>
                      <w:kern w:val="0"/>
                      <w:sz w:val="21"/>
                      <w:szCs w:val="21"/>
                      <w:u w:val="none"/>
                      <w:lang w:val="en-US" w:eastAsia="zh-CN" w:bidi="ar"/>
                    </w:rPr>
                    <w:t>严重影响的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ascii="宋体" w:hAnsi="宋体" w:eastAsia="宋体" w:cs="宋体"/>
                      <w:color w:val="000000"/>
                      <w:kern w:val="0"/>
                      <w:sz w:val="21"/>
                      <w:szCs w:val="21"/>
                      <w:lang w:val="en-US" w:eastAsia="zh-CN" w:bidi="ar-SA"/>
                    </w:rPr>
                  </w:pPr>
                  <w:r>
                    <w:rPr>
                      <w:rFonts w:hint="eastAsia"/>
                      <w:color w:val="000000"/>
                      <w:sz w:val="21"/>
                      <w:szCs w:val="21"/>
                      <w:lang w:val="en-US" w:eastAsia="zh-CN" w:bidi="ar"/>
                    </w:rPr>
                    <w:t>16</w:t>
                  </w:r>
                </w:p>
              </w:tc>
              <w:tc>
                <w:tcPr>
                  <w:tcW w:w="2395" w:type="dxa"/>
                  <w:vMerge w:val="restart"/>
                  <w:shd w:val="clear" w:color="auto" w:fill="auto"/>
                  <w:vAlign w:val="center"/>
                </w:tcPr>
                <w:p>
                  <w:pPr>
                    <w:pStyle w:val="2"/>
                    <w:keepNext w:val="0"/>
                    <w:keepLines w:val="0"/>
                    <w:pageBreakBefore w:val="0"/>
                    <w:numPr>
                      <w:ilvl w:val="-1"/>
                      <w:numId w:val="0"/>
                    </w:numPr>
                    <w:kinsoku/>
                    <w:wordWrap/>
                    <w:overflowPunct/>
                    <w:topLinePunct w:val="0"/>
                    <w:autoSpaceDE/>
                    <w:autoSpaceDN/>
                    <w:bidi w:val="0"/>
                    <w:adjustRightInd/>
                    <w:snapToGrid/>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拒绝中国海油管理部门的监督检查或不如实反映情况、提供材料的</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s="宋体"/>
                      <w:i w:val="0"/>
                      <w:iCs w:val="0"/>
                      <w:color w:val="000000"/>
                      <w:kern w:val="0"/>
                      <w:sz w:val="21"/>
                      <w:szCs w:val="21"/>
                      <w:u w:val="none"/>
                      <w:lang w:val="en-US" w:eastAsia="zh-CN" w:bidi="ar"/>
                    </w:rPr>
                    <w:t>情节较轻的（</w:t>
                  </w:r>
                  <w:r>
                    <w:rPr>
                      <w:rFonts w:hint="eastAsia" w:ascii="宋体" w:hAnsi="宋体" w:eastAsia="宋体" w:cs="宋体"/>
                      <w:i w:val="0"/>
                      <w:iCs w:val="0"/>
                      <w:color w:val="000000"/>
                      <w:kern w:val="0"/>
                      <w:sz w:val="21"/>
                      <w:szCs w:val="21"/>
                      <w:u w:val="none"/>
                      <w:lang w:val="en-US" w:eastAsia="zh-CN" w:bidi="ar"/>
                    </w:rPr>
                    <w:t>可根据</w:t>
                  </w:r>
                  <w:r>
                    <w:rPr>
                      <w:rFonts w:hint="eastAsia" w:cs="宋体"/>
                      <w:i w:val="0"/>
                      <w:iCs w:val="0"/>
                      <w:color w:val="000000"/>
                      <w:kern w:val="0"/>
                      <w:sz w:val="21"/>
                      <w:szCs w:val="21"/>
                      <w:u w:val="none"/>
                      <w:lang w:val="en-US" w:eastAsia="zh-CN" w:bidi="ar"/>
                    </w:rPr>
                    <w:t>监督检查机构或部门</w:t>
                  </w:r>
                  <w:r>
                    <w:rPr>
                      <w:rFonts w:hint="eastAsia" w:ascii="宋体" w:hAnsi="宋体" w:eastAsia="宋体" w:cs="宋体"/>
                      <w:i w:val="0"/>
                      <w:iCs w:val="0"/>
                      <w:color w:val="000000"/>
                      <w:kern w:val="0"/>
                      <w:sz w:val="21"/>
                      <w:szCs w:val="21"/>
                      <w:u w:val="none"/>
                      <w:lang w:val="en-US" w:eastAsia="zh-CN" w:bidi="ar"/>
                    </w:rPr>
                    <w:t>建议判定）</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cs="宋体"/>
                      <w:i w:val="0"/>
                      <w:iCs w:val="0"/>
                      <w:color w:val="000000"/>
                      <w:kern w:val="0"/>
                      <w:sz w:val="21"/>
                      <w:szCs w:val="21"/>
                      <w:u w:val="none"/>
                      <w:lang w:val="en-US" w:eastAsia="zh-CN" w:bidi="ar"/>
                    </w:rPr>
                    <w:t>情节较重的（</w:t>
                  </w:r>
                  <w:r>
                    <w:rPr>
                      <w:rFonts w:hint="eastAsia" w:ascii="宋体" w:hAnsi="宋体" w:eastAsia="宋体" w:cs="宋体"/>
                      <w:i w:val="0"/>
                      <w:iCs w:val="0"/>
                      <w:color w:val="000000"/>
                      <w:kern w:val="0"/>
                      <w:sz w:val="21"/>
                      <w:szCs w:val="21"/>
                      <w:u w:val="none"/>
                      <w:lang w:val="en-US" w:eastAsia="zh-CN" w:bidi="ar"/>
                    </w:rPr>
                    <w:t>可根据</w:t>
                  </w:r>
                  <w:r>
                    <w:rPr>
                      <w:rFonts w:hint="eastAsia" w:cs="宋体"/>
                      <w:i w:val="0"/>
                      <w:iCs w:val="0"/>
                      <w:color w:val="000000"/>
                      <w:kern w:val="0"/>
                      <w:sz w:val="21"/>
                      <w:szCs w:val="21"/>
                      <w:u w:val="none"/>
                      <w:lang w:val="en-US" w:eastAsia="zh-CN" w:bidi="ar"/>
                    </w:rPr>
                    <w:t>监督检查机构或部门</w:t>
                  </w:r>
                  <w:r>
                    <w:rPr>
                      <w:rFonts w:hint="eastAsia" w:ascii="宋体" w:hAnsi="宋体" w:eastAsia="宋体" w:cs="宋体"/>
                      <w:i w:val="0"/>
                      <w:iCs w:val="0"/>
                      <w:color w:val="000000"/>
                      <w:kern w:val="0"/>
                      <w:sz w:val="21"/>
                      <w:szCs w:val="21"/>
                      <w:u w:val="none"/>
                      <w:lang w:val="en-US" w:eastAsia="zh-CN" w:bidi="ar"/>
                    </w:rPr>
                    <w:t>建议判定）</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129"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ascii="宋体" w:hAnsi="宋体" w:eastAsia="宋体" w:cs="宋体"/>
                      <w:color w:val="000000"/>
                      <w:kern w:val="0"/>
                      <w:sz w:val="21"/>
                      <w:szCs w:val="21"/>
                      <w:lang w:val="en-US" w:eastAsia="zh-CN" w:bidi="ar-SA"/>
                    </w:rPr>
                  </w:pPr>
                  <w:r>
                    <w:rPr>
                      <w:rFonts w:hint="eastAsia"/>
                      <w:color w:val="000000"/>
                      <w:sz w:val="21"/>
                      <w:szCs w:val="21"/>
                      <w:lang w:val="en-US" w:eastAsia="zh-CN" w:bidi="ar"/>
                    </w:rPr>
                    <w:t>17</w:t>
                  </w:r>
                </w:p>
              </w:tc>
              <w:tc>
                <w:tcPr>
                  <w:tcW w:w="2395"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使用禁用供应商</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参与或承揽中国海油业务时，在已知晓或应当知晓的情况下，仍代理被中国海油禁用其他供应商的产品、服务，或将已获取的合同对其分包的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129"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ascii="宋体" w:hAnsi="宋体" w:eastAsia="宋体" w:cs="宋体"/>
                      <w:color w:val="000000"/>
                      <w:kern w:val="0"/>
                      <w:sz w:val="21"/>
                      <w:szCs w:val="21"/>
                      <w:lang w:val="en-US" w:eastAsia="zh-CN" w:bidi="ar-SA"/>
                    </w:rPr>
                  </w:pPr>
                  <w:r>
                    <w:rPr>
                      <w:rFonts w:hint="eastAsia"/>
                      <w:color w:val="000000"/>
                      <w:sz w:val="21"/>
                      <w:szCs w:val="21"/>
                      <w:lang w:val="en-US" w:eastAsia="zh-CN" w:bidi="ar"/>
                    </w:rPr>
                    <w:t>18</w:t>
                  </w:r>
                </w:p>
              </w:tc>
              <w:tc>
                <w:tcPr>
                  <w:tcW w:w="2395"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拒绝履行售后义务</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拒绝履行售后服务义务并拒绝协商解决的情况，及其他因供应商的原因导致中国海油受损，并拒绝协商解决和赔偿责任的情况</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color w:val="000000"/>
                      <w:sz w:val="21"/>
                      <w:szCs w:val="21"/>
                      <w:lang w:val="en-US"/>
                    </w:rPr>
                  </w:pPr>
                  <w:r>
                    <w:rPr>
                      <w:rFonts w:hint="eastAsia"/>
                      <w:color w:val="000000"/>
                      <w:sz w:val="21"/>
                      <w:szCs w:val="21"/>
                      <w:lang w:val="en-US" w:eastAsia="zh-CN" w:bidi="ar"/>
                    </w:rPr>
                    <w:t>19</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所提供的产品存在严重质量问题，影响安全生产或对工程建设造成实质性影响的</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对安全生产或工程建设影响较轻的</w:t>
                  </w:r>
                  <w:r>
                    <w:rPr>
                      <w:rFonts w:hint="eastAsia" w:ascii="宋体" w:hAnsi="宋体" w:eastAsia="宋体" w:cs="宋体"/>
                      <w:i w:val="0"/>
                      <w:iCs w:val="0"/>
                      <w:color w:val="000000"/>
                      <w:kern w:val="0"/>
                      <w:sz w:val="21"/>
                      <w:szCs w:val="21"/>
                      <w:u w:val="none"/>
                      <w:lang w:val="en-US" w:eastAsia="zh-CN" w:bidi="ar"/>
                    </w:rPr>
                    <w:t>（可根据专业机构调查结论）</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对供应商或相关品类给予“禁用两年”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对安全生产或工程建设影响较重的</w:t>
                  </w:r>
                  <w:r>
                    <w:rPr>
                      <w:rFonts w:hint="eastAsia" w:ascii="宋体" w:hAnsi="宋体" w:eastAsia="宋体" w:cs="宋体"/>
                      <w:i w:val="0"/>
                      <w:iCs w:val="0"/>
                      <w:color w:val="000000"/>
                      <w:kern w:val="0"/>
                      <w:sz w:val="21"/>
                      <w:szCs w:val="21"/>
                      <w:u w:val="none"/>
                      <w:lang w:val="en-US" w:eastAsia="zh-CN" w:bidi="ar"/>
                    </w:rPr>
                    <w:t>（可根据专业机构调查结论）</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对供应商或相关品类给予“长期禁用”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eastAsia="宋体"/>
                      <w:color w:val="000000"/>
                      <w:sz w:val="21"/>
                      <w:szCs w:val="21"/>
                      <w:lang w:val="en-US" w:eastAsia="zh-CN"/>
                    </w:rPr>
                  </w:pPr>
                  <w:r>
                    <w:rPr>
                      <w:rFonts w:hint="eastAsia"/>
                      <w:color w:val="000000"/>
                      <w:sz w:val="21"/>
                      <w:szCs w:val="21"/>
                      <w:lang w:val="en-US" w:eastAsia="zh-CN"/>
                    </w:rPr>
                    <w:t>20</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ascii="宋体" w:hAnsi="宋体" w:eastAsia="宋体" w:cs="宋体"/>
                      <w:color w:val="000000"/>
                      <w:kern w:val="0"/>
                      <w:sz w:val="21"/>
                      <w:szCs w:val="21"/>
                      <w:lang w:val="en-US" w:eastAsia="zh-CN" w:bidi="ar-SA"/>
                    </w:rPr>
                  </w:pPr>
                  <w:r>
                    <w:rPr>
                      <w:rFonts w:hint="eastAsia"/>
                      <w:color w:val="000000"/>
                      <w:sz w:val="21"/>
                      <w:szCs w:val="21"/>
                      <w:lang w:bidi="ar"/>
                    </w:rPr>
                    <w:t>提供的产品/服务出现安全隐患，且拒绝整改或整改不及时、不到位的</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存在安全隐患且整改不到位的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存在严重安全隐患且整改不到位的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strike/>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color w:val="000000"/>
                      <w:sz w:val="21"/>
                      <w:szCs w:val="21"/>
                      <w:lang w:val="en-US"/>
                    </w:rPr>
                  </w:pPr>
                  <w:r>
                    <w:rPr>
                      <w:rFonts w:hint="eastAsia"/>
                      <w:color w:val="000000"/>
                      <w:sz w:val="21"/>
                      <w:szCs w:val="21"/>
                      <w:lang w:val="en-US" w:eastAsia="zh-CN" w:bidi="ar"/>
                    </w:rPr>
                    <w:t>21</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strike w:val="0"/>
                      <w:color w:val="000000"/>
                      <w:sz w:val="21"/>
                      <w:szCs w:val="21"/>
                      <w:u w:val="none"/>
                      <w:lang w:bidi="ar"/>
                    </w:rPr>
                    <w:t>未经许可，对外披露中国海油商业秘密信息的</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情节较轻的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strike/>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情节较重的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情节严重的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eastAsia="宋体"/>
                      <w:color w:val="000000"/>
                      <w:sz w:val="21"/>
                      <w:szCs w:val="21"/>
                      <w:lang w:val="en-US" w:eastAsia="zh-CN"/>
                    </w:rPr>
                  </w:pPr>
                  <w:r>
                    <w:rPr>
                      <w:rFonts w:hint="eastAsia"/>
                      <w:color w:val="000000"/>
                      <w:sz w:val="21"/>
                      <w:szCs w:val="21"/>
                      <w:lang w:val="en-US" w:eastAsia="zh-CN" w:bidi="ar"/>
                    </w:rPr>
                    <w:t>22</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由于供应商的</w:t>
                  </w:r>
                  <w:r>
                    <w:rPr>
                      <w:rFonts w:hint="eastAsia" w:ascii="宋体" w:hAnsi="宋体" w:eastAsia="宋体" w:cs="宋体"/>
                      <w:i w:val="0"/>
                      <w:iCs w:val="0"/>
                      <w:color w:val="000000"/>
                      <w:kern w:val="0"/>
                      <w:sz w:val="21"/>
                      <w:szCs w:val="21"/>
                      <w:u w:val="none"/>
                      <w:lang w:val="en-US" w:eastAsia="zh-CN" w:bidi="ar"/>
                    </w:rPr>
                    <w:t>原因</w:t>
                  </w:r>
                  <w:r>
                    <w:rPr>
                      <w:rFonts w:hint="eastAsia"/>
                      <w:color w:val="000000"/>
                      <w:sz w:val="21"/>
                      <w:szCs w:val="21"/>
                      <w:lang w:bidi="ar"/>
                    </w:rPr>
                    <w:t>，与中国海油及所属单位产生法律诉讼的</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未造成实质损失的（可依据法律部门或所属单位建议）</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eastAsia="宋体"/>
                      <w:color w:val="000000"/>
                      <w:sz w:val="21"/>
                      <w:szCs w:val="21"/>
                      <w:lang w:val="en-US" w:eastAsia="zh-CN"/>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造成实质损失的（可依据法律部门或所属单位建议）</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color w:val="000000"/>
                      <w:sz w:val="21"/>
                      <w:szCs w:val="21"/>
                      <w:lang w:val="en-US" w:bidi="ar"/>
                    </w:rPr>
                  </w:pPr>
                  <w:r>
                    <w:rPr>
                      <w:rFonts w:hint="eastAsia"/>
                      <w:color w:val="000000"/>
                      <w:sz w:val="21"/>
                      <w:szCs w:val="21"/>
                      <w:lang w:val="en-US" w:eastAsia="zh-CN" w:bidi="ar"/>
                    </w:rPr>
                    <w:t>23</w:t>
                  </w:r>
                </w:p>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strike/>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发生安全事故且负主要责任的供应商</w:t>
                  </w:r>
                </w:p>
                <w:p>
                  <w:pPr>
                    <w:keepNext w:val="0"/>
                    <w:keepLines w:val="0"/>
                    <w:pageBreakBefore w:val="0"/>
                    <w:kinsoku/>
                    <w:wordWrap/>
                    <w:overflowPunct/>
                    <w:topLinePunct w:val="0"/>
                    <w:autoSpaceDE/>
                    <w:autoSpaceDN/>
                    <w:bidi w:val="0"/>
                    <w:adjustRightInd/>
                    <w:snapToGrid/>
                    <w:textAlignment w:val="center"/>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公司安全生产部门或所属单位通知采办共享中心，发生“一般A级”以下级别安全事故，造成实质影响</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公司安全生产部门或所属单位通知采办共享中心，发生“一般A级”及以上安全事故，情节较轻的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公司安全生产部门或所属单位通知采办共享中心，发生“一般A级”及以上安全事故，情节较重的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公司安全生产部门或所属单位通知采办共享中心，发生“一般A级”及以上安全事故，情节严重的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p>
              </w:tc>
              <w:tc>
                <w:tcPr>
                  <w:tcW w:w="11065" w:type="dxa"/>
                  <w:gridSpan w:val="2"/>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ascii="宋体" w:hAnsi="宋体" w:eastAsia="宋体" w:cs="宋体"/>
                      <w:i w:val="0"/>
                      <w:iCs w:val="0"/>
                      <w:color w:val="000000"/>
                      <w:kern w:val="0"/>
                      <w:sz w:val="21"/>
                      <w:szCs w:val="21"/>
                      <w:u w:val="none"/>
                      <w:lang w:val="en-US" w:eastAsia="zh-CN" w:bidi="ar"/>
                    </w:rPr>
                    <w:t>公司安全生产部门或所属单位通知采办共享中心，发生“一般A级”以下级别安全事故，未造成实质影响</w:t>
                  </w:r>
                  <w:r>
                    <w:rPr>
                      <w:rFonts w:hint="eastAsia" w:cs="宋体"/>
                      <w:i w:val="0"/>
                      <w:iCs w:val="0"/>
                      <w:color w:val="000000"/>
                      <w:kern w:val="0"/>
                      <w:sz w:val="21"/>
                      <w:szCs w:val="21"/>
                      <w:u w:val="none"/>
                      <w:lang w:val="en-US" w:eastAsia="zh-CN" w:bidi="ar"/>
                    </w:rPr>
                    <w:t>，对供应商进行约谈。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color w:val="000000"/>
                      <w:sz w:val="21"/>
                      <w:szCs w:val="21"/>
                      <w:lang w:val="en-US"/>
                    </w:rPr>
                  </w:pPr>
                  <w:r>
                    <w:rPr>
                      <w:rFonts w:hint="eastAsia"/>
                      <w:color w:val="000000"/>
                      <w:sz w:val="21"/>
                      <w:szCs w:val="21"/>
                      <w:lang w:val="en-US" w:eastAsia="zh-CN" w:bidi="ar"/>
                    </w:rPr>
                    <w:t>24</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供应商在提报中国海油员工、员工亲属、离职退休的领导人员在本单位的任职和持股情况时</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存在瞒报相关情况的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color w:val="000000"/>
                      <w:sz w:val="21"/>
                      <w:szCs w:val="21"/>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rPr>
                      <w:color w:val="000000"/>
                      <w:sz w:val="21"/>
                      <w:szCs w:val="21"/>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存在利用中国海油人员的职务之便牟取不正当利益情形的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color w:val="000000"/>
                      <w:sz w:val="21"/>
                      <w:szCs w:val="21"/>
                    </w:rPr>
                  </w:pPr>
                  <w:r>
                    <w:rPr>
                      <w:rFonts w:hint="eastAsia"/>
                      <w:color w:val="000000"/>
                      <w:sz w:val="21"/>
                      <w:szCs w:val="21"/>
                      <w:lang w:bidi="ar"/>
                    </w:rPr>
                    <w:t>长期禁用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eastAsia="宋体"/>
                      <w:color w:val="000000"/>
                      <w:sz w:val="21"/>
                      <w:szCs w:val="21"/>
                      <w:lang w:val="en-US" w:eastAsia="zh-CN" w:bidi="ar"/>
                    </w:rPr>
                  </w:pPr>
                  <w:r>
                    <w:rPr>
                      <w:rFonts w:hint="eastAsia"/>
                      <w:color w:val="000000"/>
                      <w:sz w:val="21"/>
                      <w:szCs w:val="21"/>
                      <w:lang w:val="en-US" w:eastAsia="zh-CN" w:bidi="ar"/>
                    </w:rPr>
                    <w:t>25</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在承揽的中国海油业务中，存在拖欠农民工工资行为的</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未造成不良影响并及时整改的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整改不及时或影响较大的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整改不及时或影响严重的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禁用两年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129" w:type="dxa"/>
                  <w:vMerge w:val="restart"/>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default" w:eastAsia="宋体"/>
                      <w:color w:val="000000"/>
                      <w:sz w:val="21"/>
                      <w:szCs w:val="21"/>
                      <w:lang w:val="en-US" w:eastAsia="zh-CN" w:bidi="ar"/>
                    </w:rPr>
                  </w:pPr>
                  <w:r>
                    <w:rPr>
                      <w:rFonts w:hint="eastAsia"/>
                      <w:color w:val="000000"/>
                      <w:sz w:val="21"/>
                      <w:szCs w:val="21"/>
                      <w:lang w:val="en-US" w:eastAsia="zh-CN" w:bidi="ar"/>
                    </w:rPr>
                    <w:t>26</w:t>
                  </w:r>
                </w:p>
              </w:tc>
              <w:tc>
                <w:tcPr>
                  <w:tcW w:w="2395" w:type="dxa"/>
                  <w:vMerge w:val="restart"/>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对存在其他不当行为可能给中国海油带来风险</w:t>
                  </w: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对存在其它不当行为</w:t>
                  </w:r>
                  <w:r>
                    <w:rPr>
                      <w:rFonts w:hint="eastAsia" w:cs="宋体"/>
                      <w:i w:val="0"/>
                      <w:iCs w:val="0"/>
                      <w:color w:val="000000"/>
                      <w:kern w:val="0"/>
                      <w:sz w:val="21"/>
                      <w:szCs w:val="21"/>
                      <w:u w:val="none"/>
                      <w:lang w:val="en-US" w:eastAsia="zh-CN" w:bidi="ar"/>
                    </w:rPr>
                    <w:t>可能</w:t>
                  </w:r>
                  <w:r>
                    <w:rPr>
                      <w:rFonts w:hint="eastAsia" w:ascii="宋体" w:hAnsi="宋体" w:eastAsia="宋体" w:cs="宋体"/>
                      <w:i w:val="0"/>
                      <w:iCs w:val="0"/>
                      <w:color w:val="000000"/>
                      <w:kern w:val="0"/>
                      <w:sz w:val="21"/>
                      <w:szCs w:val="21"/>
                      <w:u w:val="none"/>
                      <w:lang w:val="en-US" w:eastAsia="zh-CN" w:bidi="ar"/>
                    </w:rPr>
                    <w:t>给中国海油带来</w:t>
                  </w:r>
                  <w:r>
                    <w:rPr>
                      <w:rFonts w:hint="eastAsia" w:cs="宋体"/>
                      <w:i w:val="0"/>
                      <w:iCs w:val="0"/>
                      <w:color w:val="000000"/>
                      <w:kern w:val="0"/>
                      <w:sz w:val="21"/>
                      <w:szCs w:val="21"/>
                      <w:u w:val="none"/>
                      <w:lang w:val="en-US" w:eastAsia="zh-CN" w:bidi="ar"/>
                    </w:rPr>
                    <w:t>较高</w:t>
                  </w:r>
                  <w:r>
                    <w:rPr>
                      <w:rFonts w:hint="eastAsia" w:ascii="宋体" w:hAnsi="宋体" w:eastAsia="宋体" w:cs="宋体"/>
                      <w:i w:val="0"/>
                      <w:iCs w:val="0"/>
                      <w:color w:val="000000"/>
                      <w:kern w:val="0"/>
                      <w:sz w:val="21"/>
                      <w:szCs w:val="21"/>
                      <w:u w:val="none"/>
                      <w:lang w:val="en-US" w:eastAsia="zh-CN" w:bidi="ar"/>
                    </w:rPr>
                    <w:t>风险的</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警告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129"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color w:val="000000"/>
                      <w:sz w:val="21"/>
                      <w:szCs w:val="21"/>
                      <w:lang w:bidi="ar"/>
                    </w:rPr>
                  </w:pPr>
                </w:p>
              </w:tc>
              <w:tc>
                <w:tcPr>
                  <w:tcW w:w="2395" w:type="dxa"/>
                  <w:vMerge w:val="continue"/>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p>
              </w:tc>
              <w:tc>
                <w:tcPr>
                  <w:tcW w:w="11065" w:type="dxa"/>
                  <w:gridSpan w:val="2"/>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对存在其它不当行为可能给中国海油带来</w:t>
                  </w:r>
                  <w:r>
                    <w:rPr>
                      <w:rFonts w:hint="eastAsia" w:cs="宋体"/>
                      <w:i w:val="0"/>
                      <w:iCs w:val="0"/>
                      <w:color w:val="000000"/>
                      <w:kern w:val="0"/>
                      <w:sz w:val="21"/>
                      <w:szCs w:val="21"/>
                      <w:u w:val="none"/>
                      <w:lang w:val="en-US" w:eastAsia="zh-CN" w:bidi="ar"/>
                    </w:rPr>
                    <w:t>较低</w:t>
                  </w:r>
                  <w:r>
                    <w:rPr>
                      <w:rFonts w:hint="eastAsia" w:ascii="宋体" w:hAnsi="宋体" w:eastAsia="宋体" w:cs="宋体"/>
                      <w:i w:val="0"/>
                      <w:iCs w:val="0"/>
                      <w:color w:val="000000"/>
                      <w:kern w:val="0"/>
                      <w:sz w:val="21"/>
                      <w:szCs w:val="21"/>
                      <w:u w:val="none"/>
                      <w:lang w:val="en-US" w:eastAsia="zh-CN" w:bidi="ar"/>
                    </w:rPr>
                    <w:t>风险的</w:t>
                  </w:r>
                  <w:r>
                    <w:rPr>
                      <w:rFonts w:hint="eastAsia" w:cs="宋体"/>
                      <w:i w:val="0"/>
                      <w:iCs w:val="0"/>
                      <w:color w:val="000000"/>
                      <w:kern w:val="0"/>
                      <w:sz w:val="21"/>
                      <w:szCs w:val="21"/>
                      <w:u w:val="none"/>
                      <w:lang w:val="en-US" w:eastAsia="zh-CN" w:bidi="ar"/>
                    </w:rPr>
                    <w:t>，对供应商进行约谈。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129" w:type="dxa"/>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rFonts w:hint="eastAsia"/>
                      <w:strike w:val="0"/>
                      <w:dstrike w:val="0"/>
                      <w:color w:val="000000"/>
                      <w:sz w:val="21"/>
                      <w:szCs w:val="21"/>
                      <w:lang w:val="en-US" w:eastAsia="zh-CN" w:bidi="ar"/>
                    </w:rPr>
                  </w:pPr>
                  <w:r>
                    <w:rPr>
                      <w:rFonts w:hint="eastAsia"/>
                      <w:strike w:val="0"/>
                      <w:dstrike w:val="0"/>
                      <w:color w:val="000000"/>
                      <w:sz w:val="21"/>
                      <w:szCs w:val="21"/>
                      <w:lang w:val="en-US" w:eastAsia="zh-CN" w:bidi="ar"/>
                    </w:rPr>
                    <w:t>27</w:t>
                  </w:r>
                </w:p>
                <w:p>
                  <w:pPr>
                    <w:keepNext w:val="0"/>
                    <w:keepLines w:val="0"/>
                    <w:pageBreakBefore w:val="0"/>
                    <w:kinsoku/>
                    <w:wordWrap/>
                    <w:overflowPunct/>
                    <w:topLinePunct w:val="0"/>
                    <w:autoSpaceDE/>
                    <w:autoSpaceDN/>
                    <w:bidi w:val="0"/>
                    <w:adjustRightInd/>
                    <w:snapToGrid/>
                    <w:jc w:val="center"/>
                    <w:textAlignment w:val="center"/>
                    <w:rPr>
                      <w:rFonts w:hint="default" w:eastAsia="宋体"/>
                      <w:strike/>
                      <w:dstrike w:val="0"/>
                      <w:color w:val="000000"/>
                      <w:sz w:val="21"/>
                      <w:szCs w:val="21"/>
                      <w:lang w:val="en-US" w:eastAsia="zh-CN" w:bidi="ar"/>
                    </w:rPr>
                  </w:pPr>
                </w:p>
              </w:tc>
              <w:tc>
                <w:tcPr>
                  <w:tcW w:w="2395"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其他违反国家法律法规及集团公司规章制度的行为</w:t>
                  </w:r>
                </w:p>
                <w:p>
                  <w:pPr>
                    <w:keepNext w:val="0"/>
                    <w:keepLines w:val="0"/>
                    <w:pageBreakBefore w:val="0"/>
                    <w:kinsoku/>
                    <w:wordWrap/>
                    <w:overflowPunct/>
                    <w:topLinePunct w:val="0"/>
                    <w:autoSpaceDE/>
                    <w:autoSpaceDN/>
                    <w:bidi w:val="0"/>
                    <w:adjustRightInd/>
                    <w:snapToGrid/>
                    <w:textAlignment w:val="center"/>
                    <w:rPr>
                      <w:rFonts w:hint="eastAsia"/>
                      <w:strike/>
                      <w:dstrike w:val="0"/>
                      <w:color w:val="000000"/>
                      <w:sz w:val="21"/>
                      <w:szCs w:val="21"/>
                      <w:lang w:bidi="ar"/>
                    </w:rPr>
                  </w:pPr>
                </w:p>
              </w:tc>
              <w:tc>
                <w:tcPr>
                  <w:tcW w:w="8364"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strike/>
                      <w:dstrike w:val="0"/>
                      <w:color w:val="000000"/>
                      <w:sz w:val="21"/>
                      <w:szCs w:val="21"/>
                      <w:lang w:bidi="ar"/>
                    </w:rPr>
                  </w:pPr>
                  <w:r>
                    <w:rPr>
                      <w:rFonts w:hint="eastAsia" w:ascii="宋体" w:hAnsi="宋体" w:eastAsia="宋体" w:cs="宋体"/>
                      <w:i w:val="0"/>
                      <w:iCs w:val="0"/>
                      <w:color w:val="000000"/>
                      <w:kern w:val="0"/>
                      <w:sz w:val="21"/>
                      <w:szCs w:val="21"/>
                      <w:u w:val="none"/>
                      <w:lang w:val="en-US" w:eastAsia="zh-CN" w:bidi="ar"/>
                    </w:rPr>
                    <w:t>其他违反国家法律法规及集团公司规章制度的行为，包括国家、审计、纪检监察、巡视等函件反映问题。</w:t>
                  </w:r>
                </w:p>
              </w:tc>
              <w:tc>
                <w:tcPr>
                  <w:tcW w:w="2701" w:type="dxa"/>
                  <w:shd w:val="clear" w:color="auto" w:fill="auto"/>
                  <w:vAlign w:val="center"/>
                </w:tcPr>
                <w:p>
                  <w:pPr>
                    <w:keepNext w:val="0"/>
                    <w:keepLines w:val="0"/>
                    <w:pageBreakBefore w:val="0"/>
                    <w:kinsoku/>
                    <w:wordWrap/>
                    <w:overflowPunct/>
                    <w:topLinePunct w:val="0"/>
                    <w:autoSpaceDE/>
                    <w:autoSpaceDN/>
                    <w:bidi w:val="0"/>
                    <w:adjustRightInd/>
                    <w:snapToGrid/>
                    <w:textAlignment w:val="center"/>
                    <w:rPr>
                      <w:rFonts w:hint="eastAsia"/>
                      <w:strike/>
                      <w:dstrike w:val="0"/>
                      <w:color w:val="000000"/>
                      <w:sz w:val="21"/>
                      <w:szCs w:val="21"/>
                      <w:lang w:bidi="ar"/>
                    </w:rPr>
                  </w:pPr>
                  <w:r>
                    <w:rPr>
                      <w:rFonts w:hint="eastAsia" w:ascii="宋体" w:hAnsi="宋体" w:eastAsia="宋体" w:cs="宋体"/>
                      <w:i w:val="0"/>
                      <w:iCs w:val="0"/>
                      <w:color w:val="000000"/>
                      <w:kern w:val="0"/>
                      <w:sz w:val="21"/>
                      <w:szCs w:val="21"/>
                      <w:u w:val="none"/>
                      <w:lang w:val="en-US" w:eastAsia="zh-CN" w:bidi="ar"/>
                    </w:rPr>
                    <w:t>由</w:t>
                  </w:r>
                  <w:r>
                    <w:rPr>
                      <w:rFonts w:hint="eastAsia" w:cs="宋体"/>
                      <w:i w:val="0"/>
                      <w:iCs w:val="0"/>
                      <w:color w:val="000000"/>
                      <w:kern w:val="0"/>
                      <w:sz w:val="21"/>
                      <w:szCs w:val="21"/>
                      <w:u w:val="none"/>
                      <w:lang w:val="en-US" w:eastAsia="zh-CN" w:bidi="ar"/>
                    </w:rPr>
                    <w:t>集团公司</w:t>
                  </w:r>
                  <w:r>
                    <w:rPr>
                      <w:rFonts w:hint="eastAsia" w:ascii="宋体" w:hAnsi="宋体" w:eastAsia="宋体" w:cs="宋体"/>
                      <w:i w:val="0"/>
                      <w:iCs w:val="0"/>
                      <w:color w:val="000000"/>
                      <w:kern w:val="0"/>
                      <w:sz w:val="21"/>
                      <w:szCs w:val="21"/>
                      <w:u w:val="none"/>
                      <w:lang w:val="en-US" w:eastAsia="zh-CN" w:bidi="ar"/>
                    </w:rPr>
                    <w:t>工程与物装部组织相关管理部门及所属单位，对供应商问题性质及业务实际情况判定，进行相应处理。</w:t>
                  </w:r>
                </w:p>
              </w:tc>
            </w:tr>
          </w:tbl>
          <w:p>
            <w:pPr>
              <w:pStyle w:val="2"/>
              <w:keepNext w:val="0"/>
              <w:keepLines w:val="0"/>
              <w:pageBreakBefore w:val="0"/>
              <w:numPr>
                <w:ilvl w:val="0"/>
                <w:numId w:val="0"/>
              </w:numPr>
              <w:kinsoku/>
              <w:wordWrap/>
              <w:overflowPunct/>
              <w:topLinePunct w:val="0"/>
              <w:autoSpaceDE/>
              <w:autoSpaceDN/>
              <w:bidi w:val="0"/>
              <w:adjustRightInd/>
              <w:snapToGrid/>
              <w:ind w:leftChars="0"/>
              <w:rPr>
                <w:rFonts w:hint="eastAsia"/>
                <w:sz w:val="21"/>
                <w:szCs w:val="21"/>
                <w:lang w:val="en-US" w:eastAsia="zh-CN"/>
              </w:rPr>
            </w:pPr>
            <w:r>
              <w:rPr>
                <w:rFonts w:hint="eastAsia"/>
                <w:sz w:val="21"/>
                <w:szCs w:val="21"/>
                <w:lang w:val="en-US" w:eastAsia="zh-CN"/>
              </w:rPr>
              <w:t>注：在合同执行阶段，供应商违规情形是否造成影响及影响程度由合同执行单位进行判定，并出具经二级单位主管领导确认的判定结果。</w:t>
            </w:r>
          </w:p>
          <w:p>
            <w:pPr>
              <w:pStyle w:val="2"/>
              <w:keepNext w:val="0"/>
              <w:keepLines w:val="0"/>
              <w:pageBreakBefore w:val="0"/>
              <w:numPr>
                <w:ilvl w:val="-1"/>
                <w:numId w:val="0"/>
              </w:numPr>
              <w:kinsoku/>
              <w:wordWrap/>
              <w:overflowPunct/>
              <w:topLinePunct w:val="0"/>
              <w:autoSpaceDE/>
              <w:autoSpaceDN/>
              <w:bidi w:val="0"/>
              <w:adjustRightInd/>
              <w:snapToGrid/>
              <w:rPr>
                <w:rFonts w:hint="default"/>
                <w:sz w:val="21"/>
                <w:szCs w:val="21"/>
                <w:lang w:val="en-US" w:eastAsia="zh-CN"/>
              </w:rPr>
            </w:pPr>
          </w:p>
          <w:p>
            <w:pPr>
              <w:keepNext w:val="0"/>
              <w:keepLines w:val="0"/>
              <w:pageBreakBefore w:val="0"/>
              <w:kinsoku/>
              <w:wordWrap/>
              <w:overflowPunct/>
              <w:topLinePunct w:val="0"/>
              <w:autoSpaceDE/>
              <w:autoSpaceDN/>
              <w:bidi w:val="0"/>
              <w:adjustRightInd/>
              <w:snapToGrid/>
              <w:textAlignment w:val="center"/>
              <w:rPr>
                <w:rStyle w:val="27"/>
                <w:rFonts w:hint="default"/>
                <w:sz w:val="21"/>
                <w:szCs w:val="21"/>
                <w:lang w:bidi="ar"/>
              </w:rPr>
            </w:pPr>
            <w:r>
              <w:rPr>
                <w:rFonts w:hint="eastAsia"/>
                <w:b/>
                <w:bCs/>
                <w:sz w:val="21"/>
                <w:szCs w:val="21"/>
                <w:lang w:val="en-US" w:eastAsia="zh-CN" w:bidi="ar"/>
              </w:rPr>
              <w:t>二、</w:t>
            </w:r>
            <w:r>
              <w:rPr>
                <w:rFonts w:hint="eastAsia"/>
                <w:b/>
                <w:bCs/>
                <w:sz w:val="21"/>
                <w:szCs w:val="21"/>
                <w:lang w:bidi="ar"/>
              </w:rPr>
              <w:t>经营状况异常供应商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14596"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textAlignment w:val="center"/>
              <w:rPr>
                <w:rStyle w:val="27"/>
                <w:rFonts w:hint="default"/>
                <w:sz w:val="21"/>
                <w:szCs w:val="21"/>
                <w:lang w:bidi="ar"/>
              </w:rPr>
            </w:pPr>
            <w:r>
              <w:rPr>
                <w:rFonts w:hint="eastAsia" w:ascii="宋体" w:hAnsi="宋体" w:cs="宋体"/>
                <w:color w:val="000000" w:themeColor="text1"/>
                <w:kern w:val="0"/>
                <w:sz w:val="21"/>
                <w:szCs w:val="21"/>
                <w14:textFill>
                  <w14:solidFill>
                    <w14:schemeClr w14:val="tx1"/>
                  </w14:solidFill>
                </w14:textFill>
              </w:rPr>
              <w:t>对经营状况异常供应商给予“无固定期禁用”处理，直至其经营风险被解除。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14596"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textAlignment w:val="center"/>
              <w:rPr>
                <w:rStyle w:val="27"/>
                <w:rFonts w:hint="default"/>
                <w:sz w:val="21"/>
                <w:szCs w:val="21"/>
                <w:lang w:bidi="ar"/>
              </w:rPr>
            </w:pPr>
            <w:r>
              <w:rPr>
                <w:rFonts w:hint="eastAsia"/>
                <w:b/>
                <w:bCs/>
                <w:sz w:val="21"/>
                <w:szCs w:val="21"/>
                <w:lang w:bidi="ar"/>
              </w:rPr>
              <w:t>三、考核不合格供应商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4596"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textAlignment w:val="center"/>
              <w:rPr>
                <w:rStyle w:val="27"/>
                <w:rFonts w:hint="default"/>
                <w:sz w:val="21"/>
                <w:szCs w:val="21"/>
                <w:lang w:bidi="ar"/>
              </w:rPr>
            </w:pPr>
            <w:r>
              <w:rPr>
                <w:rFonts w:hint="eastAsia" w:ascii="宋体" w:hAnsi="宋体" w:cs="宋体"/>
                <w:color w:val="000000" w:themeColor="text1"/>
                <w:kern w:val="0"/>
                <w:sz w:val="21"/>
                <w:szCs w:val="21"/>
                <w14:textFill>
                  <w14:solidFill>
                    <w14:schemeClr w14:val="tx1"/>
                  </w14:solidFill>
                </w14:textFill>
              </w:rPr>
              <w:t>对考核不合格供应商，允许供应商按要求整改，整改期间暂停使用，整改后仍不能通过审核的，对考核不合格的品类给予“禁用一年”处理。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rPr>
        <w:tc>
          <w:tcPr>
            <w:tcW w:w="14596"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textAlignment w:val="center"/>
              <w:rPr>
                <w:sz w:val="21"/>
                <w:szCs w:val="21"/>
              </w:rPr>
            </w:pPr>
            <w:r>
              <w:rPr>
                <w:rFonts w:hint="eastAsia"/>
                <w:b/>
                <w:bCs/>
                <w:sz w:val="21"/>
                <w:szCs w:val="21"/>
                <w:lang w:bidi="ar"/>
              </w:rPr>
              <w:t xml:space="preserve">四、关联关系供应商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textAlignment w:val="center"/>
              <w:rPr>
                <w:sz w:val="21"/>
                <w:szCs w:val="21"/>
              </w:rPr>
            </w:pPr>
            <w:r>
              <w:rPr>
                <w:rFonts w:hint="eastAsia"/>
                <w:sz w:val="21"/>
                <w:szCs w:val="21"/>
              </w:rPr>
              <w:t>1</w:t>
            </w:r>
          </w:p>
        </w:tc>
        <w:tc>
          <w:tcPr>
            <w:tcW w:w="13517" w:type="dxa"/>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根据《招标投标法实施条例》第三十四条款规定，在招标</w:t>
            </w:r>
            <w:r>
              <w:rPr>
                <w:rFonts w:ascii="宋体" w:hAnsi="宋体" w:cs="宋体"/>
                <w:color w:val="000000" w:themeColor="text1"/>
                <w:kern w:val="0"/>
                <w:sz w:val="21"/>
                <w:szCs w:val="21"/>
                <w14:textFill>
                  <w14:solidFill>
                    <w14:schemeClr w14:val="tx1"/>
                  </w14:solidFill>
                </w14:textFill>
              </w:rPr>
              <w:t>/采购文件中明确“投标人与本招标项目其他投标人不得存在控股关系或管理关系、单位负责人为同一人”的相应条款，并作为评标/评审的否决项</w:t>
            </w:r>
            <w:r>
              <w:rPr>
                <w:rFonts w:hint="eastAsia" w:ascii="宋体" w:hAnsi="宋体" w:cs="宋体"/>
                <w:color w:val="000000" w:themeColor="text1"/>
                <w:kern w:val="0"/>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textAlignment w:val="center"/>
              <w:rPr>
                <w:sz w:val="21"/>
                <w:szCs w:val="21"/>
              </w:rPr>
            </w:pPr>
            <w:r>
              <w:rPr>
                <w:rFonts w:hint="eastAsia"/>
                <w:sz w:val="21"/>
                <w:szCs w:val="21"/>
              </w:rPr>
              <w:t>2</w:t>
            </w:r>
          </w:p>
        </w:tc>
        <w:tc>
          <w:tcPr>
            <w:tcW w:w="13517" w:type="dxa"/>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要求供应商参与招标</w:t>
            </w:r>
            <w:r>
              <w:rPr>
                <w:rFonts w:ascii="宋体" w:hAnsi="宋体" w:cs="宋体"/>
                <w:color w:val="000000" w:themeColor="text1"/>
                <w:kern w:val="0"/>
                <w:sz w:val="21"/>
                <w:szCs w:val="21"/>
                <w14:textFill>
                  <w14:solidFill>
                    <w14:schemeClr w14:val="tx1"/>
                  </w14:solidFill>
                </w14:textFill>
              </w:rPr>
              <w:t>/采购活动时签署《承诺书》，并附上供应商的公司章程或其他能够体现出资人、股东信息的法定文件，作为评标/评审时的依据</w:t>
            </w:r>
            <w:r>
              <w:rPr>
                <w:rFonts w:hint="eastAsia" w:ascii="宋体" w:hAnsi="宋体" w:cs="宋体"/>
                <w:color w:val="000000" w:themeColor="text1"/>
                <w:kern w:val="0"/>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textAlignment w:val="center"/>
              <w:rPr>
                <w:sz w:val="21"/>
                <w:szCs w:val="21"/>
              </w:rPr>
            </w:pPr>
            <w:r>
              <w:rPr>
                <w:rFonts w:hint="eastAsia"/>
                <w:sz w:val="21"/>
                <w:szCs w:val="21"/>
              </w:rPr>
              <w:t>3</w:t>
            </w:r>
          </w:p>
        </w:tc>
        <w:tc>
          <w:tcPr>
            <w:tcW w:w="13517" w:type="dxa"/>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在非公开采购项目中，在确定被邀请的供应商名单前，要对供应商的单位负责人、股东情况等进行核实，严禁邀请“存在控股关系或管理关系、单位负责人为同一人、同一自然人同时持有两家公司非公开上市股份”情形的关联关系供应商同时参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4"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textAlignment w:val="center"/>
              <w:rPr>
                <w:sz w:val="21"/>
                <w:szCs w:val="21"/>
              </w:rPr>
            </w:pPr>
            <w:r>
              <w:rPr>
                <w:rFonts w:hint="eastAsia"/>
                <w:sz w:val="21"/>
                <w:szCs w:val="21"/>
              </w:rPr>
              <w:t>4</w:t>
            </w:r>
          </w:p>
        </w:tc>
        <w:tc>
          <w:tcPr>
            <w:tcW w:w="13517" w:type="dxa"/>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在结果公示阶段，对涉及关联关系的供应商共同参与竞争的相关异议或投诉要进行调查，对发现违反招投标法《招标投标法实施条例》第三十四条款规定的中标方，取消其中标资格，对发现存在围标、串标情形的投标人或供应商要严肃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trPr>
        <w:tc>
          <w:tcPr>
            <w:tcW w:w="14596"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rPr>
                <w:sz w:val="21"/>
                <w:szCs w:val="21"/>
              </w:rPr>
            </w:pPr>
            <w:r>
              <w:rPr>
                <w:rFonts w:hint="eastAsia"/>
                <w:b/>
                <w:bCs/>
                <w:sz w:val="21"/>
                <w:szCs w:val="21"/>
                <w:lang w:bidi="ar"/>
              </w:rPr>
              <w:t xml:space="preserve">五、政府通报查处供应商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4596"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对政府通报查处供应商，如国家机关对供应商有具体明确处理意见的，按其意见处理；如无明确处理意见的，可参考供应商违规违法情节进行处理。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14596"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rPr>
                <w:sz w:val="21"/>
                <w:szCs w:val="21"/>
              </w:rPr>
            </w:pPr>
            <w:r>
              <w:rPr>
                <w:rFonts w:hint="eastAsia"/>
                <w:b/>
                <w:bCs/>
                <w:sz w:val="21"/>
                <w:szCs w:val="21"/>
                <w:lang w:bidi="ar"/>
              </w:rPr>
              <w:t xml:space="preserve">六、禁业限制供应商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4596" w:type="dxa"/>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对员工主动申报、或供应商主动报告的禁业限制供应商，且未发现利用中国海油人员的职务之便牟取不正当利益情形，依照集团公司相关规定对供应商及其下属分公司、全资子公司和控股公司进行以下处理：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b/>
                <w:bCs/>
                <w:sz w:val="21"/>
                <w:szCs w:val="21"/>
              </w:rPr>
            </w:pPr>
            <w:r>
              <w:rPr>
                <w:rFonts w:hint="eastAsia"/>
                <w:b/>
                <w:bCs/>
                <w:sz w:val="21"/>
                <w:szCs w:val="21"/>
              </w:rPr>
              <w:t>序号</w:t>
            </w:r>
          </w:p>
        </w:tc>
        <w:tc>
          <w:tcPr>
            <w:tcW w:w="5444" w:type="dxa"/>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rPr>
                <w:b/>
                <w:bCs/>
                <w:sz w:val="21"/>
                <w:szCs w:val="21"/>
              </w:rPr>
            </w:pPr>
            <w:r>
              <w:rPr>
                <w:rFonts w:hint="eastAsia"/>
                <w:b/>
                <w:bCs/>
                <w:sz w:val="21"/>
                <w:szCs w:val="21"/>
              </w:rPr>
              <w:t>禁业限制的类型</w:t>
            </w:r>
          </w:p>
        </w:tc>
        <w:tc>
          <w:tcPr>
            <w:tcW w:w="807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rPr>
                <w:b/>
                <w:bCs/>
                <w:sz w:val="21"/>
                <w:szCs w:val="21"/>
              </w:rPr>
            </w:pPr>
            <w:r>
              <w:rPr>
                <w:rFonts w:hint="eastAsia"/>
                <w:b/>
                <w:bCs/>
                <w:sz w:val="21"/>
                <w:szCs w:val="21"/>
              </w:rPr>
              <w:t>处理标准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sz w:val="21"/>
                <w:szCs w:val="21"/>
              </w:rPr>
            </w:pPr>
            <w:r>
              <w:rPr>
                <w:rFonts w:hint="eastAsia"/>
                <w:sz w:val="21"/>
                <w:szCs w:val="21"/>
              </w:rPr>
              <w:t>1</w:t>
            </w:r>
          </w:p>
        </w:tc>
        <w:tc>
          <w:tcPr>
            <w:tcW w:w="5444"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存在中国海油员工投资或持股情形的供应商。</w:t>
            </w:r>
          </w:p>
        </w:tc>
        <w:tc>
          <w:tcPr>
            <w:tcW w:w="807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对供应商给予“无固定期禁用”处理。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sz w:val="21"/>
                <w:szCs w:val="21"/>
              </w:rPr>
            </w:pPr>
            <w:r>
              <w:rPr>
                <w:rFonts w:hint="eastAsia"/>
                <w:sz w:val="21"/>
                <w:szCs w:val="21"/>
              </w:rPr>
              <w:t>2</w:t>
            </w:r>
          </w:p>
        </w:tc>
        <w:tc>
          <w:tcPr>
            <w:tcW w:w="5444"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聘请中国海油员工在其任职或兼职的非国有企业性质供应商。</w:t>
            </w:r>
          </w:p>
        </w:tc>
        <w:tc>
          <w:tcPr>
            <w:tcW w:w="807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对供应商给予“无固定期禁用”处理。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sz w:val="21"/>
                <w:szCs w:val="21"/>
              </w:rPr>
            </w:pPr>
            <w:r>
              <w:rPr>
                <w:rFonts w:hint="eastAsia"/>
                <w:sz w:val="21"/>
                <w:szCs w:val="21"/>
              </w:rPr>
              <w:t>3</w:t>
            </w:r>
          </w:p>
        </w:tc>
        <w:tc>
          <w:tcPr>
            <w:tcW w:w="5444"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存在离职、退休的中国海油领导人员投资或持股情形的供应商，如领导人员离职、退休时间未满三年。</w:t>
            </w:r>
          </w:p>
        </w:tc>
        <w:tc>
          <w:tcPr>
            <w:tcW w:w="807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对供应商给予“无固定期禁用”处理，禁用的最长期限为领导人员离职、退休满三年。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sz w:val="21"/>
                <w:szCs w:val="21"/>
              </w:rPr>
            </w:pPr>
            <w:r>
              <w:rPr>
                <w:rFonts w:hint="eastAsia"/>
                <w:sz w:val="21"/>
                <w:szCs w:val="21"/>
              </w:rPr>
              <w:t>4</w:t>
            </w:r>
          </w:p>
        </w:tc>
        <w:tc>
          <w:tcPr>
            <w:tcW w:w="5444"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聘请中国海油离职或退休未满三年的领导人员担任高级职务的非国有性质企业供应商。</w:t>
            </w:r>
          </w:p>
        </w:tc>
        <w:tc>
          <w:tcPr>
            <w:tcW w:w="807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对供应商给予“无固定期禁用”处理，禁用的最长期限为领导人员离职、退休满三年。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sz w:val="21"/>
                <w:szCs w:val="21"/>
              </w:rPr>
            </w:pPr>
            <w:r>
              <w:rPr>
                <w:rFonts w:hint="eastAsia"/>
                <w:sz w:val="21"/>
                <w:szCs w:val="21"/>
              </w:rPr>
              <w:t>5</w:t>
            </w:r>
          </w:p>
        </w:tc>
        <w:tc>
          <w:tcPr>
            <w:tcW w:w="543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存在中国海油在职员工亲属注册公司（或企业、个体工商户）、持有非上市股权等情形的供应商。</w:t>
            </w:r>
          </w:p>
        </w:tc>
        <w:tc>
          <w:tcPr>
            <w:tcW w:w="8084"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对供应商给予“无固定期禁用”处理。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0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jc w:val="center"/>
              <w:textAlignment w:val="center"/>
              <w:rPr>
                <w:sz w:val="21"/>
                <w:szCs w:val="21"/>
              </w:rPr>
            </w:pPr>
            <w:r>
              <w:rPr>
                <w:rFonts w:hint="eastAsia"/>
                <w:sz w:val="21"/>
                <w:szCs w:val="21"/>
              </w:rPr>
              <w:t>6</w:t>
            </w:r>
          </w:p>
        </w:tc>
        <w:tc>
          <w:tcPr>
            <w:tcW w:w="5433"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聘请中国海油在职领导人员亲属担任高级职务的非国有企业性质供应商。</w:t>
            </w:r>
          </w:p>
        </w:tc>
        <w:tc>
          <w:tcPr>
            <w:tcW w:w="8084"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rPr>
                <w:sz w:val="21"/>
                <w:szCs w:val="21"/>
              </w:rPr>
            </w:pPr>
            <w:r>
              <w:rPr>
                <w:rFonts w:hint="eastAsia" w:ascii="宋体" w:hAnsi="宋体" w:cs="宋体"/>
                <w:color w:val="000000" w:themeColor="text1"/>
                <w:kern w:val="0"/>
                <w:sz w:val="21"/>
                <w:szCs w:val="21"/>
                <w14:textFill>
                  <w14:solidFill>
                    <w14:schemeClr w14:val="tx1"/>
                  </w14:solidFill>
                </w14:textFill>
              </w:rPr>
              <w:t>对供应商给予 “无固定期禁用”处理。</w:t>
            </w:r>
          </w:p>
        </w:tc>
      </w:tr>
    </w:tbl>
    <w:p>
      <w:pPr>
        <w:pStyle w:val="4"/>
        <w:rPr>
          <w:rFonts w:asciiTheme="minorEastAsia" w:hAnsiTheme="minorEastAsia"/>
          <w:sz w:val="24"/>
          <w:szCs w:val="24"/>
        </w:rPr>
      </w:pPr>
    </w:p>
    <w:p>
      <w:pPr>
        <w:rPr>
          <w:rFonts w:hint="eastAsia" w:asciiTheme="minorEastAsia" w:hAnsiTheme="minorEastAsia"/>
          <w:sz w:val="24"/>
          <w:szCs w:val="2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9" w:charSpace="0"/>
        </w:sectPr>
      </w:pPr>
    </w:p>
    <w:p>
      <w:pPr>
        <w:outlineLvl w:val="1"/>
        <w:rPr>
          <w:rFonts w:hint="default" w:asciiTheme="minorEastAsia" w:hAnsiTheme="minorEastAsia" w:eastAsiaTheme="minorEastAsia"/>
          <w:sz w:val="24"/>
          <w:szCs w:val="24"/>
          <w:lang w:val="en-US" w:eastAsia="zh-CN"/>
        </w:rPr>
      </w:pPr>
      <w:r>
        <w:rPr>
          <w:rFonts w:hint="eastAsia" w:ascii="黑体" w:hAnsi="黑体" w:eastAsia="黑体"/>
          <w:sz w:val="24"/>
          <w:szCs w:val="22"/>
          <w:lang w:val="en-US" w:eastAsia="zh-CN"/>
        </w:rPr>
        <w:t>4.2集团公司</w:t>
      </w:r>
      <w:r>
        <w:rPr>
          <w:rFonts w:hint="eastAsia" w:ascii="黑体" w:hAnsi="黑体" w:eastAsia="黑体"/>
          <w:sz w:val="24"/>
        </w:rPr>
        <w:t>供应商处理情形和处理标准</w:t>
      </w:r>
    </w:p>
    <w:p>
      <w:pPr>
        <w:pStyle w:val="4"/>
        <w:rPr>
          <w:rFonts w:asciiTheme="minorEastAsia" w:hAnsiTheme="minorEastAsia"/>
          <w:sz w:val="24"/>
          <w:szCs w:val="24"/>
        </w:rPr>
      </w:pPr>
    </w:p>
    <w:tbl>
      <w:tblPr>
        <w:tblStyle w:val="13"/>
        <w:tblW w:w="88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015"/>
        <w:gridCol w:w="4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93" w:type="dxa"/>
            <w:shd w:val="clear" w:color="auto" w:fill="auto"/>
            <w:vAlign w:val="center"/>
          </w:tcPr>
          <w:p>
            <w:pPr>
              <w:widowControl/>
              <w:jc w:val="center"/>
              <w:rPr>
                <w:rFonts w:hint="eastAsia"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序号</w:t>
            </w:r>
          </w:p>
        </w:tc>
        <w:tc>
          <w:tcPr>
            <w:tcW w:w="4015" w:type="dxa"/>
            <w:shd w:val="clear" w:color="auto" w:fill="auto"/>
            <w:vAlign w:val="center"/>
          </w:tcPr>
          <w:p>
            <w:pPr>
              <w:widowControl/>
              <w:jc w:val="center"/>
              <w:rPr>
                <w:rFonts w:hint="eastAsia"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违规类型</w:t>
            </w:r>
          </w:p>
        </w:tc>
        <w:tc>
          <w:tcPr>
            <w:tcW w:w="4012" w:type="dxa"/>
            <w:shd w:val="clear" w:color="auto" w:fill="auto"/>
            <w:vAlign w:val="center"/>
          </w:tcPr>
          <w:p>
            <w:pPr>
              <w:widowControl/>
              <w:jc w:val="center"/>
              <w:rPr>
                <w:rFonts w:hint="eastAsia" w:ascii="宋体" w:hAnsi="宋体" w:eastAsia="宋体" w:cs="宋体"/>
                <w:b/>
                <w:bCs/>
                <w:color w:val="000000" w:themeColor="text1"/>
                <w:kern w:val="0"/>
                <w:sz w:val="20"/>
                <w:szCs w:val="20"/>
                <w14:textFill>
                  <w14:solidFill>
                    <w14:schemeClr w14:val="tx1"/>
                  </w14:solidFill>
                </w14:textFill>
              </w:rPr>
            </w:pPr>
            <w:r>
              <w:rPr>
                <w:rFonts w:hint="eastAsia" w:ascii="宋体" w:hAnsi="宋体" w:eastAsia="宋体" w:cs="宋体"/>
                <w:b/>
                <w:bCs/>
                <w:color w:val="000000" w:themeColor="text1"/>
                <w:kern w:val="0"/>
                <w:sz w:val="20"/>
                <w:szCs w:val="20"/>
                <w14:textFill>
                  <w14:solidFill>
                    <w14:schemeClr w14:val="tx1"/>
                  </w14:solidFill>
                </w14:textFill>
              </w:rPr>
              <w:t>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提供虚假材料（资质文件、业绩、财务状况、书面承诺等）进行供应商注册、资格审查或参与采购项目。</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未造成损失的，对供应商给予“禁用一年”或“禁用两年”处理；造成损失根据损失程度再增加对其处理。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为达到不正当目的相互恶意串通，包括与采购人，代理机构或供应商之间串通。</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根据影响程度，对供应商给予“禁用两年”或“长期禁用”处理；</w:t>
            </w:r>
          </w:p>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注册供应商发生围标串标给予“长期禁用”处理。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3</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向采购交易所涉及的相关方或能产生实际影响的相关方行贿。</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对供应商给予“禁用两年”或“长期禁用”处理，行贿判定的依据为公司内部执纪部门书面通知等。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4</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在采购结果公布之前，违法违规获得非公开评标信息，或采取不正当手段妨碍、排挤其他供应商投标或中标的，证据确凿。</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5</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softHyphen/>
            </w:r>
            <w:r>
              <w:rPr>
                <w:rFonts w:hint="eastAsia" w:ascii="宋体" w:hAnsi="宋体" w:eastAsia="宋体" w:cs="宋体"/>
                <w:color w:val="000000" w:themeColor="text1"/>
                <w:kern w:val="0"/>
                <w:sz w:val="20"/>
                <w:szCs w:val="20"/>
                <w14:textFill>
                  <w14:solidFill>
                    <w14:schemeClr w14:val="tx1"/>
                  </w14:solidFill>
                </w14:textFill>
              </w:rPr>
              <w:t>投标截止后撤销投标文件的，以及在中标公示或公告阶段，中标候选人放弃中标资格。</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根据影响程度，对供应商给予“禁用一年”或“禁用两年”处理。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6</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获取中标资格或成交资格拒绝签订合同。</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7</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不遵守招投标相关纪律或工作要求：如在开标、评标现场无理取闹，违反招投标程序,不遵守招投标秩序等情形。</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8</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无事实依据对采购过程、采购结果或供应商处理结果进行乱投诉、举报的缠诉、滥诉行为。</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情节较轻的，对供应商给予“警告”处理；恶意投诉、举报的，对供应商给予“禁用两年”处理；对伪造证据、捏造事实、诬陷招标方或供应商管理、供应商使用单位人员的，一经查证，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9</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擅自变更、不按照合同规定履行或者擅自终止合同。</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情节较轻的，对供应商给予“禁用两年”处理；情节严重的，对供应商给予“长期禁用”处理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10</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擅自降低标的功能标准或改变功能结构。供应商在提供工程、货物和服务时，擅自降低原来规定的功能标准，改变功能结构，使采购原有的功能要求得不到保证。</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及时整改且未造成影响的，对供应商可以不予处理；及时整改但造成一定影响的，对供应商给予“禁用一年”处理；及时整改但影响较重的，视情况对供应商给予“禁用两年”处理；拒不整改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11</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假冒其他厂家品牌，提供伪劣商品、以假乱真弄虚作假。</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视情形对供应商给予“禁用两年”或“长期禁用”处理。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12</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出现供给不足（即“短斤少两”行为）。</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及时整改未产生影响的可以不予处理；整改但产生影响的，对供应商或相关品类给予“禁用一年”处理；拒不更正的，对供应商给予“长期禁用”处理。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13</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提供虚假进度报告。</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未造成实质影响的给予供应商“禁用一年”处理；造成实质性影响的，对供应商给予“禁用两年”处理。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14</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违反规定将中标项目或合同转让、转包、分包。</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及时更正其违规行为的，视情形对供应商给予“警告至禁用一年”处理；拒绝更正其违规行为的，对供应商给予“长期禁用”处理。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15</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未经同意拖延完工、交货日期，延缓执行合同的期限。</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实质影响且愿意协商解决或承担赔偿责任的，对供应商给予“警告”处理；造成实质影响但愿意协商解决的，根据影响程度，对供应商或相关品类给予“禁用一年”或“禁用两年”处理；造成严重影响，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16</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拒绝中国海油管理部门的监督检查或不如实反映情况、提供材料。</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视情形对供应商给予“禁用一年”或“禁用两年”处理。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17</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参与或承揽中国海油业务时，在已知晓或应当知晓的情况下，仍代理被中国海油禁用其他供应商的产品、服务，或将已获取的合同对其分包。</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对该供应商给予“禁用一年”处理。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18</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拒绝履行售后服务义务并拒绝协商解决的情况，及其他因供应商的原因导致中国海油受损，并拒绝协商解决和赔偿责任的情况。</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19</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所提供的产品存在严重质量问题，影响安全生产或对工程建设造成实质性影响。</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根据专业机构调查结论，对供应商</w:t>
            </w:r>
            <w:r>
              <w:rPr>
                <w:rFonts w:hint="eastAsia" w:ascii="宋体" w:hAnsi="宋体" w:eastAsia="宋体" w:cs="宋体"/>
                <w:sz w:val="20"/>
                <w:szCs w:val="20"/>
              </w:rPr>
              <w:t>或相关品类</w:t>
            </w:r>
            <w:r>
              <w:rPr>
                <w:rFonts w:hint="eastAsia" w:ascii="宋体" w:hAnsi="宋体" w:eastAsia="宋体" w:cs="宋体"/>
                <w:color w:val="000000" w:themeColor="text1"/>
                <w:kern w:val="0"/>
                <w:sz w:val="20"/>
                <w:szCs w:val="20"/>
                <w14:textFill>
                  <w14:solidFill>
                    <w14:schemeClr w14:val="tx1"/>
                  </w14:solidFill>
                </w14:textFill>
              </w:rPr>
              <w:t>给予“禁用两年”或“长期禁用”处理。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20</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提供的产品/服务出现安全隐患，且拒绝整改或整改不及时、不到位。</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存在安全隐患且整改不到位的，给予供应商“禁用两年”处理；存在严重安全隐患且整改不到位的，对供应商给予“长期禁用”处理。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21</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未经许可，对外披露中国海油商业秘密信息。</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情节较轻的，供应商给予“禁用一年”处理；情节较重的，供应商给予“禁用两年”处理；情节严重的，对供应商给予“长期禁用”处理。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22</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由于供应商的原因，与中国海油及所属单位产生法律诉讼。</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23</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发生“一般A级”及以上安全事故且负主要责任的供应商。</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视情形对供应商给予“禁用一年”或“禁用两年”处理，情节严重的，给予“长期禁用”处理。“一般A级”以下级别根据情况或问题程度，约谈供应商，或“警告”处理。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24</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供应商在提报中国海油员工、员工亲属、离职退休的领导人员在本单位的任职和持股情况时，存在瞒报相关情况或发现利用职务之便谋取不正当利益的。</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存在瞒报相关情况的，对供应商给予“禁用一年”处理；发现利用中国海油人员的职务之便牟取不正当利益情形的，对供应商给予“长期禁用”处理。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25</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在承揽的中国海油业务中，存在拖欠农民工工资行为的。</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未造成不良影响并及时整改的，对供应商给予“警告”处理；整改不及时或影响较大的，对供应商给予“禁用一年”或“禁用两年”处理。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26</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对存在其他不当行为可能给中国海油带来风险。</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根据情况或问题程度，约谈供应商，或“警告”处理。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93" w:type="dxa"/>
            <w:shd w:val="clear" w:color="auto" w:fill="auto"/>
            <w:vAlign w:val="center"/>
          </w:tcPr>
          <w:p>
            <w:pPr>
              <w:widowControl/>
              <w:jc w:val="center"/>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27</w:t>
            </w:r>
          </w:p>
        </w:tc>
        <w:tc>
          <w:tcPr>
            <w:tcW w:w="4015"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其他违反国家法律法规及集团公司规章制度的行为，包括国家、审计、纪检监察、巡视等函件反映问题。</w:t>
            </w:r>
          </w:p>
        </w:tc>
        <w:tc>
          <w:tcPr>
            <w:tcW w:w="4012" w:type="dxa"/>
            <w:shd w:val="clear" w:color="auto" w:fill="auto"/>
            <w:vAlign w:val="center"/>
          </w:tcPr>
          <w:p>
            <w:pPr>
              <w:widowControl/>
              <w:rPr>
                <w:rFonts w:hint="eastAsia" w:ascii="宋体" w:hAnsi="宋体" w:eastAsia="宋体" w:cs="宋体"/>
                <w:color w:val="000000" w:themeColor="text1"/>
                <w:kern w:val="0"/>
                <w:sz w:val="20"/>
                <w:szCs w:val="20"/>
                <w14:textFill>
                  <w14:solidFill>
                    <w14:schemeClr w14:val="tx1"/>
                  </w14:solidFill>
                </w14:textFill>
              </w:rPr>
            </w:pPr>
            <w:r>
              <w:rPr>
                <w:rFonts w:hint="eastAsia" w:ascii="宋体" w:hAnsi="宋体" w:eastAsia="宋体" w:cs="宋体"/>
                <w:color w:val="000000" w:themeColor="text1"/>
                <w:kern w:val="0"/>
                <w:sz w:val="20"/>
                <w:szCs w:val="20"/>
                <w14:textFill>
                  <w14:solidFill>
                    <w14:schemeClr w14:val="tx1"/>
                  </w14:solidFill>
                </w14:textFill>
              </w:rPr>
              <w:t>由工程与物装部组织相关管理部门及所属单位，对供应商问题性质及业务实际情况判定，进行相应处理。</w:t>
            </w:r>
          </w:p>
        </w:tc>
      </w:tr>
    </w:tbl>
    <w:p>
      <w:pPr>
        <w:pStyle w:val="6"/>
        <w:ind w:left="0" w:leftChars="0" w:firstLine="0" w:firstLineChars="0"/>
        <w:rPr>
          <w:rFonts w:hint="eastAsia" w:ascii="宋体" w:hAnsi="宋体" w:cs="宋体"/>
          <w:sz w:val="20"/>
          <w:szCs w:val="20"/>
          <w:lang w:eastAsia="zh-CN"/>
        </w:rPr>
      </w:pPr>
    </w:p>
    <w:p>
      <w:pPr>
        <w:pStyle w:val="4"/>
        <w:ind w:firstLine="0" w:firstLineChars="0"/>
        <w:rPr>
          <w:rFonts w:hint="default" w:eastAsia="宋体"/>
          <w:lang w:val="en-US" w:eastAsia="zh-CN"/>
        </w:rPr>
      </w:pPr>
      <w:r>
        <w:rPr>
          <w:rFonts w:hint="eastAsia" w:eastAsia="宋体"/>
          <w:highlight w:val="none"/>
          <w:lang w:val="en-US" w:eastAsia="zh-CN"/>
        </w:rPr>
        <w:t>供应商处理结果以集团公司审批为准，本附件仅作为风险提示。</w:t>
      </w:r>
    </w:p>
    <w:p/>
    <w:p>
      <w:pPr>
        <w:keepNext w:val="0"/>
        <w:keepLines w:val="0"/>
        <w:pageBreakBefore w:val="0"/>
        <w:widowControl/>
        <w:kinsoku/>
        <w:wordWrap/>
        <w:overflowPunct/>
        <w:topLinePunct w:val="0"/>
        <w:autoSpaceDE/>
        <w:autoSpaceDN/>
        <w:bidi w:val="0"/>
        <w:adjustRightInd/>
        <w:snapToGrid/>
        <w:textAlignment w:val="auto"/>
        <w:outlineLvl w:val="9"/>
        <w:rPr>
          <w:rFonts w:hint="eastAsia" w:ascii="黑体" w:hAnsi="黑体" w:eastAsia="黑体"/>
          <w:b/>
          <w:bCs/>
          <w:sz w:val="24"/>
          <w:szCs w:val="24"/>
          <w:highlight w:val="none"/>
          <w:lang w:val="en-US" w:eastAsia="zh-CN"/>
        </w:rPr>
      </w:pPr>
      <w:r>
        <w:rPr>
          <w:rFonts w:hint="eastAsia" w:ascii="黑体" w:hAnsi="黑体" w:eastAsia="黑体"/>
          <w:b/>
          <w:bCs/>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sz w:val="24"/>
          <w:szCs w:val="24"/>
          <w:lang w:val="en-US" w:eastAsia="zh-CN"/>
        </w:rPr>
      </w:pPr>
      <w:r>
        <w:rPr>
          <w:rFonts w:hint="eastAsia" w:ascii="黑体" w:hAnsi="黑体" w:eastAsia="黑体"/>
          <w:b/>
          <w:bCs/>
          <w:sz w:val="24"/>
          <w:szCs w:val="24"/>
          <w:highlight w:val="none"/>
          <w:lang w:val="en-US" w:eastAsia="zh-CN"/>
        </w:rPr>
        <w:t>附件5：</w:t>
      </w:r>
      <w:r>
        <w:rPr>
          <w:rFonts w:hint="eastAsia" w:ascii="黑体" w:hAnsi="黑体" w:eastAsia="黑体"/>
          <w:b/>
          <w:bCs/>
          <w:sz w:val="24"/>
          <w:szCs w:val="24"/>
          <w:lang w:val="en-US" w:eastAsia="zh-CN"/>
        </w:rPr>
        <w:t>商务文件</w:t>
      </w:r>
    </w:p>
    <w:p>
      <w:pPr>
        <w:pStyle w:val="17"/>
        <w:rPr>
          <w:rFonts w:hint="eastAsia"/>
          <w:lang w:val="en-US" w:eastAsia="zh-CN"/>
        </w:rPr>
      </w:pP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b w:val="0"/>
          <w:bCs/>
          <w:sz w:val="24"/>
          <w:szCs w:val="24"/>
          <w:lang w:val="en-US" w:eastAsia="zh-CN"/>
        </w:rPr>
        <w:t>5.1：</w:t>
      </w:r>
      <w:r>
        <w:rPr>
          <w:rFonts w:hint="eastAsia" w:asciiTheme="minorEastAsia" w:hAnsiTheme="minorEastAsia" w:eastAsiaTheme="minorEastAsia" w:cstheme="minorEastAsia"/>
          <w:b w:val="0"/>
          <w:bCs/>
          <w:sz w:val="24"/>
          <w:szCs w:val="24"/>
          <w:lang w:eastAsia="zh-CN"/>
        </w:rPr>
        <w:t>营业执照</w:t>
      </w: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5.2：法定代表人（单位负责人）身份证明——详见附件</w:t>
      </w: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5.3：法定代表人授权委托书（如涉及）——详见附件</w:t>
      </w: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5.4：专业资质</w:t>
      </w: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5.5：股权证明文件——详见附件</w:t>
      </w: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5.6：供应商承诺书——详见附件</w:t>
      </w: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5.7：服务商要求（详见评议内容：对不满足要求的或未能提供相应证明材料的服务商，将影响评审结果。）</w:t>
      </w: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lang w:val="en-US" w:eastAsia="zh-CN"/>
        </w:rPr>
        <w:t>5.8：</w:t>
      </w:r>
      <w:r>
        <w:rPr>
          <w:rFonts w:hint="eastAsia" w:asciiTheme="minorEastAsia" w:hAnsiTheme="minorEastAsia" w:eastAsiaTheme="minorEastAsia" w:cstheme="minorEastAsia"/>
          <w:b w:val="0"/>
          <w:bCs/>
          <w:sz w:val="24"/>
          <w:szCs w:val="24"/>
          <w:lang w:eastAsia="zh-CN"/>
        </w:rPr>
        <w:t>业绩要求</w:t>
      </w:r>
      <w:r>
        <w:rPr>
          <w:rFonts w:hint="eastAsia" w:asciiTheme="minorEastAsia" w:hAnsiTheme="minorEastAsia" w:eastAsiaTheme="minorEastAsia" w:cstheme="minorEastAsia"/>
          <w:b w:val="0"/>
          <w:bCs/>
          <w:sz w:val="24"/>
          <w:szCs w:val="24"/>
        </w:rPr>
        <w:t>（</w:t>
      </w:r>
      <w:r>
        <w:rPr>
          <w:rFonts w:hint="eastAsia" w:asciiTheme="minorEastAsia" w:hAnsiTheme="minorEastAsia" w:eastAsiaTheme="minorEastAsia" w:cstheme="minorEastAsia"/>
          <w:b w:val="0"/>
          <w:bCs/>
          <w:sz w:val="24"/>
          <w:szCs w:val="24"/>
          <w:lang w:val="en-US" w:eastAsia="zh-CN"/>
        </w:rPr>
        <w:t>详见评议内容</w:t>
      </w:r>
      <w:r>
        <w:rPr>
          <w:rFonts w:hint="eastAsia" w:asciiTheme="minorEastAsia" w:hAnsiTheme="minorEastAsia" w:eastAsiaTheme="minorEastAsia" w:cstheme="minorEastAsia"/>
          <w:b w:val="0"/>
          <w:bCs/>
          <w:sz w:val="24"/>
          <w:szCs w:val="24"/>
        </w:rPr>
        <w:t>：提供的证明材料必须完全涵盖</w:t>
      </w:r>
      <w:r>
        <w:rPr>
          <w:rFonts w:hint="eastAsia" w:asciiTheme="minorEastAsia" w:hAnsiTheme="minorEastAsia" w:eastAsiaTheme="minorEastAsia" w:cstheme="minorEastAsia"/>
          <w:b w:val="0"/>
          <w:bCs/>
          <w:sz w:val="24"/>
          <w:szCs w:val="24"/>
          <w:lang w:val="en-US" w:eastAsia="zh-CN"/>
        </w:rPr>
        <w:t>要求的</w:t>
      </w:r>
      <w:r>
        <w:rPr>
          <w:rFonts w:hint="eastAsia" w:asciiTheme="minorEastAsia" w:hAnsiTheme="minorEastAsia" w:eastAsiaTheme="minorEastAsia" w:cstheme="minorEastAsia"/>
          <w:b w:val="0"/>
          <w:bCs/>
          <w:sz w:val="24"/>
          <w:szCs w:val="24"/>
        </w:rPr>
        <w:t>内容，否则视为无效业绩，缺少任何1项都将影响评审结果）</w:t>
      </w: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5.9：商务偏离表——详见附件</w:t>
      </w:r>
    </w:p>
    <w:p>
      <w:pPr>
        <w:pStyle w:val="3"/>
        <w:keepNext/>
        <w:keepLines/>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5.10：其他补充</w:t>
      </w:r>
    </w:p>
    <w:p>
      <w:pPr>
        <w:rPr>
          <w:rFonts w:hint="eastAsia"/>
          <w:lang w:val="en-US" w:eastAsia="zh-CN"/>
        </w:rPr>
      </w:pPr>
    </w:p>
    <w:p>
      <w:pPr>
        <w:pStyle w:val="17"/>
        <w:rPr>
          <w:rFonts w:hint="eastAsia"/>
          <w:lang w:val="en-US" w:eastAsia="zh-CN"/>
        </w:rPr>
      </w:pPr>
    </w:p>
    <w:p>
      <w:pPr>
        <w:pStyle w:val="17"/>
        <w:rPr>
          <w:rFonts w:hint="eastAsia"/>
          <w:lang w:val="en-US" w:eastAsia="zh-CN"/>
        </w:rPr>
      </w:pPr>
    </w:p>
    <w:p>
      <w:pPr>
        <w:rPr>
          <w:rFonts w:hint="eastAsia"/>
          <w:lang w:val="en-US" w:eastAsia="zh-CN"/>
        </w:rPr>
      </w:pPr>
    </w:p>
    <w:p>
      <w:pPr>
        <w:pStyle w:val="17"/>
        <w:rPr>
          <w:rFonts w:hint="eastAsia"/>
          <w:lang w:val="en-US" w:eastAsia="zh-CN"/>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lang w:val="en-US" w:eastAsia="zh-CN"/>
        </w:rPr>
      </w:pPr>
      <w:r>
        <w:rPr>
          <w:rFonts w:hint="eastAsia" w:ascii="黑体" w:hAnsi="黑体" w:eastAsia="黑体"/>
          <w:b/>
          <w:bCs/>
          <w:color w:val="000000" w:themeColor="text1"/>
          <w:sz w:val="24"/>
          <w:szCs w:val="24"/>
          <w:highlight w:val="none"/>
          <w:lang w:val="en-US" w:eastAsia="zh-CN"/>
          <w14:textFill>
            <w14:solidFill>
              <w14:schemeClr w14:val="tx1"/>
            </w14:solidFill>
          </w14:textFill>
        </w:rPr>
        <w:t>5.2</w:t>
      </w:r>
      <w:r>
        <w:rPr>
          <w:rFonts w:hint="eastAsia" w:ascii="黑体" w:hAnsi="黑体" w:eastAsia="黑体"/>
          <w:b/>
          <w:bCs/>
          <w:sz w:val="24"/>
          <w:szCs w:val="24"/>
          <w:lang w:val="en-US" w:eastAsia="zh-CN"/>
        </w:rPr>
        <w:t>：法定代表人（单位负责人）身份证明</w:t>
      </w:r>
    </w:p>
    <w:p>
      <w:pPr>
        <w:pStyle w:val="6"/>
        <w:keepNext w:val="0"/>
        <w:keepLines w:val="0"/>
        <w:pageBreakBefore w:val="0"/>
        <w:widowControl w:val="0"/>
        <w:kinsoku/>
        <w:wordWrap/>
        <w:overflowPunct/>
        <w:topLinePunct w:val="0"/>
        <w:autoSpaceDE/>
        <w:autoSpaceDN/>
        <w:bidi w:val="0"/>
        <w:adjustRightInd/>
        <w:snapToGrid/>
        <w:ind w:left="782"/>
        <w:textAlignment w:val="auto"/>
        <w:rPr>
          <w:rFonts w:hint="eastAsia"/>
          <w:lang w:val="en-US" w:eastAsia="zh-CN"/>
        </w:rPr>
      </w:pPr>
    </w:p>
    <w:p>
      <w:pPr>
        <w:pStyle w:val="4"/>
        <w:rPr>
          <w:rFonts w:ascii="微软雅黑" w:hAnsi="微软雅黑" w:eastAsia="微软雅黑"/>
          <w:b/>
          <w:spacing w:val="2"/>
          <w:sz w:val="32"/>
          <w:szCs w:val="32"/>
        </w:rPr>
      </w:pPr>
    </w:p>
    <w:p>
      <w:pPr>
        <w:pStyle w:val="4"/>
        <w:rPr>
          <w:rFonts w:ascii="微软雅黑" w:hAnsi="微软雅黑" w:eastAsia="微软雅黑"/>
          <w:b/>
          <w:spacing w:val="2"/>
          <w:sz w:val="32"/>
          <w:szCs w:val="32"/>
        </w:rPr>
      </w:pPr>
    </w:p>
    <w:p>
      <w:pPr>
        <w:spacing w:before="120" w:beforeLines="50" w:after="120" w:afterLines="50"/>
        <w:ind w:right="11"/>
        <w:jc w:val="center"/>
        <w:rPr>
          <w:rFonts w:ascii="微软雅黑" w:hAnsi="微软雅黑" w:eastAsia="微软雅黑"/>
          <w:b/>
          <w:sz w:val="32"/>
          <w:szCs w:val="32"/>
        </w:rPr>
      </w:pPr>
      <w:r>
        <w:rPr>
          <w:rFonts w:ascii="微软雅黑" w:hAnsi="微软雅黑" w:eastAsia="微软雅黑"/>
          <w:b/>
          <w:spacing w:val="2"/>
          <w:sz w:val="32"/>
          <w:szCs w:val="32"/>
        </w:rPr>
        <w:t>法定代表</w:t>
      </w:r>
      <w:r>
        <w:rPr>
          <w:rFonts w:ascii="微软雅黑" w:hAnsi="微软雅黑" w:eastAsia="微软雅黑"/>
          <w:b/>
          <w:sz w:val="32"/>
          <w:szCs w:val="32"/>
        </w:rPr>
        <w:t>人</w:t>
      </w:r>
      <w:r>
        <w:rPr>
          <w:rFonts w:ascii="微软雅黑" w:hAnsi="微软雅黑" w:eastAsia="微软雅黑"/>
          <w:b/>
          <w:spacing w:val="2"/>
          <w:sz w:val="32"/>
          <w:szCs w:val="32"/>
        </w:rPr>
        <w:t>（单位负责人</w:t>
      </w:r>
      <w:r>
        <w:rPr>
          <w:rFonts w:ascii="微软雅黑" w:hAnsi="微软雅黑" w:eastAsia="微软雅黑"/>
          <w:b/>
          <w:sz w:val="32"/>
          <w:szCs w:val="32"/>
        </w:rPr>
        <w:t>）</w:t>
      </w:r>
      <w:r>
        <w:rPr>
          <w:rFonts w:ascii="微软雅黑" w:hAnsi="微软雅黑" w:eastAsia="微软雅黑"/>
          <w:b/>
          <w:spacing w:val="2"/>
          <w:sz w:val="32"/>
          <w:szCs w:val="32"/>
        </w:rPr>
        <w:t>身份证</w:t>
      </w:r>
      <w:r>
        <w:rPr>
          <w:rFonts w:ascii="微软雅黑" w:hAnsi="微软雅黑" w:eastAsia="微软雅黑"/>
          <w:b/>
          <w:sz w:val="32"/>
          <w:szCs w:val="32"/>
        </w:rPr>
        <w:t>明</w:t>
      </w:r>
    </w:p>
    <w:p>
      <w:pPr>
        <w:tabs>
          <w:tab w:val="left" w:pos="142"/>
        </w:tabs>
        <w:spacing w:line="200" w:lineRule="exact"/>
        <w:ind w:right="11"/>
        <w:jc w:val="center"/>
        <w:rPr>
          <w:rFonts w:ascii="微软雅黑" w:hAnsi="微软雅黑" w:eastAsia="微软雅黑"/>
          <w:sz w:val="20"/>
          <w:szCs w:val="20"/>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lang w:val="en-US" w:eastAsia="zh-CN" w:bidi="ar-SA"/>
        </w:rPr>
      </w:pPr>
    </w:p>
    <w:p>
      <w:pPr>
        <w:widowControl w:val="0"/>
        <w:tabs>
          <w:tab w:val="left" w:pos="142"/>
          <w:tab w:val="left" w:pos="3880"/>
        </w:tabs>
        <w:spacing w:before="36"/>
        <w:ind w:left="780" w:right="11" w:firstLine="420"/>
        <w:jc w:val="left"/>
        <w:rPr>
          <w:rFonts w:ascii="微软雅黑" w:hAnsi="微软雅黑" w:eastAsia="微软雅黑" w:cstheme="minorBidi"/>
          <w:kern w:val="0"/>
          <w:sz w:val="21"/>
          <w:szCs w:val="21"/>
          <w:lang w:val="en-US" w:eastAsia="zh-CN" w:bidi="ar-SA"/>
        </w:rPr>
      </w:pPr>
    </w:p>
    <w:p>
      <w:pPr>
        <w:widowControl w:val="0"/>
        <w:tabs>
          <w:tab w:val="left" w:pos="142"/>
          <w:tab w:val="left" w:pos="3880"/>
        </w:tabs>
        <w:spacing w:before="36"/>
        <w:ind w:left="780" w:right="11" w:firstLine="480"/>
        <w:jc w:val="left"/>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kern w:val="0"/>
          <w:sz w:val="24"/>
          <w:szCs w:val="24"/>
          <w:lang w:val="en-US" w:eastAsia="zh-CN" w:bidi="ar-SA"/>
        </w:rPr>
        <w:t>名</w:t>
      </w:r>
      <w:r>
        <w:rPr>
          <w:rFonts w:ascii="微软雅黑" w:hAnsi="微软雅黑" w:eastAsia="微软雅黑" w:cstheme="minorBidi"/>
          <w:spacing w:val="-3"/>
          <w:kern w:val="0"/>
          <w:sz w:val="24"/>
          <w:szCs w:val="24"/>
          <w:lang w:val="en-US" w:eastAsia="zh-CN" w:bidi="ar-SA"/>
        </w:rPr>
        <w:t>称</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w w:val="225"/>
          <w:kern w:val="0"/>
          <w:sz w:val="24"/>
          <w:szCs w:val="24"/>
          <w:u w:val="single" w:color="000000"/>
          <w:lang w:val="en-US" w:eastAsia="zh-CN" w:bidi="ar-SA"/>
        </w:rPr>
        <w:t xml:space="preserve"> </w:t>
      </w:r>
      <w:r>
        <w:rPr>
          <w:rFonts w:ascii="微软雅黑" w:hAnsi="微软雅黑" w:eastAsia="微软雅黑" w:cstheme="minorBidi"/>
          <w:kern w:val="0"/>
          <w:sz w:val="24"/>
          <w:szCs w:val="24"/>
          <w:u w:val="single" w:color="000000"/>
          <w:lang w:val="en-US" w:eastAsia="zh-CN" w:bidi="ar-SA"/>
        </w:rPr>
        <w:tab/>
      </w:r>
    </w:p>
    <w:p>
      <w:pPr>
        <w:widowControl w:val="0"/>
        <w:tabs>
          <w:tab w:val="left" w:pos="142"/>
          <w:tab w:val="left" w:pos="2412"/>
          <w:tab w:val="left" w:pos="3883"/>
          <w:tab w:val="left" w:pos="5352"/>
          <w:tab w:val="left" w:pos="6821"/>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姓名</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性别</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年</w:t>
      </w:r>
      <w:r>
        <w:rPr>
          <w:rFonts w:ascii="微软雅黑" w:hAnsi="微软雅黑" w:eastAsia="微软雅黑" w:cstheme="minorBidi"/>
          <w:spacing w:val="-3"/>
          <w:kern w:val="0"/>
          <w:sz w:val="24"/>
          <w:szCs w:val="24"/>
          <w:lang w:val="en-US" w:eastAsia="zh-CN" w:bidi="ar-SA"/>
        </w:rPr>
        <w:t>龄</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职</w:t>
      </w:r>
      <w:r>
        <w:rPr>
          <w:rFonts w:ascii="微软雅黑" w:hAnsi="微软雅黑" w:eastAsia="微软雅黑" w:cstheme="minorBidi"/>
          <w:spacing w:val="-3"/>
          <w:kern w:val="0"/>
          <w:sz w:val="24"/>
          <w:szCs w:val="24"/>
          <w:lang w:val="en-US" w:eastAsia="zh-CN" w:bidi="ar-SA"/>
        </w:rPr>
        <w:t>务</w:t>
      </w:r>
      <w:r>
        <w:rPr>
          <w:rFonts w:ascii="微软雅黑" w:hAnsi="微软雅黑" w:eastAsia="微软雅黑" w:cstheme="minorBidi"/>
          <w:spacing w:val="-1"/>
          <w:kern w:val="0"/>
          <w:sz w:val="24"/>
          <w:szCs w:val="24"/>
          <w:lang w:val="en-US" w:eastAsia="zh-CN" w:bidi="ar-SA"/>
        </w:rPr>
        <w:t>：</w:t>
      </w:r>
      <w:r>
        <w:rPr>
          <w:rFonts w:ascii="微软雅黑" w:hAnsi="微软雅黑" w:eastAsia="微软雅黑" w:cstheme="minorBidi"/>
          <w:w w:val="225"/>
          <w:kern w:val="0"/>
          <w:sz w:val="24"/>
          <w:szCs w:val="24"/>
          <w:u w:val="single" w:color="000000"/>
          <w:lang w:val="en-US" w:eastAsia="zh-CN" w:bidi="ar-SA"/>
        </w:rPr>
        <w:t xml:space="preserve"> </w:t>
      </w:r>
      <w:r>
        <w:rPr>
          <w:rFonts w:ascii="微软雅黑" w:hAnsi="微软雅黑" w:eastAsia="微软雅黑" w:cstheme="minorBidi"/>
          <w:kern w:val="0"/>
          <w:sz w:val="24"/>
          <w:szCs w:val="24"/>
          <w:u w:val="single" w:color="000000"/>
          <w:lang w:val="en-US" w:eastAsia="zh-CN" w:bidi="ar-SA"/>
        </w:rPr>
        <w:tab/>
      </w:r>
    </w:p>
    <w:p>
      <w:pPr>
        <w:widowControl w:val="0"/>
        <w:tabs>
          <w:tab w:val="left" w:pos="142"/>
          <w:tab w:val="left" w:pos="2831"/>
        </w:tabs>
        <w:spacing w:before="36"/>
        <w:ind w:left="780" w:right="11" w:firstLine="476"/>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spacing w:val="-1"/>
          <w:kern w:val="0"/>
          <w:sz w:val="24"/>
          <w:szCs w:val="24"/>
          <w:lang w:val="en-US" w:eastAsia="zh-CN" w:bidi="ar-SA"/>
        </w:rPr>
        <w:t>系</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spacing w:val="-3"/>
          <w:kern w:val="0"/>
          <w:sz w:val="24"/>
          <w:szCs w:val="24"/>
          <w:lang w:val="en-US" w:eastAsia="zh-CN" w:bidi="ar-SA"/>
        </w:rPr>
        <w:t>（</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名</w:t>
      </w:r>
      <w:r>
        <w:rPr>
          <w:rFonts w:ascii="微软雅黑" w:hAnsi="微软雅黑" w:eastAsia="微软雅黑" w:cstheme="minorBidi"/>
          <w:kern w:val="0"/>
          <w:sz w:val="24"/>
          <w:szCs w:val="24"/>
          <w:lang w:val="en-US" w:eastAsia="zh-CN" w:bidi="ar-SA"/>
        </w:rPr>
        <w:t>称</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的</w:t>
      </w:r>
      <w:r>
        <w:rPr>
          <w:rFonts w:ascii="微软雅黑" w:hAnsi="微软雅黑" w:eastAsia="微软雅黑" w:cstheme="minorBidi"/>
          <w:spacing w:val="-3"/>
          <w:kern w:val="0"/>
          <w:sz w:val="24"/>
          <w:szCs w:val="24"/>
          <w:lang w:val="en-US" w:eastAsia="zh-CN" w:bidi="ar-SA"/>
        </w:rPr>
        <w:t>法定</w:t>
      </w:r>
      <w:r>
        <w:rPr>
          <w:rFonts w:ascii="微软雅黑" w:hAnsi="微软雅黑" w:eastAsia="微软雅黑" w:cstheme="minorBidi"/>
          <w:kern w:val="0"/>
          <w:sz w:val="24"/>
          <w:szCs w:val="24"/>
          <w:lang w:val="en-US" w:eastAsia="zh-CN" w:bidi="ar-SA"/>
        </w:rPr>
        <w:t>代表</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单</w:t>
      </w:r>
      <w:r>
        <w:rPr>
          <w:rFonts w:ascii="微软雅黑" w:hAnsi="微软雅黑" w:eastAsia="微软雅黑" w:cstheme="minorBidi"/>
          <w:kern w:val="0"/>
          <w:sz w:val="24"/>
          <w:szCs w:val="24"/>
          <w:lang w:val="en-US" w:eastAsia="zh-CN" w:bidi="ar-SA"/>
        </w:rPr>
        <w:t>位</w:t>
      </w:r>
      <w:r>
        <w:rPr>
          <w:rFonts w:ascii="微软雅黑" w:hAnsi="微软雅黑" w:eastAsia="微软雅黑" w:cstheme="minorBidi"/>
          <w:spacing w:val="-3"/>
          <w:kern w:val="0"/>
          <w:sz w:val="24"/>
          <w:szCs w:val="24"/>
          <w:lang w:val="en-US" w:eastAsia="zh-CN" w:bidi="ar-SA"/>
        </w:rPr>
        <w:t>负</w:t>
      </w:r>
      <w:r>
        <w:rPr>
          <w:rFonts w:ascii="微软雅黑" w:hAnsi="微软雅黑" w:eastAsia="微软雅黑" w:cstheme="minorBidi"/>
          <w:kern w:val="0"/>
          <w:sz w:val="24"/>
          <w:szCs w:val="24"/>
          <w:lang w:val="en-US" w:eastAsia="zh-CN" w:bidi="ar-SA"/>
        </w:rPr>
        <w:t>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6"/>
          <w:kern w:val="0"/>
          <w:sz w:val="24"/>
          <w:szCs w:val="24"/>
          <w:lang w:val="en-US" w:eastAsia="zh-CN" w:bidi="ar-SA"/>
        </w:rPr>
        <w:t>）</w:t>
      </w:r>
      <w:r>
        <w:rPr>
          <w:rFonts w:ascii="微软雅黑" w:hAnsi="微软雅黑" w:eastAsia="微软雅黑" w:cstheme="minorBidi"/>
          <w:kern w:val="0"/>
          <w:sz w:val="24"/>
          <w:szCs w:val="24"/>
          <w:lang w:val="en-US" w:eastAsia="zh-CN" w:bidi="ar-SA"/>
        </w:rPr>
        <w:t>。</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特此</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明。</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 xml:space="preserve">。 </w:t>
      </w: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p>
    <w:p>
      <w:pPr>
        <w:widowControl w:val="0"/>
        <w:tabs>
          <w:tab w:val="left" w:pos="142"/>
        </w:tabs>
        <w:spacing w:before="36"/>
        <w:ind w:left="780" w:right="11" w:firstLine="480"/>
        <w:jc w:val="left"/>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注：</w:t>
      </w:r>
      <w:r>
        <w:rPr>
          <w:rFonts w:ascii="微软雅黑" w:hAnsi="微软雅黑" w:eastAsia="微软雅黑" w:cstheme="minorBidi"/>
          <w:spacing w:val="-3"/>
          <w:kern w:val="0"/>
          <w:sz w:val="24"/>
          <w:szCs w:val="24"/>
          <w:lang w:val="en-US" w:eastAsia="zh-CN" w:bidi="ar-SA"/>
        </w:rPr>
        <w:t>本</w:t>
      </w:r>
      <w:r>
        <w:rPr>
          <w:rFonts w:ascii="微软雅黑" w:hAnsi="微软雅黑" w:eastAsia="微软雅黑" w:cstheme="minorBidi"/>
          <w:kern w:val="0"/>
          <w:sz w:val="24"/>
          <w:szCs w:val="24"/>
          <w:lang w:val="en-US" w:eastAsia="zh-CN" w:bidi="ar-SA"/>
        </w:rPr>
        <w:t>身</w:t>
      </w:r>
      <w:r>
        <w:rPr>
          <w:rFonts w:ascii="微软雅黑" w:hAnsi="微软雅黑" w:eastAsia="微软雅黑" w:cstheme="minorBidi"/>
          <w:spacing w:val="-3"/>
          <w:kern w:val="0"/>
          <w:sz w:val="24"/>
          <w:szCs w:val="24"/>
          <w:lang w:val="en-US" w:eastAsia="zh-CN" w:bidi="ar-SA"/>
        </w:rPr>
        <w:t>份</w:t>
      </w:r>
      <w:r>
        <w:rPr>
          <w:rFonts w:ascii="微软雅黑" w:hAnsi="微软雅黑" w:eastAsia="微软雅黑" w:cstheme="minorBidi"/>
          <w:kern w:val="0"/>
          <w:sz w:val="24"/>
          <w:szCs w:val="24"/>
          <w:lang w:val="en-US" w:eastAsia="zh-CN" w:bidi="ar-SA"/>
        </w:rPr>
        <w:t>证</w:t>
      </w:r>
      <w:r>
        <w:rPr>
          <w:rFonts w:ascii="微软雅黑" w:hAnsi="微软雅黑" w:eastAsia="微软雅黑" w:cstheme="minorBidi"/>
          <w:spacing w:val="-3"/>
          <w:kern w:val="0"/>
          <w:sz w:val="24"/>
          <w:szCs w:val="24"/>
          <w:lang w:val="en-US" w:eastAsia="zh-CN" w:bidi="ar-SA"/>
        </w:rPr>
        <w:t>明</w:t>
      </w:r>
      <w:r>
        <w:rPr>
          <w:rFonts w:ascii="微软雅黑" w:hAnsi="微软雅黑" w:eastAsia="微软雅黑" w:cstheme="minorBidi"/>
          <w:kern w:val="0"/>
          <w:sz w:val="24"/>
          <w:szCs w:val="24"/>
          <w:lang w:val="en-US" w:eastAsia="zh-CN" w:bidi="ar-SA"/>
        </w:rPr>
        <w:t>需</w:t>
      </w:r>
      <w:r>
        <w:rPr>
          <w:rFonts w:ascii="微软雅黑" w:hAnsi="微软雅黑" w:eastAsia="微软雅黑" w:cstheme="minorBidi"/>
          <w:spacing w:val="-3"/>
          <w:kern w:val="0"/>
          <w:sz w:val="24"/>
          <w:szCs w:val="24"/>
          <w:lang w:val="en-US" w:eastAsia="zh-CN" w:bidi="ar-SA"/>
        </w:rPr>
        <w:t>由</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kern w:val="0"/>
          <w:sz w:val="24"/>
          <w:szCs w:val="24"/>
          <w:lang w:val="en-US" w:eastAsia="zh-CN" w:bidi="ar-SA"/>
        </w:rPr>
        <w:t>加</w:t>
      </w:r>
      <w:r>
        <w:rPr>
          <w:rFonts w:ascii="微软雅黑" w:hAnsi="微软雅黑" w:eastAsia="微软雅黑" w:cstheme="minorBidi"/>
          <w:spacing w:val="-3"/>
          <w:kern w:val="0"/>
          <w:sz w:val="24"/>
          <w:szCs w:val="24"/>
          <w:lang w:val="en-US" w:eastAsia="zh-CN" w:bidi="ar-SA"/>
        </w:rPr>
        <w:t>盖</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tabs>
          <w:tab w:val="left" w:pos="142"/>
        </w:tabs>
        <w:ind w:right="11"/>
        <w:rPr>
          <w:rFonts w:ascii="微软雅黑" w:hAnsi="微软雅黑" w:eastAsia="微软雅黑"/>
          <w:sz w:val="24"/>
          <w:szCs w:val="24"/>
        </w:rPr>
      </w:pPr>
    </w:p>
    <w:p>
      <w:pPr>
        <w:tabs>
          <w:tab w:val="left" w:pos="142"/>
        </w:tabs>
        <w:ind w:right="11"/>
        <w:rPr>
          <w:rFonts w:ascii="微软雅黑" w:hAnsi="微软雅黑" w:eastAsia="微软雅黑"/>
          <w:sz w:val="24"/>
          <w:szCs w:val="24"/>
        </w:rPr>
      </w:pPr>
    </w:p>
    <w:p>
      <w:pPr>
        <w:tabs>
          <w:tab w:val="left" w:pos="142"/>
        </w:tabs>
        <w:ind w:right="11"/>
        <w:rPr>
          <w:rFonts w:ascii="微软雅黑" w:hAnsi="微软雅黑" w:eastAsia="微软雅黑"/>
          <w:sz w:val="24"/>
          <w:szCs w:val="24"/>
        </w:rPr>
      </w:pPr>
    </w:p>
    <w:p>
      <w:pPr>
        <w:widowControl w:val="0"/>
        <w:tabs>
          <w:tab w:val="left" w:pos="142"/>
          <w:tab w:val="left" w:pos="6521"/>
        </w:tabs>
        <w:spacing w:before="36" w:after="120" w:afterLines="50"/>
        <w:ind w:left="780" w:right="11" w:firstLine="468"/>
        <w:jc w:val="right"/>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spacing w:val="-3"/>
          <w:kern w:val="0"/>
          <w:sz w:val="24"/>
          <w:szCs w:val="24"/>
          <w:lang w:val="en-US" w:eastAsia="zh-CN" w:bidi="ar-SA"/>
        </w:rPr>
        <w:t>应答人</w:t>
      </w:r>
      <w:r>
        <w:rPr>
          <w:rFonts w:ascii="微软雅黑" w:hAnsi="微软雅黑" w:eastAsia="微软雅黑" w:cstheme="minorBidi"/>
          <w:spacing w:val="-1"/>
          <w:kern w:val="0"/>
          <w:sz w:val="24"/>
          <w:szCs w:val="24"/>
          <w:lang w:val="en-US" w:eastAsia="zh-CN" w:bidi="ar-SA"/>
        </w:rPr>
        <w:t>：</w:t>
      </w:r>
      <w:r>
        <w:rPr>
          <w:rFonts w:hint="eastAsia" w:ascii="微软雅黑" w:hAnsi="微软雅黑" w:eastAsia="微软雅黑" w:cstheme="minorBidi"/>
          <w:spacing w:val="-1"/>
          <w:kern w:val="0"/>
          <w:sz w:val="24"/>
          <w:szCs w:val="24"/>
          <w:u w:val="single"/>
          <w:lang w:val="en-US" w:eastAsia="zh-CN" w:bidi="ar-SA"/>
        </w:rPr>
        <w:t xml:space="preserve">                   </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widowControl w:val="0"/>
        <w:tabs>
          <w:tab w:val="left" w:pos="142"/>
          <w:tab w:val="left" w:pos="5352"/>
          <w:tab w:val="left" w:pos="6192"/>
          <w:tab w:val="left" w:pos="7032"/>
        </w:tabs>
        <w:spacing w:before="36" w:after="120" w:afterLines="50"/>
        <w:ind w:left="780" w:right="11" w:firstLine="1080"/>
        <w:jc w:val="right"/>
      </w:pPr>
      <w:r>
        <w:rPr>
          <w:rFonts w:hint="eastAsia" w:ascii="微软雅黑" w:hAnsi="微软雅黑" w:eastAsia="微软雅黑" w:cstheme="minorBidi"/>
          <w:w w:val="225"/>
          <w:kern w:val="0"/>
          <w:sz w:val="24"/>
          <w:szCs w:val="24"/>
          <w:lang w:val="en-US" w:eastAsia="zh-CN" w:bidi="ar-SA"/>
        </w:rPr>
        <w:t>____</w:t>
      </w:r>
      <w:r>
        <w:rPr>
          <w:rFonts w:ascii="微软雅黑" w:hAnsi="微软雅黑" w:eastAsia="微软雅黑" w:cstheme="minorBidi"/>
          <w:kern w:val="0"/>
          <w:sz w:val="24"/>
          <w:szCs w:val="24"/>
          <w:lang w:val="en-US" w:eastAsia="zh-CN" w:bidi="ar-SA"/>
        </w:rPr>
        <w:t>年</w:t>
      </w:r>
      <w:r>
        <w:rPr>
          <w:rFonts w:hint="eastAsia" w:ascii="微软雅黑" w:hAnsi="微软雅黑" w:eastAsia="微软雅黑" w:cstheme="minorBidi"/>
          <w:kern w:val="0"/>
          <w:sz w:val="24"/>
          <w:szCs w:val="24"/>
          <w:lang w:val="en-US" w:eastAsia="zh-CN" w:bidi="ar-SA"/>
        </w:rPr>
        <w:t>_______</w:t>
      </w:r>
      <w:r>
        <w:rPr>
          <w:rFonts w:ascii="微软雅黑" w:hAnsi="微软雅黑" w:eastAsia="微软雅黑" w:cstheme="minorBidi"/>
          <w:kern w:val="0"/>
          <w:sz w:val="24"/>
          <w:szCs w:val="24"/>
          <w:lang w:val="en-US" w:eastAsia="zh-CN" w:bidi="ar-SA"/>
        </w:rPr>
        <w:t>月</w:t>
      </w:r>
      <w:r>
        <w:rPr>
          <w:rFonts w:hint="eastAsia" w:ascii="微软雅黑" w:hAnsi="微软雅黑" w:eastAsia="微软雅黑" w:cstheme="minorBidi"/>
          <w:kern w:val="0"/>
          <w:sz w:val="24"/>
          <w:szCs w:val="24"/>
          <w:lang w:val="en-US" w:eastAsia="zh-CN" w:bidi="ar-SA"/>
        </w:rPr>
        <w:t>______</w:t>
      </w:r>
      <w:r>
        <w:rPr>
          <w:rFonts w:ascii="微软雅黑" w:hAnsi="微软雅黑" w:eastAsia="微软雅黑" w:cstheme="minorBidi"/>
          <w:kern w:val="0"/>
          <w:sz w:val="24"/>
          <w:szCs w:val="24"/>
          <w:lang w:val="en-US" w:eastAsia="zh-CN" w:bidi="ar-SA"/>
        </w:rPr>
        <w:t>日</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黑体" w:hAnsi="黑体" w:eastAsia="黑体"/>
          <w:b/>
          <w:bCs/>
          <w:sz w:val="24"/>
          <w:szCs w:val="24"/>
          <w:lang w:val="en-US" w:eastAsia="zh-CN"/>
        </w:rPr>
      </w:pPr>
      <w:r>
        <w:rPr>
          <w:rFonts w:hint="eastAsia" w:ascii="黑体" w:hAnsi="黑体" w:eastAsia="黑体"/>
          <w:b/>
          <w:bCs/>
          <w:sz w:val="24"/>
          <w:szCs w:val="24"/>
          <w:lang w:val="en-US" w:eastAsia="zh-CN"/>
        </w:rPr>
        <w:t>5.3：授权委托书</w:t>
      </w:r>
    </w:p>
    <w:p>
      <w:pPr>
        <w:pStyle w:val="21"/>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lang w:eastAsia="zh-CN"/>
        </w:rPr>
      </w:pPr>
    </w:p>
    <w:p>
      <w:pPr>
        <w:pStyle w:val="21"/>
        <w:keepNext w:val="0"/>
        <w:keepLines w:val="0"/>
        <w:pageBreakBefore w:val="0"/>
        <w:widowControl w:val="0"/>
        <w:tabs>
          <w:tab w:val="left" w:pos="142"/>
        </w:tabs>
        <w:kinsoku/>
        <w:overflowPunct/>
        <w:topLinePunct w:val="0"/>
        <w:autoSpaceDE/>
        <w:autoSpaceDN/>
        <w:bidi w:val="0"/>
        <w:adjustRightInd/>
        <w:snapToGrid/>
        <w:spacing w:before="120" w:beforeLines="50" w:after="120" w:afterLines="50"/>
        <w:ind w:right="10"/>
        <w:jc w:val="center"/>
        <w:textAlignment w:val="auto"/>
        <w:outlineLvl w:val="9"/>
        <w:rPr>
          <w:rFonts w:ascii="微软雅黑" w:hAnsi="微软雅黑" w:eastAsia="微软雅黑"/>
          <w:b/>
          <w:spacing w:val="2"/>
          <w:lang w:eastAsia="zh-CN"/>
        </w:rPr>
      </w:pPr>
      <w:r>
        <w:rPr>
          <w:rFonts w:ascii="微软雅黑" w:hAnsi="微软雅黑" w:eastAsia="微软雅黑"/>
          <w:b/>
          <w:spacing w:val="2"/>
          <w:lang w:eastAsia="zh-CN"/>
        </w:rPr>
        <w:t>授权委托书</w:t>
      </w:r>
    </w:p>
    <w:p>
      <w:pPr>
        <w:keepNext w:val="0"/>
        <w:keepLines w:val="0"/>
        <w:pageBreakBefore w:val="0"/>
        <w:widowControl w:val="0"/>
        <w:tabs>
          <w:tab w:val="left" w:pos="142"/>
          <w:tab w:val="left" w:pos="2421"/>
          <w:tab w:val="left" w:pos="5585"/>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本人</w:t>
      </w:r>
      <w:r>
        <w:rPr>
          <w:rFonts w:ascii="微软雅黑" w:hAnsi="微软雅黑" w:eastAsia="微软雅黑" w:cstheme="minorBidi"/>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姓</w:t>
      </w:r>
      <w:r>
        <w:rPr>
          <w:rFonts w:ascii="微软雅黑" w:hAnsi="微软雅黑" w:eastAsia="微软雅黑" w:cstheme="minorBidi"/>
          <w:kern w:val="0"/>
          <w:sz w:val="24"/>
          <w:szCs w:val="24"/>
          <w:lang w:val="en-US" w:eastAsia="zh-CN" w:bidi="ar-SA"/>
        </w:rPr>
        <w:t>名）</w:t>
      </w:r>
      <w:r>
        <w:rPr>
          <w:rFonts w:ascii="微软雅黑" w:hAnsi="微软雅黑" w:eastAsia="微软雅黑" w:cstheme="minorBidi"/>
          <w:spacing w:val="-1"/>
          <w:kern w:val="0"/>
          <w:sz w:val="24"/>
          <w:szCs w:val="24"/>
          <w:lang w:val="en-US" w:eastAsia="zh-CN" w:bidi="ar-SA"/>
        </w:rPr>
        <w:t>系</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名</w:t>
      </w:r>
      <w:r>
        <w:rPr>
          <w:rFonts w:ascii="微软雅黑" w:hAnsi="微软雅黑" w:eastAsia="微软雅黑" w:cstheme="minorBidi"/>
          <w:kern w:val="0"/>
          <w:sz w:val="24"/>
          <w:szCs w:val="24"/>
          <w:lang w:val="en-US" w:eastAsia="zh-CN" w:bidi="ar-SA"/>
        </w:rPr>
        <w:t>称）的</w:t>
      </w:r>
      <w:r>
        <w:rPr>
          <w:rFonts w:ascii="微软雅黑" w:hAnsi="微软雅黑" w:eastAsia="微软雅黑" w:cstheme="minorBidi"/>
          <w:spacing w:val="-3"/>
          <w:kern w:val="0"/>
          <w:sz w:val="24"/>
          <w:szCs w:val="24"/>
          <w:lang w:val="en-US" w:eastAsia="zh-CN" w:bidi="ar-SA"/>
        </w:rPr>
        <w:t>法定</w:t>
      </w:r>
      <w:r>
        <w:rPr>
          <w:rFonts w:ascii="微软雅黑" w:hAnsi="微软雅黑" w:eastAsia="微软雅黑" w:cstheme="minorBidi"/>
          <w:kern w:val="0"/>
          <w:sz w:val="24"/>
          <w:szCs w:val="24"/>
          <w:lang w:val="en-US" w:eastAsia="zh-CN" w:bidi="ar-SA"/>
        </w:rPr>
        <w:t>代表人</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单位负责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4"/>
          <w:kern w:val="0"/>
          <w:sz w:val="24"/>
          <w:szCs w:val="24"/>
          <w:lang w:val="en-US" w:eastAsia="zh-CN" w:bidi="ar-SA"/>
        </w:rPr>
        <w:t>）</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现</w:t>
      </w:r>
      <w:r>
        <w:rPr>
          <w:rFonts w:ascii="微软雅黑" w:hAnsi="微软雅黑" w:eastAsia="微软雅黑" w:cstheme="minorBidi"/>
          <w:kern w:val="0"/>
          <w:sz w:val="24"/>
          <w:szCs w:val="24"/>
          <w:lang w:val="en-US" w:eastAsia="zh-CN" w:bidi="ar-SA"/>
        </w:rPr>
        <w:t>委</w:t>
      </w:r>
      <w:r>
        <w:rPr>
          <w:rFonts w:ascii="微软雅黑" w:hAnsi="微软雅黑" w:eastAsia="微软雅黑" w:cstheme="minorBidi"/>
          <w:spacing w:val="-1"/>
          <w:kern w:val="0"/>
          <w:sz w:val="24"/>
          <w:szCs w:val="24"/>
          <w:lang w:val="en-US" w:eastAsia="zh-CN" w:bidi="ar-SA"/>
        </w:rPr>
        <w:t>托</w:t>
      </w:r>
      <w:r>
        <w:rPr>
          <w:rFonts w:ascii="微软雅黑" w:hAnsi="微软雅黑" w:eastAsia="微软雅黑" w:cstheme="minorBidi"/>
          <w:spacing w:val="-1"/>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（姓名）为我</w:t>
      </w:r>
      <w:r>
        <w:rPr>
          <w:rFonts w:ascii="微软雅黑" w:hAnsi="微软雅黑" w:eastAsia="微软雅黑" w:cstheme="minorBidi"/>
          <w:spacing w:val="-3"/>
          <w:kern w:val="0"/>
          <w:sz w:val="24"/>
          <w:szCs w:val="24"/>
          <w:lang w:val="en-US" w:eastAsia="zh-CN" w:bidi="ar-SA"/>
        </w:rPr>
        <w:t>方代</w:t>
      </w:r>
      <w:r>
        <w:rPr>
          <w:rFonts w:ascii="微软雅黑" w:hAnsi="微软雅黑" w:eastAsia="微软雅黑" w:cstheme="minorBidi"/>
          <w:kern w:val="0"/>
          <w:sz w:val="24"/>
          <w:szCs w:val="24"/>
          <w:lang w:val="en-US" w:eastAsia="zh-CN" w:bidi="ar-SA"/>
        </w:rPr>
        <w:t>理人。代理</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根据授</w:t>
      </w:r>
      <w:r>
        <w:rPr>
          <w:rFonts w:ascii="微软雅黑" w:hAnsi="微软雅黑" w:eastAsia="微软雅黑" w:cstheme="minorBidi"/>
          <w:spacing w:val="-3"/>
          <w:kern w:val="0"/>
          <w:sz w:val="24"/>
          <w:szCs w:val="24"/>
          <w:lang w:val="en-US" w:eastAsia="zh-CN" w:bidi="ar-SA"/>
        </w:rPr>
        <w:t>权，</w:t>
      </w:r>
      <w:r>
        <w:rPr>
          <w:rFonts w:ascii="微软雅黑" w:hAnsi="微软雅黑" w:eastAsia="微软雅黑" w:cstheme="minorBidi"/>
          <w:kern w:val="0"/>
          <w:sz w:val="24"/>
          <w:szCs w:val="24"/>
          <w:lang w:val="en-US" w:eastAsia="zh-CN" w:bidi="ar-SA"/>
        </w:rPr>
        <w:t>以我方名义</w:t>
      </w:r>
      <w:r>
        <w:rPr>
          <w:rFonts w:ascii="微软雅黑" w:hAnsi="微软雅黑" w:eastAsia="微软雅黑" w:cstheme="minorBidi"/>
          <w:spacing w:val="-3"/>
          <w:kern w:val="0"/>
          <w:sz w:val="24"/>
          <w:szCs w:val="24"/>
          <w:lang w:val="en-US" w:eastAsia="zh-CN" w:bidi="ar-SA"/>
        </w:rPr>
        <w:t>签</w:t>
      </w:r>
      <w:r>
        <w:rPr>
          <w:rFonts w:ascii="微软雅黑" w:hAnsi="微软雅黑" w:eastAsia="微软雅黑" w:cstheme="minorBidi"/>
          <w:kern w:val="0"/>
          <w:sz w:val="24"/>
          <w:szCs w:val="24"/>
          <w:lang w:val="en-US" w:eastAsia="zh-CN" w:bidi="ar-SA"/>
        </w:rPr>
        <w:t>署、澄清</w:t>
      </w:r>
      <w:r>
        <w:rPr>
          <w:rFonts w:hint="eastAsia" w:ascii="微软雅黑" w:hAnsi="微软雅黑" w:eastAsia="微软雅黑" w:cstheme="minorBidi"/>
          <w:kern w:val="0"/>
          <w:sz w:val="24"/>
          <w:szCs w:val="24"/>
          <w:lang w:val="en-US" w:eastAsia="zh-CN" w:bidi="ar-SA"/>
        </w:rPr>
        <w:t>、</w:t>
      </w:r>
      <w:r>
        <w:rPr>
          <w:rFonts w:ascii="微软雅黑" w:hAnsi="微软雅黑" w:eastAsia="微软雅黑" w:cstheme="minorBidi"/>
          <w:kern w:val="0"/>
          <w:sz w:val="24"/>
          <w:szCs w:val="24"/>
          <w:lang w:val="en-US" w:eastAsia="zh-CN" w:bidi="ar-SA"/>
        </w:rPr>
        <w:t>确认、递交</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撤回</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kern w:val="0"/>
          <w:sz w:val="24"/>
          <w:szCs w:val="24"/>
          <w:lang w:val="en-US" w:eastAsia="zh-CN" w:bidi="ar-SA"/>
        </w:rPr>
        <w:t>修改</w:t>
      </w:r>
      <w:r>
        <w:rPr>
          <w:rFonts w:hint="eastAsia" w:ascii="微软雅黑" w:hAnsi="微软雅黑" w:eastAsia="微软雅黑" w:cstheme="minorBidi"/>
          <w:kern w:val="0"/>
          <w:sz w:val="24"/>
          <w:szCs w:val="24"/>
          <w:lang w:val="en-US" w:eastAsia="zh-CN" w:bidi="ar-SA"/>
        </w:rPr>
        <w:t>服务</w:t>
      </w:r>
      <w:r>
        <w:rPr>
          <w:rFonts w:ascii="微软雅黑" w:hAnsi="微软雅黑" w:eastAsia="微软雅黑" w:cstheme="minorBidi"/>
          <w:kern w:val="0"/>
          <w:sz w:val="24"/>
          <w:szCs w:val="24"/>
          <w:lang w:val="en-US" w:eastAsia="zh-CN" w:bidi="ar-SA"/>
        </w:rPr>
        <w:t>采购询价项目</w:t>
      </w:r>
      <w:r>
        <w:rPr>
          <w:rFonts w:hint="eastAsia" w:ascii="微软雅黑" w:hAnsi="微软雅黑" w:eastAsia="微软雅黑" w:cstheme="minorBidi"/>
          <w:kern w:val="0"/>
          <w:sz w:val="24"/>
          <w:szCs w:val="24"/>
          <w:lang w:val="en-US" w:eastAsia="zh-CN" w:bidi="ar-SA"/>
        </w:rPr>
        <w:t>报价</w:t>
      </w:r>
      <w:r>
        <w:rPr>
          <w:rFonts w:ascii="微软雅黑" w:hAnsi="微软雅黑" w:eastAsia="微软雅黑" w:cstheme="minorBidi"/>
          <w:kern w:val="0"/>
          <w:sz w:val="24"/>
          <w:szCs w:val="24"/>
          <w:lang w:val="en-US" w:eastAsia="zh-CN" w:bidi="ar-SA"/>
        </w:rPr>
        <w:t>文件、签订合</w:t>
      </w:r>
      <w:r>
        <w:rPr>
          <w:rFonts w:ascii="微软雅黑" w:hAnsi="微软雅黑" w:eastAsia="微软雅黑" w:cstheme="minorBidi"/>
          <w:spacing w:val="-3"/>
          <w:kern w:val="0"/>
          <w:sz w:val="24"/>
          <w:szCs w:val="24"/>
          <w:lang w:val="en-US" w:eastAsia="zh-CN" w:bidi="ar-SA"/>
        </w:rPr>
        <w:t>同</w:t>
      </w:r>
      <w:r>
        <w:rPr>
          <w:rFonts w:ascii="微软雅黑" w:hAnsi="微软雅黑" w:eastAsia="微软雅黑" w:cstheme="minorBidi"/>
          <w:kern w:val="0"/>
          <w:sz w:val="24"/>
          <w:szCs w:val="24"/>
          <w:lang w:val="en-US" w:eastAsia="zh-CN" w:bidi="ar-SA"/>
        </w:rPr>
        <w:t>和处</w:t>
      </w:r>
      <w:r>
        <w:rPr>
          <w:rFonts w:ascii="微软雅黑" w:hAnsi="微软雅黑" w:eastAsia="微软雅黑" w:cstheme="minorBidi"/>
          <w:spacing w:val="-3"/>
          <w:kern w:val="0"/>
          <w:sz w:val="24"/>
          <w:szCs w:val="24"/>
          <w:lang w:val="en-US" w:eastAsia="zh-CN" w:bidi="ar-SA"/>
        </w:rPr>
        <w:t>理</w:t>
      </w:r>
      <w:r>
        <w:rPr>
          <w:rFonts w:ascii="微软雅黑" w:hAnsi="微软雅黑" w:eastAsia="微软雅黑" w:cstheme="minorBidi"/>
          <w:kern w:val="0"/>
          <w:sz w:val="24"/>
          <w:szCs w:val="24"/>
          <w:lang w:val="en-US" w:eastAsia="zh-CN" w:bidi="ar-SA"/>
        </w:rPr>
        <w:t>有关事宜，其</w:t>
      </w:r>
      <w:r>
        <w:rPr>
          <w:rFonts w:ascii="微软雅黑" w:hAnsi="微软雅黑" w:eastAsia="微软雅黑" w:cstheme="minorBidi"/>
          <w:spacing w:val="-3"/>
          <w:kern w:val="0"/>
          <w:sz w:val="24"/>
          <w:szCs w:val="24"/>
          <w:lang w:val="en-US" w:eastAsia="zh-CN" w:bidi="ar-SA"/>
        </w:rPr>
        <w:t>法</w:t>
      </w:r>
      <w:r>
        <w:rPr>
          <w:rFonts w:ascii="微软雅黑" w:hAnsi="微软雅黑" w:eastAsia="微软雅黑" w:cstheme="minorBidi"/>
          <w:kern w:val="0"/>
          <w:sz w:val="24"/>
          <w:szCs w:val="24"/>
          <w:lang w:val="en-US" w:eastAsia="zh-CN" w:bidi="ar-SA"/>
        </w:rPr>
        <w:t>律后果</w:t>
      </w:r>
      <w:r>
        <w:rPr>
          <w:rFonts w:ascii="微软雅黑" w:hAnsi="微软雅黑" w:eastAsia="微软雅黑" w:cstheme="minorBidi"/>
          <w:spacing w:val="-3"/>
          <w:kern w:val="0"/>
          <w:sz w:val="24"/>
          <w:szCs w:val="24"/>
          <w:lang w:val="en-US" w:eastAsia="zh-CN" w:bidi="ar-SA"/>
        </w:rPr>
        <w:t>由</w:t>
      </w:r>
      <w:r>
        <w:rPr>
          <w:rFonts w:ascii="微软雅黑" w:hAnsi="微软雅黑" w:eastAsia="微软雅黑" w:cstheme="minorBidi"/>
          <w:kern w:val="0"/>
          <w:sz w:val="24"/>
          <w:szCs w:val="24"/>
          <w:lang w:val="en-US" w:eastAsia="zh-CN" w:bidi="ar-SA"/>
        </w:rPr>
        <w:t>我</w:t>
      </w:r>
      <w:r>
        <w:rPr>
          <w:rFonts w:ascii="微软雅黑" w:hAnsi="微软雅黑" w:eastAsia="微软雅黑" w:cstheme="minorBidi"/>
          <w:spacing w:val="-3"/>
          <w:kern w:val="0"/>
          <w:sz w:val="24"/>
          <w:szCs w:val="24"/>
          <w:lang w:val="en-US" w:eastAsia="zh-CN" w:bidi="ar-SA"/>
        </w:rPr>
        <w:t>方</w:t>
      </w:r>
      <w:r>
        <w:rPr>
          <w:rFonts w:ascii="微软雅黑" w:hAnsi="微软雅黑" w:eastAsia="微软雅黑" w:cstheme="minorBidi"/>
          <w:kern w:val="0"/>
          <w:sz w:val="24"/>
          <w:szCs w:val="24"/>
          <w:lang w:val="en-US" w:eastAsia="zh-CN" w:bidi="ar-SA"/>
        </w:rPr>
        <w:t>承</w:t>
      </w:r>
      <w:r>
        <w:rPr>
          <w:rFonts w:ascii="微软雅黑" w:hAnsi="微软雅黑" w:eastAsia="微软雅黑" w:cstheme="minorBidi"/>
          <w:spacing w:val="-3"/>
          <w:kern w:val="0"/>
          <w:sz w:val="24"/>
          <w:szCs w:val="24"/>
          <w:lang w:val="en-US" w:eastAsia="zh-CN" w:bidi="ar-SA"/>
        </w:rPr>
        <w:t>担</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 w:val="left" w:pos="3566"/>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委托</w:t>
      </w:r>
      <w:r>
        <w:rPr>
          <w:rFonts w:ascii="微软雅黑" w:hAnsi="微软雅黑" w:eastAsia="微软雅黑" w:cstheme="minorBidi"/>
          <w:spacing w:val="-3"/>
          <w:kern w:val="0"/>
          <w:sz w:val="24"/>
          <w:szCs w:val="24"/>
          <w:lang w:val="en-US" w:eastAsia="zh-CN" w:bidi="ar-SA"/>
        </w:rPr>
        <w:t>期</w:t>
      </w:r>
      <w:r>
        <w:rPr>
          <w:rFonts w:ascii="微软雅黑" w:hAnsi="微软雅黑" w:eastAsia="微软雅黑" w:cstheme="minorBidi"/>
          <w:kern w:val="0"/>
          <w:sz w:val="24"/>
          <w:szCs w:val="24"/>
          <w:lang w:val="en-US" w:eastAsia="zh-CN" w:bidi="ar-SA"/>
        </w:rPr>
        <w:t>限</w:t>
      </w:r>
      <w:r>
        <w:rPr>
          <w:rFonts w:ascii="微软雅黑" w:hAnsi="微软雅黑" w:eastAsia="微软雅黑" w:cstheme="minorBidi"/>
          <w:spacing w:val="-3"/>
          <w:kern w:val="0"/>
          <w:sz w:val="24"/>
          <w:szCs w:val="24"/>
          <w:lang w:val="en-US" w:eastAsia="zh-CN" w:bidi="ar-SA"/>
        </w:rPr>
        <w:t>：</w:t>
      </w:r>
      <w:r>
        <w:rPr>
          <w:rFonts w:ascii="微软雅黑" w:hAnsi="微软雅黑" w:eastAsia="微软雅黑" w:cstheme="minorBidi"/>
          <w:spacing w:val="-3"/>
          <w:kern w:val="0"/>
          <w:sz w:val="24"/>
          <w:szCs w:val="24"/>
          <w:u w:val="single" w:color="000000"/>
          <w:lang w:val="en-US" w:eastAsia="zh-CN" w:bidi="ar-SA"/>
        </w:rPr>
        <w:tab/>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代理</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无</w:t>
      </w:r>
      <w:r>
        <w:rPr>
          <w:rFonts w:ascii="微软雅黑" w:hAnsi="微软雅黑" w:eastAsia="微软雅黑" w:cstheme="minorBidi"/>
          <w:spacing w:val="-3"/>
          <w:kern w:val="0"/>
          <w:sz w:val="24"/>
          <w:szCs w:val="24"/>
          <w:lang w:val="en-US" w:eastAsia="zh-CN" w:bidi="ar-SA"/>
        </w:rPr>
        <w:t>转</w:t>
      </w:r>
      <w:r>
        <w:rPr>
          <w:rFonts w:ascii="微软雅黑" w:hAnsi="微软雅黑" w:eastAsia="微软雅黑" w:cstheme="minorBidi"/>
          <w:kern w:val="0"/>
          <w:sz w:val="24"/>
          <w:szCs w:val="24"/>
          <w:lang w:val="en-US" w:eastAsia="zh-CN" w:bidi="ar-SA"/>
        </w:rPr>
        <w:t>委</w:t>
      </w:r>
      <w:r>
        <w:rPr>
          <w:rFonts w:ascii="微软雅黑" w:hAnsi="微软雅黑" w:eastAsia="微软雅黑" w:cstheme="minorBidi"/>
          <w:spacing w:val="-3"/>
          <w:kern w:val="0"/>
          <w:sz w:val="24"/>
          <w:szCs w:val="24"/>
          <w:lang w:val="en-US" w:eastAsia="zh-CN" w:bidi="ar-SA"/>
        </w:rPr>
        <w:t>托</w:t>
      </w:r>
      <w:r>
        <w:rPr>
          <w:rFonts w:ascii="微软雅黑" w:hAnsi="微软雅黑" w:eastAsia="微软雅黑" w:cstheme="minorBidi"/>
          <w:kern w:val="0"/>
          <w:sz w:val="24"/>
          <w:szCs w:val="24"/>
          <w:lang w:val="en-US" w:eastAsia="zh-CN" w:bidi="ar-SA"/>
        </w:rPr>
        <w:t xml:space="preserve">权。 </w:t>
      </w:r>
    </w:p>
    <w:p>
      <w:pPr>
        <w:keepNext w:val="0"/>
        <w:keepLines w:val="0"/>
        <w:pageBreakBefore w:val="0"/>
        <w:widowControl w:val="0"/>
        <w:tabs>
          <w:tab w:val="left" w:pos="142"/>
        </w:tabs>
        <w:kinsoku/>
        <w:overflowPunct/>
        <w:topLinePunct w:val="0"/>
        <w:autoSpaceDE/>
        <w:autoSpaceDN/>
        <w:bidi w:val="0"/>
        <w:adjustRightInd/>
        <w:snapToGrid/>
        <w:spacing w:before="36"/>
        <w:ind w:left="0" w:right="11" w:firstLine="480" w:firstLineChars="200"/>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附：</w:t>
      </w:r>
      <w:r>
        <w:rPr>
          <w:rFonts w:ascii="微软雅黑" w:hAnsi="微软雅黑" w:eastAsia="微软雅黑" w:cstheme="minorBidi"/>
          <w:spacing w:val="-3"/>
          <w:kern w:val="0"/>
          <w:sz w:val="24"/>
          <w:szCs w:val="24"/>
          <w:highlight w:val="none"/>
          <w:lang w:val="en-US" w:eastAsia="zh-CN" w:bidi="ar-SA"/>
        </w:rPr>
        <w:t>法</w:t>
      </w:r>
      <w:r>
        <w:rPr>
          <w:rFonts w:ascii="微软雅黑" w:hAnsi="微软雅黑" w:eastAsia="微软雅黑" w:cstheme="minorBidi"/>
          <w:kern w:val="0"/>
          <w:sz w:val="24"/>
          <w:szCs w:val="24"/>
          <w:highlight w:val="none"/>
          <w:lang w:val="en-US" w:eastAsia="zh-CN" w:bidi="ar-SA"/>
        </w:rPr>
        <w:t>定</w:t>
      </w:r>
      <w:r>
        <w:rPr>
          <w:rFonts w:ascii="微软雅黑" w:hAnsi="微软雅黑" w:eastAsia="微软雅黑" w:cstheme="minorBidi"/>
          <w:spacing w:val="-3"/>
          <w:kern w:val="0"/>
          <w:sz w:val="24"/>
          <w:szCs w:val="24"/>
          <w:highlight w:val="none"/>
          <w:lang w:val="en-US" w:eastAsia="zh-CN" w:bidi="ar-SA"/>
        </w:rPr>
        <w:t>代</w:t>
      </w:r>
      <w:r>
        <w:rPr>
          <w:rFonts w:ascii="微软雅黑" w:hAnsi="微软雅黑" w:eastAsia="微软雅黑" w:cstheme="minorBidi"/>
          <w:kern w:val="0"/>
          <w:sz w:val="24"/>
          <w:szCs w:val="24"/>
          <w:highlight w:val="none"/>
          <w:lang w:val="en-US" w:eastAsia="zh-CN" w:bidi="ar-SA"/>
        </w:rPr>
        <w:t>表</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w:t>
      </w:r>
      <w:r>
        <w:rPr>
          <w:rFonts w:ascii="微软雅黑" w:hAnsi="微软雅黑" w:eastAsia="微软雅黑" w:cstheme="minorBidi"/>
          <w:spacing w:val="-3"/>
          <w:kern w:val="0"/>
          <w:sz w:val="24"/>
          <w:szCs w:val="24"/>
          <w:highlight w:val="none"/>
          <w:lang w:val="en-US" w:eastAsia="zh-CN" w:bidi="ar-SA"/>
        </w:rPr>
        <w:t>单</w:t>
      </w:r>
      <w:r>
        <w:rPr>
          <w:rFonts w:ascii="微软雅黑" w:hAnsi="微软雅黑" w:eastAsia="微软雅黑" w:cstheme="minorBidi"/>
          <w:kern w:val="0"/>
          <w:sz w:val="24"/>
          <w:szCs w:val="24"/>
          <w:highlight w:val="none"/>
          <w:lang w:val="en-US" w:eastAsia="zh-CN" w:bidi="ar-SA"/>
        </w:rPr>
        <w:t>位</w:t>
      </w:r>
      <w:r>
        <w:rPr>
          <w:rFonts w:ascii="微软雅黑" w:hAnsi="微软雅黑" w:eastAsia="微软雅黑" w:cstheme="minorBidi"/>
          <w:spacing w:val="-3"/>
          <w:kern w:val="0"/>
          <w:sz w:val="24"/>
          <w:szCs w:val="24"/>
          <w:highlight w:val="none"/>
          <w:lang w:val="en-US" w:eastAsia="zh-CN" w:bidi="ar-SA"/>
        </w:rPr>
        <w:t>负</w:t>
      </w:r>
      <w:r>
        <w:rPr>
          <w:rFonts w:ascii="微软雅黑" w:hAnsi="微软雅黑" w:eastAsia="微软雅黑" w:cstheme="minorBidi"/>
          <w:kern w:val="0"/>
          <w:sz w:val="24"/>
          <w:szCs w:val="24"/>
          <w:highlight w:val="none"/>
          <w:lang w:val="en-US" w:eastAsia="zh-CN" w:bidi="ar-SA"/>
        </w:rPr>
        <w:t>责人</w:t>
      </w:r>
      <w:r>
        <w:rPr>
          <w:rFonts w:ascii="微软雅黑" w:hAnsi="微软雅黑" w:eastAsia="微软雅黑" w:cstheme="minorBidi"/>
          <w:spacing w:val="-3"/>
          <w:kern w:val="0"/>
          <w:sz w:val="24"/>
          <w:szCs w:val="24"/>
          <w:highlight w:val="none"/>
          <w:lang w:val="en-US" w:eastAsia="zh-CN" w:bidi="ar-SA"/>
        </w:rPr>
        <w:t>）</w:t>
      </w:r>
      <w:r>
        <w:rPr>
          <w:rFonts w:ascii="微软雅黑" w:hAnsi="微软雅黑" w:eastAsia="微软雅黑" w:cstheme="minorBidi"/>
          <w:kern w:val="0"/>
          <w:sz w:val="24"/>
          <w:szCs w:val="24"/>
          <w:highlight w:val="none"/>
          <w:lang w:val="en-US" w:eastAsia="zh-CN" w:bidi="ar-SA"/>
        </w:rPr>
        <w:t>身</w:t>
      </w:r>
      <w:r>
        <w:rPr>
          <w:rFonts w:ascii="微软雅黑" w:hAnsi="微软雅黑" w:eastAsia="微软雅黑" w:cstheme="minorBidi"/>
          <w:spacing w:val="-3"/>
          <w:kern w:val="0"/>
          <w:sz w:val="24"/>
          <w:szCs w:val="24"/>
          <w:highlight w:val="none"/>
          <w:lang w:val="en-US" w:eastAsia="zh-CN" w:bidi="ar-SA"/>
        </w:rPr>
        <w:t>份</w:t>
      </w:r>
      <w:r>
        <w:rPr>
          <w:rFonts w:ascii="微软雅黑" w:hAnsi="微软雅黑" w:eastAsia="微软雅黑" w:cstheme="minorBidi"/>
          <w:kern w:val="0"/>
          <w:sz w:val="24"/>
          <w:szCs w:val="24"/>
          <w:highlight w:val="none"/>
          <w:lang w:val="en-US" w:eastAsia="zh-CN" w:bidi="ar-SA"/>
        </w:rPr>
        <w:t>证</w:t>
      </w:r>
      <w:r>
        <w:rPr>
          <w:rFonts w:ascii="微软雅黑" w:hAnsi="微软雅黑" w:eastAsia="微软雅黑" w:cstheme="minorBidi"/>
          <w:spacing w:val="-3"/>
          <w:kern w:val="0"/>
          <w:sz w:val="24"/>
          <w:szCs w:val="24"/>
          <w:highlight w:val="none"/>
          <w:lang w:val="en-US" w:eastAsia="zh-CN" w:bidi="ar-SA"/>
        </w:rPr>
        <w:t>复</w:t>
      </w:r>
      <w:r>
        <w:rPr>
          <w:rFonts w:ascii="微软雅黑" w:hAnsi="微软雅黑" w:eastAsia="微软雅黑" w:cstheme="minorBidi"/>
          <w:kern w:val="0"/>
          <w:sz w:val="24"/>
          <w:szCs w:val="24"/>
          <w:highlight w:val="none"/>
          <w:lang w:val="en-US" w:eastAsia="zh-CN" w:bidi="ar-SA"/>
        </w:rPr>
        <w:t>印</w:t>
      </w:r>
      <w:r>
        <w:rPr>
          <w:rFonts w:ascii="微软雅黑" w:hAnsi="微软雅黑" w:eastAsia="微软雅黑" w:cstheme="minorBidi"/>
          <w:spacing w:val="-3"/>
          <w:kern w:val="0"/>
          <w:sz w:val="24"/>
          <w:szCs w:val="24"/>
          <w:highlight w:val="none"/>
          <w:lang w:val="en-US" w:eastAsia="zh-CN" w:bidi="ar-SA"/>
        </w:rPr>
        <w:t>件</w:t>
      </w:r>
      <w:r>
        <w:rPr>
          <w:rFonts w:ascii="微软雅黑" w:hAnsi="微软雅黑" w:eastAsia="微软雅黑" w:cstheme="minorBidi"/>
          <w:kern w:val="0"/>
          <w:sz w:val="24"/>
          <w:szCs w:val="24"/>
          <w:highlight w:val="none"/>
          <w:lang w:val="en-US" w:eastAsia="zh-CN" w:bidi="ar-SA"/>
        </w:rPr>
        <w:t>及</w:t>
      </w:r>
      <w:r>
        <w:rPr>
          <w:rFonts w:ascii="微软雅黑" w:hAnsi="微软雅黑" w:eastAsia="微软雅黑" w:cstheme="minorBidi"/>
          <w:spacing w:val="-3"/>
          <w:kern w:val="0"/>
          <w:sz w:val="24"/>
          <w:szCs w:val="24"/>
          <w:highlight w:val="none"/>
          <w:lang w:val="en-US" w:eastAsia="zh-CN" w:bidi="ar-SA"/>
        </w:rPr>
        <w:t>委</w:t>
      </w:r>
      <w:r>
        <w:rPr>
          <w:rFonts w:ascii="微软雅黑" w:hAnsi="微软雅黑" w:eastAsia="微软雅黑" w:cstheme="minorBidi"/>
          <w:kern w:val="0"/>
          <w:sz w:val="24"/>
          <w:szCs w:val="24"/>
          <w:highlight w:val="none"/>
          <w:lang w:val="en-US" w:eastAsia="zh-CN" w:bidi="ar-SA"/>
        </w:rPr>
        <w:t>托代</w:t>
      </w:r>
      <w:r>
        <w:rPr>
          <w:rFonts w:ascii="微软雅黑" w:hAnsi="微软雅黑" w:eastAsia="微软雅黑" w:cstheme="minorBidi"/>
          <w:spacing w:val="-3"/>
          <w:kern w:val="0"/>
          <w:sz w:val="24"/>
          <w:szCs w:val="24"/>
          <w:highlight w:val="none"/>
          <w:lang w:val="en-US" w:eastAsia="zh-CN" w:bidi="ar-SA"/>
        </w:rPr>
        <w:t>理</w:t>
      </w:r>
      <w:r>
        <w:rPr>
          <w:rFonts w:ascii="微软雅黑" w:hAnsi="微软雅黑" w:eastAsia="微软雅黑" w:cstheme="minorBidi"/>
          <w:kern w:val="0"/>
          <w:sz w:val="24"/>
          <w:szCs w:val="24"/>
          <w:highlight w:val="none"/>
          <w:lang w:val="en-US" w:eastAsia="zh-CN" w:bidi="ar-SA"/>
        </w:rPr>
        <w:t>人</w:t>
      </w:r>
      <w:r>
        <w:rPr>
          <w:rFonts w:ascii="微软雅黑" w:hAnsi="微软雅黑" w:eastAsia="微软雅黑" w:cstheme="minorBidi"/>
          <w:spacing w:val="-3"/>
          <w:kern w:val="0"/>
          <w:sz w:val="24"/>
          <w:szCs w:val="24"/>
          <w:highlight w:val="none"/>
          <w:lang w:val="en-US" w:eastAsia="zh-CN" w:bidi="ar-SA"/>
        </w:rPr>
        <w:t>身</w:t>
      </w:r>
      <w:r>
        <w:rPr>
          <w:rFonts w:ascii="微软雅黑" w:hAnsi="微软雅黑" w:eastAsia="微软雅黑" w:cstheme="minorBidi"/>
          <w:kern w:val="0"/>
          <w:sz w:val="24"/>
          <w:szCs w:val="24"/>
          <w:highlight w:val="none"/>
          <w:lang w:val="en-US" w:eastAsia="zh-CN" w:bidi="ar-SA"/>
        </w:rPr>
        <w:t>份</w:t>
      </w:r>
      <w:r>
        <w:rPr>
          <w:rFonts w:ascii="微软雅黑" w:hAnsi="微软雅黑" w:eastAsia="微软雅黑" w:cstheme="minorBidi"/>
          <w:spacing w:val="-3"/>
          <w:kern w:val="0"/>
          <w:sz w:val="24"/>
          <w:szCs w:val="24"/>
          <w:highlight w:val="none"/>
          <w:lang w:val="en-US" w:eastAsia="zh-CN" w:bidi="ar-SA"/>
        </w:rPr>
        <w:t>证</w:t>
      </w:r>
      <w:r>
        <w:rPr>
          <w:rFonts w:ascii="微软雅黑" w:hAnsi="微软雅黑" w:eastAsia="微软雅黑" w:cstheme="minorBidi"/>
          <w:kern w:val="0"/>
          <w:sz w:val="24"/>
          <w:szCs w:val="24"/>
          <w:highlight w:val="none"/>
          <w:lang w:val="en-US" w:eastAsia="zh-CN" w:bidi="ar-SA"/>
        </w:rPr>
        <w:t>复</w:t>
      </w:r>
      <w:r>
        <w:rPr>
          <w:rFonts w:ascii="微软雅黑" w:hAnsi="微软雅黑" w:eastAsia="微软雅黑" w:cstheme="minorBidi"/>
          <w:spacing w:val="-3"/>
          <w:kern w:val="0"/>
          <w:sz w:val="24"/>
          <w:szCs w:val="24"/>
          <w:highlight w:val="none"/>
          <w:lang w:val="en-US" w:eastAsia="zh-CN" w:bidi="ar-SA"/>
        </w:rPr>
        <w:t>印</w:t>
      </w:r>
      <w:r>
        <w:rPr>
          <w:rFonts w:ascii="微软雅黑" w:hAnsi="微软雅黑" w:eastAsia="微软雅黑" w:cstheme="minorBidi"/>
          <w:kern w:val="0"/>
          <w:sz w:val="24"/>
          <w:szCs w:val="24"/>
          <w:highlight w:val="none"/>
          <w:lang w:val="en-US" w:eastAsia="zh-CN" w:bidi="ar-SA"/>
        </w:rPr>
        <w:t>件</w:t>
      </w:r>
    </w:p>
    <w:p>
      <w:pPr>
        <w:keepNext w:val="0"/>
        <w:keepLines w:val="0"/>
        <w:pageBreakBefore w:val="0"/>
        <w:widowControl w:val="0"/>
        <w:tabs>
          <w:tab w:val="left" w:pos="142"/>
        </w:tabs>
        <w:kinsoku/>
        <w:overflowPunct/>
        <w:topLinePunct w:val="0"/>
        <w:autoSpaceDE/>
        <w:autoSpaceDN/>
        <w:bidi w:val="0"/>
        <w:adjustRightInd/>
        <w:snapToGrid/>
        <w:spacing w:before="36"/>
        <w:ind w:left="420" w:leftChars="200" w:right="11"/>
        <w:jc w:val="left"/>
        <w:textAlignment w:val="auto"/>
        <w:outlineLvl w:val="9"/>
        <w:rPr>
          <w:rFonts w:ascii="微软雅黑" w:hAnsi="微软雅黑" w:eastAsia="微软雅黑" w:cstheme="minorBidi"/>
          <w:kern w:val="0"/>
          <w:sz w:val="24"/>
          <w:szCs w:val="24"/>
          <w:highlight w:val="none"/>
          <w:lang w:val="en-US" w:eastAsia="zh-CN" w:bidi="ar-SA"/>
        </w:rPr>
      </w:pPr>
      <w:r>
        <w:rPr>
          <w:rFonts w:ascii="微软雅黑" w:hAnsi="微软雅黑" w:eastAsia="微软雅黑" w:cstheme="minorBidi"/>
          <w:kern w:val="0"/>
          <w:sz w:val="24"/>
          <w:szCs w:val="24"/>
          <w:highlight w:val="none"/>
          <w:lang w:val="en-US" w:eastAsia="zh-CN" w:bidi="ar-SA"/>
        </w:rPr>
        <w:t>注：本授权委托</w:t>
      </w:r>
      <w:r>
        <w:rPr>
          <w:rFonts w:ascii="微软雅黑" w:hAnsi="微软雅黑" w:eastAsia="微软雅黑" w:cstheme="minorBidi"/>
          <w:spacing w:val="-3"/>
          <w:kern w:val="0"/>
          <w:sz w:val="24"/>
          <w:szCs w:val="24"/>
          <w:highlight w:val="none"/>
          <w:lang w:val="en-US" w:eastAsia="zh-CN" w:bidi="ar-SA"/>
        </w:rPr>
        <w:t>书</w:t>
      </w:r>
      <w:r>
        <w:rPr>
          <w:rFonts w:ascii="微软雅黑" w:hAnsi="微软雅黑" w:eastAsia="微软雅黑" w:cstheme="minorBidi"/>
          <w:kern w:val="0"/>
          <w:sz w:val="24"/>
          <w:szCs w:val="24"/>
          <w:highlight w:val="none"/>
          <w:lang w:val="en-US" w:eastAsia="zh-CN" w:bidi="ar-SA"/>
        </w:rPr>
        <w:t>需由</w:t>
      </w:r>
      <w:r>
        <w:rPr>
          <w:rFonts w:hint="eastAsia" w:ascii="微软雅黑" w:hAnsi="微软雅黑" w:eastAsia="微软雅黑" w:cstheme="minorBidi"/>
          <w:spacing w:val="-3"/>
          <w:kern w:val="0"/>
          <w:sz w:val="24"/>
          <w:szCs w:val="24"/>
          <w:highlight w:val="none"/>
          <w:lang w:val="en-US" w:eastAsia="zh-CN" w:bidi="ar-SA"/>
        </w:rPr>
        <w:t>应答人</w:t>
      </w:r>
      <w:r>
        <w:rPr>
          <w:rFonts w:ascii="微软雅黑" w:hAnsi="微软雅黑" w:eastAsia="微软雅黑" w:cstheme="minorBidi"/>
          <w:kern w:val="0"/>
          <w:sz w:val="24"/>
          <w:szCs w:val="24"/>
          <w:highlight w:val="none"/>
          <w:lang w:val="en-US" w:eastAsia="zh-CN" w:bidi="ar-SA"/>
        </w:rPr>
        <w:t>加盖单位公</w:t>
      </w:r>
      <w:r>
        <w:rPr>
          <w:rFonts w:ascii="微软雅黑" w:hAnsi="微软雅黑" w:eastAsia="微软雅黑" w:cstheme="minorBidi"/>
          <w:spacing w:val="-3"/>
          <w:kern w:val="0"/>
          <w:sz w:val="24"/>
          <w:szCs w:val="24"/>
          <w:highlight w:val="none"/>
          <w:lang w:val="en-US" w:eastAsia="zh-CN" w:bidi="ar-SA"/>
        </w:rPr>
        <w:t>章</w:t>
      </w:r>
      <w:r>
        <w:rPr>
          <w:rFonts w:ascii="微软雅黑" w:hAnsi="微软雅黑" w:eastAsia="微软雅黑" w:cstheme="minorBidi"/>
          <w:kern w:val="0"/>
          <w:sz w:val="24"/>
          <w:szCs w:val="24"/>
          <w:highlight w:val="none"/>
          <w:lang w:val="en-US" w:eastAsia="zh-CN" w:bidi="ar-SA"/>
        </w:rPr>
        <w:t>并由</w:t>
      </w:r>
      <w:r>
        <w:rPr>
          <w:rFonts w:ascii="微软雅黑" w:hAnsi="微软雅黑" w:eastAsia="微软雅黑" w:cstheme="minorBidi"/>
          <w:spacing w:val="-3"/>
          <w:kern w:val="0"/>
          <w:sz w:val="24"/>
          <w:szCs w:val="24"/>
          <w:highlight w:val="none"/>
          <w:lang w:val="en-US" w:eastAsia="zh-CN" w:bidi="ar-SA"/>
        </w:rPr>
        <w:t>其</w:t>
      </w:r>
      <w:r>
        <w:rPr>
          <w:rFonts w:ascii="微软雅黑" w:hAnsi="微软雅黑" w:eastAsia="微软雅黑" w:cstheme="minorBidi"/>
          <w:kern w:val="0"/>
          <w:sz w:val="24"/>
          <w:szCs w:val="24"/>
          <w:highlight w:val="none"/>
          <w:lang w:val="en-US" w:eastAsia="zh-CN" w:bidi="ar-SA"/>
        </w:rPr>
        <w:t>法定代表人（单</w:t>
      </w:r>
      <w:r>
        <w:rPr>
          <w:rFonts w:ascii="微软雅黑" w:hAnsi="微软雅黑" w:eastAsia="微软雅黑" w:cstheme="minorBidi"/>
          <w:spacing w:val="-3"/>
          <w:kern w:val="0"/>
          <w:sz w:val="24"/>
          <w:szCs w:val="24"/>
          <w:highlight w:val="none"/>
          <w:lang w:val="en-US" w:eastAsia="zh-CN" w:bidi="ar-SA"/>
        </w:rPr>
        <w:t>位</w:t>
      </w:r>
      <w:r>
        <w:rPr>
          <w:rFonts w:ascii="微软雅黑" w:hAnsi="微软雅黑" w:eastAsia="微软雅黑" w:cstheme="minorBidi"/>
          <w:kern w:val="0"/>
          <w:sz w:val="24"/>
          <w:szCs w:val="24"/>
          <w:highlight w:val="none"/>
          <w:lang w:val="en-US" w:eastAsia="zh-CN" w:bidi="ar-SA"/>
        </w:rPr>
        <w:t>负责</w:t>
      </w:r>
      <w:r>
        <w:rPr>
          <w:rFonts w:ascii="微软雅黑" w:hAnsi="微软雅黑" w:eastAsia="微软雅黑" w:cstheme="minorBidi"/>
          <w:spacing w:val="-3"/>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）和委托代理</w:t>
      </w:r>
      <w:r>
        <w:rPr>
          <w:rFonts w:ascii="微软雅黑" w:hAnsi="微软雅黑" w:eastAsia="微软雅黑" w:cstheme="minorBidi"/>
          <w:spacing w:val="-2"/>
          <w:kern w:val="0"/>
          <w:sz w:val="24"/>
          <w:szCs w:val="24"/>
          <w:highlight w:val="none"/>
          <w:lang w:val="en-US" w:eastAsia="zh-CN" w:bidi="ar-SA"/>
        </w:rPr>
        <w:t>人</w:t>
      </w:r>
      <w:r>
        <w:rPr>
          <w:rFonts w:ascii="微软雅黑" w:hAnsi="微软雅黑" w:eastAsia="微软雅黑" w:cstheme="minorBidi"/>
          <w:kern w:val="0"/>
          <w:sz w:val="24"/>
          <w:szCs w:val="24"/>
          <w:highlight w:val="none"/>
          <w:lang w:val="en-US" w:eastAsia="zh-CN" w:bidi="ar-SA"/>
        </w:rPr>
        <w:t>签字。</w:t>
      </w: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0"/>
          <w:szCs w:val="20"/>
        </w:rPr>
      </w:pPr>
    </w:p>
    <w:p>
      <w:pPr>
        <w:keepNext w:val="0"/>
        <w:keepLines w:val="0"/>
        <w:pageBreakBefore w:val="0"/>
        <w:widowControl w:val="0"/>
        <w:tabs>
          <w:tab w:val="left" w:pos="142"/>
        </w:tabs>
        <w:kinsoku/>
        <w:overflowPunct/>
        <w:topLinePunct w:val="0"/>
        <w:autoSpaceDE/>
        <w:autoSpaceDN/>
        <w:bidi w:val="0"/>
        <w:adjustRightInd/>
        <w:snapToGrid/>
        <w:ind w:right="11"/>
        <w:textAlignment w:val="auto"/>
        <w:outlineLvl w:val="9"/>
        <w:rPr>
          <w:rFonts w:ascii="微软雅黑" w:hAnsi="微软雅黑" w:eastAsia="微软雅黑"/>
          <w:sz w:val="24"/>
          <w:szCs w:val="24"/>
        </w:rPr>
      </w:pPr>
    </w:p>
    <w:p>
      <w:pPr>
        <w:keepNext w:val="0"/>
        <w:keepLines w:val="0"/>
        <w:pageBreakBefore w:val="0"/>
        <w:widowControl w:val="0"/>
        <w:kinsoku/>
        <w:wordWrap w:val="0"/>
        <w:overflowPunct/>
        <w:topLinePunct w:val="0"/>
        <w:autoSpaceDE/>
        <w:autoSpaceDN/>
        <w:bidi w:val="0"/>
        <w:adjustRightInd/>
        <w:snapToGrid/>
        <w:spacing w:before="36" w:after="120" w:afterLines="50"/>
        <w:ind w:left="780" w:right="11" w:firstLine="480"/>
        <w:jc w:val="center"/>
        <w:textAlignment w:val="auto"/>
        <w:outlineLvl w:val="9"/>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应答人</w:t>
      </w:r>
      <w:r>
        <w:rPr>
          <w:rFonts w:ascii="微软雅黑" w:hAnsi="微软雅黑" w:eastAsia="微软雅黑" w:cstheme="minorBidi"/>
          <w:spacing w:val="-3"/>
          <w:kern w:val="0"/>
          <w:sz w:val="24"/>
          <w:szCs w:val="24"/>
          <w:lang w:val="en-US" w:eastAsia="zh-CN" w:bidi="ar-SA"/>
        </w:rPr>
        <w:t>：</w:t>
      </w:r>
      <w:r>
        <w:rPr>
          <w:rFonts w:hint="eastAsia" w:ascii="微软雅黑" w:hAnsi="微软雅黑" w:eastAsia="微软雅黑" w:cstheme="minorBidi"/>
          <w:spacing w:val="-3"/>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（单</w:t>
      </w:r>
      <w:r>
        <w:rPr>
          <w:rFonts w:ascii="微软雅黑" w:hAnsi="微软雅黑" w:eastAsia="微软雅黑" w:cstheme="minorBidi"/>
          <w:spacing w:val="-3"/>
          <w:kern w:val="0"/>
          <w:sz w:val="24"/>
          <w:szCs w:val="24"/>
          <w:lang w:val="en-US" w:eastAsia="zh-CN" w:bidi="ar-SA"/>
        </w:rPr>
        <w:t>位</w:t>
      </w:r>
      <w:r>
        <w:rPr>
          <w:rFonts w:ascii="微软雅黑" w:hAnsi="微软雅黑" w:eastAsia="微软雅黑" w:cstheme="minorBidi"/>
          <w:kern w:val="0"/>
          <w:sz w:val="24"/>
          <w:szCs w:val="24"/>
          <w:lang w:val="en-US" w:eastAsia="zh-CN" w:bidi="ar-SA"/>
        </w:rPr>
        <w:t>公</w:t>
      </w:r>
      <w:r>
        <w:rPr>
          <w:rFonts w:ascii="微软雅黑" w:hAnsi="微软雅黑" w:eastAsia="微软雅黑" w:cstheme="minorBidi"/>
          <w:spacing w:val="-3"/>
          <w:kern w:val="0"/>
          <w:sz w:val="24"/>
          <w:szCs w:val="24"/>
          <w:lang w:val="en-US" w:eastAsia="zh-CN" w:bidi="ar-SA"/>
        </w:rPr>
        <w:t>章</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right="11" w:firstLine="1440" w:firstLineChars="600"/>
        <w:jc w:val="both"/>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法定</w:t>
      </w:r>
      <w:r>
        <w:rPr>
          <w:rFonts w:ascii="微软雅黑" w:hAnsi="微软雅黑" w:eastAsia="微软雅黑" w:cstheme="minorBidi"/>
          <w:spacing w:val="-3"/>
          <w:kern w:val="0"/>
          <w:sz w:val="24"/>
          <w:szCs w:val="24"/>
          <w:lang w:val="en-US" w:eastAsia="zh-CN" w:bidi="ar-SA"/>
        </w:rPr>
        <w:t>代</w:t>
      </w:r>
      <w:r>
        <w:rPr>
          <w:rFonts w:ascii="微软雅黑" w:hAnsi="微软雅黑" w:eastAsia="微软雅黑" w:cstheme="minorBidi"/>
          <w:kern w:val="0"/>
          <w:sz w:val="24"/>
          <w:szCs w:val="24"/>
          <w:lang w:val="en-US" w:eastAsia="zh-CN" w:bidi="ar-SA"/>
        </w:rPr>
        <w:t>表</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kern w:val="0"/>
          <w:sz w:val="24"/>
          <w:szCs w:val="24"/>
          <w:lang w:val="en-US" w:eastAsia="zh-CN" w:bidi="ar-SA"/>
        </w:rPr>
        <w:t>（</w:t>
      </w:r>
      <w:r>
        <w:rPr>
          <w:rFonts w:ascii="微软雅黑" w:hAnsi="微软雅黑" w:eastAsia="微软雅黑" w:cstheme="minorBidi"/>
          <w:spacing w:val="-3"/>
          <w:kern w:val="0"/>
          <w:sz w:val="24"/>
          <w:szCs w:val="24"/>
          <w:lang w:val="en-US" w:eastAsia="zh-CN" w:bidi="ar-SA"/>
        </w:rPr>
        <w:t>单</w:t>
      </w:r>
      <w:r>
        <w:rPr>
          <w:rFonts w:ascii="微软雅黑" w:hAnsi="微软雅黑" w:eastAsia="微软雅黑" w:cstheme="minorBidi"/>
          <w:kern w:val="0"/>
          <w:sz w:val="24"/>
          <w:szCs w:val="24"/>
          <w:lang w:val="en-US" w:eastAsia="zh-CN" w:bidi="ar-SA"/>
        </w:rPr>
        <w:t>位</w:t>
      </w:r>
      <w:r>
        <w:rPr>
          <w:rFonts w:ascii="微软雅黑" w:hAnsi="微软雅黑" w:eastAsia="微软雅黑" w:cstheme="minorBidi"/>
          <w:spacing w:val="-3"/>
          <w:kern w:val="0"/>
          <w:sz w:val="24"/>
          <w:szCs w:val="24"/>
          <w:lang w:val="en-US" w:eastAsia="zh-CN" w:bidi="ar-SA"/>
        </w:rPr>
        <w:t>负</w:t>
      </w:r>
      <w:r>
        <w:rPr>
          <w:rFonts w:ascii="微软雅黑" w:hAnsi="微软雅黑" w:eastAsia="微软雅黑" w:cstheme="minorBidi"/>
          <w:kern w:val="0"/>
          <w:sz w:val="24"/>
          <w:szCs w:val="24"/>
          <w:lang w:val="en-US" w:eastAsia="zh-CN" w:bidi="ar-SA"/>
        </w:rPr>
        <w:t>责</w:t>
      </w:r>
      <w:r>
        <w:rPr>
          <w:rFonts w:ascii="微软雅黑" w:hAnsi="微软雅黑" w:eastAsia="微软雅黑" w:cstheme="minorBidi"/>
          <w:spacing w:val="-3"/>
          <w:kern w:val="0"/>
          <w:sz w:val="24"/>
          <w:szCs w:val="24"/>
          <w:lang w:val="en-US" w:eastAsia="zh-CN" w:bidi="ar-SA"/>
        </w:rPr>
        <w:t>人</w:t>
      </w:r>
      <w:r>
        <w:rPr>
          <w:rFonts w:ascii="微软雅黑" w:hAnsi="微软雅黑" w:eastAsia="微软雅黑" w:cstheme="minorBidi"/>
          <w:spacing w:val="-108"/>
          <w:kern w:val="0"/>
          <w:sz w:val="24"/>
          <w:szCs w:val="24"/>
          <w:lang w:val="en-US" w:eastAsia="zh-CN" w:bidi="ar-SA"/>
        </w:rPr>
        <w:t>）</w:t>
      </w:r>
      <w:r>
        <w:rPr>
          <w:rFonts w:ascii="微软雅黑" w:hAnsi="微软雅黑" w:eastAsia="微软雅黑" w:cstheme="minorBidi"/>
          <w:spacing w:val="-1"/>
          <w:kern w:val="0"/>
          <w:sz w:val="24"/>
          <w:szCs w:val="24"/>
          <w:lang w:val="en-US" w:eastAsia="zh-CN" w:bidi="ar-SA"/>
        </w:rPr>
        <w:t>：</w:t>
      </w:r>
      <w:r>
        <w:rPr>
          <w:rFonts w:hint="eastAsia" w:ascii="微软雅黑" w:hAnsi="微软雅黑" w:eastAsia="微软雅黑" w:cstheme="minorBidi"/>
          <w:spacing w:val="-1"/>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（签</w:t>
      </w:r>
      <w:r>
        <w:rPr>
          <w:rFonts w:ascii="微软雅黑" w:hAnsi="微软雅黑" w:eastAsia="微软雅黑" w:cstheme="minorBidi"/>
          <w:spacing w:val="-3"/>
          <w:kern w:val="0"/>
          <w:sz w:val="24"/>
          <w:szCs w:val="24"/>
          <w:lang w:val="en-US" w:eastAsia="zh-CN" w:bidi="ar-SA"/>
        </w:rPr>
        <w:t>字</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hint="eastAsia" w:ascii="微软雅黑" w:hAnsi="微软雅黑" w:eastAsia="微软雅黑" w:cstheme="minorBidi"/>
          <w:kern w:val="0"/>
          <w:sz w:val="24"/>
          <w:szCs w:val="24"/>
          <w:lang w:val="en-US" w:eastAsia="zh-CN" w:bidi="ar-SA"/>
        </w:rPr>
        <w:t xml:space="preserve"> </w:t>
      </w:r>
      <w:r>
        <w:rPr>
          <w:rFonts w:ascii="微软雅黑" w:hAnsi="微软雅黑" w:eastAsia="微软雅黑" w:cstheme="minorBidi"/>
          <w:kern w:val="0"/>
          <w:sz w:val="24"/>
          <w:szCs w:val="24"/>
          <w:lang w:val="en-US" w:eastAsia="zh-CN" w:bidi="ar-SA"/>
        </w:rPr>
        <w:t>身份</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号</w:t>
      </w:r>
      <w:r>
        <w:rPr>
          <w:rFonts w:ascii="微软雅黑" w:hAnsi="微软雅黑" w:eastAsia="微软雅黑" w:cstheme="minorBidi"/>
          <w:spacing w:val="-3"/>
          <w:kern w:val="0"/>
          <w:sz w:val="24"/>
          <w:szCs w:val="24"/>
          <w:lang w:val="en-US" w:eastAsia="zh-CN" w:bidi="ar-SA"/>
        </w:rPr>
        <w:t>码：</w:t>
      </w:r>
      <w:r>
        <w:rPr>
          <w:rFonts w:hint="eastAsia" w:ascii="微软雅黑" w:hAnsi="微软雅黑" w:eastAsia="微软雅黑" w:cstheme="minorBidi"/>
          <w:w w:val="225"/>
          <w:kern w:val="0"/>
          <w:sz w:val="24"/>
          <w:szCs w:val="24"/>
          <w:u w:val="single" w:color="000000"/>
          <w:lang w:val="en-US" w:eastAsia="zh-CN" w:bidi="ar-SA"/>
        </w:rPr>
        <w:t xml:space="preserve">                    </w:t>
      </w:r>
    </w:p>
    <w:p>
      <w:pPr>
        <w:keepNext w:val="0"/>
        <w:keepLines w:val="0"/>
        <w:pageBreakBefore w:val="0"/>
        <w:widowControl w:val="0"/>
        <w:tabs>
          <w:tab w:val="left" w:pos="766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委托</w:t>
      </w:r>
      <w:r>
        <w:rPr>
          <w:rFonts w:ascii="微软雅黑" w:hAnsi="微软雅黑" w:eastAsia="微软雅黑" w:cstheme="minorBidi"/>
          <w:spacing w:val="-3"/>
          <w:kern w:val="0"/>
          <w:sz w:val="24"/>
          <w:szCs w:val="24"/>
          <w:lang w:val="en-US" w:eastAsia="zh-CN" w:bidi="ar-SA"/>
        </w:rPr>
        <w:t>代</w:t>
      </w:r>
      <w:r>
        <w:rPr>
          <w:rFonts w:ascii="微软雅黑" w:hAnsi="微软雅黑" w:eastAsia="微软雅黑" w:cstheme="minorBidi"/>
          <w:kern w:val="0"/>
          <w:sz w:val="24"/>
          <w:szCs w:val="24"/>
          <w:lang w:val="en-US" w:eastAsia="zh-CN" w:bidi="ar-SA"/>
        </w:rPr>
        <w:t>理</w:t>
      </w:r>
      <w:r>
        <w:rPr>
          <w:rFonts w:ascii="微软雅黑" w:hAnsi="微软雅黑" w:eastAsia="微软雅黑" w:cstheme="minorBidi"/>
          <w:spacing w:val="-3"/>
          <w:kern w:val="0"/>
          <w:sz w:val="24"/>
          <w:szCs w:val="24"/>
          <w:lang w:val="en-US" w:eastAsia="zh-CN" w:bidi="ar-SA"/>
        </w:rPr>
        <w:t>人：</w:t>
      </w:r>
      <w:r>
        <w:rPr>
          <w:rFonts w:hint="eastAsia" w:ascii="微软雅黑" w:hAnsi="微软雅黑" w:eastAsia="微软雅黑" w:cstheme="minorBidi"/>
          <w:spacing w:val="-3"/>
          <w:kern w:val="0"/>
          <w:sz w:val="24"/>
          <w:szCs w:val="24"/>
          <w:u w:val="single"/>
          <w:lang w:val="en-US" w:eastAsia="zh-CN" w:bidi="ar-SA"/>
        </w:rPr>
        <w:t xml:space="preserve">                                      </w:t>
      </w:r>
      <w:r>
        <w:rPr>
          <w:rFonts w:ascii="微软雅黑" w:hAnsi="微软雅黑" w:eastAsia="微软雅黑" w:cstheme="minorBidi"/>
          <w:kern w:val="0"/>
          <w:sz w:val="24"/>
          <w:szCs w:val="24"/>
          <w:lang w:val="en-US" w:eastAsia="zh-CN" w:bidi="ar-SA"/>
        </w:rPr>
        <w:t>（签</w:t>
      </w:r>
      <w:r>
        <w:rPr>
          <w:rFonts w:ascii="微软雅黑" w:hAnsi="微软雅黑" w:eastAsia="微软雅黑" w:cstheme="minorBidi"/>
          <w:spacing w:val="-3"/>
          <w:kern w:val="0"/>
          <w:sz w:val="24"/>
          <w:szCs w:val="24"/>
          <w:lang w:val="en-US" w:eastAsia="zh-CN" w:bidi="ar-SA"/>
        </w:rPr>
        <w:t>字</w:t>
      </w:r>
      <w:r>
        <w:rPr>
          <w:rFonts w:ascii="微软雅黑" w:hAnsi="微软雅黑" w:eastAsia="微软雅黑" w:cstheme="minorBidi"/>
          <w:kern w:val="0"/>
          <w:sz w:val="24"/>
          <w:szCs w:val="24"/>
          <w:lang w:val="en-US" w:eastAsia="zh-CN" w:bidi="ar-SA"/>
        </w:rPr>
        <w:t>）</w:t>
      </w:r>
    </w:p>
    <w:p>
      <w:pPr>
        <w:keepNext w:val="0"/>
        <w:keepLines w:val="0"/>
        <w:pageBreakBefore w:val="0"/>
        <w:widowControl w:val="0"/>
        <w:tabs>
          <w:tab w:val="left" w:pos="142"/>
          <w:tab w:val="left" w:pos="8501"/>
        </w:tabs>
        <w:kinsoku/>
        <w:wordWrap w:val="0"/>
        <w:overflowPunct/>
        <w:topLinePunct w:val="0"/>
        <w:autoSpaceDE/>
        <w:autoSpaceDN/>
        <w:bidi w:val="0"/>
        <w:adjustRightInd/>
        <w:snapToGrid/>
        <w:spacing w:before="36" w:after="120" w:afterLines="50"/>
        <w:ind w:left="780" w:right="11" w:firstLine="480"/>
        <w:jc w:val="right"/>
        <w:textAlignment w:val="auto"/>
        <w:outlineLvl w:val="9"/>
        <w:rPr>
          <w:rFonts w:ascii="微软雅黑" w:hAnsi="微软雅黑" w:eastAsia="微软雅黑" w:cstheme="minorBidi"/>
          <w:kern w:val="0"/>
          <w:sz w:val="24"/>
          <w:szCs w:val="24"/>
          <w:lang w:val="en-US" w:eastAsia="zh-CN" w:bidi="ar-SA"/>
        </w:rPr>
      </w:pPr>
      <w:r>
        <w:rPr>
          <w:rFonts w:ascii="微软雅黑" w:hAnsi="微软雅黑" w:eastAsia="微软雅黑" w:cstheme="minorBidi"/>
          <w:kern w:val="0"/>
          <w:sz w:val="24"/>
          <w:szCs w:val="24"/>
          <w:lang w:val="en-US" w:eastAsia="zh-CN" w:bidi="ar-SA"/>
        </w:rPr>
        <w:t xml:space="preserve">  身份</w:t>
      </w:r>
      <w:r>
        <w:rPr>
          <w:rFonts w:ascii="微软雅黑" w:hAnsi="微软雅黑" w:eastAsia="微软雅黑" w:cstheme="minorBidi"/>
          <w:spacing w:val="-3"/>
          <w:kern w:val="0"/>
          <w:sz w:val="24"/>
          <w:szCs w:val="24"/>
          <w:lang w:val="en-US" w:eastAsia="zh-CN" w:bidi="ar-SA"/>
        </w:rPr>
        <w:t>证</w:t>
      </w:r>
      <w:r>
        <w:rPr>
          <w:rFonts w:ascii="微软雅黑" w:hAnsi="微软雅黑" w:eastAsia="微软雅黑" w:cstheme="minorBidi"/>
          <w:kern w:val="0"/>
          <w:sz w:val="24"/>
          <w:szCs w:val="24"/>
          <w:lang w:val="en-US" w:eastAsia="zh-CN" w:bidi="ar-SA"/>
        </w:rPr>
        <w:t>号</w:t>
      </w:r>
      <w:r>
        <w:rPr>
          <w:rFonts w:ascii="微软雅黑" w:hAnsi="微软雅黑" w:eastAsia="微软雅黑" w:cstheme="minorBidi"/>
          <w:spacing w:val="-3"/>
          <w:kern w:val="0"/>
          <w:sz w:val="24"/>
          <w:szCs w:val="24"/>
          <w:lang w:val="en-US" w:eastAsia="zh-CN" w:bidi="ar-SA"/>
        </w:rPr>
        <w:t>码：</w:t>
      </w:r>
      <w:r>
        <w:rPr>
          <w:rFonts w:hint="eastAsia" w:ascii="微软雅黑" w:hAnsi="微软雅黑" w:eastAsia="微软雅黑" w:cstheme="minorBidi"/>
          <w:spacing w:val="-3"/>
          <w:kern w:val="0"/>
          <w:sz w:val="24"/>
          <w:szCs w:val="24"/>
          <w:u w:val="single"/>
          <w:lang w:val="en-US" w:eastAsia="zh-CN" w:bidi="ar-SA"/>
        </w:rPr>
        <w:t xml:space="preserve">                                               </w:t>
      </w:r>
    </w:p>
    <w:p>
      <w:pPr>
        <w:keepNext w:val="0"/>
        <w:keepLines w:val="0"/>
        <w:pageBreakBefore w:val="0"/>
        <w:widowControl w:val="0"/>
        <w:tabs>
          <w:tab w:val="left" w:pos="142"/>
          <w:tab w:val="left" w:pos="6643"/>
          <w:tab w:val="left" w:pos="7589"/>
          <w:tab w:val="left" w:pos="8533"/>
        </w:tabs>
        <w:kinsoku/>
        <w:wordWrap w:val="0"/>
        <w:overflowPunct/>
        <w:topLinePunct w:val="0"/>
        <w:autoSpaceDE/>
        <w:autoSpaceDN/>
        <w:bidi w:val="0"/>
        <w:adjustRightInd/>
        <w:snapToGrid/>
        <w:spacing w:before="36" w:after="120" w:afterLines="50"/>
        <w:ind w:left="780" w:right="11" w:firstLine="480"/>
        <w:jc w:val="right"/>
        <w:textAlignment w:val="auto"/>
        <w:outlineLvl w:val="9"/>
      </w:pPr>
      <w:r>
        <w:rPr>
          <w:rFonts w:hint="eastAsia" w:ascii="微软雅黑" w:hAnsi="微软雅黑" w:eastAsia="微软雅黑" w:cstheme="minorBidi"/>
          <w:kern w:val="0"/>
          <w:sz w:val="24"/>
          <w:szCs w:val="24"/>
          <w:u w:val="single" w:color="000000"/>
          <w:lang w:val="en-US" w:eastAsia="zh-CN" w:bidi="ar-SA"/>
        </w:rPr>
        <w:t xml:space="preserve">        </w:t>
      </w:r>
      <w:r>
        <w:rPr>
          <w:rFonts w:hint="eastAsia" w:ascii="微软雅黑" w:hAnsi="微软雅黑" w:eastAsia="微软雅黑" w:cstheme="minorBidi"/>
          <w:kern w:val="0"/>
          <w:sz w:val="24"/>
          <w:szCs w:val="24"/>
          <w:lang w:val="en-US" w:eastAsia="zh-CN" w:bidi="ar-SA"/>
        </w:rPr>
        <w:t>年</w:t>
      </w:r>
      <w:r>
        <w:rPr>
          <w:rFonts w:hint="eastAsia" w:ascii="微软雅黑" w:hAnsi="微软雅黑" w:eastAsia="微软雅黑" w:cstheme="minorBidi"/>
          <w:kern w:val="0"/>
          <w:sz w:val="24"/>
          <w:szCs w:val="24"/>
          <w:u w:val="single" w:color="000000"/>
          <w:lang w:val="en-US" w:eastAsia="zh-CN" w:bidi="ar-SA"/>
        </w:rPr>
        <w:t xml:space="preserve">        </w:t>
      </w:r>
      <w:r>
        <w:rPr>
          <w:rFonts w:ascii="微软雅黑" w:hAnsi="微软雅黑" w:eastAsia="微软雅黑" w:cstheme="minorBidi"/>
          <w:spacing w:val="-3"/>
          <w:kern w:val="0"/>
          <w:sz w:val="24"/>
          <w:szCs w:val="24"/>
          <w:lang w:val="en-US" w:eastAsia="zh-CN" w:bidi="ar-SA"/>
        </w:rPr>
        <w:t>月</w:t>
      </w:r>
      <w:r>
        <w:rPr>
          <w:rFonts w:hint="eastAsia" w:ascii="微软雅黑" w:hAnsi="微软雅黑" w:eastAsia="微软雅黑" w:cstheme="minorBidi"/>
          <w:kern w:val="0"/>
          <w:sz w:val="24"/>
          <w:szCs w:val="24"/>
          <w:u w:val="single" w:color="000000"/>
          <w:lang w:val="en-US" w:eastAsia="zh-CN" w:bidi="ar-SA"/>
        </w:rPr>
        <w:t xml:space="preserve">        </w:t>
      </w:r>
      <w:r>
        <w:rPr>
          <w:rFonts w:ascii="微软雅黑" w:hAnsi="微软雅黑" w:eastAsia="微软雅黑" w:cstheme="minorBidi"/>
          <w:kern w:val="0"/>
          <w:sz w:val="24"/>
          <w:szCs w:val="24"/>
          <w:lang w:val="en-US" w:eastAsia="zh-CN" w:bidi="ar-SA"/>
        </w:rPr>
        <w:t>日</w:t>
      </w:r>
    </w:p>
    <w:p>
      <w:pPr>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line="240" w:lineRule="auto"/>
        <w:ind w:left="0" w:hanging="2891" w:hangingChars="1200"/>
        <w:jc w:val="both"/>
        <w:textAlignment w:val="auto"/>
        <w:outlineLvl w:val="1"/>
        <w:rPr>
          <w:rFonts w:hint="eastAsia" w:ascii="黑体" w:hAnsi="黑体"/>
          <w:b/>
          <w:bCs/>
          <w:color w:val="000000" w:themeColor="text1"/>
          <w:sz w:val="24"/>
          <w:szCs w:val="24"/>
          <w:highlight w:val="none"/>
          <w:lang w:val="en-US" w:eastAsia="zh-CN"/>
          <w14:textFill>
            <w14:solidFill>
              <w14:schemeClr w14:val="tx1"/>
            </w14:solidFill>
          </w14:textFill>
        </w:rPr>
      </w:pPr>
      <w:r>
        <w:rPr>
          <w:rFonts w:hint="eastAsia" w:ascii="黑体" w:hAnsi="黑体"/>
          <w:b/>
          <w:bCs/>
          <w:color w:val="000000" w:themeColor="text1"/>
          <w:sz w:val="24"/>
          <w:szCs w:val="24"/>
          <w:highlight w:val="none"/>
          <w:lang w:val="en-US" w:eastAsia="zh-CN"/>
          <w14:textFill>
            <w14:solidFill>
              <w14:schemeClr w14:val="tx1"/>
            </w14:solidFill>
          </w14:textFill>
        </w:rPr>
        <w:t>5.5：股权证明文件</w:t>
      </w:r>
    </w:p>
    <w:p>
      <w:pPr>
        <w:rPr>
          <w:rFonts w:hint="eastAsia"/>
          <w:lang w:val="en-US" w:eastAsia="zh-CN"/>
        </w:rPr>
      </w:pPr>
    </w:p>
    <w:p>
      <w:pPr>
        <w:keepNext/>
        <w:keepLines/>
        <w:pageBreakBefore w:val="0"/>
        <w:widowControl w:val="0"/>
        <w:kinsoku/>
        <w:wordWrap/>
        <w:overflowPunct/>
        <w:topLinePunct w:val="0"/>
        <w:autoSpaceDE/>
        <w:autoSpaceDN/>
        <w:bidi w:val="0"/>
        <w:adjustRightInd/>
        <w:snapToGrid/>
        <w:spacing w:line="240" w:lineRule="auto"/>
        <w:ind w:left="2524" w:leftChars="1202" w:firstLineChars="0"/>
        <w:jc w:val="both"/>
        <w:textAlignment w:val="auto"/>
        <w:outlineLvl w:val="9"/>
        <w:rPr>
          <w:rFonts w:asciiTheme="minorEastAsia" w:hAnsiTheme="minorEastAsia"/>
          <w:highlight w:val="none"/>
          <w:lang w:eastAsia="zh-CN"/>
        </w:rPr>
      </w:pPr>
      <w:r>
        <w:rPr>
          <w:rFonts w:hint="eastAsia" w:ascii="宋体" w:hAnsi="宋体" w:eastAsia="宋体" w:cs="宋体"/>
          <w:sz w:val="24"/>
          <w:highlight w:val="none"/>
          <w:lang w:eastAsia="zh-CN"/>
        </w:rPr>
        <w:t>股权证明文件</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宋体" w:hAnsi="宋体" w:eastAsia="宋体" w:cs="宋体"/>
          <w:b w:val="0"/>
          <w:bCs w:val="0"/>
          <w:sz w:val="24"/>
          <w:highlight w:val="none"/>
          <w:lang w:eastAsia="zh-CN"/>
        </w:rPr>
      </w:pPr>
      <w:r>
        <w:rPr>
          <w:rFonts w:hint="eastAsia" w:ascii="宋体" w:hAnsi="宋体" w:eastAsia="宋体" w:cs="宋体"/>
          <w:b w:val="0"/>
          <w:bCs w:val="0"/>
          <w:sz w:val="24"/>
          <w:highlight w:val="none"/>
          <w:lang w:eastAsia="zh-CN"/>
        </w:rPr>
        <w:t>（应答人应在应答文件中提供其公司章程或其他能够体现出资人、股东信息的法定文件，此证明文件将作为评标/评审时的依据。）</w:t>
      </w:r>
    </w:p>
    <w:p>
      <w:pPr>
        <w:rPr>
          <w:rFonts w:hint="eastAsia"/>
          <w:lang w:val="en-US" w:eastAsia="zh-CN"/>
        </w:rPr>
      </w:pPr>
    </w:p>
    <w:p>
      <w:pPr>
        <w:rPr>
          <w:rFonts w:hint="eastAsia"/>
          <w:lang w:val="en-US" w:eastAsia="zh-CN"/>
        </w:rPr>
      </w:pPr>
    </w:p>
    <w:p>
      <w:pPr>
        <w:rPr>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pStyle w:val="17"/>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rPr>
          <w:rFonts w:hint="eastAsia" w:ascii="黑体" w:hAnsi="黑体" w:eastAsia="黑体"/>
          <w:b/>
          <w:bCs/>
          <w:color w:val="000000" w:themeColor="text1"/>
          <w:sz w:val="24"/>
          <w:szCs w:val="24"/>
          <w:highlight w:val="none"/>
          <w:lang w:val="en-US" w:eastAsia="zh-CN"/>
          <w14:textFill>
            <w14:solidFill>
              <w14:schemeClr w14:val="tx1"/>
            </w14:solidFill>
          </w14:textFill>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 xml:space="preserve">5.6：供应商承诺书              </w:t>
      </w:r>
    </w:p>
    <w:p>
      <w:pPr>
        <w:ind w:firstLine="3253" w:firstLineChars="900"/>
        <w:jc w:val="both"/>
        <w:outlineLvl w:val="9"/>
        <w:rPr>
          <w:rFonts w:hint="eastAsia" w:ascii="黑体" w:hAnsi="黑体" w:eastAsia="黑体"/>
          <w:b/>
          <w:color w:val="000000" w:themeColor="text1"/>
          <w:sz w:val="36"/>
          <w:szCs w:val="36"/>
          <w:highlight w:val="none"/>
          <w:lang w:val="en-US" w:eastAsia="zh-CN"/>
          <w14:textFill>
            <w14:solidFill>
              <w14:schemeClr w14:val="tx1"/>
            </w14:solidFill>
          </w14:textFill>
        </w:rPr>
      </w:pPr>
      <w:r>
        <w:rPr>
          <w:rFonts w:hint="eastAsia" w:ascii="黑体" w:hAnsi="黑体" w:eastAsia="黑体"/>
          <w:b/>
          <w:color w:val="000000" w:themeColor="text1"/>
          <w:sz w:val="36"/>
          <w:szCs w:val="36"/>
          <w:highlight w:val="none"/>
          <w14:textFill>
            <w14:solidFill>
              <w14:schemeClr w14:val="tx1"/>
            </w14:solidFill>
          </w14:textFill>
        </w:rPr>
        <w:t>供应商承诺</w:t>
      </w:r>
      <w:r>
        <w:rPr>
          <w:rFonts w:hint="eastAsia" w:ascii="黑体" w:hAnsi="黑体" w:eastAsia="黑体"/>
          <w:b/>
          <w:color w:val="000000" w:themeColor="text1"/>
          <w:sz w:val="36"/>
          <w:szCs w:val="36"/>
          <w:highlight w:val="none"/>
          <w:lang w:val="en-US" w:eastAsia="zh-CN"/>
          <w14:textFill>
            <w14:solidFill>
              <w14:schemeClr w14:val="tx1"/>
            </w14:solidFill>
          </w14:textFill>
        </w:rPr>
        <w:t>书</w:t>
      </w:r>
    </w:p>
    <w:p>
      <w:pPr>
        <w:rPr>
          <w:color w:val="000000" w:themeColor="text1"/>
          <w:highlight w:val="none"/>
          <w14:textFill>
            <w14:solidFill>
              <w14:schemeClr w14:val="tx1"/>
            </w14:solidFill>
          </w14:textFill>
        </w:rPr>
      </w:pPr>
    </w:p>
    <w:p>
      <w:pPr>
        <w:spacing w:line="36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中海油能源发展股份有限公司：</w:t>
      </w:r>
    </w:p>
    <w:p>
      <w:pPr>
        <w:spacing w:line="360" w:lineRule="auto"/>
        <w:ind w:firstLine="42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我公司/单位对以下情况经认真核查后确认及承诺如下</w:t>
      </w:r>
      <w:r>
        <w:rPr>
          <w:rFonts w:hint="eastAsia" w:ascii="宋体" w:hAnsi="宋体" w:eastAsia="宋体" w:cs="宋体"/>
          <w:b/>
          <w:bCs/>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经查询</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信用中国”网站（https://www.creditchina.gov.cn/）或</w:t>
      </w:r>
      <w:r>
        <w:rPr>
          <w:rFonts w:hint="eastAsia" w:ascii="宋体" w:hAnsi="宋体" w:eastAsia="宋体" w:cs="宋体"/>
          <w:color w:val="000000" w:themeColor="text1"/>
          <w:sz w:val="21"/>
          <w:szCs w:val="21"/>
          <w:highlight w:val="none"/>
          <w14:textFill>
            <w14:solidFill>
              <w14:schemeClr w14:val="tx1"/>
            </w14:solidFill>
          </w14:textFill>
        </w:rPr>
        <w:t>“中国执行信息公开网”网站（http://zxgk.court.gov.cn/），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被列入失信被执行人名单；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经查询“国家企业信用信息公示系统”（http://www.gsxt.gov.cn），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我公司未</w:t>
      </w:r>
      <w:r>
        <w:rPr>
          <w:rFonts w:hint="eastAsia" w:ascii="宋体" w:hAnsi="宋体" w:eastAsia="宋体" w:cs="宋体"/>
          <w:color w:val="000000" w:themeColor="text1"/>
          <w:sz w:val="21"/>
          <w:szCs w:val="21"/>
          <w:highlight w:val="none"/>
          <w14:textFill>
            <w14:solidFill>
              <w14:schemeClr w14:val="tx1"/>
            </w14:solidFill>
          </w14:textFill>
        </w:rPr>
        <w:t>被列入严重违法失信企业名单；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经查询“中国裁判文书网”（http://wenshu.court.gov.cn），</w:t>
      </w:r>
      <w:r>
        <w:rPr>
          <w:rFonts w:hint="eastAsia" w:ascii="宋体" w:hAnsi="宋体" w:eastAsia="宋体" w:cs="宋体"/>
          <w:color w:val="000000" w:themeColor="text1"/>
          <w:sz w:val="21"/>
          <w:szCs w:val="21"/>
          <w:highlight w:val="none"/>
          <w:lang w:val="en-US" w:eastAsia="zh-CN"/>
          <w14:textFill>
            <w14:solidFill>
              <w14:schemeClr w14:val="tx1"/>
            </w14:solidFill>
          </w14:textFill>
        </w:rPr>
        <w:t>我公司近三年不</w:t>
      </w:r>
      <w:r>
        <w:rPr>
          <w:rFonts w:hint="eastAsia" w:ascii="宋体" w:hAnsi="宋体" w:eastAsia="宋体" w:cs="宋体"/>
          <w:color w:val="000000" w:themeColor="text1"/>
          <w:sz w:val="21"/>
          <w:szCs w:val="21"/>
          <w:highlight w:val="none"/>
          <w14:textFill>
            <w14:solidFill>
              <w14:schemeClr w14:val="tx1"/>
            </w14:solidFill>
          </w14:textFill>
        </w:rPr>
        <w:t>存在行贿犯罪记录；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我公司与本采购项目其他应答人</w:t>
      </w:r>
      <w:r>
        <w:rPr>
          <w:rFonts w:hint="eastAsia" w:ascii="宋体" w:hAnsi="宋体" w:eastAsia="宋体" w:cs="宋体"/>
          <w:color w:val="000000" w:themeColor="text1"/>
          <w:sz w:val="21"/>
          <w:szCs w:val="21"/>
          <w:highlight w:val="none"/>
          <w:lang w:val="en-US" w:eastAsia="zh-CN"/>
          <w14:textFill>
            <w14:solidFill>
              <w14:schemeClr w14:val="tx1"/>
            </w14:solidFill>
          </w14:textFill>
        </w:rPr>
        <w:t>不</w:t>
      </w:r>
      <w:r>
        <w:rPr>
          <w:rFonts w:hint="eastAsia" w:ascii="宋体" w:hAnsi="宋体" w:eastAsia="宋体" w:cs="宋体"/>
          <w:color w:val="000000" w:themeColor="text1"/>
          <w:sz w:val="21"/>
          <w:szCs w:val="21"/>
          <w:highlight w:val="none"/>
          <w:lang w:eastAsia="zh-CN"/>
          <w14:textFill>
            <w14:solidFill>
              <w14:schemeClr w14:val="tx1"/>
            </w14:solidFill>
          </w14:textFill>
        </w:rPr>
        <w:t>存在控股关系或管理关系、单位负责人为同一人，同一自然人同时持有两家公司非公开上市股份的情形。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经</w:t>
      </w:r>
      <w:r>
        <w:rPr>
          <w:rFonts w:hint="eastAsia" w:ascii="宋体" w:hAnsi="宋体" w:eastAsia="宋体" w:cs="宋体"/>
          <w:color w:val="000000" w:themeColor="text1"/>
          <w:sz w:val="21"/>
          <w:szCs w:val="21"/>
          <w:highlight w:val="none"/>
          <w:lang w:val="en-US" w:eastAsia="zh-CN"/>
          <w14:textFill>
            <w14:solidFill>
              <w14:schemeClr w14:val="tx1"/>
            </w14:solidFill>
          </w14:textFill>
        </w:rPr>
        <w:t>确认，我公司不存在中国海油员工（不含中国海油正式派出的）、海油发展离职未满三年的员工在我公司担任股东、法人代表、董事、监事和其他任职人员</w:t>
      </w:r>
      <w:r>
        <w:rPr>
          <w:rFonts w:hint="eastAsia" w:ascii="宋体" w:hAnsi="宋体" w:eastAsia="宋体" w:cs="宋体"/>
          <w:color w:val="000000" w:themeColor="text1"/>
          <w:sz w:val="21"/>
          <w:szCs w:val="21"/>
          <w:highlight w:val="none"/>
          <w14:textFill>
            <w14:solidFill>
              <w14:schemeClr w14:val="tx1"/>
            </w14:solidFill>
          </w14:textFill>
        </w:rPr>
        <w:t>。</w:t>
      </w:r>
    </w:p>
    <w:p>
      <w:pPr>
        <w:spacing w:line="360" w:lineRule="auto"/>
        <w:ind w:firstLine="420" w:firstLineChars="20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6、我公司如涉及雇用农民工，承诺与农民工签订劳动合同，及时、足额发放工资、缴纳社会保险费用。</w:t>
      </w:r>
    </w:p>
    <w:p>
      <w:pPr>
        <w:pStyle w:val="6"/>
        <w:ind w:left="0" w:firstLine="420" w:firstLineChars="200"/>
        <w:rPr>
          <w:rFonts w:hint="default" w:eastAsia="宋体"/>
          <w:lang w:val="en-US" w:eastAsia="zh-CN"/>
        </w:rPr>
      </w:pPr>
      <w:r>
        <w:rPr>
          <w:rFonts w:hint="eastAsia" w:cs="宋体"/>
          <w:color w:val="000000" w:themeColor="text1"/>
          <w:sz w:val="21"/>
          <w:szCs w:val="21"/>
          <w:highlight w:val="none"/>
          <w:lang w:val="en-US" w:eastAsia="zh-CN"/>
          <w14:textFill>
            <w14:solidFill>
              <w14:schemeClr w14:val="tx1"/>
            </w14:solidFill>
          </w14:textFill>
        </w:rPr>
        <w:t>7、我公司承诺</w:t>
      </w:r>
      <w:r>
        <w:rPr>
          <w:rFonts w:hint="eastAsia" w:ascii="宋体" w:hAnsi="宋体" w:eastAsia="宋体" w:cs="宋体"/>
          <w:lang w:eastAsia="zh-CN"/>
        </w:rPr>
        <w:t>积极响应国家节能减排和绿色环保政策，切实推进绿色供应链建设</w:t>
      </w:r>
      <w:r>
        <w:rPr>
          <w:rFonts w:hint="eastAsia"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8、我公司此次投标涉及供应商属性为：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A8"/>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贸易商；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A8"/>
      </w:r>
      <w:r>
        <w:rPr>
          <w:rFonts w:hint="eastAsia" w:ascii="宋体" w:hAnsi="宋体" w:eastAsia="宋体" w:cs="宋体"/>
          <w:color w:val="000000" w:themeColor="text1"/>
          <w:sz w:val="21"/>
          <w:szCs w:val="21"/>
          <w:highlight w:val="none"/>
          <w:lang w:val="en-US" w:eastAsia="zh-CN"/>
          <w14:textFill>
            <w14:solidFill>
              <w14:schemeClr w14:val="tx1"/>
            </w14:solidFill>
          </w14:textFill>
        </w:rPr>
        <w:t>代理商；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A8"/>
      </w:r>
      <w:r>
        <w:rPr>
          <w:rFonts w:hint="eastAsia" w:ascii="宋体" w:hAnsi="宋体" w:eastAsia="宋体" w:cs="宋体"/>
          <w:color w:val="000000" w:themeColor="text1"/>
          <w:sz w:val="21"/>
          <w:szCs w:val="21"/>
          <w:highlight w:val="none"/>
          <w:lang w:val="en-US" w:eastAsia="zh-CN"/>
          <w14:textFill>
            <w14:solidFill>
              <w14:schemeClr w14:val="tx1"/>
            </w14:solidFill>
          </w14:textFill>
        </w:rPr>
        <w:t>服务商；</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A8"/>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制造商；    </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A8"/>
      </w:r>
      <w:r>
        <w:rPr>
          <w:rFonts w:hint="eastAsia" w:ascii="宋体" w:hAnsi="宋体" w:eastAsia="宋体" w:cs="宋体"/>
          <w:color w:val="000000" w:themeColor="text1"/>
          <w:sz w:val="21"/>
          <w:szCs w:val="21"/>
          <w:highlight w:val="none"/>
          <w:lang w:val="en-US" w:eastAsia="zh-CN"/>
          <w14:textFill>
            <w14:solidFill>
              <w14:schemeClr w14:val="tx1"/>
            </w14:solidFill>
          </w14:textFill>
        </w:rPr>
        <w:t>集成商。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9、我公司为：</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A8"/>
      </w:r>
      <w:r>
        <w:rPr>
          <w:rFonts w:hint="eastAsia" w:ascii="宋体" w:hAnsi="宋体" w:eastAsia="宋体" w:cs="宋体"/>
          <w:color w:val="000000" w:themeColor="text1"/>
          <w:sz w:val="21"/>
          <w:szCs w:val="21"/>
          <w:highlight w:val="none"/>
          <w:lang w:val="en-US" w:eastAsia="zh-CN"/>
          <w14:textFill>
            <w14:solidFill>
              <w14:schemeClr w14:val="tx1"/>
            </w14:solidFill>
          </w14:textFill>
        </w:rPr>
        <w:t>中小微企业；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A8"/>
      </w:r>
      <w:r>
        <w:rPr>
          <w:rFonts w:hint="eastAsia" w:ascii="宋体" w:hAnsi="宋体" w:eastAsia="宋体" w:cs="宋体"/>
          <w:color w:val="000000" w:themeColor="text1"/>
          <w:sz w:val="21"/>
          <w:szCs w:val="21"/>
          <w:highlight w:val="none"/>
          <w:lang w:val="en-US" w:eastAsia="zh-CN"/>
          <w14:textFill>
            <w14:solidFill>
              <w14:schemeClr w14:val="tx1"/>
            </w14:solidFill>
          </w14:textFill>
        </w:rPr>
        <w:t>大型企业；</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A8"/>
      </w:r>
      <w:r>
        <w:rPr>
          <w:rFonts w:hint="eastAsia" w:ascii="宋体" w:hAnsi="宋体" w:eastAsia="宋体" w:cs="宋体"/>
          <w:color w:val="000000" w:themeColor="text1"/>
          <w:sz w:val="21"/>
          <w:szCs w:val="21"/>
          <w:highlight w:val="none"/>
          <w:lang w:val="en-US" w:eastAsia="zh-CN"/>
          <w14:textFill>
            <w14:solidFill>
              <w14:schemeClr w14:val="tx1"/>
            </w14:solidFill>
          </w14:textFill>
        </w:rPr>
        <w:t>国有企业、事业单位、大学；</w:t>
      </w:r>
      <w:r>
        <w:rPr>
          <w:rFonts w:hint="eastAsia" w:ascii="宋体" w:hAnsi="宋体" w:eastAsia="宋体" w:cs="宋体"/>
          <w:color w:val="000000" w:themeColor="text1"/>
          <w:sz w:val="21"/>
          <w:szCs w:val="21"/>
          <w:highlight w:val="none"/>
          <w:lang w:val="en-US" w:eastAsia="zh-CN"/>
          <w14:textFill>
            <w14:solidFill>
              <w14:schemeClr w14:val="tx1"/>
            </w14:solidFill>
          </w14:textFill>
        </w:rPr>
        <w:sym w:font="Wingdings" w:char="00A8"/>
      </w:r>
      <w:r>
        <w:rPr>
          <w:rFonts w:hint="eastAsia" w:ascii="宋体" w:hAnsi="宋体" w:eastAsia="宋体" w:cs="宋体"/>
          <w:color w:val="000000" w:themeColor="text1"/>
          <w:sz w:val="21"/>
          <w:szCs w:val="21"/>
          <w:highlight w:val="none"/>
          <w:lang w:val="en-US" w:eastAsia="zh-CN"/>
          <w14:textFill>
            <w14:solidFill>
              <w14:schemeClr w14:val="tx1"/>
            </w14:solidFill>
          </w14:textFill>
        </w:rPr>
        <w:t>境外或港澳台企业。</w:t>
      </w:r>
    </w:p>
    <w:p>
      <w:pPr>
        <w:pStyle w:val="6"/>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10、</w:t>
      </w:r>
      <w:r>
        <w:rPr>
          <w:color w:val="000000" w:themeColor="text1"/>
          <w:sz w:val="21"/>
          <w:szCs w:val="21"/>
          <w:highlight w:val="none"/>
          <w:lang w:eastAsia="zh-CN"/>
          <w14:textFill>
            <w14:solidFill>
              <w14:schemeClr w14:val="tx1"/>
            </w14:solidFill>
          </w14:textFill>
        </w:rPr>
        <w:t>我公司财务状况、业绩状况、人员社保状况如下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贸易商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lang w:eastAsia="zh-CN"/>
          <w14:textFill>
            <w14:solidFill>
              <w14:schemeClr w14:val="tx1"/>
            </w14:solidFill>
          </w14:textFill>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563"/>
        <w:gridCol w:w="3100"/>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864" w:type="dxa"/>
            <w:gridSpan w:val="2"/>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3100"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8"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01" w:type="dxa"/>
            <w:vAlign w:val="center"/>
          </w:tcPr>
          <w:p>
            <w:pPr>
              <w:jc w:val="both"/>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1563"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p>
        </w:tc>
        <w:tc>
          <w:tcPr>
            <w:tcW w:w="3100"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2558" w:type="dxa"/>
            <w:vMerge w:val="restart"/>
            <w:vAlign w:val="center"/>
          </w:tcPr>
          <w:p>
            <w:pPr>
              <w:jc w:val="center"/>
              <w:rPr>
                <w:color w:val="000000" w:themeColor="text1"/>
                <w:sz w:val="21"/>
                <w:szCs w:val="21"/>
                <w:highlight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301" w:type="dxa"/>
            <w:vAlign w:val="center"/>
          </w:tcPr>
          <w:p>
            <w:pPr>
              <w:jc w:val="both"/>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1563"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p>
        </w:tc>
        <w:tc>
          <w:tcPr>
            <w:tcW w:w="3100" w:type="dxa"/>
            <w:vMerge w:val="continue"/>
          </w:tcPr>
          <w:p>
            <w:pPr>
              <w:rPr>
                <w:color w:val="000000" w:themeColor="text1"/>
                <w:sz w:val="21"/>
                <w:szCs w:val="21"/>
                <w:highlight w:val="none"/>
                <w:lang w:eastAsia="zh-CN"/>
                <w14:textFill>
                  <w14:solidFill>
                    <w14:schemeClr w14:val="tx1"/>
                  </w14:solidFill>
                </w14:textFill>
              </w:rPr>
            </w:pPr>
          </w:p>
        </w:tc>
        <w:tc>
          <w:tcPr>
            <w:tcW w:w="2558" w:type="dxa"/>
            <w:vMerge w:val="continue"/>
          </w:tcPr>
          <w:p>
            <w:pPr>
              <w:rPr>
                <w:color w:val="000000" w:themeColor="text1"/>
                <w:sz w:val="21"/>
                <w:szCs w:val="21"/>
                <w:highlight w:val="none"/>
                <w:lang w:eastAsia="zh-CN"/>
                <w14:textFill>
                  <w14:solidFill>
                    <w14:schemeClr w14:val="tx1"/>
                  </w14:solidFill>
                </w14:textFill>
              </w:rPr>
            </w:pPr>
          </w:p>
        </w:tc>
      </w:tr>
    </w:tbl>
    <w:p>
      <w:pPr>
        <w:pStyle w:val="6"/>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11、</w:t>
      </w:r>
      <w:r>
        <w:rPr>
          <w:color w:val="000000" w:themeColor="text1"/>
          <w:sz w:val="21"/>
          <w:szCs w:val="21"/>
          <w:highlight w:val="none"/>
          <w14:textFill>
            <w14:solidFill>
              <w14:schemeClr w14:val="tx1"/>
            </w14:solidFill>
          </w14:textFill>
        </w:rPr>
        <w:t>我公司财务状况、业绩状况、人员社保状况、代理状况如下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代理商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14"/>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834"/>
        <w:gridCol w:w="2346"/>
        <w:gridCol w:w="1444"/>
        <w:gridCol w:w="1060"/>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2151" w:type="dxa"/>
            <w:gridSpan w:val="2"/>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val="en-US" w:eastAsia="zh-CN"/>
                <w14:textFill>
                  <w14:solidFill>
                    <w14:schemeClr w14:val="tx1"/>
                  </w14:solidFill>
                </w14:textFill>
              </w:rPr>
              <w:t>近一年</w:t>
            </w:r>
            <w:r>
              <w:rPr>
                <w:rFonts w:hint="eastAsia" w:ascii="宋体" w:hAnsi="宋体"/>
                <w:b/>
                <w:bCs/>
                <w:color w:val="000000" w:themeColor="text1"/>
                <w:sz w:val="21"/>
                <w:szCs w:val="21"/>
                <w:highlight w:val="none"/>
                <w:lang w:eastAsia="zh-CN"/>
                <w14:textFill>
                  <w14:solidFill>
                    <w14:schemeClr w14:val="tx1"/>
                  </w14:solidFill>
                </w14:textFill>
              </w:rPr>
              <w:t>财务状况</w:t>
            </w:r>
          </w:p>
        </w:tc>
        <w:tc>
          <w:tcPr>
            <w:tcW w:w="2346"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1444"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1060"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代理模式</w:t>
            </w:r>
          </w:p>
        </w:tc>
        <w:tc>
          <w:tcPr>
            <w:tcW w:w="1650" w:type="dxa"/>
            <w:vAlign w:val="center"/>
          </w:tcPr>
          <w:p>
            <w:pPr>
              <w:jc w:val="center"/>
              <w:rPr>
                <w:rFonts w:hint="eastAsia"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是否为项目代理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317"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利润</w:t>
            </w:r>
          </w:p>
        </w:tc>
        <w:tc>
          <w:tcPr>
            <w:tcW w:w="834"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p>
        </w:tc>
        <w:tc>
          <w:tcPr>
            <w:tcW w:w="2346"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1444"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1060" w:type="dxa"/>
            <w:vMerge w:val="restart"/>
            <w:vAlign w:val="center"/>
          </w:tcPr>
          <w:p>
            <w:pPr>
              <w:jc w:val="center"/>
              <w:rPr>
                <w:color w:val="000000" w:themeColor="text1"/>
                <w:sz w:val="21"/>
                <w:szCs w:val="21"/>
                <w:highlight w:val="none"/>
                <w:lang w:eastAsia="zh-CN"/>
                <w14:textFill>
                  <w14:solidFill>
                    <w14:schemeClr w14:val="tx1"/>
                  </w14:solidFill>
                </w14:textFill>
              </w:rPr>
            </w:pPr>
          </w:p>
        </w:tc>
        <w:tc>
          <w:tcPr>
            <w:tcW w:w="1650" w:type="dxa"/>
            <w:vMerge w:val="restart"/>
            <w:vAlign w:val="center"/>
          </w:tcPr>
          <w:p>
            <w:pPr>
              <w:jc w:val="center"/>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是</w:t>
            </w:r>
          </w:p>
          <w:p>
            <w:pPr>
              <w:jc w:val="center"/>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sym w:font="Wingdings" w:char="00A8"/>
            </w:r>
            <w:r>
              <w:rPr>
                <w:rFonts w:hint="eastAsia"/>
                <w:color w:val="000000" w:themeColor="text1"/>
                <w:sz w:val="21"/>
                <w:szCs w:val="21"/>
                <w:highlight w:val="none"/>
                <w:lang w:val="en-US" w:eastAsia="zh-CN"/>
                <w14:textFill>
                  <w14:solidFill>
                    <w14:schemeClr w14:val="tx1"/>
                  </w14:solidFill>
                </w14:textFill>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317" w:type="dxa"/>
            <w:vAlign w:val="center"/>
          </w:tcPr>
          <w:p>
            <w:pPr>
              <w:jc w:val="both"/>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资产负债率</w:t>
            </w:r>
          </w:p>
        </w:tc>
        <w:tc>
          <w:tcPr>
            <w:tcW w:w="834" w:type="dxa"/>
          </w:tcPr>
          <w:p>
            <w:pPr>
              <w:rPr>
                <w:rFonts w:ascii="宋体" w:hAnsi="宋体"/>
                <w:b/>
                <w:bCs/>
                <w:color w:val="000000" w:themeColor="text1"/>
                <w:sz w:val="21"/>
                <w:szCs w:val="21"/>
                <w:highlight w:val="none"/>
                <w:lang w:eastAsia="zh-CN"/>
                <w14:textFill>
                  <w14:solidFill>
                    <w14:schemeClr w14:val="tx1"/>
                  </w14:solidFill>
                </w14:textFill>
              </w:rPr>
            </w:pPr>
          </w:p>
        </w:tc>
        <w:tc>
          <w:tcPr>
            <w:tcW w:w="2346" w:type="dxa"/>
            <w:vMerge w:val="continue"/>
          </w:tcPr>
          <w:p>
            <w:pPr>
              <w:rPr>
                <w:color w:val="000000" w:themeColor="text1"/>
                <w:sz w:val="21"/>
                <w:szCs w:val="21"/>
                <w:highlight w:val="none"/>
                <w:lang w:eastAsia="zh-CN"/>
                <w14:textFill>
                  <w14:solidFill>
                    <w14:schemeClr w14:val="tx1"/>
                  </w14:solidFill>
                </w14:textFill>
              </w:rPr>
            </w:pPr>
          </w:p>
        </w:tc>
        <w:tc>
          <w:tcPr>
            <w:tcW w:w="1444" w:type="dxa"/>
            <w:vMerge w:val="continue"/>
          </w:tcPr>
          <w:p>
            <w:pPr>
              <w:rPr>
                <w:color w:val="000000" w:themeColor="text1"/>
                <w:sz w:val="21"/>
                <w:szCs w:val="21"/>
                <w:highlight w:val="none"/>
                <w:lang w:eastAsia="zh-CN"/>
                <w14:textFill>
                  <w14:solidFill>
                    <w14:schemeClr w14:val="tx1"/>
                  </w14:solidFill>
                </w14:textFill>
              </w:rPr>
            </w:pPr>
          </w:p>
        </w:tc>
        <w:tc>
          <w:tcPr>
            <w:tcW w:w="1060" w:type="dxa"/>
            <w:vMerge w:val="continue"/>
          </w:tcPr>
          <w:p>
            <w:pPr>
              <w:rPr>
                <w:color w:val="000000" w:themeColor="text1"/>
                <w:sz w:val="21"/>
                <w:szCs w:val="21"/>
                <w:highlight w:val="none"/>
                <w:lang w:eastAsia="zh-CN"/>
                <w14:textFill>
                  <w14:solidFill>
                    <w14:schemeClr w14:val="tx1"/>
                  </w14:solidFill>
                </w14:textFill>
              </w:rPr>
            </w:pPr>
          </w:p>
        </w:tc>
        <w:tc>
          <w:tcPr>
            <w:tcW w:w="1650" w:type="dxa"/>
            <w:vMerge w:val="continue"/>
          </w:tcPr>
          <w:p>
            <w:pPr>
              <w:rPr>
                <w:color w:val="000000" w:themeColor="text1"/>
                <w:sz w:val="21"/>
                <w:szCs w:val="21"/>
                <w:highlight w:val="none"/>
                <w:lang w:eastAsia="zh-CN"/>
                <w14:textFill>
                  <w14:solidFill>
                    <w14:schemeClr w14:val="tx1"/>
                  </w14:solidFill>
                </w14:textFill>
              </w:rPr>
            </w:pPr>
          </w:p>
        </w:tc>
      </w:tr>
    </w:tbl>
    <w:p>
      <w:pPr>
        <w:pStyle w:val="6"/>
        <w:ind w:left="0"/>
        <w:rPr>
          <w:color w:val="000000" w:themeColor="text1"/>
          <w:sz w:val="21"/>
          <w:szCs w:val="21"/>
          <w:highlight w:val="none"/>
          <w:lang w:eastAsia="zh-CN"/>
          <w14:textFill>
            <w14:solidFill>
              <w14:schemeClr w14:val="tx1"/>
            </w14:solidFill>
          </w14:textFill>
        </w:rPr>
      </w:pPr>
      <w:r>
        <w:rPr>
          <w:color w:val="000000" w:themeColor="text1"/>
          <w:sz w:val="21"/>
          <w:szCs w:val="21"/>
          <w:highlight w:val="none"/>
          <w:lang w:eastAsia="zh-CN"/>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 xml:space="preserve"> </w:t>
      </w:r>
      <w:r>
        <w:rPr>
          <w:rFonts w:hint="eastAsia"/>
          <w:color w:val="000000" w:themeColor="text1"/>
          <w:sz w:val="21"/>
          <w:szCs w:val="21"/>
          <w:highlight w:val="none"/>
          <w:lang w:val="en-US" w:eastAsia="zh-CN"/>
          <w14:textFill>
            <w14:solidFill>
              <w14:schemeClr w14:val="tx1"/>
            </w14:solidFill>
          </w14:textFill>
        </w:rPr>
        <w:t>12、</w:t>
      </w:r>
      <w:r>
        <w:rPr>
          <w:color w:val="000000" w:themeColor="text1"/>
          <w:sz w:val="21"/>
          <w:szCs w:val="21"/>
          <w:highlight w:val="none"/>
          <w14:textFill>
            <w14:solidFill>
              <w14:schemeClr w14:val="tx1"/>
            </w14:solidFill>
          </w14:textFill>
        </w:rPr>
        <w:t>我公司业绩状况、</w:t>
      </w:r>
      <w:r>
        <w:rPr>
          <w:rFonts w:hint="eastAsia" w:eastAsia="宋体"/>
          <w:color w:val="000000" w:themeColor="text1"/>
          <w:sz w:val="21"/>
          <w:szCs w:val="21"/>
          <w:highlight w:val="none"/>
          <w:lang w:val="en-US" w:eastAsia="zh-CN"/>
          <w14:textFill>
            <w14:solidFill>
              <w14:schemeClr w14:val="tx1"/>
            </w14:solidFill>
          </w14:textFill>
        </w:rPr>
        <w:t>人员社保状况、实缴注册资本状况</w:t>
      </w:r>
      <w:r>
        <w:rPr>
          <w:color w:val="000000" w:themeColor="text1"/>
          <w:sz w:val="21"/>
          <w:szCs w:val="21"/>
          <w:highlight w:val="none"/>
          <w14:textFill>
            <w14:solidFill>
              <w14:schemeClr w14:val="tx1"/>
            </w14:solidFill>
          </w14:textFill>
        </w:rPr>
        <w:t>如下</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s="宋体"/>
          <w:color w:val="000000" w:themeColor="text1"/>
          <w:sz w:val="21"/>
          <w:szCs w:val="21"/>
          <w:highlight w:val="none"/>
          <w:lang w:val="en-US" w:eastAsia="zh-CN"/>
          <w14:textFill>
            <w14:solidFill>
              <w14:schemeClr w14:val="tx1"/>
            </w14:solidFill>
          </w14:textFill>
        </w:rPr>
        <w:t>仅</w:t>
      </w:r>
      <w:r>
        <w:rPr>
          <w:rFonts w:hint="eastAsia" w:ascii="宋体" w:hAnsi="宋体" w:eastAsia="宋体" w:cs="宋体"/>
          <w:b/>
          <w:bCs/>
          <w:color w:val="000000" w:themeColor="text1"/>
          <w:sz w:val="21"/>
          <w:szCs w:val="21"/>
          <w:highlight w:val="none"/>
          <w:lang w:eastAsia="zh-CN"/>
          <w14:textFill>
            <w14:solidFill>
              <w14:schemeClr w14:val="tx1"/>
            </w14:solidFill>
          </w14:textFill>
        </w:rPr>
        <w:t>服务商</w:t>
      </w:r>
      <w:r>
        <w:rPr>
          <w:rFonts w:hint="eastAsia" w:cs="宋体"/>
          <w:color w:val="000000" w:themeColor="text1"/>
          <w:sz w:val="21"/>
          <w:szCs w:val="21"/>
          <w:highlight w:val="none"/>
          <w:lang w:val="en-US" w:eastAsia="zh-CN"/>
          <w14:textFill>
            <w14:solidFill>
              <w14:schemeClr w14:val="tx1"/>
            </w14:solidFill>
          </w14:textFill>
        </w:rPr>
        <w:t>填写</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w:t>
      </w:r>
    </w:p>
    <w:tbl>
      <w:tblPr>
        <w:tblStyle w:val="14"/>
        <w:tblW w:w="8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552"/>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972"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合同名称（海油外业绩）</w:t>
            </w:r>
          </w:p>
        </w:tc>
        <w:tc>
          <w:tcPr>
            <w:tcW w:w="2552"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自有社保人数</w:t>
            </w:r>
          </w:p>
        </w:tc>
        <w:tc>
          <w:tcPr>
            <w:tcW w:w="3228" w:type="dxa"/>
            <w:vAlign w:val="center"/>
          </w:tcPr>
          <w:p>
            <w:pPr>
              <w:jc w:val="center"/>
              <w:rPr>
                <w:rFonts w:ascii="宋体" w:hAnsi="宋体"/>
                <w:b/>
                <w:bCs/>
                <w:color w:val="000000" w:themeColor="text1"/>
                <w:sz w:val="21"/>
                <w:szCs w:val="21"/>
                <w:highlight w:val="none"/>
                <w:lang w:eastAsia="zh-CN"/>
                <w14:textFill>
                  <w14:solidFill>
                    <w14:schemeClr w14:val="tx1"/>
                  </w14:solidFill>
                </w14:textFill>
              </w:rPr>
            </w:pPr>
            <w:r>
              <w:rPr>
                <w:rFonts w:hint="eastAsia" w:ascii="宋体" w:hAnsi="宋体"/>
                <w:b/>
                <w:bCs/>
                <w:color w:val="000000" w:themeColor="text1"/>
                <w:sz w:val="21"/>
                <w:szCs w:val="21"/>
                <w:highlight w:val="none"/>
                <w:lang w:eastAsia="zh-CN"/>
                <w14:textFill>
                  <w14:solidFill>
                    <w14:schemeClr w14:val="tx1"/>
                  </w14:solidFill>
                </w14:textFill>
              </w:rPr>
              <w:t>实缴注册资本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2972" w:type="dxa"/>
          </w:tcPr>
          <w:p>
            <w:pPr>
              <w:rPr>
                <w:b/>
                <w:color w:val="000000" w:themeColor="text1"/>
                <w:sz w:val="21"/>
                <w:szCs w:val="21"/>
                <w:highlight w:val="none"/>
                <w:lang w:eastAsia="zh-CN"/>
                <w14:textFill>
                  <w14:solidFill>
                    <w14:schemeClr w14:val="tx1"/>
                  </w14:solidFill>
                </w14:textFill>
              </w:rPr>
            </w:pPr>
          </w:p>
        </w:tc>
        <w:tc>
          <w:tcPr>
            <w:tcW w:w="2552" w:type="dxa"/>
          </w:tcPr>
          <w:p>
            <w:pPr>
              <w:rPr>
                <w:b/>
                <w:color w:val="000000" w:themeColor="text1"/>
                <w:sz w:val="21"/>
                <w:szCs w:val="21"/>
                <w:highlight w:val="none"/>
                <w:lang w:eastAsia="zh-CN"/>
                <w14:textFill>
                  <w14:solidFill>
                    <w14:schemeClr w14:val="tx1"/>
                  </w14:solidFill>
                </w14:textFill>
              </w:rPr>
            </w:pPr>
          </w:p>
        </w:tc>
        <w:tc>
          <w:tcPr>
            <w:tcW w:w="3228" w:type="dxa"/>
          </w:tcPr>
          <w:p>
            <w:pPr>
              <w:rPr>
                <w:b/>
                <w:color w:val="000000" w:themeColor="text1"/>
                <w:sz w:val="21"/>
                <w:szCs w:val="21"/>
                <w:highlight w:val="none"/>
                <w:lang w:eastAsia="zh-CN"/>
                <w14:textFill>
                  <w14:solidFill>
                    <w14:schemeClr w14:val="tx1"/>
                  </w14:solidFill>
                </w14:textFill>
              </w:rPr>
            </w:pPr>
          </w:p>
        </w:tc>
      </w:tr>
    </w:tbl>
    <w:p>
      <w:pPr>
        <w:spacing w:line="348" w:lineRule="auto"/>
        <w:ind w:firstLine="422"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郑重承诺：</w:t>
      </w:r>
      <w:r>
        <w:rPr>
          <w:rFonts w:hint="eastAsia" w:ascii="宋体" w:hAnsi="宋体" w:eastAsia="宋体" w:cs="宋体"/>
          <w:color w:val="000000" w:themeColor="text1"/>
          <w:sz w:val="21"/>
          <w:szCs w:val="21"/>
          <w:highlight w:val="none"/>
          <w14:textFill>
            <w14:solidFill>
              <w14:schemeClr w14:val="tx1"/>
            </w14:solidFill>
          </w14:textFill>
        </w:rPr>
        <w:t>我公司在</w:t>
      </w:r>
      <w:r>
        <w:rPr>
          <w:rFonts w:hint="eastAsia" w:ascii="宋体" w:hAnsi="宋体" w:eastAsia="宋体" w:cs="宋体"/>
          <w:color w:val="000000" w:themeColor="text1"/>
          <w:sz w:val="21"/>
          <w:szCs w:val="21"/>
          <w:highlight w:val="none"/>
          <w:lang w:val="en-US" w:eastAsia="zh-CN"/>
          <w14:textFill>
            <w14:solidFill>
              <w14:schemeClr w14:val="tx1"/>
            </w14:solidFill>
          </w14:textFill>
        </w:rPr>
        <w:t>本次</w:t>
      </w:r>
      <w:r>
        <w:rPr>
          <w:rFonts w:hint="eastAsia" w:ascii="宋体" w:hAnsi="宋体" w:eastAsia="宋体" w:cs="宋体"/>
          <w:color w:val="000000" w:themeColor="text1"/>
          <w:sz w:val="21"/>
          <w:szCs w:val="21"/>
          <w:highlight w:val="none"/>
          <w14:textFill>
            <w14:solidFill>
              <w14:schemeClr w14:val="tx1"/>
            </w14:solidFill>
          </w14:textFill>
        </w:rPr>
        <w:t>采办项目中</w:t>
      </w:r>
      <w:r>
        <w:rPr>
          <w:rFonts w:hint="eastAsia" w:ascii="宋体" w:hAnsi="宋体" w:eastAsia="宋体" w:cs="宋体"/>
          <w:color w:val="000000" w:themeColor="text1"/>
          <w:sz w:val="21"/>
          <w:szCs w:val="21"/>
          <w:highlight w:val="none"/>
          <w:lang w:val="en-US" w:eastAsia="zh-CN"/>
          <w14:textFill>
            <w14:solidFill>
              <w14:schemeClr w14:val="tx1"/>
            </w14:solidFill>
          </w14:textFill>
        </w:rPr>
        <w:t>将严格遵守法律法规和中国海油各项管理要求</w:t>
      </w:r>
      <w:r>
        <w:rPr>
          <w:rFonts w:hint="eastAsia" w:ascii="宋体" w:hAnsi="宋体" w:eastAsia="宋体" w:cs="宋体"/>
          <w:color w:val="000000" w:themeColor="text1"/>
          <w:sz w:val="21"/>
          <w:szCs w:val="21"/>
          <w:highlight w:val="none"/>
          <w14:textFill>
            <w14:solidFill>
              <w14:schemeClr w14:val="tx1"/>
            </w14:solidFill>
          </w14:textFill>
        </w:rPr>
        <w:t>，不发生关联公司</w:t>
      </w:r>
      <w:r>
        <w:rPr>
          <w:rFonts w:hint="eastAsia" w:ascii="宋体" w:hAnsi="宋体" w:eastAsia="宋体" w:cs="宋体"/>
          <w:color w:val="000000" w:themeColor="text1"/>
          <w:sz w:val="21"/>
          <w:szCs w:val="21"/>
          <w:highlight w:val="none"/>
          <w:lang w:val="en-US" w:eastAsia="zh-CN"/>
          <w14:textFill>
            <w14:solidFill>
              <w14:schemeClr w14:val="tx1"/>
            </w14:solidFill>
          </w14:textFill>
        </w:rPr>
        <w:t>共同</w:t>
      </w:r>
      <w:r>
        <w:rPr>
          <w:rFonts w:hint="eastAsia" w:ascii="宋体" w:hAnsi="宋体" w:eastAsia="宋体" w:cs="宋体"/>
          <w:color w:val="000000" w:themeColor="text1"/>
          <w:sz w:val="21"/>
          <w:szCs w:val="21"/>
          <w:highlight w:val="none"/>
          <w14:textFill>
            <w14:solidFill>
              <w14:schemeClr w14:val="tx1"/>
            </w14:solidFill>
          </w14:textFill>
        </w:rPr>
        <w:t>参与</w:t>
      </w:r>
      <w:r>
        <w:rPr>
          <w:rFonts w:hint="eastAsia" w:ascii="宋体" w:hAnsi="宋体" w:eastAsia="宋体" w:cs="宋体"/>
          <w:color w:val="000000" w:themeColor="text1"/>
          <w:sz w:val="21"/>
          <w:szCs w:val="21"/>
          <w:highlight w:val="none"/>
          <w:lang w:val="en-US" w:eastAsia="zh-CN"/>
          <w14:textFill>
            <w14:solidFill>
              <w14:schemeClr w14:val="tx1"/>
            </w14:solidFill>
          </w14:textFill>
        </w:rPr>
        <w:t>采办</w:t>
      </w:r>
      <w:r>
        <w:rPr>
          <w:rFonts w:hint="eastAsia" w:ascii="宋体" w:hAnsi="宋体" w:eastAsia="宋体" w:cs="宋体"/>
          <w:color w:val="000000" w:themeColor="text1"/>
          <w:sz w:val="21"/>
          <w:szCs w:val="21"/>
          <w:highlight w:val="none"/>
          <w14:textFill>
            <w14:solidFill>
              <w14:schemeClr w14:val="tx1"/>
            </w14:solidFill>
          </w14:textFill>
        </w:rPr>
        <w:t>竞争情况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不发生围标串标情况</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我公司所提供信息真实、准确、合法、有效，不存在为规避中海油能源发展股份有限公司（简称“海油发展”）有关要求采取的变通行为</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上述信息如有虚假我公司将承担相关责任，并按照</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14:textFill>
            <w14:solidFill>
              <w14:schemeClr w14:val="tx1"/>
            </w14:solidFill>
          </w14:textFill>
        </w:rPr>
        <w:t>相关管理规定接受处</w:t>
      </w:r>
      <w:r>
        <w:rPr>
          <w:rFonts w:hint="eastAsia" w:ascii="宋体" w:hAnsi="宋体" w:eastAsia="宋体" w:cs="宋体"/>
          <w:color w:val="000000" w:themeColor="text1"/>
          <w:sz w:val="21"/>
          <w:szCs w:val="21"/>
          <w:highlight w:val="none"/>
          <w:lang w:val="en-US" w:eastAsia="zh-CN"/>
          <w14:textFill>
            <w14:solidFill>
              <w14:schemeClr w14:val="tx1"/>
            </w14:solidFill>
          </w14:textFill>
        </w:rPr>
        <w:t>理</w:t>
      </w:r>
      <w:r>
        <w:rPr>
          <w:rFonts w:hint="eastAsia" w:ascii="宋体" w:hAnsi="宋体" w:eastAsia="宋体" w:cs="宋体"/>
          <w:color w:val="000000" w:themeColor="text1"/>
          <w:sz w:val="21"/>
          <w:szCs w:val="21"/>
          <w:highlight w:val="none"/>
          <w:lang w:eastAsia="zh-CN"/>
          <w14:textFill>
            <w14:solidFill>
              <w14:schemeClr w14:val="tx1"/>
            </w14:solidFill>
          </w14:textFill>
        </w:rPr>
        <w:t>。我公司将严格遵守国家相关法律法规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eastAsia="zh-CN"/>
          <w14:textFill>
            <w14:solidFill>
              <w14:schemeClr w14:val="tx1"/>
            </w14:solidFill>
          </w14:textFill>
        </w:rPr>
        <w:t>及</w:t>
      </w:r>
      <w:r>
        <w:rPr>
          <w:rFonts w:hint="eastAsia" w:ascii="宋体" w:hAnsi="宋体" w:eastAsia="宋体" w:cs="宋体"/>
          <w:color w:val="000000" w:themeColor="text1"/>
          <w:sz w:val="21"/>
          <w:szCs w:val="21"/>
          <w:highlight w:val="none"/>
          <w:lang w:val="en-US" w:eastAsia="zh-CN"/>
          <w14:textFill>
            <w14:solidFill>
              <w14:schemeClr w14:val="tx1"/>
            </w14:solidFill>
          </w14:textFill>
        </w:rPr>
        <w:t>海油发展</w:t>
      </w:r>
      <w:r>
        <w:rPr>
          <w:rFonts w:hint="eastAsia" w:ascii="宋体" w:hAnsi="宋体" w:eastAsia="宋体" w:cs="宋体"/>
          <w:color w:val="000000" w:themeColor="text1"/>
          <w:sz w:val="21"/>
          <w:szCs w:val="21"/>
          <w:highlight w:val="none"/>
          <w:lang w:eastAsia="zh-CN"/>
          <w14:textFill>
            <w14:solidFill>
              <w14:schemeClr w14:val="tx1"/>
            </w14:solidFill>
          </w14:textFill>
        </w:rPr>
        <w:t>对供应商管理</w:t>
      </w:r>
      <w:r>
        <w:rPr>
          <w:rFonts w:hint="eastAsia" w:ascii="宋体" w:hAnsi="宋体" w:eastAsia="宋体" w:cs="宋体"/>
          <w:color w:val="000000" w:themeColor="text1"/>
          <w:sz w:val="21"/>
          <w:szCs w:val="21"/>
          <w:highlight w:val="none"/>
          <w:lang w:val="en-US" w:eastAsia="zh-CN"/>
          <w14:textFill>
            <w14:solidFill>
              <w14:schemeClr w14:val="tx1"/>
            </w14:solidFill>
          </w14:textFill>
        </w:rPr>
        <w:t>及准入时效</w:t>
      </w:r>
      <w:r>
        <w:rPr>
          <w:rFonts w:hint="eastAsia" w:ascii="宋体" w:hAnsi="宋体" w:eastAsia="宋体" w:cs="宋体"/>
          <w:color w:val="000000" w:themeColor="text1"/>
          <w:sz w:val="21"/>
          <w:szCs w:val="21"/>
          <w:highlight w:val="none"/>
          <w:lang w:eastAsia="zh-CN"/>
          <w14:textFill>
            <w14:solidFill>
              <w14:schemeClr w14:val="tx1"/>
            </w14:solidFill>
          </w14:textFill>
        </w:rPr>
        <w:t>的要求，</w:t>
      </w:r>
      <w:r>
        <w:rPr>
          <w:rFonts w:hint="eastAsia" w:ascii="宋体" w:hAnsi="宋体" w:eastAsia="宋体" w:cs="宋体"/>
          <w:color w:val="000000" w:themeColor="text1"/>
          <w:sz w:val="21"/>
          <w:szCs w:val="21"/>
          <w:highlight w:val="none"/>
          <w14:textFill>
            <w14:solidFill>
              <w14:schemeClr w14:val="tx1"/>
            </w14:solidFill>
          </w14:textFill>
        </w:rPr>
        <w:t>无条件接</w:t>
      </w:r>
      <w:r>
        <w:rPr>
          <w:rFonts w:hint="eastAsia" w:ascii="宋体" w:hAnsi="宋体" w:eastAsia="宋体" w:cs="宋体"/>
          <w:color w:val="000000" w:themeColor="text1"/>
          <w:sz w:val="21"/>
          <w:szCs w:val="21"/>
          <w:highlight w:val="none"/>
          <w:lang w:val="en-US" w:eastAsia="zh-CN"/>
          <w14:textFill>
            <w14:solidFill>
              <w14:schemeClr w14:val="tx1"/>
            </w14:solidFill>
          </w14:textFill>
        </w:rPr>
        <w:t>受</w:t>
      </w:r>
      <w:r>
        <w:rPr>
          <w:rFonts w:hint="eastAsia" w:ascii="宋体" w:hAnsi="宋体" w:eastAsia="宋体" w:cs="宋体"/>
          <w:color w:val="000000" w:themeColor="text1"/>
          <w:sz w:val="21"/>
          <w:szCs w:val="21"/>
          <w:highlight w:val="none"/>
          <w14:textFill>
            <w14:solidFill>
              <w14:schemeClr w14:val="tx1"/>
            </w14:solidFill>
          </w14:textFill>
        </w:rPr>
        <w:t>和配合海油发展或海油发展委托的有关机构进行的与上述内容相关的</w:t>
      </w:r>
      <w:r>
        <w:rPr>
          <w:rFonts w:hint="eastAsia" w:ascii="宋体" w:hAnsi="宋体" w:eastAsia="宋体" w:cs="宋体"/>
          <w:color w:val="000000" w:themeColor="text1"/>
          <w:sz w:val="21"/>
          <w:szCs w:val="21"/>
          <w:highlight w:val="none"/>
          <w:lang w:val="en-US" w:eastAsia="zh-CN"/>
          <w14:textFill>
            <w14:solidFill>
              <w14:schemeClr w14:val="tx1"/>
            </w14:solidFill>
          </w14:textFill>
        </w:rPr>
        <w:t>核查与审计</w:t>
      </w:r>
      <w:r>
        <w:rPr>
          <w:rFonts w:hint="eastAsia" w:ascii="宋体" w:hAnsi="宋体" w:eastAsia="宋体" w:cs="宋体"/>
          <w:color w:val="000000" w:themeColor="text1"/>
          <w:sz w:val="21"/>
          <w:szCs w:val="21"/>
          <w:highlight w:val="none"/>
          <w14:textFill>
            <w14:solidFill>
              <w14:schemeClr w14:val="tx1"/>
            </w14:solidFill>
          </w14:textFill>
        </w:rPr>
        <w:t>。当相关信息发生变更时将及时主动办理更新手续。</w:t>
      </w:r>
    </w:p>
    <w:p>
      <w:pPr>
        <w:pStyle w:val="6"/>
        <w:rPr>
          <w:rFonts w:hint="eastAsia"/>
          <w:color w:val="000000" w:themeColor="text1"/>
          <w:sz w:val="21"/>
          <w:szCs w:val="21"/>
          <w:highlight w:val="none"/>
          <w14:textFill>
            <w14:solidFill>
              <w14:schemeClr w14:val="tx1"/>
            </w14:solidFill>
          </w14:textFill>
        </w:rPr>
      </w:pPr>
    </w:p>
    <w:p>
      <w:pPr>
        <w:spacing w:line="348" w:lineRule="auto"/>
        <w:ind w:firstLine="540"/>
        <w:jc w:val="center"/>
        <w:outlineLvl w:val="9"/>
        <w:rPr>
          <w:rFonts w:hint="eastAsia"/>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（公司/单位盖章）</w:t>
      </w:r>
    </w:p>
    <w:p>
      <w:pPr>
        <w:spacing w:line="348" w:lineRule="auto"/>
        <w:jc w:val="right"/>
        <w:rPr>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年    月    日</w:t>
      </w: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信用中国”或</w:t>
      </w:r>
      <w:r>
        <w:rPr>
          <w:rFonts w:hint="eastAsia" w:asciiTheme="minorEastAsia" w:hAnsiTheme="minorEastAsia" w:cstheme="minorEastAsia"/>
          <w:b w:val="0"/>
          <w:bCs w:val="0"/>
          <w:color w:val="000000" w:themeColor="text1"/>
          <w:sz w:val="21"/>
          <w:szCs w:val="21"/>
          <w:highlight w:val="none"/>
          <w14:textFill>
            <w14:solidFill>
              <w14:schemeClr w14:val="tx1"/>
            </w14:solidFill>
          </w14:textFill>
        </w:rPr>
        <w:t>“中国执行信息公开网”</w:t>
      </w:r>
      <w:r>
        <w:rPr>
          <w:rFonts w:hint="eastAsia" w:asciiTheme="minorEastAsia" w:hAnsiTheme="minorEastAsia" w:cstheme="minorEastAsia"/>
          <w:color w:val="000000" w:themeColor="text1"/>
          <w:sz w:val="21"/>
          <w:szCs w:val="21"/>
          <w:highlight w:val="none"/>
          <w14:textFill>
            <w14:solidFill>
              <w14:schemeClr w14:val="tx1"/>
            </w14:solidFill>
          </w14:textFill>
        </w:rPr>
        <w:t>网站查询截图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6"/>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hint="eastAsia" w:asciiTheme="minorEastAsia" w:hAnsiTheme="minorEastAsia" w:cs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2：“中国裁判文书网”查询截图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Pr>
        <w:pStyle w:val="6"/>
        <w:rPr>
          <w:rFonts w:hint="eastAsia"/>
          <w:color w:val="000000" w:themeColor="text1"/>
          <w:sz w:val="21"/>
          <w:szCs w:val="21"/>
          <w:highlight w:val="none"/>
          <w:lang w:eastAsia="zh-CN"/>
          <w14:textFill>
            <w14:solidFill>
              <w14:schemeClr w14:val="tx1"/>
            </w14:solidFill>
          </w14:textFill>
        </w:rPr>
      </w:pPr>
    </w:p>
    <w:p>
      <w:pPr>
        <w:spacing w:line="360" w:lineRule="auto"/>
        <w:outlineLvl w:val="9"/>
        <w:rPr>
          <w:rFonts w:cs="宋体" w:asciiTheme="minorEastAsia" w:hAnsiTheme="minorEastAsia" w:eastAsiaTheme="minorEastAsia"/>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请提供</w:t>
      </w:r>
      <w:r>
        <w:rPr>
          <w:rFonts w:hint="eastAsia" w:asciiTheme="minorEastAsia" w:hAnsiTheme="minorEastAsia" w:cstheme="minorEastAsia"/>
          <w:color w:val="000000" w:themeColor="text1"/>
          <w:sz w:val="21"/>
          <w:szCs w:val="21"/>
          <w:highlight w:val="none"/>
          <w14:textFill>
            <w14:solidFill>
              <w14:schemeClr w14:val="tx1"/>
            </w14:solidFill>
          </w14:textFill>
        </w:rPr>
        <w:t>3：“国家企业信用信息公示系统”查询截图</w:t>
      </w:r>
      <w:r>
        <w:rPr>
          <w:rFonts w:hint="eastAsia" w:asciiTheme="minorEastAsia" w:hAnsiTheme="minorEastAsia" w:cstheme="minorEastAsia"/>
          <w:color w:val="000000" w:themeColor="text1"/>
          <w:sz w:val="21"/>
          <w:szCs w:val="21"/>
          <w:highlight w:val="none"/>
          <w:lang w:eastAsia="zh-CN"/>
          <w14:textFill>
            <w14:solidFill>
              <w14:schemeClr w14:val="tx1"/>
            </w14:solidFill>
          </w14:textFill>
        </w:rPr>
        <w:t>：</w:t>
      </w:r>
    </w:p>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pPr>
      <w:r>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br w:type="page"/>
      </w:r>
    </w:p>
    <w:p>
      <w:pPr>
        <w:pStyle w:val="22"/>
        <w:adjustRightInd/>
        <w:jc w:val="both"/>
        <w:outlineLvl w:val="1"/>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pPr>
      <w:r>
        <w:rPr>
          <w:rFonts w:hint="eastAsia" w:ascii="黑体" w:hAnsi="黑体" w:eastAsia="黑体" w:cstheme="minorBidi"/>
          <w:b/>
          <w:bCs/>
          <w:color w:val="000000" w:themeColor="text1"/>
          <w:kern w:val="2"/>
          <w:sz w:val="24"/>
          <w:szCs w:val="24"/>
          <w:highlight w:val="none"/>
          <w:lang w:val="en-US" w:eastAsia="zh-CN"/>
          <w14:textFill>
            <w14:solidFill>
              <w14:schemeClr w14:val="tx1"/>
            </w14:solidFill>
          </w14:textFill>
        </w:rPr>
        <w:t>5.9：商务偏离表</w:t>
      </w:r>
    </w:p>
    <w:p>
      <w:pPr>
        <w:pStyle w:val="22"/>
        <w:adjustRightInd/>
        <w:jc w:val="center"/>
        <w:rPr>
          <w:rFonts w:hint="eastAsia" w:hAnsi="宋体" w:eastAsiaTheme="minorEastAsia" w:cstheme="minorBidi"/>
          <w:b w:val="0"/>
          <w:kern w:val="2"/>
          <w:sz w:val="21"/>
          <w:szCs w:val="22"/>
          <w:lang w:eastAsia="zh-CN"/>
        </w:rPr>
      </w:pPr>
      <w:r>
        <w:rPr>
          <w:rFonts w:hint="eastAsia" w:hAnsi="宋体"/>
          <w:b/>
          <w:sz w:val="21"/>
          <w:szCs w:val="21"/>
        </w:rPr>
        <w:t>商务偏离条款</w:t>
      </w:r>
      <w:r>
        <w:rPr>
          <w:rFonts w:hint="eastAsia" w:hAnsi="宋体" w:eastAsiaTheme="minorEastAsia" w:cstheme="minorBidi"/>
          <w:kern w:val="2"/>
          <w:sz w:val="21"/>
          <w:szCs w:val="22"/>
          <w:lang w:eastAsia="zh-CN"/>
        </w:rPr>
        <w:t>（</w:t>
      </w:r>
      <w:r>
        <w:rPr>
          <w:rFonts w:hint="eastAsia" w:hAnsi="宋体" w:eastAsiaTheme="minorEastAsia" w:cstheme="minorBidi"/>
          <w:kern w:val="2"/>
          <w:sz w:val="21"/>
          <w:szCs w:val="22"/>
          <w:lang w:val="en-US" w:eastAsia="zh-CN"/>
        </w:rPr>
        <w:t>内容仅供参考，具体业务具体编制</w:t>
      </w:r>
      <w:r>
        <w:rPr>
          <w:rFonts w:hint="eastAsia" w:hAnsi="宋体" w:eastAsiaTheme="minorEastAsia" w:cstheme="minorBidi"/>
          <w:kern w:val="2"/>
          <w:sz w:val="21"/>
          <w:szCs w:val="22"/>
          <w:lang w:eastAsia="zh-CN"/>
        </w:rPr>
        <w:t>）</w:t>
      </w:r>
    </w:p>
    <w:p>
      <w:pPr>
        <w:pStyle w:val="22"/>
        <w:adjustRightInd/>
        <w:jc w:val="center"/>
        <w:rPr>
          <w:rFonts w:hAnsi="宋体"/>
          <w:b/>
          <w:sz w:val="21"/>
          <w:szCs w:val="21"/>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792"/>
        <w:gridCol w:w="1560"/>
        <w:gridCol w:w="2979"/>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序号</w:t>
            </w:r>
          </w:p>
        </w:tc>
        <w:tc>
          <w:tcPr>
            <w:tcW w:w="1792" w:type="dxa"/>
            <w:vAlign w:val="center"/>
          </w:tcPr>
          <w:p>
            <w:pPr>
              <w:spacing w:line="360" w:lineRule="auto"/>
              <w:jc w:val="center"/>
              <w:rPr>
                <w:rFonts w:ascii="宋体" w:hAnsi="宋体"/>
                <w:color w:val="000000"/>
              </w:rPr>
            </w:pPr>
            <w:r>
              <w:rPr>
                <w:rFonts w:hint="eastAsia" w:ascii="宋体" w:hAnsi="宋体"/>
                <w:color w:val="000000"/>
              </w:rPr>
              <w:t>商务参数</w:t>
            </w:r>
          </w:p>
        </w:tc>
        <w:tc>
          <w:tcPr>
            <w:tcW w:w="1560" w:type="dxa"/>
            <w:vAlign w:val="center"/>
          </w:tcPr>
          <w:p>
            <w:pPr>
              <w:spacing w:line="360" w:lineRule="auto"/>
              <w:jc w:val="center"/>
              <w:rPr>
                <w:rFonts w:ascii="宋体" w:hAnsi="宋体"/>
                <w:color w:val="000000"/>
              </w:rPr>
            </w:pPr>
            <w:r>
              <w:rPr>
                <w:rFonts w:hint="eastAsia" w:ascii="宋体" w:hAnsi="宋体"/>
                <w:color w:val="000000"/>
              </w:rPr>
              <w:t>是否存在异议</w:t>
            </w:r>
          </w:p>
        </w:tc>
        <w:tc>
          <w:tcPr>
            <w:tcW w:w="2979" w:type="dxa"/>
            <w:vAlign w:val="center"/>
          </w:tcPr>
          <w:p>
            <w:pPr>
              <w:spacing w:line="360" w:lineRule="auto"/>
              <w:jc w:val="center"/>
              <w:rPr>
                <w:rFonts w:ascii="宋体" w:hAnsi="宋体"/>
                <w:color w:val="000000"/>
              </w:rPr>
            </w:pPr>
            <w:r>
              <w:rPr>
                <w:rFonts w:hint="eastAsia" w:ascii="宋体" w:hAnsi="宋体"/>
                <w:color w:val="000000"/>
              </w:rPr>
              <w:t>解决方法</w:t>
            </w:r>
          </w:p>
          <w:p>
            <w:pPr>
              <w:spacing w:line="360" w:lineRule="auto"/>
              <w:jc w:val="center"/>
              <w:rPr>
                <w:rFonts w:ascii="宋体" w:hAnsi="宋体"/>
                <w:color w:val="000000"/>
              </w:rPr>
            </w:pPr>
            <w:r>
              <w:rPr>
                <w:rFonts w:hint="eastAsia" w:ascii="宋体" w:hAnsi="宋体"/>
                <w:color w:val="000000"/>
              </w:rPr>
              <w:t>（不接受/协商/接受询价方条件）</w:t>
            </w:r>
          </w:p>
        </w:tc>
        <w:tc>
          <w:tcPr>
            <w:tcW w:w="1242" w:type="dxa"/>
            <w:vAlign w:val="center"/>
          </w:tcPr>
          <w:p>
            <w:pPr>
              <w:spacing w:line="360" w:lineRule="auto"/>
              <w:jc w:val="center"/>
              <w:rPr>
                <w:rFonts w:ascii="宋体" w:hAnsi="宋体"/>
                <w:color w:val="000000"/>
              </w:rPr>
            </w:pPr>
            <w:r>
              <w:rPr>
                <w:rFonts w:hint="eastAsia" w:ascii="宋体" w:hAnsi="宋体"/>
                <w:color w:val="00000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1</w:t>
            </w:r>
          </w:p>
        </w:tc>
        <w:tc>
          <w:tcPr>
            <w:tcW w:w="1792" w:type="dxa"/>
            <w:vAlign w:val="center"/>
          </w:tcPr>
          <w:p>
            <w:pPr>
              <w:spacing w:line="360" w:lineRule="auto"/>
              <w:jc w:val="center"/>
              <w:rPr>
                <w:rFonts w:ascii="宋体" w:hAnsi="宋体"/>
                <w:color w:val="000000"/>
              </w:rPr>
            </w:pPr>
            <w:r>
              <w:rPr>
                <w:rFonts w:hint="eastAsia" w:ascii="宋体" w:hAnsi="宋体"/>
                <w:color w:val="000000"/>
              </w:rPr>
              <w:t>违约条款</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2</w:t>
            </w:r>
          </w:p>
        </w:tc>
        <w:tc>
          <w:tcPr>
            <w:tcW w:w="1792" w:type="dxa"/>
            <w:vAlign w:val="center"/>
          </w:tcPr>
          <w:p>
            <w:pPr>
              <w:spacing w:line="360" w:lineRule="auto"/>
              <w:jc w:val="center"/>
              <w:rPr>
                <w:rFonts w:ascii="宋体" w:hAnsi="宋体"/>
                <w:color w:val="000000"/>
              </w:rPr>
            </w:pPr>
            <w:r>
              <w:rPr>
                <w:rFonts w:hint="eastAsia" w:ascii="宋体" w:hAnsi="宋体"/>
                <w:color w:val="000000"/>
              </w:rPr>
              <w:t>付款方式</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3</w:t>
            </w:r>
          </w:p>
        </w:tc>
        <w:tc>
          <w:tcPr>
            <w:tcW w:w="1792" w:type="dxa"/>
            <w:vAlign w:val="center"/>
          </w:tcPr>
          <w:p>
            <w:pPr>
              <w:spacing w:line="360" w:lineRule="auto"/>
              <w:jc w:val="center"/>
              <w:rPr>
                <w:rFonts w:ascii="宋体" w:hAnsi="宋体"/>
                <w:color w:val="000000"/>
              </w:rPr>
            </w:pPr>
            <w:r>
              <w:rPr>
                <w:rFonts w:hint="eastAsia" w:ascii="宋体" w:hAnsi="宋体"/>
                <w:color w:val="000000"/>
              </w:rPr>
              <w:t>服务期</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4</w:t>
            </w:r>
          </w:p>
        </w:tc>
        <w:tc>
          <w:tcPr>
            <w:tcW w:w="1792" w:type="dxa"/>
            <w:vAlign w:val="center"/>
          </w:tcPr>
          <w:p>
            <w:pPr>
              <w:spacing w:line="360" w:lineRule="auto"/>
              <w:jc w:val="center"/>
              <w:rPr>
                <w:rFonts w:ascii="宋体" w:hAnsi="宋体"/>
                <w:color w:val="000000"/>
              </w:rPr>
            </w:pPr>
            <w:r>
              <w:rPr>
                <w:rFonts w:hint="eastAsia" w:ascii="宋体" w:hAnsi="宋体"/>
                <w:color w:val="000000"/>
              </w:rPr>
              <w:t>报价有效期</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5</w:t>
            </w:r>
          </w:p>
        </w:tc>
        <w:tc>
          <w:tcPr>
            <w:tcW w:w="1792" w:type="dxa"/>
            <w:vAlign w:val="center"/>
          </w:tcPr>
          <w:p>
            <w:pPr>
              <w:spacing w:line="360" w:lineRule="auto"/>
              <w:jc w:val="center"/>
              <w:rPr>
                <w:rFonts w:ascii="宋体" w:hAnsi="宋体"/>
                <w:color w:val="000000"/>
              </w:rPr>
            </w:pPr>
            <w:r>
              <w:rPr>
                <w:rFonts w:hint="eastAsia" w:ascii="宋体" w:hAnsi="宋体"/>
                <w:color w:val="000000"/>
              </w:rPr>
              <w:t>合同条款</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6" w:type="dxa"/>
            <w:vAlign w:val="center"/>
          </w:tcPr>
          <w:p>
            <w:pPr>
              <w:spacing w:line="360" w:lineRule="auto"/>
              <w:jc w:val="center"/>
              <w:rPr>
                <w:rFonts w:ascii="宋体" w:hAnsi="宋体"/>
                <w:color w:val="000000"/>
              </w:rPr>
            </w:pPr>
            <w:r>
              <w:rPr>
                <w:rFonts w:hint="eastAsia" w:ascii="宋体" w:hAnsi="宋体"/>
                <w:color w:val="000000"/>
              </w:rPr>
              <w:t>6</w:t>
            </w:r>
          </w:p>
        </w:tc>
        <w:tc>
          <w:tcPr>
            <w:tcW w:w="1792" w:type="dxa"/>
            <w:vAlign w:val="center"/>
          </w:tcPr>
          <w:p>
            <w:pPr>
              <w:spacing w:line="360" w:lineRule="auto"/>
              <w:jc w:val="center"/>
              <w:rPr>
                <w:rFonts w:ascii="宋体" w:hAnsi="宋体"/>
                <w:color w:val="000000"/>
              </w:rPr>
            </w:pPr>
            <w:r>
              <w:rPr>
                <w:rFonts w:hint="eastAsia" w:ascii="宋体" w:hAnsi="宋体"/>
                <w:color w:val="000000"/>
              </w:rPr>
              <w:t>其他</w:t>
            </w:r>
          </w:p>
        </w:tc>
        <w:tc>
          <w:tcPr>
            <w:tcW w:w="1560" w:type="dxa"/>
            <w:vAlign w:val="center"/>
          </w:tcPr>
          <w:p>
            <w:pPr>
              <w:spacing w:line="360" w:lineRule="auto"/>
              <w:jc w:val="center"/>
              <w:rPr>
                <w:rFonts w:ascii="宋体" w:hAnsi="宋体"/>
                <w:color w:val="000000"/>
              </w:rPr>
            </w:pPr>
          </w:p>
        </w:tc>
        <w:tc>
          <w:tcPr>
            <w:tcW w:w="2979" w:type="dxa"/>
            <w:vAlign w:val="center"/>
          </w:tcPr>
          <w:p>
            <w:pPr>
              <w:spacing w:line="360" w:lineRule="auto"/>
              <w:jc w:val="center"/>
              <w:rPr>
                <w:rFonts w:ascii="宋体" w:hAnsi="宋体"/>
                <w:color w:val="000000"/>
              </w:rPr>
            </w:pPr>
          </w:p>
        </w:tc>
        <w:tc>
          <w:tcPr>
            <w:tcW w:w="1242" w:type="dxa"/>
            <w:vAlign w:val="center"/>
          </w:tcPr>
          <w:p>
            <w:pPr>
              <w:spacing w:line="360" w:lineRule="auto"/>
              <w:jc w:val="center"/>
              <w:rPr>
                <w:rFonts w:ascii="宋体" w:hAnsi="宋体"/>
                <w:color w:val="000000"/>
              </w:rPr>
            </w:pPr>
          </w:p>
        </w:tc>
      </w:tr>
    </w:tbl>
    <w:p>
      <w:pPr>
        <w:spacing w:line="360" w:lineRule="auto"/>
        <w:rPr>
          <w:rFonts w:ascii="宋体" w:hAnsi="宋体"/>
          <w:color w:val="000000"/>
          <w:szCs w:val="21"/>
        </w:rPr>
      </w:pPr>
    </w:p>
    <w:p>
      <w:pPr>
        <w:spacing w:line="360" w:lineRule="auto"/>
        <w:rPr>
          <w:rFonts w:ascii="宋体" w:hAnsi="宋体"/>
          <w:color w:val="000000"/>
          <w:szCs w:val="21"/>
        </w:rPr>
      </w:pPr>
      <w:r>
        <w:rPr>
          <w:rFonts w:hint="eastAsia" w:ascii="宋体" w:hAnsi="宋体"/>
          <w:color w:val="000000"/>
          <w:szCs w:val="21"/>
        </w:rPr>
        <w:t>注：如果</w:t>
      </w:r>
      <w:r>
        <w:rPr>
          <w:rFonts w:hint="eastAsia" w:ascii="宋体" w:hAnsi="宋体"/>
          <w:color w:val="000000"/>
          <w:szCs w:val="21"/>
          <w:lang w:val="en-US" w:eastAsia="zh-CN"/>
        </w:rPr>
        <w:t>应答</w:t>
      </w:r>
      <w:r>
        <w:rPr>
          <w:rFonts w:hint="eastAsia" w:ascii="宋体" w:hAnsi="宋体"/>
          <w:color w:val="000000"/>
          <w:szCs w:val="21"/>
        </w:rPr>
        <w:t>人对询价文件的商务条款有异议，请在此处一一列出，</w:t>
      </w:r>
      <w:r>
        <w:rPr>
          <w:rFonts w:hint="eastAsia" w:ascii="宋体" w:hAnsi="宋体"/>
          <w:color w:val="000000"/>
          <w:szCs w:val="21"/>
          <w:lang w:val="en-US" w:eastAsia="zh-CN"/>
        </w:rPr>
        <w:t>应答</w:t>
      </w:r>
      <w:r>
        <w:rPr>
          <w:rFonts w:hint="eastAsia" w:ascii="宋体" w:hAnsi="宋体"/>
          <w:color w:val="000000"/>
          <w:szCs w:val="21"/>
        </w:rPr>
        <w:t>人的商务偏离条款将作为评标的依据之一；如若没有异议请标明“无”，否则视为放弃。</w:t>
      </w:r>
    </w:p>
    <w:p>
      <w:pPr>
        <w:spacing w:before="120" w:line="360" w:lineRule="auto"/>
        <w:rPr>
          <w:rFonts w:ascii="宋体" w:hAnsi="宋体"/>
          <w:b/>
          <w:bCs/>
          <w:color w:val="000000"/>
          <w:szCs w:val="21"/>
        </w:rPr>
      </w:pPr>
    </w:p>
    <w:p>
      <w:pPr>
        <w:spacing w:line="360" w:lineRule="auto"/>
        <w:rPr>
          <w:rFonts w:ascii="宋体" w:hAnsi="宋体"/>
          <w:color w:val="000000"/>
          <w:szCs w:val="21"/>
        </w:rPr>
      </w:pPr>
    </w:p>
    <w:p>
      <w:pPr>
        <w:spacing w:line="360" w:lineRule="auto"/>
        <w:ind w:right="840"/>
        <w:jc w:val="center"/>
        <w:rPr>
          <w:rFonts w:ascii="宋体" w:hAnsi="宋体"/>
          <w:color w:val="000000"/>
          <w:szCs w:val="21"/>
        </w:rPr>
      </w:pPr>
      <w:r>
        <w:rPr>
          <w:rFonts w:hint="eastAsia" w:ascii="宋体" w:hAnsi="宋体"/>
          <w:color w:val="000000"/>
          <w:szCs w:val="21"/>
        </w:rPr>
        <w:t xml:space="preserve">                 </w:t>
      </w:r>
      <w:r>
        <w:rPr>
          <w:rFonts w:hint="eastAsia" w:ascii="宋体" w:hAnsi="宋体"/>
          <w:color w:val="000000"/>
          <w:szCs w:val="21"/>
          <w:lang w:eastAsia="zh-CN"/>
        </w:rPr>
        <w:t>应答人</w:t>
      </w:r>
      <w:r>
        <w:rPr>
          <w:rFonts w:ascii="宋体" w:hAnsi="宋体"/>
          <w:color w:val="000000"/>
          <w:szCs w:val="21"/>
        </w:rPr>
        <w:t>：（盖章）</w:t>
      </w:r>
    </w:p>
    <w:p>
      <w:pPr>
        <w:spacing w:line="360" w:lineRule="auto"/>
        <w:jc w:val="right"/>
        <w:rPr>
          <w:rFonts w:ascii="宋体" w:hAnsi="宋体"/>
          <w:color w:val="000000"/>
          <w:szCs w:val="21"/>
        </w:rPr>
      </w:pPr>
    </w:p>
    <w:p>
      <w:pPr>
        <w:spacing w:line="360" w:lineRule="auto"/>
        <w:ind w:right="1680"/>
        <w:jc w:val="center"/>
        <w:rPr>
          <w:rFonts w:ascii="宋体" w:hAnsi="宋体"/>
          <w:color w:val="000000"/>
          <w:szCs w:val="21"/>
        </w:rPr>
      </w:pPr>
      <w:r>
        <w:rPr>
          <w:rFonts w:hint="eastAsia" w:ascii="宋体" w:hAnsi="宋体"/>
          <w:color w:val="000000"/>
          <w:szCs w:val="21"/>
        </w:rPr>
        <w:t xml:space="preserve">                               </w:t>
      </w:r>
      <w:r>
        <w:rPr>
          <w:rFonts w:ascii="宋体" w:hAnsi="宋体"/>
          <w:color w:val="000000"/>
          <w:szCs w:val="21"/>
        </w:rPr>
        <w:t>法定代表人或委托代理人：（签字）</w:t>
      </w:r>
    </w:p>
    <w:p/>
    <w:p>
      <w:pPr>
        <w:pStyle w:val="4"/>
        <w:rPr>
          <w:lang w:val="en-US" w:eastAsia="zh-CN"/>
        </w:rPr>
      </w:pPr>
    </w:p>
    <w:p>
      <w:pPr>
        <w:rPr>
          <w:lang w:val="en-US" w:eastAsia="zh-CN"/>
        </w:rPr>
      </w:pPr>
    </w:p>
    <w:p>
      <w:pPr>
        <w:pStyle w:val="4"/>
        <w:rPr>
          <w:lang w:val="en-US" w:eastAsia="zh-CN"/>
        </w:rPr>
      </w:pPr>
    </w:p>
    <w:p>
      <w:pPr>
        <w:jc w:val="left"/>
        <w:outlineLvl w:val="9"/>
        <w:rPr>
          <w:rFonts w:hint="eastAsia" w:ascii="黑体" w:hAnsi="黑体" w:eastAsia="黑体"/>
          <w:b/>
          <w:bCs/>
          <w:color w:val="000000" w:themeColor="text1"/>
          <w:sz w:val="24"/>
          <w:szCs w:val="24"/>
          <w:highlight w:val="none"/>
          <w:lang w:val="en-US" w:eastAsia="zh-CN"/>
          <w14:textFill>
            <w14:solidFill>
              <w14:schemeClr w14:val="tx1"/>
            </w14:solidFill>
          </w14:textFill>
        </w:rPr>
      </w:pPr>
    </w:p>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rPr>
          <w:rFonts w:hint="eastAsia" w:ascii="黑体" w:hAnsi="黑体" w:eastAsia="黑体"/>
          <w:b/>
          <w:bCs/>
          <w:sz w:val="24"/>
          <w:szCs w:val="24"/>
        </w:rPr>
      </w:pPr>
      <w:r>
        <w:rPr>
          <w:rFonts w:hint="eastAsia" w:ascii="黑体" w:hAnsi="黑体" w:eastAsia="黑体"/>
          <w:b/>
          <w:bCs/>
          <w:sz w:val="24"/>
          <w:szCs w:val="24"/>
        </w:rPr>
        <w:br w:type="page"/>
      </w:r>
    </w:p>
    <w:p>
      <w:pPr>
        <w:keepNext w:val="0"/>
        <w:keepLines w:val="0"/>
        <w:pageBreakBefore w:val="0"/>
        <w:widowControl/>
        <w:kinsoku/>
        <w:wordWrap/>
        <w:overflowPunct/>
        <w:topLinePunct w:val="0"/>
        <w:autoSpaceDE/>
        <w:autoSpaceDN/>
        <w:bidi w:val="0"/>
        <w:adjustRightInd/>
        <w:snapToGrid/>
        <w:textAlignment w:val="auto"/>
        <w:outlineLvl w:val="9"/>
        <w:rPr>
          <w:rFonts w:hint="default" w:ascii="黑体" w:hAnsi="黑体" w:eastAsia="黑体"/>
          <w:b/>
          <w:bCs/>
          <w:sz w:val="24"/>
          <w:szCs w:val="24"/>
          <w:lang w:val="en-US" w:eastAsia="zh-CN"/>
        </w:rPr>
      </w:pPr>
      <w:r>
        <w:rPr>
          <w:rFonts w:hint="eastAsia" w:ascii="黑体" w:hAnsi="黑体" w:eastAsia="黑体"/>
          <w:b/>
          <w:bCs/>
          <w:sz w:val="24"/>
          <w:szCs w:val="24"/>
        </w:rPr>
        <w:t>附件</w:t>
      </w:r>
      <w:r>
        <w:rPr>
          <w:rFonts w:hint="eastAsia" w:ascii="黑体" w:hAnsi="黑体" w:eastAsia="黑体"/>
          <w:b/>
          <w:bCs/>
          <w:sz w:val="24"/>
          <w:szCs w:val="24"/>
          <w:lang w:val="en-US" w:eastAsia="zh-CN"/>
        </w:rPr>
        <w:t>6：</w:t>
      </w:r>
      <w:r>
        <w:rPr>
          <w:rFonts w:hint="eastAsia" w:ascii="黑体" w:hAnsi="黑体" w:eastAsia="黑体"/>
          <w:b/>
          <w:bCs/>
          <w:sz w:val="24"/>
          <w:szCs w:val="24"/>
        </w:rPr>
        <w:t xml:space="preserve"> </w:t>
      </w:r>
      <w:r>
        <w:rPr>
          <w:rFonts w:hint="eastAsia" w:ascii="黑体" w:hAnsi="黑体" w:eastAsia="黑体"/>
          <w:b/>
          <w:bCs/>
          <w:sz w:val="24"/>
          <w:szCs w:val="24"/>
          <w:lang w:val="en-US" w:eastAsia="zh-CN"/>
        </w:rPr>
        <w:t>技术文件</w:t>
      </w:r>
    </w:p>
    <w:p>
      <w:pPr>
        <w:rPr>
          <w:rFonts w:hint="eastAsia" w:ascii="黑体" w:hAnsi="黑体" w:eastAsia="黑体"/>
          <w:sz w:val="24"/>
          <w:szCs w:val="24"/>
          <w:lang w:val="en-US" w:eastAsia="zh-CN"/>
        </w:rPr>
      </w:pPr>
    </w:p>
    <w:p>
      <w:pPr>
        <w:widowControl w:val="0"/>
        <w:numPr>
          <w:ilvl w:val="0"/>
          <w:numId w:val="0"/>
        </w:numPr>
        <w:jc w:val="both"/>
        <w:rPr>
          <w:rFonts w:hint="default"/>
          <w:lang w:val="en-US" w:eastAsia="zh-CN"/>
        </w:rPr>
      </w:pPr>
    </w:p>
    <w:p>
      <w:pPr>
        <w:tabs>
          <w:tab w:val="left" w:pos="6480"/>
          <w:tab w:val="left" w:pos="6660"/>
          <w:tab w:val="left" w:pos="9360"/>
        </w:tabs>
        <w:spacing w:line="360" w:lineRule="auto"/>
        <w:ind w:right="36" w:rightChars="17"/>
        <w:jc w:val="center"/>
        <w:rPr>
          <w:rFonts w:ascii="宋体" w:hAnsi="宋体"/>
          <w:b/>
          <w:color w:val="000000"/>
          <w:szCs w:val="21"/>
        </w:rPr>
      </w:pPr>
      <w:r>
        <w:rPr>
          <w:rFonts w:hint="eastAsia" w:ascii="宋体" w:hAnsi="宋体"/>
          <w:b/>
          <w:color w:val="000000"/>
          <w:szCs w:val="21"/>
        </w:rPr>
        <w:t>技术</w:t>
      </w:r>
      <w:r>
        <w:rPr>
          <w:rFonts w:hint="eastAsia" w:ascii="宋体" w:hAnsi="宋体"/>
          <w:b/>
          <w:color w:val="000000"/>
          <w:szCs w:val="21"/>
          <w:lang w:val="en-US" w:eastAsia="zh-CN"/>
        </w:rPr>
        <w:t>偏离</w:t>
      </w:r>
      <w:r>
        <w:rPr>
          <w:rFonts w:hint="eastAsia" w:ascii="宋体" w:hAnsi="宋体"/>
          <w:b/>
          <w:color w:val="000000"/>
          <w:szCs w:val="21"/>
        </w:rPr>
        <w:t>表</w:t>
      </w:r>
    </w:p>
    <w:tbl>
      <w:tblPr>
        <w:tblStyle w:val="13"/>
        <w:tblW w:w="8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969"/>
        <w:gridCol w:w="992"/>
        <w:gridCol w:w="170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序号</w:t>
            </w:r>
          </w:p>
        </w:tc>
        <w:tc>
          <w:tcPr>
            <w:tcW w:w="3969"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技术参数</w:t>
            </w: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是否存在异议</w:t>
            </w: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解决方法</w:t>
            </w:r>
          </w:p>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（不接受/协商/接受询价方条件）</w:t>
            </w: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rPr>
            </w:pPr>
            <w:r>
              <w:rPr>
                <w:rFonts w:hint="eastAsia" w:ascii="宋体" w:hAnsi="宋体"/>
                <w:color w:val="00000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1</w:t>
            </w:r>
          </w:p>
        </w:tc>
        <w:tc>
          <w:tcPr>
            <w:tcW w:w="3969" w:type="dxa"/>
            <w:vAlign w:val="center"/>
          </w:tcPr>
          <w:p>
            <w:pPr>
              <w:pStyle w:val="2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宋体" w:hAnsi="宋体" w:eastAsiaTheme="minorEastAsia"/>
                <w:color w:val="000000"/>
                <w:sz w:val="18"/>
                <w:szCs w:val="18"/>
                <w:highlight w:val="gree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2</w:t>
            </w:r>
          </w:p>
        </w:tc>
        <w:tc>
          <w:tcPr>
            <w:tcW w:w="3969" w:type="dxa"/>
            <w:vAlign w:val="center"/>
          </w:tcPr>
          <w:p>
            <w:pPr>
              <w:pStyle w:val="2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3</w:t>
            </w:r>
          </w:p>
        </w:tc>
        <w:tc>
          <w:tcPr>
            <w:tcW w:w="3969" w:type="dxa"/>
            <w:vAlign w:val="center"/>
          </w:tcPr>
          <w:p>
            <w:pPr>
              <w:pStyle w:val="2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4</w:t>
            </w:r>
          </w:p>
        </w:tc>
        <w:tc>
          <w:tcPr>
            <w:tcW w:w="3969" w:type="dxa"/>
            <w:vAlign w:val="center"/>
          </w:tcPr>
          <w:p>
            <w:pPr>
              <w:pStyle w:val="2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5</w:t>
            </w:r>
          </w:p>
        </w:tc>
        <w:tc>
          <w:tcPr>
            <w:tcW w:w="3969" w:type="dxa"/>
            <w:vAlign w:val="center"/>
          </w:tcPr>
          <w:p>
            <w:pPr>
              <w:pStyle w:val="23"/>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vAlign w:val="center"/>
          </w:tcPr>
          <w:p>
            <w:pPr>
              <w:pStyle w:val="23"/>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宋体" w:hAnsi="宋体" w:eastAsiaTheme="minorEastAsia" w:cstheme="minorBidi"/>
                <w:color w:val="000000"/>
                <w:kern w:val="2"/>
                <w:sz w:val="18"/>
                <w:szCs w:val="18"/>
                <w:highlight w:val="none"/>
                <w:lang w:val="en-US" w:eastAsia="zh-CN" w:bidi="ar-SA"/>
              </w:rPr>
            </w:pPr>
            <w:r>
              <w:rPr>
                <w:rFonts w:hint="eastAsia" w:ascii="宋体" w:hAnsi="宋体" w:eastAsiaTheme="minorEastAsia" w:cstheme="minorBidi"/>
                <w:color w:val="000000"/>
                <w:kern w:val="2"/>
                <w:sz w:val="18"/>
                <w:szCs w:val="18"/>
                <w:highlight w:val="none"/>
                <w:lang w:val="en-US" w:eastAsia="zh-CN" w:bidi="ar-SA"/>
              </w:rPr>
              <w:t>6</w:t>
            </w:r>
          </w:p>
        </w:tc>
        <w:tc>
          <w:tcPr>
            <w:tcW w:w="3969" w:type="dxa"/>
            <w:vAlign w:val="center"/>
          </w:tcPr>
          <w:p>
            <w:pPr>
              <w:pStyle w:val="23"/>
              <w:keepNext w:val="0"/>
              <w:keepLines w:val="0"/>
              <w:pageBreakBefore w:val="0"/>
              <w:kinsoku/>
              <w:wordWrap/>
              <w:overflowPunct/>
              <w:topLinePunct w:val="0"/>
              <w:autoSpaceDE/>
              <w:autoSpaceDN/>
              <w:bidi w:val="0"/>
              <w:adjustRightInd/>
              <w:snapToGrid/>
              <w:spacing w:line="280" w:lineRule="exact"/>
              <w:jc w:val="left"/>
              <w:textAlignment w:val="auto"/>
              <w:rPr>
                <w:rFonts w:hint="default" w:ascii="宋体" w:hAnsi="宋体" w:eastAsiaTheme="minorEastAsia" w:cstheme="minorBidi"/>
                <w:color w:val="000000"/>
                <w:kern w:val="2"/>
                <w:sz w:val="18"/>
                <w:szCs w:val="18"/>
                <w:highlight w:val="green"/>
                <w:lang w:val="en-US" w:eastAsia="zh-CN" w:bidi="ar-SA"/>
              </w:rPr>
            </w:pPr>
          </w:p>
        </w:tc>
        <w:tc>
          <w:tcPr>
            <w:tcW w:w="9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701"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c>
          <w:tcPr>
            <w:tcW w:w="1292" w:type="dxa"/>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宋体" w:hAnsi="宋体"/>
                <w:color w:val="000000"/>
                <w:sz w:val="18"/>
                <w:szCs w:val="18"/>
                <w:highlight w:val="green"/>
              </w:rPr>
            </w:pPr>
          </w:p>
        </w:tc>
      </w:tr>
    </w:tbl>
    <w:p>
      <w:pPr>
        <w:spacing w:before="50" w:line="360" w:lineRule="auto"/>
        <w:ind w:firstLine="3885" w:firstLineChars="1850"/>
        <w:rPr>
          <w:rFonts w:ascii="宋体" w:hAnsi="宋体"/>
          <w:color w:val="000000"/>
          <w:szCs w:val="21"/>
        </w:rPr>
      </w:pPr>
    </w:p>
    <w:p>
      <w:pPr>
        <w:keepNext w:val="0"/>
        <w:keepLines w:val="0"/>
        <w:pageBreakBefore w:val="0"/>
        <w:widowControl w:val="0"/>
        <w:kinsoku/>
        <w:wordWrap/>
        <w:overflowPunct/>
        <w:topLinePunct w:val="0"/>
        <w:autoSpaceDE/>
        <w:autoSpaceDN/>
        <w:bidi w:val="0"/>
        <w:adjustRightInd/>
        <w:snapToGrid/>
        <w:spacing w:before="50" w:line="240" w:lineRule="auto"/>
        <w:textAlignment w:val="auto"/>
        <w:rPr>
          <w:rFonts w:ascii="宋体" w:hAnsi="宋体"/>
          <w:color w:val="000000"/>
          <w:szCs w:val="21"/>
        </w:rPr>
      </w:pPr>
      <w:r>
        <w:rPr>
          <w:rFonts w:hint="eastAsia" w:ascii="宋体" w:hAnsi="宋体"/>
          <w:color w:val="000000"/>
          <w:szCs w:val="21"/>
        </w:rPr>
        <w:t>说明：</w:t>
      </w:r>
    </w:p>
    <w:p>
      <w:pPr>
        <w:keepNext w:val="0"/>
        <w:keepLines w:val="0"/>
        <w:pageBreakBefore w:val="0"/>
        <w:widowControl w:val="0"/>
        <w:numPr>
          <w:ilvl w:val="0"/>
          <w:numId w:val="41"/>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以上技术如无偏差，则都填“无”字。</w:t>
      </w:r>
    </w:p>
    <w:p>
      <w:pPr>
        <w:keepNext w:val="0"/>
        <w:keepLines w:val="0"/>
        <w:pageBreakBefore w:val="0"/>
        <w:widowControl w:val="0"/>
        <w:numPr>
          <w:ilvl w:val="0"/>
          <w:numId w:val="41"/>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技术标准以技术要求为基准。</w:t>
      </w:r>
    </w:p>
    <w:p>
      <w:pPr>
        <w:keepNext w:val="0"/>
        <w:keepLines w:val="0"/>
        <w:pageBreakBefore w:val="0"/>
        <w:widowControl w:val="0"/>
        <w:numPr>
          <w:ilvl w:val="0"/>
          <w:numId w:val="41"/>
        </w:numPr>
        <w:kinsoku/>
        <w:wordWrap/>
        <w:overflowPunct/>
        <w:topLinePunct w:val="0"/>
        <w:autoSpaceDE/>
        <w:autoSpaceDN/>
        <w:bidi w:val="0"/>
        <w:adjustRightInd/>
        <w:snapToGrid/>
        <w:spacing w:before="50" w:line="240" w:lineRule="auto"/>
        <w:ind w:left="420" w:hanging="420"/>
        <w:textAlignment w:val="auto"/>
        <w:rPr>
          <w:rFonts w:ascii="宋体" w:hAnsi="宋体"/>
          <w:color w:val="000000"/>
          <w:szCs w:val="21"/>
        </w:rPr>
      </w:pPr>
      <w:r>
        <w:rPr>
          <w:rFonts w:hint="eastAsia" w:ascii="宋体" w:hAnsi="宋体"/>
          <w:color w:val="000000"/>
          <w:szCs w:val="21"/>
        </w:rPr>
        <w:t>以上技术偏差将作为</w:t>
      </w:r>
      <w:r>
        <w:rPr>
          <w:rFonts w:hint="eastAsia" w:ascii="宋体" w:hAnsi="宋体"/>
          <w:color w:val="000000"/>
          <w:szCs w:val="21"/>
          <w:lang w:val="en-US" w:eastAsia="zh-CN"/>
        </w:rPr>
        <w:t>采购</w:t>
      </w:r>
      <w:r>
        <w:rPr>
          <w:rFonts w:hint="eastAsia" w:ascii="宋体" w:hAnsi="宋体"/>
          <w:color w:val="000000"/>
          <w:szCs w:val="21"/>
        </w:rPr>
        <w:t>人判断应答人报价的重要依据，请慎重考虑、酌情填写。</w:t>
      </w:r>
    </w:p>
    <w:p>
      <w:pPr>
        <w:spacing w:line="360" w:lineRule="auto"/>
        <w:rPr>
          <w:rFonts w:ascii="宋体" w:hAnsi="宋体"/>
          <w:color w:val="000000"/>
          <w:szCs w:val="21"/>
        </w:rPr>
      </w:pPr>
    </w:p>
    <w:p>
      <w:pPr>
        <w:tabs>
          <w:tab w:val="left" w:pos="0"/>
        </w:tabs>
        <w:spacing w:line="360" w:lineRule="auto"/>
        <w:ind w:firstLine="3570" w:firstLineChars="1700"/>
        <w:rPr>
          <w:rFonts w:ascii="宋体" w:hAnsi="宋体"/>
          <w:color w:val="000000"/>
          <w:szCs w:val="21"/>
          <w:u w:val="single"/>
        </w:rPr>
      </w:pPr>
      <w:r>
        <w:rPr>
          <w:rFonts w:hint="eastAsia" w:ascii="宋体" w:hAnsi="宋体"/>
          <w:color w:val="000000"/>
          <w:szCs w:val="21"/>
          <w:lang w:eastAsia="zh-CN"/>
        </w:rPr>
        <w:t>应答人</w:t>
      </w:r>
      <w:r>
        <w:rPr>
          <w:rFonts w:hint="eastAsia" w:ascii="宋体" w:hAnsi="宋体"/>
          <w:color w:val="000000"/>
          <w:szCs w:val="21"/>
        </w:rPr>
        <w:t>：（盖章）</w:t>
      </w:r>
    </w:p>
    <w:p>
      <w:pPr>
        <w:tabs>
          <w:tab w:val="left" w:pos="4320"/>
        </w:tabs>
        <w:spacing w:line="360" w:lineRule="auto"/>
        <w:ind w:firstLine="3465" w:firstLineChars="1650"/>
        <w:jc w:val="center"/>
        <w:rPr>
          <w:rFonts w:ascii="宋体" w:hAnsi="宋体"/>
          <w:color w:val="000000"/>
          <w:szCs w:val="21"/>
        </w:rPr>
      </w:pPr>
    </w:p>
    <w:p>
      <w:pPr>
        <w:tabs>
          <w:tab w:val="left" w:pos="4320"/>
        </w:tabs>
        <w:spacing w:line="360" w:lineRule="auto"/>
        <w:ind w:firstLine="3570" w:firstLineChars="1700"/>
        <w:rPr>
          <w:rFonts w:hint="eastAsia" w:ascii="宋体" w:hAnsi="宋体"/>
          <w:color w:val="000000"/>
          <w:szCs w:val="21"/>
        </w:rPr>
      </w:pPr>
      <w:r>
        <w:rPr>
          <w:rFonts w:ascii="宋体" w:hAnsi="宋体"/>
          <w:color w:val="000000"/>
          <w:szCs w:val="21"/>
        </w:rPr>
        <w:t>法定代表人或委托代理人：（签字</w:t>
      </w:r>
      <w:r>
        <w:rPr>
          <w:rFonts w:hint="eastAsia" w:ascii="宋体" w:hAnsi="宋体"/>
          <w:color w:val="000000"/>
          <w:szCs w:val="21"/>
        </w:rPr>
        <w:t>）</w:t>
      </w:r>
    </w:p>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pStyle w:val="4"/>
        <w:ind w:firstLine="0" w:firstLineChars="0"/>
        <w:rPr>
          <w:lang w:val="en-US" w:eastAsia="zh-CN"/>
        </w:rPr>
      </w:pPr>
    </w:p>
    <w:p>
      <w:pPr>
        <w:rPr>
          <w:lang w:val="en-US" w:eastAsia="zh-CN"/>
        </w:rPr>
      </w:pPr>
    </w:p>
    <w:p>
      <w:pPr>
        <w:pStyle w:val="4"/>
        <w:ind w:firstLine="0" w:firstLineChars="0"/>
        <w:rPr>
          <w:lang w:val="en-US" w:eastAsia="zh-CN"/>
        </w:rPr>
      </w:pPr>
    </w:p>
    <w:p>
      <w:pPr>
        <w:pStyle w:val="4"/>
        <w:ind w:firstLine="0" w:firstLineChars="0"/>
        <w:rPr>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黑体" w:hAnsi="黑体" w:eastAsia="黑体"/>
          <w:b/>
          <w:bCs/>
          <w:color w:val="000000" w:themeColor="text1"/>
          <w:sz w:val="24"/>
          <w:szCs w:val="24"/>
          <w:highlight w:val="none"/>
          <w:lang w:eastAsia="zh-CN"/>
          <w14:textFill>
            <w14:solidFill>
              <w14:schemeClr w14:val="tx1"/>
            </w14:solidFill>
          </w14:textFill>
        </w:rPr>
      </w:pPr>
      <w:r>
        <w:rPr>
          <w:rFonts w:hint="eastAsia" w:ascii="黑体" w:hAnsi="黑体" w:eastAsia="黑体"/>
          <w:b/>
          <w:bCs/>
          <w:color w:val="000000" w:themeColor="text1"/>
          <w:sz w:val="24"/>
          <w:szCs w:val="24"/>
          <w:highlight w:val="none"/>
          <w:lang w:val="en-US" w:eastAsia="zh-CN"/>
          <w14:textFill>
            <w14:solidFill>
              <w14:schemeClr w14:val="tx1"/>
            </w14:solidFill>
          </w14:textFill>
        </w:rPr>
        <w:t>附件7：</w:t>
      </w:r>
      <w:r>
        <w:rPr>
          <w:rFonts w:hint="eastAsia" w:ascii="黑体" w:hAnsi="黑体" w:eastAsia="黑体"/>
          <w:b/>
          <w:bCs/>
          <w:color w:val="000000" w:themeColor="text1"/>
          <w:sz w:val="24"/>
          <w:szCs w:val="24"/>
          <w:highlight w:val="none"/>
          <w14:textFill>
            <w14:solidFill>
              <w14:schemeClr w14:val="tx1"/>
            </w14:solidFill>
          </w14:textFill>
        </w:rPr>
        <w:t>报价</w:t>
      </w:r>
      <w:r>
        <w:rPr>
          <w:rFonts w:hint="eastAsia" w:ascii="黑体" w:hAnsi="黑体" w:eastAsia="黑体"/>
          <w:b/>
          <w:bCs/>
          <w:color w:val="000000" w:themeColor="text1"/>
          <w:sz w:val="24"/>
          <w:szCs w:val="24"/>
          <w:highlight w:val="none"/>
          <w:lang w:val="en-US" w:eastAsia="zh-CN"/>
          <w14:textFill>
            <w14:solidFill>
              <w14:schemeClr w14:val="tx1"/>
            </w14:solidFill>
          </w14:textFill>
        </w:rPr>
        <w:t>文件</w:t>
      </w:r>
    </w:p>
    <w:p>
      <w:pPr>
        <w:rPr>
          <w:rFonts w:ascii="黑体" w:hAnsi="黑体" w:eastAsia="黑体"/>
          <w:color w:val="000000" w:themeColor="text1"/>
          <w:sz w:val="21"/>
          <w:szCs w:val="21"/>
          <w:highlight w:val="none"/>
          <w14:textFill>
            <w14:solidFill>
              <w14:schemeClr w14:val="tx1"/>
            </w14:solidFill>
          </w14:textFill>
        </w:rPr>
      </w:pPr>
    </w:p>
    <w:p>
      <w:pPr>
        <w:pStyle w:val="19"/>
        <w:spacing w:line="360" w:lineRule="auto"/>
        <w:ind w:firstLine="0"/>
        <w:jc w:val="center"/>
        <w:rPr>
          <w:rFonts w:asciiTheme="minorEastAsia" w:hAnsiTheme="minorEastAsia" w:eastAsia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b/>
          <w:color w:val="000000" w:themeColor="text1"/>
          <w:sz w:val="21"/>
          <w:szCs w:val="21"/>
          <w:highlight w:val="none"/>
          <w14:textFill>
            <w14:solidFill>
              <w14:schemeClr w14:val="tx1"/>
            </w14:solidFill>
          </w14:textFill>
        </w:rPr>
        <w:t>报 价 单</w:t>
      </w:r>
    </w:p>
    <w:p>
      <w:pPr>
        <w:pStyle w:val="19"/>
        <w:spacing w:line="360" w:lineRule="auto"/>
        <w:ind w:firstLine="0"/>
        <w:jc w:val="center"/>
        <w:rPr>
          <w:rFonts w:asciiTheme="minorEastAsia" w:hAnsiTheme="minorEastAsia" w:eastAsiaTheme="minorEastAsia"/>
          <w:b/>
          <w:color w:val="000000" w:themeColor="text1"/>
          <w:sz w:val="21"/>
          <w:szCs w:val="21"/>
          <w:highlight w:val="none"/>
          <w14:textFill>
            <w14:solidFill>
              <w14:schemeClr w14:val="tx1"/>
            </w14:solidFill>
          </w14:textFill>
        </w:rPr>
      </w:pPr>
    </w:p>
    <w:p>
      <w:pPr>
        <w:pStyle w:val="19"/>
        <w:spacing w:line="360" w:lineRule="auto"/>
        <w:ind w:left="-18" w:leftChars="-67" w:hanging="123" w:hangingChars="59"/>
        <w:rPr>
          <w:rFonts w:hint="eastAsia" w:cs="Arial"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cs="Arial" w:asciiTheme="minorEastAsia" w:hAnsiTheme="minorEastAsia" w:eastAsiaTheme="minorEastAsia"/>
          <w:color w:val="000000" w:themeColor="text1"/>
          <w:sz w:val="21"/>
          <w:szCs w:val="21"/>
          <w:highlight w:val="none"/>
          <w14:textFill>
            <w14:solidFill>
              <w14:schemeClr w14:val="tx1"/>
            </w14:solidFill>
          </w14:textFill>
        </w:rPr>
        <w:t>项目</w:t>
      </w:r>
      <w:r>
        <w:rPr>
          <w:rFonts w:cs="Arial" w:asciiTheme="minorEastAsia" w:hAnsiTheme="minorEastAsia" w:eastAsiaTheme="minorEastAsia"/>
          <w:color w:val="000000" w:themeColor="text1"/>
          <w:sz w:val="21"/>
          <w:szCs w:val="21"/>
          <w:highlight w:val="none"/>
          <w14:textFill>
            <w14:solidFill>
              <w14:schemeClr w14:val="tx1"/>
            </w14:solidFill>
          </w14:textFill>
        </w:rPr>
        <w:t>名称：</w:t>
      </w:r>
      <w:r>
        <w:rPr>
          <w:rFonts w:hint="eastAsia" w:cs="Arial" w:asciiTheme="minorEastAsia" w:hAnsiTheme="minorEastAsia" w:eastAsiaTheme="minorEastAsia"/>
          <w:color w:val="000000" w:themeColor="text1"/>
          <w:sz w:val="21"/>
          <w:szCs w:val="21"/>
          <w:highlight w:val="none"/>
          <w14:textFill>
            <w14:solidFill>
              <w14:schemeClr w14:val="tx1"/>
            </w14:solidFill>
          </w14:textFill>
        </w:rPr>
        <w:t>舟山物流公司码头泊位扩建工程（册子水道）海域水质及生态现状监测调查服务</w:t>
      </w:r>
      <w:r>
        <w:rPr>
          <w:rFonts w:hint="eastAsia" w:cs="Arial" w:asciiTheme="minorEastAsia" w:hAnsiTheme="minorEastAsia" w:eastAsiaTheme="minorEastAsia"/>
          <w:color w:val="000000" w:themeColor="text1"/>
          <w:sz w:val="21"/>
          <w:szCs w:val="21"/>
          <w:highlight w:val="none"/>
          <w:lang w:val="en-US" w:eastAsia="zh-CN"/>
          <w14:textFill>
            <w14:solidFill>
              <w14:schemeClr w14:val="tx1"/>
            </w14:solidFill>
          </w14:textFill>
        </w:rPr>
        <w:t xml:space="preserve">       </w:t>
      </w:r>
    </w:p>
    <w:p>
      <w:pPr>
        <w:pStyle w:val="19"/>
        <w:spacing w:line="360" w:lineRule="auto"/>
        <w:ind w:left="-18" w:leftChars="-67" w:hanging="123" w:hangingChars="59"/>
        <w:rPr>
          <w:rFonts w:cs="Arial" w:asciiTheme="minorEastAsia" w:hAnsiTheme="minorEastAsia" w:eastAsiaTheme="minorEastAsia"/>
          <w:color w:val="000000" w:themeColor="text1"/>
          <w:sz w:val="21"/>
          <w:szCs w:val="21"/>
          <w:highlight w:val="none"/>
          <w14:textFill>
            <w14:solidFill>
              <w14:schemeClr w14:val="tx1"/>
            </w14:solidFill>
          </w14:textFill>
        </w:rPr>
      </w:pPr>
      <w:r>
        <w:rPr>
          <w:rFonts w:asciiTheme="minorEastAsia" w:hAnsiTheme="minorEastAsia" w:eastAsiaTheme="minorEastAsia"/>
          <w:color w:val="000000" w:themeColor="text1"/>
          <w:sz w:val="21"/>
          <w:szCs w:val="21"/>
          <w:highlight w:val="none"/>
          <w14:textFill>
            <w14:solidFill>
              <w14:schemeClr w14:val="tx1"/>
            </w14:solidFill>
          </w14:textFill>
        </w:rPr>
        <w:t>报价</w:t>
      </w:r>
      <w:r>
        <w:rPr>
          <w:rFonts w:hint="eastAsia" w:asciiTheme="minorEastAsia" w:hAnsiTheme="minorEastAsia" w:eastAsiaTheme="minorEastAsia"/>
          <w:color w:val="000000" w:themeColor="text1"/>
          <w:sz w:val="21"/>
          <w:szCs w:val="21"/>
          <w:highlight w:val="none"/>
          <w14:textFill>
            <w14:solidFill>
              <w14:schemeClr w14:val="tx1"/>
            </w14:solidFill>
          </w14:textFill>
        </w:rPr>
        <w:t>单位：元；    货币</w:t>
      </w:r>
      <w:r>
        <w:rPr>
          <w:rFonts w:asciiTheme="minorEastAsia" w:hAnsiTheme="minorEastAsia" w:eastAsiaTheme="minorEastAsia"/>
          <w:color w:val="000000" w:themeColor="text1"/>
          <w:sz w:val="21"/>
          <w:szCs w:val="21"/>
          <w:highlight w:val="none"/>
          <w14:textFill>
            <w14:solidFill>
              <w14:schemeClr w14:val="tx1"/>
            </w14:solidFill>
          </w14:textFill>
        </w:rPr>
        <w:t>单位：</w:t>
      </w:r>
      <w:r>
        <w:rPr>
          <w:rFonts w:hint="eastAsia" w:asciiTheme="minorEastAsia" w:hAnsiTheme="minorEastAsia" w:eastAsiaTheme="minorEastAsia"/>
          <w:color w:val="000000" w:themeColor="text1"/>
          <w:sz w:val="21"/>
          <w:szCs w:val="21"/>
          <w:highlight w:val="none"/>
          <w14:textFill>
            <w14:solidFill>
              <w14:schemeClr w14:val="tx1"/>
            </w14:solidFill>
          </w14:textFill>
        </w:rPr>
        <w:t>人民币</w:t>
      </w:r>
    </w:p>
    <w:tbl>
      <w:tblPr>
        <w:tblStyle w:val="13"/>
        <w:tblW w:w="9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2310"/>
        <w:gridCol w:w="927"/>
        <w:gridCol w:w="643"/>
        <w:gridCol w:w="712"/>
        <w:gridCol w:w="1275"/>
        <w:gridCol w:w="122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shd w:val="clear" w:color="auto" w:fill="auto"/>
            <w:vAlign w:val="center"/>
          </w:tcPr>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序号</w:t>
            </w:r>
          </w:p>
        </w:tc>
        <w:tc>
          <w:tcPr>
            <w:tcW w:w="2310" w:type="dxa"/>
            <w:shd w:val="clear" w:color="auto" w:fill="auto"/>
            <w:vAlign w:val="center"/>
          </w:tcPr>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服务</w:t>
            </w:r>
            <w:r>
              <w:rPr>
                <w:rFonts w:asciiTheme="minorEastAsia" w:hAnsiTheme="minorEastAsia" w:eastAsiaTheme="minorEastAsia"/>
                <w:color w:val="000000" w:themeColor="text1"/>
                <w:sz w:val="21"/>
                <w:szCs w:val="21"/>
                <w:highlight w:val="none"/>
                <w14:textFill>
                  <w14:solidFill>
                    <w14:schemeClr w14:val="tx1"/>
                  </w14:solidFill>
                </w14:textFill>
              </w:rPr>
              <w:t>名称</w:t>
            </w:r>
          </w:p>
        </w:tc>
        <w:tc>
          <w:tcPr>
            <w:tcW w:w="927" w:type="dxa"/>
            <w:shd w:val="clear" w:color="auto" w:fill="auto"/>
            <w:vAlign w:val="center"/>
          </w:tcPr>
          <w:p>
            <w:pPr>
              <w:pStyle w:val="19"/>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单位</w:t>
            </w:r>
          </w:p>
        </w:tc>
        <w:tc>
          <w:tcPr>
            <w:tcW w:w="643" w:type="dxa"/>
            <w:shd w:val="clear" w:color="auto" w:fill="auto"/>
            <w:vAlign w:val="center"/>
          </w:tcPr>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数量</w:t>
            </w:r>
          </w:p>
        </w:tc>
        <w:tc>
          <w:tcPr>
            <w:tcW w:w="712" w:type="dxa"/>
            <w:shd w:val="clear" w:color="auto" w:fill="auto"/>
            <w:vAlign w:val="center"/>
          </w:tcPr>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税率</w:t>
            </w:r>
          </w:p>
        </w:tc>
        <w:tc>
          <w:tcPr>
            <w:tcW w:w="1275" w:type="dxa"/>
            <w:shd w:val="clear" w:color="auto" w:fill="auto"/>
            <w:vAlign w:val="center"/>
          </w:tcPr>
          <w:p>
            <w:pPr>
              <w:pStyle w:val="19"/>
              <w:spacing w:line="360" w:lineRule="auto"/>
              <w:ind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不含税</w:t>
            </w:r>
          </w:p>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单价</w:t>
            </w:r>
          </w:p>
        </w:tc>
        <w:tc>
          <w:tcPr>
            <w:tcW w:w="1225" w:type="dxa"/>
            <w:shd w:val="clear" w:color="auto" w:fill="auto"/>
            <w:vAlign w:val="center"/>
          </w:tcPr>
          <w:p>
            <w:pPr>
              <w:pStyle w:val="19"/>
              <w:spacing w:line="360" w:lineRule="auto"/>
              <w:ind w:firstLine="0"/>
              <w:jc w:val="center"/>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不含税</w:t>
            </w:r>
          </w:p>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小计</w:t>
            </w:r>
          </w:p>
        </w:tc>
        <w:tc>
          <w:tcPr>
            <w:tcW w:w="1350" w:type="dxa"/>
            <w:shd w:val="clear" w:color="auto" w:fill="auto"/>
            <w:vAlign w:val="center"/>
          </w:tcPr>
          <w:p>
            <w:pPr>
              <w:pStyle w:val="19"/>
              <w:spacing w:line="360" w:lineRule="auto"/>
              <w:ind w:firstLine="0"/>
              <w:jc w:val="center"/>
              <w:rPr>
                <w:rFonts w:hint="default"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含税小计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shd w:val="clear" w:color="auto" w:fill="auto"/>
            <w:vAlign w:val="center"/>
          </w:tcPr>
          <w:p>
            <w:pPr>
              <w:pStyle w:val="19"/>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w:t>
            </w:r>
          </w:p>
        </w:tc>
        <w:tc>
          <w:tcPr>
            <w:tcW w:w="2310" w:type="dxa"/>
            <w:shd w:val="clear" w:color="auto" w:fill="auto"/>
            <w:vAlign w:val="center"/>
          </w:tcPr>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舟山物流公司码头泊位扩建工程（册子水道）海域水质及生态现状监测调查服务</w:t>
            </w:r>
          </w:p>
        </w:tc>
        <w:tc>
          <w:tcPr>
            <w:tcW w:w="927" w:type="dxa"/>
            <w:shd w:val="clear" w:color="auto" w:fill="auto"/>
            <w:vAlign w:val="center"/>
          </w:tcPr>
          <w:p>
            <w:pPr>
              <w:pStyle w:val="19"/>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项</w:t>
            </w:r>
          </w:p>
        </w:tc>
        <w:tc>
          <w:tcPr>
            <w:tcW w:w="643" w:type="dxa"/>
            <w:shd w:val="clear" w:color="auto" w:fill="auto"/>
            <w:vAlign w:val="center"/>
          </w:tcPr>
          <w:p>
            <w:pPr>
              <w:pStyle w:val="19"/>
              <w:spacing w:line="360" w:lineRule="auto"/>
              <w:ind w:firstLine="0"/>
              <w:jc w:val="cente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1</w:t>
            </w:r>
          </w:p>
        </w:tc>
        <w:tc>
          <w:tcPr>
            <w:tcW w:w="712" w:type="dxa"/>
            <w:shd w:val="clear" w:color="auto" w:fill="auto"/>
            <w:vAlign w:val="center"/>
          </w:tcPr>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c>
          <w:tcPr>
            <w:tcW w:w="1275" w:type="dxa"/>
            <w:shd w:val="clear" w:color="auto" w:fill="auto"/>
            <w:vAlign w:val="center"/>
          </w:tcPr>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c>
          <w:tcPr>
            <w:tcW w:w="1225" w:type="dxa"/>
            <w:shd w:val="clear" w:color="auto" w:fill="auto"/>
            <w:vAlign w:val="center"/>
          </w:tcPr>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c>
          <w:tcPr>
            <w:tcW w:w="1350" w:type="dxa"/>
            <w:shd w:val="clear" w:color="auto" w:fill="auto"/>
            <w:vAlign w:val="center"/>
          </w:tcPr>
          <w:p>
            <w:pPr>
              <w:pStyle w:val="19"/>
              <w:spacing w:line="360" w:lineRule="auto"/>
              <w:ind w:firstLine="0"/>
              <w:jc w:val="center"/>
              <w:rPr>
                <w:rFonts w:asciiTheme="minorEastAsia" w:hAnsiTheme="minorEastAsia" w:eastAsiaTheme="minorEastAsia"/>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7" w:type="dxa"/>
            <w:gridSpan w:val="8"/>
            <w:shd w:val="clear" w:color="auto" w:fill="auto"/>
            <w:vAlign w:val="center"/>
          </w:tcPr>
          <w:p>
            <w:pPr>
              <w:pStyle w:val="19"/>
              <w:spacing w:line="360" w:lineRule="auto"/>
              <w:ind w:firstLine="0"/>
              <w:jc w:val="left"/>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不含税</w:t>
            </w:r>
            <w:r>
              <w:rPr>
                <w:rFonts w:hint="eastAsia" w:asciiTheme="minorEastAsia" w:hAnsiTheme="minorEastAsia" w:eastAsiaTheme="minorEastAsia"/>
                <w:color w:val="000000" w:themeColor="text1"/>
                <w:sz w:val="21"/>
                <w:szCs w:val="21"/>
                <w:highlight w:val="none"/>
                <w14:textFill>
                  <w14:solidFill>
                    <w14:schemeClr w14:val="tx1"/>
                  </w14:solidFill>
                </w14:textFill>
              </w:rPr>
              <w:t>合计（</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小</w:t>
            </w:r>
            <w:r>
              <w:rPr>
                <w:rFonts w:hint="eastAsia" w:asciiTheme="minorEastAsia" w:hAnsiTheme="minorEastAsia" w:eastAsiaTheme="minorEastAsia"/>
                <w:color w:val="000000" w:themeColor="text1"/>
                <w:sz w:val="21"/>
                <w:szCs w:val="21"/>
                <w:highlight w:val="none"/>
                <w14:textFill>
                  <w14:solidFill>
                    <w14:schemeClr w14:val="tx1"/>
                  </w14:solidFill>
                </w14:textFill>
              </w:rPr>
              <w:t>写）</w:t>
            </w:r>
            <w:r>
              <w:rPr>
                <w:rFonts w:asciiTheme="minorEastAsia" w:hAnsiTheme="minorEastAsia" w:eastAsiaTheme="minorEastAsia"/>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7" w:type="dxa"/>
            <w:gridSpan w:val="8"/>
            <w:shd w:val="clear" w:color="auto" w:fill="auto"/>
            <w:vAlign w:val="center"/>
          </w:tcPr>
          <w:p>
            <w:pPr>
              <w:pStyle w:val="19"/>
              <w:spacing w:line="360" w:lineRule="auto"/>
              <w:ind w:firstLine="0"/>
              <w:jc w:val="lef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含税</w:t>
            </w:r>
            <w:r>
              <w:rPr>
                <w:rFonts w:asciiTheme="minorEastAsia" w:hAnsiTheme="minorEastAsia" w:eastAsiaTheme="minorEastAsia"/>
                <w:color w:val="000000" w:themeColor="text1"/>
                <w:sz w:val="21"/>
                <w:szCs w:val="21"/>
                <w:highlight w:val="none"/>
                <w14:textFill>
                  <w14:solidFill>
                    <w14:schemeClr w14:val="tx1"/>
                  </w14:solidFill>
                </w14:textFill>
              </w:rPr>
              <w:t>总价</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小</w:t>
            </w:r>
            <w:r>
              <w:rPr>
                <w:rFonts w:hint="eastAsia" w:asciiTheme="minorEastAsia" w:hAnsiTheme="minorEastAsia" w:eastAsiaTheme="minorEastAsia"/>
                <w:color w:val="000000" w:themeColor="text1"/>
                <w:sz w:val="21"/>
                <w:szCs w:val="21"/>
                <w:highlight w:val="none"/>
                <w14:textFill>
                  <w14:solidFill>
                    <w14:schemeClr w14:val="tx1"/>
                  </w14:solidFill>
                </w14:textFill>
              </w:rPr>
              <w:t>写）：</w:t>
            </w:r>
          </w:p>
        </w:tc>
      </w:tr>
    </w:tbl>
    <w:p>
      <w:pPr>
        <w:snapToGrid w:val="0"/>
        <w:spacing w:line="360" w:lineRule="auto"/>
        <w:rPr>
          <w:rFonts w:asciiTheme="minorEastAsia" w:hAnsiTheme="minorEastAsia"/>
          <w:color w:val="000000" w:themeColor="text1"/>
          <w:sz w:val="21"/>
          <w:szCs w:val="21"/>
          <w:highlight w:val="none"/>
          <w14:textFill>
            <w14:solidFill>
              <w14:schemeClr w14:val="tx1"/>
            </w14:solidFill>
          </w14:textFill>
        </w:rPr>
      </w:pPr>
    </w:p>
    <w:p>
      <w:pPr>
        <w:snapToGrid w:val="0"/>
        <w:spacing w:line="360" w:lineRule="auto"/>
        <w:rPr>
          <w:rFonts w:asciiTheme="minorEastAsia" w:hAnsiTheme="minorEastAsia"/>
          <w:color w:val="000000" w:themeColor="text1"/>
          <w:sz w:val="21"/>
          <w:szCs w:val="21"/>
          <w:highlight w:val="none"/>
          <w14:textFill>
            <w14:solidFill>
              <w14:schemeClr w14:val="tx1"/>
            </w14:solidFill>
          </w14:textFill>
        </w:rPr>
      </w:pPr>
      <w:r>
        <w:rPr>
          <w:rFonts w:asciiTheme="minorEastAsia" w:hAnsiTheme="minorEastAsia"/>
          <w:color w:val="000000" w:themeColor="text1"/>
          <w:sz w:val="21"/>
          <w:szCs w:val="21"/>
          <w:highlight w:val="none"/>
          <w14:textFill>
            <w14:solidFill>
              <w14:schemeClr w14:val="tx1"/>
            </w14:solidFill>
          </w14:textFill>
        </w:rPr>
        <w:t>注：</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1、</w:t>
      </w:r>
      <w:r>
        <w:rPr>
          <w:rFonts w:asciiTheme="minorEastAsia" w:hAnsiTheme="minorEastAsia"/>
          <w:color w:val="000000" w:themeColor="text1"/>
          <w:sz w:val="21"/>
          <w:szCs w:val="21"/>
          <w:highlight w:val="none"/>
          <w14:textFill>
            <w14:solidFill>
              <w14:schemeClr w14:val="tx1"/>
            </w14:solidFill>
          </w14:textFill>
        </w:rPr>
        <w:t>报价有效期：</w:t>
      </w:r>
      <w:r>
        <w:rPr>
          <w:rFonts w:hint="eastAsia" w:asciiTheme="minorEastAsia" w:hAnsiTheme="minorEastAsia"/>
          <w:color w:val="000000" w:themeColor="text1"/>
          <w:sz w:val="21"/>
          <w:szCs w:val="21"/>
          <w:highlight w:val="none"/>
          <w14:textFill>
            <w14:solidFill>
              <w14:schemeClr w14:val="tx1"/>
            </w14:solidFill>
          </w14:textFill>
        </w:rPr>
        <w:t>自应答截止日次日起</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snapToGrid w:val="0"/>
        <w:spacing w:line="276" w:lineRule="auto"/>
        <w:rPr>
          <w:rFonts w:asciiTheme="minorEastAsia" w:hAnsiTheme="minorEastAsia"/>
          <w:color w:val="000000" w:themeColor="text1"/>
          <w:sz w:val="21"/>
          <w:szCs w:val="21"/>
          <w:highlight w:val="none"/>
          <w14:textFill>
            <w14:solidFill>
              <w14:schemeClr w14:val="tx1"/>
            </w14:solidFill>
          </w14:textFill>
        </w:rPr>
      </w:pPr>
      <w:r>
        <w:rPr>
          <w:rFonts w:hint="eastAsia" w:asciiTheme="minorEastAsia" w:hAnsiTheme="minorEastAsia"/>
          <w:color w:val="000000" w:themeColor="text1"/>
          <w:sz w:val="21"/>
          <w:szCs w:val="21"/>
          <w:highlight w:val="none"/>
          <w14:textFill>
            <w14:solidFill>
              <w14:schemeClr w14:val="tx1"/>
            </w14:solidFill>
          </w14:textFill>
        </w:rPr>
        <w:t>2、</w:t>
      </w:r>
      <w:r>
        <w:rPr>
          <w:rFonts w:hint="eastAsia" w:asciiTheme="minorEastAsia" w:hAnsiTheme="minorEastAsia"/>
          <w:color w:val="000000" w:themeColor="text1"/>
          <w:sz w:val="21"/>
          <w:szCs w:val="21"/>
          <w:highlight w:val="none"/>
          <w:lang w:val="en-US" w:eastAsia="zh-CN"/>
          <w14:textFill>
            <w14:solidFill>
              <w14:schemeClr w14:val="tx1"/>
            </w14:solidFill>
          </w14:textFill>
        </w:rPr>
        <w:t>服务期：</w:t>
      </w:r>
      <w:r>
        <w:rPr>
          <w:rFonts w:asciiTheme="minorEastAsia" w:hAnsiTheme="minorEastAsia"/>
          <w:color w:val="000000" w:themeColor="text1"/>
          <w:sz w:val="21"/>
          <w:szCs w:val="21"/>
          <w:highlight w:val="none"/>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个日历日</w:t>
      </w:r>
      <w:r>
        <w:rPr>
          <w:rFonts w:hint="eastAsia" w:asciiTheme="minorEastAsia" w:hAnsi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color w:val="000000" w:themeColor="text1"/>
          <w:sz w:val="21"/>
          <w:szCs w:val="21"/>
          <w:highlight w:val="none"/>
          <w14:textFill>
            <w14:solidFill>
              <w14:schemeClr w14:val="tx1"/>
            </w14:solidFill>
          </w14:textFill>
        </w:rPr>
        <w:t>（请应答人</w:t>
      </w:r>
      <w:r>
        <w:rPr>
          <w:rFonts w:asciiTheme="minorEastAsia" w:hAnsiTheme="minorEastAsia"/>
          <w:color w:val="000000" w:themeColor="text1"/>
          <w:sz w:val="21"/>
          <w:szCs w:val="21"/>
          <w:highlight w:val="none"/>
          <w14:textFill>
            <w14:solidFill>
              <w14:schemeClr w14:val="tx1"/>
            </w14:solidFill>
          </w14:textFill>
        </w:rPr>
        <w:t>响应</w:t>
      </w:r>
      <w:r>
        <w:rPr>
          <w:rFonts w:hint="eastAsia" w:asciiTheme="minorEastAsia" w:hAnsiTheme="minorEastAsia"/>
          <w:color w:val="000000" w:themeColor="text1"/>
          <w:sz w:val="21"/>
          <w:szCs w:val="21"/>
          <w:highlight w:val="none"/>
          <w14:textFill>
            <w14:solidFill>
              <w14:schemeClr w14:val="tx1"/>
            </w14:solidFill>
          </w14:textFill>
        </w:rPr>
        <w:t>）</w:t>
      </w:r>
    </w:p>
    <w:p>
      <w:pPr>
        <w:pStyle w:val="19"/>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asciiTheme="minorEastAsia" w:hAnsiTheme="minorEastAsia" w:eastAsia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olor w:val="000000" w:themeColor="text1"/>
          <w:sz w:val="21"/>
          <w:szCs w:val="21"/>
          <w:highlight w:val="none"/>
          <w14:textFill>
            <w14:solidFill>
              <w14:schemeClr w14:val="tx1"/>
            </w14:solidFill>
          </w14:textFill>
        </w:rPr>
        <w:t>、以上报价包括：</w:t>
      </w:r>
      <w:r>
        <w:rPr>
          <w:rFonts w:asciiTheme="minorEastAsia" w:hAnsiTheme="minorEastAsia" w:eastAsia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费用。人工费、材料费、设施设备费、管理费、服务费、税费、利润、税金/其它应付款项，报价文件中规定的其它义务/风险/责任有关的费用及一切与履行本询价文件有关的于此处未列明的其它所有费用。固定单价在询价有效期和其必要的延长期内是固定的，不因通货膨胀、利/汇率、税/费变化而作任何调整</w:t>
      </w: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响应</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19"/>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4、开具</w:t>
      </w:r>
      <w:r>
        <w:rPr>
          <w:rFonts w:asciiTheme="minorEastAsia" w:hAnsiTheme="minorEastAsia" w:eastAsiaTheme="minorEastAsia"/>
          <w:color w:val="000000" w:themeColor="text1"/>
          <w:sz w:val="21"/>
          <w:szCs w:val="21"/>
          <w:highlight w:val="none"/>
          <w14:textFill>
            <w14:solidFill>
              <w14:schemeClr w14:val="tx1"/>
            </w14:solidFill>
          </w14:textFill>
        </w:rPr>
        <w:t>发票种类：增值税专用发票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增值税普通发票</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r>
        <w:rPr>
          <w:rFonts w:asciiTheme="minorEastAsia" w:hAnsiTheme="minorEastAsia" w:eastAsiaTheme="minorEastAsia"/>
          <w:color w:val="000000" w:themeColor="text1"/>
          <w:sz w:val="21"/>
          <w:szCs w:val="21"/>
          <w:highlight w:val="none"/>
          <w14:textFill>
            <w14:solidFill>
              <w14:schemeClr w14:val="tx1"/>
            </w14:solidFill>
          </w14:textFill>
        </w:rPr>
        <w:t>其它</w:t>
      </w:r>
      <w:r>
        <w:rPr>
          <w:rFonts w:hint="eastAsia" w:asciiTheme="minorEastAsia" w:hAnsiTheme="minorEastAsia" w:eastAsiaTheme="minorEastAsia"/>
          <w:color w:val="000000" w:themeColor="text1"/>
          <w:sz w:val="21"/>
          <w:szCs w:val="21"/>
          <w:highlight w:val="none"/>
          <w14:textFill>
            <w14:solidFill>
              <w14:schemeClr w14:val="tx1"/>
            </w14:solidFill>
          </w14:textFill>
        </w:rPr>
        <w:t>。（请应答人</w:t>
      </w:r>
      <w:r>
        <w:rPr>
          <w:rFonts w:asciiTheme="minorEastAsia" w:hAnsiTheme="minorEastAsia" w:eastAsiaTheme="minorEastAsia"/>
          <w:color w:val="000000" w:themeColor="text1"/>
          <w:sz w:val="21"/>
          <w:szCs w:val="21"/>
          <w:highlight w:val="none"/>
          <w14:textFill>
            <w14:solidFill>
              <w14:schemeClr w14:val="tx1"/>
            </w14:solidFill>
          </w14:textFill>
        </w:rPr>
        <w:t>如实填写</w:t>
      </w:r>
      <w:r>
        <w:rPr>
          <w:rFonts w:hint="eastAsia" w:asciiTheme="minorEastAsia" w:hAnsiTheme="minorEastAsia" w:eastAsiaTheme="minorEastAsia"/>
          <w:color w:val="000000" w:themeColor="text1"/>
          <w:sz w:val="21"/>
          <w:szCs w:val="21"/>
          <w:highlight w:val="none"/>
          <w14:textFill>
            <w14:solidFill>
              <w14:schemeClr w14:val="tx1"/>
            </w14:solidFill>
          </w14:textFill>
        </w:rPr>
        <w:t>具体</w:t>
      </w:r>
      <w:r>
        <w:rPr>
          <w:rFonts w:asciiTheme="minorEastAsia" w:hAnsiTheme="minorEastAsia" w:eastAsiaTheme="minorEastAsia"/>
          <w:color w:val="000000" w:themeColor="text1"/>
          <w:sz w:val="21"/>
          <w:szCs w:val="21"/>
          <w:highlight w:val="none"/>
          <w14:textFill>
            <w14:solidFill>
              <w14:schemeClr w14:val="tx1"/>
            </w14:solidFill>
          </w14:textFill>
        </w:rPr>
        <w:t>发票种类</w:t>
      </w:r>
      <w:r>
        <w:rPr>
          <w:rFonts w:hint="eastAsia" w:asciiTheme="minorEastAsia" w:hAnsiTheme="minorEastAsia" w:eastAsiaTheme="minorEastAsia"/>
          <w:color w:val="000000" w:themeColor="text1"/>
          <w:sz w:val="21"/>
          <w:szCs w:val="21"/>
          <w:highlight w:val="none"/>
          <w14:textFill>
            <w14:solidFill>
              <w14:schemeClr w14:val="tx1"/>
            </w14:solidFill>
          </w14:textFill>
        </w:rPr>
        <w:t>）</w:t>
      </w:r>
    </w:p>
    <w:p>
      <w:pPr>
        <w:pStyle w:val="19"/>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5、其它</w:t>
      </w:r>
      <w:r>
        <w:rPr>
          <w:rFonts w:asciiTheme="minorEastAsia" w:hAnsiTheme="minorEastAsia" w:eastAsiaTheme="minorEastAsia"/>
          <w:color w:val="000000" w:themeColor="text1"/>
          <w:sz w:val="21"/>
          <w:szCs w:val="21"/>
          <w:highlight w:val="none"/>
          <w14:textFill>
            <w14:solidFill>
              <w14:schemeClr w14:val="tx1"/>
            </w14:solidFill>
          </w14:textFill>
        </w:rPr>
        <w:t>。应答人如有其它说明请补充。</w:t>
      </w:r>
    </w:p>
    <w:p>
      <w:pPr>
        <w:pStyle w:val="19"/>
        <w:spacing w:line="276" w:lineRule="auto"/>
        <w:ind w:firstLine="0"/>
        <w:jc w:val="left"/>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olor w:val="000000" w:themeColor="text1"/>
          <w:sz w:val="21"/>
          <w:szCs w:val="21"/>
          <w:highlight w:val="none"/>
          <w14:textFill>
            <w14:solidFill>
              <w14:schemeClr w14:val="tx1"/>
            </w14:solidFill>
          </w14:textFill>
        </w:rPr>
        <w:t>、应答人商务联系人姓名________电话_______________邮箱_______________</w:t>
      </w:r>
    </w:p>
    <w:p>
      <w:pPr>
        <w:pStyle w:val="19"/>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p>
    <w:p>
      <w:pPr>
        <w:pStyle w:val="19"/>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报价单位</w:t>
      </w:r>
      <w:r>
        <w:rPr>
          <w:rFonts w:asciiTheme="minorEastAsia" w:hAnsiTheme="minorEastAsia" w:eastAsiaTheme="minorEastAsia"/>
          <w:color w:val="000000" w:themeColor="text1"/>
          <w:sz w:val="21"/>
          <w:szCs w:val="21"/>
          <w:highlight w:val="none"/>
          <w14:textFill>
            <w14:solidFill>
              <w14:schemeClr w14:val="tx1"/>
            </w14:solidFill>
          </w14:textFill>
        </w:rPr>
        <w:t>名</w:t>
      </w:r>
      <w:r>
        <w:rPr>
          <w:rFonts w:hint="eastAsia" w:asciiTheme="minorEastAsia" w:hAnsiTheme="minorEastAsia" w:eastAsiaTheme="minorEastAsia"/>
          <w:color w:val="000000" w:themeColor="text1"/>
          <w:sz w:val="21"/>
          <w:szCs w:val="21"/>
          <w:highlight w:val="none"/>
          <w14:textFill>
            <w14:solidFill>
              <w14:schemeClr w14:val="tx1"/>
            </w14:solidFill>
          </w14:textFill>
        </w:rPr>
        <w:t>称：***（</w:t>
      </w:r>
      <w:r>
        <w:rPr>
          <w:rFonts w:hint="eastAsia" w:asciiTheme="minorEastAsia" w:hAnsiTheme="minorEastAsia" w:eastAsiaTheme="minorEastAsia"/>
          <w:color w:val="000000" w:themeColor="text1"/>
          <w:sz w:val="21"/>
          <w:szCs w:val="21"/>
          <w:highlight w:val="none"/>
          <w:lang w:val="en-US" w:eastAsia="zh-CN"/>
          <w14:textFill>
            <w14:solidFill>
              <w14:schemeClr w14:val="tx1"/>
            </w14:solidFill>
          </w14:textFill>
        </w:rPr>
        <w:t>加</w:t>
      </w:r>
      <w:r>
        <w:rPr>
          <w:rFonts w:hint="eastAsia" w:asciiTheme="minorEastAsia" w:hAnsiTheme="minorEastAsia" w:eastAsiaTheme="minorEastAsia"/>
          <w:color w:val="000000" w:themeColor="text1"/>
          <w:sz w:val="21"/>
          <w:szCs w:val="21"/>
          <w:highlight w:val="none"/>
          <w14:textFill>
            <w14:solidFill>
              <w14:schemeClr w14:val="tx1"/>
            </w14:solidFill>
          </w14:textFill>
        </w:rPr>
        <w:t>盖公章）</w:t>
      </w:r>
    </w:p>
    <w:p>
      <w:pPr>
        <w:pStyle w:val="19"/>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lang w:eastAsia="zh-CN"/>
          <w14:textFill>
            <w14:solidFill>
              <w14:schemeClr w14:val="tx1"/>
            </w14:solidFill>
          </w14:textFill>
        </w:rPr>
        <w:t>法定代表人（单位负责人）或其委托代理人签字：</w:t>
      </w:r>
    </w:p>
    <w:p>
      <w:pPr>
        <w:pStyle w:val="19"/>
        <w:spacing w:line="360" w:lineRule="auto"/>
        <w:ind w:right="840" w:firstLine="0"/>
        <w:jc w:val="right"/>
        <w:rPr>
          <w:rFonts w:hint="eastAsia"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t>报价日期：****年**月**日</w:t>
      </w:r>
    </w:p>
    <w:p>
      <w:pPr>
        <w:pStyle w:val="4"/>
        <w:ind w:firstLine="0" w:firstLineChars="0"/>
        <w:rPr>
          <w:lang w:val="en-US" w:eastAsia="zh-CN"/>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Noto Sans CJK DemiLight">
    <w:altName w:val="宋体"/>
    <w:panose1 w:val="00000000000000000000"/>
    <w:charset w:val="86"/>
    <w:family w:val="swiss"/>
    <w:pitch w:val="default"/>
    <w:sig w:usb0="00000000" w:usb1="00000000" w:usb2="00000016" w:usb3="00000000" w:csb0="002E0107"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216" w:firstLineChars="2000"/>
      <w:jc w:val="left"/>
      <w:rPr>
        <w:lang w:val="zh-C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tab/>
    </w:r>
    <w:r>
      <w:tab/>
    </w:r>
    <w:r>
      <w:rPr>
        <w:rStyle w:val="16"/>
        <w:rFonts w:hint="eastAsia"/>
        <w:sz w:val="21"/>
        <w:szCs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25</w:t>
                          </w:r>
                          <w:r>
                            <w:fldChar w:fldCharType="end"/>
                          </w:r>
                          <w:r>
                            <w:t xml:space="preserve"> / </w:t>
                          </w:r>
                          <w:r>
                            <w:fldChar w:fldCharType="begin"/>
                          </w:r>
                          <w:r>
                            <w:instrText xml:space="preserve"> NUMPAGES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25</w:t>
                    </w:r>
                    <w:r>
                      <w:fldChar w:fldCharType="end"/>
                    </w:r>
                    <w:r>
                      <w:t xml:space="preserve"> / </w:t>
                    </w:r>
                    <w:r>
                      <w:fldChar w:fldCharType="begin"/>
                    </w:r>
                    <w:r>
                      <w:instrText xml:space="preserve"> NUMPAGES  \* MERGEFORMAT </w:instrText>
                    </w:r>
                    <w:r>
                      <w:fldChar w:fldCharType="separate"/>
                    </w:r>
                    <w:r>
                      <w:t>30</w:t>
                    </w:r>
                    <w: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24</w:t>
                          </w:r>
                          <w:r>
                            <w:fldChar w:fldCharType="end"/>
                          </w:r>
                          <w:r>
                            <w:t xml:space="preserve"> / </w:t>
                          </w:r>
                          <w:r>
                            <w:fldChar w:fldCharType="begin"/>
                          </w:r>
                          <w:r>
                            <w:instrText xml:space="preserve"> NUMPAGES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24</w:t>
                    </w:r>
                    <w:r>
                      <w:fldChar w:fldCharType="end"/>
                    </w:r>
                    <w:r>
                      <w:t xml:space="preserve"> / </w:t>
                    </w:r>
                    <w:r>
                      <w:fldChar w:fldCharType="begin"/>
                    </w:r>
                    <w:r>
                      <w:instrText xml:space="preserve"> NUMPAGES  \* MERGEFORMAT </w:instrText>
                    </w:r>
                    <w:r>
                      <w:fldChar w:fldCharType="separate"/>
                    </w:r>
                    <w:r>
                      <w:t>30</w:t>
                    </w:r>
                    <w:r>
                      <w:fldChar w:fldCharType="end"/>
                    </w:r>
                  </w:p>
                </w:txbxContent>
              </v:textbox>
            </v:shape>
          </w:pict>
        </mc:Fallback>
      </mc:AlternateContent>
    </w:r>
  </w:p>
  <w:p>
    <w:pPr>
      <w:pStyle w:val="9"/>
    </w:pP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216" w:firstLineChars="2000"/>
      <w:rPr>
        <w:lang w:val="zh-C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rPr>
        <w:rFonts w:ascii="Calibri" w:hAnsi="Calibri" w:eastAsia="宋体"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pPr>
    <w:r>
      <w:rPr>
        <w:rFonts w:hint="eastAsia"/>
      </w:rPr>
      <w:t>待替换页眉</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CF633C"/>
    <w:multiLevelType w:val="multilevel"/>
    <w:tmpl w:val="9FCF633C"/>
    <w:lvl w:ilvl="0" w:tentative="0">
      <w:start w:val="1"/>
      <w:numFmt w:val="decimal"/>
      <w:lvlText w:val="21.%1"/>
      <w:lvlJc w:val="left"/>
      <w:pPr>
        <w:tabs>
          <w:tab w:val="left" w:pos="142"/>
        </w:tabs>
        <w:ind w:left="709" w:hanging="709"/>
      </w:pPr>
      <w:rPr>
        <w:rFonts w:hint="default" w:ascii="宋体" w:hAnsi="宋体" w:eastAsia="宋体" w:cs="宋体"/>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A0D73180"/>
    <w:multiLevelType w:val="multilevel"/>
    <w:tmpl w:val="A0D73180"/>
    <w:lvl w:ilvl="0" w:tentative="0">
      <w:start w:val="1"/>
      <w:numFmt w:val="decimal"/>
      <w:lvlText w:val="20.%1"/>
      <w:lvlJc w:val="left"/>
      <w:pPr>
        <w:tabs>
          <w:tab w:val="left" w:pos="142"/>
        </w:tabs>
        <w:ind w:left="709" w:hanging="709"/>
      </w:pPr>
      <w:rPr>
        <w:rFonts w:hint="default" w:ascii="宋体" w:hAnsi="宋体" w:eastAsia="宋体" w:cs="宋体"/>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E49BFDE7"/>
    <w:multiLevelType w:val="singleLevel"/>
    <w:tmpl w:val="E49BFDE7"/>
    <w:lvl w:ilvl="0" w:tentative="0">
      <w:start w:val="1"/>
      <w:numFmt w:val="chineseCounting"/>
      <w:pStyle w:val="26"/>
      <w:suff w:val="nothing"/>
      <w:lvlText w:val="第%1条、"/>
      <w:lvlJc w:val="left"/>
      <w:pPr>
        <w:ind w:left="0" w:firstLine="420"/>
      </w:pPr>
      <w:rPr>
        <w:rFonts w:hint="eastAsia"/>
      </w:rPr>
    </w:lvl>
  </w:abstractNum>
  <w:abstractNum w:abstractNumId="3">
    <w:nsid w:val="ED8518DE"/>
    <w:multiLevelType w:val="multilevel"/>
    <w:tmpl w:val="ED8518DE"/>
    <w:lvl w:ilvl="0" w:tentative="0">
      <w:start w:val="1"/>
      <w:numFmt w:val="decimal"/>
      <w:lvlText w:val="18.%1"/>
      <w:lvlJc w:val="left"/>
      <w:pPr>
        <w:tabs>
          <w:tab w:val="left" w:pos="142"/>
        </w:tabs>
        <w:ind w:left="709" w:hanging="709"/>
      </w:pPr>
      <w:rPr>
        <w:rFonts w:hint="default" w:ascii="宋体" w:hAnsi="宋体" w:eastAsia="宋体" w:cs="宋体"/>
        <w:color w:val="auto"/>
        <w:sz w:val="21"/>
        <w:szCs w:val="21"/>
      </w:rPr>
    </w:lvl>
    <w:lvl w:ilvl="1" w:tentative="0">
      <w:start w:val="1"/>
      <w:numFmt w:val="lowerLetter"/>
      <w:lvlText w:val="%2)"/>
      <w:lvlJc w:val="left"/>
      <w:pPr>
        <w:ind w:left="1546" w:hanging="420"/>
      </w:pPr>
    </w:lvl>
    <w:lvl w:ilvl="2" w:tentative="0">
      <w:start w:val="1"/>
      <w:numFmt w:val="lowerRoman"/>
      <w:lvlText w:val="%3."/>
      <w:lvlJc w:val="right"/>
      <w:pPr>
        <w:ind w:left="1966" w:hanging="420"/>
      </w:pPr>
    </w:lvl>
    <w:lvl w:ilvl="3" w:tentative="0">
      <w:start w:val="1"/>
      <w:numFmt w:val="decimal"/>
      <w:lvlText w:val="%4."/>
      <w:lvlJc w:val="left"/>
      <w:pPr>
        <w:ind w:left="2386" w:hanging="420"/>
      </w:pPr>
    </w:lvl>
    <w:lvl w:ilvl="4" w:tentative="0">
      <w:start w:val="1"/>
      <w:numFmt w:val="lowerLetter"/>
      <w:lvlText w:val="%5)"/>
      <w:lvlJc w:val="left"/>
      <w:pPr>
        <w:ind w:left="2806" w:hanging="420"/>
      </w:pPr>
    </w:lvl>
    <w:lvl w:ilvl="5" w:tentative="0">
      <w:start w:val="1"/>
      <w:numFmt w:val="lowerRoman"/>
      <w:lvlText w:val="%6."/>
      <w:lvlJc w:val="right"/>
      <w:pPr>
        <w:ind w:left="3226" w:hanging="420"/>
      </w:pPr>
    </w:lvl>
    <w:lvl w:ilvl="6" w:tentative="0">
      <w:start w:val="1"/>
      <w:numFmt w:val="decimal"/>
      <w:lvlText w:val="%7."/>
      <w:lvlJc w:val="left"/>
      <w:pPr>
        <w:ind w:left="3646" w:hanging="420"/>
      </w:pPr>
    </w:lvl>
    <w:lvl w:ilvl="7" w:tentative="0">
      <w:start w:val="1"/>
      <w:numFmt w:val="lowerLetter"/>
      <w:lvlText w:val="%8)"/>
      <w:lvlJc w:val="left"/>
      <w:pPr>
        <w:ind w:left="4066" w:hanging="420"/>
      </w:pPr>
    </w:lvl>
    <w:lvl w:ilvl="8" w:tentative="0">
      <w:start w:val="1"/>
      <w:numFmt w:val="lowerRoman"/>
      <w:lvlText w:val="%9."/>
      <w:lvlJc w:val="right"/>
      <w:pPr>
        <w:ind w:left="4486" w:hanging="420"/>
      </w:pPr>
    </w:lvl>
  </w:abstractNum>
  <w:abstractNum w:abstractNumId="4">
    <w:nsid w:val="EF4CDFDB"/>
    <w:multiLevelType w:val="multilevel"/>
    <w:tmpl w:val="EF4CDFDB"/>
    <w:lvl w:ilvl="0" w:tentative="0">
      <w:start w:val="1"/>
      <w:numFmt w:val="decimal"/>
      <w:lvlText w:val="19.%1"/>
      <w:lvlJc w:val="left"/>
      <w:pPr>
        <w:tabs>
          <w:tab w:val="left" w:pos="142"/>
        </w:tabs>
        <w:ind w:left="709" w:hanging="709"/>
      </w:pPr>
      <w:rPr>
        <w:rFonts w:hint="default" w:ascii="宋体" w:hAnsi="宋体" w:eastAsia="宋体" w:cs="宋体"/>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ECB3DC2"/>
    <w:multiLevelType w:val="multilevel"/>
    <w:tmpl w:val="0ECB3DC2"/>
    <w:lvl w:ilvl="0" w:tentative="0">
      <w:start w:val="1"/>
      <w:numFmt w:val="decimal"/>
      <w:lvlText w:val="11.%1"/>
      <w:lvlJc w:val="left"/>
      <w:pPr>
        <w:ind w:left="418" w:hanging="420"/>
      </w:pPr>
      <w:rPr>
        <w:rFonts w:hint="default" w:ascii="Times New Roman" w:hAnsi="Times New Roman" w:cs="Times New Roman"/>
        <w:b w:val="0"/>
        <w:i w:val="0"/>
        <w:color w:val="auto"/>
        <w:sz w:val="24"/>
        <w:szCs w:val="24"/>
        <w:lang w:eastAsia="zh-CN"/>
      </w:rPr>
    </w:lvl>
    <w:lvl w:ilvl="1" w:tentative="0">
      <w:start w:val="1"/>
      <w:numFmt w:val="decimal"/>
      <w:lvlText w:val="(%2)"/>
      <w:lvlJc w:val="left"/>
      <w:pPr>
        <w:ind w:left="808" w:hanging="390"/>
      </w:pPr>
      <w:rPr>
        <w:rFonts w:hint="default"/>
      </w:rPr>
    </w:lvl>
    <w:lvl w:ilvl="2" w:tentative="0">
      <w:start w:val="1"/>
      <w:numFmt w:val="lowerRoman"/>
      <w:lvlText w:val="%3."/>
      <w:lvlJc w:val="right"/>
      <w:pPr>
        <w:ind w:left="1258" w:hanging="420"/>
      </w:pPr>
    </w:lvl>
    <w:lvl w:ilvl="3" w:tentative="0">
      <w:start w:val="1"/>
      <w:numFmt w:val="decimal"/>
      <w:lvlText w:val="%4."/>
      <w:lvlJc w:val="left"/>
      <w:pPr>
        <w:ind w:left="1678" w:hanging="420"/>
      </w:pPr>
    </w:lvl>
    <w:lvl w:ilvl="4" w:tentative="0">
      <w:start w:val="1"/>
      <w:numFmt w:val="lowerLetter"/>
      <w:lvlText w:val="%5)"/>
      <w:lvlJc w:val="left"/>
      <w:pPr>
        <w:ind w:left="2098" w:hanging="420"/>
      </w:pPr>
    </w:lvl>
    <w:lvl w:ilvl="5" w:tentative="0">
      <w:start w:val="1"/>
      <w:numFmt w:val="lowerRoman"/>
      <w:lvlText w:val="%6."/>
      <w:lvlJc w:val="right"/>
      <w:pPr>
        <w:ind w:left="2518" w:hanging="420"/>
      </w:pPr>
    </w:lvl>
    <w:lvl w:ilvl="6" w:tentative="0">
      <w:start w:val="1"/>
      <w:numFmt w:val="decimal"/>
      <w:lvlText w:val="%7."/>
      <w:lvlJc w:val="left"/>
      <w:pPr>
        <w:ind w:left="2938" w:hanging="420"/>
      </w:pPr>
    </w:lvl>
    <w:lvl w:ilvl="7" w:tentative="0">
      <w:start w:val="1"/>
      <w:numFmt w:val="lowerLetter"/>
      <w:lvlText w:val="%8)"/>
      <w:lvlJc w:val="left"/>
      <w:pPr>
        <w:ind w:left="3358" w:hanging="420"/>
      </w:pPr>
    </w:lvl>
    <w:lvl w:ilvl="8" w:tentative="0">
      <w:start w:val="1"/>
      <w:numFmt w:val="lowerRoman"/>
      <w:lvlText w:val="%9."/>
      <w:lvlJc w:val="right"/>
      <w:pPr>
        <w:ind w:left="3778" w:hanging="420"/>
      </w:pPr>
    </w:lvl>
  </w:abstractNum>
  <w:abstractNum w:abstractNumId="6">
    <w:nsid w:val="0EDB1D4E"/>
    <w:multiLevelType w:val="multilevel"/>
    <w:tmpl w:val="0EDB1D4E"/>
    <w:lvl w:ilvl="0" w:tentative="0">
      <w:start w:val="1"/>
      <w:numFmt w:val="decimal"/>
      <w:lvlText w:val="(%1)"/>
      <w:lvlJc w:val="left"/>
      <w:pPr>
        <w:tabs>
          <w:tab w:val="left" w:pos="420"/>
        </w:tabs>
        <w:ind w:left="420" w:hanging="420"/>
      </w:pPr>
      <w:rPr>
        <w:rFonts w:hint="default" w:ascii="Times New Roman" w:hAnsi="Times New Roman" w:cs="Times New Roman"/>
      </w:rPr>
    </w:lvl>
    <w:lvl w:ilvl="1" w:tentative="0">
      <w:start w:val="1"/>
      <w:numFmt w:val="decimal"/>
      <w:lvlText w:val="12.%2"/>
      <w:lvlJc w:val="left"/>
      <w:pPr>
        <w:tabs>
          <w:tab w:val="left" w:pos="840"/>
        </w:tabs>
        <w:ind w:left="840" w:hanging="420"/>
      </w:pPr>
      <w:rPr>
        <w:rFonts w:hint="default" w:ascii="Times New Roman" w:hAnsi="Times New Roman" w:cs="Times New Roman"/>
        <w:b w:val="0"/>
        <w:i w:val="0"/>
        <w:color w:val="auto"/>
        <w:sz w:val="24"/>
        <w:szCs w:val="24"/>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04CED64"/>
    <w:multiLevelType w:val="singleLevel"/>
    <w:tmpl w:val="104CED64"/>
    <w:lvl w:ilvl="0" w:tentative="0">
      <w:start w:val="1"/>
      <w:numFmt w:val="decimal"/>
      <w:lvlText w:val="%1."/>
      <w:lvlJc w:val="left"/>
      <w:pPr>
        <w:tabs>
          <w:tab w:val="left" w:pos="312"/>
        </w:tabs>
      </w:pPr>
    </w:lvl>
  </w:abstractNum>
  <w:abstractNum w:abstractNumId="8">
    <w:nsid w:val="1119287E"/>
    <w:multiLevelType w:val="multilevel"/>
    <w:tmpl w:val="1119287E"/>
    <w:lvl w:ilvl="0" w:tentative="0">
      <w:start w:val="1"/>
      <w:numFmt w:val="decimal"/>
      <w:lvlText w:val="9.%1"/>
      <w:lvlJc w:val="left"/>
      <w:pPr>
        <w:tabs>
          <w:tab w:val="left" w:pos="1260"/>
        </w:tabs>
        <w:ind w:left="1260" w:hanging="420"/>
      </w:pPr>
      <w:rPr>
        <w:rFonts w:hint="default" w:ascii="Times New Roman" w:hAnsi="Times New Roman" w:cs="Times New Roman"/>
        <w:b w:val="0"/>
        <w:i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1DC4E30"/>
    <w:multiLevelType w:val="multilevel"/>
    <w:tmpl w:val="11DC4E30"/>
    <w:lvl w:ilvl="0" w:tentative="0">
      <w:start w:val="5"/>
      <w:numFmt w:val="decimal"/>
      <w:lvlText w:val="%1"/>
      <w:lvlJc w:val="left"/>
      <w:pPr>
        <w:tabs>
          <w:tab w:val="left" w:pos="540"/>
        </w:tabs>
        <w:ind w:left="540" w:hanging="540"/>
      </w:pPr>
      <w:rPr>
        <w:rFonts w:hint="default"/>
        <w:color w:val="auto"/>
      </w:rPr>
    </w:lvl>
    <w:lvl w:ilvl="1" w:tentative="0">
      <w:start w:val="1"/>
      <w:numFmt w:val="decimal"/>
      <w:lvlText w:val="5.%2"/>
      <w:lvlJc w:val="left"/>
      <w:pPr>
        <w:tabs>
          <w:tab w:val="left" w:pos="540"/>
        </w:tabs>
        <w:ind w:left="540" w:hanging="540"/>
      </w:pPr>
      <w:rPr>
        <w:rFonts w:hint="default" w:ascii="Times New Roman" w:hAnsi="Times New Roman" w:cs="Times New Roman"/>
        <w:b w:val="0"/>
        <w:color w:val="auto"/>
        <w:sz w:val="24"/>
        <w:szCs w:val="24"/>
      </w:rPr>
    </w:lvl>
    <w:lvl w:ilvl="2" w:tentative="0">
      <w:start w:val="1"/>
      <w:numFmt w:val="decimal"/>
      <w:lvlText w:val="%2.%3"/>
      <w:lvlJc w:val="left"/>
      <w:pPr>
        <w:tabs>
          <w:tab w:val="left" w:pos="720"/>
        </w:tabs>
        <w:ind w:left="720" w:hanging="720"/>
      </w:pPr>
      <w:rPr>
        <w:rFonts w:hint="default"/>
        <w:color w:val="auto"/>
      </w:rPr>
    </w:lvl>
    <w:lvl w:ilvl="3" w:tentative="0">
      <w:start w:val="1"/>
      <w:numFmt w:val="decimal"/>
      <w:lvlText w:val="%1.%2.%3.%4"/>
      <w:lvlJc w:val="left"/>
      <w:pPr>
        <w:tabs>
          <w:tab w:val="left" w:pos="720"/>
        </w:tabs>
        <w:ind w:left="720" w:hanging="720"/>
      </w:pPr>
      <w:rPr>
        <w:rFonts w:hint="default"/>
        <w:color w:val="auto"/>
      </w:rPr>
    </w:lvl>
    <w:lvl w:ilvl="4" w:tentative="0">
      <w:start w:val="1"/>
      <w:numFmt w:val="decimal"/>
      <w:lvlText w:val="%1.%2.%3.%4.%5"/>
      <w:lvlJc w:val="left"/>
      <w:pPr>
        <w:tabs>
          <w:tab w:val="left" w:pos="1080"/>
        </w:tabs>
        <w:ind w:left="1080" w:hanging="1080"/>
      </w:pPr>
      <w:rPr>
        <w:rFonts w:hint="default"/>
        <w:color w:val="auto"/>
      </w:rPr>
    </w:lvl>
    <w:lvl w:ilvl="5" w:tentative="0">
      <w:start w:val="1"/>
      <w:numFmt w:val="decimal"/>
      <w:lvlText w:val="%1.%2.%3.%4.%5.%6"/>
      <w:lvlJc w:val="left"/>
      <w:pPr>
        <w:tabs>
          <w:tab w:val="left" w:pos="1080"/>
        </w:tabs>
        <w:ind w:left="1080" w:hanging="1080"/>
      </w:pPr>
      <w:rPr>
        <w:rFonts w:hint="default"/>
        <w:color w:val="auto"/>
      </w:rPr>
    </w:lvl>
    <w:lvl w:ilvl="6" w:tentative="0">
      <w:start w:val="1"/>
      <w:numFmt w:val="decimal"/>
      <w:lvlText w:val="%1.%2.%3.%4.%5.%6.%7"/>
      <w:lvlJc w:val="left"/>
      <w:pPr>
        <w:tabs>
          <w:tab w:val="left" w:pos="1440"/>
        </w:tabs>
        <w:ind w:left="1440" w:hanging="1440"/>
      </w:pPr>
      <w:rPr>
        <w:rFonts w:hint="default"/>
        <w:color w:val="auto"/>
      </w:rPr>
    </w:lvl>
    <w:lvl w:ilvl="7" w:tentative="0">
      <w:start w:val="1"/>
      <w:numFmt w:val="decimal"/>
      <w:lvlText w:val="%1.%2.%3.%4.%5.%6.%7.%8"/>
      <w:lvlJc w:val="left"/>
      <w:pPr>
        <w:tabs>
          <w:tab w:val="left" w:pos="1440"/>
        </w:tabs>
        <w:ind w:left="1440" w:hanging="1440"/>
      </w:pPr>
      <w:rPr>
        <w:rFonts w:hint="default"/>
        <w:color w:val="auto"/>
      </w:rPr>
    </w:lvl>
    <w:lvl w:ilvl="8" w:tentative="0">
      <w:start w:val="1"/>
      <w:numFmt w:val="decimal"/>
      <w:lvlText w:val="%1.%2.%3.%4.%5.%6.%7.%8.%9"/>
      <w:lvlJc w:val="left"/>
      <w:pPr>
        <w:tabs>
          <w:tab w:val="left" w:pos="1800"/>
        </w:tabs>
        <w:ind w:left="1800" w:hanging="1800"/>
      </w:pPr>
      <w:rPr>
        <w:rFonts w:hint="default"/>
        <w:color w:val="auto"/>
      </w:rPr>
    </w:lvl>
  </w:abstractNum>
  <w:abstractNum w:abstractNumId="10">
    <w:nsid w:val="14606C9A"/>
    <w:multiLevelType w:val="multilevel"/>
    <w:tmpl w:val="14606C9A"/>
    <w:lvl w:ilvl="0" w:tentative="0">
      <w:start w:val="1"/>
      <w:numFmt w:val="decimal"/>
      <w:lvlText w:val="8.%1"/>
      <w:lvlJc w:val="left"/>
      <w:pPr>
        <w:ind w:left="420" w:hanging="420"/>
      </w:pPr>
      <w:rPr>
        <w:rFonts w:hint="default" w:ascii="Times New Roman" w:hAnsi="Times New Roman" w:cs="Times New Roman"/>
        <w:b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60F63DD"/>
    <w:multiLevelType w:val="multilevel"/>
    <w:tmpl w:val="160F63DD"/>
    <w:lvl w:ilvl="0" w:tentative="0">
      <w:start w:val="1"/>
      <w:numFmt w:val="decimal"/>
      <w:lvlText w:val="16.%1"/>
      <w:lvlJc w:val="left"/>
      <w:pPr>
        <w:tabs>
          <w:tab w:val="left" w:pos="840"/>
        </w:tabs>
        <w:ind w:left="840" w:hanging="420"/>
      </w:pPr>
      <w:rPr>
        <w:rFonts w:hint="eastAsia"/>
      </w:rPr>
    </w:lvl>
    <w:lvl w:ilvl="1" w:tentative="0">
      <w:start w:val="1"/>
      <w:numFmt w:val="decimal"/>
      <w:lvlText w:val="17.%2"/>
      <w:lvlJc w:val="left"/>
      <w:pPr>
        <w:tabs>
          <w:tab w:val="left" w:pos="840"/>
        </w:tabs>
        <w:ind w:left="840" w:hanging="420"/>
      </w:pPr>
      <w:rPr>
        <w:rFonts w:hint="default" w:ascii="Times New Roman" w:hAnsi="Times New Roman" w:cs="Times New Roman"/>
      </w:rPr>
    </w:lvl>
    <w:lvl w:ilvl="2" w:tentative="0">
      <w:start w:val="1"/>
      <w:numFmt w:val="decimal"/>
      <w:lvlText w:val="(%3)"/>
      <w:lvlJc w:val="left"/>
      <w:pPr>
        <w:tabs>
          <w:tab w:val="left" w:pos="280"/>
        </w:tabs>
        <w:ind w:left="1965" w:hanging="1125"/>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B0668AC"/>
    <w:multiLevelType w:val="multilevel"/>
    <w:tmpl w:val="1B0668AC"/>
    <w:lvl w:ilvl="0" w:tentative="0">
      <w:start w:val="1"/>
      <w:numFmt w:val="decimal"/>
      <w:lvlText w:val="(%1)"/>
      <w:lvlJc w:val="left"/>
      <w:pPr>
        <w:tabs>
          <w:tab w:val="left" w:pos="420"/>
        </w:tabs>
        <w:ind w:left="420" w:hanging="420"/>
      </w:pPr>
      <w:rPr>
        <w:rFonts w:hint="default" w:ascii="Times New Roman" w:hAnsi="Times New Roman" w:cs="Times New Roman"/>
        <w:sz w:val="24"/>
        <w:szCs w:val="24"/>
      </w:rPr>
    </w:lvl>
    <w:lvl w:ilvl="1" w:tentative="0">
      <w:start w:val="1"/>
      <w:numFmt w:val="decimal"/>
      <w:lvlText w:val="12.%2"/>
      <w:lvlJc w:val="left"/>
      <w:pPr>
        <w:tabs>
          <w:tab w:val="left" w:pos="840"/>
        </w:tabs>
        <w:ind w:left="840" w:hanging="420"/>
      </w:pPr>
      <w:rPr>
        <w:rFonts w:hint="eastAsia"/>
        <w:b w:val="0"/>
        <w:color w:val="auto"/>
        <w:sz w:val="24"/>
        <w:szCs w:val="24"/>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209C26D6"/>
    <w:multiLevelType w:val="multilevel"/>
    <w:tmpl w:val="209C26D6"/>
    <w:lvl w:ilvl="0" w:tentative="0">
      <w:start w:val="8"/>
      <w:numFmt w:val="decimal"/>
      <w:lvlText w:val="%1"/>
      <w:lvlJc w:val="left"/>
      <w:pPr>
        <w:tabs>
          <w:tab w:val="left" w:pos="540"/>
        </w:tabs>
        <w:ind w:left="540" w:hanging="540"/>
      </w:pPr>
      <w:rPr>
        <w:rFonts w:hint="default"/>
        <w:color w:val="auto"/>
      </w:rPr>
    </w:lvl>
    <w:lvl w:ilvl="1" w:tentative="0">
      <w:start w:val="1"/>
      <w:numFmt w:val="decimal"/>
      <w:lvlText w:val="10.%2"/>
      <w:lvlJc w:val="left"/>
      <w:pPr>
        <w:tabs>
          <w:tab w:val="left" w:pos="540"/>
        </w:tabs>
        <w:ind w:left="540" w:hanging="540"/>
      </w:pPr>
      <w:rPr>
        <w:rFonts w:hint="default" w:ascii="Times New Roman" w:hAnsi="Times New Roman" w:cs="Times New Roman"/>
        <w:b w:val="0"/>
        <w:i w:val="0"/>
        <w:color w:val="auto"/>
        <w:sz w:val="24"/>
        <w:szCs w:val="24"/>
      </w:rPr>
    </w:lvl>
    <w:lvl w:ilvl="2" w:tentative="0">
      <w:start w:val="1"/>
      <w:numFmt w:val="decimal"/>
      <w:lvlText w:val="%2.%3"/>
      <w:lvlJc w:val="left"/>
      <w:pPr>
        <w:tabs>
          <w:tab w:val="left" w:pos="720"/>
        </w:tabs>
        <w:ind w:left="720" w:hanging="720"/>
      </w:pPr>
      <w:rPr>
        <w:rFonts w:hint="default"/>
        <w:color w:val="auto"/>
      </w:rPr>
    </w:lvl>
    <w:lvl w:ilvl="3" w:tentative="0">
      <w:start w:val="1"/>
      <w:numFmt w:val="decimal"/>
      <w:lvlText w:val="%1.%2.%3.%4"/>
      <w:lvlJc w:val="left"/>
      <w:pPr>
        <w:tabs>
          <w:tab w:val="left" w:pos="720"/>
        </w:tabs>
        <w:ind w:left="720" w:hanging="720"/>
      </w:pPr>
      <w:rPr>
        <w:rFonts w:hint="default"/>
        <w:color w:val="auto"/>
      </w:rPr>
    </w:lvl>
    <w:lvl w:ilvl="4" w:tentative="0">
      <w:start w:val="1"/>
      <w:numFmt w:val="decimal"/>
      <w:lvlText w:val="%1.%2.%3.%4.%5"/>
      <w:lvlJc w:val="left"/>
      <w:pPr>
        <w:tabs>
          <w:tab w:val="left" w:pos="1080"/>
        </w:tabs>
        <w:ind w:left="1080" w:hanging="1080"/>
      </w:pPr>
      <w:rPr>
        <w:rFonts w:hint="default"/>
        <w:color w:val="auto"/>
      </w:rPr>
    </w:lvl>
    <w:lvl w:ilvl="5" w:tentative="0">
      <w:start w:val="1"/>
      <w:numFmt w:val="decimal"/>
      <w:lvlText w:val="%1.%2.%3.%4.%5.%6"/>
      <w:lvlJc w:val="left"/>
      <w:pPr>
        <w:tabs>
          <w:tab w:val="left" w:pos="1080"/>
        </w:tabs>
        <w:ind w:left="1080" w:hanging="1080"/>
      </w:pPr>
      <w:rPr>
        <w:rFonts w:hint="default"/>
        <w:color w:val="auto"/>
      </w:rPr>
    </w:lvl>
    <w:lvl w:ilvl="6" w:tentative="0">
      <w:start w:val="1"/>
      <w:numFmt w:val="decimal"/>
      <w:lvlText w:val="%1.%2.%3.%4.%5.%6.%7"/>
      <w:lvlJc w:val="left"/>
      <w:pPr>
        <w:tabs>
          <w:tab w:val="left" w:pos="1440"/>
        </w:tabs>
        <w:ind w:left="1440" w:hanging="1440"/>
      </w:pPr>
      <w:rPr>
        <w:rFonts w:hint="default"/>
        <w:color w:val="auto"/>
      </w:rPr>
    </w:lvl>
    <w:lvl w:ilvl="7" w:tentative="0">
      <w:start w:val="1"/>
      <w:numFmt w:val="decimal"/>
      <w:lvlText w:val="%1.%2.%3.%4.%5.%6.%7.%8"/>
      <w:lvlJc w:val="left"/>
      <w:pPr>
        <w:tabs>
          <w:tab w:val="left" w:pos="1440"/>
        </w:tabs>
        <w:ind w:left="1440" w:hanging="1440"/>
      </w:pPr>
      <w:rPr>
        <w:rFonts w:hint="default"/>
        <w:color w:val="auto"/>
      </w:rPr>
    </w:lvl>
    <w:lvl w:ilvl="8" w:tentative="0">
      <w:start w:val="1"/>
      <w:numFmt w:val="decimal"/>
      <w:lvlText w:val="%1.%2.%3.%4.%5.%6.%7.%8.%9"/>
      <w:lvlJc w:val="left"/>
      <w:pPr>
        <w:tabs>
          <w:tab w:val="left" w:pos="1800"/>
        </w:tabs>
        <w:ind w:left="1800" w:hanging="1800"/>
      </w:pPr>
      <w:rPr>
        <w:rFonts w:hint="default"/>
        <w:color w:val="auto"/>
      </w:rPr>
    </w:lvl>
  </w:abstractNum>
  <w:abstractNum w:abstractNumId="14">
    <w:nsid w:val="20A41F00"/>
    <w:multiLevelType w:val="multilevel"/>
    <w:tmpl w:val="20A41F00"/>
    <w:lvl w:ilvl="0" w:tentative="0">
      <w:start w:val="1"/>
      <w:numFmt w:val="decimal"/>
      <w:lvlText w:val="17.%1"/>
      <w:lvlJc w:val="left"/>
      <w:pPr>
        <w:tabs>
          <w:tab w:val="left" w:pos="142"/>
        </w:tabs>
        <w:ind w:left="709" w:hanging="709"/>
      </w:pPr>
      <w:rPr>
        <w:rFonts w:hint="default" w:ascii="宋体" w:hAnsi="宋体" w:eastAsia="宋体" w:cs="宋体"/>
        <w:b w:val="0"/>
        <w:i w:val="0"/>
        <w:color w:val="auto"/>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2171395D"/>
    <w:multiLevelType w:val="singleLevel"/>
    <w:tmpl w:val="2171395D"/>
    <w:lvl w:ilvl="0" w:tentative="0">
      <w:start w:val="2"/>
      <w:numFmt w:val="decimal"/>
      <w:suff w:val="nothing"/>
      <w:lvlText w:val="%1、"/>
      <w:lvlJc w:val="left"/>
    </w:lvl>
  </w:abstractNum>
  <w:abstractNum w:abstractNumId="16">
    <w:nsid w:val="250D29F4"/>
    <w:multiLevelType w:val="multilevel"/>
    <w:tmpl w:val="250D29F4"/>
    <w:lvl w:ilvl="0" w:tentative="0">
      <w:start w:val="1"/>
      <w:numFmt w:val="decimal"/>
      <w:lvlText w:val="8.%1"/>
      <w:lvlJc w:val="left"/>
      <w:pPr>
        <w:ind w:left="420" w:hanging="420"/>
      </w:pPr>
      <w:rPr>
        <w:rFonts w:hint="eastAsia"/>
      </w:rPr>
    </w:lvl>
    <w:lvl w:ilvl="1" w:tentative="0">
      <w:start w:val="1"/>
      <w:numFmt w:val="decimal"/>
      <w:lvlText w:val="7.%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7DF551A"/>
    <w:multiLevelType w:val="multilevel"/>
    <w:tmpl w:val="27DF551A"/>
    <w:lvl w:ilvl="0" w:tentative="0">
      <w:start w:val="5"/>
      <w:numFmt w:val="decimal"/>
      <w:lvlText w:val="2.%1"/>
      <w:lvlJc w:val="left"/>
      <w:pPr>
        <w:ind w:left="840" w:hanging="420"/>
      </w:pPr>
      <w:rPr>
        <w:rFonts w:hint="default" w:ascii="Times New Roman" w:hAnsi="Times New Roman" w:cs="Times New Roman"/>
        <w:b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DF54DF2"/>
    <w:multiLevelType w:val="multilevel"/>
    <w:tmpl w:val="2DF54DF2"/>
    <w:lvl w:ilvl="0" w:tentative="0">
      <w:start w:val="1"/>
      <w:numFmt w:val="decimal"/>
      <w:lvlText w:val="(%1)"/>
      <w:lvlJc w:val="left"/>
      <w:pPr>
        <w:ind w:left="1129" w:hanging="420"/>
      </w:pPr>
      <w:rPr>
        <w:rFonts w:hint="eastAsia"/>
      </w:rPr>
    </w:lvl>
    <w:lvl w:ilvl="1" w:tentative="0">
      <w:start w:val="1"/>
      <w:numFmt w:val="lowerLetter"/>
      <w:lvlText w:val="%2)"/>
      <w:lvlJc w:val="left"/>
      <w:pPr>
        <w:ind w:left="1549" w:hanging="420"/>
      </w:pPr>
    </w:lvl>
    <w:lvl w:ilvl="2" w:tentative="0">
      <w:start w:val="1"/>
      <w:numFmt w:val="decimal"/>
      <w:lvlText w:val="(%3)"/>
      <w:lvlJc w:val="left"/>
      <w:pPr>
        <w:ind w:left="1969" w:hanging="420"/>
      </w:pPr>
      <w:rPr>
        <w:rFonts w:hint="eastAsia"/>
      </w:r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9">
    <w:nsid w:val="305728CA"/>
    <w:multiLevelType w:val="multilevel"/>
    <w:tmpl w:val="305728CA"/>
    <w:lvl w:ilvl="0" w:tentative="0">
      <w:start w:val="4"/>
      <w:numFmt w:val="decimal"/>
      <w:lvlText w:val="%1"/>
      <w:lvlJc w:val="left"/>
      <w:pPr>
        <w:tabs>
          <w:tab w:val="left" w:pos="540"/>
        </w:tabs>
        <w:ind w:left="540" w:hanging="540"/>
      </w:pPr>
      <w:rPr>
        <w:rFonts w:hint="default"/>
        <w:color w:val="auto"/>
      </w:rPr>
    </w:lvl>
    <w:lvl w:ilvl="1" w:tentative="0">
      <w:start w:val="1"/>
      <w:numFmt w:val="decimal"/>
      <w:lvlText w:val="4.%2"/>
      <w:lvlJc w:val="left"/>
      <w:pPr>
        <w:tabs>
          <w:tab w:val="left" w:pos="540"/>
        </w:tabs>
        <w:ind w:left="540" w:hanging="540"/>
      </w:pPr>
      <w:rPr>
        <w:rFonts w:hint="default" w:ascii="Times New Roman" w:hAnsi="Times New Roman" w:cs="Times New Roman"/>
        <w:b w:val="0"/>
        <w:color w:val="000000"/>
        <w:sz w:val="21"/>
        <w:szCs w:val="21"/>
      </w:rPr>
    </w:lvl>
    <w:lvl w:ilvl="2" w:tentative="0">
      <w:start w:val="1"/>
      <w:numFmt w:val="decimal"/>
      <w:lvlText w:val="%2.%3"/>
      <w:lvlJc w:val="left"/>
      <w:pPr>
        <w:tabs>
          <w:tab w:val="left" w:pos="720"/>
        </w:tabs>
        <w:ind w:left="720" w:hanging="720"/>
      </w:pPr>
      <w:rPr>
        <w:rFonts w:hint="default"/>
        <w:color w:val="auto"/>
      </w:rPr>
    </w:lvl>
    <w:lvl w:ilvl="3" w:tentative="0">
      <w:start w:val="1"/>
      <w:numFmt w:val="decimal"/>
      <w:lvlText w:val="%1.%2.%3.%4"/>
      <w:lvlJc w:val="left"/>
      <w:pPr>
        <w:tabs>
          <w:tab w:val="left" w:pos="720"/>
        </w:tabs>
        <w:ind w:left="720" w:hanging="720"/>
      </w:pPr>
      <w:rPr>
        <w:rFonts w:hint="default"/>
        <w:color w:val="auto"/>
      </w:rPr>
    </w:lvl>
    <w:lvl w:ilvl="4" w:tentative="0">
      <w:start w:val="1"/>
      <w:numFmt w:val="decimal"/>
      <w:lvlText w:val="%1.%2.%3.%4.%5"/>
      <w:lvlJc w:val="left"/>
      <w:pPr>
        <w:tabs>
          <w:tab w:val="left" w:pos="1080"/>
        </w:tabs>
        <w:ind w:left="1080" w:hanging="1080"/>
      </w:pPr>
      <w:rPr>
        <w:rFonts w:hint="default"/>
        <w:color w:val="auto"/>
      </w:rPr>
    </w:lvl>
    <w:lvl w:ilvl="5" w:tentative="0">
      <w:start w:val="1"/>
      <w:numFmt w:val="decimal"/>
      <w:lvlText w:val="%1.%2.%3.%4.%5.%6"/>
      <w:lvlJc w:val="left"/>
      <w:pPr>
        <w:tabs>
          <w:tab w:val="left" w:pos="1080"/>
        </w:tabs>
        <w:ind w:left="1080" w:hanging="1080"/>
      </w:pPr>
      <w:rPr>
        <w:rFonts w:hint="default"/>
        <w:color w:val="auto"/>
      </w:rPr>
    </w:lvl>
    <w:lvl w:ilvl="6" w:tentative="0">
      <w:start w:val="1"/>
      <w:numFmt w:val="decimal"/>
      <w:lvlText w:val="%1.%2.%3.%4.%5.%6.%7"/>
      <w:lvlJc w:val="left"/>
      <w:pPr>
        <w:tabs>
          <w:tab w:val="left" w:pos="1440"/>
        </w:tabs>
        <w:ind w:left="1440" w:hanging="1440"/>
      </w:pPr>
      <w:rPr>
        <w:rFonts w:hint="default"/>
        <w:color w:val="auto"/>
      </w:rPr>
    </w:lvl>
    <w:lvl w:ilvl="7" w:tentative="0">
      <w:start w:val="1"/>
      <w:numFmt w:val="decimal"/>
      <w:lvlText w:val="%1.%2.%3.%4.%5.%6.%7.%8"/>
      <w:lvlJc w:val="left"/>
      <w:pPr>
        <w:tabs>
          <w:tab w:val="left" w:pos="1440"/>
        </w:tabs>
        <w:ind w:left="1440" w:hanging="1440"/>
      </w:pPr>
      <w:rPr>
        <w:rFonts w:hint="default"/>
        <w:color w:val="auto"/>
      </w:rPr>
    </w:lvl>
    <w:lvl w:ilvl="8" w:tentative="0">
      <w:start w:val="1"/>
      <w:numFmt w:val="decimal"/>
      <w:lvlText w:val="%1.%2.%3.%4.%5.%6.%7.%8.%9"/>
      <w:lvlJc w:val="left"/>
      <w:pPr>
        <w:tabs>
          <w:tab w:val="left" w:pos="1800"/>
        </w:tabs>
        <w:ind w:left="1800" w:hanging="1800"/>
      </w:pPr>
      <w:rPr>
        <w:rFonts w:hint="default"/>
        <w:color w:val="auto"/>
      </w:rPr>
    </w:lvl>
  </w:abstractNum>
  <w:abstractNum w:abstractNumId="20">
    <w:nsid w:val="325F36FB"/>
    <w:multiLevelType w:val="multilevel"/>
    <w:tmpl w:val="325F36FB"/>
    <w:lvl w:ilvl="0" w:tentative="0">
      <w:start w:val="1"/>
      <w:numFmt w:val="decimal"/>
      <w:lvlText w:val="2.%1"/>
      <w:lvlJc w:val="left"/>
      <w:pPr>
        <w:ind w:left="420" w:hanging="420"/>
      </w:pPr>
      <w:rPr>
        <w:rFonts w:hint="eastAsia"/>
      </w:rPr>
    </w:lvl>
    <w:lvl w:ilvl="1" w:tentative="0">
      <w:start w:val="1"/>
      <w:numFmt w:val="decimal"/>
      <w:lvlText w:val="2.%2"/>
      <w:lvlJc w:val="left"/>
      <w:pPr>
        <w:ind w:left="840" w:hanging="420"/>
      </w:pPr>
      <w:rPr>
        <w:rFonts w:hint="default" w:ascii="Times New Roman" w:hAnsi="Times New Roman" w:cs="Times New Roman"/>
        <w:b w:val="0"/>
        <w:sz w:val="21"/>
        <w:szCs w:val="21"/>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7BB4534"/>
    <w:multiLevelType w:val="multilevel"/>
    <w:tmpl w:val="37BB4534"/>
    <w:lvl w:ilvl="0" w:tentative="0">
      <w:start w:val="1"/>
      <w:numFmt w:val="decimal"/>
      <w:lvlText w:val="(%1)"/>
      <w:lvlJc w:val="left"/>
      <w:pPr>
        <w:ind w:left="1068" w:hanging="420"/>
      </w:pPr>
      <w:rPr>
        <w:rFonts w:hint="eastAsia" w:ascii="Times New Roman" w:hAnsi="Times New Roman" w:eastAsia="宋体" w:cs="Times New Roman"/>
      </w:rPr>
    </w:lvl>
    <w:lvl w:ilvl="1" w:tentative="0">
      <w:start w:val="1"/>
      <w:numFmt w:val="decimal"/>
      <w:lvlText w:val="(%2)"/>
      <w:lvlJc w:val="left"/>
      <w:pPr>
        <w:ind w:left="1488" w:hanging="420"/>
      </w:pPr>
      <w:rPr>
        <w:rFonts w:hint="eastAsia" w:ascii="Times New Roman" w:hAnsi="Times New Roman" w:eastAsia="宋体" w:cs="Times New Roman"/>
      </w:rPr>
    </w:lvl>
    <w:lvl w:ilvl="2" w:tentative="0">
      <w:start w:val="1"/>
      <w:numFmt w:val="lowerRoman"/>
      <w:lvlText w:val="%3."/>
      <w:lvlJc w:val="right"/>
      <w:pPr>
        <w:ind w:left="1908" w:hanging="420"/>
      </w:pPr>
    </w:lvl>
    <w:lvl w:ilvl="3" w:tentative="0">
      <w:start w:val="1"/>
      <w:numFmt w:val="decimal"/>
      <w:lvlText w:val="%4."/>
      <w:lvlJc w:val="left"/>
      <w:pPr>
        <w:ind w:left="2328" w:hanging="420"/>
      </w:pPr>
    </w:lvl>
    <w:lvl w:ilvl="4" w:tentative="0">
      <w:start w:val="1"/>
      <w:numFmt w:val="lowerLetter"/>
      <w:lvlText w:val="%5)"/>
      <w:lvlJc w:val="left"/>
      <w:pPr>
        <w:ind w:left="2748" w:hanging="420"/>
      </w:pPr>
    </w:lvl>
    <w:lvl w:ilvl="5" w:tentative="0">
      <w:start w:val="1"/>
      <w:numFmt w:val="lowerRoman"/>
      <w:lvlText w:val="%6."/>
      <w:lvlJc w:val="right"/>
      <w:pPr>
        <w:ind w:left="3168" w:hanging="420"/>
      </w:pPr>
    </w:lvl>
    <w:lvl w:ilvl="6" w:tentative="0">
      <w:start w:val="1"/>
      <w:numFmt w:val="decimal"/>
      <w:lvlText w:val="%7."/>
      <w:lvlJc w:val="left"/>
      <w:pPr>
        <w:ind w:left="3588" w:hanging="420"/>
      </w:pPr>
    </w:lvl>
    <w:lvl w:ilvl="7" w:tentative="0">
      <w:start w:val="1"/>
      <w:numFmt w:val="lowerLetter"/>
      <w:lvlText w:val="%8)"/>
      <w:lvlJc w:val="left"/>
      <w:pPr>
        <w:ind w:left="4008" w:hanging="420"/>
      </w:pPr>
    </w:lvl>
    <w:lvl w:ilvl="8" w:tentative="0">
      <w:start w:val="1"/>
      <w:numFmt w:val="lowerRoman"/>
      <w:lvlText w:val="%9."/>
      <w:lvlJc w:val="right"/>
      <w:pPr>
        <w:ind w:left="4428" w:hanging="420"/>
      </w:pPr>
    </w:lvl>
  </w:abstractNum>
  <w:abstractNum w:abstractNumId="22">
    <w:nsid w:val="3B6E3992"/>
    <w:multiLevelType w:val="multilevel"/>
    <w:tmpl w:val="3B6E3992"/>
    <w:lvl w:ilvl="0" w:tentative="0">
      <w:start w:val="1"/>
      <w:numFmt w:val="decimal"/>
      <w:lvlText w:val="16.%1"/>
      <w:lvlJc w:val="left"/>
      <w:pPr>
        <w:ind w:left="84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3C4F5E8D"/>
    <w:multiLevelType w:val="multilevel"/>
    <w:tmpl w:val="3C4F5E8D"/>
    <w:lvl w:ilvl="0" w:tentative="0">
      <w:start w:val="4"/>
      <w:numFmt w:val="decimal"/>
      <w:lvlText w:val="2.%1"/>
      <w:lvlJc w:val="left"/>
      <w:pPr>
        <w:ind w:left="420" w:hanging="420"/>
      </w:pPr>
      <w:rPr>
        <w:rFonts w:hint="default" w:ascii="Times New Roman" w:hAnsi="Times New Roman" w:cs="Times New Roman"/>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F5726EE"/>
    <w:multiLevelType w:val="multilevel"/>
    <w:tmpl w:val="3F5726EE"/>
    <w:lvl w:ilvl="0" w:tentative="0">
      <w:start w:val="1"/>
      <w:numFmt w:val="decimal"/>
      <w:lvlText w:val="(%1)"/>
      <w:lvlJc w:val="left"/>
      <w:pPr>
        <w:ind w:left="420" w:hanging="420"/>
      </w:pPr>
      <w:rPr>
        <w:rFonts w:hint="default" w:ascii="Times New Roman" w:hAnsi="Times New Roman" w:eastAsia="宋体" w:cs="Times New Roman"/>
      </w:rPr>
    </w:lvl>
    <w:lvl w:ilvl="1" w:tentative="0">
      <w:start w:val="1"/>
      <w:numFmt w:val="lowerLetter"/>
      <w:lvlText w:val="%2)"/>
      <w:lvlJc w:val="left"/>
      <w:pPr>
        <w:ind w:left="840" w:hanging="420"/>
      </w:pPr>
    </w:lvl>
    <w:lvl w:ilvl="2" w:tentative="0">
      <w:start w:val="1"/>
      <w:numFmt w:val="decimal"/>
      <w:lvlText w:val="(%3)"/>
      <w:lvlJc w:val="left"/>
      <w:pPr>
        <w:ind w:left="1260" w:hanging="420"/>
      </w:pPr>
      <w:rPr>
        <w:rFonts w:hint="default" w:ascii="Times New Roman" w:hAnsi="Times New Roman" w:eastAsia="宋体" w:cs="Times New Roman"/>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060754E"/>
    <w:multiLevelType w:val="multilevel"/>
    <w:tmpl w:val="4060754E"/>
    <w:lvl w:ilvl="0" w:tentative="0">
      <w:start w:val="1"/>
      <w:numFmt w:val="decimal"/>
      <w:lvlText w:val="13.%1"/>
      <w:lvlJc w:val="left"/>
      <w:pPr>
        <w:tabs>
          <w:tab w:val="left" w:pos="1260"/>
        </w:tabs>
        <w:ind w:left="1260" w:hanging="420"/>
      </w:pPr>
      <w:rPr>
        <w:rFonts w:hint="default" w:ascii="Times New Roman" w:hAnsi="Times New Roman" w:cs="Times New Roman"/>
        <w:b w:val="0"/>
        <w:i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475F5AFA"/>
    <w:multiLevelType w:val="multilevel"/>
    <w:tmpl w:val="475F5AF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90B6D34"/>
    <w:multiLevelType w:val="multilevel"/>
    <w:tmpl w:val="490B6D34"/>
    <w:lvl w:ilvl="0" w:tentative="0">
      <w:start w:val="1"/>
      <w:numFmt w:val="decimal"/>
      <w:lvlText w:val="15.%1"/>
      <w:lvlJc w:val="left"/>
      <w:pPr>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24085E"/>
    <w:multiLevelType w:val="multilevel"/>
    <w:tmpl w:val="5124085E"/>
    <w:lvl w:ilvl="0" w:tentative="0">
      <w:start w:val="1"/>
      <w:numFmt w:val="decimal"/>
      <w:lvlText w:val="(%1)"/>
      <w:lvlJc w:val="left"/>
      <w:pPr>
        <w:ind w:left="420" w:hanging="420"/>
      </w:pPr>
      <w:rPr>
        <w:rFonts w:hint="default"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3D0282A"/>
    <w:multiLevelType w:val="multilevel"/>
    <w:tmpl w:val="53D0282A"/>
    <w:lvl w:ilvl="0" w:tentative="0">
      <w:start w:val="1"/>
      <w:numFmt w:val="decimal"/>
      <w:lvlText w:val="（%1）"/>
      <w:lvlJc w:val="left"/>
      <w:pPr>
        <w:ind w:left="156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6DE59D5"/>
    <w:multiLevelType w:val="multilevel"/>
    <w:tmpl w:val="56DE59D5"/>
    <w:lvl w:ilvl="0" w:tentative="0">
      <w:start w:val="1"/>
      <w:numFmt w:val="decimal"/>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57B20D51"/>
    <w:multiLevelType w:val="multilevel"/>
    <w:tmpl w:val="57B20D51"/>
    <w:lvl w:ilvl="0" w:tentative="0">
      <w:start w:val="6"/>
      <w:numFmt w:val="decimal"/>
      <w:lvlText w:val="%1"/>
      <w:lvlJc w:val="left"/>
      <w:pPr>
        <w:tabs>
          <w:tab w:val="left" w:pos="540"/>
        </w:tabs>
        <w:ind w:left="540" w:hanging="540"/>
      </w:pPr>
      <w:rPr>
        <w:rFonts w:hint="default"/>
        <w:color w:val="auto"/>
      </w:rPr>
    </w:lvl>
    <w:lvl w:ilvl="1" w:tentative="0">
      <w:start w:val="1"/>
      <w:numFmt w:val="decimal"/>
      <w:lvlText w:val="6.%2"/>
      <w:lvlJc w:val="left"/>
      <w:pPr>
        <w:tabs>
          <w:tab w:val="left" w:pos="540"/>
        </w:tabs>
        <w:ind w:left="540" w:hanging="540"/>
      </w:pPr>
      <w:rPr>
        <w:rFonts w:hint="default" w:ascii="Times New Roman" w:hAnsi="Times New Roman" w:cs="Times New Roman"/>
        <w:color w:val="auto"/>
        <w:sz w:val="24"/>
        <w:szCs w:val="24"/>
      </w:rPr>
    </w:lvl>
    <w:lvl w:ilvl="2" w:tentative="0">
      <w:start w:val="1"/>
      <w:numFmt w:val="decimal"/>
      <w:lvlText w:val="%2.%3"/>
      <w:lvlJc w:val="left"/>
      <w:pPr>
        <w:tabs>
          <w:tab w:val="left" w:pos="720"/>
        </w:tabs>
        <w:ind w:left="720" w:hanging="720"/>
      </w:pPr>
      <w:rPr>
        <w:rFonts w:hint="default"/>
        <w:color w:val="auto"/>
      </w:rPr>
    </w:lvl>
    <w:lvl w:ilvl="3" w:tentative="0">
      <w:start w:val="1"/>
      <w:numFmt w:val="decimal"/>
      <w:lvlText w:val="%1.%2.%3.%4"/>
      <w:lvlJc w:val="left"/>
      <w:pPr>
        <w:tabs>
          <w:tab w:val="left" w:pos="720"/>
        </w:tabs>
        <w:ind w:left="720" w:hanging="720"/>
      </w:pPr>
      <w:rPr>
        <w:rFonts w:hint="default"/>
        <w:color w:val="auto"/>
      </w:rPr>
    </w:lvl>
    <w:lvl w:ilvl="4" w:tentative="0">
      <w:start w:val="1"/>
      <w:numFmt w:val="decimal"/>
      <w:lvlText w:val="%1.%2.%3.%4.%5"/>
      <w:lvlJc w:val="left"/>
      <w:pPr>
        <w:tabs>
          <w:tab w:val="left" w:pos="1080"/>
        </w:tabs>
        <w:ind w:left="1080" w:hanging="1080"/>
      </w:pPr>
      <w:rPr>
        <w:rFonts w:hint="default"/>
        <w:color w:val="auto"/>
      </w:rPr>
    </w:lvl>
    <w:lvl w:ilvl="5" w:tentative="0">
      <w:start w:val="1"/>
      <w:numFmt w:val="decimal"/>
      <w:lvlText w:val="%1.%2.%3.%4.%5.%6"/>
      <w:lvlJc w:val="left"/>
      <w:pPr>
        <w:tabs>
          <w:tab w:val="left" w:pos="1080"/>
        </w:tabs>
        <w:ind w:left="1080" w:hanging="1080"/>
      </w:pPr>
      <w:rPr>
        <w:rFonts w:hint="default"/>
        <w:color w:val="auto"/>
      </w:rPr>
    </w:lvl>
    <w:lvl w:ilvl="6" w:tentative="0">
      <w:start w:val="1"/>
      <w:numFmt w:val="decimal"/>
      <w:lvlText w:val="%1.%2.%3.%4.%5.%6.%7"/>
      <w:lvlJc w:val="left"/>
      <w:pPr>
        <w:tabs>
          <w:tab w:val="left" w:pos="1440"/>
        </w:tabs>
        <w:ind w:left="1440" w:hanging="1440"/>
      </w:pPr>
      <w:rPr>
        <w:rFonts w:hint="default"/>
        <w:color w:val="auto"/>
      </w:rPr>
    </w:lvl>
    <w:lvl w:ilvl="7" w:tentative="0">
      <w:start w:val="1"/>
      <w:numFmt w:val="decimal"/>
      <w:lvlText w:val="%1.%2.%3.%4.%5.%6.%7.%8"/>
      <w:lvlJc w:val="left"/>
      <w:pPr>
        <w:tabs>
          <w:tab w:val="left" w:pos="1440"/>
        </w:tabs>
        <w:ind w:left="1440" w:hanging="1440"/>
      </w:pPr>
      <w:rPr>
        <w:rFonts w:hint="default"/>
        <w:color w:val="auto"/>
      </w:rPr>
    </w:lvl>
    <w:lvl w:ilvl="8" w:tentative="0">
      <w:start w:val="1"/>
      <w:numFmt w:val="decimal"/>
      <w:lvlText w:val="%1.%2.%3.%4.%5.%6.%7.%8.%9"/>
      <w:lvlJc w:val="left"/>
      <w:pPr>
        <w:tabs>
          <w:tab w:val="left" w:pos="1800"/>
        </w:tabs>
        <w:ind w:left="1800" w:hanging="1800"/>
      </w:pPr>
      <w:rPr>
        <w:rFonts w:hint="default"/>
        <w:color w:val="auto"/>
      </w:rPr>
    </w:lvl>
  </w:abstractNum>
  <w:abstractNum w:abstractNumId="32">
    <w:nsid w:val="612E6536"/>
    <w:multiLevelType w:val="multilevel"/>
    <w:tmpl w:val="612E6536"/>
    <w:lvl w:ilvl="0" w:tentative="0">
      <w:start w:val="1"/>
      <w:numFmt w:val="decimal"/>
      <w:lvlText w:val="14.%1"/>
      <w:lvlJc w:val="left"/>
      <w:pPr>
        <w:tabs>
          <w:tab w:val="left" w:pos="0"/>
        </w:tabs>
        <w:ind w:left="420" w:hanging="420"/>
      </w:pPr>
      <w:rPr>
        <w:rFonts w:hint="default" w:ascii="Times New Roman" w:hAnsi="Times New Roman" w:cs="Times New Roman"/>
        <w:b w:val="0"/>
        <w:i w:val="0"/>
        <w:color w:val="auto"/>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62B1657F"/>
    <w:multiLevelType w:val="multilevel"/>
    <w:tmpl w:val="62B1657F"/>
    <w:lvl w:ilvl="0" w:tentative="0">
      <w:start w:val="1"/>
      <w:numFmt w:val="decimal"/>
      <w:lvlText w:val="第 %1 章"/>
      <w:lvlJc w:val="left"/>
      <w:pPr>
        <w:tabs>
          <w:tab w:val="left" w:pos="2858"/>
        </w:tabs>
        <w:ind w:left="1418" w:firstLine="0"/>
      </w:pPr>
      <w:rPr>
        <w:rFonts w:hint="eastAsia" w:eastAsia="宋体"/>
        <w:b/>
        <w:i w:val="0"/>
        <w:sz w:val="44"/>
      </w:rPr>
    </w:lvl>
    <w:lvl w:ilvl="1" w:tentative="0">
      <w:start w:val="1"/>
      <w:numFmt w:val="decimal"/>
      <w:lvlText w:val="第%2节 "/>
      <w:lvlJc w:val="left"/>
      <w:pPr>
        <w:tabs>
          <w:tab w:val="left" w:pos="2138"/>
        </w:tabs>
        <w:ind w:left="1418" w:firstLine="0"/>
      </w:pPr>
      <w:rPr>
        <w:rFonts w:hint="eastAsia" w:ascii="Times New Roman" w:hAnsi="Times New Roman" w:eastAsia="宋体" w:cs="Times New Roman"/>
        <w:b/>
        <w:bCs w:val="0"/>
        <w:i w:val="0"/>
        <w:iCs w:val="0"/>
        <w:caps w:val="0"/>
        <w:smallCaps w:val="0"/>
        <w:strike w:val="0"/>
        <w:dstrike w:val="0"/>
        <w:vanish w:val="0"/>
        <w:spacing w:val="0"/>
        <w:kern w:val="0"/>
        <w:position w:val="0"/>
        <w:sz w:val="32"/>
        <w:u w:val="none"/>
        <w:vertAlign w:val="baseline"/>
      </w:rPr>
    </w:lvl>
    <w:lvl w:ilvl="2" w:tentative="0">
      <w:start w:val="1"/>
      <w:numFmt w:val="chineseCountingThousand"/>
      <w:lvlText w:val="%3."/>
      <w:lvlJc w:val="left"/>
      <w:pPr>
        <w:tabs>
          <w:tab w:val="left" w:pos="2138"/>
        </w:tabs>
        <w:ind w:left="1418" w:firstLine="0"/>
      </w:pPr>
      <w:rPr>
        <w:rFonts w:hint="eastAsia" w:eastAsia="宋体"/>
        <w:b/>
        <w:i w:val="0"/>
        <w:sz w:val="30"/>
      </w:rPr>
    </w:lvl>
    <w:lvl w:ilvl="3" w:tentative="0">
      <w:start w:val="1"/>
      <w:numFmt w:val="japaneseCounting"/>
      <w:lvlText w:val="（%4）"/>
      <w:lvlJc w:val="right"/>
      <w:pPr>
        <w:tabs>
          <w:tab w:val="left" w:pos="1418"/>
        </w:tabs>
        <w:ind w:left="1418" w:firstLine="0"/>
      </w:pPr>
      <w:rPr>
        <w:rFonts w:hint="eastAsia" w:ascii="Times New Roman" w:hAnsi="Times New Roman" w:eastAsia="宋体" w:cs="Times New Roman"/>
      </w:rPr>
    </w:lvl>
    <w:lvl w:ilvl="4" w:tentative="0">
      <w:start w:val="1"/>
      <w:numFmt w:val="decimal"/>
      <w:lvlText w:val="%5."/>
      <w:lvlJc w:val="left"/>
      <w:pPr>
        <w:tabs>
          <w:tab w:val="left" w:pos="1418"/>
        </w:tabs>
        <w:ind w:left="1418" w:firstLine="0"/>
      </w:pPr>
      <w:rPr>
        <w:rFonts w:hint="eastAsia" w:ascii="宋体" w:hAnsi="宋体" w:eastAsia="宋体"/>
        <w:b/>
        <w:i w:val="0"/>
        <w:sz w:val="28"/>
      </w:rPr>
    </w:lvl>
    <w:lvl w:ilvl="5" w:tentative="0">
      <w:start w:val="1"/>
      <w:numFmt w:val="decimal"/>
      <w:pStyle w:val="7"/>
      <w:lvlText w:val="%5.%6."/>
      <w:lvlJc w:val="left"/>
      <w:pPr>
        <w:tabs>
          <w:tab w:val="left" w:pos="2138"/>
        </w:tabs>
        <w:ind w:left="1628" w:firstLine="510"/>
      </w:pPr>
      <w:rPr>
        <w:rFonts w:hint="eastAsia"/>
        <w:b/>
        <w:sz w:val="24"/>
        <w:szCs w:val="24"/>
      </w:rPr>
    </w:lvl>
    <w:lvl w:ilvl="6" w:tentative="0">
      <w:start w:val="1"/>
      <w:numFmt w:val="lowerRoman"/>
      <w:lvlText w:val="%7)"/>
      <w:lvlJc w:val="right"/>
      <w:pPr>
        <w:tabs>
          <w:tab w:val="left" w:pos="2714"/>
        </w:tabs>
        <w:ind w:left="2714" w:hanging="288"/>
      </w:pPr>
      <w:rPr>
        <w:rFonts w:hint="eastAsia"/>
      </w:rPr>
    </w:lvl>
    <w:lvl w:ilvl="7" w:tentative="0">
      <w:start w:val="1"/>
      <w:numFmt w:val="lowerLetter"/>
      <w:lvlText w:val="%8."/>
      <w:lvlJc w:val="left"/>
      <w:pPr>
        <w:tabs>
          <w:tab w:val="left" w:pos="2858"/>
        </w:tabs>
        <w:ind w:left="2858" w:hanging="432"/>
      </w:pPr>
      <w:rPr>
        <w:rFonts w:hint="eastAsia"/>
      </w:rPr>
    </w:lvl>
    <w:lvl w:ilvl="8" w:tentative="0">
      <w:start w:val="1"/>
      <w:numFmt w:val="lowerRoman"/>
      <w:lvlText w:val="%9."/>
      <w:lvlJc w:val="right"/>
      <w:pPr>
        <w:tabs>
          <w:tab w:val="left" w:pos="3002"/>
        </w:tabs>
        <w:ind w:left="3002" w:hanging="144"/>
      </w:pPr>
      <w:rPr>
        <w:rFonts w:hint="eastAsia"/>
      </w:rPr>
    </w:lvl>
  </w:abstractNum>
  <w:abstractNum w:abstractNumId="34">
    <w:nsid w:val="68E315AD"/>
    <w:multiLevelType w:val="singleLevel"/>
    <w:tmpl w:val="68E315AD"/>
    <w:lvl w:ilvl="0" w:tentative="0">
      <w:start w:val="1"/>
      <w:numFmt w:val="chineseCounting"/>
      <w:suff w:val="nothing"/>
      <w:lvlText w:val="%1、"/>
      <w:lvlJc w:val="left"/>
      <w:rPr>
        <w:rFonts w:hint="eastAsia"/>
      </w:rPr>
    </w:lvl>
  </w:abstractNum>
  <w:abstractNum w:abstractNumId="35">
    <w:nsid w:val="69B179D7"/>
    <w:multiLevelType w:val="multilevel"/>
    <w:tmpl w:val="69B179D7"/>
    <w:lvl w:ilvl="0" w:tentative="0">
      <w:start w:val="1"/>
      <w:numFmt w:val="decimalFullWidth"/>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6">
    <w:nsid w:val="746FD5D7"/>
    <w:multiLevelType w:val="multilevel"/>
    <w:tmpl w:val="746FD5D7"/>
    <w:lvl w:ilvl="0" w:tentative="0">
      <w:start w:val="14"/>
      <w:numFmt w:val="decimal"/>
      <w:lvlText w:val="%1."/>
      <w:lvlJc w:val="left"/>
      <w:pPr>
        <w:tabs>
          <w:tab w:val="left" w:pos="0"/>
        </w:tabs>
        <w:ind w:left="810" w:hanging="810"/>
      </w:pPr>
      <w:rPr>
        <w:rFonts w:hint="default"/>
      </w:rPr>
    </w:lvl>
    <w:lvl w:ilvl="1" w:tentative="0">
      <w:start w:val="1"/>
      <w:numFmt w:val="decimal"/>
      <w:lvlText w:val="22.%2"/>
      <w:lvlJc w:val="left"/>
      <w:pPr>
        <w:tabs>
          <w:tab w:val="left" w:pos="142"/>
        </w:tabs>
        <w:ind w:left="709" w:hanging="709"/>
      </w:pPr>
      <w:rPr>
        <w:rFonts w:hint="default" w:ascii="宋体" w:hAnsi="宋体" w:eastAsia="宋体" w:cs="宋体"/>
        <w:b w:val="0"/>
        <w:i w:val="0"/>
        <w:color w:val="auto"/>
        <w:sz w:val="24"/>
        <w:szCs w:val="24"/>
      </w:rPr>
    </w:lvl>
    <w:lvl w:ilvl="2" w:tentative="0">
      <w:start w:val="1"/>
      <w:numFmt w:val="decimal"/>
      <w:lvlText w:val="%1.%2、%3."/>
      <w:lvlJc w:val="left"/>
      <w:pPr>
        <w:tabs>
          <w:tab w:val="left" w:pos="0"/>
        </w:tabs>
        <w:ind w:left="1080" w:hanging="1080"/>
      </w:pPr>
      <w:rPr>
        <w:rFonts w:hint="default"/>
      </w:rPr>
    </w:lvl>
    <w:lvl w:ilvl="3" w:tentative="0">
      <w:start w:val="1"/>
      <w:numFmt w:val="decimal"/>
      <w:lvlText w:val="%1.%2、%3.%4."/>
      <w:lvlJc w:val="left"/>
      <w:pPr>
        <w:tabs>
          <w:tab w:val="left" w:pos="0"/>
        </w:tabs>
        <w:ind w:left="1080" w:hanging="1080"/>
      </w:pPr>
      <w:rPr>
        <w:rFonts w:hint="default"/>
      </w:rPr>
    </w:lvl>
    <w:lvl w:ilvl="4" w:tentative="0">
      <w:start w:val="1"/>
      <w:numFmt w:val="decimal"/>
      <w:lvlText w:val="%1.%2、%3.%4.%5."/>
      <w:lvlJc w:val="left"/>
      <w:pPr>
        <w:tabs>
          <w:tab w:val="left" w:pos="0"/>
        </w:tabs>
        <w:ind w:left="1440" w:hanging="1440"/>
      </w:pPr>
      <w:rPr>
        <w:rFonts w:hint="default"/>
      </w:rPr>
    </w:lvl>
    <w:lvl w:ilvl="5" w:tentative="0">
      <w:start w:val="1"/>
      <w:numFmt w:val="decimal"/>
      <w:lvlText w:val="%1.%2、%3.%4.%5.%6."/>
      <w:lvlJc w:val="left"/>
      <w:pPr>
        <w:tabs>
          <w:tab w:val="left" w:pos="0"/>
        </w:tabs>
        <w:ind w:left="1800" w:hanging="1800"/>
      </w:pPr>
      <w:rPr>
        <w:rFonts w:hint="default"/>
      </w:rPr>
    </w:lvl>
    <w:lvl w:ilvl="6" w:tentative="0">
      <w:start w:val="1"/>
      <w:numFmt w:val="decimal"/>
      <w:lvlText w:val="%1.%2、%3.%4.%5.%6.%7."/>
      <w:lvlJc w:val="left"/>
      <w:pPr>
        <w:tabs>
          <w:tab w:val="left" w:pos="0"/>
        </w:tabs>
        <w:ind w:left="1800" w:hanging="1800"/>
      </w:pPr>
      <w:rPr>
        <w:rFonts w:hint="default"/>
      </w:rPr>
    </w:lvl>
    <w:lvl w:ilvl="7" w:tentative="0">
      <w:start w:val="1"/>
      <w:numFmt w:val="decimal"/>
      <w:lvlText w:val="%1.%2、%3.%4.%5.%6.%7.%8."/>
      <w:lvlJc w:val="left"/>
      <w:pPr>
        <w:tabs>
          <w:tab w:val="left" w:pos="0"/>
        </w:tabs>
        <w:ind w:left="2160" w:hanging="2160"/>
      </w:pPr>
      <w:rPr>
        <w:rFonts w:hint="default"/>
      </w:rPr>
    </w:lvl>
    <w:lvl w:ilvl="8" w:tentative="0">
      <w:start w:val="1"/>
      <w:numFmt w:val="decimal"/>
      <w:lvlText w:val="%1.%2、%3.%4.%5.%6.%7.%8.%9."/>
      <w:lvlJc w:val="left"/>
      <w:pPr>
        <w:tabs>
          <w:tab w:val="left" w:pos="0"/>
        </w:tabs>
        <w:ind w:left="2160" w:hanging="2160"/>
      </w:pPr>
      <w:rPr>
        <w:rFonts w:hint="default"/>
      </w:rPr>
    </w:lvl>
  </w:abstractNum>
  <w:abstractNum w:abstractNumId="37">
    <w:nsid w:val="75A16CED"/>
    <w:multiLevelType w:val="multilevel"/>
    <w:tmpl w:val="75A16CED"/>
    <w:lvl w:ilvl="0" w:tentative="0">
      <w:start w:val="1"/>
      <w:numFmt w:val="decimal"/>
      <w:lvlText w:val="%1"/>
      <w:lvlJc w:val="left"/>
      <w:pPr>
        <w:tabs>
          <w:tab w:val="left" w:pos="540"/>
        </w:tabs>
        <w:ind w:left="540" w:hanging="540"/>
      </w:pPr>
      <w:rPr>
        <w:rFonts w:hint="default"/>
        <w:color w:val="auto"/>
      </w:rPr>
    </w:lvl>
    <w:lvl w:ilvl="1" w:tentative="0">
      <w:start w:val="1"/>
      <w:numFmt w:val="decimal"/>
      <w:lvlText w:val="%1.%2"/>
      <w:lvlJc w:val="left"/>
      <w:pPr>
        <w:tabs>
          <w:tab w:val="left" w:pos="540"/>
        </w:tabs>
        <w:ind w:left="540" w:hanging="540"/>
      </w:pPr>
      <w:rPr>
        <w:rFonts w:hint="default" w:ascii="Times New Roman" w:hAnsi="Times New Roman" w:cs="Times New Roman"/>
        <w:color w:val="auto"/>
      </w:rPr>
    </w:lvl>
    <w:lvl w:ilvl="2" w:tentative="0">
      <w:start w:val="1"/>
      <w:numFmt w:val="decimal"/>
      <w:lvlText w:val="%2.%3"/>
      <w:lvlJc w:val="left"/>
      <w:pPr>
        <w:tabs>
          <w:tab w:val="left" w:pos="720"/>
        </w:tabs>
        <w:ind w:left="720" w:hanging="720"/>
      </w:pPr>
      <w:rPr>
        <w:rFonts w:hint="default"/>
        <w:color w:val="auto"/>
      </w:rPr>
    </w:lvl>
    <w:lvl w:ilvl="3" w:tentative="0">
      <w:start w:val="1"/>
      <w:numFmt w:val="decimal"/>
      <w:lvlText w:val="%1.%2.%3.%4"/>
      <w:lvlJc w:val="left"/>
      <w:pPr>
        <w:tabs>
          <w:tab w:val="left" w:pos="720"/>
        </w:tabs>
        <w:ind w:left="720" w:hanging="720"/>
      </w:pPr>
      <w:rPr>
        <w:rFonts w:hint="default"/>
        <w:color w:val="auto"/>
      </w:rPr>
    </w:lvl>
    <w:lvl w:ilvl="4" w:tentative="0">
      <w:start w:val="1"/>
      <w:numFmt w:val="decimal"/>
      <w:lvlText w:val="%1.%2.%3.%4.%5"/>
      <w:lvlJc w:val="left"/>
      <w:pPr>
        <w:tabs>
          <w:tab w:val="left" w:pos="1080"/>
        </w:tabs>
        <w:ind w:left="1080" w:hanging="1080"/>
      </w:pPr>
      <w:rPr>
        <w:rFonts w:hint="default"/>
        <w:color w:val="auto"/>
      </w:rPr>
    </w:lvl>
    <w:lvl w:ilvl="5" w:tentative="0">
      <w:start w:val="1"/>
      <w:numFmt w:val="decimal"/>
      <w:lvlText w:val="%1.%2.%3.%4.%5.%6"/>
      <w:lvlJc w:val="left"/>
      <w:pPr>
        <w:tabs>
          <w:tab w:val="left" w:pos="1080"/>
        </w:tabs>
        <w:ind w:left="1080" w:hanging="1080"/>
      </w:pPr>
      <w:rPr>
        <w:rFonts w:hint="default"/>
        <w:color w:val="auto"/>
      </w:rPr>
    </w:lvl>
    <w:lvl w:ilvl="6" w:tentative="0">
      <w:start w:val="1"/>
      <w:numFmt w:val="decimal"/>
      <w:lvlText w:val="%1.%2.%3.%4.%5.%6.%7"/>
      <w:lvlJc w:val="left"/>
      <w:pPr>
        <w:tabs>
          <w:tab w:val="left" w:pos="1440"/>
        </w:tabs>
        <w:ind w:left="1440" w:hanging="1440"/>
      </w:pPr>
      <w:rPr>
        <w:rFonts w:hint="default"/>
        <w:color w:val="auto"/>
      </w:rPr>
    </w:lvl>
    <w:lvl w:ilvl="7" w:tentative="0">
      <w:start w:val="1"/>
      <w:numFmt w:val="decimal"/>
      <w:lvlText w:val="%1.%2.%3.%4.%5.%6.%7.%8"/>
      <w:lvlJc w:val="left"/>
      <w:pPr>
        <w:tabs>
          <w:tab w:val="left" w:pos="1440"/>
        </w:tabs>
        <w:ind w:left="1440" w:hanging="1440"/>
      </w:pPr>
      <w:rPr>
        <w:rFonts w:hint="default"/>
        <w:color w:val="auto"/>
      </w:rPr>
    </w:lvl>
    <w:lvl w:ilvl="8" w:tentative="0">
      <w:start w:val="1"/>
      <w:numFmt w:val="decimal"/>
      <w:lvlText w:val="%1.%2.%3.%4.%5.%6.%7.%8.%9"/>
      <w:lvlJc w:val="left"/>
      <w:pPr>
        <w:tabs>
          <w:tab w:val="left" w:pos="1800"/>
        </w:tabs>
        <w:ind w:left="1800" w:hanging="1800"/>
      </w:pPr>
      <w:rPr>
        <w:rFonts w:hint="default"/>
        <w:color w:val="auto"/>
      </w:rPr>
    </w:lvl>
  </w:abstractNum>
  <w:abstractNum w:abstractNumId="38">
    <w:nsid w:val="77542C7B"/>
    <w:multiLevelType w:val="multilevel"/>
    <w:tmpl w:val="77542C7B"/>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78AB0270"/>
    <w:multiLevelType w:val="multilevel"/>
    <w:tmpl w:val="78AB0270"/>
    <w:lvl w:ilvl="0" w:tentative="0">
      <w:start w:val="1"/>
      <w:numFmt w:val="decimal"/>
      <w:lvlText w:val="(%1)"/>
      <w:lvlJc w:val="left"/>
      <w:pPr>
        <w:ind w:left="420" w:hanging="420"/>
      </w:pPr>
      <w:rPr>
        <w:rFonts w:hint="default" w:ascii="Times New Roman" w:hAnsi="Times New Roman" w:eastAsia="宋体" w:cs="Times New Roman"/>
      </w:rPr>
    </w:lvl>
    <w:lvl w:ilvl="1" w:tentative="0">
      <w:start w:val="1"/>
      <w:numFmt w:val="decimal"/>
      <w:lvlText w:val="(%2)"/>
      <w:lvlJc w:val="left"/>
      <w:pPr>
        <w:ind w:left="840" w:hanging="420"/>
      </w:pPr>
      <w:rPr>
        <w:rFonts w:hint="default" w:ascii="Times New Roman" w:hAnsi="Times New Roman" w:eastAsia="宋体"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7981242F"/>
    <w:multiLevelType w:val="multilevel"/>
    <w:tmpl w:val="7981242F"/>
    <w:lvl w:ilvl="0" w:tentative="0">
      <w:start w:val="1"/>
      <w:numFmt w:val="decimal"/>
      <w:lvlText w:val="3.%1"/>
      <w:lvlJc w:val="left"/>
      <w:pPr>
        <w:ind w:left="1140" w:hanging="420"/>
      </w:pPr>
      <w:rPr>
        <w:rFonts w:hint="default" w:ascii="Times New Roman" w:hAnsi="Times New Roman" w:cs="Times New Roman"/>
        <w:b w:val="0"/>
        <w:i w:val="0"/>
        <w:color w:val="auto"/>
        <w:sz w:val="21"/>
        <w:szCs w:val="21"/>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33"/>
  </w:num>
  <w:num w:numId="2">
    <w:abstractNumId w:val="2"/>
  </w:num>
  <w:num w:numId="3">
    <w:abstractNumId w:val="7"/>
  </w:num>
  <w:num w:numId="4">
    <w:abstractNumId w:val="34"/>
  </w:num>
  <w:num w:numId="5">
    <w:abstractNumId w:val="37"/>
  </w:num>
  <w:num w:numId="6">
    <w:abstractNumId w:val="20"/>
  </w:num>
  <w:num w:numId="7">
    <w:abstractNumId w:val="23"/>
  </w:num>
  <w:num w:numId="8">
    <w:abstractNumId w:val="17"/>
  </w:num>
  <w:num w:numId="9">
    <w:abstractNumId w:val="40"/>
  </w:num>
  <w:num w:numId="10">
    <w:abstractNumId w:val="19"/>
  </w:num>
  <w:num w:numId="11">
    <w:abstractNumId w:val="28"/>
  </w:num>
  <w:num w:numId="12">
    <w:abstractNumId w:val="39"/>
  </w:num>
  <w:num w:numId="13">
    <w:abstractNumId w:val="24"/>
  </w:num>
  <w:num w:numId="14">
    <w:abstractNumId w:val="9"/>
  </w:num>
  <w:num w:numId="15">
    <w:abstractNumId w:val="31"/>
  </w:num>
  <w:num w:numId="16">
    <w:abstractNumId w:val="16"/>
  </w:num>
  <w:num w:numId="17">
    <w:abstractNumId w:val="10"/>
  </w:num>
  <w:num w:numId="18">
    <w:abstractNumId w:val="8"/>
  </w:num>
  <w:num w:numId="19">
    <w:abstractNumId w:val="11"/>
  </w:num>
  <w:num w:numId="20">
    <w:abstractNumId w:val="13"/>
  </w:num>
  <w:num w:numId="21">
    <w:abstractNumId w:val="12"/>
  </w:num>
  <w:num w:numId="22">
    <w:abstractNumId w:val="5"/>
  </w:num>
  <w:num w:numId="23">
    <w:abstractNumId w:val="6"/>
  </w:num>
  <w:num w:numId="24">
    <w:abstractNumId w:val="18"/>
  </w:num>
  <w:num w:numId="25">
    <w:abstractNumId w:val="25"/>
  </w:num>
  <w:num w:numId="26">
    <w:abstractNumId w:val="26"/>
  </w:num>
  <w:num w:numId="27">
    <w:abstractNumId w:val="32"/>
  </w:num>
  <w:num w:numId="28">
    <w:abstractNumId w:val="30"/>
  </w:num>
  <w:num w:numId="29">
    <w:abstractNumId w:val="27"/>
  </w:num>
  <w:num w:numId="30">
    <w:abstractNumId w:val="22"/>
  </w:num>
  <w:num w:numId="31">
    <w:abstractNumId w:val="29"/>
  </w:num>
  <w:num w:numId="32">
    <w:abstractNumId w:val="14"/>
  </w:num>
  <w:num w:numId="33">
    <w:abstractNumId w:val="3"/>
  </w:num>
  <w:num w:numId="34">
    <w:abstractNumId w:val="4"/>
  </w:num>
  <w:num w:numId="35">
    <w:abstractNumId w:val="1"/>
  </w:num>
  <w:num w:numId="36">
    <w:abstractNumId w:val="21"/>
  </w:num>
  <w:num w:numId="37">
    <w:abstractNumId w:val="0"/>
  </w:num>
  <w:num w:numId="38">
    <w:abstractNumId w:val="36"/>
  </w:num>
  <w:num w:numId="39">
    <w:abstractNumId w:val="15"/>
  </w:num>
  <w:num w:numId="40">
    <w:abstractNumId w:val="38"/>
  </w:num>
  <w:num w:numId="41">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洁">
    <w15:presenceInfo w15:providerId="None" w15:userId="陈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8723F"/>
    <w:rsid w:val="04C66064"/>
    <w:rsid w:val="06666C1A"/>
    <w:rsid w:val="06DB05B7"/>
    <w:rsid w:val="0DC9682B"/>
    <w:rsid w:val="0F05193A"/>
    <w:rsid w:val="10B660E4"/>
    <w:rsid w:val="15975BC4"/>
    <w:rsid w:val="15E359BE"/>
    <w:rsid w:val="22541D46"/>
    <w:rsid w:val="247A3D65"/>
    <w:rsid w:val="26280EC1"/>
    <w:rsid w:val="2CE81574"/>
    <w:rsid w:val="2E6D4BE7"/>
    <w:rsid w:val="2F4B5A25"/>
    <w:rsid w:val="2F7F448E"/>
    <w:rsid w:val="325029E4"/>
    <w:rsid w:val="351364A5"/>
    <w:rsid w:val="3D245F63"/>
    <w:rsid w:val="3E86299B"/>
    <w:rsid w:val="446B764F"/>
    <w:rsid w:val="447649E2"/>
    <w:rsid w:val="46484168"/>
    <w:rsid w:val="5C2662DB"/>
    <w:rsid w:val="6A1C5764"/>
    <w:rsid w:val="6F707F6B"/>
    <w:rsid w:val="738F2E9C"/>
    <w:rsid w:val="742C2525"/>
    <w:rsid w:val="770C6492"/>
    <w:rsid w:val="7C944EF3"/>
    <w:rsid w:val="7E106C7C"/>
    <w:rsid w:val="7F7759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1"/>
    <w:pPr>
      <w:ind w:left="120"/>
      <w:outlineLvl w:val="1"/>
    </w:pPr>
    <w:rPr>
      <w:rFonts w:ascii="微软雅黑" w:hAnsi="微软雅黑" w:eastAsia="微软雅黑"/>
      <w:sz w:val="32"/>
      <w:szCs w:val="32"/>
    </w:rPr>
  </w:style>
  <w:style w:type="paragraph" w:styleId="3">
    <w:name w:val="heading 2"/>
    <w:basedOn w:val="1"/>
    <w:next w:val="1"/>
    <w:semiHidden/>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rPr>
      <w:rFonts w:ascii="Times New Roman" w:hAnsi="Times New Roman"/>
      <w:szCs w:val="24"/>
    </w:rPr>
  </w:style>
  <w:style w:type="paragraph" w:styleId="5">
    <w:name w:val="annotation text"/>
    <w:basedOn w:val="1"/>
    <w:unhideWhenUsed/>
    <w:qFormat/>
    <w:uiPriority w:val="99"/>
    <w:pPr>
      <w:jc w:val="left"/>
    </w:pPr>
  </w:style>
  <w:style w:type="paragraph" w:styleId="6">
    <w:name w:val="Body Text"/>
    <w:basedOn w:val="1"/>
    <w:next w:val="1"/>
    <w:qFormat/>
    <w:uiPriority w:val="1"/>
    <w:pPr>
      <w:spacing w:before="36"/>
      <w:ind w:left="780"/>
      <w:jc w:val="left"/>
    </w:pPr>
    <w:rPr>
      <w:rFonts w:ascii="宋体" w:hAnsi="宋体" w:eastAsia="宋体"/>
      <w:kern w:val="0"/>
      <w:szCs w:val="21"/>
      <w:lang w:eastAsia="en-US"/>
    </w:rPr>
  </w:style>
  <w:style w:type="paragraph" w:styleId="7">
    <w:name w:val="Plain Text"/>
    <w:basedOn w:val="1"/>
    <w:next w:val="1"/>
    <w:qFormat/>
    <w:uiPriority w:val="0"/>
    <w:pPr>
      <w:numPr>
        <w:ilvl w:val="5"/>
        <w:numId w:val="1"/>
      </w:numPr>
      <w:tabs>
        <w:tab w:val="left" w:pos="720"/>
      </w:tabs>
      <w:adjustRightInd w:val="0"/>
      <w:spacing w:line="360" w:lineRule="atLeast"/>
      <w:textAlignment w:val="baseline"/>
    </w:pPr>
    <w:rPr>
      <w:rFonts w:ascii="宋体"/>
      <w:szCs w:val="20"/>
    </w:rPr>
  </w:style>
  <w:style w:type="paragraph" w:styleId="8">
    <w:name w:val="Body Text Indent 2"/>
    <w:qFormat/>
    <w:uiPriority w:val="0"/>
    <w:pPr>
      <w:widowControl w:val="0"/>
      <w:snapToGrid w:val="0"/>
      <w:spacing w:line="300" w:lineRule="auto"/>
      <w:ind w:left="1050"/>
      <w:jc w:val="both"/>
    </w:pPr>
    <w:rPr>
      <w:rFonts w:ascii="新宋体" w:hAnsi="新宋体" w:eastAsia="新宋体" w:cstheme="minorBidi"/>
      <w:spacing w:val="10"/>
      <w:kern w:val="2"/>
      <w:sz w:val="28"/>
      <w:szCs w:val="20"/>
      <w:lang w:val="en-US" w:eastAsia="zh-CN" w:bidi="ar-SA"/>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annotation subject"/>
    <w:next w:val="5"/>
    <w:unhideWhenUsed/>
    <w:qFormat/>
    <w:uiPriority w:val="0"/>
    <w:pPr>
      <w:widowControl w:val="0"/>
      <w:jc w:val="left"/>
    </w:pPr>
    <w:rPr>
      <w:rFonts w:asciiTheme="minorHAnsi" w:hAnsiTheme="minorHAnsi" w:eastAsiaTheme="minorEastAsia" w:cstheme="minorBidi"/>
      <w:b/>
      <w:bCs/>
      <w:kern w:val="2"/>
      <w:sz w:val="21"/>
      <w:szCs w:val="22"/>
      <w:lang w:val="en-US" w:eastAsia="zh-CN" w:bidi="ar-SA"/>
    </w:rPr>
  </w:style>
  <w:style w:type="paragraph" w:styleId="12">
    <w:name w:val="Body Text First Indent"/>
    <w:basedOn w:val="6"/>
    <w:qFormat/>
    <w:uiPriority w:val="0"/>
    <w:pPr>
      <w:ind w:firstLine="420" w:firstLineChars="100"/>
    </w:pPr>
    <w:rPr>
      <w:rFonts w:ascii="宋体"/>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style>
  <w:style w:type="paragraph" w:customStyle="1" w:styleId="17">
    <w:name w:val="书目1"/>
    <w:basedOn w:val="1"/>
    <w:next w:val="1"/>
    <w:unhideWhenUsed/>
    <w:qFormat/>
    <w:uiPriority w:val="37"/>
  </w:style>
  <w:style w:type="paragraph" w:customStyle="1" w:styleId="18">
    <w:name w:val="Table Paragraph"/>
    <w:basedOn w:val="1"/>
    <w:qFormat/>
    <w:uiPriority w:val="0"/>
    <w:pPr>
      <w:jc w:val="left"/>
    </w:pPr>
    <w:rPr>
      <w:kern w:val="0"/>
      <w:sz w:val="22"/>
      <w:lang w:eastAsia="en-US"/>
    </w:rPr>
  </w:style>
  <w:style w:type="paragraph" w:styleId="19">
    <w:name w:val="List Paragraph"/>
    <w:basedOn w:val="1"/>
    <w:qFormat/>
    <w:uiPriority w:val="34"/>
    <w:pPr>
      <w:widowControl/>
      <w:ind w:firstLine="420"/>
    </w:pPr>
    <w:rPr>
      <w:rFonts w:ascii="Calibri" w:hAnsi="Calibri" w:eastAsia="宋体" w:cs="Calibri"/>
      <w:kern w:val="0"/>
      <w:szCs w:val="21"/>
    </w:rPr>
  </w:style>
  <w:style w:type="character" w:customStyle="1" w:styleId="20">
    <w:name w:val="font01"/>
    <w:basedOn w:val="15"/>
    <w:qFormat/>
    <w:uiPriority w:val="0"/>
    <w:rPr>
      <w:rFonts w:hint="eastAsia" w:ascii="宋体" w:hAnsi="宋体" w:eastAsia="宋体" w:cs="宋体"/>
      <w:color w:val="000000"/>
      <w:sz w:val="20"/>
      <w:szCs w:val="20"/>
      <w:u w:val="none"/>
    </w:rPr>
  </w:style>
  <w:style w:type="paragraph" w:customStyle="1" w:styleId="21">
    <w:name w:val="标题 22"/>
    <w:qFormat/>
    <w:uiPriority w:val="1"/>
    <w:pPr>
      <w:widowControl w:val="0"/>
      <w:ind w:right="5" w:rightChars="5"/>
      <w:jc w:val="left"/>
      <w:outlineLvl w:val="2"/>
    </w:pPr>
    <w:rPr>
      <w:rFonts w:ascii="Noto Sans CJK DemiLight" w:hAnsi="Noto Sans CJK DemiLight" w:eastAsia="Noto Sans CJK DemiLight" w:cs="Times New Roman"/>
      <w:kern w:val="0"/>
      <w:sz w:val="32"/>
      <w:szCs w:val="32"/>
      <w:lang w:val="en-US" w:eastAsia="en-US" w:bidi="ar-SA"/>
    </w:rPr>
  </w:style>
  <w:style w:type="paragraph" w:customStyle="1" w:styleId="2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3">
    <w:name w:val="Normal_1"/>
    <w:next w:val="24"/>
    <w:qFormat/>
    <w:uiPriority w:val="0"/>
    <w:rPr>
      <w:rFonts w:ascii="Times New Roman" w:hAnsi="Times New Roman" w:eastAsia="Times New Roman" w:cs="Times New Roman"/>
      <w:sz w:val="24"/>
      <w:szCs w:val="24"/>
    </w:rPr>
  </w:style>
  <w:style w:type="paragraph" w:customStyle="1" w:styleId="24">
    <w:name w:val="默认段落字体 Para Char"/>
    <w:basedOn w:val="25"/>
    <w:next w:val="1"/>
    <w:qFormat/>
    <w:uiPriority w:val="0"/>
    <w:pPr>
      <w:widowControl w:val="0"/>
      <w:spacing w:before="80" w:after="80" w:line="360" w:lineRule="auto"/>
      <w:jc w:val="both"/>
    </w:pPr>
    <w:rPr>
      <w:rFonts w:ascii="Calibri" w:hAnsi="Calibri" w:cs="Times New Roman"/>
      <w:kern w:val="2"/>
      <w:szCs w:val="20"/>
    </w:rPr>
  </w:style>
  <w:style w:type="paragraph" w:customStyle="1" w:styleId="25">
    <w:name w:val="Normal_0"/>
    <w:next w:val="24"/>
    <w:qFormat/>
    <w:uiPriority w:val="0"/>
    <w:pPr>
      <w:overflowPunct w:val="0"/>
      <w:autoSpaceDE w:val="0"/>
      <w:autoSpaceDN w:val="0"/>
      <w:adjustRightInd w:val="0"/>
    </w:pPr>
    <w:rPr>
      <w:rFonts w:ascii="Times New Roman" w:hAnsi="Times New Roman" w:eastAsia="宋体" w:cs="Times New Roman"/>
      <w:lang w:val="en-US" w:eastAsia="en-US" w:bidi="ar-SA"/>
    </w:rPr>
  </w:style>
  <w:style w:type="paragraph" w:customStyle="1" w:styleId="26">
    <w:name w:val="标题2A"/>
    <w:qFormat/>
    <w:uiPriority w:val="99"/>
    <w:pPr>
      <w:widowControl w:val="0"/>
      <w:numPr>
        <w:ilvl w:val="0"/>
        <w:numId w:val="2"/>
      </w:numPr>
      <w:tabs>
        <w:tab w:val="left" w:pos="720"/>
      </w:tabs>
      <w:spacing w:before="360" w:after="360" w:line="578" w:lineRule="auto"/>
      <w:jc w:val="center"/>
      <w:outlineLvl w:val="1"/>
    </w:pPr>
    <w:rPr>
      <w:rFonts w:ascii="Microsoft YaHei UI" w:hAnsi="Microsoft YaHei UI" w:eastAsia="宋体" w:cstheme="minorBidi"/>
      <w:spacing w:val="2"/>
      <w:kern w:val="0"/>
      <w:sz w:val="24"/>
      <w:szCs w:val="32"/>
      <w:lang w:val="en-US" w:eastAsia="zh-CN" w:bidi="ar-SA"/>
    </w:rPr>
  </w:style>
  <w:style w:type="character" w:customStyle="1" w:styleId="27">
    <w:name w:val="font41"/>
    <w:basedOn w:val="15"/>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0</Words>
  <Characters>0</Characters>
  <Lines>0</Lines>
  <Paragraphs>0</Paragraphs>
  <TotalTime>4</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2024-09-02T05:59:00Z</dcterms:created>
  <dc:creator>chenjie</dc:creator>
  <cp:lastModifiedBy>陈洁</cp:lastModifiedBy>
  <dcterms:modified xsi:type="dcterms:W3CDTF">2024-09-27T00:27:58Z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C1EA16BA720E4292981CC72D5D3BFFA8</vt:lpwstr>
  </property>
</Properties>
</file>