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color w:val="auto"/>
          <w:sz w:val="72"/>
          <w:szCs w:val="72"/>
          <w:highlight w:val="none"/>
        </w:rPr>
      </w:pPr>
      <w:r>
        <w:rPr>
          <w:rFonts w:hint="eastAsia" w:cs="宋体" w:asciiTheme="minorEastAsia" w:hAnsiTheme="minorEastAsia"/>
          <w:color w:val="auto"/>
          <w:sz w:val="44"/>
          <w:szCs w:val="44"/>
          <w:highlight w:val="none"/>
          <w:lang w:val="en-US" w:eastAsia="zh-CN"/>
        </w:rPr>
        <w:t>公开/邀请询价文件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5"/>
          <w:szCs w:val="5"/>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auto"/>
          <w:sz w:val="4"/>
          <w:szCs w:val="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7"/>
          <w:szCs w:val="7"/>
          <w:highlight w:val="none"/>
        </w:rPr>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auto"/>
          <w:highlight w:val="none"/>
        </w:rPr>
      </w:pPr>
      <w:r>
        <w:rPr>
          <w:rFonts w:asciiTheme="minorEastAsia" w:hAnsiTheme="minorEastAsia" w:eastAsiaTheme="minorEastAsia"/>
          <w:color w:val="auto"/>
          <w:spacing w:val="-3"/>
          <w:highlight w:val="none"/>
        </w:rPr>
        <w:t>（</w:t>
      </w:r>
      <w:r>
        <w:rPr>
          <w:rFonts w:hint="eastAsia" w:asciiTheme="minorEastAsia" w:hAnsiTheme="minorEastAsia"/>
          <w:color w:val="auto"/>
          <w:spacing w:val="-3"/>
          <w:highlight w:val="none"/>
          <w:lang w:val="en-US" w:eastAsia="zh-CN"/>
        </w:rPr>
        <w:t>项目名称</w:t>
      </w:r>
      <w:r>
        <w:rPr>
          <w:rFonts w:asciiTheme="minorEastAsia" w:hAnsiTheme="minorEastAsia" w:eastAsiaTheme="minorEastAsia"/>
          <w:color w:val="auto"/>
          <w:spacing w:val="-3"/>
          <w:highlight w:val="none"/>
        </w:rPr>
        <w:t>：</w:t>
      </w:r>
      <w:r>
        <w:rPr>
          <w:rFonts w:hint="eastAsia" w:asciiTheme="minorEastAsia" w:hAnsiTheme="minorEastAsia"/>
          <w:color w:val="auto"/>
          <w:spacing w:val="-3"/>
          <w:highlight w:val="none"/>
          <w:u w:val="single"/>
          <w:lang w:val="en-US" w:eastAsia="zh-CN"/>
        </w:rPr>
        <w:t>装备公司法兰等24项采购</w:t>
      </w:r>
      <w:r>
        <w:rPr>
          <w:rFonts w:asciiTheme="minorEastAsia" w:hAnsiTheme="minorEastAsia" w:eastAsiaTheme="minorEastAsia"/>
          <w:color w:val="auto"/>
          <w:spacing w:val="-3"/>
          <w:highlight w:val="none"/>
          <w:u w:val="single"/>
        </w:rPr>
        <w:tab/>
      </w:r>
      <w:r>
        <w:rPr>
          <w:rFonts w:asciiTheme="minorEastAsia" w:hAnsiTheme="minorEastAsia" w:eastAsiaTheme="minorEastAsia"/>
          <w:color w:val="auto"/>
          <w:highlight w:val="none"/>
        </w:rPr>
        <w:t>）</w:t>
      </w: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auto"/>
          <w:spacing w:val="-3"/>
          <w:highlight w:val="none"/>
        </w:rPr>
        <w:t>（采购编号：</w:t>
      </w:r>
      <w:r>
        <w:rPr>
          <w:rFonts w:hint="eastAsia" w:asciiTheme="minorEastAsia" w:hAnsiTheme="minorEastAsia"/>
          <w:color w:val="0000FF"/>
          <w:spacing w:val="-3"/>
          <w:highlight w:val="none"/>
          <w:u w:val="single"/>
          <w:lang w:val="en-US" w:eastAsia="zh-CN"/>
        </w:rPr>
        <w:t xml:space="preserve">  GKXJ-2025-ZB-2979</w:t>
      </w:r>
      <w:r>
        <w:rPr>
          <w:rFonts w:hint="eastAsia" w:asciiTheme="minorEastAsia" w:hAnsiTheme="minorEastAsia"/>
          <w:color w:val="auto"/>
          <w:spacing w:val="-3"/>
          <w:highlight w:val="none"/>
          <w:u w:val="single"/>
          <w:lang w:val="en-US" w:eastAsia="zh-CN"/>
        </w:rPr>
        <w:t xml:space="preserve">                              </w:t>
      </w:r>
      <w:r>
        <w:rPr>
          <w:rFonts w:asciiTheme="minorEastAsia" w:hAnsiTheme="minorEastAsia" w:eastAsiaTheme="minorEastAsia"/>
          <w:color w:val="auto"/>
          <w:highlight w:val="none"/>
        </w:rPr>
        <w:t>）</w:t>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right="134" w:firstLine="1500" w:firstLineChars="600"/>
        <w:jc w:val="both"/>
        <w:textAlignment w:val="auto"/>
        <w:outlineLvl w:val="9"/>
        <w:rPr>
          <w:rFonts w:cs="宋体" w:asciiTheme="minorEastAsia" w:hAnsiTheme="minorEastAsia"/>
          <w:color w:val="000000" w:themeColor="text1"/>
          <w:sz w:val="28"/>
          <w:szCs w:val="28"/>
          <w:highlight w:val="none"/>
          <w:u w:val="single"/>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single"/>
          <w14:textFill>
            <w14:solidFill>
              <w14:schemeClr w14:val="tx1"/>
            </w14:solidFill>
          </w14:textFill>
        </w:rPr>
        <w:t xml:space="preserve"> </w:t>
      </w:r>
      <w:r>
        <w:rPr>
          <w:rFonts w:hint="eastAsia" w:cs="宋体" w:asciiTheme="minorEastAsia" w:hAnsiTheme="minorEastAsia"/>
          <w:spacing w:val="-15"/>
          <w:sz w:val="28"/>
          <w:szCs w:val="28"/>
          <w:highlight w:val="none"/>
          <w:u w:val="single"/>
        </w:rPr>
        <w:t>中海油能源发展股份有限公司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19"/>
          <w:szCs w:val="19"/>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2520" w:firstLineChars="900"/>
        <w:jc w:val="both"/>
        <w:textAlignment w:val="auto"/>
        <w:outlineLvl w:val="9"/>
        <w:rPr>
          <w:rFonts w:cs="宋体" w:asciiTheme="minorEastAsia" w:hAnsiTheme="minorEastAsia"/>
          <w:color w:val="000000" w:themeColor="text1"/>
          <w:sz w:val="28"/>
          <w:szCs w:val="28"/>
          <w:highlight w:val="none"/>
          <w14:textFill>
            <w14:solidFill>
              <w14:schemeClr w14:val="tx1"/>
            </w14:solidFill>
          </w14:textFill>
        </w:rPr>
      </w:pP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2025</w:t>
      </w:r>
      <w:r>
        <w:rPr>
          <w:rFonts w:cs="宋体" w:asciiTheme="minorEastAsia" w:hAnsiTheme="minorEastAsia"/>
          <w:color w:val="000000" w:themeColor="text1"/>
          <w:sz w:val="28"/>
          <w:szCs w:val="28"/>
          <w:highlight w:val="none"/>
          <w14:textFill>
            <w14:solidFill>
              <w14:schemeClr w14:val="tx1"/>
            </w14:solidFill>
          </w14:textFill>
        </w:rPr>
        <w:t>年</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10</w:t>
      </w:r>
      <w:r>
        <w:rPr>
          <w:rFonts w:cs="宋体" w:asciiTheme="minorEastAsia" w:hAnsiTheme="minorEastAsia"/>
          <w:color w:val="000000" w:themeColor="text1"/>
          <w:sz w:val="28"/>
          <w:szCs w:val="28"/>
          <w:highlight w:val="none"/>
          <w14:textFill>
            <w14:solidFill>
              <w14:schemeClr w14:val="tx1"/>
            </w14:solidFill>
          </w14:textFill>
        </w:rPr>
        <w:t>月</w:t>
      </w:r>
      <w:r>
        <w:rPr>
          <w:rFonts w:hint="eastAsia" w:cs="宋体" w:asciiTheme="minorEastAsia" w:hAnsiTheme="minorEastAsia"/>
          <w:color w:val="000000" w:themeColor="text1"/>
          <w:sz w:val="28"/>
          <w:szCs w:val="28"/>
          <w:highlight w:val="none"/>
          <w:u w:val="single"/>
          <w:lang w:val="en-US" w:eastAsia="zh-CN"/>
          <w14:textFill>
            <w14:solidFill>
              <w14:schemeClr w14:val="tx1"/>
            </w14:solidFill>
          </w14:textFill>
        </w:rPr>
        <w:t>21</w:t>
      </w:r>
      <w:r>
        <w:rPr>
          <w:rFonts w:cs="宋体" w:asciiTheme="minorEastAsia" w:hAnsiTheme="minorEastAsia"/>
          <w:color w:val="000000" w:themeColor="text1"/>
          <w:sz w:val="28"/>
          <w:szCs w:val="28"/>
          <w:highlight w:val="none"/>
          <w14:textFill>
            <w14:solidFill>
              <w14:schemeClr w14:val="tx1"/>
            </w14:solidFill>
          </w14:textFill>
        </w:rPr>
        <w:t>日</w:t>
      </w: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rPr>
          <w:rFonts w:hint="eastAsia" w:asciiTheme="minorEastAsia" w:hAnsiTheme="minorEastAsia" w:cstheme="minorEastAsia"/>
          <w:b/>
          <w:bCs/>
          <w:color w:val="000000" w:themeColor="text1"/>
          <w:sz w:val="40"/>
          <w:szCs w:val="40"/>
          <w:highlight w:val="none"/>
          <w14:textFill>
            <w14:solidFill>
              <w14:schemeClr w14:val="tx1"/>
            </w14:solidFill>
          </w14:textFill>
        </w:rPr>
      </w:pPr>
      <w:r>
        <w:rPr>
          <w:rFonts w:hint="eastAsia" w:asciiTheme="minorEastAsia" w:hAnsiTheme="minorEastAsia" w:cstheme="minorEastAsia"/>
          <w:b/>
          <w:bCs/>
          <w:color w:val="000000" w:themeColor="text1"/>
          <w:sz w:val="40"/>
          <w:szCs w:val="40"/>
          <w:highlight w:val="none"/>
          <w14:textFill>
            <w14:solidFill>
              <w14:schemeClr w14:val="tx1"/>
            </w14:solidFill>
          </w14:textFill>
        </w:rPr>
        <w:br w:type="page"/>
      </w:r>
    </w:p>
    <w:p>
      <w:pPr>
        <w:pStyle w:val="5"/>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pacing w:line="360" w:lineRule="auto"/>
        <w:jc w:val="center"/>
        <w:outlineLvl w:val="0"/>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14:textFill>
            <w14:solidFill>
              <w14:schemeClr w14:val="tx1"/>
            </w14:solidFill>
          </w14:textFill>
        </w:rPr>
        <w:t>询价文件</w:t>
      </w:r>
    </w:p>
    <w:p>
      <w:pPr>
        <w:spacing w:line="360" w:lineRule="auto"/>
        <w:jc w:val="center"/>
        <w:rPr>
          <w:rFonts w:asciiTheme="minorEastAsia" w:hAnsiTheme="minorEastAsia"/>
          <w:color w:val="000000" w:themeColor="text1"/>
          <w:sz w:val="24"/>
          <w:szCs w:val="24"/>
          <w:highlight w:val="none"/>
          <w14:textFill>
            <w14:solidFill>
              <w14:schemeClr w14:val="tx1"/>
            </w14:solidFill>
          </w14:textFill>
        </w:rPr>
      </w:pP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olor w:val="000000" w:themeColor="text1"/>
          <w:sz w:val="21"/>
          <w:szCs w:val="21"/>
          <w:highlight w:val="none"/>
          <w:u w:val="single"/>
          <w14:textFill>
            <w14:solidFill>
              <w14:schemeClr w14:val="tx1"/>
            </w14:solidFill>
          </w14:textFill>
        </w:rPr>
        <w:t xml:space="preserve"> 装备公司</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法兰等24项</w:t>
      </w:r>
      <w:r>
        <w:rPr>
          <w:rFonts w:hint="eastAsia" w:asciiTheme="minorEastAsia" w:hAnsiTheme="minorEastAsia"/>
          <w:color w:val="000000" w:themeColor="text1"/>
          <w:sz w:val="21"/>
          <w:szCs w:val="21"/>
          <w:highlight w:val="none"/>
          <w:u w:val="single"/>
          <w:lang w:eastAsia="zh-CN"/>
          <w14:textFill>
            <w14:solidFill>
              <w14:schemeClr w14:val="tx1"/>
            </w14:solidFill>
          </w14:textFill>
        </w:rPr>
        <w:t>采购</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项目进行</w:t>
      </w:r>
      <w:r>
        <w:rPr>
          <w:rFonts w:hint="eastAsia" w:asciiTheme="minorEastAsia" w:hAnsiTheme="minorEastAsia"/>
          <w:color w:val="000000" w:themeColor="text1"/>
          <w:sz w:val="21"/>
          <w:szCs w:val="21"/>
          <w:highlight w:val="none"/>
          <w:lang w:val="en-US" w:eastAsia="zh-CN"/>
          <w14:textFill>
            <w14:solidFill>
              <w14:schemeClr w14:val="tx1"/>
            </w14:solidFill>
          </w14:textFill>
        </w:rPr>
        <w:t>公开</w:t>
      </w:r>
      <w:r>
        <w:rPr>
          <w:rFonts w:hint="eastAsia" w:asciiTheme="minorEastAsia" w:hAnsiTheme="minorEastAsia"/>
          <w:color w:val="000000" w:themeColor="text1"/>
          <w:sz w:val="21"/>
          <w:szCs w:val="21"/>
          <w:highlight w:val="none"/>
          <w:lang w:eastAsia="zh-CN"/>
          <w14:textFill>
            <w14:solidFill>
              <w14:schemeClr w14:val="tx1"/>
            </w14:solidFill>
          </w14:textFill>
        </w:rPr>
        <w:t>询价</w:t>
      </w:r>
      <w:r>
        <w:rPr>
          <w:rFonts w:hint="eastAsia" w:asciiTheme="minorEastAsia" w:hAnsiTheme="minorEastAsia"/>
          <w:color w:val="000000" w:themeColor="text1"/>
          <w:sz w:val="21"/>
          <w:szCs w:val="21"/>
          <w:highlight w:val="none"/>
          <w14:textFill>
            <w14:solidFill>
              <w14:schemeClr w14:val="tx1"/>
            </w14:solidFill>
          </w14:textFill>
        </w:rPr>
        <w:t>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tabs>
          <w:tab w:val="right" w:pos="7886"/>
        </w:tabs>
        <w:spacing w:line="360" w:lineRule="auto"/>
        <w:ind w:firstLine="420"/>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：符合询价公告的供应商资格条件。</w:t>
      </w:r>
      <w:r>
        <w:rPr>
          <w:rFonts w:hint="eastAsia" w:asciiTheme="minorEastAsia" w:hAnsiTheme="minorEastAsia"/>
          <w:color w:val="000000" w:themeColor="text1"/>
          <w:sz w:val="21"/>
          <w:szCs w:val="21"/>
          <w:highlight w:val="none"/>
          <w:lang w:eastAsia="zh-CN"/>
          <w14:textFill>
            <w14:solidFill>
              <w14:schemeClr w14:val="tx1"/>
            </w14:solidFill>
          </w14:textFill>
        </w:rPr>
        <w:tab/>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2.采购内容、技术参数及要求：见本询价文件附件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3</w:t>
      </w:r>
      <w:r>
        <w:rPr>
          <w:rFonts w:hint="eastAsia" w:asciiTheme="minorEastAsia" w:hAnsiTheme="minorEastAsia"/>
          <w:color w:val="000000" w:themeColor="text1"/>
          <w:sz w:val="21"/>
          <w:szCs w:val="21"/>
          <w:highlight w:val="none"/>
          <w14:textFill>
            <w14:solidFill>
              <w14:schemeClr w14:val="tx1"/>
            </w14:solidFill>
          </w14:textFill>
        </w:rPr>
        <w:t>.公告时间：</w:t>
      </w:r>
      <w:r>
        <w:rPr>
          <w:rFonts w:hint="eastAsia" w:asciiTheme="minorEastAsia" w:hAnsiTheme="minorEastAsia"/>
          <w:color w:val="000000" w:themeColor="text1"/>
          <w:szCs w:val="21"/>
          <w:u w:val="single"/>
          <w:lang w:val="en-US" w:eastAsia="zh-CN"/>
          <w14:textFill>
            <w14:solidFill>
              <w14:schemeClr w14:val="tx1"/>
            </w14:solidFill>
          </w14:textFill>
        </w:rPr>
        <w:t xml:space="preserve">以中国海油供应链数字化平台发布为准 </w:t>
      </w:r>
      <w:r>
        <w:rPr>
          <w:rFonts w:hint="eastAsia" w:asciiTheme="minorEastAsia" w:hAnsiTheme="minorEastAsia"/>
          <w:color w:val="000000" w:themeColor="text1"/>
          <w:sz w:val="21"/>
          <w:szCs w:val="21"/>
          <w:highlight w:val="none"/>
          <w14:textFill>
            <w14:solidFill>
              <w14:schemeClr w14:val="tx1"/>
            </w14:solidFill>
          </w14:textFill>
        </w:rPr>
        <w:t>。</w:t>
      </w:r>
    </w:p>
    <w:p>
      <w:pPr>
        <w:numPr>
          <w:ilvl w:val="0"/>
          <w:numId w:val="0"/>
        </w:numPr>
        <w:spacing w:line="360" w:lineRule="auto"/>
        <w:ind w:firstLine="420" w:firstLineChars="200"/>
        <w:rPr>
          <w:rFonts w:hint="eastAsia"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color w:val="000000" w:themeColor="text1"/>
          <w:szCs w:val="21"/>
          <w:u w:val="single"/>
          <w:lang w:val="en-US" w:eastAsia="zh-CN"/>
          <w14:textFill>
            <w14:solidFill>
              <w14:schemeClr w14:val="tx1"/>
            </w14:solidFill>
          </w14:textFill>
        </w:rPr>
        <w:t xml:space="preserve">以中国海油供应链数字化平台发布为准 </w:t>
      </w:r>
      <w:r>
        <w:rPr>
          <w:rFonts w:asciiTheme="minorEastAsia" w:hAnsiTheme="minorEastAsia"/>
          <w:color w:val="000000" w:themeColor="text1"/>
          <w:sz w:val="21"/>
          <w:szCs w:val="21"/>
          <w:highlight w:val="none"/>
          <w14:textFill>
            <w14:solidFill>
              <w14:schemeClr w14:val="tx1"/>
            </w14:solidFill>
          </w14:textFill>
        </w:rPr>
        <w:t>（北京时间</w:t>
      </w:r>
      <w:r>
        <w:rPr>
          <w:rFonts w:hint="eastAsia" w:asciiTheme="minorEastAsia" w:hAnsiTheme="minorEastAsia"/>
          <w:color w:val="000000" w:themeColor="text1"/>
          <w:sz w:val="21"/>
          <w:szCs w:val="21"/>
          <w:highlight w:val="none"/>
          <w14:textFill>
            <w14:solidFill>
              <w14:schemeClr w14:val="tx1"/>
            </w14:solidFill>
          </w14:textFill>
        </w:rPr>
        <w:t>）将询价文件发布至中国海洋石油集团有限公司《中国海油供应链数字化平台》（以下简称“系统”）https://bid.cnooc.com.cn/，请登陆并下载。</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4.递交响应文件的截止时间及地点：递交</w:t>
      </w:r>
      <w:r>
        <w:rPr>
          <w:rFonts w:hint="eastAsia" w:asciiTheme="minorEastAsia" w:hAnsiTheme="minorEastAsia"/>
          <w:color w:val="000000" w:themeColor="text1"/>
          <w:sz w:val="21"/>
          <w:szCs w:val="21"/>
          <w:highlight w:val="none"/>
          <w14:textFill>
            <w14:solidFill>
              <w14:schemeClr w14:val="tx1"/>
            </w14:solidFill>
          </w14:textFill>
        </w:rPr>
        <w:t>报价</w:t>
      </w:r>
      <w:r>
        <w:rPr>
          <w:rFonts w:asciiTheme="minorEastAsia" w:hAnsiTheme="minorEastAsia"/>
          <w:color w:val="000000" w:themeColor="text1"/>
          <w:sz w:val="21"/>
          <w:szCs w:val="21"/>
          <w:highlight w:val="none"/>
          <w14:textFill>
            <w14:solidFill>
              <w14:schemeClr w14:val="tx1"/>
            </w14:solidFill>
          </w14:textFill>
        </w:rPr>
        <w:t>文件的截止时间为</w:t>
      </w:r>
      <w:r>
        <w:rPr>
          <w:rFonts w:hint="eastAsia" w:asciiTheme="minorEastAsia" w:hAnsiTheme="minorEastAsia"/>
          <w:color w:val="000000" w:themeColor="text1"/>
          <w:szCs w:val="21"/>
          <w:u w:val="single"/>
          <w:lang w:val="en-US" w:eastAsia="zh-CN"/>
          <w14:textFill>
            <w14:solidFill>
              <w14:schemeClr w14:val="tx1"/>
            </w14:solidFill>
          </w14:textFill>
        </w:rPr>
        <w:t xml:space="preserve">以中国海油供应链数字化平台发布为准 </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请在规定报价截止时间前通</w:t>
      </w:r>
      <w:bookmarkStart w:id="102" w:name="_GoBack"/>
      <w:bookmarkEnd w:id="102"/>
      <w:r>
        <w:rPr>
          <w:rFonts w:hint="eastAsia" w:asciiTheme="minorEastAsia" w:hAnsiTheme="minorEastAsia"/>
          <w:color w:val="000000" w:themeColor="text1"/>
          <w:sz w:val="21"/>
          <w:szCs w:val="21"/>
          <w:highlight w:val="none"/>
          <w14:textFill>
            <w14:solidFill>
              <w14:schemeClr w14:val="tx1"/>
            </w14:solidFill>
          </w14:textFill>
        </w:rPr>
        <w:t>过系统报价及挂接</w:t>
      </w:r>
      <w:r>
        <w:rPr>
          <w:rFonts w:hint="eastAsia" w:asciiTheme="minorEastAsia" w:hAnsiTheme="minorEastAsia"/>
          <w:color w:val="000000" w:themeColor="text1"/>
          <w:sz w:val="21"/>
          <w:szCs w:val="21"/>
          <w:highlight w:val="none"/>
          <w:lang w:val="en-US" w:eastAsia="zh-CN"/>
          <w14:textFill>
            <w14:solidFill>
              <w14:schemeClr w14:val="tx1"/>
            </w14:solidFill>
          </w14:textFill>
        </w:rPr>
        <w:t>价格明细文件</w:t>
      </w:r>
      <w:r>
        <w:rPr>
          <w:rFonts w:hint="eastAsia" w:asciiTheme="minorEastAsia" w:hAnsiTheme="minorEastAsia"/>
          <w:color w:val="000000" w:themeColor="text1"/>
          <w:sz w:val="21"/>
          <w:szCs w:val="21"/>
          <w:highlight w:val="none"/>
          <w14:textFill>
            <w14:solidFill>
              <w14:schemeClr w14:val="tx1"/>
            </w14:solidFill>
          </w14:textFill>
        </w:rPr>
        <w:t>。</w:t>
      </w:r>
    </w:p>
    <w:p>
      <w:pPr>
        <w:widowControl/>
        <w:snapToGrid w:val="0"/>
        <w:spacing w:line="460" w:lineRule="exact"/>
        <w:ind w:firstLine="420" w:firstLineChars="2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均视作认同本次询价的各项约定事宜(包括供应商资格、技术参数、相关日期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5"/>
        <w:spacing w:line="360" w:lineRule="auto"/>
        <w:rPr>
          <w:rFonts w:hint="eastAsia"/>
          <w:highlight w:val="none"/>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23"/>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日内按照纳入海油发展供应商资源库的资料提报要求完成资料准备和上传工作。如应答人超时效未完成上传工作，有可能影响其中标资格，因此造成的损失，由供应商自行承担。</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5"/>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价文件及其评审办法中存在含糊不清、相互矛盾、多种含义以及歧视性不公正条款或违法违规内容时，请在报价截止日到期前一天书面形式反映，未对询价文件提出异议或要求澄清的，将视为完全理解并默认询价文件所有条款，并同意放弃对询价文件有不明或误解而询问、质疑、投诉的权利。</w:t>
      </w:r>
    </w:p>
    <w:p>
      <w:pPr>
        <w:pStyle w:val="5"/>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《招标投标法实施条例》第四十条　串通投标的认定</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的投标文件由同一单位或者个人编制；</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委托同一单位或者个人办理投标事宜；</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的投标文件载明的项目管理成员为同一人；</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的投标文件异常一致或者投标报价呈规律性差异；</w:t>
      </w:r>
    </w:p>
    <w:p>
      <w:pPr>
        <w:pStyle w:val="5"/>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的投标文件相互混装；</w:t>
      </w:r>
    </w:p>
    <w:p>
      <w:pPr>
        <w:pStyle w:val="5"/>
        <w:spacing w:line="360" w:lineRule="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评审原则：</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本次采用响应询价文件要求且</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最低原则。如</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存在两家应答人一致的情形，可按照付款条件、交货期、质保期、注册资金等优先顺序确定成交供应商</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7.联系方式：</w:t>
      </w:r>
    </w:p>
    <w:p>
      <w:pPr>
        <w:pStyle w:val="9"/>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商务代表联系人与联系方式如下：</w:t>
      </w:r>
    </w:p>
    <w:p>
      <w:pPr>
        <w:pStyle w:val="9"/>
        <w:ind w:left="0" w:leftChars="0" w:right="10" w:firstLine="420" w:firstLineChars="200"/>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1）、我方商务代表联系人与联系方式如下：</w:t>
      </w:r>
    </w:p>
    <w:p>
      <w:pPr>
        <w:pStyle w:val="9"/>
        <w:ind w:left="415" w:leftChars="135" w:right="10" w:hanging="132" w:hangingChars="63"/>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联系单位：中海油能源发展装备技术有限公司</w:t>
      </w:r>
    </w:p>
    <w:p>
      <w:pPr>
        <w:pStyle w:val="9"/>
        <w:ind w:left="415" w:leftChars="135" w:right="10" w:hanging="132" w:hangingChars="63"/>
        <w:rPr>
          <w:rFonts w:hint="default"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联系人：刘娜</w:t>
      </w:r>
    </w:p>
    <w:p>
      <w:pPr>
        <w:pStyle w:val="9"/>
        <w:ind w:left="415" w:leftChars="135" w:right="10" w:hanging="132" w:hangingChars="63"/>
        <w:rPr>
          <w:rFonts w:hint="default"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联系电话：022-66919032</w:t>
      </w:r>
    </w:p>
    <w:p>
      <w:pPr>
        <w:ind w:firstLine="298" w:firstLineChars="142"/>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邮  箱：</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liuna@cnooc.com.cn</w:t>
      </w:r>
    </w:p>
    <w:p>
      <w:pPr>
        <w:rPr>
          <w:rFonts w:hint="eastAsia"/>
          <w:highlight w:val="none"/>
          <w:lang w:val="en-US" w:eastAsia="zh-CN"/>
        </w:rPr>
      </w:pP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8</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5"/>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附件1：询价评议内容</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5"/>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5"/>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5"/>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询价</w:t>
      </w:r>
      <w:r>
        <w:rPr>
          <w:rFonts w:hint="eastAsia" w:asciiTheme="minorEastAsia" w:hAnsiTheme="minorEastAsia" w:cstheme="minorEastAsia"/>
          <w:b/>
          <w:bCs/>
          <w:color w:val="auto"/>
          <w:sz w:val="24"/>
          <w:szCs w:val="24"/>
          <w:highlight w:val="none"/>
          <w:lang w:val="en-US" w:eastAsia="zh-CN"/>
        </w:rPr>
        <w:t>评议内容</w:t>
      </w: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default"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评议要求</w:t>
      </w:r>
    </w:p>
    <w:tbl>
      <w:tblPr>
        <w:tblStyle w:val="18"/>
        <w:tblW w:w="5704" w:type="pct"/>
        <w:jc w:val="center"/>
        <w:tblLayout w:type="fixed"/>
        <w:tblCellMar>
          <w:top w:w="0" w:type="dxa"/>
          <w:left w:w="0" w:type="dxa"/>
          <w:bottom w:w="0" w:type="dxa"/>
          <w:right w:w="0" w:type="dxa"/>
        </w:tblCellMar>
      </w:tblPr>
      <w:tblGrid>
        <w:gridCol w:w="624"/>
        <w:gridCol w:w="554"/>
        <w:gridCol w:w="2025"/>
        <w:gridCol w:w="6284"/>
      </w:tblGrid>
      <w:tr>
        <w:tblPrEx>
          <w:tblCellMar>
            <w:top w:w="0" w:type="dxa"/>
            <w:left w:w="0" w:type="dxa"/>
            <w:bottom w:w="0" w:type="dxa"/>
            <w:right w:w="0" w:type="dxa"/>
          </w:tblCellMar>
        </w:tblPrEx>
        <w:trPr>
          <w:trHeight w:val="454" w:hRule="atLeast"/>
          <w:jc w:val="center"/>
        </w:trPr>
        <w:tc>
          <w:tcPr>
            <w:tcW w:w="620" w:type="pct"/>
            <w:gridSpan w:val="2"/>
            <w:tcBorders>
              <w:top w:val="single" w:color="000000" w:sz="4" w:space="0"/>
              <w:left w:val="single" w:color="000000" w:sz="4" w:space="0"/>
              <w:bottom w:val="single" w:color="000000" w:sz="4" w:space="0"/>
              <w:right w:val="single" w:color="000000" w:sz="4" w:space="0"/>
            </w:tcBorders>
            <w:vAlign w:val="center"/>
          </w:tcPr>
          <w:p>
            <w:pPr>
              <w:pStyle w:val="23"/>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067" w:type="pct"/>
            <w:tcBorders>
              <w:top w:val="single" w:color="000000" w:sz="4" w:space="0"/>
              <w:left w:val="nil"/>
              <w:bottom w:val="single" w:color="000000" w:sz="4" w:space="0"/>
              <w:right w:val="single" w:color="000000" w:sz="4" w:space="0"/>
            </w:tcBorders>
            <w:vAlign w:val="center"/>
          </w:tcPr>
          <w:p>
            <w:pPr>
              <w:pStyle w:val="23"/>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312" w:type="pct"/>
            <w:tcBorders>
              <w:top w:val="single" w:color="000000" w:sz="4" w:space="0"/>
              <w:left w:val="nil"/>
              <w:bottom w:val="single" w:color="000000" w:sz="4" w:space="0"/>
              <w:right w:val="single" w:color="000000" w:sz="4" w:space="0"/>
            </w:tcBorders>
            <w:vAlign w:val="center"/>
          </w:tcPr>
          <w:p>
            <w:pPr>
              <w:pStyle w:val="23"/>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blPrEx>
          <w:tblCellMar>
            <w:top w:w="0" w:type="dxa"/>
            <w:left w:w="0" w:type="dxa"/>
            <w:bottom w:w="0" w:type="dxa"/>
            <w:right w:w="0" w:type="dxa"/>
          </w:tblCellMar>
        </w:tblPrEx>
        <w:trPr>
          <w:trHeight w:val="454" w:hRule="atLeast"/>
          <w:jc w:val="center"/>
        </w:trPr>
        <w:tc>
          <w:tcPr>
            <w:tcW w:w="328" w:type="pct"/>
            <w:vMerge w:val="restart"/>
            <w:tcBorders>
              <w:top w:val="nil"/>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1</w:t>
            </w:r>
          </w:p>
          <w:p>
            <w:pPr>
              <w:spacing w:line="300" w:lineRule="exact"/>
              <w:jc w:val="center"/>
              <w:rPr>
                <w:rFonts w:hint="eastAsia" w:ascii="仿宋" w:hAnsi="仿宋" w:eastAsia="仿宋" w:cs="仿宋"/>
                <w:bCs/>
                <w:color w:val="auto"/>
                <w:sz w:val="21"/>
                <w:szCs w:val="21"/>
                <w:highlight w:val="none"/>
              </w:rPr>
            </w:pPr>
          </w:p>
        </w:tc>
        <w:tc>
          <w:tcPr>
            <w:tcW w:w="291" w:type="pct"/>
            <w:vMerge w:val="restart"/>
            <w:tcBorders>
              <w:top w:val="nil"/>
              <w:left w:val="nil"/>
              <w:right w:val="single" w:color="000000" w:sz="6" w:space="0"/>
            </w:tcBorders>
            <w:textDirection w:val="tbRlV"/>
            <w:vAlign w:val="center"/>
          </w:tcPr>
          <w:p>
            <w:pPr>
              <w:pStyle w:val="23"/>
              <w:spacing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1067" w:type="pct"/>
            <w:tcBorders>
              <w:top w:val="single" w:color="000000" w:sz="4" w:space="0"/>
              <w:left w:val="nil"/>
              <w:bottom w:val="single" w:color="000000" w:sz="4" w:space="0"/>
              <w:right w:val="single" w:color="000000" w:sz="4"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bCs/>
                <w:color w:val="auto"/>
                <w:sz w:val="21"/>
                <w:szCs w:val="21"/>
                <w:highlight w:val="none"/>
                <w:lang w:eastAsia="zh-CN"/>
              </w:rPr>
              <w:t>应答人名称</w:t>
            </w:r>
          </w:p>
        </w:tc>
        <w:tc>
          <w:tcPr>
            <w:tcW w:w="3312" w:type="pct"/>
            <w:tcBorders>
              <w:top w:val="single" w:color="000000" w:sz="4" w:space="0"/>
              <w:left w:val="nil"/>
              <w:bottom w:val="single" w:color="000000" w:sz="4" w:space="0"/>
              <w:right w:val="single" w:color="000000" w:sz="4" w:space="0"/>
            </w:tcBorders>
            <w:vAlign w:val="center"/>
          </w:tcPr>
          <w:p>
            <w:pPr>
              <w:pStyle w:val="23"/>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与营业执照、资质证书（</w:t>
            </w:r>
            <w:r>
              <w:rPr>
                <w:rFonts w:hint="eastAsia" w:ascii="仿宋" w:hAnsi="仿宋" w:eastAsia="仿宋" w:cs="仿宋"/>
                <w:bCs/>
                <w:color w:val="auto"/>
                <w:sz w:val="21"/>
                <w:szCs w:val="21"/>
                <w:highlight w:val="none"/>
                <w:lang w:val="en-US" w:eastAsia="zh-CN"/>
              </w:rPr>
              <w:t>如涉及</w:t>
            </w:r>
            <w:r>
              <w:rPr>
                <w:rFonts w:hint="eastAsia" w:ascii="仿宋" w:hAnsi="仿宋" w:eastAsia="仿宋" w:cs="仿宋"/>
                <w:bCs/>
                <w:color w:val="auto"/>
                <w:sz w:val="21"/>
                <w:szCs w:val="21"/>
                <w:highlight w:val="none"/>
                <w:lang w:eastAsia="zh-CN"/>
              </w:rPr>
              <w:t>）一致；</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067" w:type="pct"/>
            <w:tcBorders>
              <w:top w:val="single" w:color="000000" w:sz="4" w:space="0"/>
              <w:left w:val="nil"/>
              <w:bottom w:val="nil"/>
              <w:right w:val="single" w:color="000000" w:sz="4"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bCs/>
                <w:color w:val="auto"/>
                <w:sz w:val="21"/>
                <w:szCs w:val="21"/>
                <w:highlight w:val="none"/>
                <w:lang w:eastAsia="zh-CN"/>
              </w:rPr>
              <w:t>报价文件签字盖章</w:t>
            </w:r>
          </w:p>
        </w:tc>
        <w:tc>
          <w:tcPr>
            <w:tcW w:w="3312" w:type="pct"/>
            <w:tcBorders>
              <w:top w:val="single" w:color="000000" w:sz="4" w:space="0"/>
              <w:left w:val="nil"/>
              <w:bottom w:val="nil"/>
              <w:right w:val="single" w:color="000000" w:sz="4" w:space="0"/>
            </w:tcBorders>
            <w:vAlign w:val="center"/>
          </w:tcPr>
          <w:p>
            <w:pPr>
              <w:pStyle w:val="23"/>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授权委托书；缺少签字或盖章的，可以澄清补充，补充后满足上述要求的视为合格。</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067" w:type="pct"/>
            <w:tcBorders>
              <w:top w:val="single" w:color="000000" w:sz="4" w:space="0"/>
              <w:left w:val="nil"/>
              <w:bottom w:val="single" w:color="000000" w:sz="4" w:space="0"/>
              <w:right w:val="single" w:color="000000" w:sz="4"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 xml:space="preserve"> </w:t>
            </w: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bCs/>
                <w:color w:val="auto"/>
                <w:sz w:val="21"/>
                <w:szCs w:val="21"/>
                <w:highlight w:val="none"/>
                <w:lang w:eastAsia="zh-CN"/>
              </w:rPr>
              <w:t>报价文件格式</w:t>
            </w:r>
          </w:p>
        </w:tc>
        <w:tc>
          <w:tcPr>
            <w:tcW w:w="3312"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符合附件</w:t>
            </w:r>
            <w:r>
              <w:rPr>
                <w:rFonts w:hint="eastAsia" w:ascii="仿宋" w:hAnsi="仿宋" w:eastAsia="仿宋" w:cs="仿宋"/>
                <w:bCs/>
                <w:color w:val="auto"/>
                <w:sz w:val="21"/>
                <w:szCs w:val="21"/>
                <w:highlight w:val="none"/>
                <w:lang w:val="en-US" w:eastAsia="zh-CN"/>
              </w:rPr>
              <w:t>7</w:t>
            </w:r>
            <w:r>
              <w:rPr>
                <w:rFonts w:hint="eastAsia" w:ascii="仿宋" w:hAnsi="仿宋" w:eastAsia="仿宋" w:cs="仿宋"/>
                <w:bCs/>
                <w:color w:val="auto"/>
                <w:sz w:val="21"/>
                <w:szCs w:val="21"/>
                <w:highlight w:val="none"/>
              </w:rPr>
              <w:t>：报价单格式的规定；</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067" w:type="pct"/>
            <w:tcBorders>
              <w:top w:val="single" w:color="000000" w:sz="4" w:space="0"/>
              <w:left w:val="nil"/>
              <w:bottom w:val="single" w:color="000000" w:sz="4" w:space="0"/>
              <w:right w:val="single" w:color="000000" w:sz="4"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bCs/>
                <w:color w:val="auto"/>
                <w:sz w:val="21"/>
                <w:szCs w:val="21"/>
                <w:highlight w:val="none"/>
                <w:lang w:eastAsia="zh-CN"/>
              </w:rPr>
              <w:t>报价有效期</w:t>
            </w:r>
          </w:p>
        </w:tc>
        <w:tc>
          <w:tcPr>
            <w:tcW w:w="3312" w:type="pct"/>
            <w:tcBorders>
              <w:top w:val="single" w:color="000000" w:sz="4" w:space="0"/>
              <w:left w:val="nil"/>
              <w:bottom w:val="single" w:color="000000" w:sz="4" w:space="0"/>
              <w:right w:val="single" w:color="000000" w:sz="4" w:space="0"/>
            </w:tcBorders>
            <w:vAlign w:val="center"/>
          </w:tcPr>
          <w:p>
            <w:pPr>
              <w:pStyle w:val="23"/>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 xml:space="preserve">报价截止之日起【 </w:t>
            </w:r>
            <w:r>
              <w:rPr>
                <w:rFonts w:hint="eastAsia" w:ascii="仿宋" w:hAnsi="仿宋" w:eastAsia="仿宋" w:cs="仿宋"/>
                <w:bCs/>
                <w:color w:val="auto"/>
                <w:sz w:val="21"/>
                <w:szCs w:val="21"/>
                <w:highlight w:val="none"/>
                <w:lang w:val="en-US" w:eastAsia="zh-CN"/>
              </w:rPr>
              <w:t>120</w:t>
            </w:r>
            <w:r>
              <w:rPr>
                <w:rFonts w:hint="eastAsia" w:ascii="仿宋" w:hAnsi="仿宋" w:eastAsia="仿宋" w:cs="仿宋"/>
                <w:bCs/>
                <w:color w:val="auto"/>
                <w:sz w:val="21"/>
                <w:szCs w:val="21"/>
                <w:highlight w:val="none"/>
                <w:lang w:eastAsia="zh-CN"/>
              </w:rPr>
              <w:t xml:space="preserve"> 】</w:t>
            </w:r>
            <w:r>
              <w:rPr>
                <w:rFonts w:hint="eastAsia" w:ascii="仿宋" w:hAnsi="仿宋" w:eastAsia="仿宋" w:cs="仿宋"/>
                <w:bCs/>
                <w:color w:val="auto"/>
                <w:sz w:val="21"/>
                <w:szCs w:val="21"/>
                <w:highlight w:val="none"/>
                <w:lang w:val="en-US" w:eastAsia="zh-CN"/>
              </w:rPr>
              <w:t>日历日</w:t>
            </w:r>
            <w:r>
              <w:rPr>
                <w:rFonts w:hint="eastAsia" w:ascii="仿宋" w:hAnsi="仿宋" w:eastAsia="仿宋" w:cs="仿宋"/>
                <w:bCs/>
                <w:color w:val="auto"/>
                <w:sz w:val="21"/>
                <w:szCs w:val="21"/>
                <w:highlight w:val="none"/>
                <w:lang w:eastAsia="zh-CN"/>
              </w:rPr>
              <w:t>内保持有效；</w:t>
            </w:r>
          </w:p>
        </w:tc>
      </w:tr>
      <w:tr>
        <w:tblPrEx>
          <w:tblCellMar>
            <w:top w:w="0" w:type="dxa"/>
            <w:left w:w="0" w:type="dxa"/>
            <w:bottom w:w="0" w:type="dxa"/>
            <w:right w:w="0" w:type="dxa"/>
          </w:tblCellMar>
        </w:tblPrEx>
        <w:trPr>
          <w:trHeight w:val="2036"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auto" w:sz="4" w:space="0"/>
              <w:right w:val="single" w:color="000000" w:sz="4" w:space="0"/>
            </w:tcBorders>
            <w:vAlign w:val="center"/>
          </w:tcPr>
          <w:p>
            <w:pPr>
              <w:pStyle w:val="23"/>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kern w:val="2"/>
                <w:sz w:val="21"/>
                <w:szCs w:val="21"/>
                <w:highlight w:val="none"/>
                <w:lang w:val="en-US" w:eastAsia="zh-CN" w:bidi="ar-SA"/>
              </w:rPr>
              <w:t xml:space="preserve"> 商务资格</w:t>
            </w:r>
          </w:p>
        </w:tc>
        <w:tc>
          <w:tcPr>
            <w:tcW w:w="3312"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或证照合一的营业执照，投标时需提供原件扫描件（原件备查）。 应答人为事业单位的，应具有合法有效的事业单位法人证书，投标时需提供原件扫描件（原件备查）。应答人为分公司的，应具有合法有效的营业执照和上级法人单位授权书，分 公司与上级法人单位只可一家参与投标，同时参与投标的，投标均无效。</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tc>
      </w:tr>
      <w:tr>
        <w:tblPrEx>
          <w:tblCellMar>
            <w:top w:w="0" w:type="dxa"/>
            <w:left w:w="0" w:type="dxa"/>
            <w:bottom w:w="0" w:type="dxa"/>
            <w:right w:w="0" w:type="dxa"/>
          </w:tblCellMar>
        </w:tblPrEx>
        <w:trPr>
          <w:trHeight w:val="696"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auto" w:sz="4" w:space="0"/>
              <w:right w:val="single" w:color="000000" w:sz="4" w:space="0"/>
            </w:tcBorders>
            <w:vAlign w:val="center"/>
          </w:tcPr>
          <w:p>
            <w:pPr>
              <w:pStyle w:val="23"/>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kern w:val="2"/>
                <w:sz w:val="21"/>
                <w:szCs w:val="21"/>
                <w:highlight w:val="none"/>
                <w:lang w:val="en-US" w:eastAsia="zh-CN" w:bidi="ar-SA"/>
              </w:rPr>
              <w:t>信誉要求</w:t>
            </w:r>
          </w:p>
        </w:tc>
        <w:tc>
          <w:tcPr>
            <w:tcW w:w="3312" w:type="pct"/>
            <w:tcBorders>
              <w:top w:val="single" w:color="000000" w:sz="4" w:space="0"/>
              <w:left w:val="nil"/>
              <w:bottom w:val="single" w:color="auto" w:sz="4" w:space="0"/>
              <w:right w:val="single" w:color="000000" w:sz="4" w:space="0"/>
            </w:tcBorders>
            <w:vAlign w:val="center"/>
          </w:tcPr>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1.应答人不得是最高人民法院在“信用中国”网站（</w:t>
            </w:r>
            <w:r>
              <w:rPr>
                <w:rFonts w:hint="eastAsia" w:ascii="仿宋" w:hAnsi="仿宋" w:eastAsia="仿宋" w:cs="仿宋"/>
                <w:color w:val="auto"/>
                <w:kern w:val="2"/>
                <w:sz w:val="21"/>
                <w:szCs w:val="21"/>
                <w:highlight w:val="none"/>
                <w:lang w:val="en-US" w:eastAsia="zh-CN" w:bidi="ar-SA"/>
              </w:rPr>
              <w:fldChar w:fldCharType="begin"/>
            </w:r>
            <w:r>
              <w:rPr>
                <w:rFonts w:hint="eastAsia" w:ascii="仿宋" w:hAnsi="仿宋" w:eastAsia="仿宋" w:cs="仿宋"/>
                <w:color w:val="auto"/>
                <w:kern w:val="2"/>
                <w:sz w:val="21"/>
                <w:szCs w:val="21"/>
                <w:highlight w:val="none"/>
                <w:lang w:val="en-US" w:eastAsia="zh-CN" w:bidi="ar-SA"/>
              </w:rPr>
              <w:instrText xml:space="preserve"> HYPERLINK "http://www.creditchina.gov.cn）或" </w:instrText>
            </w:r>
            <w:r>
              <w:rPr>
                <w:rFonts w:hint="eastAsia" w:ascii="仿宋" w:hAnsi="仿宋" w:eastAsia="仿宋" w:cs="仿宋"/>
                <w:color w:val="auto"/>
                <w:kern w:val="2"/>
                <w:sz w:val="21"/>
                <w:szCs w:val="21"/>
                <w:highlight w:val="none"/>
                <w:lang w:val="en-US" w:eastAsia="zh-CN" w:bidi="ar-SA"/>
              </w:rPr>
              <w:fldChar w:fldCharType="separate"/>
            </w:r>
            <w:r>
              <w:rPr>
                <w:rFonts w:hint="eastAsia" w:ascii="仿宋" w:hAnsi="仿宋" w:eastAsia="仿宋" w:cs="仿宋"/>
                <w:color w:val="auto"/>
                <w:kern w:val="2"/>
                <w:sz w:val="21"/>
                <w:szCs w:val="21"/>
                <w:highlight w:val="none"/>
                <w:lang w:val="en-US" w:eastAsia="zh-CN" w:bidi="ar-SA"/>
              </w:rPr>
              <w:t>www.creditchina.gov.cn）或</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“中国执行信息公开网</w:t>
            </w:r>
            <w:r>
              <w:rPr>
                <w:rFonts w:hint="eastAsia" w:ascii="仿宋" w:hAnsi="仿宋" w:eastAsia="仿宋" w:cs="仿宋"/>
                <w:color w:val="auto"/>
                <w:kern w:val="2"/>
                <w:sz w:val="21"/>
                <w:szCs w:val="21"/>
                <w:highlight w:val="none"/>
                <w:lang w:val="en-US" w:eastAsia="zh-CN" w:bidi="ar-SA"/>
              </w:rPr>
              <w:fldChar w:fldCharType="end"/>
            </w: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auto"/>
                <w:kern w:val="2"/>
                <w:sz w:val="21"/>
                <w:szCs w:val="21"/>
                <w:highlight w:val="none"/>
                <w:lang w:val="en-US" w:eastAsia="zh-CN" w:bidi="ar-SA"/>
              </w:rPr>
              <w:fldChar w:fldCharType="begin"/>
            </w:r>
            <w:r>
              <w:rPr>
                <w:rFonts w:hint="eastAsia" w:ascii="仿宋" w:hAnsi="仿宋" w:eastAsia="仿宋" w:cs="仿宋"/>
                <w:color w:val="auto"/>
                <w:kern w:val="2"/>
                <w:sz w:val="21"/>
                <w:szCs w:val="21"/>
                <w:highlight w:val="none"/>
                <w:lang w:val="en-US" w:eastAsia="zh-CN" w:bidi="ar-SA"/>
              </w:rPr>
              <w:instrText xml:space="preserve"> HYPERLINK "http://zxgk.court.gov.cn/）列入失信被执行人名单（应附查询结果复印件并加盖单位章" </w:instrText>
            </w:r>
            <w:r>
              <w:rPr>
                <w:rFonts w:hint="eastAsia" w:ascii="仿宋" w:hAnsi="仿宋" w:eastAsia="仿宋" w:cs="仿宋"/>
                <w:color w:val="auto"/>
                <w:kern w:val="2"/>
                <w:sz w:val="21"/>
                <w:szCs w:val="21"/>
                <w:highlight w:val="none"/>
                <w:lang w:val="en-US" w:eastAsia="zh-CN" w:bidi="ar-SA"/>
              </w:rPr>
              <w:fldChar w:fldCharType="separate"/>
            </w:r>
            <w:r>
              <w:rPr>
                <w:rFonts w:hint="eastAsia" w:ascii="仿宋" w:hAnsi="仿宋" w:eastAsia="仿宋" w:cs="仿宋"/>
                <w:color w:val="auto"/>
                <w:kern w:val="2"/>
                <w:sz w:val="21"/>
                <w:szCs w:val="21"/>
                <w:highlight w:val="none"/>
                <w:lang w:val="en-US" w:eastAsia="zh-CN" w:bidi="ar-SA"/>
              </w:rPr>
              <w:t>http://zxgk.court.gov.cn/）列入失信被执行人名单</w:t>
            </w:r>
            <w:r>
              <w:rPr>
                <w:rFonts w:hint="eastAsia" w:ascii="仿宋" w:hAnsi="仿宋" w:eastAsia="仿宋" w:cs="仿宋"/>
                <w:color w:val="auto"/>
                <w:kern w:val="2"/>
                <w:sz w:val="21"/>
                <w:szCs w:val="21"/>
                <w:highlight w:val="none"/>
                <w:lang w:val="en-US" w:eastAsia="zh-CN" w:bidi="ar-SA"/>
              </w:rPr>
              <w:fldChar w:fldCharType="end"/>
            </w:r>
            <w:r>
              <w:rPr>
                <w:rFonts w:hint="eastAsia" w:ascii="仿宋" w:hAnsi="仿宋" w:eastAsia="仿宋" w:cs="仿宋"/>
                <w:color w:val="auto"/>
                <w:kern w:val="2"/>
                <w:sz w:val="21"/>
                <w:szCs w:val="21"/>
                <w:highlight w:val="none"/>
                <w:lang w:val="en-US" w:eastAsia="zh-CN" w:bidi="ar-SA"/>
              </w:rPr>
              <w:t>；</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2.近3年（2022年1月1日-报价截止日前）内应答人或其法定代表人、拟委任的项目负责人不得有行贿犯罪行为，查询网站为“中国裁判文书网”http://wenshu.court.gov.cn）；</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3.应答人不得被工商行政管理机关在全国企业信用信息公示系统（http://www.gsxt.gov.cn）中列入严重违法失信企业名单。事业单位、大学除外。</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应答人与本采购项目其他应答人不得存在控股关系或管理关系、单位负责人为同一人的情形。在非公开采购项目中，严禁存在控股关系或管理关系、单位负责人为同一人、同一自然人同时持有两家公司非公开上市股份的情形。</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5.应答人应在应答文件中提供其公司章程或其他能够体现出资人、股东信息的法定文件，作为评标/评审时的依据。</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6.应答人承诺：中国海油在职员工（不含正式派出的）未有在应答人单位担任股东、法人代表、董事、监事和其他任职人员的情形。</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上述要求应答人应提供供应商承诺书。</w:t>
            </w:r>
          </w:p>
        </w:tc>
      </w:tr>
      <w:tr>
        <w:tblPrEx>
          <w:tblCellMar>
            <w:top w:w="0" w:type="dxa"/>
            <w:left w:w="0" w:type="dxa"/>
            <w:bottom w:w="0" w:type="dxa"/>
            <w:right w:w="0" w:type="dxa"/>
          </w:tblCellMar>
        </w:tblPrEx>
        <w:trPr>
          <w:trHeight w:val="2818"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auto" w:sz="4" w:space="0"/>
              <w:right w:val="single" w:color="000000" w:sz="4" w:space="0"/>
            </w:tcBorders>
            <w:vAlign w:val="center"/>
          </w:tcPr>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 </w:t>
            </w: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kern w:val="2"/>
                <w:sz w:val="21"/>
                <w:szCs w:val="21"/>
                <w:highlight w:val="none"/>
                <w:lang w:val="en-US" w:eastAsia="zh-CN" w:bidi="ar-SA"/>
              </w:rPr>
              <w:t>应答人或应答人所提供的第三方不得存在的其他情形</w:t>
            </w:r>
          </w:p>
        </w:tc>
        <w:tc>
          <w:tcPr>
            <w:tcW w:w="3312" w:type="pct"/>
            <w:tcBorders>
              <w:top w:val="single" w:color="000000" w:sz="4" w:space="0"/>
              <w:left w:val="nil"/>
              <w:bottom w:val="single" w:color="auto" w:sz="4" w:space="0"/>
              <w:right w:val="single" w:color="000000" w:sz="4" w:space="0"/>
            </w:tcBorders>
            <w:vAlign w:val="center"/>
          </w:tcPr>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1.被中国海洋石油集团有限公司在集团范围内进行风险提示，且在中国海洋石油集团有限公司《中国海油供应链数字化平台》中被采购冻结，进入调查程序的；</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2.被中国海洋石油集团有限公司处以“取消投标资格”及以上处罚，且仍在处罚期内或处罚期满但在系统中的供应商档案中的“档案状态”为“采购冻结”、“业务状态”为“冻结”的；</w:t>
            </w:r>
          </w:p>
          <w:p>
            <w:pPr>
              <w:pStyle w:val="23"/>
              <w:spacing w:line="30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3.被采购人所属单位处以“取消投标资格”及以上处罚，且仍在处罚期内或处罚期满但在系统中的供应商档案中的“业务状态”为冻结的。</w:t>
            </w:r>
          </w:p>
        </w:tc>
      </w:tr>
      <w:tr>
        <w:tblPrEx>
          <w:tblCellMar>
            <w:top w:w="0" w:type="dxa"/>
            <w:left w:w="0" w:type="dxa"/>
            <w:bottom w:w="0" w:type="dxa"/>
            <w:right w:w="0" w:type="dxa"/>
          </w:tblCellMar>
        </w:tblPrEx>
        <w:trPr>
          <w:trHeight w:val="696"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auto" w:sz="4" w:space="0"/>
              <w:right w:val="single" w:color="000000" w:sz="4" w:space="0"/>
            </w:tcBorders>
            <w:vAlign w:val="center"/>
          </w:tcPr>
          <w:p>
            <w:pPr>
              <w:pStyle w:val="23"/>
              <w:spacing w:line="3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w:t>
            </w:r>
          </w:p>
          <w:p>
            <w:pPr>
              <w:pStyle w:val="23"/>
              <w:spacing w:line="300" w:lineRule="exact"/>
              <w:jc w:val="center"/>
              <w:rPr>
                <w:rFonts w:hint="default" w:ascii="仿宋" w:hAnsi="仿宋" w:eastAsia="仿宋" w:cs="仿宋"/>
                <w:color w:val="auto"/>
                <w:kern w:val="2"/>
                <w:sz w:val="21"/>
                <w:szCs w:val="21"/>
                <w:highlight w:val="none"/>
                <w:lang w:val="en-US" w:eastAsia="zh-CN" w:bidi="ar-SA"/>
              </w:rPr>
            </w:pPr>
          </w:p>
        </w:tc>
        <w:tc>
          <w:tcPr>
            <w:tcW w:w="3312" w:type="pct"/>
            <w:tcBorders>
              <w:top w:val="single" w:color="000000" w:sz="4" w:space="0"/>
              <w:left w:val="nil"/>
              <w:bottom w:val="single" w:color="auto" w:sz="4" w:space="0"/>
              <w:right w:val="single" w:color="000000" w:sz="4" w:space="0"/>
            </w:tcBorders>
            <w:vAlign w:val="center"/>
          </w:tcPr>
          <w:p>
            <w:pPr>
              <w:pStyle w:val="23"/>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体系要求：</w:t>
            </w:r>
          </w:p>
          <w:p>
            <w:pPr>
              <w:pStyle w:val="23"/>
              <w:jc w:val="both"/>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（1）投标人为制造商时应具备并提供</w:t>
            </w:r>
            <w:r>
              <w:rPr>
                <w:rFonts w:hint="default" w:ascii="仿宋" w:hAnsi="仿宋" w:eastAsia="仿宋" w:cs="仿宋"/>
                <w:bCs/>
                <w:color w:val="auto"/>
                <w:kern w:val="0"/>
                <w:sz w:val="21"/>
                <w:szCs w:val="21"/>
                <w:highlight w:val="none"/>
                <w:lang w:val="en-US" w:eastAsia="zh-CN" w:bidi="ar-SA"/>
              </w:rPr>
              <w:t>有效期内的ISO9001质量管理体系认证证书</w:t>
            </w:r>
            <w:r>
              <w:rPr>
                <w:rFonts w:hint="eastAsia" w:ascii="仿宋" w:hAnsi="仿宋" w:eastAsia="仿宋" w:cs="仿宋"/>
                <w:bCs/>
                <w:color w:val="auto"/>
                <w:kern w:val="0"/>
                <w:sz w:val="21"/>
                <w:szCs w:val="21"/>
                <w:highlight w:val="none"/>
                <w:lang w:val="en-US" w:eastAsia="zh-CN" w:bidi="ar-SA"/>
              </w:rPr>
              <w:t>，且证书应在中国国家认证认可监督管理委员会网站(http://www.cnca.gov.cn)核实；</w:t>
            </w:r>
          </w:p>
          <w:p>
            <w:pPr>
              <w:pStyle w:val="23"/>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（2）投标人为贸易商、代理商时，无具体要求。</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000000" w:sz="4" w:space="0"/>
              <w:right w:val="single" w:color="000000" w:sz="4" w:space="0"/>
            </w:tcBorders>
            <w:vAlign w:val="center"/>
          </w:tcPr>
          <w:p>
            <w:pPr>
              <w:pStyle w:val="23"/>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 </w:t>
            </w: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kern w:val="0"/>
                <w:sz w:val="21"/>
                <w:szCs w:val="21"/>
                <w:highlight w:val="none"/>
                <w:lang w:val="en-US" w:eastAsia="zh-CN" w:bidi="ar-SA"/>
              </w:rPr>
              <w:t>供应商属性</w:t>
            </w:r>
          </w:p>
        </w:tc>
        <w:tc>
          <w:tcPr>
            <w:tcW w:w="3312" w:type="pct"/>
            <w:tcBorders>
              <w:top w:val="single" w:color="000000" w:sz="4" w:space="0"/>
              <w:left w:val="nil"/>
              <w:bottom w:val="single" w:color="000000" w:sz="4" w:space="0"/>
              <w:right w:val="single" w:color="000000" w:sz="4" w:space="0"/>
            </w:tcBorders>
            <w:vAlign w:val="center"/>
          </w:tcPr>
          <w:p>
            <w:pPr>
              <w:pStyle w:val="23"/>
              <w:jc w:val="both"/>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允许制造商、贸易商和代理商参与此项目，代理商不得为项目代理。</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000000" w:sz="4" w:space="0"/>
              <w:right w:val="single" w:color="000000" w:sz="4" w:space="0"/>
            </w:tcBorders>
            <w:vAlign w:val="center"/>
          </w:tcPr>
          <w:p>
            <w:pPr>
              <w:pStyle w:val="23"/>
              <w:jc w:val="center"/>
              <w:rPr>
                <w:rFonts w:hint="eastAsia" w:ascii="仿宋" w:hAnsi="仿宋" w:eastAsia="仿宋" w:cs="仿宋"/>
                <w:color w:val="auto"/>
                <w:sz w:val="21"/>
                <w:szCs w:val="21"/>
                <w:highlight w:val="none"/>
                <w:lang w:eastAsia="zh-CN"/>
              </w:rPr>
            </w:pP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kern w:val="0"/>
                <w:sz w:val="21"/>
                <w:szCs w:val="21"/>
                <w:highlight w:val="none"/>
                <w:lang w:val="en-US" w:eastAsia="zh-CN" w:bidi="ar-SA"/>
              </w:rPr>
              <w:t xml:space="preserve"> </w:t>
            </w:r>
            <w:r>
              <w:rPr>
                <w:rFonts w:hint="eastAsia" w:ascii="仿宋" w:hAnsi="仿宋" w:eastAsia="仿宋" w:cs="仿宋"/>
                <w:color w:val="auto"/>
                <w:sz w:val="21"/>
                <w:szCs w:val="21"/>
                <w:highlight w:val="none"/>
                <w:lang w:val="en-US" w:eastAsia="zh-CN"/>
              </w:rPr>
              <w:t>制造商要求</w:t>
            </w:r>
          </w:p>
        </w:tc>
        <w:tc>
          <w:tcPr>
            <w:tcW w:w="3312" w:type="pct"/>
            <w:tcBorders>
              <w:top w:val="single" w:color="000000" w:sz="4" w:space="0"/>
              <w:left w:val="nil"/>
              <w:bottom w:val="single" w:color="000000" w:sz="4" w:space="0"/>
              <w:right w:val="single" w:color="000000" w:sz="4" w:space="0"/>
            </w:tcBorders>
            <w:vAlign w:val="center"/>
          </w:tcPr>
          <w:p>
            <w:pPr>
              <w:pStyle w:val="23"/>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auto"/>
                <w:sz w:val="20"/>
                <w:szCs w:val="20"/>
                <w:highlight w:val="none"/>
                <w:lang w:val="en-US" w:eastAsia="zh-CN"/>
              </w:rPr>
              <w:t>制造商满足：</w:t>
            </w:r>
            <w:r>
              <w:rPr>
                <w:rFonts w:hint="eastAsia" w:ascii="仿宋" w:hAnsi="仿宋" w:eastAsia="仿宋" w:cs="仿宋"/>
                <w:color w:val="auto"/>
                <w:sz w:val="20"/>
                <w:szCs w:val="20"/>
                <w:highlight w:val="none"/>
                <w:lang w:val="en-US" w:eastAsia="zh-CN"/>
              </w:rPr>
              <w:t>提供制造商承诺书，厂房、库房证明（需提供房产证明或租赁证明、及实物照片等），与标的物相关的生产设备证明材料。（提供相关设备购买证明或租赁证明、及实物照片等）</w:t>
            </w:r>
            <w:r>
              <w:rPr>
                <w:rFonts w:hint="eastAsia" w:ascii="仿宋" w:hAnsi="仿宋" w:eastAsia="仿宋" w:cs="仿宋"/>
                <w:color w:val="0000FF"/>
                <w:sz w:val="20"/>
                <w:szCs w:val="20"/>
                <w:highlight w:val="none"/>
                <w:lang w:val="en-US" w:eastAsia="zh-CN"/>
              </w:rPr>
              <w:t>（备注：需提供以上共四种证明，参照附件5.9格式要求）。</w:t>
            </w:r>
          </w:p>
        </w:tc>
      </w:tr>
      <w:tr>
        <w:tblPrEx>
          <w:tblCellMar>
            <w:top w:w="0" w:type="dxa"/>
            <w:left w:w="0" w:type="dxa"/>
            <w:bottom w:w="0" w:type="dxa"/>
            <w:right w:w="0" w:type="dxa"/>
          </w:tblCellMar>
        </w:tblPrEx>
        <w:trPr>
          <w:trHeight w:val="3617"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right w:val="single" w:color="000000" w:sz="4" w:space="0"/>
            </w:tcBorders>
            <w:vAlign w:val="center"/>
          </w:tcPr>
          <w:p>
            <w:pPr>
              <w:pStyle w:val="9"/>
              <w:tabs>
                <w:tab w:val="left" w:pos="770"/>
              </w:tabs>
              <w:ind w:left="0" w:leftChars="0" w:right="134"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 xml:space="preserve"> </w:t>
            </w:r>
            <w:r>
              <w:rPr>
                <w:rFonts w:hint="eastAsia" w:ascii="宋体" w:hAnsi="宋体" w:eastAsia="宋体" w:cs="宋体"/>
                <w:b w:val="0"/>
                <w:bCs/>
                <w:color w:val="auto"/>
                <w:kern w:val="0"/>
                <w:sz w:val="21"/>
                <w:szCs w:val="21"/>
                <w:lang w:val="en-US" w:eastAsia="zh-CN" w:bidi="ar-SA"/>
              </w:rPr>
              <w:t>★</w:t>
            </w:r>
            <w:r>
              <w:rPr>
                <w:rFonts w:hint="eastAsia" w:ascii="仿宋" w:hAnsi="仿宋" w:eastAsia="仿宋" w:cs="仿宋"/>
                <w:color w:val="auto"/>
                <w:sz w:val="21"/>
                <w:szCs w:val="21"/>
                <w:highlight w:val="none"/>
                <w:lang w:val="en-US" w:eastAsia="zh-CN"/>
              </w:rPr>
              <w:t>代理商、贸易商、服务商要求（</w:t>
            </w:r>
            <w:r>
              <w:rPr>
                <w:rFonts w:hint="eastAsia" w:ascii="仿宋" w:hAnsi="仿宋" w:eastAsia="仿宋" w:cs="仿宋"/>
                <w:b w:val="0"/>
                <w:bCs w:val="0"/>
                <w:color w:val="auto"/>
                <w:kern w:val="0"/>
                <w:sz w:val="21"/>
                <w:szCs w:val="21"/>
                <w:highlight w:val="none"/>
                <w:lang w:val="en-US" w:eastAsia="zh-CN" w:bidi="ar-SA"/>
              </w:rPr>
              <w:t>对不满足要求的或未能提供相应证明材料的</w:t>
            </w:r>
            <w:r>
              <w:rPr>
                <w:rFonts w:hint="eastAsia" w:ascii="仿宋" w:hAnsi="仿宋" w:eastAsia="仿宋" w:cs="仿宋"/>
                <w:color w:val="auto"/>
                <w:sz w:val="21"/>
                <w:szCs w:val="21"/>
                <w:highlight w:val="none"/>
                <w:lang w:val="en-US" w:eastAsia="zh-CN"/>
              </w:rPr>
              <w:t>代理商、贸易商</w:t>
            </w:r>
            <w:r>
              <w:rPr>
                <w:rFonts w:hint="eastAsia" w:ascii="仿宋" w:hAnsi="仿宋" w:eastAsia="仿宋" w:cs="仿宋"/>
                <w:b w:val="0"/>
                <w:bCs w:val="0"/>
                <w:color w:val="auto"/>
                <w:kern w:val="0"/>
                <w:sz w:val="21"/>
                <w:szCs w:val="21"/>
                <w:highlight w:val="none"/>
                <w:lang w:val="en-US" w:eastAsia="zh-CN" w:bidi="ar-SA"/>
              </w:rPr>
              <w:t>，将影响评审结果。</w:t>
            </w:r>
            <w:r>
              <w:rPr>
                <w:rFonts w:hint="eastAsia" w:ascii="仿宋" w:hAnsi="仿宋" w:eastAsia="仿宋" w:cs="仿宋"/>
                <w:color w:val="auto"/>
                <w:sz w:val="21"/>
                <w:szCs w:val="21"/>
                <w:highlight w:val="none"/>
                <w:lang w:val="en-US" w:eastAsia="zh-CN"/>
              </w:rPr>
              <w:t>）</w:t>
            </w:r>
          </w:p>
        </w:tc>
        <w:tc>
          <w:tcPr>
            <w:tcW w:w="3312"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val="0"/>
              <w:tabs>
                <w:tab w:val="left" w:pos="770"/>
              </w:tabs>
              <w:kinsoku/>
              <w:wordWrap/>
              <w:overflowPunct/>
              <w:topLinePunct w:val="0"/>
              <w:autoSpaceDE/>
              <w:autoSpaceDN/>
              <w:bidi w:val="0"/>
              <w:adjustRightInd/>
              <w:snapToGrid/>
              <w:spacing w:before="0" w:line="240" w:lineRule="auto"/>
              <w:ind w:left="0" w:leftChars="0" w:right="134" w:firstLine="0" w:firstLineChars="0"/>
              <w:textAlignment w:val="auto"/>
              <w:rPr>
                <w:rFonts w:hint="eastAsia" w:ascii="仿宋" w:hAnsi="仿宋" w:eastAsia="仿宋" w:cs="宋体"/>
                <w:color w:val="0000FF"/>
                <w:kern w:val="0"/>
                <w:sz w:val="20"/>
                <w:szCs w:val="22"/>
                <w:highlight w:val="none"/>
                <w:lang w:val="en-US" w:eastAsia="zh-CN" w:bidi="ar-SA"/>
              </w:rPr>
            </w:pPr>
            <w:r>
              <w:rPr>
                <w:rFonts w:hint="eastAsia" w:ascii="仿宋" w:hAnsi="仿宋" w:eastAsia="仿宋" w:cs="宋体"/>
                <w:b/>
                <w:bCs/>
                <w:color w:val="auto"/>
                <w:kern w:val="0"/>
                <w:sz w:val="20"/>
                <w:szCs w:val="22"/>
                <w:highlight w:val="none"/>
                <w:lang w:val="en-US" w:eastAsia="zh-CN" w:bidi="ar-SA"/>
              </w:rPr>
              <w:t>1.贸易商需满足</w:t>
            </w:r>
            <w:r>
              <w:rPr>
                <w:rFonts w:hint="eastAsia" w:ascii="仿宋" w:hAnsi="仿宋" w:eastAsia="仿宋" w:cs="宋体"/>
                <w:color w:val="auto"/>
                <w:kern w:val="0"/>
                <w:sz w:val="20"/>
                <w:szCs w:val="22"/>
                <w:highlight w:val="none"/>
                <w:lang w:val="en-US" w:eastAsia="zh-CN" w:bidi="ar-SA"/>
              </w:rPr>
              <w:t>：1）提供近三年经审计财务报表，且近一年利润不能为负且近一年资产负债率＜80%；2）自有社保人数≥5人，须提供近三月社保证明；3）不得将中国海油作为唯一服务客户，承诺中国海油非其唯一服务客户并提供支持性材料（</w:t>
            </w:r>
            <w:r>
              <w:rPr>
                <w:rFonts w:hint="eastAsia" w:ascii="仿宋" w:hAnsi="仿宋" w:eastAsia="仿宋" w:cs="宋体"/>
                <w:color w:val="0000FF"/>
                <w:kern w:val="0"/>
                <w:sz w:val="20"/>
                <w:szCs w:val="22"/>
                <w:highlight w:val="none"/>
                <w:lang w:val="en-US" w:eastAsia="zh-CN" w:bidi="ar-SA"/>
              </w:rPr>
              <w:t>海油外业绩：含业绩合同及与业绩合同对应的业绩发票并提供查询真伪截图）。</w:t>
            </w:r>
          </w:p>
          <w:p>
            <w:pPr>
              <w:keepNext w:val="0"/>
              <w:keepLines w:val="0"/>
              <w:pageBreakBefore w:val="0"/>
              <w:widowControl w:val="0"/>
              <w:tabs>
                <w:tab w:val="left" w:pos="770"/>
              </w:tabs>
              <w:kinsoku/>
              <w:wordWrap/>
              <w:overflowPunct/>
              <w:topLinePunct w:val="0"/>
              <w:autoSpaceDE/>
              <w:autoSpaceDN/>
              <w:bidi w:val="0"/>
              <w:adjustRightInd/>
              <w:snapToGrid/>
              <w:spacing w:before="0" w:line="240" w:lineRule="auto"/>
              <w:ind w:left="0" w:leftChars="0" w:right="134" w:firstLine="0" w:firstLineChars="0"/>
              <w:textAlignment w:val="auto"/>
              <w:rPr>
                <w:rFonts w:hint="eastAsia" w:ascii="仿宋" w:hAnsi="仿宋" w:eastAsia="仿宋" w:cs="宋体"/>
                <w:color w:val="auto"/>
                <w:kern w:val="0"/>
                <w:sz w:val="20"/>
                <w:szCs w:val="22"/>
                <w:highlight w:val="none"/>
                <w:lang w:val="en-US" w:eastAsia="zh-CN" w:bidi="ar-SA"/>
              </w:rPr>
            </w:pPr>
            <w:r>
              <w:rPr>
                <w:rFonts w:hint="eastAsia" w:ascii="仿宋" w:hAnsi="仿宋" w:eastAsia="仿宋" w:cs="宋体"/>
                <w:b/>
                <w:bCs/>
                <w:color w:val="auto"/>
                <w:kern w:val="0"/>
                <w:sz w:val="20"/>
                <w:szCs w:val="22"/>
                <w:highlight w:val="none"/>
                <w:lang w:val="en-US" w:eastAsia="zh-CN" w:bidi="ar-SA"/>
              </w:rPr>
              <w:t>2.代理商需满足：</w:t>
            </w:r>
            <w:r>
              <w:rPr>
                <w:rFonts w:hint="eastAsia" w:ascii="仿宋" w:hAnsi="仿宋" w:eastAsia="仿宋" w:cs="宋体"/>
                <w:color w:val="auto"/>
                <w:kern w:val="0"/>
                <w:sz w:val="20"/>
                <w:szCs w:val="22"/>
                <w:highlight w:val="none"/>
                <w:lang w:val="en-US" w:eastAsia="zh-CN" w:bidi="ar-SA"/>
              </w:rPr>
              <w:t>1）提供近三年经审计财务报表，且近一年利润不能为负且近一年资产负债率＜80%；2）自有社保人数≥5人，须提供近三月社保证明；3）不得将中国海油作为唯一服务客户，承诺中国海油非其唯一服务客户并提供支持性材料。</w:t>
            </w:r>
            <w:r>
              <w:rPr>
                <w:rFonts w:hint="eastAsia" w:ascii="仿宋" w:hAnsi="仿宋" w:eastAsia="仿宋" w:cs="宋体"/>
                <w:color w:val="0000FF"/>
                <w:kern w:val="0"/>
                <w:sz w:val="20"/>
                <w:szCs w:val="22"/>
                <w:highlight w:val="none"/>
                <w:lang w:val="en-US" w:eastAsia="zh-CN" w:bidi="ar-SA"/>
              </w:rPr>
              <w:t>（海油外业绩：含业绩合同及与业绩合同对应的业绩发票并提供查询真伪截图）</w:t>
            </w:r>
            <w:r>
              <w:rPr>
                <w:rFonts w:hint="eastAsia" w:ascii="仿宋" w:hAnsi="仿宋" w:eastAsia="仿宋" w:cs="宋体"/>
                <w:color w:val="auto"/>
                <w:kern w:val="0"/>
                <w:sz w:val="20"/>
                <w:szCs w:val="22"/>
                <w:highlight w:val="none"/>
                <w:lang w:val="en-US" w:eastAsia="zh-CN" w:bidi="ar-SA"/>
              </w:rPr>
              <w:t>；4）具有有效代理证书，且满足资质要求，且不能为项目代理。</w:t>
            </w:r>
          </w:p>
          <w:p>
            <w:pPr>
              <w:pStyle w:val="22"/>
              <w:rPr>
                <w:rFonts w:hint="eastAsia" w:ascii="仿宋" w:hAnsi="仿宋" w:eastAsia="仿宋" w:cs="仿宋"/>
                <w:b/>
                <w:bCs/>
                <w:color w:val="auto"/>
                <w:sz w:val="21"/>
                <w:szCs w:val="21"/>
                <w:highlight w:val="none"/>
                <w:lang w:val="en-US" w:eastAsia="zh-CN"/>
              </w:rPr>
            </w:pPr>
          </w:p>
        </w:tc>
      </w:tr>
      <w:tr>
        <w:tblPrEx>
          <w:tblCellMar>
            <w:top w:w="0" w:type="dxa"/>
            <w:left w:w="0" w:type="dxa"/>
            <w:bottom w:w="0" w:type="dxa"/>
            <w:right w:w="0" w:type="dxa"/>
          </w:tblCellMar>
        </w:tblPrEx>
        <w:trPr>
          <w:trHeight w:val="291" w:hRule="atLeast"/>
          <w:jc w:val="center"/>
        </w:trPr>
        <w:tc>
          <w:tcPr>
            <w:tcW w:w="328"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p>
        </w:tc>
        <w:tc>
          <w:tcPr>
            <w:tcW w:w="1067" w:type="pct"/>
            <w:tcBorders>
              <w:top w:val="single" w:color="000000" w:sz="4" w:space="0"/>
              <w:left w:val="single" w:color="000000" w:sz="6" w:space="0"/>
              <w:bottom w:val="single" w:color="000000" w:sz="4" w:space="0"/>
              <w:right w:val="single" w:color="000000" w:sz="4" w:space="0"/>
            </w:tcBorders>
            <w:vAlign w:val="center"/>
          </w:tcPr>
          <w:p>
            <w:pPr>
              <w:pStyle w:val="23"/>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 w:val="0"/>
                <w:bCs/>
                <w:color w:val="auto"/>
                <w:sz w:val="21"/>
                <w:szCs w:val="21"/>
                <w:highlight w:val="none"/>
                <w:lang w:eastAsia="zh-CN"/>
              </w:rPr>
              <w:t>业绩要求</w:t>
            </w:r>
          </w:p>
        </w:tc>
        <w:tc>
          <w:tcPr>
            <w:tcW w:w="3312" w:type="pct"/>
            <w:tcBorders>
              <w:top w:val="single" w:color="000000" w:sz="4" w:space="0"/>
              <w:left w:val="nil"/>
              <w:bottom w:val="single" w:color="000000" w:sz="4" w:space="0"/>
              <w:right w:val="single" w:color="000000" w:sz="4" w:space="0"/>
            </w:tcBorders>
            <w:vAlign w:val="top"/>
          </w:tcPr>
          <w:p>
            <w:pPr>
              <w:pStyle w:val="11"/>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无具体要求。</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067" w:type="pct"/>
            <w:tcBorders>
              <w:top w:val="single" w:color="auto" w:sz="4" w:space="0"/>
              <w:left w:val="single" w:color="000000" w:sz="6" w:space="0"/>
              <w:bottom w:val="nil"/>
              <w:right w:val="single" w:color="000000" w:sz="4" w:space="0"/>
            </w:tcBorders>
            <w:vAlign w:val="center"/>
          </w:tcPr>
          <w:p>
            <w:pPr>
              <w:pStyle w:val="23"/>
              <w:spacing w:line="300" w:lineRule="exact"/>
              <w:jc w:val="center"/>
              <w:rPr>
                <w:rFonts w:hint="default" w:ascii="仿宋" w:hAnsi="仿宋" w:eastAsia="仿宋" w:cs="仿宋"/>
                <w:bCs/>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 xml:space="preserve"> </w:t>
            </w:r>
            <w:r>
              <w:rPr>
                <w:rFonts w:hint="eastAsia" w:ascii="仿宋" w:hAnsi="仿宋" w:eastAsia="仿宋" w:cs="仿宋"/>
                <w:bCs/>
                <w:color w:val="auto"/>
                <w:sz w:val="21"/>
                <w:szCs w:val="21"/>
                <w:highlight w:val="none"/>
                <w:lang w:val="en-US" w:eastAsia="zh-CN"/>
              </w:rPr>
              <w:t>付款要求</w:t>
            </w:r>
          </w:p>
        </w:tc>
        <w:tc>
          <w:tcPr>
            <w:tcW w:w="3312" w:type="pct"/>
            <w:tcBorders>
              <w:top w:val="single" w:color="auto" w:sz="4" w:space="0"/>
              <w:left w:val="nil"/>
              <w:bottom w:val="nil"/>
              <w:right w:val="single" w:color="000000" w:sz="4" w:space="0"/>
            </w:tcBorders>
            <w:vAlign w:val="center"/>
          </w:tcPr>
          <w:p>
            <w:pPr>
              <w:rPr>
                <w:rFonts w:hint="eastAsia" w:ascii="仿宋" w:hAnsi="仿宋" w:eastAsia="仿宋" w:cs="仿宋"/>
                <w:color w:val="auto"/>
                <w:szCs w:val="21"/>
                <w:highlight w:val="none"/>
                <w:lang w:val="en-US" w:eastAsia="zh-CN"/>
              </w:rPr>
            </w:pPr>
            <w:r>
              <w:rPr>
                <w:rFonts w:hint="eastAsia" w:ascii="仿宋" w:hAnsi="仿宋" w:eastAsia="仿宋" w:cs="仿宋"/>
                <w:color w:val="auto"/>
                <w:kern w:val="0"/>
                <w:sz w:val="21"/>
                <w:szCs w:val="21"/>
                <w:highlight w:val="none"/>
                <w:lang w:val="en-US" w:eastAsia="zh-CN" w:bidi="ar-SA"/>
              </w:rPr>
              <w:t>（1）卖方在合同规定的期限内将货物运至交货地点，经买方验收合格后，安装调试完成，卖方开具全额增值税专用发票，买方在收到发票后四十五（45）日内，支付合同总价的100</w:t>
            </w:r>
            <w:r>
              <w:rPr>
                <w:rFonts w:hint="default" w:ascii="仿宋" w:hAnsi="仿宋" w:eastAsia="仿宋" w:cs="仿宋"/>
                <w:color w:val="auto"/>
                <w:kern w:val="0"/>
                <w:sz w:val="21"/>
                <w:szCs w:val="21"/>
                <w:highlight w:val="none"/>
                <w:lang w:val="en-US" w:eastAsia="zh-CN" w:bidi="ar-SA"/>
              </w:rPr>
              <w:t>%</w:t>
            </w:r>
            <w:r>
              <w:rPr>
                <w:rFonts w:hint="eastAsia" w:ascii="仿宋" w:hAnsi="仿宋" w:eastAsia="仿宋" w:cs="仿宋"/>
                <w:color w:val="auto"/>
                <w:kern w:val="0"/>
                <w:sz w:val="21"/>
                <w:szCs w:val="21"/>
                <w:highlight w:val="none"/>
                <w:lang w:val="en-US" w:eastAsia="zh-CN" w:bidi="ar-SA"/>
              </w:rPr>
              <w:t>；</w:t>
            </w:r>
          </w:p>
        </w:tc>
      </w:tr>
      <w:tr>
        <w:tblPrEx>
          <w:tblCellMar>
            <w:top w:w="0" w:type="dxa"/>
            <w:left w:w="0" w:type="dxa"/>
            <w:bottom w:w="0" w:type="dxa"/>
            <w:right w:w="0" w:type="dxa"/>
          </w:tblCellMar>
        </w:tblPrEx>
        <w:trPr>
          <w:trHeight w:val="558" w:hRule="atLeast"/>
          <w:jc w:val="center"/>
        </w:trPr>
        <w:tc>
          <w:tcPr>
            <w:tcW w:w="328" w:type="pct"/>
            <w:vMerge w:val="continue"/>
            <w:tcBorders>
              <w:left w:val="single" w:color="000000" w:sz="6" w:space="0"/>
              <w:right w:val="single" w:color="000000" w:sz="6" w:space="0"/>
            </w:tcBorders>
            <w:vAlign w:val="center"/>
          </w:tcPr>
          <w:p>
            <w:pPr>
              <w:rPr>
                <w:highlight w:val="none"/>
              </w:rPr>
            </w:pPr>
          </w:p>
        </w:tc>
        <w:tc>
          <w:tcPr>
            <w:tcW w:w="291" w:type="pct"/>
            <w:vMerge w:val="continue"/>
            <w:tcBorders>
              <w:left w:val="single" w:color="000000" w:sz="6" w:space="0"/>
              <w:right w:val="single" w:color="000000" w:sz="6" w:space="0"/>
            </w:tcBorders>
            <w:vAlign w:val="center"/>
          </w:tcPr>
          <w:p>
            <w:pPr>
              <w:rPr>
                <w:color w:val="auto"/>
                <w:highlight w:val="none"/>
              </w:rPr>
            </w:pPr>
          </w:p>
        </w:tc>
        <w:tc>
          <w:tcPr>
            <w:tcW w:w="1067" w:type="pct"/>
            <w:tcBorders>
              <w:top w:val="single" w:color="000000" w:sz="4" w:space="0"/>
              <w:left w:val="single" w:color="000000" w:sz="6" w:space="0"/>
              <w:bottom w:val="single" w:color="000000" w:sz="4" w:space="0"/>
              <w:right w:val="single" w:color="000000" w:sz="4" w:space="0"/>
            </w:tcBorders>
            <w:vAlign w:val="center"/>
          </w:tcPr>
          <w:p>
            <w:pPr>
              <w:jc w:val="center"/>
              <w:rPr>
                <w:rFonts w:hint="default" w:ascii="仿宋" w:hAnsi="仿宋" w:eastAsia="仿宋" w:cs="仿宋"/>
                <w:color w:val="auto"/>
                <w:kern w:val="0"/>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w:t>
            </w:r>
            <w:r>
              <w:rPr>
                <w:rFonts w:hint="eastAsia" w:ascii="仿宋" w:hAnsi="仿宋" w:eastAsia="仿宋" w:cs="仿宋"/>
                <w:color w:val="auto"/>
                <w:kern w:val="0"/>
                <w:sz w:val="21"/>
                <w:szCs w:val="21"/>
                <w:highlight w:val="none"/>
                <w:lang w:val="en-US" w:eastAsia="zh-CN" w:bidi="ar-SA"/>
              </w:rPr>
              <w:t>送货地址</w:t>
            </w:r>
          </w:p>
        </w:tc>
        <w:tc>
          <w:tcPr>
            <w:tcW w:w="3312"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天津市滨海新区塘沽区渤海石油路688号设施中心三号码头。</w:t>
            </w:r>
          </w:p>
        </w:tc>
      </w:tr>
      <w:tr>
        <w:tblPrEx>
          <w:tblCellMar>
            <w:top w:w="0" w:type="dxa"/>
            <w:left w:w="0" w:type="dxa"/>
            <w:bottom w:w="0" w:type="dxa"/>
            <w:right w:w="0" w:type="dxa"/>
          </w:tblCellMar>
        </w:tblPrEx>
        <w:trPr>
          <w:trHeight w:val="454" w:hRule="atLeast"/>
          <w:jc w:val="center"/>
        </w:trPr>
        <w:tc>
          <w:tcPr>
            <w:tcW w:w="328"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067" w:type="pct"/>
            <w:tcBorders>
              <w:top w:val="single" w:color="000000" w:sz="4" w:space="0"/>
              <w:left w:val="single" w:color="000000" w:sz="6" w:space="0"/>
              <w:bottom w:val="single" w:color="000000" w:sz="4" w:space="0"/>
              <w:right w:val="single" w:color="000000" w:sz="4" w:space="0"/>
            </w:tcBorders>
            <w:vAlign w:val="center"/>
          </w:tcPr>
          <w:p>
            <w:pPr>
              <w:pStyle w:val="23"/>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商务偏离要求</w:t>
            </w:r>
          </w:p>
        </w:tc>
        <w:tc>
          <w:tcPr>
            <w:tcW w:w="3312" w:type="pct"/>
            <w:tcBorders>
              <w:top w:val="single" w:color="000000" w:sz="4" w:space="0"/>
              <w:left w:val="nil"/>
              <w:bottom w:val="single" w:color="000000" w:sz="4" w:space="0"/>
              <w:right w:val="single" w:color="000000" w:sz="4" w:space="0"/>
            </w:tcBorders>
            <w:vAlign w:val="center"/>
          </w:tcPr>
          <w:p>
            <w:pPr>
              <w:pStyle w:val="23"/>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1.一般商务指标偏离超过2项，则评议不合格。</w:t>
            </w:r>
          </w:p>
          <w:p>
            <w:pPr>
              <w:pStyle w:val="23"/>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2.标注“ ”号的条款为关键条款，对这些关键条款的任何偏离将导致应答文件被拒绝。</w:t>
            </w:r>
          </w:p>
          <w:p>
            <w:pPr>
              <w:pStyle w:val="23"/>
              <w:jc w:val="both"/>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3.商务偏离表，不提供视为无偏离。</w:t>
            </w:r>
          </w:p>
        </w:tc>
      </w:tr>
      <w:tr>
        <w:tblPrEx>
          <w:tblCellMar>
            <w:top w:w="0" w:type="dxa"/>
            <w:left w:w="0" w:type="dxa"/>
            <w:bottom w:w="0" w:type="dxa"/>
            <w:right w:w="0" w:type="dxa"/>
          </w:tblCellMar>
        </w:tblPrEx>
        <w:trPr>
          <w:trHeight w:val="532" w:hRule="atLeast"/>
          <w:jc w:val="center"/>
        </w:trPr>
        <w:tc>
          <w:tcPr>
            <w:tcW w:w="328" w:type="pct"/>
            <w:vMerge w:val="restart"/>
            <w:tcBorders>
              <w:top w:val="single" w:color="auto" w:sz="4" w:space="0"/>
              <w:left w:val="single" w:color="auto" w:sz="4" w:space="0"/>
              <w:bottom w:val="single" w:color="auto" w:sz="4" w:space="0"/>
              <w:right w:val="single" w:color="auto" w:sz="4" w:space="0"/>
            </w:tcBorders>
            <w:vAlign w:val="center"/>
          </w:tcPr>
          <w:p>
            <w:pPr>
              <w:pStyle w:val="23"/>
              <w:spacing w:line="300" w:lineRule="exact"/>
              <w:jc w:val="cente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2</w:t>
            </w:r>
          </w:p>
        </w:tc>
        <w:tc>
          <w:tcPr>
            <w:tcW w:w="291" w:type="pct"/>
            <w:vMerge w:val="restart"/>
            <w:tcBorders>
              <w:top w:val="single" w:color="auto" w:sz="4" w:space="0"/>
              <w:left w:val="single" w:color="auto" w:sz="4" w:space="0"/>
              <w:bottom w:val="single" w:color="auto" w:sz="4" w:space="0"/>
              <w:right w:val="single" w:color="auto" w:sz="4" w:space="0"/>
            </w:tcBorders>
            <w:textDirection w:val="tbRlV"/>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技术标准</w:t>
            </w:r>
          </w:p>
        </w:tc>
        <w:tc>
          <w:tcPr>
            <w:tcW w:w="1067"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认证证书</w:t>
            </w:r>
          </w:p>
        </w:tc>
        <w:tc>
          <w:tcPr>
            <w:tcW w:w="3312" w:type="pct"/>
            <w:tcBorders>
              <w:top w:val="single" w:color="000000" w:sz="4" w:space="0"/>
              <w:left w:val="single" w:color="auto" w:sz="4" w:space="0"/>
              <w:bottom w:val="single" w:color="000000" w:sz="4" w:space="0"/>
              <w:right w:val="single" w:color="000000" w:sz="4" w:space="0"/>
            </w:tcBorders>
            <w:vAlign w:val="center"/>
          </w:tcPr>
          <w:p>
            <w:pPr>
              <w:pStyle w:val="32"/>
              <w:numPr>
                <w:ilvl w:val="0"/>
                <w:numId w:val="0"/>
              </w:numPr>
              <w:spacing w:line="360" w:lineRule="auto"/>
              <w:jc w:val="left"/>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无具体要求。</w:t>
            </w:r>
          </w:p>
        </w:tc>
      </w:tr>
      <w:tr>
        <w:tblPrEx>
          <w:tblCellMar>
            <w:top w:w="0" w:type="dxa"/>
            <w:left w:w="0" w:type="dxa"/>
            <w:bottom w:w="0" w:type="dxa"/>
            <w:right w:w="0" w:type="dxa"/>
          </w:tblCellMar>
        </w:tblPrEx>
        <w:trPr>
          <w:trHeight w:val="10551" w:hRule="atLeast"/>
          <w:jc w:val="center"/>
        </w:trPr>
        <w:tc>
          <w:tcPr>
            <w:tcW w:w="328" w:type="pct"/>
            <w:vMerge w:val="continue"/>
            <w:tcBorders>
              <w:left w:val="single" w:color="auto" w:sz="4" w:space="0"/>
              <w:right w:val="single" w:color="auto" w:sz="4" w:space="0"/>
            </w:tcBorders>
            <w:vAlign w:val="center"/>
          </w:tcPr>
          <w:p>
            <w:pPr>
              <w:pStyle w:val="23"/>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291" w:type="pct"/>
            <w:vMerge w:val="continue"/>
            <w:tcBorders>
              <w:left w:val="single" w:color="auto" w:sz="4" w:space="0"/>
              <w:right w:val="single" w:color="auto" w:sz="4" w:space="0"/>
            </w:tcBorders>
            <w:textDirection w:val="tbRlV"/>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067" w:type="pct"/>
            <w:tcBorders>
              <w:top w:val="single" w:color="auto" w:sz="4" w:space="0"/>
              <w:left w:val="single" w:color="auto" w:sz="4" w:space="0"/>
              <w:bottom w:val="single" w:color="auto" w:sz="4" w:space="0"/>
              <w:right w:val="single" w:color="auto" w:sz="4" w:space="0"/>
            </w:tcBorders>
            <w:vAlign w:val="center"/>
          </w:tcPr>
          <w:p>
            <w:pPr>
              <w:pStyle w:val="25"/>
              <w:keepNext w:val="0"/>
              <w:keepLines w:val="0"/>
              <w:pageBreakBefore w:val="0"/>
              <w:kinsoku/>
              <w:wordWrap/>
              <w:overflowPunct/>
              <w:topLinePunct w:val="0"/>
              <w:bidi w:val="0"/>
              <w:snapToGrid w:val="0"/>
              <w:spacing w:before="120" w:after="120" w:line="360" w:lineRule="auto"/>
              <w:textAlignment w:val="auto"/>
              <w:outlineLvl w:val="0"/>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 </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auto"/>
                <w:kern w:val="0"/>
                <w:sz w:val="21"/>
                <w:szCs w:val="21"/>
                <w:highlight w:val="none"/>
                <w:lang w:val="en-US" w:eastAsia="zh-CN" w:bidi="ar-SA"/>
              </w:rPr>
              <w:t>技术规格、技术要求</w:t>
            </w:r>
          </w:p>
        </w:tc>
        <w:tc>
          <w:tcPr>
            <w:tcW w:w="3312" w:type="pct"/>
            <w:tcBorders>
              <w:top w:val="single" w:color="000000" w:sz="4" w:space="0"/>
              <w:left w:val="single" w:color="auto" w:sz="4" w:space="0"/>
              <w:bottom w:val="single" w:color="000000" w:sz="4" w:space="0"/>
              <w:right w:val="single" w:color="000000" w:sz="4" w:space="0"/>
            </w:tcBorders>
            <w:vAlign w:val="center"/>
          </w:tcPr>
          <w:tbl>
            <w:tblPr>
              <w:tblStyle w:val="18"/>
              <w:tblW w:w="6100" w:type="dxa"/>
              <w:tblInd w:w="0" w:type="dxa"/>
              <w:tblLayout w:type="fixed"/>
              <w:tblCellMar>
                <w:top w:w="0" w:type="dxa"/>
                <w:left w:w="108" w:type="dxa"/>
                <w:bottom w:w="0" w:type="dxa"/>
                <w:right w:w="108" w:type="dxa"/>
              </w:tblCellMar>
            </w:tblPr>
            <w:tblGrid>
              <w:gridCol w:w="596"/>
              <w:gridCol w:w="912"/>
              <w:gridCol w:w="623"/>
              <w:gridCol w:w="1338"/>
              <w:gridCol w:w="2631"/>
            </w:tblGrid>
            <w:tr>
              <w:tblPrEx>
                <w:tblCellMar>
                  <w:top w:w="0" w:type="dxa"/>
                  <w:left w:w="108" w:type="dxa"/>
                  <w:bottom w:w="0" w:type="dxa"/>
                  <w:right w:w="108" w:type="dxa"/>
                </w:tblCellMar>
              </w:tblPrEx>
              <w:trPr>
                <w:trHeight w:val="88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序号</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sz w:val="15"/>
                      <w:szCs w:val="15"/>
                      <w:lang w:eastAsia="zh-CN"/>
                    </w:rPr>
                    <w:t>货物名称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数量/</w:t>
                  </w:r>
                  <w:r>
                    <w:rPr>
                      <w:rFonts w:hint="eastAsia" w:ascii="宋体" w:hAnsi="宋体" w:eastAsia="宋体" w:cs="宋体"/>
                      <w:b w:val="0"/>
                      <w:bCs/>
                      <w:i w:val="0"/>
                      <w:iCs w:val="0"/>
                      <w:color w:val="auto"/>
                      <w:sz w:val="15"/>
                      <w:szCs w:val="15"/>
                      <w:lang w:val="en-US" w:eastAsia="zh-CN"/>
                    </w:rPr>
                    <w:t>单位</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sz w:val="15"/>
                      <w:szCs w:val="15"/>
                      <w:lang w:eastAsia="zh-CN"/>
                    </w:rPr>
                    <w:t>主要技术指标</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备注</w:t>
                  </w:r>
                </w:p>
              </w:tc>
            </w:tr>
            <w:tr>
              <w:tblPrEx>
                <w:tblCellMar>
                  <w:top w:w="0" w:type="dxa"/>
                  <w:left w:w="108" w:type="dxa"/>
                  <w:bottom w:w="0" w:type="dxa"/>
                  <w:right w:w="108" w:type="dxa"/>
                </w:tblCellMar>
              </w:tblPrEx>
              <w:trPr>
                <w:trHeight w:val="125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i w:val="0"/>
                      <w:iCs w:val="0"/>
                      <w:color w:val="auto"/>
                      <w:sz w:val="15"/>
                      <w:szCs w:val="15"/>
                      <w:lang w:val="en-US"/>
                    </w:rPr>
                  </w:pPr>
                  <w:r>
                    <w:rPr>
                      <w:rFonts w:hint="eastAsia" w:ascii="宋体" w:hAnsi="宋体" w:eastAsia="宋体" w:cs="宋体"/>
                      <w:b w:val="0"/>
                      <w:bCs/>
                      <w:i w:val="0"/>
                      <w:iCs w:val="0"/>
                      <w:color w:val="auto"/>
                      <w:kern w:val="0"/>
                      <w:sz w:val="15"/>
                      <w:szCs w:val="15"/>
                      <w:u w:val="none"/>
                      <w:lang w:val="en-US" w:eastAsia="zh-CN" w:bidi="ar"/>
                    </w:rPr>
                    <w:t>7件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弯头\NPS1/2\90°\LR\BW\XXS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25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弯头\NPS3/4\90°\LR\BW\XXS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91件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弯头\NPS2\90°\LR\BW\XXS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52件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弯头\NPS2\45°\LR\BW\XXS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90件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弯头\NPS2\90°\LR\BW\13.0\A234 WPB\裸件</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104件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弯头\NPS3\90°\LR\BW\XXS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25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八字盲板</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8字盲板\NPS3\CL1500\FRTJ\A105\裸件</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异径管</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同心异径管\NPS3/4×1/2\BW\XXS\A234 WPB\裸件</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异径管</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同心异径管\NPS4×3\BW\XXS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异径三通\NPS3×2\BW\XXS\A234 WPB\裸件</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4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异径三通\NPS4×2\BW\XXS</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30件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等径三通\NPS2\BW\XXS\A234 WPB\涂漆\ASME B16.9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16件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等径三通\NPS3\BW\XXS\A234 WPB\裸件\ASME B16.9</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活接头</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6件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活接头\NPS1/2\NPTF\CL3000\16Mn\镀锌\MSS SP-83</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9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15</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盲法兰\NPS3\CL900\RTJ\A105\裸件\ASME B16.5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56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16</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盲法兰\NPS3\CL1500\RTJ\A105\裸件(清洗)</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275"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法兰\NPS3/4\CL2500\WN-RTJ\XXS\A105\裸件</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466"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18</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89件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法兰\NPS2\CL1500\WN-RTJ\XXS\A105\裸件(清洗1)\ASME B16.5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25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4" name="AutoShape_4_SpCnt_32"/>
                        <wp:cNvGraphicFramePr/>
                        <a:graphic xmlns:a="http://schemas.openxmlformats.org/drawingml/2006/main">
                          <a:graphicData uri="http://schemas.openxmlformats.org/drawingml/2006/picture">
                            <pic:pic xmlns:pic="http://schemas.openxmlformats.org/drawingml/2006/picture">
                              <pic:nvPicPr>
                                <pic:cNvPr id="514" name="AutoShape_4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3" name="AutoShape_2_SpCnt_32"/>
                        <wp:cNvGraphicFramePr/>
                        <a:graphic xmlns:a="http://schemas.openxmlformats.org/drawingml/2006/main">
                          <a:graphicData uri="http://schemas.openxmlformats.org/drawingml/2006/picture">
                            <pic:pic xmlns:pic="http://schemas.openxmlformats.org/drawingml/2006/picture">
                              <pic:nvPicPr>
                                <pic:cNvPr id="643" name="AutoShape_2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4" name="AutoShape_2_SpCnt_33"/>
                        <wp:cNvGraphicFramePr/>
                        <a:graphic xmlns:a="http://schemas.openxmlformats.org/drawingml/2006/main">
                          <a:graphicData uri="http://schemas.openxmlformats.org/drawingml/2006/picture">
                            <pic:pic xmlns:pic="http://schemas.openxmlformats.org/drawingml/2006/picture">
                              <pic:nvPicPr>
                                <pic:cNvPr id="644" name="AutoShape_2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5" name="AutoShape_4_SpCnt_33"/>
                        <wp:cNvGraphicFramePr/>
                        <a:graphic xmlns:a="http://schemas.openxmlformats.org/drawingml/2006/main">
                          <a:graphicData uri="http://schemas.openxmlformats.org/drawingml/2006/picture">
                            <pic:pic xmlns:pic="http://schemas.openxmlformats.org/drawingml/2006/picture">
                              <pic:nvPicPr>
                                <pic:cNvPr id="645" name="AutoShape_4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6" name="AutoShape_3_SpCnt_16"/>
                        <wp:cNvGraphicFramePr/>
                        <a:graphic xmlns:a="http://schemas.openxmlformats.org/drawingml/2006/main">
                          <a:graphicData uri="http://schemas.openxmlformats.org/drawingml/2006/picture">
                            <pic:pic xmlns:pic="http://schemas.openxmlformats.org/drawingml/2006/picture">
                              <pic:nvPicPr>
                                <pic:cNvPr id="646" name="AutoShape_3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47" name="AutoShape_1_SpCnt_16"/>
                        <wp:cNvGraphicFramePr/>
                        <a:graphic xmlns:a="http://schemas.openxmlformats.org/drawingml/2006/main">
                          <a:graphicData uri="http://schemas.openxmlformats.org/drawingml/2006/picture">
                            <pic:pic xmlns:pic="http://schemas.openxmlformats.org/drawingml/2006/picture">
                              <pic:nvPicPr>
                                <pic:cNvPr id="647" name="AutoShape_1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8" name="AutoShape_4_SpCnt_34"/>
                        <wp:cNvGraphicFramePr/>
                        <a:graphic xmlns:a="http://schemas.openxmlformats.org/drawingml/2006/main">
                          <a:graphicData uri="http://schemas.openxmlformats.org/drawingml/2006/picture">
                            <pic:pic xmlns:pic="http://schemas.openxmlformats.org/drawingml/2006/picture">
                              <pic:nvPicPr>
                                <pic:cNvPr id="648" name="AutoShape_4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49" name="AutoShape_4_SpCnt_35"/>
                        <wp:cNvGraphicFramePr/>
                        <a:graphic xmlns:a="http://schemas.openxmlformats.org/drawingml/2006/main">
                          <a:graphicData uri="http://schemas.openxmlformats.org/drawingml/2006/picture">
                            <pic:pic xmlns:pic="http://schemas.openxmlformats.org/drawingml/2006/picture">
                              <pic:nvPicPr>
                                <pic:cNvPr id="649" name="AutoShape_4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0" name="AutoShape_3_SpCnt_17"/>
                        <wp:cNvGraphicFramePr/>
                        <a:graphic xmlns:a="http://schemas.openxmlformats.org/drawingml/2006/main">
                          <a:graphicData uri="http://schemas.openxmlformats.org/drawingml/2006/picture">
                            <pic:pic xmlns:pic="http://schemas.openxmlformats.org/drawingml/2006/picture">
                              <pic:nvPicPr>
                                <pic:cNvPr id="650" name="AutoShape_3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51" name="AutoShape_1_SpCnt_17"/>
                        <wp:cNvGraphicFramePr/>
                        <a:graphic xmlns:a="http://schemas.openxmlformats.org/drawingml/2006/main">
                          <a:graphicData uri="http://schemas.openxmlformats.org/drawingml/2006/picture">
                            <pic:pic xmlns:pic="http://schemas.openxmlformats.org/drawingml/2006/picture">
                              <pic:nvPicPr>
                                <pic:cNvPr id="651" name="AutoShape_1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2" name="AutoShape_4_SpCnt_36"/>
                        <wp:cNvGraphicFramePr/>
                        <a:graphic xmlns:a="http://schemas.openxmlformats.org/drawingml/2006/main">
                          <a:graphicData uri="http://schemas.openxmlformats.org/drawingml/2006/picture">
                            <pic:pic xmlns:pic="http://schemas.openxmlformats.org/drawingml/2006/picture">
                              <pic:nvPicPr>
                                <pic:cNvPr id="652" name="AutoShape_4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3" name="AutoShape_2_SpCnt_34"/>
                        <wp:cNvGraphicFramePr/>
                        <a:graphic xmlns:a="http://schemas.openxmlformats.org/drawingml/2006/main">
                          <a:graphicData uri="http://schemas.openxmlformats.org/drawingml/2006/picture">
                            <pic:pic xmlns:pic="http://schemas.openxmlformats.org/drawingml/2006/picture">
                              <pic:nvPicPr>
                                <pic:cNvPr id="653" name="AutoShape_2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4" name="AutoShape_4_SpCnt_37"/>
                        <wp:cNvGraphicFramePr/>
                        <a:graphic xmlns:a="http://schemas.openxmlformats.org/drawingml/2006/main">
                          <a:graphicData uri="http://schemas.openxmlformats.org/drawingml/2006/picture">
                            <pic:pic xmlns:pic="http://schemas.openxmlformats.org/drawingml/2006/picture">
                              <pic:nvPicPr>
                                <pic:cNvPr id="654" name="AutoShape_4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55" name="AutoShape_3_SpCnt_18"/>
                        <wp:cNvGraphicFramePr/>
                        <a:graphic xmlns:a="http://schemas.openxmlformats.org/drawingml/2006/main">
                          <a:graphicData uri="http://schemas.openxmlformats.org/drawingml/2006/picture">
                            <pic:pic xmlns:pic="http://schemas.openxmlformats.org/drawingml/2006/picture">
                              <pic:nvPicPr>
                                <pic:cNvPr id="655" name="AutoShape_3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6" name="AutoShape_4_SpCnt_38"/>
                        <wp:cNvGraphicFramePr/>
                        <a:graphic xmlns:a="http://schemas.openxmlformats.org/drawingml/2006/main">
                          <a:graphicData uri="http://schemas.openxmlformats.org/drawingml/2006/picture">
                            <pic:pic xmlns:pic="http://schemas.openxmlformats.org/drawingml/2006/picture">
                              <pic:nvPicPr>
                                <pic:cNvPr id="656" name="AutoShape_4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7" name="AutoShape_1_SpCnt_18"/>
                        <wp:cNvGraphicFramePr/>
                        <a:graphic xmlns:a="http://schemas.openxmlformats.org/drawingml/2006/main">
                          <a:graphicData uri="http://schemas.openxmlformats.org/drawingml/2006/picture">
                            <pic:pic xmlns:pic="http://schemas.openxmlformats.org/drawingml/2006/picture">
                              <pic:nvPicPr>
                                <pic:cNvPr id="657" name="AutoShape_1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8" name="AutoShape_4_SpCnt_39"/>
                        <wp:cNvGraphicFramePr/>
                        <a:graphic xmlns:a="http://schemas.openxmlformats.org/drawingml/2006/main">
                          <a:graphicData uri="http://schemas.openxmlformats.org/drawingml/2006/picture">
                            <pic:pic xmlns:pic="http://schemas.openxmlformats.org/drawingml/2006/picture">
                              <pic:nvPicPr>
                                <pic:cNvPr id="658" name="AutoShape_4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59" name="AutoShape_2_SpCnt_35"/>
                        <wp:cNvGraphicFramePr/>
                        <a:graphic xmlns:a="http://schemas.openxmlformats.org/drawingml/2006/main">
                          <a:graphicData uri="http://schemas.openxmlformats.org/drawingml/2006/picture">
                            <pic:pic xmlns:pic="http://schemas.openxmlformats.org/drawingml/2006/picture">
                              <pic:nvPicPr>
                                <pic:cNvPr id="659" name="AutoShape_2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0" name="AutoShape_4_SpCnt_40"/>
                        <wp:cNvGraphicFramePr/>
                        <a:graphic xmlns:a="http://schemas.openxmlformats.org/drawingml/2006/main">
                          <a:graphicData uri="http://schemas.openxmlformats.org/drawingml/2006/picture">
                            <pic:pic xmlns:pic="http://schemas.openxmlformats.org/drawingml/2006/picture">
                              <pic:nvPicPr>
                                <pic:cNvPr id="660" name="AutoShape_4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1" name="AutoShape_3_SpCnt_19"/>
                        <wp:cNvGraphicFramePr/>
                        <a:graphic xmlns:a="http://schemas.openxmlformats.org/drawingml/2006/main">
                          <a:graphicData uri="http://schemas.openxmlformats.org/drawingml/2006/picture">
                            <pic:pic xmlns:pic="http://schemas.openxmlformats.org/drawingml/2006/picture">
                              <pic:nvPicPr>
                                <pic:cNvPr id="661" name="AutoShape_3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2" name="AutoShape_1_SpCnt_19"/>
                        <wp:cNvGraphicFramePr/>
                        <a:graphic xmlns:a="http://schemas.openxmlformats.org/drawingml/2006/main">
                          <a:graphicData uri="http://schemas.openxmlformats.org/drawingml/2006/picture">
                            <pic:pic xmlns:pic="http://schemas.openxmlformats.org/drawingml/2006/picture">
                              <pic:nvPicPr>
                                <pic:cNvPr id="662" name="AutoShape_1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3" name="AutoShape_2_SpCnt_36"/>
                        <wp:cNvGraphicFramePr/>
                        <a:graphic xmlns:a="http://schemas.openxmlformats.org/drawingml/2006/main">
                          <a:graphicData uri="http://schemas.openxmlformats.org/drawingml/2006/picture">
                            <pic:pic xmlns:pic="http://schemas.openxmlformats.org/drawingml/2006/picture">
                              <pic:nvPicPr>
                                <pic:cNvPr id="663" name="AutoShape_2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4" name="AutoShape_4_SpCnt_41"/>
                        <wp:cNvGraphicFramePr/>
                        <a:graphic xmlns:a="http://schemas.openxmlformats.org/drawingml/2006/main">
                          <a:graphicData uri="http://schemas.openxmlformats.org/drawingml/2006/picture">
                            <pic:pic xmlns:pic="http://schemas.openxmlformats.org/drawingml/2006/picture">
                              <pic:nvPicPr>
                                <pic:cNvPr id="664" name="AutoShape_4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5" name="AutoShape_4_SpCnt_42"/>
                        <wp:cNvGraphicFramePr/>
                        <a:graphic xmlns:a="http://schemas.openxmlformats.org/drawingml/2006/main">
                          <a:graphicData uri="http://schemas.openxmlformats.org/drawingml/2006/picture">
                            <pic:pic xmlns:pic="http://schemas.openxmlformats.org/drawingml/2006/picture">
                              <pic:nvPicPr>
                                <pic:cNvPr id="665" name="AutoShape_4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6" name="AutoShape_3_SpCnt_20"/>
                        <wp:cNvGraphicFramePr/>
                        <a:graphic xmlns:a="http://schemas.openxmlformats.org/drawingml/2006/main">
                          <a:graphicData uri="http://schemas.openxmlformats.org/drawingml/2006/picture">
                            <pic:pic xmlns:pic="http://schemas.openxmlformats.org/drawingml/2006/picture">
                              <pic:nvPicPr>
                                <pic:cNvPr id="666" name="AutoShape_3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7" name="AutoShape_4_SpCnt_43"/>
                        <wp:cNvGraphicFramePr/>
                        <a:graphic xmlns:a="http://schemas.openxmlformats.org/drawingml/2006/main">
                          <a:graphicData uri="http://schemas.openxmlformats.org/drawingml/2006/picture">
                            <pic:pic xmlns:pic="http://schemas.openxmlformats.org/drawingml/2006/picture">
                              <pic:nvPicPr>
                                <pic:cNvPr id="667" name="AutoShape_4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8" name="AutoShape_2_SpCnt_37"/>
                        <wp:cNvGraphicFramePr/>
                        <a:graphic xmlns:a="http://schemas.openxmlformats.org/drawingml/2006/main">
                          <a:graphicData uri="http://schemas.openxmlformats.org/drawingml/2006/picture">
                            <pic:pic xmlns:pic="http://schemas.openxmlformats.org/drawingml/2006/picture">
                              <pic:nvPicPr>
                                <pic:cNvPr id="668" name="AutoShape_2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69" name="AutoShape_4_SpCnt_44"/>
                        <wp:cNvGraphicFramePr/>
                        <a:graphic xmlns:a="http://schemas.openxmlformats.org/drawingml/2006/main">
                          <a:graphicData uri="http://schemas.openxmlformats.org/drawingml/2006/picture">
                            <pic:pic xmlns:pic="http://schemas.openxmlformats.org/drawingml/2006/picture">
                              <pic:nvPicPr>
                                <pic:cNvPr id="669" name="AutoShape_4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70" name="AutoShape_3_SpCnt_21"/>
                        <wp:cNvGraphicFramePr/>
                        <a:graphic xmlns:a="http://schemas.openxmlformats.org/drawingml/2006/main">
                          <a:graphicData uri="http://schemas.openxmlformats.org/drawingml/2006/picture">
                            <pic:pic xmlns:pic="http://schemas.openxmlformats.org/drawingml/2006/picture">
                              <pic:nvPicPr>
                                <pic:cNvPr id="670" name="AutoShape_3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71" name="AutoShape_1_SpCnt_20"/>
                        <wp:cNvGraphicFramePr/>
                        <a:graphic xmlns:a="http://schemas.openxmlformats.org/drawingml/2006/main">
                          <a:graphicData uri="http://schemas.openxmlformats.org/drawingml/2006/picture">
                            <pic:pic xmlns:pic="http://schemas.openxmlformats.org/drawingml/2006/picture">
                              <pic:nvPicPr>
                                <pic:cNvPr id="671" name="AutoShape_1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2" name="AutoShape_4_SpCnt_45"/>
                        <wp:cNvGraphicFramePr/>
                        <a:graphic xmlns:a="http://schemas.openxmlformats.org/drawingml/2006/main">
                          <a:graphicData uri="http://schemas.openxmlformats.org/drawingml/2006/picture">
                            <pic:pic xmlns:pic="http://schemas.openxmlformats.org/drawingml/2006/picture">
                              <pic:nvPicPr>
                                <pic:cNvPr id="672" name="AutoShape_4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73" name="AutoShape_3_SpCnt_22"/>
                        <wp:cNvGraphicFramePr/>
                        <a:graphic xmlns:a="http://schemas.openxmlformats.org/drawingml/2006/main">
                          <a:graphicData uri="http://schemas.openxmlformats.org/drawingml/2006/picture">
                            <pic:pic xmlns:pic="http://schemas.openxmlformats.org/drawingml/2006/picture">
                              <pic:nvPicPr>
                                <pic:cNvPr id="673" name="AutoShape_3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4" name="AutoShape_2_SpCnt_38"/>
                        <wp:cNvGraphicFramePr/>
                        <a:graphic xmlns:a="http://schemas.openxmlformats.org/drawingml/2006/main">
                          <a:graphicData uri="http://schemas.openxmlformats.org/drawingml/2006/picture">
                            <pic:pic xmlns:pic="http://schemas.openxmlformats.org/drawingml/2006/picture">
                              <pic:nvPicPr>
                                <pic:cNvPr id="674" name="AutoShape_2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5" name="AutoShape_2_SpCnt_39"/>
                        <wp:cNvGraphicFramePr/>
                        <a:graphic xmlns:a="http://schemas.openxmlformats.org/drawingml/2006/main">
                          <a:graphicData uri="http://schemas.openxmlformats.org/drawingml/2006/picture">
                            <pic:pic xmlns:pic="http://schemas.openxmlformats.org/drawingml/2006/picture">
                              <pic:nvPicPr>
                                <pic:cNvPr id="675" name="AutoShape_2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6" name="AutoShape_2_SpCnt_40"/>
                        <wp:cNvGraphicFramePr/>
                        <a:graphic xmlns:a="http://schemas.openxmlformats.org/drawingml/2006/main">
                          <a:graphicData uri="http://schemas.openxmlformats.org/drawingml/2006/picture">
                            <pic:pic xmlns:pic="http://schemas.openxmlformats.org/drawingml/2006/picture">
                              <pic:nvPicPr>
                                <pic:cNvPr id="676" name="AutoShape_2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7" name="AutoShape_4_SpCnt_46"/>
                        <wp:cNvGraphicFramePr/>
                        <a:graphic xmlns:a="http://schemas.openxmlformats.org/drawingml/2006/main">
                          <a:graphicData uri="http://schemas.openxmlformats.org/drawingml/2006/picture">
                            <pic:pic xmlns:pic="http://schemas.openxmlformats.org/drawingml/2006/picture">
                              <pic:nvPicPr>
                                <pic:cNvPr id="677" name="AutoShape_4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8" name="AutoShape_2_SpCnt_41"/>
                        <wp:cNvGraphicFramePr/>
                        <a:graphic xmlns:a="http://schemas.openxmlformats.org/drawingml/2006/main">
                          <a:graphicData uri="http://schemas.openxmlformats.org/drawingml/2006/picture">
                            <pic:pic xmlns:pic="http://schemas.openxmlformats.org/drawingml/2006/picture">
                              <pic:nvPicPr>
                                <pic:cNvPr id="678" name="AutoShape_2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79" name="AutoShape_2_SpCnt_42"/>
                        <wp:cNvGraphicFramePr/>
                        <a:graphic xmlns:a="http://schemas.openxmlformats.org/drawingml/2006/main">
                          <a:graphicData uri="http://schemas.openxmlformats.org/drawingml/2006/picture">
                            <pic:pic xmlns:pic="http://schemas.openxmlformats.org/drawingml/2006/picture">
                              <pic:nvPicPr>
                                <pic:cNvPr id="679" name="AutoShape_2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80" name="AutoShape_1_SpCnt_21"/>
                        <wp:cNvGraphicFramePr/>
                        <a:graphic xmlns:a="http://schemas.openxmlformats.org/drawingml/2006/main">
                          <a:graphicData uri="http://schemas.openxmlformats.org/drawingml/2006/picture">
                            <pic:pic xmlns:pic="http://schemas.openxmlformats.org/drawingml/2006/picture">
                              <pic:nvPicPr>
                                <pic:cNvPr id="680" name="AutoShape_1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1" name="AutoShape_2_SpCnt_43"/>
                        <wp:cNvGraphicFramePr/>
                        <a:graphic xmlns:a="http://schemas.openxmlformats.org/drawingml/2006/main">
                          <a:graphicData uri="http://schemas.openxmlformats.org/drawingml/2006/picture">
                            <pic:pic xmlns:pic="http://schemas.openxmlformats.org/drawingml/2006/picture">
                              <pic:nvPicPr>
                                <pic:cNvPr id="681" name="AutoShape_2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2" name="AutoShape_1_SpCnt_22"/>
                        <wp:cNvGraphicFramePr/>
                        <a:graphic xmlns:a="http://schemas.openxmlformats.org/drawingml/2006/main">
                          <a:graphicData uri="http://schemas.openxmlformats.org/drawingml/2006/picture">
                            <pic:pic xmlns:pic="http://schemas.openxmlformats.org/drawingml/2006/picture">
                              <pic:nvPicPr>
                                <pic:cNvPr id="682" name="AutoShape_1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3" name="AutoShape_2_SpCnt_44"/>
                        <wp:cNvGraphicFramePr/>
                        <a:graphic xmlns:a="http://schemas.openxmlformats.org/drawingml/2006/main">
                          <a:graphicData uri="http://schemas.openxmlformats.org/drawingml/2006/picture">
                            <pic:pic xmlns:pic="http://schemas.openxmlformats.org/drawingml/2006/picture">
                              <pic:nvPicPr>
                                <pic:cNvPr id="683" name="AutoShape_2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84" name="AutoShape_3_SpCnt_23"/>
                        <wp:cNvGraphicFramePr/>
                        <a:graphic xmlns:a="http://schemas.openxmlformats.org/drawingml/2006/main">
                          <a:graphicData uri="http://schemas.openxmlformats.org/drawingml/2006/picture">
                            <pic:pic xmlns:pic="http://schemas.openxmlformats.org/drawingml/2006/picture">
                              <pic:nvPicPr>
                                <pic:cNvPr id="684" name="AutoShape_3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5" name="AutoShape_2_SpCnt_45"/>
                        <wp:cNvGraphicFramePr/>
                        <a:graphic xmlns:a="http://schemas.openxmlformats.org/drawingml/2006/main">
                          <a:graphicData uri="http://schemas.openxmlformats.org/drawingml/2006/picture">
                            <pic:pic xmlns:pic="http://schemas.openxmlformats.org/drawingml/2006/picture">
                              <pic:nvPicPr>
                                <pic:cNvPr id="685" name="AutoShape_2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6" name="AutoShape_1_SpCnt_23"/>
                        <wp:cNvGraphicFramePr/>
                        <a:graphic xmlns:a="http://schemas.openxmlformats.org/drawingml/2006/main">
                          <a:graphicData uri="http://schemas.openxmlformats.org/drawingml/2006/picture">
                            <pic:pic xmlns:pic="http://schemas.openxmlformats.org/drawingml/2006/picture">
                              <pic:nvPicPr>
                                <pic:cNvPr id="686" name="AutoShape_1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7" name="AutoShape_2_SpCnt_46"/>
                        <wp:cNvGraphicFramePr/>
                        <a:graphic xmlns:a="http://schemas.openxmlformats.org/drawingml/2006/main">
                          <a:graphicData uri="http://schemas.openxmlformats.org/drawingml/2006/picture">
                            <pic:pic xmlns:pic="http://schemas.openxmlformats.org/drawingml/2006/picture">
                              <pic:nvPicPr>
                                <pic:cNvPr id="687" name="AutoShape_2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8" name="AutoShape_2_SpCnt_47"/>
                        <wp:cNvGraphicFramePr/>
                        <a:graphic xmlns:a="http://schemas.openxmlformats.org/drawingml/2006/main">
                          <a:graphicData uri="http://schemas.openxmlformats.org/drawingml/2006/picture">
                            <pic:pic xmlns:pic="http://schemas.openxmlformats.org/drawingml/2006/picture">
                              <pic:nvPicPr>
                                <pic:cNvPr id="688" name="AutoShape_2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89" name="AutoShape_4_SpCnt_47"/>
                        <wp:cNvGraphicFramePr/>
                        <a:graphic xmlns:a="http://schemas.openxmlformats.org/drawingml/2006/main">
                          <a:graphicData uri="http://schemas.openxmlformats.org/drawingml/2006/picture">
                            <pic:pic xmlns:pic="http://schemas.openxmlformats.org/drawingml/2006/picture">
                              <pic:nvPicPr>
                                <pic:cNvPr id="689" name="AutoShape_4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690" name="Line_23_SpCnt_32"/>
                        <wp:cNvGraphicFramePr/>
                        <a:graphic xmlns:a="http://schemas.openxmlformats.org/drawingml/2006/main">
                          <a:graphicData uri="http://schemas.openxmlformats.org/drawingml/2006/picture">
                            <pic:pic xmlns:pic="http://schemas.openxmlformats.org/drawingml/2006/picture">
                              <pic:nvPicPr>
                                <pic:cNvPr id="690" name="Line_23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1" name="Line_23_SpCnt_33"/>
                        <wp:cNvGraphicFramePr/>
                        <a:graphic xmlns:a="http://schemas.openxmlformats.org/drawingml/2006/main">
                          <a:graphicData uri="http://schemas.openxmlformats.org/drawingml/2006/picture">
                            <pic:pic xmlns:pic="http://schemas.openxmlformats.org/drawingml/2006/picture">
                              <pic:nvPicPr>
                                <pic:cNvPr id="691" name="Line_23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2" name="Line_23_SpCnt_34"/>
                        <wp:cNvGraphicFramePr/>
                        <a:graphic xmlns:a="http://schemas.openxmlformats.org/drawingml/2006/main">
                          <a:graphicData uri="http://schemas.openxmlformats.org/drawingml/2006/picture">
                            <pic:pic xmlns:pic="http://schemas.openxmlformats.org/drawingml/2006/picture">
                              <pic:nvPicPr>
                                <pic:cNvPr id="692" name="Line_23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3" name="Line_23_SpCnt_35"/>
                        <wp:cNvGraphicFramePr/>
                        <a:graphic xmlns:a="http://schemas.openxmlformats.org/drawingml/2006/main">
                          <a:graphicData uri="http://schemas.openxmlformats.org/drawingml/2006/picture">
                            <pic:pic xmlns:pic="http://schemas.openxmlformats.org/drawingml/2006/picture">
                              <pic:nvPicPr>
                                <pic:cNvPr id="693" name="Line_23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4" name="Line_23_SpCnt_36"/>
                        <wp:cNvGraphicFramePr/>
                        <a:graphic xmlns:a="http://schemas.openxmlformats.org/drawingml/2006/main">
                          <a:graphicData uri="http://schemas.openxmlformats.org/drawingml/2006/picture">
                            <pic:pic xmlns:pic="http://schemas.openxmlformats.org/drawingml/2006/picture">
                              <pic:nvPicPr>
                                <pic:cNvPr id="694" name="Line_23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5" name="Line_23_SpCnt_37"/>
                        <wp:cNvGraphicFramePr/>
                        <a:graphic xmlns:a="http://schemas.openxmlformats.org/drawingml/2006/main">
                          <a:graphicData uri="http://schemas.openxmlformats.org/drawingml/2006/picture">
                            <pic:pic xmlns:pic="http://schemas.openxmlformats.org/drawingml/2006/picture">
                              <pic:nvPicPr>
                                <pic:cNvPr id="695" name="Line_23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6" name="Line_23_SpCnt_38"/>
                        <wp:cNvGraphicFramePr/>
                        <a:graphic xmlns:a="http://schemas.openxmlformats.org/drawingml/2006/main">
                          <a:graphicData uri="http://schemas.openxmlformats.org/drawingml/2006/picture">
                            <pic:pic xmlns:pic="http://schemas.openxmlformats.org/drawingml/2006/picture">
                              <pic:nvPicPr>
                                <pic:cNvPr id="696" name="Line_23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7" name="Line_23_SpCnt_39"/>
                        <wp:cNvGraphicFramePr/>
                        <a:graphic xmlns:a="http://schemas.openxmlformats.org/drawingml/2006/main">
                          <a:graphicData uri="http://schemas.openxmlformats.org/drawingml/2006/picture">
                            <pic:pic xmlns:pic="http://schemas.openxmlformats.org/drawingml/2006/picture">
                              <pic:nvPicPr>
                                <pic:cNvPr id="697" name="Line_23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8" name="Line_23_SpCnt_40"/>
                        <wp:cNvGraphicFramePr/>
                        <a:graphic xmlns:a="http://schemas.openxmlformats.org/drawingml/2006/main">
                          <a:graphicData uri="http://schemas.openxmlformats.org/drawingml/2006/picture">
                            <pic:pic xmlns:pic="http://schemas.openxmlformats.org/drawingml/2006/picture">
                              <pic:nvPicPr>
                                <pic:cNvPr id="698" name="Line_23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99" name="Line_23_SpCnt_41"/>
                        <wp:cNvGraphicFramePr/>
                        <a:graphic xmlns:a="http://schemas.openxmlformats.org/drawingml/2006/main">
                          <a:graphicData uri="http://schemas.openxmlformats.org/drawingml/2006/picture">
                            <pic:pic xmlns:pic="http://schemas.openxmlformats.org/drawingml/2006/picture">
                              <pic:nvPicPr>
                                <pic:cNvPr id="699" name="Line_23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00" name="Line_23_SpCnt_42"/>
                        <wp:cNvGraphicFramePr/>
                        <a:graphic xmlns:a="http://schemas.openxmlformats.org/drawingml/2006/main">
                          <a:graphicData uri="http://schemas.openxmlformats.org/drawingml/2006/picture">
                            <pic:pic xmlns:pic="http://schemas.openxmlformats.org/drawingml/2006/picture">
                              <pic:nvPicPr>
                                <pic:cNvPr id="700" name="Line_23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01" name="Line_23_SpCnt_43"/>
                        <wp:cNvGraphicFramePr/>
                        <a:graphic xmlns:a="http://schemas.openxmlformats.org/drawingml/2006/main">
                          <a:graphicData uri="http://schemas.openxmlformats.org/drawingml/2006/picture">
                            <pic:pic xmlns:pic="http://schemas.openxmlformats.org/drawingml/2006/picture">
                              <pic:nvPicPr>
                                <pic:cNvPr id="701" name="Line_23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02" name="Line_23_SpCnt_44"/>
                        <wp:cNvGraphicFramePr/>
                        <a:graphic xmlns:a="http://schemas.openxmlformats.org/drawingml/2006/main">
                          <a:graphicData uri="http://schemas.openxmlformats.org/drawingml/2006/picture">
                            <pic:pic xmlns:pic="http://schemas.openxmlformats.org/drawingml/2006/picture">
                              <pic:nvPicPr>
                                <pic:cNvPr id="702" name="Line_23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03" name="Line_23_SpCnt_45"/>
                        <wp:cNvGraphicFramePr/>
                        <a:graphic xmlns:a="http://schemas.openxmlformats.org/drawingml/2006/main">
                          <a:graphicData uri="http://schemas.openxmlformats.org/drawingml/2006/picture">
                            <pic:pic xmlns:pic="http://schemas.openxmlformats.org/drawingml/2006/picture">
                              <pic:nvPicPr>
                                <pic:cNvPr id="703" name="Line_23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04" name="Line_23_SpCnt_46"/>
                        <wp:cNvGraphicFramePr/>
                        <a:graphic xmlns:a="http://schemas.openxmlformats.org/drawingml/2006/main">
                          <a:graphicData uri="http://schemas.openxmlformats.org/drawingml/2006/picture">
                            <pic:pic xmlns:pic="http://schemas.openxmlformats.org/drawingml/2006/picture">
                              <pic:nvPicPr>
                                <pic:cNvPr id="704" name="Line_23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05" name="Line_23_SpCnt_47"/>
                        <wp:cNvGraphicFramePr/>
                        <a:graphic xmlns:a="http://schemas.openxmlformats.org/drawingml/2006/main">
                          <a:graphicData uri="http://schemas.openxmlformats.org/drawingml/2006/picture">
                            <pic:pic xmlns:pic="http://schemas.openxmlformats.org/drawingml/2006/picture">
                              <pic:nvPicPr>
                                <pic:cNvPr id="705" name="Line_23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20件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法兰\NPS2\CL2500\WN-RTJ\13.0\A105\裸件\ASME B16.5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995"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06" name="AutoShape_4_SpCnt_48"/>
                        <wp:cNvGraphicFramePr/>
                        <a:graphic xmlns:a="http://schemas.openxmlformats.org/drawingml/2006/main">
                          <a:graphicData uri="http://schemas.openxmlformats.org/drawingml/2006/picture">
                            <pic:pic xmlns:pic="http://schemas.openxmlformats.org/drawingml/2006/picture">
                              <pic:nvPicPr>
                                <pic:cNvPr id="706" name="AutoShape_4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07" name="AutoShape_4_SpCnt_49"/>
                        <wp:cNvGraphicFramePr/>
                        <a:graphic xmlns:a="http://schemas.openxmlformats.org/drawingml/2006/main">
                          <a:graphicData uri="http://schemas.openxmlformats.org/drawingml/2006/picture">
                            <pic:pic xmlns:pic="http://schemas.openxmlformats.org/drawingml/2006/picture">
                              <pic:nvPicPr>
                                <pic:cNvPr id="707" name="AutoShape_4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08" name="AutoShape_2_SpCnt_48"/>
                        <wp:cNvGraphicFramePr/>
                        <a:graphic xmlns:a="http://schemas.openxmlformats.org/drawingml/2006/main">
                          <a:graphicData uri="http://schemas.openxmlformats.org/drawingml/2006/picture">
                            <pic:pic xmlns:pic="http://schemas.openxmlformats.org/drawingml/2006/picture">
                              <pic:nvPicPr>
                                <pic:cNvPr id="708" name="AutoShape_2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09" name="AutoShape_1_SpCnt_24"/>
                        <wp:cNvGraphicFramePr/>
                        <a:graphic xmlns:a="http://schemas.openxmlformats.org/drawingml/2006/main">
                          <a:graphicData uri="http://schemas.openxmlformats.org/drawingml/2006/picture">
                            <pic:pic xmlns:pic="http://schemas.openxmlformats.org/drawingml/2006/picture">
                              <pic:nvPicPr>
                                <pic:cNvPr id="709" name="AutoShape_1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0" name="AutoShape_2_SpCnt_49"/>
                        <wp:cNvGraphicFramePr/>
                        <a:graphic xmlns:a="http://schemas.openxmlformats.org/drawingml/2006/main">
                          <a:graphicData uri="http://schemas.openxmlformats.org/drawingml/2006/picture">
                            <pic:pic xmlns:pic="http://schemas.openxmlformats.org/drawingml/2006/picture">
                              <pic:nvPicPr>
                                <pic:cNvPr id="710" name="AutoShape_2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11" name="AutoShape_1_SpCnt_25"/>
                        <wp:cNvGraphicFramePr/>
                        <a:graphic xmlns:a="http://schemas.openxmlformats.org/drawingml/2006/main">
                          <a:graphicData uri="http://schemas.openxmlformats.org/drawingml/2006/picture">
                            <pic:pic xmlns:pic="http://schemas.openxmlformats.org/drawingml/2006/picture">
                              <pic:nvPicPr>
                                <pic:cNvPr id="711" name="AutoShape_1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2" name="AutoShape_4_SpCnt_50"/>
                        <wp:cNvGraphicFramePr/>
                        <a:graphic xmlns:a="http://schemas.openxmlformats.org/drawingml/2006/main">
                          <a:graphicData uri="http://schemas.openxmlformats.org/drawingml/2006/picture">
                            <pic:pic xmlns:pic="http://schemas.openxmlformats.org/drawingml/2006/picture">
                              <pic:nvPicPr>
                                <pic:cNvPr id="712" name="AutoShape_4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3" name="AutoShape_2_SpCnt_50"/>
                        <wp:cNvGraphicFramePr/>
                        <a:graphic xmlns:a="http://schemas.openxmlformats.org/drawingml/2006/main">
                          <a:graphicData uri="http://schemas.openxmlformats.org/drawingml/2006/picture">
                            <pic:pic xmlns:pic="http://schemas.openxmlformats.org/drawingml/2006/picture">
                              <pic:nvPicPr>
                                <pic:cNvPr id="713" name="AutoShape_2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4" name="AutoShape_1_SpCnt_26"/>
                        <wp:cNvGraphicFramePr/>
                        <a:graphic xmlns:a="http://schemas.openxmlformats.org/drawingml/2006/main">
                          <a:graphicData uri="http://schemas.openxmlformats.org/drawingml/2006/picture">
                            <pic:pic xmlns:pic="http://schemas.openxmlformats.org/drawingml/2006/picture">
                              <pic:nvPicPr>
                                <pic:cNvPr id="714" name="AutoShape_1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5" name="AutoShape_2_SpCnt_51"/>
                        <wp:cNvGraphicFramePr/>
                        <a:graphic xmlns:a="http://schemas.openxmlformats.org/drawingml/2006/main">
                          <a:graphicData uri="http://schemas.openxmlformats.org/drawingml/2006/picture">
                            <pic:pic xmlns:pic="http://schemas.openxmlformats.org/drawingml/2006/picture">
                              <pic:nvPicPr>
                                <pic:cNvPr id="715" name="AutoShape_2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6" name="AutoShape_4_SpCnt_51"/>
                        <wp:cNvGraphicFramePr/>
                        <a:graphic xmlns:a="http://schemas.openxmlformats.org/drawingml/2006/main">
                          <a:graphicData uri="http://schemas.openxmlformats.org/drawingml/2006/picture">
                            <pic:pic xmlns:pic="http://schemas.openxmlformats.org/drawingml/2006/picture">
                              <pic:nvPicPr>
                                <pic:cNvPr id="716" name="AutoShape_4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7" name="AutoShape_2_SpCnt_52"/>
                        <wp:cNvGraphicFramePr/>
                        <a:graphic xmlns:a="http://schemas.openxmlformats.org/drawingml/2006/main">
                          <a:graphicData uri="http://schemas.openxmlformats.org/drawingml/2006/picture">
                            <pic:pic xmlns:pic="http://schemas.openxmlformats.org/drawingml/2006/picture">
                              <pic:nvPicPr>
                                <pic:cNvPr id="717" name="AutoShape_2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8" name="AutoShape_3_SpCnt_24"/>
                        <wp:cNvGraphicFramePr/>
                        <a:graphic xmlns:a="http://schemas.openxmlformats.org/drawingml/2006/main">
                          <a:graphicData uri="http://schemas.openxmlformats.org/drawingml/2006/picture">
                            <pic:pic xmlns:pic="http://schemas.openxmlformats.org/drawingml/2006/picture">
                              <pic:nvPicPr>
                                <pic:cNvPr id="718" name="AutoShape_3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19" name="AutoShape_1_SpCnt_27"/>
                        <wp:cNvGraphicFramePr/>
                        <a:graphic xmlns:a="http://schemas.openxmlformats.org/drawingml/2006/main">
                          <a:graphicData uri="http://schemas.openxmlformats.org/drawingml/2006/picture">
                            <pic:pic xmlns:pic="http://schemas.openxmlformats.org/drawingml/2006/picture">
                              <pic:nvPicPr>
                                <pic:cNvPr id="719" name="AutoShape_1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0" name="AutoShape_4_SpCnt_52"/>
                        <wp:cNvGraphicFramePr/>
                        <a:graphic xmlns:a="http://schemas.openxmlformats.org/drawingml/2006/main">
                          <a:graphicData uri="http://schemas.openxmlformats.org/drawingml/2006/picture">
                            <pic:pic xmlns:pic="http://schemas.openxmlformats.org/drawingml/2006/picture">
                              <pic:nvPicPr>
                                <pic:cNvPr id="720" name="AutoShape_4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1" name="AutoShape_3_SpCnt_25"/>
                        <wp:cNvGraphicFramePr/>
                        <a:graphic xmlns:a="http://schemas.openxmlformats.org/drawingml/2006/main">
                          <a:graphicData uri="http://schemas.openxmlformats.org/drawingml/2006/picture">
                            <pic:pic xmlns:pic="http://schemas.openxmlformats.org/drawingml/2006/picture">
                              <pic:nvPicPr>
                                <pic:cNvPr id="721" name="AutoShape_3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2" name="AutoShape_2_SpCnt_53"/>
                        <wp:cNvGraphicFramePr/>
                        <a:graphic xmlns:a="http://schemas.openxmlformats.org/drawingml/2006/main">
                          <a:graphicData uri="http://schemas.openxmlformats.org/drawingml/2006/picture">
                            <pic:pic xmlns:pic="http://schemas.openxmlformats.org/drawingml/2006/picture">
                              <pic:nvPicPr>
                                <pic:cNvPr id="722" name="AutoShape_2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3" name="AutoShape_3_SpCnt_26"/>
                        <wp:cNvGraphicFramePr/>
                        <a:graphic xmlns:a="http://schemas.openxmlformats.org/drawingml/2006/main">
                          <a:graphicData uri="http://schemas.openxmlformats.org/drawingml/2006/picture">
                            <pic:pic xmlns:pic="http://schemas.openxmlformats.org/drawingml/2006/picture">
                              <pic:nvPicPr>
                                <pic:cNvPr id="723" name="AutoShape_3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4" name="AutoShape_2_SpCnt_54"/>
                        <wp:cNvGraphicFramePr/>
                        <a:graphic xmlns:a="http://schemas.openxmlformats.org/drawingml/2006/main">
                          <a:graphicData uri="http://schemas.openxmlformats.org/drawingml/2006/picture">
                            <pic:pic xmlns:pic="http://schemas.openxmlformats.org/drawingml/2006/picture">
                              <pic:nvPicPr>
                                <pic:cNvPr id="724" name="AutoShape_2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5" name="AutoShape_2_SpCnt_55"/>
                        <wp:cNvGraphicFramePr/>
                        <a:graphic xmlns:a="http://schemas.openxmlformats.org/drawingml/2006/main">
                          <a:graphicData uri="http://schemas.openxmlformats.org/drawingml/2006/picture">
                            <pic:pic xmlns:pic="http://schemas.openxmlformats.org/drawingml/2006/picture">
                              <pic:nvPicPr>
                                <pic:cNvPr id="725" name="AutoShape_2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6" name="AutoShape_4_SpCnt_53"/>
                        <wp:cNvGraphicFramePr/>
                        <a:graphic xmlns:a="http://schemas.openxmlformats.org/drawingml/2006/main">
                          <a:graphicData uri="http://schemas.openxmlformats.org/drawingml/2006/picture">
                            <pic:pic xmlns:pic="http://schemas.openxmlformats.org/drawingml/2006/picture">
                              <pic:nvPicPr>
                                <pic:cNvPr id="726" name="AutoShape_4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7" name="AutoShape_4_SpCnt_54"/>
                        <wp:cNvGraphicFramePr/>
                        <a:graphic xmlns:a="http://schemas.openxmlformats.org/drawingml/2006/main">
                          <a:graphicData uri="http://schemas.openxmlformats.org/drawingml/2006/picture">
                            <pic:pic xmlns:pic="http://schemas.openxmlformats.org/drawingml/2006/picture">
                              <pic:nvPicPr>
                                <pic:cNvPr id="727" name="AutoShape_4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28" name="AutoShape_1_SpCnt_28"/>
                        <wp:cNvGraphicFramePr/>
                        <a:graphic xmlns:a="http://schemas.openxmlformats.org/drawingml/2006/main">
                          <a:graphicData uri="http://schemas.openxmlformats.org/drawingml/2006/picture">
                            <pic:pic xmlns:pic="http://schemas.openxmlformats.org/drawingml/2006/picture">
                              <pic:nvPicPr>
                                <pic:cNvPr id="728" name="AutoShape_1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29" name="AutoShape_3_SpCnt_27"/>
                        <wp:cNvGraphicFramePr/>
                        <a:graphic xmlns:a="http://schemas.openxmlformats.org/drawingml/2006/main">
                          <a:graphicData uri="http://schemas.openxmlformats.org/drawingml/2006/picture">
                            <pic:pic xmlns:pic="http://schemas.openxmlformats.org/drawingml/2006/picture">
                              <pic:nvPicPr>
                                <pic:cNvPr id="729" name="AutoShape_3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0" name="AutoShape_2_SpCnt_56"/>
                        <wp:cNvGraphicFramePr/>
                        <a:graphic xmlns:a="http://schemas.openxmlformats.org/drawingml/2006/main">
                          <a:graphicData uri="http://schemas.openxmlformats.org/drawingml/2006/picture">
                            <pic:pic xmlns:pic="http://schemas.openxmlformats.org/drawingml/2006/picture">
                              <pic:nvPicPr>
                                <pic:cNvPr id="730" name="AutoShape_2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31" name="AutoShape_1_SpCnt_29"/>
                        <wp:cNvGraphicFramePr/>
                        <a:graphic xmlns:a="http://schemas.openxmlformats.org/drawingml/2006/main">
                          <a:graphicData uri="http://schemas.openxmlformats.org/drawingml/2006/picture">
                            <pic:pic xmlns:pic="http://schemas.openxmlformats.org/drawingml/2006/picture">
                              <pic:nvPicPr>
                                <pic:cNvPr id="731" name="AutoShape_1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2" name="AutoShape_2_SpCnt_57"/>
                        <wp:cNvGraphicFramePr/>
                        <a:graphic xmlns:a="http://schemas.openxmlformats.org/drawingml/2006/main">
                          <a:graphicData uri="http://schemas.openxmlformats.org/drawingml/2006/picture">
                            <pic:pic xmlns:pic="http://schemas.openxmlformats.org/drawingml/2006/picture">
                              <pic:nvPicPr>
                                <pic:cNvPr id="732" name="AutoShape_2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3" name="AutoShape_2_SpCnt_58"/>
                        <wp:cNvGraphicFramePr/>
                        <a:graphic xmlns:a="http://schemas.openxmlformats.org/drawingml/2006/main">
                          <a:graphicData uri="http://schemas.openxmlformats.org/drawingml/2006/picture">
                            <pic:pic xmlns:pic="http://schemas.openxmlformats.org/drawingml/2006/picture">
                              <pic:nvPicPr>
                                <pic:cNvPr id="733" name="AutoShape_2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4" name="AutoShape_2_SpCnt_59"/>
                        <wp:cNvGraphicFramePr/>
                        <a:graphic xmlns:a="http://schemas.openxmlformats.org/drawingml/2006/main">
                          <a:graphicData uri="http://schemas.openxmlformats.org/drawingml/2006/picture">
                            <pic:pic xmlns:pic="http://schemas.openxmlformats.org/drawingml/2006/picture">
                              <pic:nvPicPr>
                                <pic:cNvPr id="734" name="AutoShape_2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5" name="AutoShape_2_SpCnt_60"/>
                        <wp:cNvGraphicFramePr/>
                        <a:graphic xmlns:a="http://schemas.openxmlformats.org/drawingml/2006/main">
                          <a:graphicData uri="http://schemas.openxmlformats.org/drawingml/2006/picture">
                            <pic:pic xmlns:pic="http://schemas.openxmlformats.org/drawingml/2006/picture">
                              <pic:nvPicPr>
                                <pic:cNvPr id="735" name="AutoShape_2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6" name="AutoShape_4_SpCnt_55"/>
                        <wp:cNvGraphicFramePr/>
                        <a:graphic xmlns:a="http://schemas.openxmlformats.org/drawingml/2006/main">
                          <a:graphicData uri="http://schemas.openxmlformats.org/drawingml/2006/picture">
                            <pic:pic xmlns:pic="http://schemas.openxmlformats.org/drawingml/2006/picture">
                              <pic:nvPicPr>
                                <pic:cNvPr id="736" name="AutoShape_4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7" name="AutoShape_1_SpCnt_30"/>
                        <wp:cNvGraphicFramePr/>
                        <a:graphic xmlns:a="http://schemas.openxmlformats.org/drawingml/2006/main">
                          <a:graphicData uri="http://schemas.openxmlformats.org/drawingml/2006/picture">
                            <pic:pic xmlns:pic="http://schemas.openxmlformats.org/drawingml/2006/picture">
                              <pic:nvPicPr>
                                <pic:cNvPr id="737" name="AutoShape_1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8" name="AutoShape_4_SpCnt_56"/>
                        <wp:cNvGraphicFramePr/>
                        <a:graphic xmlns:a="http://schemas.openxmlformats.org/drawingml/2006/main">
                          <a:graphicData uri="http://schemas.openxmlformats.org/drawingml/2006/picture">
                            <pic:pic xmlns:pic="http://schemas.openxmlformats.org/drawingml/2006/picture">
                              <pic:nvPicPr>
                                <pic:cNvPr id="738" name="AutoShape_4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39" name="AutoShape_3_SpCnt_28"/>
                        <wp:cNvGraphicFramePr/>
                        <a:graphic xmlns:a="http://schemas.openxmlformats.org/drawingml/2006/main">
                          <a:graphicData uri="http://schemas.openxmlformats.org/drawingml/2006/picture">
                            <pic:pic xmlns:pic="http://schemas.openxmlformats.org/drawingml/2006/picture">
                              <pic:nvPicPr>
                                <pic:cNvPr id="739" name="AutoShape_3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0" name="AutoShape_2_SpCnt_61"/>
                        <wp:cNvGraphicFramePr/>
                        <a:graphic xmlns:a="http://schemas.openxmlformats.org/drawingml/2006/main">
                          <a:graphicData uri="http://schemas.openxmlformats.org/drawingml/2006/picture">
                            <pic:pic xmlns:pic="http://schemas.openxmlformats.org/drawingml/2006/picture">
                              <pic:nvPicPr>
                                <pic:cNvPr id="740" name="AutoShape_2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41" name="AutoShape_1_SpCnt_31"/>
                        <wp:cNvGraphicFramePr/>
                        <a:graphic xmlns:a="http://schemas.openxmlformats.org/drawingml/2006/main">
                          <a:graphicData uri="http://schemas.openxmlformats.org/drawingml/2006/picture">
                            <pic:pic xmlns:pic="http://schemas.openxmlformats.org/drawingml/2006/picture">
                              <pic:nvPicPr>
                                <pic:cNvPr id="741" name="AutoShape_1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2" name="AutoShape_4_SpCnt_57"/>
                        <wp:cNvGraphicFramePr/>
                        <a:graphic xmlns:a="http://schemas.openxmlformats.org/drawingml/2006/main">
                          <a:graphicData uri="http://schemas.openxmlformats.org/drawingml/2006/picture">
                            <pic:pic xmlns:pic="http://schemas.openxmlformats.org/drawingml/2006/picture">
                              <pic:nvPicPr>
                                <pic:cNvPr id="742" name="AutoShape_4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43" name="AutoShape_3_SpCnt_29"/>
                        <wp:cNvGraphicFramePr/>
                        <a:graphic xmlns:a="http://schemas.openxmlformats.org/drawingml/2006/main">
                          <a:graphicData uri="http://schemas.openxmlformats.org/drawingml/2006/picture">
                            <pic:pic xmlns:pic="http://schemas.openxmlformats.org/drawingml/2006/picture">
                              <pic:nvPicPr>
                                <pic:cNvPr id="743" name="AutoShape_3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4" name="AutoShape_4_SpCnt_58"/>
                        <wp:cNvGraphicFramePr/>
                        <a:graphic xmlns:a="http://schemas.openxmlformats.org/drawingml/2006/main">
                          <a:graphicData uri="http://schemas.openxmlformats.org/drawingml/2006/picture">
                            <pic:pic xmlns:pic="http://schemas.openxmlformats.org/drawingml/2006/picture">
                              <pic:nvPicPr>
                                <pic:cNvPr id="744" name="AutoShape_4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5" name="AutoShape_4_SpCnt_59"/>
                        <wp:cNvGraphicFramePr/>
                        <a:graphic xmlns:a="http://schemas.openxmlformats.org/drawingml/2006/main">
                          <a:graphicData uri="http://schemas.openxmlformats.org/drawingml/2006/picture">
                            <pic:pic xmlns:pic="http://schemas.openxmlformats.org/drawingml/2006/picture">
                              <pic:nvPicPr>
                                <pic:cNvPr id="745" name="AutoShape_4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46" name="AutoShape_3_SpCnt_30"/>
                        <wp:cNvGraphicFramePr/>
                        <a:graphic xmlns:a="http://schemas.openxmlformats.org/drawingml/2006/main">
                          <a:graphicData uri="http://schemas.openxmlformats.org/drawingml/2006/picture">
                            <pic:pic xmlns:pic="http://schemas.openxmlformats.org/drawingml/2006/picture">
                              <pic:nvPicPr>
                                <pic:cNvPr id="746" name="AutoShape_3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7" name="AutoShape_4_SpCnt_60"/>
                        <wp:cNvGraphicFramePr/>
                        <a:graphic xmlns:a="http://schemas.openxmlformats.org/drawingml/2006/main">
                          <a:graphicData uri="http://schemas.openxmlformats.org/drawingml/2006/picture">
                            <pic:pic xmlns:pic="http://schemas.openxmlformats.org/drawingml/2006/picture">
                              <pic:nvPicPr>
                                <pic:cNvPr id="747" name="AutoShape_4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8" name="AutoShape_2_SpCnt_62"/>
                        <wp:cNvGraphicFramePr/>
                        <a:graphic xmlns:a="http://schemas.openxmlformats.org/drawingml/2006/main">
                          <a:graphicData uri="http://schemas.openxmlformats.org/drawingml/2006/picture">
                            <pic:pic xmlns:pic="http://schemas.openxmlformats.org/drawingml/2006/picture">
                              <pic:nvPicPr>
                                <pic:cNvPr id="748" name="AutoShape_2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49" name="AutoShape_2_SpCnt_63"/>
                        <wp:cNvGraphicFramePr/>
                        <a:graphic xmlns:a="http://schemas.openxmlformats.org/drawingml/2006/main">
                          <a:graphicData uri="http://schemas.openxmlformats.org/drawingml/2006/picture">
                            <pic:pic xmlns:pic="http://schemas.openxmlformats.org/drawingml/2006/picture">
                              <pic:nvPicPr>
                                <pic:cNvPr id="749" name="AutoShape_2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50" name="AutoShape_4_SpCnt_61"/>
                        <wp:cNvGraphicFramePr/>
                        <a:graphic xmlns:a="http://schemas.openxmlformats.org/drawingml/2006/main">
                          <a:graphicData uri="http://schemas.openxmlformats.org/drawingml/2006/picture">
                            <pic:pic xmlns:pic="http://schemas.openxmlformats.org/drawingml/2006/picture">
                              <pic:nvPicPr>
                                <pic:cNvPr id="750" name="AutoShape_4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51" name="AutoShape_4_SpCnt_62"/>
                        <wp:cNvGraphicFramePr/>
                        <a:graphic xmlns:a="http://schemas.openxmlformats.org/drawingml/2006/main">
                          <a:graphicData uri="http://schemas.openxmlformats.org/drawingml/2006/picture">
                            <pic:pic xmlns:pic="http://schemas.openxmlformats.org/drawingml/2006/picture">
                              <pic:nvPicPr>
                                <pic:cNvPr id="751" name="AutoShape_4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52" name="AutoShape_3_SpCnt_31"/>
                        <wp:cNvGraphicFramePr/>
                        <a:graphic xmlns:a="http://schemas.openxmlformats.org/drawingml/2006/main">
                          <a:graphicData uri="http://schemas.openxmlformats.org/drawingml/2006/picture">
                            <pic:pic xmlns:pic="http://schemas.openxmlformats.org/drawingml/2006/picture">
                              <pic:nvPicPr>
                                <pic:cNvPr id="752" name="AutoShape_3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53" name="AutoShape_4_SpCnt_63"/>
                        <wp:cNvGraphicFramePr/>
                        <a:graphic xmlns:a="http://schemas.openxmlformats.org/drawingml/2006/main">
                          <a:graphicData uri="http://schemas.openxmlformats.org/drawingml/2006/picture">
                            <pic:pic xmlns:pic="http://schemas.openxmlformats.org/drawingml/2006/picture">
                              <pic:nvPicPr>
                                <pic:cNvPr id="753" name="AutoShape_4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54" name="Line_23_SpCnt_48"/>
                        <wp:cNvGraphicFramePr/>
                        <a:graphic xmlns:a="http://schemas.openxmlformats.org/drawingml/2006/main">
                          <a:graphicData uri="http://schemas.openxmlformats.org/drawingml/2006/picture">
                            <pic:pic xmlns:pic="http://schemas.openxmlformats.org/drawingml/2006/picture">
                              <pic:nvPicPr>
                                <pic:cNvPr id="754" name="Line_23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55" name="Line_23_SpCnt_49"/>
                        <wp:cNvGraphicFramePr/>
                        <a:graphic xmlns:a="http://schemas.openxmlformats.org/drawingml/2006/main">
                          <a:graphicData uri="http://schemas.openxmlformats.org/drawingml/2006/picture">
                            <pic:pic xmlns:pic="http://schemas.openxmlformats.org/drawingml/2006/picture">
                              <pic:nvPicPr>
                                <pic:cNvPr id="755" name="Line_23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56" name="Line_23_SpCnt_50"/>
                        <wp:cNvGraphicFramePr/>
                        <a:graphic xmlns:a="http://schemas.openxmlformats.org/drawingml/2006/main">
                          <a:graphicData uri="http://schemas.openxmlformats.org/drawingml/2006/picture">
                            <pic:pic xmlns:pic="http://schemas.openxmlformats.org/drawingml/2006/picture">
                              <pic:nvPicPr>
                                <pic:cNvPr id="756" name="Line_23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57" name="Line_23_SpCnt_51"/>
                        <wp:cNvGraphicFramePr/>
                        <a:graphic xmlns:a="http://schemas.openxmlformats.org/drawingml/2006/main">
                          <a:graphicData uri="http://schemas.openxmlformats.org/drawingml/2006/picture">
                            <pic:pic xmlns:pic="http://schemas.openxmlformats.org/drawingml/2006/picture">
                              <pic:nvPicPr>
                                <pic:cNvPr id="757" name="Line_23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58" name="Line_23_SpCnt_52"/>
                        <wp:cNvGraphicFramePr/>
                        <a:graphic xmlns:a="http://schemas.openxmlformats.org/drawingml/2006/main">
                          <a:graphicData uri="http://schemas.openxmlformats.org/drawingml/2006/picture">
                            <pic:pic xmlns:pic="http://schemas.openxmlformats.org/drawingml/2006/picture">
                              <pic:nvPicPr>
                                <pic:cNvPr id="758" name="Line_23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59" name="Line_23_SpCnt_53"/>
                        <wp:cNvGraphicFramePr/>
                        <a:graphic xmlns:a="http://schemas.openxmlformats.org/drawingml/2006/main">
                          <a:graphicData uri="http://schemas.openxmlformats.org/drawingml/2006/picture">
                            <pic:pic xmlns:pic="http://schemas.openxmlformats.org/drawingml/2006/picture">
                              <pic:nvPicPr>
                                <pic:cNvPr id="759" name="Line_23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0" name="Line_23_SpCnt_54"/>
                        <wp:cNvGraphicFramePr/>
                        <a:graphic xmlns:a="http://schemas.openxmlformats.org/drawingml/2006/main">
                          <a:graphicData uri="http://schemas.openxmlformats.org/drawingml/2006/picture">
                            <pic:pic xmlns:pic="http://schemas.openxmlformats.org/drawingml/2006/picture">
                              <pic:nvPicPr>
                                <pic:cNvPr id="760" name="Line_23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1" name="Line_23_SpCnt_55"/>
                        <wp:cNvGraphicFramePr/>
                        <a:graphic xmlns:a="http://schemas.openxmlformats.org/drawingml/2006/main">
                          <a:graphicData uri="http://schemas.openxmlformats.org/drawingml/2006/picture">
                            <pic:pic xmlns:pic="http://schemas.openxmlformats.org/drawingml/2006/picture">
                              <pic:nvPicPr>
                                <pic:cNvPr id="761" name="Line_23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62" name="Line_23_SpCnt_56"/>
                        <wp:cNvGraphicFramePr/>
                        <a:graphic xmlns:a="http://schemas.openxmlformats.org/drawingml/2006/main">
                          <a:graphicData uri="http://schemas.openxmlformats.org/drawingml/2006/picture">
                            <pic:pic xmlns:pic="http://schemas.openxmlformats.org/drawingml/2006/picture">
                              <pic:nvPicPr>
                                <pic:cNvPr id="762" name="Line_23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763" name="Line_23_SpCnt_57"/>
                        <wp:cNvGraphicFramePr/>
                        <a:graphic xmlns:a="http://schemas.openxmlformats.org/drawingml/2006/main">
                          <a:graphicData uri="http://schemas.openxmlformats.org/drawingml/2006/picture">
                            <pic:pic xmlns:pic="http://schemas.openxmlformats.org/drawingml/2006/picture">
                              <pic:nvPicPr>
                                <pic:cNvPr id="763" name="Line_23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4" name="Line_23_SpCnt_58"/>
                        <wp:cNvGraphicFramePr/>
                        <a:graphic xmlns:a="http://schemas.openxmlformats.org/drawingml/2006/main">
                          <a:graphicData uri="http://schemas.openxmlformats.org/drawingml/2006/picture">
                            <pic:pic xmlns:pic="http://schemas.openxmlformats.org/drawingml/2006/picture">
                              <pic:nvPicPr>
                                <pic:cNvPr id="764" name="Line_23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5" name="Line_23_SpCnt_59"/>
                        <wp:cNvGraphicFramePr/>
                        <a:graphic xmlns:a="http://schemas.openxmlformats.org/drawingml/2006/main">
                          <a:graphicData uri="http://schemas.openxmlformats.org/drawingml/2006/picture">
                            <pic:pic xmlns:pic="http://schemas.openxmlformats.org/drawingml/2006/picture">
                              <pic:nvPicPr>
                                <pic:cNvPr id="765" name="Line_23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6" name="Line_23_SpCnt_60"/>
                        <wp:cNvGraphicFramePr/>
                        <a:graphic xmlns:a="http://schemas.openxmlformats.org/drawingml/2006/main">
                          <a:graphicData uri="http://schemas.openxmlformats.org/drawingml/2006/picture">
                            <pic:pic xmlns:pic="http://schemas.openxmlformats.org/drawingml/2006/picture">
                              <pic:nvPicPr>
                                <pic:cNvPr id="766" name="Line_23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7" name="Line_23_SpCnt_61"/>
                        <wp:cNvGraphicFramePr/>
                        <a:graphic xmlns:a="http://schemas.openxmlformats.org/drawingml/2006/main">
                          <a:graphicData uri="http://schemas.openxmlformats.org/drawingml/2006/picture">
                            <pic:pic xmlns:pic="http://schemas.openxmlformats.org/drawingml/2006/picture">
                              <pic:nvPicPr>
                                <pic:cNvPr id="767" name="Line_23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8" name="Line_23_SpCnt_62"/>
                        <wp:cNvGraphicFramePr/>
                        <a:graphic xmlns:a="http://schemas.openxmlformats.org/drawingml/2006/main">
                          <a:graphicData uri="http://schemas.openxmlformats.org/drawingml/2006/picture">
                            <pic:pic xmlns:pic="http://schemas.openxmlformats.org/drawingml/2006/picture">
                              <pic:nvPicPr>
                                <pic:cNvPr id="768" name="Line_23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769" name="Line_23_SpCnt_63"/>
                        <wp:cNvGraphicFramePr/>
                        <a:graphic xmlns:a="http://schemas.openxmlformats.org/drawingml/2006/main">
                          <a:graphicData uri="http://schemas.openxmlformats.org/drawingml/2006/picture">
                            <pic:pic xmlns:pic="http://schemas.openxmlformats.org/drawingml/2006/picture">
                              <pic:nvPicPr>
                                <pic:cNvPr id="769" name="Line_23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30件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法兰\NPS3\CL900\WN-RTJ\XXS\A105\裸件\ASME B16.5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213"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42件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法兰\NPS3\CL1500\WN-RTJ\XXS\A105\裸件(清洗)\ASME B16.5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951"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29件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法兰\NS2 1/16\5000psi\WN-RTJ\XXS\A105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146"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23</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法兰\NS3 1/8\5000psi\WN-RTJ\18.0\A105\喷砂</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1006"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法兰\NS3 1/8\5000psi\WN-RTJ\XXS\A105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bl>
          <w:p>
            <w:pPr>
              <w:pStyle w:val="9"/>
              <w:keepNext w:val="0"/>
              <w:keepLines w:val="0"/>
              <w:pageBreakBefore w:val="0"/>
              <w:kinsoku/>
              <w:wordWrap/>
              <w:overflowPunct/>
              <w:topLinePunct w:val="0"/>
              <w:bidi w:val="0"/>
              <w:snapToGrid w:val="0"/>
              <w:spacing w:line="360" w:lineRule="auto"/>
              <w:ind w:left="0" w:leftChars="0" w:right="122" w:firstLine="0" w:firstLineChars="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部分引用《管配件（普通碳钢、不锈钢和双相不锈钢）》CGBZ037-ZB-2023中部分5技术要求：</w:t>
            </w:r>
          </w:p>
          <w:p>
            <w:pPr>
              <w:pStyle w:val="9"/>
              <w:keepNext w:val="0"/>
              <w:keepLines w:val="0"/>
              <w:pageBreakBefore w:val="0"/>
              <w:kinsoku/>
              <w:wordWrap/>
              <w:overflowPunct/>
              <w:topLinePunct w:val="0"/>
              <w:bidi w:val="0"/>
              <w:snapToGrid w:val="0"/>
              <w:spacing w:line="360" w:lineRule="auto"/>
              <w:ind w:left="0" w:leftChars="0" w:right="122" w:firstLine="0" w:firstLineChars="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(1)、物理、化学性能指标如密度、硬度、屈服强度等，碳钢管配件须满足ASME A105/A234 WPB标准要求，普通不锈钢管配件须满足ASME A182/A403 F316L标准要求。</w:t>
            </w:r>
          </w:p>
          <w:p>
            <w:pPr>
              <w:pStyle w:val="9"/>
              <w:keepNext w:val="0"/>
              <w:keepLines w:val="0"/>
              <w:pageBreakBefore w:val="0"/>
              <w:kinsoku/>
              <w:wordWrap/>
              <w:overflowPunct/>
              <w:topLinePunct w:val="0"/>
              <w:bidi w:val="0"/>
              <w:snapToGrid w:val="0"/>
              <w:spacing w:line="360" w:lineRule="auto"/>
              <w:ind w:left="0" w:leftChars="0" w:right="122" w:firstLine="0" w:firstLineChars="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(2)、规格壁厚、尺寸、外形、重量、允许偏差，对焊类管配件须满足ASME B16.9和ASME B16.25标准要求。支管台管配件须满足MSS-SP-97标准要求。 </w:t>
            </w:r>
          </w:p>
          <w:p>
            <w:pPr>
              <w:pStyle w:val="9"/>
              <w:keepNext w:val="0"/>
              <w:keepLines w:val="0"/>
              <w:pageBreakBefore w:val="0"/>
              <w:kinsoku/>
              <w:wordWrap/>
              <w:overflowPunct/>
              <w:topLinePunct w:val="0"/>
              <w:bidi w:val="0"/>
              <w:snapToGrid w:val="0"/>
              <w:spacing w:line="360" w:lineRule="auto"/>
              <w:ind w:left="0" w:leftChars="0" w:right="122" w:firstLine="0" w:firstLineChars="0"/>
              <w:jc w:val="left"/>
              <w:textAlignment w:val="auto"/>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(3)、所有管件要有良好的可焊性，焊接端面应满足正偏差5%。所有的材料应是新材（标识齐全），即非剩余的未用过的材料，且应去掉脏物，沙子及铁锈。</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top w:val="single" w:color="auto" w:sz="4" w:space="0"/>
              <w:left w:val="single" w:color="auto" w:sz="4" w:space="0"/>
              <w:bottom w:val="single" w:color="auto" w:sz="4" w:space="0"/>
              <w:right w:val="single" w:color="auto" w:sz="4" w:space="0"/>
            </w:tcBorders>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auto"/>
                <w:kern w:val="0"/>
                <w:sz w:val="21"/>
                <w:szCs w:val="21"/>
                <w:highlight w:val="none"/>
                <w:lang w:val="en-US" w:eastAsia="zh-CN" w:bidi="ar-SA"/>
              </w:rPr>
              <w:t>交货期/服务期</w:t>
            </w:r>
          </w:p>
        </w:tc>
        <w:tc>
          <w:tcPr>
            <w:tcW w:w="3312" w:type="pct"/>
            <w:tcBorders>
              <w:top w:val="single" w:color="000000" w:sz="4" w:space="0"/>
              <w:left w:val="single" w:color="auto" w:sz="4" w:space="0"/>
              <w:bottom w:val="single" w:color="000000" w:sz="4" w:space="0"/>
              <w:right w:val="single" w:color="000000" w:sz="4" w:space="0"/>
            </w:tcBorders>
            <w:vAlign w:val="center"/>
          </w:tcPr>
          <w:p>
            <w:pPr>
              <w:widowControl/>
              <w:jc w:val="both"/>
              <w:textAlignment w:val="center"/>
              <w:rPr>
                <w:rFonts w:hint="default"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交货期：合同签订起30天内</w:t>
            </w:r>
            <w:r>
              <w:rPr>
                <w:rFonts w:hint="eastAsia" w:ascii="仿宋" w:hAnsi="仿宋" w:eastAsia="仿宋" w:cs="仿宋"/>
                <w:lang w:val="en-US" w:eastAsia="zh-CN"/>
              </w:rPr>
              <w:t>供货</w:t>
            </w:r>
            <w:r>
              <w:rPr>
                <w:rFonts w:hint="eastAsia" w:ascii="仿宋" w:hAnsi="仿宋" w:eastAsia="仿宋" w:cs="仿宋"/>
                <w:bCs/>
                <w:color w:val="auto"/>
                <w:kern w:val="0"/>
                <w:sz w:val="21"/>
                <w:szCs w:val="21"/>
                <w:highlight w:val="none"/>
                <w:lang w:val="en-US" w:eastAsia="zh-CN" w:bidi="ar-SA"/>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top w:val="single" w:color="auto" w:sz="4" w:space="0"/>
              <w:left w:val="single" w:color="auto" w:sz="4" w:space="0"/>
              <w:bottom w:val="single" w:color="auto" w:sz="4" w:space="0"/>
              <w:right w:val="single" w:color="auto" w:sz="4" w:space="0"/>
            </w:tcBorders>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067"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技术调试人员</w:t>
            </w:r>
          </w:p>
        </w:tc>
        <w:tc>
          <w:tcPr>
            <w:tcW w:w="3312" w:type="pct"/>
            <w:tcBorders>
              <w:top w:val="single" w:color="000000" w:sz="4" w:space="0"/>
              <w:left w:val="single" w:color="auto" w:sz="4" w:space="0"/>
              <w:bottom w:val="single" w:color="000000" w:sz="4" w:space="0"/>
              <w:right w:val="single" w:color="000000" w:sz="4" w:space="0"/>
            </w:tcBorders>
            <w:vAlign w:val="center"/>
          </w:tcPr>
          <w:p>
            <w:pPr>
              <w:jc w:val="both"/>
              <w:rPr>
                <w:rFonts w:hint="default" w:ascii="仿宋" w:hAnsi="仿宋" w:eastAsia="仿宋" w:cs="仿宋"/>
                <w:bCs/>
                <w:color w:val="auto"/>
                <w:kern w:val="0"/>
                <w:szCs w:val="21"/>
                <w:highlight w:val="none"/>
                <w:lang w:val="en-US"/>
              </w:rPr>
            </w:pPr>
            <w:r>
              <w:rPr>
                <w:rFonts w:hint="eastAsia" w:ascii="仿宋" w:hAnsi="仿宋" w:eastAsia="仿宋" w:cs="仿宋"/>
                <w:bCs/>
                <w:color w:val="auto"/>
                <w:kern w:val="0"/>
                <w:sz w:val="21"/>
                <w:szCs w:val="21"/>
                <w:highlight w:val="none"/>
                <w:lang w:val="en-US" w:eastAsia="zh-CN" w:bidi="ar-SA"/>
              </w:rPr>
              <w:t>无具体要求。</w:t>
            </w:r>
          </w:p>
        </w:tc>
      </w:tr>
      <w:tr>
        <w:tblPrEx>
          <w:tblCellMar>
            <w:top w:w="0" w:type="dxa"/>
            <w:left w:w="0" w:type="dxa"/>
            <w:bottom w:w="0" w:type="dxa"/>
            <w:right w:w="0" w:type="dxa"/>
          </w:tblCellMar>
        </w:tblPrEx>
        <w:trPr>
          <w:trHeight w:val="452" w:hRule="atLeast"/>
          <w:jc w:val="center"/>
        </w:trPr>
        <w:tc>
          <w:tcPr>
            <w:tcW w:w="32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top w:val="single" w:color="auto" w:sz="4" w:space="0"/>
              <w:left w:val="single" w:color="auto" w:sz="4" w:space="0"/>
              <w:bottom w:val="single" w:color="auto" w:sz="4" w:space="0"/>
              <w:right w:val="single" w:color="auto" w:sz="4" w:space="0"/>
            </w:tcBorders>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06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kern w:val="0"/>
                <w:sz w:val="21"/>
                <w:szCs w:val="21"/>
                <w:highlight w:val="none"/>
                <w:lang w:val="en-US" w:eastAsia="zh-CN" w:bidi="ar-SA"/>
              </w:rPr>
            </w:pPr>
            <w:r>
              <w:rPr>
                <w:rFonts w:hint="eastAsia" w:ascii="仿宋" w:hAnsi="仿宋" w:eastAsia="仿宋" w:cs="仿宋"/>
                <w:bCs/>
                <w:color w:val="auto"/>
                <w:kern w:val="0"/>
                <w:sz w:val="21"/>
                <w:szCs w:val="21"/>
                <w:highlight w:val="none"/>
                <w:lang w:val="en-US" w:eastAsia="zh-CN" w:bidi="ar-SA"/>
              </w:rPr>
              <w:t>质保期</w:t>
            </w:r>
          </w:p>
        </w:tc>
        <w:tc>
          <w:tcPr>
            <w:tcW w:w="3312" w:type="pct"/>
            <w:tcBorders>
              <w:top w:val="single" w:color="000000" w:sz="4" w:space="0"/>
              <w:left w:val="single" w:color="auto" w:sz="4" w:space="0"/>
              <w:bottom w:val="single" w:color="000000" w:sz="4" w:space="0"/>
              <w:right w:val="single" w:color="000000" w:sz="4" w:space="0"/>
            </w:tcBorders>
            <w:vAlign w:val="center"/>
          </w:tcPr>
          <w:p>
            <w:pPr>
              <w:jc w:val="left"/>
              <w:rPr>
                <w:rFonts w:hint="default" w:ascii="仿宋" w:hAnsi="仿宋" w:eastAsia="仿宋" w:cs="仿宋"/>
                <w:bCs/>
                <w:color w:val="auto"/>
                <w:kern w:val="0"/>
                <w:sz w:val="21"/>
                <w:szCs w:val="21"/>
                <w:highlight w:val="none"/>
                <w:lang w:val="en-US" w:eastAsia="zh-CN" w:bidi="ar-SA"/>
              </w:rPr>
            </w:pPr>
            <w:r>
              <w:rPr>
                <w:rFonts w:hint="eastAsia" w:ascii="仿宋" w:hAnsi="仿宋" w:eastAsia="仿宋" w:cs="仿宋"/>
                <w:bCs/>
                <w:color w:val="FF0000"/>
                <w:kern w:val="0"/>
                <w:sz w:val="21"/>
                <w:szCs w:val="21"/>
                <w:highlight w:val="none"/>
                <w:lang w:val="en-US" w:eastAsia="zh-CN" w:bidi="ar-SA"/>
              </w:rPr>
              <w:t>货物验收合格之日起12个月。</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91" w:type="pct"/>
            <w:vMerge w:val="continue"/>
            <w:tcBorders>
              <w:top w:val="single" w:color="auto" w:sz="4" w:space="0"/>
              <w:left w:val="single" w:color="auto" w:sz="4" w:space="0"/>
              <w:bottom w:val="single" w:color="auto" w:sz="4" w:space="0"/>
              <w:right w:val="single" w:color="auto" w:sz="4" w:space="0"/>
            </w:tcBorders>
            <w:vAlign w:val="center"/>
          </w:tcPr>
          <w:p>
            <w:pPr>
              <w:pStyle w:val="23"/>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067"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312" w:type="pct"/>
            <w:tcBorders>
              <w:top w:val="single" w:color="000000" w:sz="4" w:space="0"/>
              <w:left w:val="single" w:color="auto" w:sz="4" w:space="0"/>
              <w:bottom w:val="single" w:color="000000" w:sz="4" w:space="0"/>
              <w:right w:val="single" w:color="000000" w:sz="4" w:space="0"/>
            </w:tcBorders>
            <w:vAlign w:val="center"/>
          </w:tcPr>
          <w:p>
            <w:pPr>
              <w:pStyle w:val="23"/>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1、一般技术指标偏离超过2项，则评议不合格。</w:t>
            </w:r>
          </w:p>
          <w:p>
            <w:pPr>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 ”号的条款为关键条款，对这些关键条款的任何偏离将导致应答文件被拒绝。</w:t>
            </w:r>
          </w:p>
          <w:p>
            <w:pPr>
              <w:pStyle w:val="5"/>
              <w:ind w:left="0" w:leftChars="0" w:firstLine="0" w:firstLineChars="0"/>
              <w:rPr>
                <w:rFonts w:hint="default"/>
                <w:highlight w:val="none"/>
                <w:lang w:val="en-US"/>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3.技术偏离表，不提供视为无偏离。</w:t>
            </w:r>
          </w:p>
        </w:tc>
      </w:tr>
      <w:tr>
        <w:tblPrEx>
          <w:tblCellMar>
            <w:top w:w="0" w:type="dxa"/>
            <w:left w:w="0" w:type="dxa"/>
            <w:bottom w:w="0" w:type="dxa"/>
            <w:right w:w="0" w:type="dxa"/>
          </w:tblCellMar>
        </w:tblPrEx>
        <w:trPr>
          <w:trHeight w:val="576" w:hRule="atLeast"/>
          <w:jc w:val="center"/>
        </w:trPr>
        <w:tc>
          <w:tcPr>
            <w:tcW w:w="328" w:type="pct"/>
            <w:tcBorders>
              <w:top w:val="single" w:color="auto" w:sz="4" w:space="0"/>
              <w:left w:val="single" w:color="auto" w:sz="4" w:space="0"/>
              <w:bottom w:val="single" w:color="auto" w:sz="4" w:space="0"/>
              <w:right w:val="single" w:color="auto" w:sz="4" w:space="0"/>
            </w:tcBorders>
            <w:vAlign w:val="center"/>
          </w:tcPr>
          <w:p>
            <w:pPr>
              <w:pStyle w:val="23"/>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291" w:type="pct"/>
            <w:tcBorders>
              <w:top w:val="single" w:color="auto" w:sz="4" w:space="0"/>
              <w:left w:val="single" w:color="auto" w:sz="4" w:space="0"/>
              <w:bottom w:val="single" w:color="auto" w:sz="4" w:space="0"/>
              <w:right w:val="single" w:color="auto" w:sz="4" w:space="0"/>
            </w:tcBorders>
            <w:vAlign w:val="center"/>
          </w:tcPr>
          <w:p>
            <w:pPr>
              <w:pStyle w:val="23"/>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23"/>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23"/>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23"/>
              <w:spacing w:line="300" w:lineRule="exact"/>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1067"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auto"/>
                <w:kern w:val="0"/>
                <w:sz w:val="21"/>
                <w:szCs w:val="21"/>
                <w:highlight w:val="none"/>
                <w:lang w:val="en-US" w:eastAsia="zh-CN"/>
              </w:rPr>
              <w:t>价格评议（结合2.0）</w:t>
            </w:r>
          </w:p>
        </w:tc>
        <w:tc>
          <w:tcPr>
            <w:tcW w:w="3312" w:type="pct"/>
            <w:tcBorders>
              <w:top w:val="single" w:color="000000" w:sz="4" w:space="0"/>
              <w:left w:val="single" w:color="auto" w:sz="4" w:space="0"/>
              <w:bottom w:val="single" w:color="000000" w:sz="4" w:space="0"/>
              <w:right w:val="single" w:color="000000" w:sz="4" w:space="0"/>
            </w:tcBorders>
            <w:vAlign w:val="center"/>
          </w:tcPr>
          <w:p>
            <w:pPr>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（1）系统中报价与系统中挂接</w:t>
            </w:r>
            <w:r>
              <w:rPr>
                <w:rFonts w:hint="eastAsia" w:ascii="仿宋" w:hAnsi="仿宋" w:eastAsia="仿宋" w:cs="仿宋"/>
                <w:b/>
                <w:bCs/>
                <w:color w:val="auto"/>
                <w:kern w:val="2"/>
                <w:sz w:val="21"/>
                <w:szCs w:val="21"/>
                <w:highlight w:val="none"/>
                <w:lang w:val="en-US" w:eastAsia="zh-CN" w:bidi="ar"/>
              </w:rPr>
              <w:t>价格明细文件</w:t>
            </w:r>
            <w:r>
              <w:rPr>
                <w:rFonts w:hint="eastAsia" w:ascii="仿宋" w:hAnsi="仿宋" w:eastAsia="仿宋" w:cs="仿宋"/>
                <w:color w:val="auto"/>
                <w:kern w:val="2"/>
                <w:sz w:val="21"/>
                <w:szCs w:val="21"/>
                <w:highlight w:val="none"/>
                <w:lang w:val="en-US" w:eastAsia="zh-CN" w:bidi="ar"/>
              </w:rPr>
              <w:t>应保持一致；当系统报价与挂接价格明细文件不一致的，以“系统中挂接的价格明细文件”为准，如该文件出现计算错误，按如下算术修正方式修正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同时出现两种以上不一致的，按照前款规定的顺序修正，即按照上述1）至3）项的顺序，逐项进行修正。询价评审小组应请应答人澄清确认修正后的报价,应答人不确认、否认或不回复的,其报价文件无效。</w:t>
            </w:r>
          </w:p>
          <w:p>
            <w:pPr>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报价中存在缺漏项的，则视为缺漏项价格已包含在其投标报价之中，并要求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询价评审小组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ind w:left="0" w:leftChars="0"/>
              <w:jc w:val="both"/>
              <w:rPr>
                <w:rFonts w:hint="eastAsia" w:ascii="仿宋" w:hAnsi="仿宋" w:eastAsia="仿宋" w:cs="仿宋"/>
                <w:bCs/>
                <w:color w:val="auto"/>
                <w:kern w:val="0"/>
                <w:sz w:val="21"/>
                <w:szCs w:val="21"/>
                <w:highlight w:val="none"/>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r>
        <w:tblPrEx>
          <w:tblCellMar>
            <w:top w:w="0" w:type="dxa"/>
            <w:left w:w="0" w:type="dxa"/>
            <w:bottom w:w="0" w:type="dxa"/>
            <w:right w:w="0" w:type="dxa"/>
          </w:tblCellMar>
        </w:tblPrEx>
        <w:trPr>
          <w:trHeight w:val="531" w:hRule="atLeast"/>
          <w:jc w:val="center"/>
        </w:trPr>
        <w:tc>
          <w:tcPr>
            <w:tcW w:w="328"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4</w:t>
            </w:r>
          </w:p>
        </w:tc>
        <w:tc>
          <w:tcPr>
            <w:tcW w:w="1359" w:type="pct"/>
            <w:gridSpan w:val="2"/>
            <w:tcBorders>
              <w:top w:val="single" w:color="auto" w:sz="4" w:space="0"/>
              <w:left w:val="single" w:color="auto" w:sz="4" w:space="0"/>
              <w:bottom w:val="single" w:color="auto" w:sz="4" w:space="0"/>
              <w:right w:val="single" w:color="000000" w:sz="4" w:space="0"/>
            </w:tcBorders>
            <w:vAlign w:val="center"/>
          </w:tcPr>
          <w:p>
            <w:pPr>
              <w:pStyle w:val="23"/>
              <w:numPr>
                <w:ilvl w:val="-1"/>
                <w:numId w:val="0"/>
              </w:numPr>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14:textFill>
                  <w14:solidFill>
                    <w14:schemeClr w14:val="tx1"/>
                  </w14:solidFill>
                </w14:textFill>
              </w:rPr>
              <w:t>其他补充要求</w:t>
            </w:r>
          </w:p>
        </w:tc>
        <w:tc>
          <w:tcPr>
            <w:tcW w:w="3312" w:type="pct"/>
            <w:tcBorders>
              <w:top w:val="single" w:color="000000" w:sz="4" w:space="0"/>
              <w:left w:val="nil"/>
              <w:bottom w:val="single" w:color="000000" w:sz="4" w:space="0"/>
              <w:right w:val="single" w:color="000000" w:sz="4" w:space="0"/>
            </w:tcBorders>
            <w:vAlign w:val="center"/>
          </w:tcPr>
          <w:p>
            <w:pPr>
              <w:pStyle w:val="9"/>
              <w:ind w:left="0" w:leftChars="0" w:firstLine="0" w:firstLineChars="0"/>
              <w:rPr>
                <w:rFonts w:hint="default"/>
                <w:lang w:val="en-US" w:eastAsia="zh-CN"/>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1、本次采购不指定品牌及型号，内容如涉及仅为质量参考。</w:t>
            </w:r>
          </w:p>
        </w:tc>
      </w:tr>
    </w:tbl>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eastAsia="宋体" w:cs="宋体"/>
          <w:b w:val="0"/>
          <w:bCs/>
          <w:color w:val="auto"/>
          <w:kern w:val="0"/>
          <w:sz w:val="22"/>
          <w:szCs w:val="22"/>
          <w:lang w:val="en-US" w:eastAsia="zh-CN" w:bidi="ar-SA"/>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spacing w:before="2" w:line="100" w:lineRule="exact"/>
        <w:rPr>
          <w:rFonts w:hint="eastAsia" w:ascii="宋体" w:hAnsi="宋体" w:eastAsia="宋体" w:cs="宋体"/>
          <w:sz w:val="21"/>
          <w:szCs w:val="21"/>
          <w:lang w:eastAsia="zh-CN"/>
        </w:rPr>
      </w:pPr>
    </w:p>
    <w:p>
      <w:pPr>
        <w:pStyle w:val="25"/>
        <w:numPr>
          <w:ilvl w:val="0"/>
          <w:numId w:val="3"/>
        </w:numPr>
        <w:spacing w:before="120" w:after="120"/>
        <w:outlineLvl w:val="0"/>
        <w:rPr>
          <w:rFonts w:hint="eastAsia" w:ascii="宋体" w:hAnsi="宋体" w:eastAsia="宋体" w:cs="宋体"/>
          <w:b w:val="0"/>
          <w:bCs/>
          <w:color w:val="auto"/>
          <w:sz w:val="21"/>
          <w:szCs w:val="21"/>
          <w:lang w:val="en-US" w:eastAsia="zh-CN"/>
        </w:rPr>
      </w:pPr>
      <w:bookmarkStart w:id="0" w:name="OLE_LINK3"/>
      <w:r>
        <w:rPr>
          <w:rFonts w:hint="eastAsia" w:hAnsi="宋体" w:cs="宋体"/>
          <w:b w:val="0"/>
          <w:bCs/>
          <w:color w:val="auto"/>
          <w:sz w:val="21"/>
          <w:szCs w:val="21"/>
          <w:lang w:val="en-US" w:eastAsia="zh-CN"/>
        </w:rPr>
        <w:t>采购</w:t>
      </w:r>
      <w:r>
        <w:rPr>
          <w:rFonts w:hint="eastAsia" w:ascii="宋体" w:hAnsi="宋体" w:eastAsia="宋体" w:cs="宋体"/>
          <w:b w:val="0"/>
          <w:bCs/>
          <w:color w:val="auto"/>
          <w:sz w:val="21"/>
          <w:szCs w:val="21"/>
          <w:lang w:val="en-US" w:eastAsia="zh-CN"/>
        </w:rPr>
        <w:t>需求概况</w:t>
      </w:r>
    </w:p>
    <w:p>
      <w:pPr>
        <w:pStyle w:val="9"/>
        <w:keepNext w:val="0"/>
        <w:keepLines w:val="0"/>
        <w:pageBreakBefore w:val="0"/>
        <w:kinsoku/>
        <w:wordWrap/>
        <w:overflowPunct/>
        <w:topLinePunct w:val="0"/>
        <w:bidi w:val="0"/>
        <w:snapToGrid w:val="0"/>
        <w:spacing w:line="360" w:lineRule="auto"/>
        <w:ind w:left="0" w:leftChars="0" w:right="122" w:firstLine="0" w:firstLineChars="0"/>
        <w:textAlignment w:val="auto"/>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1、装备公司法兰等24项采购项目。</w:t>
      </w:r>
    </w:p>
    <w:p>
      <w:pPr>
        <w:spacing w:before="2" w:line="100" w:lineRule="exact"/>
        <w:jc w:val="left"/>
        <w:rPr>
          <w:rFonts w:hint="eastAsia" w:ascii="宋体" w:hAnsi="宋体" w:eastAsia="宋体" w:cs="宋体"/>
          <w:b w:val="0"/>
          <w:bCs/>
          <w:i w:val="0"/>
          <w:iCs w:val="0"/>
          <w:color w:val="auto"/>
          <w:sz w:val="21"/>
          <w:szCs w:val="21"/>
          <w:lang w:eastAsia="zh-CN"/>
        </w:rPr>
      </w:pPr>
    </w:p>
    <w:p>
      <w:pPr>
        <w:pStyle w:val="25"/>
        <w:numPr>
          <w:ilvl w:val="0"/>
          <w:numId w:val="0"/>
        </w:numPr>
        <w:tabs>
          <w:tab w:val="left" w:pos="0"/>
        </w:tabs>
        <w:spacing w:before="120" w:after="120"/>
        <w:ind w:leftChars="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二</w:t>
      </w:r>
      <w:r>
        <w:rPr>
          <w:rFonts w:hint="eastAsia" w:ascii="宋体" w:hAnsi="宋体" w:eastAsia="宋体" w:cs="宋体"/>
          <w:b w:val="0"/>
          <w:bCs/>
          <w:i w:val="0"/>
          <w:iCs w:val="0"/>
          <w:color w:val="auto"/>
          <w:sz w:val="21"/>
          <w:szCs w:val="21"/>
          <w:lang w:eastAsia="zh-CN"/>
        </w:rPr>
        <w:t>、</w:t>
      </w:r>
      <w:r>
        <w:rPr>
          <w:rFonts w:hint="eastAsia" w:ascii="宋体" w:hAnsi="宋体" w:eastAsia="宋体" w:cs="宋体"/>
          <w:b w:val="0"/>
          <w:bCs/>
          <w:i w:val="0"/>
          <w:iCs w:val="0"/>
          <w:color w:val="auto"/>
          <w:sz w:val="21"/>
          <w:szCs w:val="21"/>
          <w:lang w:val="en-US" w:eastAsia="zh-CN"/>
        </w:rPr>
        <w:t>采购</w:t>
      </w:r>
      <w:r>
        <w:rPr>
          <w:rFonts w:hint="eastAsia" w:ascii="宋体" w:hAnsi="宋体" w:eastAsia="宋体" w:cs="宋体"/>
          <w:b w:val="0"/>
          <w:bCs/>
          <w:i w:val="0"/>
          <w:iCs w:val="0"/>
          <w:color w:val="auto"/>
          <w:sz w:val="21"/>
          <w:szCs w:val="21"/>
        </w:rPr>
        <w:t>需求一览表</w:t>
      </w:r>
    </w:p>
    <w:tbl>
      <w:tblPr>
        <w:tblStyle w:val="18"/>
        <w:tblW w:w="8625" w:type="dxa"/>
        <w:tblInd w:w="0" w:type="dxa"/>
        <w:tblLayout w:type="fixed"/>
        <w:tblCellMar>
          <w:top w:w="0" w:type="dxa"/>
          <w:left w:w="108" w:type="dxa"/>
          <w:bottom w:w="0" w:type="dxa"/>
          <w:right w:w="108" w:type="dxa"/>
        </w:tblCellMar>
      </w:tblPr>
      <w:tblGrid>
        <w:gridCol w:w="465"/>
        <w:gridCol w:w="1080"/>
        <w:gridCol w:w="600"/>
        <w:gridCol w:w="720"/>
        <w:gridCol w:w="2295"/>
        <w:gridCol w:w="795"/>
        <w:gridCol w:w="2670"/>
      </w:tblGrid>
      <w:tr>
        <w:tblPrEx>
          <w:tblCellMar>
            <w:top w:w="0" w:type="dxa"/>
            <w:left w:w="108" w:type="dxa"/>
            <w:bottom w:w="0" w:type="dxa"/>
            <w:right w:w="108" w:type="dxa"/>
          </w:tblCellMar>
        </w:tblPrEx>
        <w:trPr>
          <w:trHeight w:val="1087"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sz w:val="15"/>
                <w:szCs w:val="15"/>
                <w:lang w:eastAsia="zh-CN"/>
              </w:rPr>
              <w:t>货物名称/工程、服务名称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数量/工作量</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sz w:val="15"/>
                <w:szCs w:val="15"/>
                <w:lang w:eastAsia="zh-CN"/>
              </w:rPr>
              <w:t>主要技术指标(规格型号及技术要求/工程服务要求)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交货期/完工日期</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sz w:val="15"/>
                <w:szCs w:val="15"/>
                <w:lang w:eastAsia="zh-CN"/>
              </w:rPr>
              <w:t>备注</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弯头\NPS1/2\90°\LR\BW\XXS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15"/>
                <w:szCs w:val="15"/>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弯头\NPS3/4\90°\LR\BW\XXS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sz w:val="15"/>
                <w:szCs w:val="15"/>
                <w:lang w:eastAsia="zh-CN"/>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59" name="AutoShape_1"/>
                  <wp:cNvGraphicFramePr/>
                  <a:graphic xmlns:a="http://schemas.openxmlformats.org/drawingml/2006/main">
                    <a:graphicData uri="http://schemas.openxmlformats.org/drawingml/2006/picture">
                      <pic:pic xmlns:pic="http://schemas.openxmlformats.org/drawingml/2006/picture">
                        <pic:nvPicPr>
                          <pic:cNvPr id="259" name="AutoShape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60" name="AutoShape_1_SpCnt_1"/>
                  <wp:cNvGraphicFramePr/>
                  <a:graphic xmlns:a="http://schemas.openxmlformats.org/drawingml/2006/main">
                    <a:graphicData uri="http://schemas.openxmlformats.org/drawingml/2006/picture">
                      <pic:pic xmlns:pic="http://schemas.openxmlformats.org/drawingml/2006/picture">
                        <pic:nvPicPr>
                          <pic:cNvPr id="260" name="AutoShape_1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1" name="AutoShape_1_SpCnt_2"/>
                  <wp:cNvGraphicFramePr/>
                  <a:graphic xmlns:a="http://schemas.openxmlformats.org/drawingml/2006/main">
                    <a:graphicData uri="http://schemas.openxmlformats.org/drawingml/2006/picture">
                      <pic:pic xmlns:pic="http://schemas.openxmlformats.org/drawingml/2006/picture">
                        <pic:nvPicPr>
                          <pic:cNvPr id="261" name="AutoShape_1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2" name="AutoShape_1_SpCnt_3"/>
                  <wp:cNvGraphicFramePr/>
                  <a:graphic xmlns:a="http://schemas.openxmlformats.org/drawingml/2006/main">
                    <a:graphicData uri="http://schemas.openxmlformats.org/drawingml/2006/picture">
                      <pic:pic xmlns:pic="http://schemas.openxmlformats.org/drawingml/2006/picture">
                        <pic:nvPicPr>
                          <pic:cNvPr id="262" name="AutoShape_1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3" name="AutoShape_4"/>
                  <wp:cNvGraphicFramePr/>
                  <a:graphic xmlns:a="http://schemas.openxmlformats.org/drawingml/2006/main">
                    <a:graphicData uri="http://schemas.openxmlformats.org/drawingml/2006/picture">
                      <pic:pic xmlns:pic="http://schemas.openxmlformats.org/drawingml/2006/picture">
                        <pic:nvPicPr>
                          <pic:cNvPr id="263" name="AutoShape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4" name="AutoShape_2"/>
                  <wp:cNvGraphicFramePr/>
                  <a:graphic xmlns:a="http://schemas.openxmlformats.org/drawingml/2006/main">
                    <a:graphicData uri="http://schemas.openxmlformats.org/drawingml/2006/picture">
                      <pic:pic xmlns:pic="http://schemas.openxmlformats.org/drawingml/2006/picture">
                        <pic:nvPicPr>
                          <pic:cNvPr id="264" name="AutoShape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5" name="AutoShape_4_SpCnt_1"/>
                  <wp:cNvGraphicFramePr/>
                  <a:graphic xmlns:a="http://schemas.openxmlformats.org/drawingml/2006/main">
                    <a:graphicData uri="http://schemas.openxmlformats.org/drawingml/2006/picture">
                      <pic:pic xmlns:pic="http://schemas.openxmlformats.org/drawingml/2006/picture">
                        <pic:nvPicPr>
                          <pic:cNvPr id="265" name="AutoShape_4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6" name="AutoShape_2_SpCnt_1"/>
                  <wp:cNvGraphicFramePr/>
                  <a:graphic xmlns:a="http://schemas.openxmlformats.org/drawingml/2006/main">
                    <a:graphicData uri="http://schemas.openxmlformats.org/drawingml/2006/picture">
                      <pic:pic xmlns:pic="http://schemas.openxmlformats.org/drawingml/2006/picture">
                        <pic:nvPicPr>
                          <pic:cNvPr id="266" name="AutoShape_2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7" name="AutoShape_3"/>
                  <wp:cNvGraphicFramePr/>
                  <a:graphic xmlns:a="http://schemas.openxmlformats.org/drawingml/2006/main">
                    <a:graphicData uri="http://schemas.openxmlformats.org/drawingml/2006/picture">
                      <pic:pic xmlns:pic="http://schemas.openxmlformats.org/drawingml/2006/picture">
                        <pic:nvPicPr>
                          <pic:cNvPr id="267" name="AutoShape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8" name="AutoShape_2_SpCnt_2"/>
                  <wp:cNvGraphicFramePr/>
                  <a:graphic xmlns:a="http://schemas.openxmlformats.org/drawingml/2006/main">
                    <a:graphicData uri="http://schemas.openxmlformats.org/drawingml/2006/picture">
                      <pic:pic xmlns:pic="http://schemas.openxmlformats.org/drawingml/2006/picture">
                        <pic:nvPicPr>
                          <pic:cNvPr id="268" name="AutoShape_2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69" name="AutoShape_4_SpCnt_2"/>
                  <wp:cNvGraphicFramePr/>
                  <a:graphic xmlns:a="http://schemas.openxmlformats.org/drawingml/2006/main">
                    <a:graphicData uri="http://schemas.openxmlformats.org/drawingml/2006/picture">
                      <pic:pic xmlns:pic="http://schemas.openxmlformats.org/drawingml/2006/picture">
                        <pic:nvPicPr>
                          <pic:cNvPr id="269" name="AutoShape_4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0" name="AutoShape_2_SpCnt_3"/>
                  <wp:cNvGraphicFramePr/>
                  <a:graphic xmlns:a="http://schemas.openxmlformats.org/drawingml/2006/main">
                    <a:graphicData uri="http://schemas.openxmlformats.org/drawingml/2006/picture">
                      <pic:pic xmlns:pic="http://schemas.openxmlformats.org/drawingml/2006/picture">
                        <pic:nvPicPr>
                          <pic:cNvPr id="270" name="AutoShape_2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1" name="AutoShape_4_SpCnt_3"/>
                  <wp:cNvGraphicFramePr/>
                  <a:graphic xmlns:a="http://schemas.openxmlformats.org/drawingml/2006/main">
                    <a:graphicData uri="http://schemas.openxmlformats.org/drawingml/2006/picture">
                      <pic:pic xmlns:pic="http://schemas.openxmlformats.org/drawingml/2006/picture">
                        <pic:nvPicPr>
                          <pic:cNvPr id="271" name="AutoShape_4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2" name="AutoShape_3_SpCnt_1"/>
                  <wp:cNvGraphicFramePr/>
                  <a:graphic xmlns:a="http://schemas.openxmlformats.org/drawingml/2006/main">
                    <a:graphicData uri="http://schemas.openxmlformats.org/drawingml/2006/picture">
                      <pic:pic xmlns:pic="http://schemas.openxmlformats.org/drawingml/2006/picture">
                        <pic:nvPicPr>
                          <pic:cNvPr id="272" name="AutoShape_3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3" name="AutoShape_2_SpCnt_4"/>
                  <wp:cNvGraphicFramePr/>
                  <a:graphic xmlns:a="http://schemas.openxmlformats.org/drawingml/2006/main">
                    <a:graphicData uri="http://schemas.openxmlformats.org/drawingml/2006/picture">
                      <pic:pic xmlns:pic="http://schemas.openxmlformats.org/drawingml/2006/picture">
                        <pic:nvPicPr>
                          <pic:cNvPr id="273" name="AutoShape_2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74" name="AutoShape_1_SpCnt_4"/>
                  <wp:cNvGraphicFramePr/>
                  <a:graphic xmlns:a="http://schemas.openxmlformats.org/drawingml/2006/main">
                    <a:graphicData uri="http://schemas.openxmlformats.org/drawingml/2006/picture">
                      <pic:pic xmlns:pic="http://schemas.openxmlformats.org/drawingml/2006/picture">
                        <pic:nvPicPr>
                          <pic:cNvPr id="274" name="AutoShape_1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5" name="AutoShape_4_SpCnt_4"/>
                  <wp:cNvGraphicFramePr/>
                  <a:graphic xmlns:a="http://schemas.openxmlformats.org/drawingml/2006/main">
                    <a:graphicData uri="http://schemas.openxmlformats.org/drawingml/2006/picture">
                      <pic:pic xmlns:pic="http://schemas.openxmlformats.org/drawingml/2006/picture">
                        <pic:nvPicPr>
                          <pic:cNvPr id="275" name="AutoShape_4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6" name="AutoShape_2_SpCnt_5"/>
                  <wp:cNvGraphicFramePr/>
                  <a:graphic xmlns:a="http://schemas.openxmlformats.org/drawingml/2006/main">
                    <a:graphicData uri="http://schemas.openxmlformats.org/drawingml/2006/picture">
                      <pic:pic xmlns:pic="http://schemas.openxmlformats.org/drawingml/2006/picture">
                        <pic:nvPicPr>
                          <pic:cNvPr id="276" name="AutoShape_2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7" name="AutoShape_4_SpCnt_5"/>
                  <wp:cNvGraphicFramePr/>
                  <a:graphic xmlns:a="http://schemas.openxmlformats.org/drawingml/2006/main">
                    <a:graphicData uri="http://schemas.openxmlformats.org/drawingml/2006/picture">
                      <pic:pic xmlns:pic="http://schemas.openxmlformats.org/drawingml/2006/picture">
                        <pic:nvPicPr>
                          <pic:cNvPr id="277" name="AutoShape_4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78" name="AutoShape_2_SpCnt_6"/>
                  <wp:cNvGraphicFramePr/>
                  <a:graphic xmlns:a="http://schemas.openxmlformats.org/drawingml/2006/main">
                    <a:graphicData uri="http://schemas.openxmlformats.org/drawingml/2006/picture">
                      <pic:pic xmlns:pic="http://schemas.openxmlformats.org/drawingml/2006/picture">
                        <pic:nvPicPr>
                          <pic:cNvPr id="278" name="AutoShape_2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79" name="AutoShape_3_SpCnt_2"/>
                  <wp:cNvGraphicFramePr/>
                  <a:graphic xmlns:a="http://schemas.openxmlformats.org/drawingml/2006/main">
                    <a:graphicData uri="http://schemas.openxmlformats.org/drawingml/2006/picture">
                      <pic:pic xmlns:pic="http://schemas.openxmlformats.org/drawingml/2006/picture">
                        <pic:nvPicPr>
                          <pic:cNvPr id="279" name="AutoShape_3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80" name="AutoShape_3_SpCnt_3"/>
                  <wp:cNvGraphicFramePr/>
                  <a:graphic xmlns:a="http://schemas.openxmlformats.org/drawingml/2006/main">
                    <a:graphicData uri="http://schemas.openxmlformats.org/drawingml/2006/picture">
                      <pic:pic xmlns:pic="http://schemas.openxmlformats.org/drawingml/2006/picture">
                        <pic:nvPicPr>
                          <pic:cNvPr id="280" name="AutoShape_3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1" name="AutoShape_4_SpCnt_6"/>
                  <wp:cNvGraphicFramePr/>
                  <a:graphic xmlns:a="http://schemas.openxmlformats.org/drawingml/2006/main">
                    <a:graphicData uri="http://schemas.openxmlformats.org/drawingml/2006/picture">
                      <pic:pic xmlns:pic="http://schemas.openxmlformats.org/drawingml/2006/picture">
                        <pic:nvPicPr>
                          <pic:cNvPr id="281" name="AutoShape_4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2" name="AutoShape_2_SpCnt_7"/>
                  <wp:cNvGraphicFramePr/>
                  <a:graphic xmlns:a="http://schemas.openxmlformats.org/drawingml/2006/main">
                    <a:graphicData uri="http://schemas.openxmlformats.org/drawingml/2006/picture">
                      <pic:pic xmlns:pic="http://schemas.openxmlformats.org/drawingml/2006/picture">
                        <pic:nvPicPr>
                          <pic:cNvPr id="282" name="AutoShape_2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3" name="AutoShape_4_SpCnt_7"/>
                  <wp:cNvGraphicFramePr/>
                  <a:graphic xmlns:a="http://schemas.openxmlformats.org/drawingml/2006/main">
                    <a:graphicData uri="http://schemas.openxmlformats.org/drawingml/2006/picture">
                      <pic:pic xmlns:pic="http://schemas.openxmlformats.org/drawingml/2006/picture">
                        <pic:nvPicPr>
                          <pic:cNvPr id="283" name="AutoShape_4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4" name="AutoShape_2_SpCnt_8"/>
                  <wp:cNvGraphicFramePr/>
                  <a:graphic xmlns:a="http://schemas.openxmlformats.org/drawingml/2006/main">
                    <a:graphicData uri="http://schemas.openxmlformats.org/drawingml/2006/picture">
                      <pic:pic xmlns:pic="http://schemas.openxmlformats.org/drawingml/2006/picture">
                        <pic:nvPicPr>
                          <pic:cNvPr id="284" name="AutoShape_2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5" name="AutoShape_1_SpCnt_5"/>
                  <wp:cNvGraphicFramePr/>
                  <a:graphic xmlns:a="http://schemas.openxmlformats.org/drawingml/2006/main">
                    <a:graphicData uri="http://schemas.openxmlformats.org/drawingml/2006/picture">
                      <pic:pic xmlns:pic="http://schemas.openxmlformats.org/drawingml/2006/picture">
                        <pic:nvPicPr>
                          <pic:cNvPr id="285" name="AutoShape_1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6" name="AutoShape_1_SpCnt_6"/>
                  <wp:cNvGraphicFramePr/>
                  <a:graphic xmlns:a="http://schemas.openxmlformats.org/drawingml/2006/main">
                    <a:graphicData uri="http://schemas.openxmlformats.org/drawingml/2006/picture">
                      <pic:pic xmlns:pic="http://schemas.openxmlformats.org/drawingml/2006/picture">
                        <pic:nvPicPr>
                          <pic:cNvPr id="286" name="AutoShape_1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7" name="AutoShape_4_SpCnt_8"/>
                  <wp:cNvGraphicFramePr/>
                  <a:graphic xmlns:a="http://schemas.openxmlformats.org/drawingml/2006/main">
                    <a:graphicData uri="http://schemas.openxmlformats.org/drawingml/2006/picture">
                      <pic:pic xmlns:pic="http://schemas.openxmlformats.org/drawingml/2006/picture">
                        <pic:nvPicPr>
                          <pic:cNvPr id="287" name="AutoShape_4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8" name="AutoShape_2_SpCnt_9"/>
                  <wp:cNvGraphicFramePr/>
                  <a:graphic xmlns:a="http://schemas.openxmlformats.org/drawingml/2006/main">
                    <a:graphicData uri="http://schemas.openxmlformats.org/drawingml/2006/picture">
                      <pic:pic xmlns:pic="http://schemas.openxmlformats.org/drawingml/2006/picture">
                        <pic:nvPicPr>
                          <pic:cNvPr id="288" name="AutoShape_2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89" name="AutoShape_4_SpCnt_9"/>
                  <wp:cNvGraphicFramePr/>
                  <a:graphic xmlns:a="http://schemas.openxmlformats.org/drawingml/2006/main">
                    <a:graphicData uri="http://schemas.openxmlformats.org/drawingml/2006/picture">
                      <pic:pic xmlns:pic="http://schemas.openxmlformats.org/drawingml/2006/picture">
                        <pic:nvPicPr>
                          <pic:cNvPr id="289" name="AutoShape_4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0" name="AutoShape_2_SpCnt_10"/>
                  <wp:cNvGraphicFramePr/>
                  <a:graphic xmlns:a="http://schemas.openxmlformats.org/drawingml/2006/main">
                    <a:graphicData uri="http://schemas.openxmlformats.org/drawingml/2006/picture">
                      <pic:pic xmlns:pic="http://schemas.openxmlformats.org/drawingml/2006/picture">
                        <pic:nvPicPr>
                          <pic:cNvPr id="290" name="AutoShape_2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1" name="AutoShape_3_SpCnt_4"/>
                  <wp:cNvGraphicFramePr/>
                  <a:graphic xmlns:a="http://schemas.openxmlformats.org/drawingml/2006/main">
                    <a:graphicData uri="http://schemas.openxmlformats.org/drawingml/2006/picture">
                      <pic:pic xmlns:pic="http://schemas.openxmlformats.org/drawingml/2006/picture">
                        <pic:nvPicPr>
                          <pic:cNvPr id="291" name="AutoShape_3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2" name="AutoShape_2_SpCnt_11"/>
                  <wp:cNvGraphicFramePr/>
                  <a:graphic xmlns:a="http://schemas.openxmlformats.org/drawingml/2006/main">
                    <a:graphicData uri="http://schemas.openxmlformats.org/drawingml/2006/picture">
                      <pic:pic xmlns:pic="http://schemas.openxmlformats.org/drawingml/2006/picture">
                        <pic:nvPicPr>
                          <pic:cNvPr id="292" name="AutoShape_2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3" name="AutoShape_4_SpCnt_10"/>
                  <wp:cNvGraphicFramePr/>
                  <a:graphic xmlns:a="http://schemas.openxmlformats.org/drawingml/2006/main">
                    <a:graphicData uri="http://schemas.openxmlformats.org/drawingml/2006/picture">
                      <pic:pic xmlns:pic="http://schemas.openxmlformats.org/drawingml/2006/picture">
                        <pic:nvPicPr>
                          <pic:cNvPr id="293" name="AutoShape_4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4" name="AutoShape_2_SpCnt_12"/>
                  <wp:cNvGraphicFramePr/>
                  <a:graphic xmlns:a="http://schemas.openxmlformats.org/drawingml/2006/main">
                    <a:graphicData uri="http://schemas.openxmlformats.org/drawingml/2006/picture">
                      <pic:pic xmlns:pic="http://schemas.openxmlformats.org/drawingml/2006/picture">
                        <pic:nvPicPr>
                          <pic:cNvPr id="294" name="AutoShape_2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5" name="AutoShape_4_SpCnt_11"/>
                  <wp:cNvGraphicFramePr/>
                  <a:graphic xmlns:a="http://schemas.openxmlformats.org/drawingml/2006/main">
                    <a:graphicData uri="http://schemas.openxmlformats.org/drawingml/2006/picture">
                      <pic:pic xmlns:pic="http://schemas.openxmlformats.org/drawingml/2006/picture">
                        <pic:nvPicPr>
                          <pic:cNvPr id="295" name="AutoShape_4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6" name="AutoShape_3_SpCnt_5"/>
                  <wp:cNvGraphicFramePr/>
                  <a:graphic xmlns:a="http://schemas.openxmlformats.org/drawingml/2006/main">
                    <a:graphicData uri="http://schemas.openxmlformats.org/drawingml/2006/picture">
                      <pic:pic xmlns:pic="http://schemas.openxmlformats.org/drawingml/2006/picture">
                        <pic:nvPicPr>
                          <pic:cNvPr id="296" name="AutoShape_3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97" name="AutoShape_3_SpCnt_6"/>
                  <wp:cNvGraphicFramePr/>
                  <a:graphic xmlns:a="http://schemas.openxmlformats.org/drawingml/2006/main">
                    <a:graphicData uri="http://schemas.openxmlformats.org/drawingml/2006/picture">
                      <pic:pic xmlns:pic="http://schemas.openxmlformats.org/drawingml/2006/picture">
                        <pic:nvPicPr>
                          <pic:cNvPr id="297" name="AutoShape_3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98" name="AutoShape_1_SpCnt_7"/>
                  <wp:cNvGraphicFramePr/>
                  <a:graphic xmlns:a="http://schemas.openxmlformats.org/drawingml/2006/main">
                    <a:graphicData uri="http://schemas.openxmlformats.org/drawingml/2006/picture">
                      <pic:pic xmlns:pic="http://schemas.openxmlformats.org/drawingml/2006/picture">
                        <pic:nvPicPr>
                          <pic:cNvPr id="298" name="AutoShape_1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299" name="AutoShape_4_SpCnt_12"/>
                  <wp:cNvGraphicFramePr/>
                  <a:graphic xmlns:a="http://schemas.openxmlformats.org/drawingml/2006/main">
                    <a:graphicData uri="http://schemas.openxmlformats.org/drawingml/2006/picture">
                      <pic:pic xmlns:pic="http://schemas.openxmlformats.org/drawingml/2006/picture">
                        <pic:nvPicPr>
                          <pic:cNvPr id="299" name="AutoShape_4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0" name="AutoShape_2_SpCnt_13"/>
                  <wp:cNvGraphicFramePr/>
                  <a:graphic xmlns:a="http://schemas.openxmlformats.org/drawingml/2006/main">
                    <a:graphicData uri="http://schemas.openxmlformats.org/drawingml/2006/picture">
                      <pic:pic xmlns:pic="http://schemas.openxmlformats.org/drawingml/2006/picture">
                        <pic:nvPicPr>
                          <pic:cNvPr id="300" name="AutoShape_2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1" name="AutoShape_4_SpCnt_13"/>
                  <wp:cNvGraphicFramePr/>
                  <a:graphic xmlns:a="http://schemas.openxmlformats.org/drawingml/2006/main">
                    <a:graphicData uri="http://schemas.openxmlformats.org/drawingml/2006/picture">
                      <pic:pic xmlns:pic="http://schemas.openxmlformats.org/drawingml/2006/picture">
                        <pic:nvPicPr>
                          <pic:cNvPr id="301" name="AutoShape_4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2" name="AutoShape_2_SpCnt_14"/>
                  <wp:cNvGraphicFramePr/>
                  <a:graphic xmlns:a="http://schemas.openxmlformats.org/drawingml/2006/main">
                    <a:graphicData uri="http://schemas.openxmlformats.org/drawingml/2006/picture">
                      <pic:pic xmlns:pic="http://schemas.openxmlformats.org/drawingml/2006/picture">
                        <pic:nvPicPr>
                          <pic:cNvPr id="302" name="AutoShape_2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03" name="AutoShape_3_SpCnt_7"/>
                  <wp:cNvGraphicFramePr/>
                  <a:graphic xmlns:a="http://schemas.openxmlformats.org/drawingml/2006/main">
                    <a:graphicData uri="http://schemas.openxmlformats.org/drawingml/2006/picture">
                      <pic:pic xmlns:pic="http://schemas.openxmlformats.org/drawingml/2006/picture">
                        <pic:nvPicPr>
                          <pic:cNvPr id="303" name="AutoShape_3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4" name="AutoShape_4_SpCnt_14"/>
                  <wp:cNvGraphicFramePr/>
                  <a:graphic xmlns:a="http://schemas.openxmlformats.org/drawingml/2006/main">
                    <a:graphicData uri="http://schemas.openxmlformats.org/drawingml/2006/picture">
                      <pic:pic xmlns:pic="http://schemas.openxmlformats.org/drawingml/2006/picture">
                        <pic:nvPicPr>
                          <pic:cNvPr id="304" name="AutoShape_4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5" name="AutoShape_2_SpCnt_15"/>
                  <wp:cNvGraphicFramePr/>
                  <a:graphic xmlns:a="http://schemas.openxmlformats.org/drawingml/2006/main">
                    <a:graphicData uri="http://schemas.openxmlformats.org/drawingml/2006/picture">
                      <pic:pic xmlns:pic="http://schemas.openxmlformats.org/drawingml/2006/picture">
                        <pic:nvPicPr>
                          <pic:cNvPr id="305" name="AutoShape_2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06" name="AutoShape_4_SpCnt_15"/>
                  <wp:cNvGraphicFramePr/>
                  <a:graphic xmlns:a="http://schemas.openxmlformats.org/drawingml/2006/main">
                    <a:graphicData uri="http://schemas.openxmlformats.org/drawingml/2006/picture">
                      <pic:pic xmlns:pic="http://schemas.openxmlformats.org/drawingml/2006/picture">
                        <pic:nvPicPr>
                          <pic:cNvPr id="306" name="AutoShape_4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07" name="Line_23"/>
                  <wp:cNvGraphicFramePr/>
                  <a:graphic xmlns:a="http://schemas.openxmlformats.org/drawingml/2006/main">
                    <a:graphicData uri="http://schemas.openxmlformats.org/drawingml/2006/picture">
                      <pic:pic xmlns:pic="http://schemas.openxmlformats.org/drawingml/2006/picture">
                        <pic:nvPicPr>
                          <pic:cNvPr id="307" name="Line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08" name="Line_23_SpCnt_1"/>
                  <wp:cNvGraphicFramePr/>
                  <a:graphic xmlns:a="http://schemas.openxmlformats.org/drawingml/2006/main">
                    <a:graphicData uri="http://schemas.openxmlformats.org/drawingml/2006/picture">
                      <pic:pic xmlns:pic="http://schemas.openxmlformats.org/drawingml/2006/picture">
                        <pic:nvPicPr>
                          <pic:cNvPr id="308" name="Line_23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09" name="Line_23_SpCnt_2"/>
                  <wp:cNvGraphicFramePr/>
                  <a:graphic xmlns:a="http://schemas.openxmlformats.org/drawingml/2006/main">
                    <a:graphicData uri="http://schemas.openxmlformats.org/drawingml/2006/picture">
                      <pic:pic xmlns:pic="http://schemas.openxmlformats.org/drawingml/2006/picture">
                        <pic:nvPicPr>
                          <pic:cNvPr id="309" name="Line_23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0" name="Line_23_SpCnt_3"/>
                  <wp:cNvGraphicFramePr/>
                  <a:graphic xmlns:a="http://schemas.openxmlformats.org/drawingml/2006/main">
                    <a:graphicData uri="http://schemas.openxmlformats.org/drawingml/2006/picture">
                      <pic:pic xmlns:pic="http://schemas.openxmlformats.org/drawingml/2006/picture">
                        <pic:nvPicPr>
                          <pic:cNvPr id="310" name="Line_23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1" name="Line_23_SpCnt_4"/>
                  <wp:cNvGraphicFramePr/>
                  <a:graphic xmlns:a="http://schemas.openxmlformats.org/drawingml/2006/main">
                    <a:graphicData uri="http://schemas.openxmlformats.org/drawingml/2006/picture">
                      <pic:pic xmlns:pic="http://schemas.openxmlformats.org/drawingml/2006/picture">
                        <pic:nvPicPr>
                          <pic:cNvPr id="311" name="Line_23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2" name="Line_23_SpCnt_5"/>
                  <wp:cNvGraphicFramePr/>
                  <a:graphic xmlns:a="http://schemas.openxmlformats.org/drawingml/2006/main">
                    <a:graphicData uri="http://schemas.openxmlformats.org/drawingml/2006/picture">
                      <pic:pic xmlns:pic="http://schemas.openxmlformats.org/drawingml/2006/picture">
                        <pic:nvPicPr>
                          <pic:cNvPr id="312" name="Line_23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3" name="Line_23_SpCnt_6"/>
                  <wp:cNvGraphicFramePr/>
                  <a:graphic xmlns:a="http://schemas.openxmlformats.org/drawingml/2006/main">
                    <a:graphicData uri="http://schemas.openxmlformats.org/drawingml/2006/picture">
                      <pic:pic xmlns:pic="http://schemas.openxmlformats.org/drawingml/2006/picture">
                        <pic:nvPicPr>
                          <pic:cNvPr id="313" name="Line_23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4" name="Line_23_SpCnt_7"/>
                  <wp:cNvGraphicFramePr/>
                  <a:graphic xmlns:a="http://schemas.openxmlformats.org/drawingml/2006/main">
                    <a:graphicData uri="http://schemas.openxmlformats.org/drawingml/2006/picture">
                      <pic:pic xmlns:pic="http://schemas.openxmlformats.org/drawingml/2006/picture">
                        <pic:nvPicPr>
                          <pic:cNvPr id="314" name="Line_23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5" name="Line_23_SpCnt_8"/>
                  <wp:cNvGraphicFramePr/>
                  <a:graphic xmlns:a="http://schemas.openxmlformats.org/drawingml/2006/main">
                    <a:graphicData uri="http://schemas.openxmlformats.org/drawingml/2006/picture">
                      <pic:pic xmlns:pic="http://schemas.openxmlformats.org/drawingml/2006/picture">
                        <pic:nvPicPr>
                          <pic:cNvPr id="315" name="Line_23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16" name="Line_23_SpCnt_9"/>
                  <wp:cNvGraphicFramePr/>
                  <a:graphic xmlns:a="http://schemas.openxmlformats.org/drawingml/2006/main">
                    <a:graphicData uri="http://schemas.openxmlformats.org/drawingml/2006/picture">
                      <pic:pic xmlns:pic="http://schemas.openxmlformats.org/drawingml/2006/picture">
                        <pic:nvPicPr>
                          <pic:cNvPr id="316" name="Line_23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17" name="Line_23_SpCnt_10"/>
                  <wp:cNvGraphicFramePr/>
                  <a:graphic xmlns:a="http://schemas.openxmlformats.org/drawingml/2006/main">
                    <a:graphicData uri="http://schemas.openxmlformats.org/drawingml/2006/picture">
                      <pic:pic xmlns:pic="http://schemas.openxmlformats.org/drawingml/2006/picture">
                        <pic:nvPicPr>
                          <pic:cNvPr id="317" name="Line_23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8" name="Line_23_SpCnt_11"/>
                  <wp:cNvGraphicFramePr/>
                  <a:graphic xmlns:a="http://schemas.openxmlformats.org/drawingml/2006/main">
                    <a:graphicData uri="http://schemas.openxmlformats.org/drawingml/2006/picture">
                      <pic:pic xmlns:pic="http://schemas.openxmlformats.org/drawingml/2006/picture">
                        <pic:nvPicPr>
                          <pic:cNvPr id="318" name="Line_23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19" name="Line_23_SpCnt_12"/>
                  <wp:cNvGraphicFramePr/>
                  <a:graphic xmlns:a="http://schemas.openxmlformats.org/drawingml/2006/main">
                    <a:graphicData uri="http://schemas.openxmlformats.org/drawingml/2006/picture">
                      <pic:pic xmlns:pic="http://schemas.openxmlformats.org/drawingml/2006/picture">
                        <pic:nvPicPr>
                          <pic:cNvPr id="319" name="Line_23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20" name="Line_23_SpCnt_13"/>
                  <wp:cNvGraphicFramePr/>
                  <a:graphic xmlns:a="http://schemas.openxmlformats.org/drawingml/2006/main">
                    <a:graphicData uri="http://schemas.openxmlformats.org/drawingml/2006/picture">
                      <pic:pic xmlns:pic="http://schemas.openxmlformats.org/drawingml/2006/picture">
                        <pic:nvPicPr>
                          <pic:cNvPr id="320" name="Line_23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21" name="Line_23_SpCnt_14"/>
                  <wp:cNvGraphicFramePr/>
                  <a:graphic xmlns:a="http://schemas.openxmlformats.org/drawingml/2006/main">
                    <a:graphicData uri="http://schemas.openxmlformats.org/drawingml/2006/picture">
                      <pic:pic xmlns:pic="http://schemas.openxmlformats.org/drawingml/2006/picture">
                        <pic:nvPicPr>
                          <pic:cNvPr id="321" name="Line_23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22" name="Line_23_SpCnt_15"/>
                  <wp:cNvGraphicFramePr/>
                  <a:graphic xmlns:a="http://schemas.openxmlformats.org/drawingml/2006/main">
                    <a:graphicData uri="http://schemas.openxmlformats.org/drawingml/2006/picture">
                      <pic:pic xmlns:pic="http://schemas.openxmlformats.org/drawingml/2006/picture">
                        <pic:nvPicPr>
                          <pic:cNvPr id="322" name="Line_23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弯头\NPS2\90°\LR\BW\XXS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3" name="AutoShape_4_SpCnt_16"/>
                  <wp:cNvGraphicFramePr/>
                  <a:graphic xmlns:a="http://schemas.openxmlformats.org/drawingml/2006/main">
                    <a:graphicData uri="http://schemas.openxmlformats.org/drawingml/2006/picture">
                      <pic:pic xmlns:pic="http://schemas.openxmlformats.org/drawingml/2006/picture">
                        <pic:nvPicPr>
                          <pic:cNvPr id="323" name="AutoShape_4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4" name="AutoShape_4_SpCnt_17"/>
                  <wp:cNvGraphicFramePr/>
                  <a:graphic xmlns:a="http://schemas.openxmlformats.org/drawingml/2006/main">
                    <a:graphicData uri="http://schemas.openxmlformats.org/drawingml/2006/picture">
                      <pic:pic xmlns:pic="http://schemas.openxmlformats.org/drawingml/2006/picture">
                        <pic:nvPicPr>
                          <pic:cNvPr id="324" name="AutoShape_4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5" name="AutoShape_2_SpCnt_16"/>
                  <wp:cNvGraphicFramePr/>
                  <a:graphic xmlns:a="http://schemas.openxmlformats.org/drawingml/2006/main">
                    <a:graphicData uri="http://schemas.openxmlformats.org/drawingml/2006/picture">
                      <pic:pic xmlns:pic="http://schemas.openxmlformats.org/drawingml/2006/picture">
                        <pic:nvPicPr>
                          <pic:cNvPr id="325" name="AutoShape_2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6" name="AutoShape_4_SpCnt_18"/>
                  <wp:cNvGraphicFramePr/>
                  <a:graphic xmlns:a="http://schemas.openxmlformats.org/drawingml/2006/main">
                    <a:graphicData uri="http://schemas.openxmlformats.org/drawingml/2006/picture">
                      <pic:pic xmlns:pic="http://schemas.openxmlformats.org/drawingml/2006/picture">
                        <pic:nvPicPr>
                          <pic:cNvPr id="326" name="AutoShape_4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7" name="AutoShape_2_SpCnt_17"/>
                  <wp:cNvGraphicFramePr/>
                  <a:graphic xmlns:a="http://schemas.openxmlformats.org/drawingml/2006/main">
                    <a:graphicData uri="http://schemas.openxmlformats.org/drawingml/2006/picture">
                      <pic:pic xmlns:pic="http://schemas.openxmlformats.org/drawingml/2006/picture">
                        <pic:nvPicPr>
                          <pic:cNvPr id="327" name="AutoShape_2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8" name="AutoShape_4_SpCnt_19"/>
                  <wp:cNvGraphicFramePr/>
                  <a:graphic xmlns:a="http://schemas.openxmlformats.org/drawingml/2006/main">
                    <a:graphicData uri="http://schemas.openxmlformats.org/drawingml/2006/picture">
                      <pic:pic xmlns:pic="http://schemas.openxmlformats.org/drawingml/2006/picture">
                        <pic:nvPicPr>
                          <pic:cNvPr id="328" name="AutoShape_4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29" name="AutoShape_3_SpCnt_8"/>
                  <wp:cNvGraphicFramePr/>
                  <a:graphic xmlns:a="http://schemas.openxmlformats.org/drawingml/2006/main">
                    <a:graphicData uri="http://schemas.openxmlformats.org/drawingml/2006/picture">
                      <pic:pic xmlns:pic="http://schemas.openxmlformats.org/drawingml/2006/picture">
                        <pic:nvPicPr>
                          <pic:cNvPr id="329" name="AutoShape_3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0" name="AutoShape_2_SpCnt_18"/>
                  <wp:cNvGraphicFramePr/>
                  <a:graphic xmlns:a="http://schemas.openxmlformats.org/drawingml/2006/main">
                    <a:graphicData uri="http://schemas.openxmlformats.org/drawingml/2006/picture">
                      <pic:pic xmlns:pic="http://schemas.openxmlformats.org/drawingml/2006/picture">
                        <pic:nvPicPr>
                          <pic:cNvPr id="330" name="AutoShape_2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1" name="AutoShape_4_SpCnt_20"/>
                  <wp:cNvGraphicFramePr/>
                  <a:graphic xmlns:a="http://schemas.openxmlformats.org/drawingml/2006/main">
                    <a:graphicData uri="http://schemas.openxmlformats.org/drawingml/2006/picture">
                      <pic:pic xmlns:pic="http://schemas.openxmlformats.org/drawingml/2006/picture">
                        <pic:nvPicPr>
                          <pic:cNvPr id="331" name="AutoShape_4_SpCnt_20"/>
                          <pic:cNvPicPr/>
                        </pic:nvPicPr>
                        <pic:blipFill>
                          <a:blip r:embed="rId7"/>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2" name="AutoShape_1_SpCnt_8"/>
                  <wp:cNvGraphicFramePr/>
                  <a:graphic xmlns:a="http://schemas.openxmlformats.org/drawingml/2006/main">
                    <a:graphicData uri="http://schemas.openxmlformats.org/drawingml/2006/picture">
                      <pic:pic xmlns:pic="http://schemas.openxmlformats.org/drawingml/2006/picture">
                        <pic:nvPicPr>
                          <pic:cNvPr id="332" name="AutoShape_1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3" name="AutoShape_2_SpCnt_19"/>
                  <wp:cNvGraphicFramePr/>
                  <a:graphic xmlns:a="http://schemas.openxmlformats.org/drawingml/2006/main">
                    <a:graphicData uri="http://schemas.openxmlformats.org/drawingml/2006/picture">
                      <pic:pic xmlns:pic="http://schemas.openxmlformats.org/drawingml/2006/picture">
                        <pic:nvPicPr>
                          <pic:cNvPr id="333" name="AutoShape_2_SpCnt_19"/>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4" name="AutoShape_4_SpCnt_21"/>
                  <wp:cNvGraphicFramePr/>
                  <a:graphic xmlns:a="http://schemas.openxmlformats.org/drawingml/2006/main">
                    <a:graphicData uri="http://schemas.openxmlformats.org/drawingml/2006/picture">
                      <pic:pic xmlns:pic="http://schemas.openxmlformats.org/drawingml/2006/picture">
                        <pic:nvPicPr>
                          <pic:cNvPr id="334" name="AutoShape_4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5" name="AutoShape_4_SpCnt_22"/>
                  <wp:cNvGraphicFramePr/>
                  <a:graphic xmlns:a="http://schemas.openxmlformats.org/drawingml/2006/main">
                    <a:graphicData uri="http://schemas.openxmlformats.org/drawingml/2006/picture">
                      <pic:pic xmlns:pic="http://schemas.openxmlformats.org/drawingml/2006/picture">
                        <pic:nvPicPr>
                          <pic:cNvPr id="335" name="AutoShape_4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6" name="AutoShape_3_SpCnt_9"/>
                  <wp:cNvGraphicFramePr/>
                  <a:graphic xmlns:a="http://schemas.openxmlformats.org/drawingml/2006/main">
                    <a:graphicData uri="http://schemas.openxmlformats.org/drawingml/2006/picture">
                      <pic:pic xmlns:pic="http://schemas.openxmlformats.org/drawingml/2006/picture">
                        <pic:nvPicPr>
                          <pic:cNvPr id="336" name="AutoShape_3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7" name="AutoShape_2_SpCnt_20"/>
                  <wp:cNvGraphicFramePr/>
                  <a:graphic xmlns:a="http://schemas.openxmlformats.org/drawingml/2006/main">
                    <a:graphicData uri="http://schemas.openxmlformats.org/drawingml/2006/picture">
                      <pic:pic xmlns:pic="http://schemas.openxmlformats.org/drawingml/2006/picture">
                        <pic:nvPicPr>
                          <pic:cNvPr id="337" name="AutoShape_2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8" name="AutoShape_2_SpCnt_21"/>
                  <wp:cNvGraphicFramePr/>
                  <a:graphic xmlns:a="http://schemas.openxmlformats.org/drawingml/2006/main">
                    <a:graphicData uri="http://schemas.openxmlformats.org/drawingml/2006/picture">
                      <pic:pic xmlns:pic="http://schemas.openxmlformats.org/drawingml/2006/picture">
                        <pic:nvPicPr>
                          <pic:cNvPr id="338" name="AutoShape_2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39" name="AutoShape_4_SpCnt_23"/>
                  <wp:cNvGraphicFramePr/>
                  <a:graphic xmlns:a="http://schemas.openxmlformats.org/drawingml/2006/main">
                    <a:graphicData uri="http://schemas.openxmlformats.org/drawingml/2006/picture">
                      <pic:pic xmlns:pic="http://schemas.openxmlformats.org/drawingml/2006/picture">
                        <pic:nvPicPr>
                          <pic:cNvPr id="339" name="AutoShape_4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0" name="AutoShape_3_SpCnt_10"/>
                  <wp:cNvGraphicFramePr/>
                  <a:graphic xmlns:a="http://schemas.openxmlformats.org/drawingml/2006/main">
                    <a:graphicData uri="http://schemas.openxmlformats.org/drawingml/2006/picture">
                      <pic:pic xmlns:pic="http://schemas.openxmlformats.org/drawingml/2006/picture">
                        <pic:nvPicPr>
                          <pic:cNvPr id="340" name="AutoShape_3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1" name="AutoShape_1_SpCnt_9"/>
                  <wp:cNvGraphicFramePr/>
                  <a:graphic xmlns:a="http://schemas.openxmlformats.org/drawingml/2006/main">
                    <a:graphicData uri="http://schemas.openxmlformats.org/drawingml/2006/picture">
                      <pic:pic xmlns:pic="http://schemas.openxmlformats.org/drawingml/2006/picture">
                        <pic:nvPicPr>
                          <pic:cNvPr id="341" name="AutoShape_1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2" name="AutoShape_2_SpCnt_22"/>
                  <wp:cNvGraphicFramePr/>
                  <a:graphic xmlns:a="http://schemas.openxmlformats.org/drawingml/2006/main">
                    <a:graphicData uri="http://schemas.openxmlformats.org/drawingml/2006/picture">
                      <pic:pic xmlns:pic="http://schemas.openxmlformats.org/drawingml/2006/picture">
                        <pic:nvPicPr>
                          <pic:cNvPr id="342" name="AutoShape_2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43" name="AutoShape_3_SpCnt_11"/>
                  <wp:cNvGraphicFramePr/>
                  <a:graphic xmlns:a="http://schemas.openxmlformats.org/drawingml/2006/main">
                    <a:graphicData uri="http://schemas.openxmlformats.org/drawingml/2006/picture">
                      <pic:pic xmlns:pic="http://schemas.openxmlformats.org/drawingml/2006/picture">
                        <pic:nvPicPr>
                          <pic:cNvPr id="343" name="AutoShape_3_SpCnt_11"/>
                          <pic:cNvPicPr/>
                        </pic:nvPicPr>
                        <pic:blipFill>
                          <a:blip r:embed="rId9"/>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4" name="AutoShape_2_SpCnt_23"/>
                  <wp:cNvGraphicFramePr/>
                  <a:graphic xmlns:a="http://schemas.openxmlformats.org/drawingml/2006/main">
                    <a:graphicData uri="http://schemas.openxmlformats.org/drawingml/2006/picture">
                      <pic:pic xmlns:pic="http://schemas.openxmlformats.org/drawingml/2006/picture">
                        <pic:nvPicPr>
                          <pic:cNvPr id="344" name="AutoShape_2_SpCnt_23"/>
                          <pic:cNvPicPr/>
                        </pic:nvPicPr>
                        <pic:blipFill>
                          <a:blip r:embed="rId1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5" name="AutoShape_4_SpCnt_24"/>
                  <wp:cNvGraphicFramePr/>
                  <a:graphic xmlns:a="http://schemas.openxmlformats.org/drawingml/2006/main">
                    <a:graphicData uri="http://schemas.openxmlformats.org/drawingml/2006/picture">
                      <pic:pic xmlns:pic="http://schemas.openxmlformats.org/drawingml/2006/picture">
                        <pic:nvPicPr>
                          <pic:cNvPr id="345" name="AutoShape_4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6" name="AutoShape_1_SpCnt_10"/>
                  <wp:cNvGraphicFramePr/>
                  <a:graphic xmlns:a="http://schemas.openxmlformats.org/drawingml/2006/main">
                    <a:graphicData uri="http://schemas.openxmlformats.org/drawingml/2006/picture">
                      <pic:pic xmlns:pic="http://schemas.openxmlformats.org/drawingml/2006/picture">
                        <pic:nvPicPr>
                          <pic:cNvPr id="346" name="AutoShape_1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7" name="AutoShape_4_SpCnt_25"/>
                  <wp:cNvGraphicFramePr/>
                  <a:graphic xmlns:a="http://schemas.openxmlformats.org/drawingml/2006/main">
                    <a:graphicData uri="http://schemas.openxmlformats.org/drawingml/2006/picture">
                      <pic:pic xmlns:pic="http://schemas.openxmlformats.org/drawingml/2006/picture">
                        <pic:nvPicPr>
                          <pic:cNvPr id="347" name="AutoShape_4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8" name="AutoShape_4_SpCnt_26"/>
                  <wp:cNvGraphicFramePr/>
                  <a:graphic xmlns:a="http://schemas.openxmlformats.org/drawingml/2006/main">
                    <a:graphicData uri="http://schemas.openxmlformats.org/drawingml/2006/picture">
                      <pic:pic xmlns:pic="http://schemas.openxmlformats.org/drawingml/2006/picture">
                        <pic:nvPicPr>
                          <pic:cNvPr id="348" name="AutoShape_4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49" name="AutoShape_2_SpCnt_24"/>
                  <wp:cNvGraphicFramePr/>
                  <a:graphic xmlns:a="http://schemas.openxmlformats.org/drawingml/2006/main">
                    <a:graphicData uri="http://schemas.openxmlformats.org/drawingml/2006/picture">
                      <pic:pic xmlns:pic="http://schemas.openxmlformats.org/drawingml/2006/picture">
                        <pic:nvPicPr>
                          <pic:cNvPr id="349" name="AutoShape_2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50" name="AutoShape_3_SpCnt_12"/>
                  <wp:cNvGraphicFramePr/>
                  <a:graphic xmlns:a="http://schemas.openxmlformats.org/drawingml/2006/main">
                    <a:graphicData uri="http://schemas.openxmlformats.org/drawingml/2006/picture">
                      <pic:pic xmlns:pic="http://schemas.openxmlformats.org/drawingml/2006/picture">
                        <pic:nvPicPr>
                          <pic:cNvPr id="350" name="AutoShape_3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1" name="AutoShape_2_SpCnt_25"/>
                  <wp:cNvGraphicFramePr/>
                  <a:graphic xmlns:a="http://schemas.openxmlformats.org/drawingml/2006/main">
                    <a:graphicData uri="http://schemas.openxmlformats.org/drawingml/2006/picture">
                      <pic:pic xmlns:pic="http://schemas.openxmlformats.org/drawingml/2006/picture">
                        <pic:nvPicPr>
                          <pic:cNvPr id="351" name="AutoShape_2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2" name="AutoShape_4_SpCnt_27"/>
                  <wp:cNvGraphicFramePr/>
                  <a:graphic xmlns:a="http://schemas.openxmlformats.org/drawingml/2006/main">
                    <a:graphicData uri="http://schemas.openxmlformats.org/drawingml/2006/picture">
                      <pic:pic xmlns:pic="http://schemas.openxmlformats.org/drawingml/2006/picture">
                        <pic:nvPicPr>
                          <pic:cNvPr id="352" name="AutoShape_4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53" name="AutoShape_3_SpCnt_13"/>
                  <wp:cNvGraphicFramePr/>
                  <a:graphic xmlns:a="http://schemas.openxmlformats.org/drawingml/2006/main">
                    <a:graphicData uri="http://schemas.openxmlformats.org/drawingml/2006/picture">
                      <pic:pic xmlns:pic="http://schemas.openxmlformats.org/drawingml/2006/picture">
                        <pic:nvPicPr>
                          <pic:cNvPr id="353" name="AutoShape_3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4" name="AutoShape_2_SpCnt_26"/>
                  <wp:cNvGraphicFramePr/>
                  <a:graphic xmlns:a="http://schemas.openxmlformats.org/drawingml/2006/main">
                    <a:graphicData uri="http://schemas.openxmlformats.org/drawingml/2006/picture">
                      <pic:pic xmlns:pic="http://schemas.openxmlformats.org/drawingml/2006/picture">
                        <pic:nvPicPr>
                          <pic:cNvPr id="354" name="AutoShape_2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5" name="AutoShape_2_SpCnt_27"/>
                  <wp:cNvGraphicFramePr/>
                  <a:graphic xmlns:a="http://schemas.openxmlformats.org/drawingml/2006/main">
                    <a:graphicData uri="http://schemas.openxmlformats.org/drawingml/2006/picture">
                      <pic:pic xmlns:pic="http://schemas.openxmlformats.org/drawingml/2006/picture">
                        <pic:nvPicPr>
                          <pic:cNvPr id="355" name="AutoShape_2_SpCnt_27"/>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6" name="AutoShape_4_SpCnt_28"/>
                  <wp:cNvGraphicFramePr/>
                  <a:graphic xmlns:a="http://schemas.openxmlformats.org/drawingml/2006/main">
                    <a:graphicData uri="http://schemas.openxmlformats.org/drawingml/2006/picture">
                      <pic:pic xmlns:pic="http://schemas.openxmlformats.org/drawingml/2006/picture">
                        <pic:nvPicPr>
                          <pic:cNvPr id="356" name="AutoShape_4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57" name="AutoShape_1_SpCnt_11"/>
                  <wp:cNvGraphicFramePr/>
                  <a:graphic xmlns:a="http://schemas.openxmlformats.org/drawingml/2006/main">
                    <a:graphicData uri="http://schemas.openxmlformats.org/drawingml/2006/picture">
                      <pic:pic xmlns:pic="http://schemas.openxmlformats.org/drawingml/2006/picture">
                        <pic:nvPicPr>
                          <pic:cNvPr id="357" name="AutoShape_1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8" name="AutoShape_4_SpCnt_29"/>
                  <wp:cNvGraphicFramePr/>
                  <a:graphic xmlns:a="http://schemas.openxmlformats.org/drawingml/2006/main">
                    <a:graphicData uri="http://schemas.openxmlformats.org/drawingml/2006/picture">
                      <pic:pic xmlns:pic="http://schemas.openxmlformats.org/drawingml/2006/picture">
                        <pic:nvPicPr>
                          <pic:cNvPr id="358" name="AutoShape_4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59" name="AutoShape_3_SpCnt_14"/>
                  <wp:cNvGraphicFramePr/>
                  <a:graphic xmlns:a="http://schemas.openxmlformats.org/drawingml/2006/main">
                    <a:graphicData uri="http://schemas.openxmlformats.org/drawingml/2006/picture">
                      <pic:pic xmlns:pic="http://schemas.openxmlformats.org/drawingml/2006/picture">
                        <pic:nvPicPr>
                          <pic:cNvPr id="359" name="AutoShape_3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0" name="AutoShape_2_SpCnt_28"/>
                  <wp:cNvGraphicFramePr/>
                  <a:graphic xmlns:a="http://schemas.openxmlformats.org/drawingml/2006/main">
                    <a:graphicData uri="http://schemas.openxmlformats.org/drawingml/2006/picture">
                      <pic:pic xmlns:pic="http://schemas.openxmlformats.org/drawingml/2006/picture">
                        <pic:nvPicPr>
                          <pic:cNvPr id="360" name="AutoShape_2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61" name="AutoShape_1_SpCnt_12"/>
                  <wp:cNvGraphicFramePr/>
                  <a:graphic xmlns:a="http://schemas.openxmlformats.org/drawingml/2006/main">
                    <a:graphicData uri="http://schemas.openxmlformats.org/drawingml/2006/picture">
                      <pic:pic xmlns:pic="http://schemas.openxmlformats.org/drawingml/2006/picture">
                        <pic:nvPicPr>
                          <pic:cNvPr id="361" name="AutoShape_1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2" name="AutoShape_2_SpCnt_29"/>
                  <wp:cNvGraphicFramePr/>
                  <a:graphic xmlns:a="http://schemas.openxmlformats.org/drawingml/2006/main">
                    <a:graphicData uri="http://schemas.openxmlformats.org/drawingml/2006/picture">
                      <pic:pic xmlns:pic="http://schemas.openxmlformats.org/drawingml/2006/picture">
                        <pic:nvPicPr>
                          <pic:cNvPr id="362" name="AutoShape_2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3" name="AutoShape_4_SpCnt_30"/>
                  <wp:cNvGraphicFramePr/>
                  <a:graphic xmlns:a="http://schemas.openxmlformats.org/drawingml/2006/main">
                    <a:graphicData uri="http://schemas.openxmlformats.org/drawingml/2006/picture">
                      <pic:pic xmlns:pic="http://schemas.openxmlformats.org/drawingml/2006/picture">
                        <pic:nvPicPr>
                          <pic:cNvPr id="363" name="AutoShape_4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64" name="AutoShape_3_SpCnt_15"/>
                  <wp:cNvGraphicFramePr/>
                  <a:graphic xmlns:a="http://schemas.openxmlformats.org/drawingml/2006/main">
                    <a:graphicData uri="http://schemas.openxmlformats.org/drawingml/2006/picture">
                      <pic:pic xmlns:pic="http://schemas.openxmlformats.org/drawingml/2006/picture">
                        <pic:nvPicPr>
                          <pic:cNvPr id="364" name="AutoShape_3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65" name="AutoShape_1_SpCnt_13"/>
                  <wp:cNvGraphicFramePr/>
                  <a:graphic xmlns:a="http://schemas.openxmlformats.org/drawingml/2006/main">
                    <a:graphicData uri="http://schemas.openxmlformats.org/drawingml/2006/picture">
                      <pic:pic xmlns:pic="http://schemas.openxmlformats.org/drawingml/2006/picture">
                        <pic:nvPicPr>
                          <pic:cNvPr id="365" name="AutoShape_1_SpCnt_13"/>
                          <pic:cNvPicPr/>
                        </pic:nvPicPr>
                        <pic:blipFill>
                          <a:blip r:embed="rId12"/>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6" name="AutoShape_2_SpCnt_30"/>
                  <wp:cNvGraphicFramePr/>
                  <a:graphic xmlns:a="http://schemas.openxmlformats.org/drawingml/2006/main">
                    <a:graphicData uri="http://schemas.openxmlformats.org/drawingml/2006/picture">
                      <pic:pic xmlns:pic="http://schemas.openxmlformats.org/drawingml/2006/picture">
                        <pic:nvPicPr>
                          <pic:cNvPr id="366" name="AutoShape_2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7" name="AutoShape_4_SpCnt_31"/>
                  <wp:cNvGraphicFramePr/>
                  <a:graphic xmlns:a="http://schemas.openxmlformats.org/drawingml/2006/main">
                    <a:graphicData uri="http://schemas.openxmlformats.org/drawingml/2006/picture">
                      <pic:pic xmlns:pic="http://schemas.openxmlformats.org/drawingml/2006/picture">
                        <pic:nvPicPr>
                          <pic:cNvPr id="367" name="AutoShape_4_SpCnt_31"/>
                          <pic:cNvPicPr/>
                        </pic:nvPicPr>
                        <pic:blipFill>
                          <a:blip r:embed="rId1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8" name="AutoShape_1_SpCnt_14"/>
                  <wp:cNvGraphicFramePr/>
                  <a:graphic xmlns:a="http://schemas.openxmlformats.org/drawingml/2006/main">
                    <a:graphicData uri="http://schemas.openxmlformats.org/drawingml/2006/picture">
                      <pic:pic xmlns:pic="http://schemas.openxmlformats.org/drawingml/2006/picture">
                        <pic:nvPicPr>
                          <pic:cNvPr id="368" name="AutoShape_1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69" name="AutoShape_2_SpCnt_31"/>
                  <wp:cNvGraphicFramePr/>
                  <a:graphic xmlns:a="http://schemas.openxmlformats.org/drawingml/2006/main">
                    <a:graphicData uri="http://schemas.openxmlformats.org/drawingml/2006/picture">
                      <pic:pic xmlns:pic="http://schemas.openxmlformats.org/drawingml/2006/picture">
                        <pic:nvPicPr>
                          <pic:cNvPr id="369" name="AutoShape_2_SpCnt_31"/>
                          <pic:cNvPicPr/>
                        </pic:nvPicPr>
                        <pic:blipFill>
                          <a:blip r:embed="rId14"/>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70" name="AutoShape_1_SpCnt_15"/>
                  <wp:cNvGraphicFramePr/>
                  <a:graphic xmlns:a="http://schemas.openxmlformats.org/drawingml/2006/main">
                    <a:graphicData uri="http://schemas.openxmlformats.org/drawingml/2006/picture">
                      <pic:pic xmlns:pic="http://schemas.openxmlformats.org/drawingml/2006/picture">
                        <pic:nvPicPr>
                          <pic:cNvPr id="370" name="AutoShape_1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71" name="Line_23_SpCnt_16"/>
                  <wp:cNvGraphicFramePr/>
                  <a:graphic xmlns:a="http://schemas.openxmlformats.org/drawingml/2006/main">
                    <a:graphicData uri="http://schemas.openxmlformats.org/drawingml/2006/picture">
                      <pic:pic xmlns:pic="http://schemas.openxmlformats.org/drawingml/2006/picture">
                        <pic:nvPicPr>
                          <pic:cNvPr id="371" name="Line_23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72" name="Line_23_SpCnt_17"/>
                  <wp:cNvGraphicFramePr/>
                  <a:graphic xmlns:a="http://schemas.openxmlformats.org/drawingml/2006/main">
                    <a:graphicData uri="http://schemas.openxmlformats.org/drawingml/2006/picture">
                      <pic:pic xmlns:pic="http://schemas.openxmlformats.org/drawingml/2006/picture">
                        <pic:nvPicPr>
                          <pic:cNvPr id="372" name="Line_23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73" name="Line_23_SpCnt_18"/>
                  <wp:cNvGraphicFramePr/>
                  <a:graphic xmlns:a="http://schemas.openxmlformats.org/drawingml/2006/main">
                    <a:graphicData uri="http://schemas.openxmlformats.org/drawingml/2006/picture">
                      <pic:pic xmlns:pic="http://schemas.openxmlformats.org/drawingml/2006/picture">
                        <pic:nvPicPr>
                          <pic:cNvPr id="373" name="Line_23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74" name="Line_23_SpCnt_19"/>
                  <wp:cNvGraphicFramePr/>
                  <a:graphic xmlns:a="http://schemas.openxmlformats.org/drawingml/2006/main">
                    <a:graphicData uri="http://schemas.openxmlformats.org/drawingml/2006/picture">
                      <pic:pic xmlns:pic="http://schemas.openxmlformats.org/drawingml/2006/picture">
                        <pic:nvPicPr>
                          <pic:cNvPr id="374" name="Line_23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75" name="Line_23_SpCnt_20"/>
                  <wp:cNvGraphicFramePr/>
                  <a:graphic xmlns:a="http://schemas.openxmlformats.org/drawingml/2006/main">
                    <a:graphicData uri="http://schemas.openxmlformats.org/drawingml/2006/picture">
                      <pic:pic xmlns:pic="http://schemas.openxmlformats.org/drawingml/2006/picture">
                        <pic:nvPicPr>
                          <pic:cNvPr id="375" name="Line_23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76" name="Line_23_SpCnt_21"/>
                  <wp:cNvGraphicFramePr/>
                  <a:graphic xmlns:a="http://schemas.openxmlformats.org/drawingml/2006/main">
                    <a:graphicData uri="http://schemas.openxmlformats.org/drawingml/2006/picture">
                      <pic:pic xmlns:pic="http://schemas.openxmlformats.org/drawingml/2006/picture">
                        <pic:nvPicPr>
                          <pic:cNvPr id="376" name="Line_23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77" name="Line_23_SpCnt_22"/>
                  <wp:cNvGraphicFramePr/>
                  <a:graphic xmlns:a="http://schemas.openxmlformats.org/drawingml/2006/main">
                    <a:graphicData uri="http://schemas.openxmlformats.org/drawingml/2006/picture">
                      <pic:pic xmlns:pic="http://schemas.openxmlformats.org/drawingml/2006/picture">
                        <pic:nvPicPr>
                          <pic:cNvPr id="377" name="Line_23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78" name="Line_23_SpCnt_23"/>
                  <wp:cNvGraphicFramePr/>
                  <a:graphic xmlns:a="http://schemas.openxmlformats.org/drawingml/2006/main">
                    <a:graphicData uri="http://schemas.openxmlformats.org/drawingml/2006/picture">
                      <pic:pic xmlns:pic="http://schemas.openxmlformats.org/drawingml/2006/picture">
                        <pic:nvPicPr>
                          <pic:cNvPr id="378" name="Line_23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379" name="Line_23_SpCnt_24"/>
                  <wp:cNvGraphicFramePr/>
                  <a:graphic xmlns:a="http://schemas.openxmlformats.org/drawingml/2006/main">
                    <a:graphicData uri="http://schemas.openxmlformats.org/drawingml/2006/picture">
                      <pic:pic xmlns:pic="http://schemas.openxmlformats.org/drawingml/2006/picture">
                        <pic:nvPicPr>
                          <pic:cNvPr id="379" name="Line_23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0" name="Line_23_SpCnt_25"/>
                  <wp:cNvGraphicFramePr/>
                  <a:graphic xmlns:a="http://schemas.openxmlformats.org/drawingml/2006/main">
                    <a:graphicData uri="http://schemas.openxmlformats.org/drawingml/2006/picture">
                      <pic:pic xmlns:pic="http://schemas.openxmlformats.org/drawingml/2006/picture">
                        <pic:nvPicPr>
                          <pic:cNvPr id="380" name="Line_23_SpCnt_25"/>
                          <pic:cNvPicPr/>
                        </pic:nvPicPr>
                        <pic:blipFill>
                          <a:blip r:embed="rId1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1" name="Line_23_SpCnt_26"/>
                  <wp:cNvGraphicFramePr/>
                  <a:graphic xmlns:a="http://schemas.openxmlformats.org/drawingml/2006/main">
                    <a:graphicData uri="http://schemas.openxmlformats.org/drawingml/2006/picture">
                      <pic:pic xmlns:pic="http://schemas.openxmlformats.org/drawingml/2006/picture">
                        <pic:nvPicPr>
                          <pic:cNvPr id="381" name="Line_23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2" name="Line_23_SpCnt_27"/>
                  <wp:cNvGraphicFramePr/>
                  <a:graphic xmlns:a="http://schemas.openxmlformats.org/drawingml/2006/main">
                    <a:graphicData uri="http://schemas.openxmlformats.org/drawingml/2006/picture">
                      <pic:pic xmlns:pic="http://schemas.openxmlformats.org/drawingml/2006/picture">
                        <pic:nvPicPr>
                          <pic:cNvPr id="382" name="Line_23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3" name="Line_23_SpCnt_28"/>
                  <wp:cNvGraphicFramePr/>
                  <a:graphic xmlns:a="http://schemas.openxmlformats.org/drawingml/2006/main">
                    <a:graphicData uri="http://schemas.openxmlformats.org/drawingml/2006/picture">
                      <pic:pic xmlns:pic="http://schemas.openxmlformats.org/drawingml/2006/picture">
                        <pic:nvPicPr>
                          <pic:cNvPr id="383" name="Line_23_SpCnt_28"/>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4" name="Line_23_SpCnt_29"/>
                  <wp:cNvGraphicFramePr/>
                  <a:graphic xmlns:a="http://schemas.openxmlformats.org/drawingml/2006/main">
                    <a:graphicData uri="http://schemas.openxmlformats.org/drawingml/2006/picture">
                      <pic:pic xmlns:pic="http://schemas.openxmlformats.org/drawingml/2006/picture">
                        <pic:nvPicPr>
                          <pic:cNvPr id="384" name="Line_23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5" name="Line_23_SpCnt_30"/>
                  <wp:cNvGraphicFramePr/>
                  <a:graphic xmlns:a="http://schemas.openxmlformats.org/drawingml/2006/main">
                    <a:graphicData uri="http://schemas.openxmlformats.org/drawingml/2006/picture">
                      <pic:pic xmlns:pic="http://schemas.openxmlformats.org/drawingml/2006/picture">
                        <pic:nvPicPr>
                          <pic:cNvPr id="385" name="Line_23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386" name="Line_23_SpCnt_31"/>
                  <wp:cNvGraphicFramePr/>
                  <a:graphic xmlns:a="http://schemas.openxmlformats.org/drawingml/2006/main">
                    <a:graphicData uri="http://schemas.openxmlformats.org/drawingml/2006/picture">
                      <pic:pic xmlns:pic="http://schemas.openxmlformats.org/drawingml/2006/picture">
                        <pic:nvPicPr>
                          <pic:cNvPr id="386" name="Line_23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52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弯头\NPS2\45°\LR\BW\XXS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弯头\NPS2\90°\LR\BW\13.0\A234 WPB\裸件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104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弯头\NPS3\90°\LR\BW\XXS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八字盲板</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8字盲板\NPS3\CL1500\FRTJ\A105\裸件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同心异径管\NPS3/4×1/2\BW\XXS\A234 WPB\裸件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同心异径管\NPS4×3\BW\XXS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异径三通\NPS3×2\BW\XXS\A234 WPB\裸件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异径三通\NPS4×2\BW\XXS</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等径三通\NPS2\BW\XXS\A234 WPB\涂漆\ASME B16.9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等径三通\NPS3\BW\XXS\A234 WPB\裸件\ASME B16.9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活接头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活接头\NPS1/2\NPTF\CL3000\16Mn\镀锌\MSS SP-83</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喷砂除锈至Sa2.5级后喷砂涂酚醛环氧底漆，干膜厚度100-150微米，最薄处壁厚偏差0~+5%</w:t>
            </w: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盲法兰\NPS3\CL900\RTJ\A105\裸件\ASME B16.5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盲法兰\NPS3\CL1500\RTJ\A105\裸件(清洗)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法兰\NPS3/4\CL2500\WN-RTJ\XXS\A105\裸件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89</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法兰\NPS2\CL1500\WN-RTJ\XXS\A105\裸件(清洗1)\ASME B16.5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5" name="AutoShape_4_SpCnt_32"/>
                  <wp:cNvGraphicFramePr/>
                  <a:graphic xmlns:a="http://schemas.openxmlformats.org/drawingml/2006/main">
                    <a:graphicData uri="http://schemas.openxmlformats.org/drawingml/2006/picture">
                      <pic:pic xmlns:pic="http://schemas.openxmlformats.org/drawingml/2006/picture">
                        <pic:nvPicPr>
                          <pic:cNvPr id="515" name="AutoShape_4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6" name="AutoShape_2_SpCnt_32"/>
                  <wp:cNvGraphicFramePr/>
                  <a:graphic xmlns:a="http://schemas.openxmlformats.org/drawingml/2006/main">
                    <a:graphicData uri="http://schemas.openxmlformats.org/drawingml/2006/picture">
                      <pic:pic xmlns:pic="http://schemas.openxmlformats.org/drawingml/2006/picture">
                        <pic:nvPicPr>
                          <pic:cNvPr id="516" name="AutoShape_2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7" name="AutoShape_2_SpCnt_33"/>
                  <wp:cNvGraphicFramePr/>
                  <a:graphic xmlns:a="http://schemas.openxmlformats.org/drawingml/2006/main">
                    <a:graphicData uri="http://schemas.openxmlformats.org/drawingml/2006/picture">
                      <pic:pic xmlns:pic="http://schemas.openxmlformats.org/drawingml/2006/picture">
                        <pic:nvPicPr>
                          <pic:cNvPr id="517" name="AutoShape_2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8" name="AutoShape_4_SpCnt_33"/>
                  <wp:cNvGraphicFramePr/>
                  <a:graphic xmlns:a="http://schemas.openxmlformats.org/drawingml/2006/main">
                    <a:graphicData uri="http://schemas.openxmlformats.org/drawingml/2006/picture">
                      <pic:pic xmlns:pic="http://schemas.openxmlformats.org/drawingml/2006/picture">
                        <pic:nvPicPr>
                          <pic:cNvPr id="518" name="AutoShape_4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19" name="AutoShape_3_SpCnt_16"/>
                  <wp:cNvGraphicFramePr/>
                  <a:graphic xmlns:a="http://schemas.openxmlformats.org/drawingml/2006/main">
                    <a:graphicData uri="http://schemas.openxmlformats.org/drawingml/2006/picture">
                      <pic:pic xmlns:pic="http://schemas.openxmlformats.org/drawingml/2006/picture">
                        <pic:nvPicPr>
                          <pic:cNvPr id="519" name="AutoShape_3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20" name="AutoShape_1_SpCnt_16"/>
                  <wp:cNvGraphicFramePr/>
                  <a:graphic xmlns:a="http://schemas.openxmlformats.org/drawingml/2006/main">
                    <a:graphicData uri="http://schemas.openxmlformats.org/drawingml/2006/picture">
                      <pic:pic xmlns:pic="http://schemas.openxmlformats.org/drawingml/2006/picture">
                        <pic:nvPicPr>
                          <pic:cNvPr id="520" name="AutoShape_1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1" name="AutoShape_4_SpCnt_34"/>
                  <wp:cNvGraphicFramePr/>
                  <a:graphic xmlns:a="http://schemas.openxmlformats.org/drawingml/2006/main">
                    <a:graphicData uri="http://schemas.openxmlformats.org/drawingml/2006/picture">
                      <pic:pic xmlns:pic="http://schemas.openxmlformats.org/drawingml/2006/picture">
                        <pic:nvPicPr>
                          <pic:cNvPr id="521" name="AutoShape_4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2" name="AutoShape_4_SpCnt_35"/>
                  <wp:cNvGraphicFramePr/>
                  <a:graphic xmlns:a="http://schemas.openxmlformats.org/drawingml/2006/main">
                    <a:graphicData uri="http://schemas.openxmlformats.org/drawingml/2006/picture">
                      <pic:pic xmlns:pic="http://schemas.openxmlformats.org/drawingml/2006/picture">
                        <pic:nvPicPr>
                          <pic:cNvPr id="522" name="AutoShape_4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3" name="AutoShape_3_SpCnt_17"/>
                  <wp:cNvGraphicFramePr/>
                  <a:graphic xmlns:a="http://schemas.openxmlformats.org/drawingml/2006/main">
                    <a:graphicData uri="http://schemas.openxmlformats.org/drawingml/2006/picture">
                      <pic:pic xmlns:pic="http://schemas.openxmlformats.org/drawingml/2006/picture">
                        <pic:nvPicPr>
                          <pic:cNvPr id="523" name="AutoShape_3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24" name="AutoShape_1_SpCnt_17"/>
                  <wp:cNvGraphicFramePr/>
                  <a:graphic xmlns:a="http://schemas.openxmlformats.org/drawingml/2006/main">
                    <a:graphicData uri="http://schemas.openxmlformats.org/drawingml/2006/picture">
                      <pic:pic xmlns:pic="http://schemas.openxmlformats.org/drawingml/2006/picture">
                        <pic:nvPicPr>
                          <pic:cNvPr id="524" name="AutoShape_1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5" name="AutoShape_4_SpCnt_36"/>
                  <wp:cNvGraphicFramePr/>
                  <a:graphic xmlns:a="http://schemas.openxmlformats.org/drawingml/2006/main">
                    <a:graphicData uri="http://schemas.openxmlformats.org/drawingml/2006/picture">
                      <pic:pic xmlns:pic="http://schemas.openxmlformats.org/drawingml/2006/picture">
                        <pic:nvPicPr>
                          <pic:cNvPr id="525" name="AutoShape_4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6" name="AutoShape_2_SpCnt_34"/>
                  <wp:cNvGraphicFramePr/>
                  <a:graphic xmlns:a="http://schemas.openxmlformats.org/drawingml/2006/main">
                    <a:graphicData uri="http://schemas.openxmlformats.org/drawingml/2006/picture">
                      <pic:pic xmlns:pic="http://schemas.openxmlformats.org/drawingml/2006/picture">
                        <pic:nvPicPr>
                          <pic:cNvPr id="526" name="AutoShape_2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7" name="AutoShape_4_SpCnt_37"/>
                  <wp:cNvGraphicFramePr/>
                  <a:graphic xmlns:a="http://schemas.openxmlformats.org/drawingml/2006/main">
                    <a:graphicData uri="http://schemas.openxmlformats.org/drawingml/2006/picture">
                      <pic:pic xmlns:pic="http://schemas.openxmlformats.org/drawingml/2006/picture">
                        <pic:nvPicPr>
                          <pic:cNvPr id="527" name="AutoShape_4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28" name="AutoShape_3_SpCnt_18"/>
                  <wp:cNvGraphicFramePr/>
                  <a:graphic xmlns:a="http://schemas.openxmlformats.org/drawingml/2006/main">
                    <a:graphicData uri="http://schemas.openxmlformats.org/drawingml/2006/picture">
                      <pic:pic xmlns:pic="http://schemas.openxmlformats.org/drawingml/2006/picture">
                        <pic:nvPicPr>
                          <pic:cNvPr id="528" name="AutoShape_3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29" name="AutoShape_4_SpCnt_38"/>
                  <wp:cNvGraphicFramePr/>
                  <a:graphic xmlns:a="http://schemas.openxmlformats.org/drawingml/2006/main">
                    <a:graphicData uri="http://schemas.openxmlformats.org/drawingml/2006/picture">
                      <pic:pic xmlns:pic="http://schemas.openxmlformats.org/drawingml/2006/picture">
                        <pic:nvPicPr>
                          <pic:cNvPr id="529" name="AutoShape_4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0" name="AutoShape_1_SpCnt_18"/>
                  <wp:cNvGraphicFramePr/>
                  <a:graphic xmlns:a="http://schemas.openxmlformats.org/drawingml/2006/main">
                    <a:graphicData uri="http://schemas.openxmlformats.org/drawingml/2006/picture">
                      <pic:pic xmlns:pic="http://schemas.openxmlformats.org/drawingml/2006/picture">
                        <pic:nvPicPr>
                          <pic:cNvPr id="530" name="AutoShape_1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1" name="AutoShape_4_SpCnt_39"/>
                  <wp:cNvGraphicFramePr/>
                  <a:graphic xmlns:a="http://schemas.openxmlformats.org/drawingml/2006/main">
                    <a:graphicData uri="http://schemas.openxmlformats.org/drawingml/2006/picture">
                      <pic:pic xmlns:pic="http://schemas.openxmlformats.org/drawingml/2006/picture">
                        <pic:nvPicPr>
                          <pic:cNvPr id="531" name="AutoShape_4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2" name="AutoShape_2_SpCnt_35"/>
                  <wp:cNvGraphicFramePr/>
                  <a:graphic xmlns:a="http://schemas.openxmlformats.org/drawingml/2006/main">
                    <a:graphicData uri="http://schemas.openxmlformats.org/drawingml/2006/picture">
                      <pic:pic xmlns:pic="http://schemas.openxmlformats.org/drawingml/2006/picture">
                        <pic:nvPicPr>
                          <pic:cNvPr id="532" name="AutoShape_2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3" name="AutoShape_4_SpCnt_40"/>
                  <wp:cNvGraphicFramePr/>
                  <a:graphic xmlns:a="http://schemas.openxmlformats.org/drawingml/2006/main">
                    <a:graphicData uri="http://schemas.openxmlformats.org/drawingml/2006/picture">
                      <pic:pic xmlns:pic="http://schemas.openxmlformats.org/drawingml/2006/picture">
                        <pic:nvPicPr>
                          <pic:cNvPr id="533" name="AutoShape_4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4" name="AutoShape_3_SpCnt_19"/>
                  <wp:cNvGraphicFramePr/>
                  <a:graphic xmlns:a="http://schemas.openxmlformats.org/drawingml/2006/main">
                    <a:graphicData uri="http://schemas.openxmlformats.org/drawingml/2006/picture">
                      <pic:pic xmlns:pic="http://schemas.openxmlformats.org/drawingml/2006/picture">
                        <pic:nvPicPr>
                          <pic:cNvPr id="534" name="AutoShape_3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5" name="AutoShape_1_SpCnt_19"/>
                  <wp:cNvGraphicFramePr/>
                  <a:graphic xmlns:a="http://schemas.openxmlformats.org/drawingml/2006/main">
                    <a:graphicData uri="http://schemas.openxmlformats.org/drawingml/2006/picture">
                      <pic:pic xmlns:pic="http://schemas.openxmlformats.org/drawingml/2006/picture">
                        <pic:nvPicPr>
                          <pic:cNvPr id="535" name="AutoShape_1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6" name="AutoShape_2_SpCnt_36"/>
                  <wp:cNvGraphicFramePr/>
                  <a:graphic xmlns:a="http://schemas.openxmlformats.org/drawingml/2006/main">
                    <a:graphicData uri="http://schemas.openxmlformats.org/drawingml/2006/picture">
                      <pic:pic xmlns:pic="http://schemas.openxmlformats.org/drawingml/2006/picture">
                        <pic:nvPicPr>
                          <pic:cNvPr id="536" name="AutoShape_2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7" name="AutoShape_4_SpCnt_41"/>
                  <wp:cNvGraphicFramePr/>
                  <a:graphic xmlns:a="http://schemas.openxmlformats.org/drawingml/2006/main">
                    <a:graphicData uri="http://schemas.openxmlformats.org/drawingml/2006/picture">
                      <pic:pic xmlns:pic="http://schemas.openxmlformats.org/drawingml/2006/picture">
                        <pic:nvPicPr>
                          <pic:cNvPr id="537" name="AutoShape_4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8" name="AutoShape_4_SpCnt_42"/>
                  <wp:cNvGraphicFramePr/>
                  <a:graphic xmlns:a="http://schemas.openxmlformats.org/drawingml/2006/main">
                    <a:graphicData uri="http://schemas.openxmlformats.org/drawingml/2006/picture">
                      <pic:pic xmlns:pic="http://schemas.openxmlformats.org/drawingml/2006/picture">
                        <pic:nvPicPr>
                          <pic:cNvPr id="538" name="AutoShape_4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39" name="AutoShape_3_SpCnt_20"/>
                  <wp:cNvGraphicFramePr/>
                  <a:graphic xmlns:a="http://schemas.openxmlformats.org/drawingml/2006/main">
                    <a:graphicData uri="http://schemas.openxmlformats.org/drawingml/2006/picture">
                      <pic:pic xmlns:pic="http://schemas.openxmlformats.org/drawingml/2006/picture">
                        <pic:nvPicPr>
                          <pic:cNvPr id="539" name="AutoShape_3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0" name="AutoShape_4_SpCnt_43"/>
                  <wp:cNvGraphicFramePr/>
                  <a:graphic xmlns:a="http://schemas.openxmlformats.org/drawingml/2006/main">
                    <a:graphicData uri="http://schemas.openxmlformats.org/drawingml/2006/picture">
                      <pic:pic xmlns:pic="http://schemas.openxmlformats.org/drawingml/2006/picture">
                        <pic:nvPicPr>
                          <pic:cNvPr id="540" name="AutoShape_4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1" name="AutoShape_2_SpCnt_37"/>
                  <wp:cNvGraphicFramePr/>
                  <a:graphic xmlns:a="http://schemas.openxmlformats.org/drawingml/2006/main">
                    <a:graphicData uri="http://schemas.openxmlformats.org/drawingml/2006/picture">
                      <pic:pic xmlns:pic="http://schemas.openxmlformats.org/drawingml/2006/picture">
                        <pic:nvPicPr>
                          <pic:cNvPr id="541" name="AutoShape_2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2" name="AutoShape_4_SpCnt_44"/>
                  <wp:cNvGraphicFramePr/>
                  <a:graphic xmlns:a="http://schemas.openxmlformats.org/drawingml/2006/main">
                    <a:graphicData uri="http://schemas.openxmlformats.org/drawingml/2006/picture">
                      <pic:pic xmlns:pic="http://schemas.openxmlformats.org/drawingml/2006/picture">
                        <pic:nvPicPr>
                          <pic:cNvPr id="542" name="AutoShape_4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43" name="AutoShape_3_SpCnt_21"/>
                  <wp:cNvGraphicFramePr/>
                  <a:graphic xmlns:a="http://schemas.openxmlformats.org/drawingml/2006/main">
                    <a:graphicData uri="http://schemas.openxmlformats.org/drawingml/2006/picture">
                      <pic:pic xmlns:pic="http://schemas.openxmlformats.org/drawingml/2006/picture">
                        <pic:nvPicPr>
                          <pic:cNvPr id="543" name="AutoShape_3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44" name="AutoShape_1_SpCnt_20"/>
                  <wp:cNvGraphicFramePr/>
                  <a:graphic xmlns:a="http://schemas.openxmlformats.org/drawingml/2006/main">
                    <a:graphicData uri="http://schemas.openxmlformats.org/drawingml/2006/picture">
                      <pic:pic xmlns:pic="http://schemas.openxmlformats.org/drawingml/2006/picture">
                        <pic:nvPicPr>
                          <pic:cNvPr id="544" name="AutoShape_1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5" name="AutoShape_4_SpCnt_45"/>
                  <wp:cNvGraphicFramePr/>
                  <a:graphic xmlns:a="http://schemas.openxmlformats.org/drawingml/2006/main">
                    <a:graphicData uri="http://schemas.openxmlformats.org/drawingml/2006/picture">
                      <pic:pic xmlns:pic="http://schemas.openxmlformats.org/drawingml/2006/picture">
                        <pic:nvPicPr>
                          <pic:cNvPr id="545" name="AutoShape_4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46" name="AutoShape_3_SpCnt_22"/>
                  <wp:cNvGraphicFramePr/>
                  <a:graphic xmlns:a="http://schemas.openxmlformats.org/drawingml/2006/main">
                    <a:graphicData uri="http://schemas.openxmlformats.org/drawingml/2006/picture">
                      <pic:pic xmlns:pic="http://schemas.openxmlformats.org/drawingml/2006/picture">
                        <pic:nvPicPr>
                          <pic:cNvPr id="546" name="AutoShape_3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7" name="AutoShape_2_SpCnt_38"/>
                  <wp:cNvGraphicFramePr/>
                  <a:graphic xmlns:a="http://schemas.openxmlformats.org/drawingml/2006/main">
                    <a:graphicData uri="http://schemas.openxmlformats.org/drawingml/2006/picture">
                      <pic:pic xmlns:pic="http://schemas.openxmlformats.org/drawingml/2006/picture">
                        <pic:nvPicPr>
                          <pic:cNvPr id="547" name="AutoShape_2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8" name="AutoShape_2_SpCnt_39"/>
                  <wp:cNvGraphicFramePr/>
                  <a:graphic xmlns:a="http://schemas.openxmlformats.org/drawingml/2006/main">
                    <a:graphicData uri="http://schemas.openxmlformats.org/drawingml/2006/picture">
                      <pic:pic xmlns:pic="http://schemas.openxmlformats.org/drawingml/2006/picture">
                        <pic:nvPicPr>
                          <pic:cNvPr id="548" name="AutoShape_2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49" name="AutoShape_2_SpCnt_40"/>
                  <wp:cNvGraphicFramePr/>
                  <a:graphic xmlns:a="http://schemas.openxmlformats.org/drawingml/2006/main">
                    <a:graphicData uri="http://schemas.openxmlformats.org/drawingml/2006/picture">
                      <pic:pic xmlns:pic="http://schemas.openxmlformats.org/drawingml/2006/picture">
                        <pic:nvPicPr>
                          <pic:cNvPr id="549" name="AutoShape_2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0" name="AutoShape_4_SpCnt_46"/>
                  <wp:cNvGraphicFramePr/>
                  <a:graphic xmlns:a="http://schemas.openxmlformats.org/drawingml/2006/main">
                    <a:graphicData uri="http://schemas.openxmlformats.org/drawingml/2006/picture">
                      <pic:pic xmlns:pic="http://schemas.openxmlformats.org/drawingml/2006/picture">
                        <pic:nvPicPr>
                          <pic:cNvPr id="550" name="AutoShape_4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1" name="AutoShape_2_SpCnt_41"/>
                  <wp:cNvGraphicFramePr/>
                  <a:graphic xmlns:a="http://schemas.openxmlformats.org/drawingml/2006/main">
                    <a:graphicData uri="http://schemas.openxmlformats.org/drawingml/2006/picture">
                      <pic:pic xmlns:pic="http://schemas.openxmlformats.org/drawingml/2006/picture">
                        <pic:nvPicPr>
                          <pic:cNvPr id="551" name="AutoShape_2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2" name="AutoShape_2_SpCnt_42"/>
                  <wp:cNvGraphicFramePr/>
                  <a:graphic xmlns:a="http://schemas.openxmlformats.org/drawingml/2006/main">
                    <a:graphicData uri="http://schemas.openxmlformats.org/drawingml/2006/picture">
                      <pic:pic xmlns:pic="http://schemas.openxmlformats.org/drawingml/2006/picture">
                        <pic:nvPicPr>
                          <pic:cNvPr id="552" name="AutoShape_2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53" name="AutoShape_1_SpCnt_21"/>
                  <wp:cNvGraphicFramePr/>
                  <a:graphic xmlns:a="http://schemas.openxmlformats.org/drawingml/2006/main">
                    <a:graphicData uri="http://schemas.openxmlformats.org/drawingml/2006/picture">
                      <pic:pic xmlns:pic="http://schemas.openxmlformats.org/drawingml/2006/picture">
                        <pic:nvPicPr>
                          <pic:cNvPr id="553" name="AutoShape_1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4" name="AutoShape_2_SpCnt_43"/>
                  <wp:cNvGraphicFramePr/>
                  <a:graphic xmlns:a="http://schemas.openxmlformats.org/drawingml/2006/main">
                    <a:graphicData uri="http://schemas.openxmlformats.org/drawingml/2006/picture">
                      <pic:pic xmlns:pic="http://schemas.openxmlformats.org/drawingml/2006/picture">
                        <pic:nvPicPr>
                          <pic:cNvPr id="554" name="AutoShape_2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5" name="AutoShape_1_SpCnt_22"/>
                  <wp:cNvGraphicFramePr/>
                  <a:graphic xmlns:a="http://schemas.openxmlformats.org/drawingml/2006/main">
                    <a:graphicData uri="http://schemas.openxmlformats.org/drawingml/2006/picture">
                      <pic:pic xmlns:pic="http://schemas.openxmlformats.org/drawingml/2006/picture">
                        <pic:nvPicPr>
                          <pic:cNvPr id="555" name="AutoShape_1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6" name="AutoShape_2_SpCnt_44"/>
                  <wp:cNvGraphicFramePr/>
                  <a:graphic xmlns:a="http://schemas.openxmlformats.org/drawingml/2006/main">
                    <a:graphicData uri="http://schemas.openxmlformats.org/drawingml/2006/picture">
                      <pic:pic xmlns:pic="http://schemas.openxmlformats.org/drawingml/2006/picture">
                        <pic:nvPicPr>
                          <pic:cNvPr id="556" name="AutoShape_2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57" name="AutoShape_3_SpCnt_23"/>
                  <wp:cNvGraphicFramePr/>
                  <a:graphic xmlns:a="http://schemas.openxmlformats.org/drawingml/2006/main">
                    <a:graphicData uri="http://schemas.openxmlformats.org/drawingml/2006/picture">
                      <pic:pic xmlns:pic="http://schemas.openxmlformats.org/drawingml/2006/picture">
                        <pic:nvPicPr>
                          <pic:cNvPr id="557" name="AutoShape_3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8" name="AutoShape_2_SpCnt_45"/>
                  <wp:cNvGraphicFramePr/>
                  <a:graphic xmlns:a="http://schemas.openxmlformats.org/drawingml/2006/main">
                    <a:graphicData uri="http://schemas.openxmlformats.org/drawingml/2006/picture">
                      <pic:pic xmlns:pic="http://schemas.openxmlformats.org/drawingml/2006/picture">
                        <pic:nvPicPr>
                          <pic:cNvPr id="558" name="AutoShape_2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59" name="AutoShape_1_SpCnt_23"/>
                  <wp:cNvGraphicFramePr/>
                  <a:graphic xmlns:a="http://schemas.openxmlformats.org/drawingml/2006/main">
                    <a:graphicData uri="http://schemas.openxmlformats.org/drawingml/2006/picture">
                      <pic:pic xmlns:pic="http://schemas.openxmlformats.org/drawingml/2006/picture">
                        <pic:nvPicPr>
                          <pic:cNvPr id="559" name="AutoShape_1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60" name="AutoShape_2_SpCnt_46"/>
                  <wp:cNvGraphicFramePr/>
                  <a:graphic xmlns:a="http://schemas.openxmlformats.org/drawingml/2006/main">
                    <a:graphicData uri="http://schemas.openxmlformats.org/drawingml/2006/picture">
                      <pic:pic xmlns:pic="http://schemas.openxmlformats.org/drawingml/2006/picture">
                        <pic:nvPicPr>
                          <pic:cNvPr id="560" name="AutoShape_2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61" name="AutoShape_2_SpCnt_47"/>
                  <wp:cNvGraphicFramePr/>
                  <a:graphic xmlns:a="http://schemas.openxmlformats.org/drawingml/2006/main">
                    <a:graphicData uri="http://schemas.openxmlformats.org/drawingml/2006/picture">
                      <pic:pic xmlns:pic="http://schemas.openxmlformats.org/drawingml/2006/picture">
                        <pic:nvPicPr>
                          <pic:cNvPr id="561" name="AutoShape_2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62" name="AutoShape_4_SpCnt_47"/>
                  <wp:cNvGraphicFramePr/>
                  <a:graphic xmlns:a="http://schemas.openxmlformats.org/drawingml/2006/main">
                    <a:graphicData uri="http://schemas.openxmlformats.org/drawingml/2006/picture">
                      <pic:pic xmlns:pic="http://schemas.openxmlformats.org/drawingml/2006/picture">
                        <pic:nvPicPr>
                          <pic:cNvPr id="562" name="AutoShape_4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63" name="Line_23_SpCnt_32"/>
                  <wp:cNvGraphicFramePr/>
                  <a:graphic xmlns:a="http://schemas.openxmlformats.org/drawingml/2006/main">
                    <a:graphicData uri="http://schemas.openxmlformats.org/drawingml/2006/picture">
                      <pic:pic xmlns:pic="http://schemas.openxmlformats.org/drawingml/2006/picture">
                        <pic:nvPicPr>
                          <pic:cNvPr id="563" name="Line_23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4" name="Line_23_SpCnt_33"/>
                  <wp:cNvGraphicFramePr/>
                  <a:graphic xmlns:a="http://schemas.openxmlformats.org/drawingml/2006/main">
                    <a:graphicData uri="http://schemas.openxmlformats.org/drawingml/2006/picture">
                      <pic:pic xmlns:pic="http://schemas.openxmlformats.org/drawingml/2006/picture">
                        <pic:nvPicPr>
                          <pic:cNvPr id="564" name="Line_23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5" name="Line_23_SpCnt_34"/>
                  <wp:cNvGraphicFramePr/>
                  <a:graphic xmlns:a="http://schemas.openxmlformats.org/drawingml/2006/main">
                    <a:graphicData uri="http://schemas.openxmlformats.org/drawingml/2006/picture">
                      <pic:pic xmlns:pic="http://schemas.openxmlformats.org/drawingml/2006/picture">
                        <pic:nvPicPr>
                          <pic:cNvPr id="565" name="Line_23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6" name="Line_23_SpCnt_35"/>
                  <wp:cNvGraphicFramePr/>
                  <a:graphic xmlns:a="http://schemas.openxmlformats.org/drawingml/2006/main">
                    <a:graphicData uri="http://schemas.openxmlformats.org/drawingml/2006/picture">
                      <pic:pic xmlns:pic="http://schemas.openxmlformats.org/drawingml/2006/picture">
                        <pic:nvPicPr>
                          <pic:cNvPr id="566" name="Line_23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7" name="Line_23_SpCnt_36"/>
                  <wp:cNvGraphicFramePr/>
                  <a:graphic xmlns:a="http://schemas.openxmlformats.org/drawingml/2006/main">
                    <a:graphicData uri="http://schemas.openxmlformats.org/drawingml/2006/picture">
                      <pic:pic xmlns:pic="http://schemas.openxmlformats.org/drawingml/2006/picture">
                        <pic:nvPicPr>
                          <pic:cNvPr id="567" name="Line_23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8" name="Line_23_SpCnt_37"/>
                  <wp:cNvGraphicFramePr/>
                  <a:graphic xmlns:a="http://schemas.openxmlformats.org/drawingml/2006/main">
                    <a:graphicData uri="http://schemas.openxmlformats.org/drawingml/2006/picture">
                      <pic:pic xmlns:pic="http://schemas.openxmlformats.org/drawingml/2006/picture">
                        <pic:nvPicPr>
                          <pic:cNvPr id="568" name="Line_23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69" name="Line_23_SpCnt_38"/>
                  <wp:cNvGraphicFramePr/>
                  <a:graphic xmlns:a="http://schemas.openxmlformats.org/drawingml/2006/main">
                    <a:graphicData uri="http://schemas.openxmlformats.org/drawingml/2006/picture">
                      <pic:pic xmlns:pic="http://schemas.openxmlformats.org/drawingml/2006/picture">
                        <pic:nvPicPr>
                          <pic:cNvPr id="569" name="Line_23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0" name="Line_23_SpCnt_39"/>
                  <wp:cNvGraphicFramePr/>
                  <a:graphic xmlns:a="http://schemas.openxmlformats.org/drawingml/2006/main">
                    <a:graphicData uri="http://schemas.openxmlformats.org/drawingml/2006/picture">
                      <pic:pic xmlns:pic="http://schemas.openxmlformats.org/drawingml/2006/picture">
                        <pic:nvPicPr>
                          <pic:cNvPr id="570" name="Line_23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1" name="Line_23_SpCnt_40"/>
                  <wp:cNvGraphicFramePr/>
                  <a:graphic xmlns:a="http://schemas.openxmlformats.org/drawingml/2006/main">
                    <a:graphicData uri="http://schemas.openxmlformats.org/drawingml/2006/picture">
                      <pic:pic xmlns:pic="http://schemas.openxmlformats.org/drawingml/2006/picture">
                        <pic:nvPicPr>
                          <pic:cNvPr id="571" name="Line_23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2" name="Line_23_SpCnt_41"/>
                  <wp:cNvGraphicFramePr/>
                  <a:graphic xmlns:a="http://schemas.openxmlformats.org/drawingml/2006/main">
                    <a:graphicData uri="http://schemas.openxmlformats.org/drawingml/2006/picture">
                      <pic:pic xmlns:pic="http://schemas.openxmlformats.org/drawingml/2006/picture">
                        <pic:nvPicPr>
                          <pic:cNvPr id="572" name="Line_23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3" name="Line_23_SpCnt_42"/>
                  <wp:cNvGraphicFramePr/>
                  <a:graphic xmlns:a="http://schemas.openxmlformats.org/drawingml/2006/main">
                    <a:graphicData uri="http://schemas.openxmlformats.org/drawingml/2006/picture">
                      <pic:pic xmlns:pic="http://schemas.openxmlformats.org/drawingml/2006/picture">
                        <pic:nvPicPr>
                          <pic:cNvPr id="573" name="Line_23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74" name="Line_23_SpCnt_43"/>
                  <wp:cNvGraphicFramePr/>
                  <a:graphic xmlns:a="http://schemas.openxmlformats.org/drawingml/2006/main">
                    <a:graphicData uri="http://schemas.openxmlformats.org/drawingml/2006/picture">
                      <pic:pic xmlns:pic="http://schemas.openxmlformats.org/drawingml/2006/picture">
                        <pic:nvPicPr>
                          <pic:cNvPr id="574" name="Line_23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75" name="Line_23_SpCnt_44"/>
                  <wp:cNvGraphicFramePr/>
                  <a:graphic xmlns:a="http://schemas.openxmlformats.org/drawingml/2006/main">
                    <a:graphicData uri="http://schemas.openxmlformats.org/drawingml/2006/picture">
                      <pic:pic xmlns:pic="http://schemas.openxmlformats.org/drawingml/2006/picture">
                        <pic:nvPicPr>
                          <pic:cNvPr id="575" name="Line_23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6" name="Line_23_SpCnt_45"/>
                  <wp:cNvGraphicFramePr/>
                  <a:graphic xmlns:a="http://schemas.openxmlformats.org/drawingml/2006/main">
                    <a:graphicData uri="http://schemas.openxmlformats.org/drawingml/2006/picture">
                      <pic:pic xmlns:pic="http://schemas.openxmlformats.org/drawingml/2006/picture">
                        <pic:nvPicPr>
                          <pic:cNvPr id="576" name="Line_23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77" name="Line_23_SpCnt_46"/>
                  <wp:cNvGraphicFramePr/>
                  <a:graphic xmlns:a="http://schemas.openxmlformats.org/drawingml/2006/main">
                    <a:graphicData uri="http://schemas.openxmlformats.org/drawingml/2006/picture">
                      <pic:pic xmlns:pic="http://schemas.openxmlformats.org/drawingml/2006/picture">
                        <pic:nvPicPr>
                          <pic:cNvPr id="577" name="Line_23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78" name="Line_23_SpCnt_47"/>
                  <wp:cNvGraphicFramePr/>
                  <a:graphic xmlns:a="http://schemas.openxmlformats.org/drawingml/2006/main">
                    <a:graphicData uri="http://schemas.openxmlformats.org/drawingml/2006/picture">
                      <pic:pic xmlns:pic="http://schemas.openxmlformats.org/drawingml/2006/picture">
                        <pic:nvPicPr>
                          <pic:cNvPr id="578" name="Line_23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法兰\NPS2\CL2500\WN-RTJ\13.0\A105\裸件\ASME B16.5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79" name="AutoShape_4_SpCnt_48"/>
                  <wp:cNvGraphicFramePr/>
                  <a:graphic xmlns:a="http://schemas.openxmlformats.org/drawingml/2006/main">
                    <a:graphicData uri="http://schemas.openxmlformats.org/drawingml/2006/picture">
                      <pic:pic xmlns:pic="http://schemas.openxmlformats.org/drawingml/2006/picture">
                        <pic:nvPicPr>
                          <pic:cNvPr id="579" name="AutoShape_4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0" name="AutoShape_4_SpCnt_49"/>
                  <wp:cNvGraphicFramePr/>
                  <a:graphic xmlns:a="http://schemas.openxmlformats.org/drawingml/2006/main">
                    <a:graphicData uri="http://schemas.openxmlformats.org/drawingml/2006/picture">
                      <pic:pic xmlns:pic="http://schemas.openxmlformats.org/drawingml/2006/picture">
                        <pic:nvPicPr>
                          <pic:cNvPr id="580" name="AutoShape_4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1" name="AutoShape_2_SpCnt_48"/>
                  <wp:cNvGraphicFramePr/>
                  <a:graphic xmlns:a="http://schemas.openxmlformats.org/drawingml/2006/main">
                    <a:graphicData uri="http://schemas.openxmlformats.org/drawingml/2006/picture">
                      <pic:pic xmlns:pic="http://schemas.openxmlformats.org/drawingml/2006/picture">
                        <pic:nvPicPr>
                          <pic:cNvPr id="581" name="AutoShape_2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82" name="AutoShape_1_SpCnt_24"/>
                  <wp:cNvGraphicFramePr/>
                  <a:graphic xmlns:a="http://schemas.openxmlformats.org/drawingml/2006/main">
                    <a:graphicData uri="http://schemas.openxmlformats.org/drawingml/2006/picture">
                      <pic:pic xmlns:pic="http://schemas.openxmlformats.org/drawingml/2006/picture">
                        <pic:nvPicPr>
                          <pic:cNvPr id="582" name="AutoShape_1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3" name="AutoShape_2_SpCnt_49"/>
                  <wp:cNvGraphicFramePr/>
                  <a:graphic xmlns:a="http://schemas.openxmlformats.org/drawingml/2006/main">
                    <a:graphicData uri="http://schemas.openxmlformats.org/drawingml/2006/picture">
                      <pic:pic xmlns:pic="http://schemas.openxmlformats.org/drawingml/2006/picture">
                        <pic:nvPicPr>
                          <pic:cNvPr id="583" name="AutoShape_2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584" name="AutoShape_1_SpCnt_25"/>
                  <wp:cNvGraphicFramePr/>
                  <a:graphic xmlns:a="http://schemas.openxmlformats.org/drawingml/2006/main">
                    <a:graphicData uri="http://schemas.openxmlformats.org/drawingml/2006/picture">
                      <pic:pic xmlns:pic="http://schemas.openxmlformats.org/drawingml/2006/picture">
                        <pic:nvPicPr>
                          <pic:cNvPr id="584" name="AutoShape_1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5" name="AutoShape_4_SpCnt_50"/>
                  <wp:cNvGraphicFramePr/>
                  <a:graphic xmlns:a="http://schemas.openxmlformats.org/drawingml/2006/main">
                    <a:graphicData uri="http://schemas.openxmlformats.org/drawingml/2006/picture">
                      <pic:pic xmlns:pic="http://schemas.openxmlformats.org/drawingml/2006/picture">
                        <pic:nvPicPr>
                          <pic:cNvPr id="585" name="AutoShape_4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6" name="AutoShape_2_SpCnt_50"/>
                  <wp:cNvGraphicFramePr/>
                  <a:graphic xmlns:a="http://schemas.openxmlformats.org/drawingml/2006/main">
                    <a:graphicData uri="http://schemas.openxmlformats.org/drawingml/2006/picture">
                      <pic:pic xmlns:pic="http://schemas.openxmlformats.org/drawingml/2006/picture">
                        <pic:nvPicPr>
                          <pic:cNvPr id="586" name="AutoShape_2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7" name="AutoShape_1_SpCnt_26"/>
                  <wp:cNvGraphicFramePr/>
                  <a:graphic xmlns:a="http://schemas.openxmlformats.org/drawingml/2006/main">
                    <a:graphicData uri="http://schemas.openxmlformats.org/drawingml/2006/picture">
                      <pic:pic xmlns:pic="http://schemas.openxmlformats.org/drawingml/2006/picture">
                        <pic:nvPicPr>
                          <pic:cNvPr id="587" name="AutoShape_1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8" name="AutoShape_2_SpCnt_51"/>
                  <wp:cNvGraphicFramePr/>
                  <a:graphic xmlns:a="http://schemas.openxmlformats.org/drawingml/2006/main">
                    <a:graphicData uri="http://schemas.openxmlformats.org/drawingml/2006/picture">
                      <pic:pic xmlns:pic="http://schemas.openxmlformats.org/drawingml/2006/picture">
                        <pic:nvPicPr>
                          <pic:cNvPr id="588" name="AutoShape_2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89" name="AutoShape_4_SpCnt_51"/>
                  <wp:cNvGraphicFramePr/>
                  <a:graphic xmlns:a="http://schemas.openxmlformats.org/drawingml/2006/main">
                    <a:graphicData uri="http://schemas.openxmlformats.org/drawingml/2006/picture">
                      <pic:pic xmlns:pic="http://schemas.openxmlformats.org/drawingml/2006/picture">
                        <pic:nvPicPr>
                          <pic:cNvPr id="589" name="AutoShape_4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0" name="AutoShape_2_SpCnt_52"/>
                  <wp:cNvGraphicFramePr/>
                  <a:graphic xmlns:a="http://schemas.openxmlformats.org/drawingml/2006/main">
                    <a:graphicData uri="http://schemas.openxmlformats.org/drawingml/2006/picture">
                      <pic:pic xmlns:pic="http://schemas.openxmlformats.org/drawingml/2006/picture">
                        <pic:nvPicPr>
                          <pic:cNvPr id="590" name="AutoShape_2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1" name="AutoShape_3_SpCnt_24"/>
                  <wp:cNvGraphicFramePr/>
                  <a:graphic xmlns:a="http://schemas.openxmlformats.org/drawingml/2006/main">
                    <a:graphicData uri="http://schemas.openxmlformats.org/drawingml/2006/picture">
                      <pic:pic xmlns:pic="http://schemas.openxmlformats.org/drawingml/2006/picture">
                        <pic:nvPicPr>
                          <pic:cNvPr id="591" name="AutoShape_3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2" name="AutoShape_1_SpCnt_27"/>
                  <wp:cNvGraphicFramePr/>
                  <a:graphic xmlns:a="http://schemas.openxmlformats.org/drawingml/2006/main">
                    <a:graphicData uri="http://schemas.openxmlformats.org/drawingml/2006/picture">
                      <pic:pic xmlns:pic="http://schemas.openxmlformats.org/drawingml/2006/picture">
                        <pic:nvPicPr>
                          <pic:cNvPr id="592" name="AutoShape_1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3" name="AutoShape_4_SpCnt_52"/>
                  <wp:cNvGraphicFramePr/>
                  <a:graphic xmlns:a="http://schemas.openxmlformats.org/drawingml/2006/main">
                    <a:graphicData uri="http://schemas.openxmlformats.org/drawingml/2006/picture">
                      <pic:pic xmlns:pic="http://schemas.openxmlformats.org/drawingml/2006/picture">
                        <pic:nvPicPr>
                          <pic:cNvPr id="593" name="AutoShape_4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4" name="AutoShape_3_SpCnt_25"/>
                  <wp:cNvGraphicFramePr/>
                  <a:graphic xmlns:a="http://schemas.openxmlformats.org/drawingml/2006/main">
                    <a:graphicData uri="http://schemas.openxmlformats.org/drawingml/2006/picture">
                      <pic:pic xmlns:pic="http://schemas.openxmlformats.org/drawingml/2006/picture">
                        <pic:nvPicPr>
                          <pic:cNvPr id="594" name="AutoShape_3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5" name="AutoShape_2_SpCnt_53"/>
                  <wp:cNvGraphicFramePr/>
                  <a:graphic xmlns:a="http://schemas.openxmlformats.org/drawingml/2006/main">
                    <a:graphicData uri="http://schemas.openxmlformats.org/drawingml/2006/picture">
                      <pic:pic xmlns:pic="http://schemas.openxmlformats.org/drawingml/2006/picture">
                        <pic:nvPicPr>
                          <pic:cNvPr id="595" name="AutoShape_2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6" name="AutoShape_3_SpCnt_26"/>
                  <wp:cNvGraphicFramePr/>
                  <a:graphic xmlns:a="http://schemas.openxmlformats.org/drawingml/2006/main">
                    <a:graphicData uri="http://schemas.openxmlformats.org/drawingml/2006/picture">
                      <pic:pic xmlns:pic="http://schemas.openxmlformats.org/drawingml/2006/picture">
                        <pic:nvPicPr>
                          <pic:cNvPr id="596" name="AutoShape_3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7" name="AutoShape_2_SpCnt_54"/>
                  <wp:cNvGraphicFramePr/>
                  <a:graphic xmlns:a="http://schemas.openxmlformats.org/drawingml/2006/main">
                    <a:graphicData uri="http://schemas.openxmlformats.org/drawingml/2006/picture">
                      <pic:pic xmlns:pic="http://schemas.openxmlformats.org/drawingml/2006/picture">
                        <pic:nvPicPr>
                          <pic:cNvPr id="597" name="AutoShape_2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8" name="AutoShape_2_SpCnt_55"/>
                  <wp:cNvGraphicFramePr/>
                  <a:graphic xmlns:a="http://schemas.openxmlformats.org/drawingml/2006/main">
                    <a:graphicData uri="http://schemas.openxmlformats.org/drawingml/2006/picture">
                      <pic:pic xmlns:pic="http://schemas.openxmlformats.org/drawingml/2006/picture">
                        <pic:nvPicPr>
                          <pic:cNvPr id="598" name="AutoShape_2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599" name="AutoShape_4_SpCnt_53"/>
                  <wp:cNvGraphicFramePr/>
                  <a:graphic xmlns:a="http://schemas.openxmlformats.org/drawingml/2006/main">
                    <a:graphicData uri="http://schemas.openxmlformats.org/drawingml/2006/picture">
                      <pic:pic xmlns:pic="http://schemas.openxmlformats.org/drawingml/2006/picture">
                        <pic:nvPicPr>
                          <pic:cNvPr id="599" name="AutoShape_4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0" name="AutoShape_4_SpCnt_54"/>
                  <wp:cNvGraphicFramePr/>
                  <a:graphic xmlns:a="http://schemas.openxmlformats.org/drawingml/2006/main">
                    <a:graphicData uri="http://schemas.openxmlformats.org/drawingml/2006/picture">
                      <pic:pic xmlns:pic="http://schemas.openxmlformats.org/drawingml/2006/picture">
                        <pic:nvPicPr>
                          <pic:cNvPr id="600" name="AutoShape_4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1" name="AutoShape_1_SpCnt_28"/>
                  <wp:cNvGraphicFramePr/>
                  <a:graphic xmlns:a="http://schemas.openxmlformats.org/drawingml/2006/main">
                    <a:graphicData uri="http://schemas.openxmlformats.org/drawingml/2006/picture">
                      <pic:pic xmlns:pic="http://schemas.openxmlformats.org/drawingml/2006/picture">
                        <pic:nvPicPr>
                          <pic:cNvPr id="601" name="AutoShape_1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02" name="AutoShape_3_SpCnt_27"/>
                  <wp:cNvGraphicFramePr/>
                  <a:graphic xmlns:a="http://schemas.openxmlformats.org/drawingml/2006/main">
                    <a:graphicData uri="http://schemas.openxmlformats.org/drawingml/2006/picture">
                      <pic:pic xmlns:pic="http://schemas.openxmlformats.org/drawingml/2006/picture">
                        <pic:nvPicPr>
                          <pic:cNvPr id="602" name="AutoShape_3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3" name="AutoShape_2_SpCnt_56"/>
                  <wp:cNvGraphicFramePr/>
                  <a:graphic xmlns:a="http://schemas.openxmlformats.org/drawingml/2006/main">
                    <a:graphicData uri="http://schemas.openxmlformats.org/drawingml/2006/picture">
                      <pic:pic xmlns:pic="http://schemas.openxmlformats.org/drawingml/2006/picture">
                        <pic:nvPicPr>
                          <pic:cNvPr id="603" name="AutoShape_2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04" name="AutoShape_1_SpCnt_29"/>
                  <wp:cNvGraphicFramePr/>
                  <a:graphic xmlns:a="http://schemas.openxmlformats.org/drawingml/2006/main">
                    <a:graphicData uri="http://schemas.openxmlformats.org/drawingml/2006/picture">
                      <pic:pic xmlns:pic="http://schemas.openxmlformats.org/drawingml/2006/picture">
                        <pic:nvPicPr>
                          <pic:cNvPr id="604" name="AutoShape_1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5" name="AutoShape_2_SpCnt_57"/>
                  <wp:cNvGraphicFramePr/>
                  <a:graphic xmlns:a="http://schemas.openxmlformats.org/drawingml/2006/main">
                    <a:graphicData uri="http://schemas.openxmlformats.org/drawingml/2006/picture">
                      <pic:pic xmlns:pic="http://schemas.openxmlformats.org/drawingml/2006/picture">
                        <pic:nvPicPr>
                          <pic:cNvPr id="605" name="AutoShape_2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6" name="AutoShape_2_SpCnt_58"/>
                  <wp:cNvGraphicFramePr/>
                  <a:graphic xmlns:a="http://schemas.openxmlformats.org/drawingml/2006/main">
                    <a:graphicData uri="http://schemas.openxmlformats.org/drawingml/2006/picture">
                      <pic:pic xmlns:pic="http://schemas.openxmlformats.org/drawingml/2006/picture">
                        <pic:nvPicPr>
                          <pic:cNvPr id="606" name="AutoShape_2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7" name="AutoShape_2_SpCnt_59"/>
                  <wp:cNvGraphicFramePr/>
                  <a:graphic xmlns:a="http://schemas.openxmlformats.org/drawingml/2006/main">
                    <a:graphicData uri="http://schemas.openxmlformats.org/drawingml/2006/picture">
                      <pic:pic xmlns:pic="http://schemas.openxmlformats.org/drawingml/2006/picture">
                        <pic:nvPicPr>
                          <pic:cNvPr id="607" name="AutoShape_2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8" name="AutoShape_2_SpCnt_60"/>
                  <wp:cNvGraphicFramePr/>
                  <a:graphic xmlns:a="http://schemas.openxmlformats.org/drawingml/2006/main">
                    <a:graphicData uri="http://schemas.openxmlformats.org/drawingml/2006/picture">
                      <pic:pic xmlns:pic="http://schemas.openxmlformats.org/drawingml/2006/picture">
                        <pic:nvPicPr>
                          <pic:cNvPr id="608" name="AutoShape_2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09" name="AutoShape_4_SpCnt_55"/>
                  <wp:cNvGraphicFramePr/>
                  <a:graphic xmlns:a="http://schemas.openxmlformats.org/drawingml/2006/main">
                    <a:graphicData uri="http://schemas.openxmlformats.org/drawingml/2006/picture">
                      <pic:pic xmlns:pic="http://schemas.openxmlformats.org/drawingml/2006/picture">
                        <pic:nvPicPr>
                          <pic:cNvPr id="609" name="AutoShape_4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0" name="AutoShape_1_SpCnt_30"/>
                  <wp:cNvGraphicFramePr/>
                  <a:graphic xmlns:a="http://schemas.openxmlformats.org/drawingml/2006/main">
                    <a:graphicData uri="http://schemas.openxmlformats.org/drawingml/2006/picture">
                      <pic:pic xmlns:pic="http://schemas.openxmlformats.org/drawingml/2006/picture">
                        <pic:nvPicPr>
                          <pic:cNvPr id="610" name="AutoShape_1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1" name="AutoShape_4_SpCnt_56"/>
                  <wp:cNvGraphicFramePr/>
                  <a:graphic xmlns:a="http://schemas.openxmlformats.org/drawingml/2006/main">
                    <a:graphicData uri="http://schemas.openxmlformats.org/drawingml/2006/picture">
                      <pic:pic xmlns:pic="http://schemas.openxmlformats.org/drawingml/2006/picture">
                        <pic:nvPicPr>
                          <pic:cNvPr id="611" name="AutoShape_4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2" name="AutoShape_3_SpCnt_28"/>
                  <wp:cNvGraphicFramePr/>
                  <a:graphic xmlns:a="http://schemas.openxmlformats.org/drawingml/2006/main">
                    <a:graphicData uri="http://schemas.openxmlformats.org/drawingml/2006/picture">
                      <pic:pic xmlns:pic="http://schemas.openxmlformats.org/drawingml/2006/picture">
                        <pic:nvPicPr>
                          <pic:cNvPr id="612" name="AutoShape_3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3" name="AutoShape_2_SpCnt_61"/>
                  <wp:cNvGraphicFramePr/>
                  <a:graphic xmlns:a="http://schemas.openxmlformats.org/drawingml/2006/main">
                    <a:graphicData uri="http://schemas.openxmlformats.org/drawingml/2006/picture">
                      <pic:pic xmlns:pic="http://schemas.openxmlformats.org/drawingml/2006/picture">
                        <pic:nvPicPr>
                          <pic:cNvPr id="613" name="AutoShape_2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14" name="AutoShape_1_SpCnt_31"/>
                  <wp:cNvGraphicFramePr/>
                  <a:graphic xmlns:a="http://schemas.openxmlformats.org/drawingml/2006/main">
                    <a:graphicData uri="http://schemas.openxmlformats.org/drawingml/2006/picture">
                      <pic:pic xmlns:pic="http://schemas.openxmlformats.org/drawingml/2006/picture">
                        <pic:nvPicPr>
                          <pic:cNvPr id="614" name="AutoShape_1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5" name="AutoShape_4_SpCnt_57"/>
                  <wp:cNvGraphicFramePr/>
                  <a:graphic xmlns:a="http://schemas.openxmlformats.org/drawingml/2006/main">
                    <a:graphicData uri="http://schemas.openxmlformats.org/drawingml/2006/picture">
                      <pic:pic xmlns:pic="http://schemas.openxmlformats.org/drawingml/2006/picture">
                        <pic:nvPicPr>
                          <pic:cNvPr id="615" name="AutoShape_4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16" name="AutoShape_3_SpCnt_29"/>
                  <wp:cNvGraphicFramePr/>
                  <a:graphic xmlns:a="http://schemas.openxmlformats.org/drawingml/2006/main">
                    <a:graphicData uri="http://schemas.openxmlformats.org/drawingml/2006/picture">
                      <pic:pic xmlns:pic="http://schemas.openxmlformats.org/drawingml/2006/picture">
                        <pic:nvPicPr>
                          <pic:cNvPr id="616" name="AutoShape_3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7" name="AutoShape_4_SpCnt_58"/>
                  <wp:cNvGraphicFramePr/>
                  <a:graphic xmlns:a="http://schemas.openxmlformats.org/drawingml/2006/main">
                    <a:graphicData uri="http://schemas.openxmlformats.org/drawingml/2006/picture">
                      <pic:pic xmlns:pic="http://schemas.openxmlformats.org/drawingml/2006/picture">
                        <pic:nvPicPr>
                          <pic:cNvPr id="617" name="AutoShape_4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18" name="AutoShape_4_SpCnt_59"/>
                  <wp:cNvGraphicFramePr/>
                  <a:graphic xmlns:a="http://schemas.openxmlformats.org/drawingml/2006/main">
                    <a:graphicData uri="http://schemas.openxmlformats.org/drawingml/2006/picture">
                      <pic:pic xmlns:pic="http://schemas.openxmlformats.org/drawingml/2006/picture">
                        <pic:nvPicPr>
                          <pic:cNvPr id="618" name="AutoShape_4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19" name="AutoShape_3_SpCnt_30"/>
                  <wp:cNvGraphicFramePr/>
                  <a:graphic xmlns:a="http://schemas.openxmlformats.org/drawingml/2006/main">
                    <a:graphicData uri="http://schemas.openxmlformats.org/drawingml/2006/picture">
                      <pic:pic xmlns:pic="http://schemas.openxmlformats.org/drawingml/2006/picture">
                        <pic:nvPicPr>
                          <pic:cNvPr id="619" name="AutoShape_3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0" name="AutoShape_4_SpCnt_60"/>
                  <wp:cNvGraphicFramePr/>
                  <a:graphic xmlns:a="http://schemas.openxmlformats.org/drawingml/2006/main">
                    <a:graphicData uri="http://schemas.openxmlformats.org/drawingml/2006/picture">
                      <pic:pic xmlns:pic="http://schemas.openxmlformats.org/drawingml/2006/picture">
                        <pic:nvPicPr>
                          <pic:cNvPr id="620" name="AutoShape_4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1" name="AutoShape_2_SpCnt_62"/>
                  <wp:cNvGraphicFramePr/>
                  <a:graphic xmlns:a="http://schemas.openxmlformats.org/drawingml/2006/main">
                    <a:graphicData uri="http://schemas.openxmlformats.org/drawingml/2006/picture">
                      <pic:pic xmlns:pic="http://schemas.openxmlformats.org/drawingml/2006/picture">
                        <pic:nvPicPr>
                          <pic:cNvPr id="621" name="AutoShape_2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2" name="AutoShape_2_SpCnt_63"/>
                  <wp:cNvGraphicFramePr/>
                  <a:graphic xmlns:a="http://schemas.openxmlformats.org/drawingml/2006/main">
                    <a:graphicData uri="http://schemas.openxmlformats.org/drawingml/2006/picture">
                      <pic:pic xmlns:pic="http://schemas.openxmlformats.org/drawingml/2006/picture">
                        <pic:nvPicPr>
                          <pic:cNvPr id="622" name="AutoShape_2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3" name="AutoShape_4_SpCnt_61"/>
                  <wp:cNvGraphicFramePr/>
                  <a:graphic xmlns:a="http://schemas.openxmlformats.org/drawingml/2006/main">
                    <a:graphicData uri="http://schemas.openxmlformats.org/drawingml/2006/picture">
                      <pic:pic xmlns:pic="http://schemas.openxmlformats.org/drawingml/2006/picture">
                        <pic:nvPicPr>
                          <pic:cNvPr id="623" name="AutoShape_4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4" name="AutoShape_4_SpCnt_62"/>
                  <wp:cNvGraphicFramePr/>
                  <a:graphic xmlns:a="http://schemas.openxmlformats.org/drawingml/2006/main">
                    <a:graphicData uri="http://schemas.openxmlformats.org/drawingml/2006/picture">
                      <pic:pic xmlns:pic="http://schemas.openxmlformats.org/drawingml/2006/picture">
                        <pic:nvPicPr>
                          <pic:cNvPr id="624" name="AutoShape_4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625" name="AutoShape_3_SpCnt_31"/>
                  <wp:cNvGraphicFramePr/>
                  <a:graphic xmlns:a="http://schemas.openxmlformats.org/drawingml/2006/main">
                    <a:graphicData uri="http://schemas.openxmlformats.org/drawingml/2006/picture">
                      <pic:pic xmlns:pic="http://schemas.openxmlformats.org/drawingml/2006/picture">
                        <pic:nvPicPr>
                          <pic:cNvPr id="625" name="AutoShape_3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626" name="AutoShape_4_SpCnt_63"/>
                  <wp:cNvGraphicFramePr/>
                  <a:graphic xmlns:a="http://schemas.openxmlformats.org/drawingml/2006/main">
                    <a:graphicData uri="http://schemas.openxmlformats.org/drawingml/2006/picture">
                      <pic:pic xmlns:pic="http://schemas.openxmlformats.org/drawingml/2006/picture">
                        <pic:nvPicPr>
                          <pic:cNvPr id="626" name="AutoShape_4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27" name="Line_23_SpCnt_48"/>
                  <wp:cNvGraphicFramePr/>
                  <a:graphic xmlns:a="http://schemas.openxmlformats.org/drawingml/2006/main">
                    <a:graphicData uri="http://schemas.openxmlformats.org/drawingml/2006/picture">
                      <pic:pic xmlns:pic="http://schemas.openxmlformats.org/drawingml/2006/picture">
                        <pic:nvPicPr>
                          <pic:cNvPr id="627" name="Line_23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28" name="Line_23_SpCnt_49"/>
                  <wp:cNvGraphicFramePr/>
                  <a:graphic xmlns:a="http://schemas.openxmlformats.org/drawingml/2006/main">
                    <a:graphicData uri="http://schemas.openxmlformats.org/drawingml/2006/picture">
                      <pic:pic xmlns:pic="http://schemas.openxmlformats.org/drawingml/2006/picture">
                        <pic:nvPicPr>
                          <pic:cNvPr id="628" name="Line_23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629" name="Line_23_SpCnt_50"/>
                  <wp:cNvGraphicFramePr/>
                  <a:graphic xmlns:a="http://schemas.openxmlformats.org/drawingml/2006/main">
                    <a:graphicData uri="http://schemas.openxmlformats.org/drawingml/2006/picture">
                      <pic:pic xmlns:pic="http://schemas.openxmlformats.org/drawingml/2006/picture">
                        <pic:nvPicPr>
                          <pic:cNvPr id="629" name="Line_23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0" name="Line_23_SpCnt_51"/>
                  <wp:cNvGraphicFramePr/>
                  <a:graphic xmlns:a="http://schemas.openxmlformats.org/drawingml/2006/main">
                    <a:graphicData uri="http://schemas.openxmlformats.org/drawingml/2006/picture">
                      <pic:pic xmlns:pic="http://schemas.openxmlformats.org/drawingml/2006/picture">
                        <pic:nvPicPr>
                          <pic:cNvPr id="630" name="Line_23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631" name="Line_23_SpCnt_52"/>
                  <wp:cNvGraphicFramePr/>
                  <a:graphic xmlns:a="http://schemas.openxmlformats.org/drawingml/2006/main">
                    <a:graphicData uri="http://schemas.openxmlformats.org/drawingml/2006/picture">
                      <pic:pic xmlns:pic="http://schemas.openxmlformats.org/drawingml/2006/picture">
                        <pic:nvPicPr>
                          <pic:cNvPr id="631" name="Line_23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2" name="Line_23_SpCnt_53"/>
                  <wp:cNvGraphicFramePr/>
                  <a:graphic xmlns:a="http://schemas.openxmlformats.org/drawingml/2006/main">
                    <a:graphicData uri="http://schemas.openxmlformats.org/drawingml/2006/picture">
                      <pic:pic xmlns:pic="http://schemas.openxmlformats.org/drawingml/2006/picture">
                        <pic:nvPicPr>
                          <pic:cNvPr id="632" name="Line_23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3" name="Line_23_SpCnt_54"/>
                  <wp:cNvGraphicFramePr/>
                  <a:graphic xmlns:a="http://schemas.openxmlformats.org/drawingml/2006/main">
                    <a:graphicData uri="http://schemas.openxmlformats.org/drawingml/2006/picture">
                      <pic:pic xmlns:pic="http://schemas.openxmlformats.org/drawingml/2006/picture">
                        <pic:nvPicPr>
                          <pic:cNvPr id="633" name="Line_23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4" name="Line_23_SpCnt_55"/>
                  <wp:cNvGraphicFramePr/>
                  <a:graphic xmlns:a="http://schemas.openxmlformats.org/drawingml/2006/main">
                    <a:graphicData uri="http://schemas.openxmlformats.org/drawingml/2006/picture">
                      <pic:pic xmlns:pic="http://schemas.openxmlformats.org/drawingml/2006/picture">
                        <pic:nvPicPr>
                          <pic:cNvPr id="634" name="Line_23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635" name="Line_23_SpCnt_56"/>
                  <wp:cNvGraphicFramePr/>
                  <a:graphic xmlns:a="http://schemas.openxmlformats.org/drawingml/2006/main">
                    <a:graphicData uri="http://schemas.openxmlformats.org/drawingml/2006/picture">
                      <pic:pic xmlns:pic="http://schemas.openxmlformats.org/drawingml/2006/picture">
                        <pic:nvPicPr>
                          <pic:cNvPr id="635" name="Line_23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636" name="Line_23_SpCnt_57"/>
                  <wp:cNvGraphicFramePr/>
                  <a:graphic xmlns:a="http://schemas.openxmlformats.org/drawingml/2006/main">
                    <a:graphicData uri="http://schemas.openxmlformats.org/drawingml/2006/picture">
                      <pic:pic xmlns:pic="http://schemas.openxmlformats.org/drawingml/2006/picture">
                        <pic:nvPicPr>
                          <pic:cNvPr id="636" name="Line_23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7" name="Line_23_SpCnt_58"/>
                  <wp:cNvGraphicFramePr/>
                  <a:graphic xmlns:a="http://schemas.openxmlformats.org/drawingml/2006/main">
                    <a:graphicData uri="http://schemas.openxmlformats.org/drawingml/2006/picture">
                      <pic:pic xmlns:pic="http://schemas.openxmlformats.org/drawingml/2006/picture">
                        <pic:nvPicPr>
                          <pic:cNvPr id="637" name="Line_23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8" name="Line_23_SpCnt_59"/>
                  <wp:cNvGraphicFramePr/>
                  <a:graphic xmlns:a="http://schemas.openxmlformats.org/drawingml/2006/main">
                    <a:graphicData uri="http://schemas.openxmlformats.org/drawingml/2006/picture">
                      <pic:pic xmlns:pic="http://schemas.openxmlformats.org/drawingml/2006/picture">
                        <pic:nvPicPr>
                          <pic:cNvPr id="638" name="Line_23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39" name="Line_23_SpCnt_60"/>
                  <wp:cNvGraphicFramePr/>
                  <a:graphic xmlns:a="http://schemas.openxmlformats.org/drawingml/2006/main">
                    <a:graphicData uri="http://schemas.openxmlformats.org/drawingml/2006/picture">
                      <pic:pic xmlns:pic="http://schemas.openxmlformats.org/drawingml/2006/picture">
                        <pic:nvPicPr>
                          <pic:cNvPr id="639" name="Line_23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40" name="Line_23_SpCnt_61"/>
                  <wp:cNvGraphicFramePr/>
                  <a:graphic xmlns:a="http://schemas.openxmlformats.org/drawingml/2006/main">
                    <a:graphicData uri="http://schemas.openxmlformats.org/drawingml/2006/picture">
                      <pic:pic xmlns:pic="http://schemas.openxmlformats.org/drawingml/2006/picture">
                        <pic:nvPicPr>
                          <pic:cNvPr id="640" name="Line_23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41" name="Line_23_SpCnt_62"/>
                  <wp:cNvGraphicFramePr/>
                  <a:graphic xmlns:a="http://schemas.openxmlformats.org/drawingml/2006/main">
                    <a:graphicData uri="http://schemas.openxmlformats.org/drawingml/2006/picture">
                      <pic:pic xmlns:pic="http://schemas.openxmlformats.org/drawingml/2006/picture">
                        <pic:nvPicPr>
                          <pic:cNvPr id="641" name="Line_23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642" name="Line_23_SpCnt_63"/>
                  <wp:cNvGraphicFramePr/>
                  <a:graphic xmlns:a="http://schemas.openxmlformats.org/drawingml/2006/main">
                    <a:graphicData uri="http://schemas.openxmlformats.org/drawingml/2006/picture">
                      <pic:pic xmlns:pic="http://schemas.openxmlformats.org/drawingml/2006/picture">
                        <pic:nvPicPr>
                          <pic:cNvPr id="642" name="Line_23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30</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法兰\NPS3\CL900\WN-RTJ\XXS\A105\裸件\ASME B16.5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42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法兰\NPS3\CL1500\WN-RTJ\XXS\A105\裸件(清洗)\ASME B16.5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29</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法兰\NS2 1/16\5000psi\WN-RTJ\XXS\A105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法兰\NS3 1/8\5000psi\WN-RTJ\18.0\A105\喷砂</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r>
        <w:tblPrEx>
          <w:tblCellMar>
            <w:top w:w="0" w:type="dxa"/>
            <w:left w:w="108" w:type="dxa"/>
            <w:bottom w:w="0" w:type="dxa"/>
            <w:right w:w="108" w:type="dxa"/>
          </w:tblCellMar>
        </w:tblPrEx>
        <w:trPr>
          <w:trHeight w:val="776" w:hRule="atLeast"/>
        </w:trPr>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EA</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法兰\NS3 1/8\5000psi\WN-RTJ\XXS\A105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15"/>
                <w:szCs w:val="15"/>
                <w:u w:val="none"/>
                <w:lang w:val="en-US" w:eastAsia="zh-CN" w:bidi="ar"/>
              </w:rPr>
            </w:pPr>
            <w:r>
              <w:rPr>
                <w:rFonts w:hint="eastAsia" w:ascii="宋体" w:hAnsi="宋体" w:eastAsia="宋体" w:cs="宋体"/>
                <w:b w:val="0"/>
                <w:bCs/>
                <w:i w:val="0"/>
                <w:iCs w:val="0"/>
                <w:color w:val="auto"/>
                <w:kern w:val="0"/>
                <w:sz w:val="15"/>
                <w:szCs w:val="15"/>
                <w:u w:val="none"/>
                <w:lang w:val="en-US" w:eastAsia="zh-CN" w:bidi="ar"/>
              </w:rPr>
              <w:t>合同签订30天内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val="0"/>
                <w:bCs/>
                <w:i w:val="0"/>
                <w:iCs w:val="0"/>
                <w:color w:val="auto"/>
                <w:kern w:val="0"/>
                <w:sz w:val="15"/>
                <w:szCs w:val="15"/>
                <w:u w:val="none"/>
                <w:lang w:val="en-US" w:eastAsia="zh-CN" w:bidi="ar"/>
              </w:rPr>
            </w:pPr>
          </w:p>
        </w:tc>
      </w:tr>
    </w:tbl>
    <w:p>
      <w:pPr>
        <w:pStyle w:val="25"/>
        <w:spacing w:before="120" w:after="120"/>
        <w:ind w:firstLine="420" w:firstLineChars="20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三、执行标准/规范</w:t>
      </w:r>
    </w:p>
    <w:p>
      <w:pPr>
        <w:tabs>
          <w:tab w:val="left" w:pos="1040"/>
        </w:tabs>
        <w:adjustRightInd w:val="0"/>
        <w:snapToGrid w:val="0"/>
        <w:spacing w:before="60" w:after="60" w:line="360" w:lineRule="auto"/>
        <w:ind w:left="216" w:right="122" w:firstLine="420" w:firstLineChars="200"/>
        <w:jc w:val="left"/>
        <w:outlineLvl w:val="7"/>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1、American National Standards Institute (ANSI)；</w:t>
      </w:r>
    </w:p>
    <w:p>
      <w:pPr>
        <w:tabs>
          <w:tab w:val="left" w:pos="1040"/>
        </w:tabs>
        <w:adjustRightInd w:val="0"/>
        <w:snapToGrid w:val="0"/>
        <w:spacing w:before="60" w:after="60" w:line="360" w:lineRule="auto"/>
        <w:ind w:left="216" w:right="122" w:firstLine="420" w:firstLineChars="200"/>
        <w:jc w:val="left"/>
        <w:outlineLvl w:val="7"/>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2、American Petroleum Institute (API)；</w:t>
      </w:r>
    </w:p>
    <w:p>
      <w:pPr>
        <w:tabs>
          <w:tab w:val="left" w:pos="1040"/>
        </w:tabs>
        <w:adjustRightInd w:val="0"/>
        <w:snapToGrid w:val="0"/>
        <w:spacing w:before="60" w:after="60" w:line="360" w:lineRule="auto"/>
        <w:ind w:left="216" w:right="122" w:firstLine="420" w:firstLineChars="200"/>
        <w:jc w:val="left"/>
        <w:outlineLvl w:val="7"/>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3、American Society of Mechanical Engineers (ASME)；</w:t>
      </w:r>
    </w:p>
    <w:p>
      <w:pPr>
        <w:pStyle w:val="25"/>
        <w:spacing w:before="120" w:after="120"/>
        <w:ind w:firstLine="420" w:firstLineChars="20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四、设计/使用条件</w:t>
      </w:r>
    </w:p>
    <w:p>
      <w:pPr>
        <w:pStyle w:val="9"/>
        <w:spacing w:line="257" w:lineRule="auto"/>
        <w:ind w:right="122"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1. 使用环境：海上采油平台。</w:t>
      </w:r>
    </w:p>
    <w:p>
      <w:pPr>
        <w:pStyle w:val="9"/>
        <w:spacing w:line="257" w:lineRule="auto"/>
        <w:ind w:right="122"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2. 到货/安装或使用地点：供货地点为</w:t>
      </w:r>
      <w:r>
        <w:rPr>
          <w:rFonts w:hint="eastAsia" w:ascii="宋体" w:hAnsi="宋体" w:eastAsia="宋体" w:cs="宋体"/>
          <w:b w:val="0"/>
          <w:bCs/>
          <w:i w:val="0"/>
          <w:iCs w:val="0"/>
          <w:color w:val="auto"/>
          <w:sz w:val="21"/>
          <w:szCs w:val="21"/>
          <w:lang w:val="en-US" w:eastAsia="zh-CN"/>
        </w:rPr>
        <w:t>天津市滨海新区塘沽区渤海石油路688号设施中心三号码头</w:t>
      </w:r>
      <w:r>
        <w:rPr>
          <w:rFonts w:hint="eastAsia" w:ascii="宋体" w:hAnsi="宋体" w:eastAsia="宋体" w:cs="宋体"/>
          <w:b w:val="0"/>
          <w:bCs/>
          <w:i w:val="0"/>
          <w:iCs w:val="0"/>
          <w:color w:val="auto"/>
          <w:sz w:val="21"/>
          <w:szCs w:val="21"/>
          <w:lang w:eastAsia="zh-CN"/>
        </w:rPr>
        <w:t>。</w:t>
      </w:r>
    </w:p>
    <w:p>
      <w:pPr>
        <w:pStyle w:val="25"/>
        <w:spacing w:before="120" w:after="120"/>
        <w:ind w:firstLine="420" w:firstLineChars="20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五、技术要求</w:t>
      </w:r>
    </w:p>
    <w:p>
      <w:pPr>
        <w:pStyle w:val="6"/>
        <w:keepNext w:val="0"/>
        <w:keepLines w:val="0"/>
        <w:pageBreakBefore w:val="0"/>
        <w:kinsoku/>
        <w:wordWrap/>
        <w:overflowPunct/>
        <w:topLinePunct w:val="0"/>
        <w:bidi w:val="0"/>
        <w:snapToGrid w:val="0"/>
        <w:spacing w:line="360" w:lineRule="auto"/>
        <w:jc w:val="left"/>
        <w:textAlignment w:val="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 产品技术参数</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碳钢管件等【引用《管配件（普通碳钢、不锈钢和双相不锈钢）》CGBZ037-ZB-2023中部分5技术要求】</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(1)、物理、化学性能指标如密度、硬度、屈服强度等，碳钢管配件须满足ASME A105/A234 WPB标准要求，普通不锈钢管配件须满足ASME A182/A403 F316L标准要求。</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 xml:space="preserve">(2)、规格壁厚、尺寸、外形、重量、允许偏差，对焊类管配件须满足ASME B16.9和ASME B16.25标准要求。支管台管配件须满足MSS-SP-97标准要求。 </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(3)、所有管件要有良好的可焊性，焊接端面应满足正偏差5%。所有的材料应是新材（标识齐全），即非剩余的未用过的材料，且应去掉脏物，沙子及铁锈。</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(4)、法兰焊接端面应符合ASME B16.9、ASME B16.25的要求。</w:t>
      </w:r>
    </w:p>
    <w:p>
      <w:pPr>
        <w:pStyle w:val="9"/>
        <w:keepNext w:val="0"/>
        <w:keepLines w:val="0"/>
        <w:pageBreakBefore w:val="0"/>
        <w:kinsoku/>
        <w:wordWrap/>
        <w:overflowPunct/>
        <w:topLinePunct w:val="0"/>
        <w:bidi w:val="0"/>
        <w:snapToGrid w:val="0"/>
        <w:spacing w:line="360" w:lineRule="auto"/>
        <w:ind w:left="220" w:leftChars="0" w:right="122" w:firstLine="420"/>
        <w:jc w:val="left"/>
        <w:textAlignment w:val="auto"/>
        <w:rPr>
          <w:rFonts w:hint="eastAsia" w:ascii="宋体" w:hAnsi="宋体" w:eastAsia="宋体" w:cs="宋体"/>
          <w:b w:val="0"/>
          <w:bCs/>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(5)、碳钢对焊管件对焊端壁厚正偏差，钝边0~1.5mm，坡口37.5±2.5°，带150微米酚醛环氧底漆；全螺纹螺柱/双螺母需成套供货，不可拆分。</w:t>
      </w:r>
    </w:p>
    <w:p>
      <w:pPr>
        <w:pStyle w:val="25"/>
        <w:spacing w:before="120" w:after="120"/>
        <w:ind w:firstLine="420" w:firstLineChars="20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六、标识、包装、运输和存储</w:t>
      </w:r>
    </w:p>
    <w:p>
      <w:pPr>
        <w:widowControl/>
        <w:ind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1、运输要求：供应商需在材料到达至少一周前将货物清单、到货时间等信息正式发至采办方，以便于采办方安排卸车。</w:t>
      </w:r>
    </w:p>
    <w:p>
      <w:pPr>
        <w:widowControl/>
        <w:ind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2、包装方式： 经检验合格的材料，需按不同种类、规格进行打包。管件打包时必须做好防水防潮措施。不同材质的管件分开打包存放。装车时材料需摆放整齐，以及便于卸车及搬运。</w:t>
      </w:r>
    </w:p>
    <w:p>
      <w:pPr>
        <w:widowControl/>
        <w:ind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3、标识要求：包装表面需清楚标注规格、材质等参数。 供货方需提供详细的包装清单。</w:t>
      </w:r>
    </w:p>
    <w:p>
      <w:pPr>
        <w:pStyle w:val="25"/>
        <w:spacing w:before="120" w:after="120"/>
        <w:ind w:firstLine="420" w:firstLineChars="200"/>
        <w:jc w:val="left"/>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七、工作进度、监造和现场验收</w:t>
      </w:r>
    </w:p>
    <w:p>
      <w:pPr>
        <w:widowControl/>
        <w:ind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1、交货时间：</w:t>
      </w:r>
      <w:r>
        <w:rPr>
          <w:rFonts w:hint="eastAsia" w:ascii="宋体" w:hAnsi="宋体" w:eastAsia="宋体" w:cs="宋体"/>
          <w:b w:val="0"/>
          <w:bCs/>
          <w:i w:val="0"/>
          <w:iCs w:val="0"/>
          <w:color w:val="auto"/>
          <w:sz w:val="21"/>
          <w:szCs w:val="21"/>
          <w:lang w:val="en-US" w:eastAsia="zh-CN"/>
        </w:rPr>
        <w:t>合同签订30天内供货</w:t>
      </w:r>
      <w:r>
        <w:rPr>
          <w:rFonts w:hint="eastAsia" w:ascii="宋体" w:hAnsi="宋体" w:eastAsia="宋体" w:cs="宋体"/>
          <w:b w:val="0"/>
          <w:bCs/>
          <w:i w:val="0"/>
          <w:iCs w:val="0"/>
          <w:color w:val="auto"/>
          <w:sz w:val="21"/>
          <w:szCs w:val="21"/>
          <w:lang w:eastAsia="zh-CN"/>
        </w:rPr>
        <w:t>。</w:t>
      </w:r>
    </w:p>
    <w:p>
      <w:pPr>
        <w:widowControl/>
        <w:ind w:firstLine="420" w:firstLineChars="200"/>
        <w:jc w:val="left"/>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2、按照相对应的标准和管件材料规格书相应要求执行验收，若标准与规格书的要求发生冲突，按照高标准要求执行。</w:t>
      </w:r>
    </w:p>
    <w:p>
      <w:pPr>
        <w:pStyle w:val="25"/>
        <w:keepNext w:val="0"/>
        <w:keepLines w:val="0"/>
        <w:pageBreakBefore w:val="0"/>
        <w:widowControl/>
        <w:kinsoku/>
        <w:wordWrap/>
        <w:overflowPunct/>
        <w:topLinePunct w:val="0"/>
        <w:bidi w:val="0"/>
        <w:snapToGrid/>
        <w:spacing w:before="120" w:after="120"/>
        <w:ind w:firstLine="420" w:firstLineChars="200"/>
        <w:jc w:val="left"/>
        <w:textAlignment w:val="auto"/>
        <w:outlineLvl w:val="0"/>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3、材料到达采办方码头后，对供货方提供的相关证书进行检验，并与实物对照进行验收。验收通过才能定为合格。</w:t>
      </w:r>
    </w:p>
    <w:p>
      <w:pPr>
        <w:pStyle w:val="25"/>
        <w:keepNext w:val="0"/>
        <w:keepLines w:val="0"/>
        <w:pageBreakBefore w:val="0"/>
        <w:widowControl/>
        <w:kinsoku/>
        <w:wordWrap/>
        <w:overflowPunct/>
        <w:topLinePunct w:val="0"/>
        <w:bidi w:val="0"/>
        <w:snapToGrid/>
        <w:spacing w:before="120" w:after="120"/>
        <w:ind w:firstLine="420" w:firstLineChars="200"/>
        <w:jc w:val="left"/>
        <w:textAlignment w:val="auto"/>
        <w:outlineLvl w:val="0"/>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八、质量保证</w:t>
      </w:r>
    </w:p>
    <w:p>
      <w:pPr>
        <w:keepNext w:val="0"/>
        <w:keepLines w:val="0"/>
        <w:pageBreakBefore w:val="0"/>
        <w:widowControl/>
        <w:kinsoku/>
        <w:wordWrap/>
        <w:overflowPunct/>
        <w:topLinePunct w:val="0"/>
        <w:bidi w:val="0"/>
        <w:snapToGrid/>
        <w:ind w:firstLine="420" w:firstLineChars="200"/>
        <w:jc w:val="left"/>
        <w:textAlignment w:val="auto"/>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1、材料到货清单、相关产品证书、表面标识的信息须一致且符合采办技术要求；</w:t>
      </w:r>
    </w:p>
    <w:p>
      <w:pPr>
        <w:keepNext w:val="0"/>
        <w:keepLines w:val="0"/>
        <w:pageBreakBefore w:val="0"/>
        <w:widowControl/>
        <w:kinsoku/>
        <w:wordWrap/>
        <w:overflowPunct/>
        <w:topLinePunct w:val="0"/>
        <w:bidi w:val="0"/>
        <w:snapToGrid/>
        <w:ind w:firstLine="420" w:firstLineChars="200"/>
        <w:jc w:val="left"/>
        <w:textAlignment w:val="auto"/>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2、因供货方运输原因造成的产品损坏，供货方应无条件退货，并重新供货，直至买方验收合格；</w:t>
      </w:r>
    </w:p>
    <w:p>
      <w:pPr>
        <w:keepNext w:val="0"/>
        <w:keepLines w:val="0"/>
        <w:pageBreakBefore w:val="0"/>
        <w:widowControl/>
        <w:kinsoku/>
        <w:wordWrap/>
        <w:overflowPunct/>
        <w:topLinePunct w:val="0"/>
        <w:bidi w:val="0"/>
        <w:snapToGrid/>
        <w:ind w:firstLine="420" w:firstLineChars="200"/>
        <w:jc w:val="left"/>
        <w:textAlignment w:val="auto"/>
        <w:rPr>
          <w:rFonts w:hint="eastAsia" w:ascii="宋体" w:hAnsi="宋体" w:eastAsia="宋体" w:cs="宋体"/>
          <w:b w:val="0"/>
          <w:bCs/>
          <w:i w:val="0"/>
          <w:iCs w:val="0"/>
          <w:color w:val="auto"/>
          <w:sz w:val="21"/>
          <w:szCs w:val="21"/>
          <w:lang w:eastAsia="zh-CN"/>
        </w:rPr>
      </w:pPr>
      <w:r>
        <w:rPr>
          <w:rFonts w:hint="eastAsia" w:ascii="宋体" w:hAnsi="宋体" w:eastAsia="宋体" w:cs="宋体"/>
          <w:b w:val="0"/>
          <w:bCs/>
          <w:i w:val="0"/>
          <w:iCs w:val="0"/>
          <w:color w:val="auto"/>
          <w:sz w:val="21"/>
          <w:szCs w:val="21"/>
          <w:lang w:eastAsia="zh-CN"/>
        </w:rPr>
        <w:t>3、验收前所有形式的损坏均为供货方责任，所有损失由供货方承担，买方不预验收入库，直至供货方处理好为止。</w:t>
      </w: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lang w:eastAsia="zh-CN"/>
        </w:rPr>
      </w:pPr>
    </w:p>
    <w:p>
      <w:pPr>
        <w:pStyle w:val="3"/>
        <w:rPr>
          <w:rFonts w:hint="eastAsia" w:ascii="宋体" w:hAnsi="宋体" w:eastAsia="宋体" w:cs="宋体"/>
          <w:b w:val="0"/>
          <w:bCs/>
          <w:i w:val="0"/>
          <w:iCs w:val="0"/>
          <w:color w:val="auto"/>
          <w:sz w:val="21"/>
          <w:szCs w:val="21"/>
          <w:lang w:eastAsia="zh-CN"/>
        </w:rPr>
      </w:pPr>
    </w:p>
    <w:bookmarkEnd w:id="0"/>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ascii="宋体" w:hAnsi="宋体" w:eastAsia="宋体" w:cs="宋体"/>
          <w:b w:val="0"/>
          <w:bCs/>
          <w:i w:val="0"/>
          <w:iCs w:val="0"/>
          <w:color w:val="auto"/>
          <w:sz w:val="21"/>
          <w:szCs w:val="21"/>
          <w:lang w:eastAsia="zh-CN"/>
        </w:rPr>
      </w:pPr>
    </w:p>
    <w:p>
      <w:pPr>
        <w:pStyle w:val="3"/>
        <w:rPr>
          <w:rFonts w:hint="eastAsia" w:ascii="宋体" w:hAnsi="宋体" w:eastAsia="宋体" w:cs="宋体"/>
          <w:b w:val="0"/>
          <w:bCs/>
          <w:i w:val="0"/>
          <w:iCs w:val="0"/>
          <w:color w:val="auto"/>
          <w:sz w:val="21"/>
          <w:szCs w:val="21"/>
          <w:lang w:eastAsia="zh-CN"/>
        </w:rPr>
      </w:pPr>
    </w:p>
    <w:p>
      <w:pPr>
        <w:pStyle w:val="2"/>
        <w:rPr>
          <w:rFonts w:hint="eastAsia"/>
          <w:lang w:val="en-US"/>
        </w:rPr>
      </w:pPr>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ascii="仿宋" w:hAnsi="仿宋" w:eastAsia="仿宋" w:cs="仿宋"/>
          <w:b/>
          <w:bCs/>
          <w:kern w:val="44"/>
          <w:sz w:val="24"/>
          <w:szCs w:val="24"/>
          <w:lang w:val="en-US" w:eastAsia="zh-CN" w:bidi="ar-SA"/>
        </w:rPr>
      </w:pPr>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spacing w:before="72" w:beforeLines="30" w:after="72" w:afterLines="30"/>
        <w:jc w:val="center"/>
        <w:rPr>
          <w:rFonts w:hAnsi="宋体"/>
          <w:b/>
          <w:bCs/>
          <w:sz w:val="36"/>
          <w:szCs w:val="36"/>
          <w:highlight w:val="none"/>
        </w:rPr>
      </w:pPr>
      <w:r>
        <w:rPr>
          <w:szCs w:val="21"/>
          <w:highlight w:val="none"/>
          <w:u w:val="single"/>
        </w:rPr>
        <w:t xml:space="preserve">           </w:t>
      </w:r>
      <w:r>
        <w:rPr>
          <w:rFonts w:hint="eastAsia" w:hAnsi="宋体"/>
          <w:b/>
          <w:bCs/>
          <w:sz w:val="36"/>
          <w:szCs w:val="36"/>
          <w:highlight w:val="none"/>
        </w:rPr>
        <w:t>货物买卖合同</w:t>
      </w:r>
    </w:p>
    <w:p>
      <w:pPr>
        <w:spacing w:after="100" w:afterAutospacing="1"/>
        <w:jc w:val="center"/>
        <w:rPr>
          <w:rFonts w:hAnsi="宋体"/>
          <w:bCs/>
          <w:szCs w:val="21"/>
          <w:highlight w:val="none"/>
          <w:u w:val="single"/>
        </w:rPr>
      </w:pPr>
      <w:r>
        <w:rPr>
          <w:rFonts w:hint="eastAsia" w:hAnsi="宋体"/>
          <w:bCs/>
          <w:sz w:val="24"/>
          <w:highlight w:val="none"/>
        </w:rPr>
        <w:t xml:space="preserve">                                      </w:t>
      </w:r>
      <w:r>
        <w:rPr>
          <w:rFonts w:hint="eastAsia" w:hAnsi="宋体"/>
          <w:bCs/>
          <w:szCs w:val="21"/>
          <w:highlight w:val="none"/>
        </w:rPr>
        <w:t>合同编号：</w:t>
      </w:r>
      <w:r>
        <w:rPr>
          <w:szCs w:val="21"/>
          <w:highlight w:val="none"/>
          <w:u w:val="single"/>
        </w:rPr>
        <w:t xml:space="preserve">                           </w:t>
      </w:r>
      <w:r>
        <w:rPr>
          <w:rFonts w:hint="eastAsia" w:hAnsi="宋体"/>
          <w:bCs/>
          <w:szCs w:val="21"/>
          <w:highlight w:val="none"/>
          <w:u w:val="single"/>
        </w:rPr>
        <w:t xml:space="preserve">         </w:t>
      </w:r>
    </w:p>
    <w:p>
      <w:pPr>
        <w:pStyle w:val="12"/>
        <w:spacing w:before="72" w:beforeLines="30" w:after="72" w:afterLines="30"/>
        <w:rPr>
          <w:sz w:val="24"/>
          <w:highlight w:val="none"/>
        </w:rPr>
      </w:pPr>
      <w:r>
        <w:rPr>
          <w:rFonts w:hint="eastAsia"/>
          <w:sz w:val="24"/>
          <w:highlight w:val="none"/>
        </w:rPr>
        <w:t>本货物买卖合同（以下称“合同”或“本合同”）由以下双方于【</w:t>
      </w:r>
      <w:r>
        <w:rPr>
          <w:rFonts w:hint="eastAsia"/>
          <w:i/>
          <w:sz w:val="24"/>
          <w:highlight w:val="none"/>
        </w:rPr>
        <w:t>填入签订日期</w:t>
      </w:r>
      <w:r>
        <w:rPr>
          <w:rFonts w:hint="eastAsia"/>
          <w:sz w:val="24"/>
          <w:highlight w:val="none"/>
        </w:rPr>
        <w:t>】在【</w:t>
      </w:r>
      <w:r>
        <w:rPr>
          <w:rFonts w:hint="eastAsia"/>
          <w:i/>
          <w:sz w:val="24"/>
          <w:highlight w:val="none"/>
        </w:rPr>
        <w:t>填入签订地点</w:t>
      </w:r>
      <w:r>
        <w:rPr>
          <w:rFonts w:hint="eastAsia"/>
          <w:sz w:val="24"/>
          <w:highlight w:val="none"/>
        </w:rPr>
        <w:t>】签署。</w:t>
      </w:r>
    </w:p>
    <w:p>
      <w:pPr>
        <w:tabs>
          <w:tab w:val="left" w:pos="3060"/>
        </w:tabs>
        <w:spacing w:before="72" w:beforeLines="30" w:after="72" w:afterLines="30" w:line="360" w:lineRule="auto"/>
        <w:ind w:firstLine="426" w:firstLineChars="177"/>
        <w:rPr>
          <w:sz w:val="24"/>
          <w:highlight w:val="none"/>
        </w:rPr>
      </w:pPr>
      <w:r>
        <w:rPr>
          <w:rFonts w:hint="eastAsia"/>
          <w:b/>
          <w:sz w:val="24"/>
          <w:highlight w:val="none"/>
        </w:rPr>
        <w:t>买</w:t>
      </w:r>
      <w:r>
        <w:rPr>
          <w:b/>
          <w:sz w:val="24"/>
          <w:highlight w:val="none"/>
        </w:rPr>
        <w:t xml:space="preserve">  </w:t>
      </w:r>
      <w:r>
        <w:rPr>
          <w:rFonts w:hint="eastAsia"/>
          <w:b/>
          <w:sz w:val="24"/>
          <w:highlight w:val="none"/>
        </w:rPr>
        <w:t>方：</w:t>
      </w:r>
      <w:r>
        <w:rPr>
          <w:sz w:val="24"/>
          <w:highlight w:val="none"/>
          <w:u w:val="single"/>
        </w:rPr>
        <w:t xml:space="preserve">                         </w:t>
      </w:r>
      <w:r>
        <w:rPr>
          <w:rFonts w:hint="eastAsia"/>
          <w:sz w:val="24"/>
          <w:highlight w:val="none"/>
        </w:rPr>
        <w:t xml:space="preserve">   </w:t>
      </w:r>
      <w:r>
        <w:rPr>
          <w:rFonts w:hint="eastAsia"/>
          <w:b/>
          <w:sz w:val="24"/>
          <w:highlight w:val="none"/>
        </w:rPr>
        <w:t>卖</w:t>
      </w:r>
      <w:r>
        <w:rPr>
          <w:b/>
          <w:sz w:val="24"/>
          <w:highlight w:val="none"/>
        </w:rPr>
        <w:t xml:space="preserve">  </w:t>
      </w:r>
      <w:r>
        <w:rPr>
          <w:rFonts w:hint="eastAsia"/>
          <w:b/>
          <w:sz w:val="24"/>
          <w:highlight w:val="none"/>
        </w:rPr>
        <w:t>方：</w:t>
      </w:r>
      <w:bookmarkStart w:id="1" w:name="OLE_LINK1"/>
      <w:bookmarkStart w:id="2" w:name="OLE_LINK2"/>
      <w:r>
        <w:rPr>
          <w:sz w:val="24"/>
          <w:highlight w:val="none"/>
          <w:u w:val="single"/>
        </w:rPr>
        <w:t xml:space="preserve">                           </w:t>
      </w:r>
      <w:bookmarkEnd w:id="1"/>
      <w:bookmarkEnd w:id="2"/>
    </w:p>
    <w:p>
      <w:pPr>
        <w:tabs>
          <w:tab w:val="left" w:pos="3060"/>
        </w:tabs>
        <w:spacing w:before="72" w:beforeLines="30" w:after="72" w:afterLines="30" w:line="360" w:lineRule="auto"/>
        <w:ind w:firstLine="422" w:firstLineChars="176"/>
        <w:rPr>
          <w:sz w:val="24"/>
          <w:highlight w:val="none"/>
          <w:u w:val="single"/>
        </w:rPr>
      </w:pPr>
      <w:r>
        <w:rPr>
          <w:rFonts w:hint="eastAsia"/>
          <w:sz w:val="24"/>
          <w:highlight w:val="none"/>
        </w:rPr>
        <w:t>注册地址：</w:t>
      </w:r>
      <w:r>
        <w:rPr>
          <w:rFonts w:hint="eastAsia"/>
          <w:sz w:val="24"/>
          <w:highlight w:val="none"/>
          <w:u w:val="single"/>
        </w:rPr>
        <w:t xml:space="preserve">                       </w:t>
      </w:r>
      <w:r>
        <w:rPr>
          <w:rFonts w:hint="eastAsia"/>
          <w:sz w:val="24"/>
          <w:highlight w:val="none"/>
        </w:rPr>
        <w:t xml:space="preserve">   注册地址：</w:t>
      </w:r>
      <w:r>
        <w:rPr>
          <w:sz w:val="24"/>
          <w:highlight w:val="none"/>
          <w:u w:val="single"/>
        </w:rPr>
        <w:t xml:space="preserve">                         </w:t>
      </w:r>
    </w:p>
    <w:p>
      <w:pPr>
        <w:pStyle w:val="12"/>
        <w:spacing w:before="72" w:beforeLines="30" w:after="72" w:afterLines="30"/>
        <w:rPr>
          <w:sz w:val="24"/>
          <w:highlight w:val="none"/>
        </w:rPr>
      </w:pPr>
      <w:r>
        <w:rPr>
          <w:rFonts w:hint="eastAsia" w:hAnsi="宋体"/>
          <w:sz w:val="24"/>
          <w:highlight w:val="none"/>
        </w:rPr>
        <w:t>根据《中华人民共和国民法典》及相关法律法规的规定，</w:t>
      </w:r>
      <w:r>
        <w:rPr>
          <w:rFonts w:hAnsi="宋体"/>
          <w:sz w:val="24"/>
          <w:highlight w:val="none"/>
        </w:rPr>
        <w:t>就</w:t>
      </w:r>
      <w:r>
        <w:rPr>
          <w:rFonts w:hint="eastAsia"/>
          <w:sz w:val="24"/>
          <w:highlight w:val="none"/>
        </w:rPr>
        <w:t>【</w:t>
      </w:r>
      <w:r>
        <w:rPr>
          <w:rFonts w:hint="eastAsia"/>
          <w:i/>
          <w:sz w:val="24"/>
          <w:highlight w:val="none"/>
        </w:rPr>
        <w:t>填入货物名称</w:t>
      </w:r>
      <w:r>
        <w:rPr>
          <w:rFonts w:hint="eastAsia"/>
          <w:sz w:val="24"/>
          <w:highlight w:val="none"/>
        </w:rPr>
        <w:t>】</w:t>
      </w:r>
      <w:r>
        <w:rPr>
          <w:rFonts w:hint="eastAsia" w:hAnsi="宋体"/>
          <w:sz w:val="24"/>
          <w:highlight w:val="none"/>
        </w:rPr>
        <w:t>的采购和销售及</w:t>
      </w:r>
      <w:r>
        <w:rPr>
          <w:rFonts w:hAnsi="宋体"/>
          <w:sz w:val="24"/>
          <w:highlight w:val="none"/>
        </w:rPr>
        <w:t>相关事宜，</w:t>
      </w:r>
      <w:r>
        <w:rPr>
          <w:rFonts w:hint="eastAsia" w:hAnsi="宋体"/>
          <w:sz w:val="24"/>
          <w:highlight w:val="none"/>
        </w:rPr>
        <w:t>经协商一致，双方</w:t>
      </w:r>
      <w:r>
        <w:rPr>
          <w:rFonts w:hAnsi="宋体"/>
          <w:sz w:val="24"/>
          <w:highlight w:val="none"/>
        </w:rPr>
        <w:t>达成如下</w:t>
      </w:r>
      <w:r>
        <w:rPr>
          <w:rFonts w:hint="eastAsia" w:hAnsi="宋体"/>
          <w:sz w:val="24"/>
          <w:highlight w:val="none"/>
        </w:rPr>
        <w:t>合同条款，以兹共同遵守。</w:t>
      </w:r>
    </w:p>
    <w:p>
      <w:pPr>
        <w:pStyle w:val="15"/>
        <w:numPr>
          <w:ilvl w:val="0"/>
          <w:numId w:val="4"/>
        </w:numPr>
        <w:spacing w:before="72" w:beforeLines="30" w:after="72" w:afterLines="30" w:line="360" w:lineRule="auto"/>
        <w:ind w:left="851" w:hanging="851"/>
        <w:jc w:val="left"/>
        <w:rPr>
          <w:sz w:val="24"/>
          <w:highlight w:val="none"/>
        </w:rPr>
      </w:pPr>
      <w:bookmarkStart w:id="3" w:name="_Toc306354308"/>
      <w:r>
        <w:rPr>
          <w:sz w:val="24"/>
          <w:szCs w:val="24"/>
          <w:highlight w:val="none"/>
        </w:rPr>
        <w:t>合同标的</w:t>
      </w:r>
      <w:bookmarkEnd w:id="3"/>
    </w:p>
    <w:p>
      <w:pPr>
        <w:numPr>
          <w:ilvl w:val="0"/>
          <w:numId w:val="5"/>
        </w:numPr>
        <w:tabs>
          <w:tab w:val="left" w:pos="567"/>
          <w:tab w:val="clear" w:pos="2278"/>
        </w:tabs>
        <w:spacing w:before="72" w:beforeLines="30" w:after="72" w:afterLines="30" w:line="360" w:lineRule="auto"/>
        <w:ind w:left="567" w:hanging="567"/>
        <w:rPr>
          <w:rFonts w:hAnsi="宋体"/>
          <w:sz w:val="24"/>
          <w:highlight w:val="none"/>
        </w:rPr>
      </w:pPr>
      <w:bookmarkStart w:id="4" w:name="OLE_LINK23"/>
      <w:bookmarkStart w:id="5" w:name="OLE_LINK18"/>
      <w:bookmarkStart w:id="6" w:name="OLE_LINK25"/>
      <w:bookmarkStart w:id="7" w:name="OLE_LINK13"/>
      <w:bookmarkStart w:id="8" w:name="OLE_LINK21"/>
      <w:bookmarkStart w:id="9" w:name="OLE_LINK24"/>
      <w:bookmarkStart w:id="10" w:name="OLE_LINK22"/>
      <w:bookmarkStart w:id="11" w:name="OLE_LINK20"/>
      <w:bookmarkStart w:id="12" w:name="OLE_LINK26"/>
      <w:bookmarkStart w:id="13" w:name="OLE_LINK19"/>
      <w:bookmarkStart w:id="14" w:name="OLE_LINK9"/>
      <w:bookmarkStart w:id="15" w:name="OLE_LINK15"/>
      <w:bookmarkStart w:id="16" w:name="OLE_LINK17"/>
      <w:bookmarkStart w:id="17" w:name="OLE_LINK16"/>
      <w:bookmarkStart w:id="18" w:name="OLE_LINK14"/>
      <w:bookmarkStart w:id="19" w:name="OLE_LINK10"/>
      <w:r>
        <w:rPr>
          <w:rFonts w:hint="eastAsia"/>
          <w:sz w:val="24"/>
          <w:highlight w:val="none"/>
        </w:rPr>
        <w:t>卖方向买方供应的货物的名称、数量、型号、规格</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hint="eastAsia"/>
          <w:sz w:val="24"/>
          <w:highlight w:val="none"/>
        </w:rPr>
        <w:t>、单价、原产地等如下：</w:t>
      </w:r>
    </w:p>
    <w:tbl>
      <w:tblPr>
        <w:tblStyle w:val="18"/>
        <w:tblW w:w="10490" w:type="dxa"/>
        <w:tblInd w:w="-714" w:type="dxa"/>
        <w:tblLayout w:type="fixed"/>
        <w:tblCellMar>
          <w:top w:w="0" w:type="dxa"/>
          <w:left w:w="108" w:type="dxa"/>
          <w:bottom w:w="0" w:type="dxa"/>
          <w:right w:w="108" w:type="dxa"/>
        </w:tblCellMar>
      </w:tblPr>
      <w:tblGrid>
        <w:gridCol w:w="709"/>
        <w:gridCol w:w="2523"/>
        <w:gridCol w:w="1872"/>
        <w:gridCol w:w="850"/>
        <w:gridCol w:w="709"/>
        <w:gridCol w:w="709"/>
        <w:gridCol w:w="850"/>
        <w:gridCol w:w="1418"/>
        <w:gridCol w:w="850"/>
      </w:tblGrid>
      <w:tr>
        <w:tblPrEx>
          <w:tblCellMar>
            <w:top w:w="0" w:type="dxa"/>
            <w:left w:w="108" w:type="dxa"/>
            <w:bottom w:w="0" w:type="dxa"/>
            <w:right w:w="108" w:type="dxa"/>
          </w:tblCellMar>
        </w:tblPrEx>
        <w:trPr>
          <w:trHeight w:val="835" w:hRule="atLeast"/>
        </w:trPr>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序号</w:t>
            </w:r>
          </w:p>
        </w:tc>
        <w:tc>
          <w:tcPr>
            <w:tcW w:w="252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物资名称</w:t>
            </w:r>
          </w:p>
        </w:tc>
        <w:tc>
          <w:tcPr>
            <w:tcW w:w="1872" w:type="dxa"/>
            <w:tcBorders>
              <w:top w:val="single" w:color="auto" w:sz="4" w:space="0"/>
              <w:left w:val="nil"/>
              <w:bottom w:val="single" w:color="auto" w:sz="4" w:space="0"/>
              <w:right w:val="single" w:color="auto" w:sz="4" w:space="0"/>
            </w:tcBorders>
            <w:vAlign w:val="center"/>
          </w:tcPr>
          <w:p>
            <w:pPr>
              <w:widowControl/>
              <w:spacing w:line="360" w:lineRule="auto"/>
              <w:rPr>
                <w:rFonts w:ascii="宋体" w:hAnsi="宋体" w:cs="宋体"/>
                <w:kern w:val="0"/>
                <w:sz w:val="24"/>
                <w:highlight w:val="none"/>
              </w:rPr>
            </w:pPr>
            <w:r>
              <w:rPr>
                <w:rFonts w:hint="eastAsia" w:ascii="宋体" w:hAnsi="宋体" w:cs="宋体"/>
                <w:kern w:val="0"/>
                <w:sz w:val="24"/>
                <w:highlight w:val="none"/>
              </w:rPr>
              <w:t>品牌规格型号</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rPr>
                <w:rFonts w:ascii="宋体" w:hAnsi="宋体" w:cs="宋体"/>
                <w:kern w:val="0"/>
                <w:sz w:val="24"/>
                <w:highlight w:val="none"/>
              </w:rPr>
            </w:pPr>
            <w:r>
              <w:rPr>
                <w:rFonts w:ascii="宋体" w:hAnsi="宋体" w:cs="宋体"/>
                <w:kern w:val="0"/>
                <w:sz w:val="24"/>
                <w:highlight w:val="none"/>
              </w:rPr>
              <w:t>原产地</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单位</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数量</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单价</w:t>
            </w:r>
          </w:p>
        </w:tc>
        <w:tc>
          <w:tcPr>
            <w:tcW w:w="141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金额</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备注</w:t>
            </w:r>
          </w:p>
        </w:tc>
      </w:tr>
      <w:tr>
        <w:tblPrEx>
          <w:tblCellMar>
            <w:top w:w="0" w:type="dxa"/>
            <w:left w:w="108" w:type="dxa"/>
            <w:bottom w:w="0" w:type="dxa"/>
            <w:right w:w="108" w:type="dxa"/>
          </w:tblCellMar>
        </w:tblPrEx>
        <w:trPr>
          <w:trHeight w:val="285" w:hRule="atLeast"/>
        </w:trPr>
        <w:tc>
          <w:tcPr>
            <w:tcW w:w="70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1</w:t>
            </w:r>
          </w:p>
        </w:tc>
        <w:tc>
          <w:tcPr>
            <w:tcW w:w="2523" w:type="dxa"/>
            <w:tcBorders>
              <w:top w:val="nil"/>
              <w:left w:val="nil"/>
              <w:bottom w:val="single" w:color="auto" w:sz="4" w:space="0"/>
              <w:right w:val="single" w:color="auto" w:sz="4" w:space="0"/>
            </w:tcBorders>
            <w:vAlign w:val="bottom"/>
          </w:tcPr>
          <w:p>
            <w:pPr>
              <w:widowControl/>
              <w:tabs>
                <w:tab w:val="center" w:pos="1124"/>
                <w:tab w:val="right" w:pos="2129"/>
              </w:tabs>
              <w:spacing w:line="360" w:lineRule="auto"/>
              <w:jc w:val="left"/>
              <w:textAlignment w:val="bottom"/>
              <w:rPr>
                <w:rFonts w:ascii="宋体" w:hAnsi="宋体" w:cs="宋体"/>
                <w:kern w:val="0"/>
                <w:sz w:val="24"/>
                <w:highlight w:val="none"/>
              </w:rPr>
            </w:pPr>
          </w:p>
        </w:tc>
        <w:tc>
          <w:tcPr>
            <w:tcW w:w="1872"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1418"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ind w:right="120"/>
              <w:rPr>
                <w:rFonts w:ascii="宋体" w:hAnsi="宋体" w:cs="宋体"/>
                <w:kern w:val="0"/>
                <w:sz w:val="24"/>
                <w:highlight w:val="none"/>
              </w:rPr>
            </w:pPr>
          </w:p>
        </w:tc>
      </w:tr>
      <w:tr>
        <w:trPr>
          <w:trHeight w:val="285" w:hRule="atLeast"/>
        </w:trPr>
        <w:tc>
          <w:tcPr>
            <w:tcW w:w="70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2</w:t>
            </w:r>
          </w:p>
        </w:tc>
        <w:tc>
          <w:tcPr>
            <w:tcW w:w="2523" w:type="dxa"/>
            <w:tcBorders>
              <w:top w:val="nil"/>
              <w:left w:val="nil"/>
              <w:bottom w:val="single" w:color="auto" w:sz="4" w:space="0"/>
              <w:right w:val="single" w:color="auto" w:sz="4" w:space="0"/>
            </w:tcBorders>
            <w:vAlign w:val="bottom"/>
          </w:tcPr>
          <w:p>
            <w:pPr>
              <w:widowControl/>
              <w:spacing w:line="360" w:lineRule="auto"/>
              <w:textAlignment w:val="bottom"/>
              <w:rPr>
                <w:rFonts w:ascii="宋体" w:hAnsi="宋体" w:cs="宋体"/>
                <w:kern w:val="0"/>
                <w:sz w:val="24"/>
                <w:highlight w:val="none"/>
              </w:rPr>
            </w:pPr>
          </w:p>
        </w:tc>
        <w:tc>
          <w:tcPr>
            <w:tcW w:w="1872"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spacing w:line="360" w:lineRule="auto"/>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709" w:type="dxa"/>
            <w:tcBorders>
              <w:top w:val="nil"/>
              <w:left w:val="nil"/>
              <w:bottom w:val="single" w:color="auto" w:sz="4" w:space="0"/>
              <w:right w:val="single" w:color="auto" w:sz="4" w:space="0"/>
            </w:tcBorders>
            <w:vAlign w:val="center"/>
          </w:tcPr>
          <w:p>
            <w:pPr>
              <w:widowControl/>
              <w:spacing w:line="360" w:lineRule="auto"/>
              <w:jc w:val="center"/>
              <w:textAlignment w:val="center"/>
              <w:rPr>
                <w:rFonts w:ascii="宋体" w:hAnsi="宋体" w:cs="宋体"/>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1418" w:type="dxa"/>
            <w:tcBorders>
              <w:top w:val="nil"/>
              <w:left w:val="nil"/>
              <w:bottom w:val="single" w:color="auto" w:sz="4" w:space="0"/>
              <w:right w:val="single" w:color="auto" w:sz="4" w:space="0"/>
            </w:tcBorders>
            <w:vAlign w:val="center"/>
          </w:tcPr>
          <w:p>
            <w:pPr>
              <w:widowControl/>
              <w:spacing w:line="360" w:lineRule="auto"/>
              <w:textAlignment w:val="center"/>
              <w:rPr>
                <w:rFonts w:ascii="宋体" w:hAnsi="宋体" w:cs="仿宋"/>
                <w:kern w:val="0"/>
                <w:sz w:val="24"/>
                <w:highlight w:val="none"/>
              </w:rPr>
            </w:pPr>
          </w:p>
        </w:tc>
        <w:tc>
          <w:tcPr>
            <w:tcW w:w="850" w:type="dxa"/>
            <w:tcBorders>
              <w:top w:val="nil"/>
              <w:left w:val="nil"/>
              <w:bottom w:val="single" w:color="auto" w:sz="4" w:space="0"/>
              <w:right w:val="single" w:color="auto" w:sz="4" w:space="0"/>
            </w:tcBorders>
            <w:vAlign w:val="center"/>
          </w:tcPr>
          <w:p>
            <w:pPr>
              <w:widowControl/>
              <w:spacing w:line="360" w:lineRule="auto"/>
              <w:ind w:right="120"/>
              <w:rPr>
                <w:rFonts w:ascii="宋体" w:hAnsi="宋体" w:cs="宋体"/>
                <w:kern w:val="0"/>
                <w:sz w:val="24"/>
                <w:highlight w:val="none"/>
              </w:rPr>
            </w:pPr>
          </w:p>
        </w:tc>
      </w:tr>
      <w:tr>
        <w:tblPrEx>
          <w:tblCellMar>
            <w:top w:w="0" w:type="dxa"/>
            <w:left w:w="108" w:type="dxa"/>
            <w:bottom w:w="0" w:type="dxa"/>
            <w:right w:w="108" w:type="dxa"/>
          </w:tblCellMar>
        </w:tblPrEx>
        <w:trPr>
          <w:trHeight w:val="285" w:hRule="atLeast"/>
        </w:trPr>
        <w:tc>
          <w:tcPr>
            <w:tcW w:w="3232"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合计（元）</w:t>
            </w:r>
          </w:p>
        </w:tc>
        <w:tc>
          <w:tcPr>
            <w:tcW w:w="7258" w:type="dxa"/>
            <w:gridSpan w:val="7"/>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p>
        </w:tc>
      </w:tr>
      <w:tr>
        <w:tblPrEx>
          <w:tblCellMar>
            <w:top w:w="0" w:type="dxa"/>
            <w:left w:w="108" w:type="dxa"/>
            <w:bottom w:w="0" w:type="dxa"/>
            <w:right w:w="108" w:type="dxa"/>
          </w:tblCellMar>
        </w:tblPrEx>
        <w:trPr>
          <w:trHeight w:val="285" w:hRule="atLeast"/>
        </w:trPr>
        <w:tc>
          <w:tcPr>
            <w:tcW w:w="10490" w:type="dxa"/>
            <w:gridSpan w:val="9"/>
            <w:tcBorders>
              <w:top w:val="single" w:color="auto" w:sz="4" w:space="0"/>
              <w:left w:val="single" w:color="auto" w:sz="4" w:space="0"/>
              <w:bottom w:val="single" w:color="auto" w:sz="4" w:space="0"/>
              <w:right w:val="single" w:color="000000" w:sz="4" w:space="0"/>
            </w:tcBorders>
            <w:vAlign w:val="center"/>
          </w:tcPr>
          <w:p>
            <w:pPr>
              <w:widowControl/>
              <w:spacing w:line="360" w:lineRule="auto"/>
              <w:jc w:val="left"/>
              <w:rPr>
                <w:rFonts w:ascii="宋体" w:hAnsi="宋体" w:cs="宋体"/>
                <w:kern w:val="0"/>
                <w:sz w:val="24"/>
                <w:highlight w:val="none"/>
              </w:rPr>
            </w:pPr>
            <w:r>
              <w:rPr>
                <w:rFonts w:hint="eastAsia" w:ascii="宋体" w:hAnsi="宋体" w:cs="宋体"/>
                <w:kern w:val="0"/>
                <w:sz w:val="24"/>
                <w:highlight w:val="none"/>
              </w:rPr>
              <w:t>合计人民币（大写）：</w:t>
            </w:r>
            <w:r>
              <w:rPr>
                <w:rFonts w:ascii="宋体" w:hAnsi="宋体" w:cs="宋体"/>
                <w:kern w:val="0"/>
                <w:sz w:val="24"/>
                <w:highlight w:val="none"/>
              </w:rPr>
              <w:t xml:space="preserve"> </w:t>
            </w:r>
          </w:p>
        </w:tc>
      </w:tr>
    </w:tbl>
    <w:p>
      <w:pPr>
        <w:tabs>
          <w:tab w:val="left" w:pos="567"/>
        </w:tabs>
        <w:spacing w:before="72" w:beforeLines="30" w:after="72" w:afterLines="30" w:line="360" w:lineRule="auto"/>
        <w:ind w:left="567"/>
        <w:rPr>
          <w:rFonts w:hAnsi="宋体"/>
          <w:sz w:val="24"/>
          <w:highlight w:val="none"/>
        </w:rPr>
      </w:pPr>
    </w:p>
    <w:p>
      <w:pPr>
        <w:numPr>
          <w:ilvl w:val="0"/>
          <w:numId w:val="5"/>
        </w:numPr>
        <w:tabs>
          <w:tab w:val="left" w:pos="567"/>
          <w:tab w:val="clear" w:pos="2278"/>
        </w:tabs>
        <w:spacing w:before="72" w:beforeLines="30" w:after="72" w:afterLines="30" w:line="360" w:lineRule="auto"/>
        <w:ind w:left="567" w:hanging="567"/>
        <w:rPr>
          <w:rFonts w:hAnsi="宋体"/>
          <w:sz w:val="24"/>
          <w:highlight w:val="none"/>
        </w:rPr>
      </w:pPr>
      <w:r>
        <w:rPr>
          <w:rFonts w:hint="eastAsia" w:hAnsi="宋体"/>
          <w:sz w:val="24"/>
          <w:highlight w:val="none"/>
        </w:rPr>
        <w:t>买方应根据本合同的规定向卖方购买货物，并支付合同总价，卖方应根据本合同的规定向买方出售、交付货物并提供与货物使用和安装相关的技术资料和技术服务。</w:t>
      </w:r>
    </w:p>
    <w:p>
      <w:pPr>
        <w:numPr>
          <w:ilvl w:val="0"/>
          <w:numId w:val="5"/>
        </w:numPr>
        <w:tabs>
          <w:tab w:val="left" w:pos="567"/>
          <w:tab w:val="clear" w:pos="2278"/>
        </w:tabs>
        <w:spacing w:before="72" w:beforeLines="30" w:after="72" w:afterLines="30" w:line="360" w:lineRule="auto"/>
        <w:ind w:left="567" w:hanging="567"/>
        <w:rPr>
          <w:rFonts w:hAnsi="宋体"/>
          <w:sz w:val="24"/>
          <w:highlight w:val="none"/>
        </w:rPr>
      </w:pPr>
      <w:r>
        <w:rPr>
          <w:rFonts w:hint="eastAsia" w:hAnsi="宋体"/>
          <w:sz w:val="24"/>
          <w:highlight w:val="none"/>
        </w:rPr>
        <w:t>货物</w:t>
      </w:r>
      <w:r>
        <w:rPr>
          <w:rFonts w:hAnsi="宋体"/>
          <w:sz w:val="24"/>
          <w:highlight w:val="none"/>
        </w:rPr>
        <w:t>将用于</w:t>
      </w:r>
      <w:r>
        <w:rPr>
          <w:rFonts w:hint="eastAsia" w:hAnsi="宋体"/>
          <w:sz w:val="24"/>
          <w:highlight w:val="none"/>
        </w:rPr>
        <w:t>【</w:t>
      </w:r>
      <w:r>
        <w:rPr>
          <w:rFonts w:hint="eastAsia" w:hAnsi="宋体"/>
          <w:i/>
          <w:sz w:val="24"/>
          <w:highlight w:val="none"/>
        </w:rPr>
        <w:t>填入具体的</w:t>
      </w:r>
      <w:r>
        <w:rPr>
          <w:rFonts w:hAnsi="宋体"/>
          <w:i/>
          <w:sz w:val="24"/>
          <w:highlight w:val="none"/>
        </w:rPr>
        <w:t>项目</w:t>
      </w:r>
      <w:r>
        <w:rPr>
          <w:rFonts w:hint="eastAsia" w:hAnsi="宋体"/>
          <w:i/>
          <w:sz w:val="24"/>
          <w:highlight w:val="none"/>
        </w:rPr>
        <w:t>或</w:t>
      </w:r>
      <w:r>
        <w:rPr>
          <w:rFonts w:hAnsi="宋体"/>
          <w:i/>
          <w:sz w:val="24"/>
          <w:highlight w:val="none"/>
        </w:rPr>
        <w:t>工程</w:t>
      </w:r>
      <w:r>
        <w:rPr>
          <w:rFonts w:hint="eastAsia" w:hAnsi="宋体"/>
          <w:sz w:val="24"/>
          <w:highlight w:val="none"/>
        </w:rPr>
        <w:t>】</w:t>
      </w:r>
      <w:r>
        <w:rPr>
          <w:rFonts w:hAnsi="宋体"/>
          <w:sz w:val="24"/>
          <w:highlight w:val="none"/>
        </w:rPr>
        <w:t>。</w:t>
      </w:r>
    </w:p>
    <w:p>
      <w:pPr>
        <w:pStyle w:val="15"/>
        <w:numPr>
          <w:ilvl w:val="0"/>
          <w:numId w:val="4"/>
        </w:numPr>
        <w:spacing w:before="72" w:beforeLines="30" w:after="72" w:afterLines="30" w:line="360" w:lineRule="auto"/>
        <w:ind w:left="851" w:hanging="851"/>
        <w:jc w:val="left"/>
        <w:rPr>
          <w:sz w:val="24"/>
          <w:szCs w:val="24"/>
          <w:highlight w:val="none"/>
        </w:rPr>
      </w:pPr>
      <w:bookmarkStart w:id="20" w:name="_Toc306354309"/>
      <w:r>
        <w:rPr>
          <w:sz w:val="24"/>
          <w:szCs w:val="24"/>
          <w:highlight w:val="none"/>
        </w:rPr>
        <w:t>合同</w:t>
      </w:r>
      <w:r>
        <w:rPr>
          <w:rFonts w:hint="eastAsia"/>
          <w:sz w:val="24"/>
          <w:szCs w:val="24"/>
          <w:highlight w:val="none"/>
        </w:rPr>
        <w:t>总价</w:t>
      </w:r>
      <w:bookmarkEnd w:id="20"/>
    </w:p>
    <w:p>
      <w:pPr>
        <w:numPr>
          <w:ilvl w:val="0"/>
          <w:numId w:val="6"/>
        </w:numPr>
        <w:tabs>
          <w:tab w:val="left" w:pos="567"/>
          <w:tab w:val="clear" w:pos="840"/>
        </w:tabs>
        <w:spacing w:before="72" w:beforeLines="30" w:after="72" w:afterLines="30" w:line="360" w:lineRule="auto"/>
        <w:ind w:left="567" w:hanging="567"/>
        <w:rPr>
          <w:sz w:val="24"/>
          <w:highlight w:val="none"/>
        </w:rPr>
      </w:pPr>
      <w:r>
        <w:rPr>
          <w:rFonts w:hint="eastAsia"/>
          <w:sz w:val="24"/>
          <w:highlight w:val="none"/>
        </w:rPr>
        <w:t>双方经协商一致，最终确定合同总价为</w:t>
      </w:r>
      <w:r>
        <w:rPr>
          <w:sz w:val="24"/>
          <w:highlight w:val="none"/>
        </w:rPr>
        <w:t>【</w:t>
      </w:r>
      <w:r>
        <w:rPr>
          <w:rFonts w:hint="eastAsia"/>
          <w:i/>
          <w:sz w:val="24"/>
          <w:highlight w:val="none"/>
        </w:rPr>
        <w:t>填入币种英文简写，如RMB</w:t>
      </w:r>
      <w:r>
        <w:rPr>
          <w:sz w:val="24"/>
          <w:highlight w:val="none"/>
        </w:rPr>
        <w:t>】</w:t>
      </w:r>
      <w:r>
        <w:rPr>
          <w:rFonts w:hint="eastAsia"/>
          <w:sz w:val="24"/>
          <w:highlight w:val="none"/>
        </w:rPr>
        <w:t>【</w:t>
      </w:r>
      <w:r>
        <w:rPr>
          <w:rFonts w:hint="eastAsia"/>
          <w:i/>
          <w:sz w:val="24"/>
          <w:highlight w:val="none"/>
        </w:rPr>
        <w:t>填入小写金额</w:t>
      </w:r>
      <w:r>
        <w:rPr>
          <w:rFonts w:hint="eastAsia"/>
          <w:sz w:val="24"/>
          <w:highlight w:val="none"/>
        </w:rPr>
        <w:t>】</w:t>
      </w:r>
      <w:r>
        <w:rPr>
          <w:sz w:val="24"/>
          <w:highlight w:val="none"/>
        </w:rPr>
        <w:t>（大写：【</w:t>
      </w:r>
      <w:r>
        <w:rPr>
          <w:rFonts w:hint="eastAsia"/>
          <w:i/>
          <w:sz w:val="24"/>
          <w:highlight w:val="none"/>
        </w:rPr>
        <w:t>填入币种名称，如人民币</w:t>
      </w:r>
      <w:r>
        <w:rPr>
          <w:sz w:val="24"/>
          <w:highlight w:val="none"/>
        </w:rPr>
        <w:t>】</w:t>
      </w:r>
      <w:r>
        <w:rPr>
          <w:rFonts w:hint="eastAsia"/>
          <w:sz w:val="24"/>
          <w:highlight w:val="none"/>
        </w:rPr>
        <w:t>【</w:t>
      </w:r>
      <w:r>
        <w:rPr>
          <w:rFonts w:hint="eastAsia"/>
          <w:i/>
          <w:sz w:val="24"/>
          <w:highlight w:val="none"/>
        </w:rPr>
        <w:t>填入大写金额</w:t>
      </w:r>
      <w:r>
        <w:rPr>
          <w:rFonts w:hint="eastAsia"/>
          <w:sz w:val="24"/>
          <w:highlight w:val="none"/>
        </w:rPr>
        <w:t>】）。</w:t>
      </w:r>
      <w:bookmarkStart w:id="21" w:name="_Hlk41394068"/>
      <w:r>
        <w:rPr>
          <w:rFonts w:hint="eastAsia"/>
          <w:sz w:val="24"/>
          <w:highlight w:val="none"/>
        </w:rPr>
        <w:t>合同总价为含税（包括增值税）总金额。</w:t>
      </w:r>
      <w:r>
        <w:rPr>
          <w:rFonts w:hint="eastAsia" w:hAnsi="Garamond" w:cs="新宋体-18030"/>
          <w:sz w:val="24"/>
          <w:highlight w:val="none"/>
        </w:rPr>
        <w:t>其中，</w:t>
      </w:r>
      <w:r>
        <w:rPr>
          <w:rFonts w:hint="eastAsia"/>
          <w:sz w:val="24"/>
          <w:highlight w:val="none"/>
        </w:rPr>
        <w:t>不含增值税合同价款为</w:t>
      </w:r>
      <w:r>
        <w:rPr>
          <w:rFonts w:hint="eastAsia" w:hAnsi="宋体"/>
          <w:sz w:val="24"/>
          <w:highlight w:val="none"/>
        </w:rPr>
        <w:t>【</w:t>
      </w:r>
      <w:r>
        <w:rPr>
          <w:rFonts w:hint="eastAsia" w:hAnsi="宋体"/>
          <w:i/>
          <w:sz w:val="24"/>
          <w:highlight w:val="none"/>
        </w:rPr>
        <w:t>填入币种英文简写，如</w:t>
      </w:r>
      <w:r>
        <w:rPr>
          <w:rFonts w:hAnsi="宋体"/>
          <w:i/>
          <w:sz w:val="24"/>
          <w:highlight w:val="none"/>
        </w:rPr>
        <w:t>RMB</w:t>
      </w:r>
      <w:r>
        <w:rPr>
          <w:rFonts w:hint="eastAsia" w:hAnsi="宋体"/>
          <w:sz w:val="24"/>
          <w:highlight w:val="none"/>
        </w:rPr>
        <w:t>】</w:t>
      </w:r>
      <w:r>
        <w:rPr>
          <w:rFonts w:hint="eastAsia"/>
          <w:sz w:val="24"/>
          <w:highlight w:val="none"/>
        </w:rPr>
        <w:t>【</w:t>
      </w:r>
      <w:r>
        <w:rPr>
          <w:rFonts w:hint="eastAsia"/>
          <w:i/>
          <w:sz w:val="24"/>
          <w:highlight w:val="none"/>
        </w:rPr>
        <w:t>填入小写金额</w:t>
      </w:r>
      <w:r>
        <w:rPr>
          <w:rFonts w:hint="eastAsia"/>
          <w:sz w:val="24"/>
          <w:highlight w:val="none"/>
        </w:rPr>
        <w:t>】</w:t>
      </w:r>
      <w:r>
        <w:rPr>
          <w:rFonts w:hint="eastAsia" w:hAnsi="宋体"/>
          <w:sz w:val="24"/>
          <w:highlight w:val="none"/>
        </w:rPr>
        <w:t>（大写：【</w:t>
      </w:r>
      <w:r>
        <w:rPr>
          <w:rFonts w:hint="eastAsia" w:hAnsi="宋体"/>
          <w:i/>
          <w:sz w:val="24"/>
          <w:highlight w:val="none"/>
        </w:rPr>
        <w:t>填入币种名称，如人民币</w:t>
      </w:r>
      <w:r>
        <w:rPr>
          <w:rFonts w:hint="eastAsia" w:hAnsi="宋体"/>
          <w:sz w:val="24"/>
          <w:highlight w:val="none"/>
        </w:rPr>
        <w:t>】【</w:t>
      </w:r>
      <w:r>
        <w:rPr>
          <w:rFonts w:hint="eastAsia" w:hAnsi="宋体"/>
          <w:i/>
          <w:sz w:val="24"/>
          <w:highlight w:val="none"/>
        </w:rPr>
        <w:t>填入大写金额</w:t>
      </w:r>
      <w:r>
        <w:rPr>
          <w:rFonts w:hint="eastAsia" w:hAnsi="宋体"/>
          <w:sz w:val="24"/>
          <w:highlight w:val="none"/>
        </w:rPr>
        <w:t>】），</w:t>
      </w:r>
      <w:r>
        <w:rPr>
          <w:rFonts w:hint="eastAsia"/>
          <w:sz w:val="24"/>
          <w:highlight w:val="none"/>
        </w:rPr>
        <w:t>增值税税率为【</w:t>
      </w:r>
      <w:r>
        <w:rPr>
          <w:rFonts w:hint="eastAsia"/>
          <w:i/>
          <w:sz w:val="24"/>
          <w:highlight w:val="none"/>
        </w:rPr>
        <w:t>填入增值税税率</w:t>
      </w:r>
      <w:r>
        <w:rPr>
          <w:rFonts w:hint="eastAsia"/>
          <w:sz w:val="24"/>
          <w:highlight w:val="none"/>
        </w:rPr>
        <w:t>】</w:t>
      </w:r>
      <w:r>
        <w:rPr>
          <w:sz w:val="24"/>
          <w:highlight w:val="none"/>
        </w:rPr>
        <w:t>%</w:t>
      </w:r>
      <w:r>
        <w:rPr>
          <w:rFonts w:hint="eastAsia" w:hAnsi="宋体"/>
          <w:sz w:val="24"/>
          <w:highlight w:val="none"/>
        </w:rPr>
        <w:t>。</w:t>
      </w:r>
      <w:bookmarkEnd w:id="21"/>
      <w:r>
        <w:rPr>
          <w:rFonts w:hint="eastAsia"/>
          <w:sz w:val="24"/>
          <w:highlight w:val="none"/>
        </w:rPr>
        <w:t>合同总价的各分项价格和组成为：</w:t>
      </w:r>
      <w:bookmarkStart w:id="22" w:name="OLE_LINK37"/>
      <w:bookmarkStart w:id="23" w:name="OLE_LINK66"/>
      <w:bookmarkStart w:id="24" w:name="OLE_LINK40"/>
      <w:bookmarkStart w:id="25" w:name="OLE_LINK67"/>
      <w:bookmarkStart w:id="26" w:name="OLE_LINK36"/>
      <w:bookmarkStart w:id="27" w:name="OLE_LINK39"/>
    </w:p>
    <w:p>
      <w:pPr>
        <w:tabs>
          <w:tab w:val="left" w:pos="567"/>
        </w:tabs>
        <w:spacing w:before="72" w:beforeLines="30" w:after="72" w:afterLines="30" w:line="360" w:lineRule="auto"/>
        <w:ind w:left="567"/>
        <w:rPr>
          <w:i/>
          <w:sz w:val="24"/>
          <w:highlight w:val="none"/>
          <w:u w:val="single"/>
        </w:rPr>
      </w:pPr>
      <w:r>
        <w:rPr>
          <w:rFonts w:hint="eastAsia"/>
          <w:i/>
          <w:sz w:val="24"/>
          <w:highlight w:val="none"/>
          <w:u w:val="single"/>
        </w:rPr>
        <w:t>请从下列选项中选择一项，并删除不适用的选项：</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sz w:val="24"/>
          <w:highlight w:val="none"/>
        </w:rPr>
      </w:pPr>
      <w:r>
        <w:rPr>
          <w:rFonts w:hint="eastAsia"/>
          <w:i/>
          <w:sz w:val="24"/>
          <w:highlight w:val="none"/>
          <w:u w:val="single"/>
        </w:rPr>
        <w:t>选项一：</w:t>
      </w:r>
      <w:bookmarkEnd w:id="22"/>
      <w:bookmarkEnd w:id="23"/>
      <w:bookmarkEnd w:id="24"/>
      <w:bookmarkEnd w:id="25"/>
      <w:bookmarkEnd w:id="26"/>
      <w:bookmarkEnd w:id="27"/>
      <w:bookmarkStart w:id="28" w:name="OLE_LINK38"/>
      <w:r>
        <w:rPr>
          <w:rFonts w:hint="eastAsia"/>
          <w:i/>
          <w:sz w:val="24"/>
          <w:highlight w:val="none"/>
          <w:u w:val="single"/>
        </w:rPr>
        <w:t>直接填入</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sz w:val="24"/>
          <w:highlight w:val="none"/>
        </w:rPr>
      </w:pPr>
      <w:r>
        <w:rPr>
          <w:rFonts w:hint="eastAsia"/>
          <w:sz w:val="24"/>
          <w:highlight w:val="none"/>
        </w:rPr>
        <w:t>合同总价的各分项价格和组成</w:t>
      </w:r>
      <w:bookmarkEnd w:id="28"/>
      <w:r>
        <w:rPr>
          <w:rFonts w:hint="eastAsia"/>
          <w:sz w:val="24"/>
          <w:highlight w:val="none"/>
        </w:rPr>
        <w:t>为：</w:t>
      </w:r>
      <w:r>
        <w:rPr>
          <w:rFonts w:hint="eastAsia" w:hAnsi="宋体"/>
          <w:sz w:val="24"/>
          <w:highlight w:val="none"/>
        </w:rPr>
        <w:t>【</w:t>
      </w:r>
      <w:r>
        <w:rPr>
          <w:rFonts w:hint="eastAsia" w:hAnsi="宋体"/>
          <w:i/>
          <w:sz w:val="24"/>
          <w:highlight w:val="none"/>
        </w:rPr>
        <w:t>请填入</w:t>
      </w:r>
      <w:r>
        <w:rPr>
          <w:rFonts w:hint="eastAsia"/>
          <w:i/>
          <w:sz w:val="24"/>
          <w:highlight w:val="none"/>
        </w:rPr>
        <w:t>各分项价格和组成</w:t>
      </w:r>
      <w:r>
        <w:rPr>
          <w:rFonts w:hint="eastAsia" w:hAnsi="宋体"/>
          <w:sz w:val="24"/>
          <w:highlight w:val="none"/>
        </w:rPr>
        <w:t>】</w:t>
      </w:r>
      <w:r>
        <w:rPr>
          <w:rFonts w:hint="eastAsia"/>
          <w:sz w:val="24"/>
          <w:highlight w:val="none"/>
        </w:rPr>
        <w:t>。</w:t>
      </w:r>
    </w:p>
    <w:p>
      <w:pPr>
        <w:widowControl/>
        <w:tabs>
          <w:tab w:val="left" w:pos="993"/>
          <w:tab w:val="left" w:pos="1800"/>
        </w:tabs>
        <w:autoSpaceDE w:val="0"/>
        <w:autoSpaceDN w:val="0"/>
        <w:adjustRightInd w:val="0"/>
        <w:spacing w:before="72" w:beforeLines="30" w:after="72" w:afterLines="30" w:line="360" w:lineRule="auto"/>
        <w:ind w:firstLine="648" w:firstLineChars="270"/>
        <w:textAlignment w:val="bottom"/>
        <w:rPr>
          <w:i/>
          <w:sz w:val="24"/>
          <w:highlight w:val="none"/>
          <w:u w:val="single"/>
        </w:rPr>
      </w:pPr>
      <w:r>
        <w:rPr>
          <w:rFonts w:hint="eastAsia"/>
          <w:i/>
          <w:sz w:val="24"/>
          <w:highlight w:val="none"/>
          <w:u w:val="single"/>
        </w:rPr>
        <w:t>选项二：附件中列明</w:t>
      </w:r>
    </w:p>
    <w:p>
      <w:pPr>
        <w:widowControl/>
        <w:tabs>
          <w:tab w:val="left" w:pos="567"/>
          <w:tab w:val="left" w:pos="1800"/>
        </w:tabs>
        <w:autoSpaceDE w:val="0"/>
        <w:autoSpaceDN w:val="0"/>
        <w:adjustRightInd w:val="0"/>
        <w:spacing w:before="72" w:beforeLines="30" w:after="72" w:afterLines="30" w:line="360" w:lineRule="auto"/>
        <w:ind w:left="567"/>
        <w:textAlignment w:val="bottom"/>
        <w:rPr>
          <w:sz w:val="24"/>
          <w:highlight w:val="none"/>
        </w:rPr>
      </w:pPr>
      <w:r>
        <w:rPr>
          <w:rFonts w:hint="eastAsia"/>
          <w:sz w:val="24"/>
          <w:highlight w:val="none"/>
        </w:rPr>
        <w:t>合同总价的各分项价格和组成：【</w:t>
      </w:r>
      <w:r>
        <w:rPr>
          <w:rFonts w:hint="eastAsia"/>
          <w:i/>
          <w:sz w:val="24"/>
          <w:highlight w:val="none"/>
        </w:rPr>
        <w:t>详见本合同附件一</w:t>
      </w:r>
      <w:r>
        <w:rPr>
          <w:rFonts w:hint="eastAsia"/>
          <w:sz w:val="24"/>
          <w:highlight w:val="none"/>
        </w:rPr>
        <w:t>】。</w:t>
      </w:r>
    </w:p>
    <w:p>
      <w:pPr>
        <w:numPr>
          <w:ilvl w:val="0"/>
          <w:numId w:val="6"/>
        </w:numPr>
        <w:tabs>
          <w:tab w:val="left" w:pos="567"/>
          <w:tab w:val="clear" w:pos="840"/>
        </w:tabs>
        <w:spacing w:before="72" w:beforeLines="30" w:after="72" w:afterLines="30" w:line="360" w:lineRule="auto"/>
        <w:ind w:left="567" w:hanging="567"/>
        <w:rPr>
          <w:rFonts w:ascii="Arial" w:hAnsi="Arial" w:cs="Arial"/>
          <w:sz w:val="24"/>
          <w:highlight w:val="none"/>
        </w:rPr>
      </w:pPr>
      <w:r>
        <w:rPr>
          <w:rFonts w:hint="eastAsia"/>
          <w:sz w:val="24"/>
          <w:highlight w:val="none"/>
        </w:rPr>
        <w:t>合同总价系卖方交付全部货物，完成全部工作，完整履行本合同，买方应当支付的全部金额。合同总价为无条件最终封顶价格。除根据本合同规定因工作变更或国家增值税税率调整引起合同总价调整外，不受通货膨胀、利率、汇率、税费、成本及市场等因素变化的影响。合同总价包括货物成本、货物资料的费用；税费（包括关税、增值税等）；运输、储存、包装、维修、搬运、交付费用；管理费和利润；直接成本、间接成本、人力成本；技术服务费用；质保期费用；或有费用及合同没有列明但系为实现合同目的所必需的工作和服务的费用；</w:t>
      </w:r>
      <w:r>
        <w:rPr>
          <w:rFonts w:hint="eastAsia" w:ascii="Arial" w:hAnsi="Arial" w:cs="Arial"/>
          <w:sz w:val="24"/>
          <w:highlight w:val="none"/>
        </w:rPr>
        <w:t>卖方所有的风险、义务和责任，以及合同中明确说明由卖方承担的成本与费用</w:t>
      </w:r>
      <w:r>
        <w:rPr>
          <w:rFonts w:hint="eastAsia"/>
          <w:sz w:val="24"/>
          <w:highlight w:val="none"/>
        </w:rPr>
        <w:t>等。除买方同意某项费用属于额外的工作项目需另行支付费用外，买方不向卖方支付任何超出合同总价的</w:t>
      </w:r>
      <w:r>
        <w:rPr>
          <w:rFonts w:hint="eastAsia" w:ascii="Arial" w:hAnsi="Arial" w:cs="Arial"/>
          <w:sz w:val="24"/>
          <w:highlight w:val="none"/>
        </w:rPr>
        <w:t>款项。</w:t>
      </w:r>
      <w:r>
        <w:rPr>
          <w:rFonts w:hint="eastAsia"/>
          <w:sz w:val="24"/>
          <w:highlight w:val="none"/>
        </w:rPr>
        <w:t>为免疑义，如果增值税税率因国家增值税税率调整而发生变化，合同总价自动调整，但不含增值税的合同价款保持不变。</w:t>
      </w:r>
    </w:p>
    <w:p>
      <w:pPr>
        <w:numPr>
          <w:ilvl w:val="0"/>
          <w:numId w:val="6"/>
        </w:numPr>
        <w:tabs>
          <w:tab w:val="left" w:pos="567"/>
          <w:tab w:val="clear" w:pos="840"/>
        </w:tabs>
        <w:spacing w:before="72" w:beforeLines="30" w:after="72" w:afterLines="30" w:line="360" w:lineRule="auto"/>
        <w:ind w:left="567" w:hanging="567"/>
        <w:rPr>
          <w:sz w:val="24"/>
          <w:highlight w:val="none"/>
        </w:rPr>
      </w:pPr>
      <w:r>
        <w:rPr>
          <w:rFonts w:hint="eastAsia" w:ascii="Arial" w:hAnsi="Arial" w:cs="Arial"/>
          <w:sz w:val="24"/>
          <w:highlight w:val="none"/>
        </w:rPr>
        <w:t>双方应根据法律法规各自承担其应承担的与本合同有关的所有税费。</w:t>
      </w:r>
      <w:r>
        <w:rPr>
          <w:rFonts w:hint="eastAsia"/>
          <w:sz w:val="24"/>
          <w:highlight w:val="none"/>
        </w:rPr>
        <w:t>买方有权根据法律法规和本合同的规定从应支付给卖方的合同总价中扣除应由买方代扣、代缴的卖方应付税费，但应向卖方提供完税证明。</w:t>
      </w:r>
    </w:p>
    <w:p>
      <w:pPr>
        <w:pStyle w:val="15"/>
        <w:numPr>
          <w:ilvl w:val="0"/>
          <w:numId w:val="4"/>
        </w:numPr>
        <w:spacing w:before="72" w:beforeLines="30" w:after="72" w:afterLines="30" w:line="360" w:lineRule="auto"/>
        <w:ind w:left="709" w:hanging="709"/>
        <w:jc w:val="left"/>
        <w:rPr>
          <w:sz w:val="24"/>
          <w:szCs w:val="24"/>
          <w:highlight w:val="none"/>
        </w:rPr>
      </w:pPr>
      <w:r>
        <w:rPr>
          <w:rFonts w:hint="eastAsia"/>
          <w:sz w:val="24"/>
          <w:szCs w:val="24"/>
          <w:highlight w:val="none"/>
        </w:rPr>
        <w:t>付款</w:t>
      </w:r>
    </w:p>
    <w:p>
      <w:pPr>
        <w:pStyle w:val="32"/>
        <w:numPr>
          <w:ilvl w:val="0"/>
          <w:numId w:val="7"/>
        </w:numPr>
        <w:tabs>
          <w:tab w:val="left" w:pos="851"/>
        </w:tabs>
        <w:adjustRightInd w:val="0"/>
        <w:spacing w:line="360" w:lineRule="auto"/>
        <w:ind w:firstLineChars="0"/>
        <w:contextualSpacing/>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支付货币：</w:t>
      </w:r>
    </w:p>
    <w:p>
      <w:pPr>
        <w:pStyle w:val="32"/>
        <w:tabs>
          <w:tab w:val="left" w:pos="567"/>
        </w:tabs>
        <w:adjustRightInd w:val="0"/>
        <w:spacing w:line="360" w:lineRule="auto"/>
        <w:ind w:left="849" w:leftChars="320" w:hanging="177" w:hangingChars="74"/>
        <w:contextualSpacing/>
        <w:rPr>
          <w:rFonts w:ascii="宋体" w:hAnsi="宋体"/>
          <w:sz w:val="24"/>
          <w:highlight w:val="none"/>
        </w:rPr>
      </w:pPr>
      <w:r>
        <w:rPr>
          <w:rFonts w:hint="eastAsia" w:ascii="宋体" w:hAnsi="宋体"/>
          <w:bCs/>
          <w:i/>
          <w:kern w:val="0"/>
          <w:sz w:val="24"/>
          <w:highlight w:val="none"/>
          <w:u w:val="single"/>
        </w:rPr>
        <w:t>请根据实际情况从下列选项中选择其中一项，并将不适用的删除</w:t>
      </w:r>
    </w:p>
    <w:p>
      <w:pPr>
        <w:widowControl/>
        <w:tabs>
          <w:tab w:val="left" w:pos="567"/>
        </w:tabs>
        <w:adjustRightInd w:val="0"/>
        <w:spacing w:line="360" w:lineRule="auto"/>
        <w:ind w:left="672" w:leftChars="320" w:firstLine="36" w:firstLineChars="15"/>
        <w:contextualSpacing/>
        <w:jc w:val="left"/>
        <w:rPr>
          <w:color w:val="000000"/>
          <w:sz w:val="24"/>
          <w:highlight w:val="none"/>
        </w:rPr>
      </w:pPr>
      <w:r>
        <w:rPr>
          <w:rFonts w:hint="eastAsia"/>
          <w:color w:val="000000"/>
          <w:sz w:val="24"/>
          <w:highlight w:val="none"/>
        </w:rPr>
        <w:t>选项一：</w:t>
      </w:r>
      <w:r>
        <w:rPr>
          <w:color w:val="000000"/>
          <w:sz w:val="24"/>
          <w:highlight w:val="none"/>
        </w:rPr>
        <w:t xml:space="preserve"> </w:t>
      </w:r>
    </w:p>
    <w:p>
      <w:pPr>
        <w:pStyle w:val="32"/>
        <w:widowControl/>
        <w:tabs>
          <w:tab w:val="left" w:pos="567"/>
        </w:tabs>
        <w:adjustRightInd w:val="0"/>
        <w:spacing w:line="360" w:lineRule="auto"/>
        <w:ind w:left="672" w:leftChars="320" w:firstLine="36" w:firstLineChars="15"/>
        <w:contextualSpacing/>
        <w:jc w:val="left"/>
        <w:rPr>
          <w:rFonts w:ascii="宋体" w:hAnsi="宋体" w:cs="Arial"/>
          <w:bCs/>
          <w:color w:val="44546A"/>
          <w:kern w:val="0"/>
          <w:sz w:val="24"/>
          <w:highlight w:val="none"/>
        </w:rPr>
      </w:pPr>
      <w:r>
        <w:rPr>
          <w:rFonts w:hint="eastAsia"/>
          <w:sz w:val="24"/>
          <w:highlight w:val="none"/>
        </w:rPr>
        <w:t>本合同项下的所有应付款项均应以</w:t>
      </w:r>
      <w:r>
        <w:rPr>
          <w:rFonts w:hint="eastAsia" w:ascii="宋体" w:hAnsi="宋体" w:cs="Arial"/>
          <w:color w:val="44546A"/>
          <w:kern w:val="0"/>
          <w:sz w:val="24"/>
          <w:highlight w:val="none"/>
        </w:rPr>
        <w:t>【</w:t>
      </w:r>
      <w:r>
        <w:rPr>
          <w:rFonts w:hint="eastAsia" w:ascii="宋体" w:hAnsi="宋体" w:cs="Arial"/>
          <w:i/>
          <w:iCs/>
          <w:color w:val="44546A"/>
          <w:kern w:val="0"/>
          <w:sz w:val="24"/>
          <w:highlight w:val="none"/>
        </w:rPr>
        <w:t>人民币</w:t>
      </w:r>
      <w:r>
        <w:rPr>
          <w:rFonts w:hint="eastAsia" w:ascii="宋体" w:hAnsi="宋体" w:cs="Arial"/>
          <w:color w:val="44546A"/>
          <w:kern w:val="0"/>
          <w:sz w:val="24"/>
          <w:highlight w:val="none"/>
        </w:rPr>
        <w:t>】</w:t>
      </w:r>
      <w:r>
        <w:rPr>
          <w:rFonts w:hint="eastAsia"/>
          <w:sz w:val="24"/>
          <w:highlight w:val="none"/>
        </w:rPr>
        <w:t>支付。</w:t>
      </w:r>
    </w:p>
    <w:p>
      <w:pPr>
        <w:widowControl/>
        <w:tabs>
          <w:tab w:val="left" w:pos="567"/>
        </w:tabs>
        <w:adjustRightInd w:val="0"/>
        <w:spacing w:line="360" w:lineRule="auto"/>
        <w:ind w:left="672" w:leftChars="320" w:firstLine="36" w:firstLineChars="15"/>
        <w:contextualSpacing/>
        <w:jc w:val="left"/>
        <w:rPr>
          <w:color w:val="000000"/>
          <w:sz w:val="24"/>
          <w:highlight w:val="none"/>
        </w:rPr>
      </w:pPr>
      <w:r>
        <w:rPr>
          <w:rFonts w:hint="eastAsia"/>
          <w:color w:val="000000"/>
          <w:sz w:val="24"/>
          <w:highlight w:val="none"/>
        </w:rPr>
        <w:t>选项二：</w:t>
      </w:r>
      <w:r>
        <w:rPr>
          <w:color w:val="000000"/>
          <w:sz w:val="24"/>
          <w:highlight w:val="none"/>
        </w:rPr>
        <w:t xml:space="preserve"> </w:t>
      </w:r>
    </w:p>
    <w:p>
      <w:pPr>
        <w:widowControl/>
        <w:tabs>
          <w:tab w:val="left" w:pos="567"/>
        </w:tabs>
        <w:adjustRightInd w:val="0"/>
        <w:spacing w:line="360" w:lineRule="auto"/>
        <w:ind w:left="672" w:leftChars="320"/>
        <w:contextualSpacing/>
        <w:jc w:val="left"/>
        <w:rPr>
          <w:rFonts w:ascii="宋体" w:hAnsi="宋体" w:cs="Arial"/>
          <w:bCs/>
          <w:color w:val="44546A"/>
          <w:kern w:val="0"/>
          <w:sz w:val="24"/>
          <w:highlight w:val="none"/>
        </w:rPr>
      </w:pPr>
      <w:r>
        <w:rPr>
          <w:rFonts w:hint="eastAsia"/>
          <w:sz w:val="24"/>
          <w:highlight w:val="none"/>
        </w:rPr>
        <w:t>本合同项下的所有应付款项均应以美元支付，前提是如任何付款的一方受适用的法律限制而无法支付美元，则其有权以等值的</w:t>
      </w:r>
      <w:r>
        <w:rPr>
          <w:rFonts w:hint="eastAsia" w:ascii="宋体" w:hAnsi="宋体" w:cs="Arial"/>
          <w:color w:val="44546A"/>
          <w:kern w:val="0"/>
          <w:sz w:val="24"/>
          <w:highlight w:val="none"/>
        </w:rPr>
        <w:t>【</w:t>
      </w:r>
      <w:r>
        <w:rPr>
          <w:rFonts w:hint="eastAsia" w:ascii="宋体" w:hAnsi="宋体" w:cs="Arial"/>
          <w:i/>
          <w:iCs/>
          <w:color w:val="44546A"/>
          <w:kern w:val="0"/>
          <w:sz w:val="24"/>
          <w:highlight w:val="none"/>
        </w:rPr>
        <w:t>人民币</w:t>
      </w:r>
      <w:r>
        <w:rPr>
          <w:rFonts w:hint="eastAsia" w:ascii="宋体" w:hAnsi="宋体" w:cs="Arial"/>
          <w:color w:val="44546A"/>
          <w:kern w:val="0"/>
          <w:sz w:val="24"/>
          <w:highlight w:val="none"/>
        </w:rPr>
        <w:t>】</w:t>
      </w:r>
      <w:r>
        <w:rPr>
          <w:rFonts w:hint="eastAsia"/>
          <w:sz w:val="24"/>
          <w:highlight w:val="none"/>
        </w:rPr>
        <w:t>进行支付。</w:t>
      </w:r>
    </w:p>
    <w:p>
      <w:pPr>
        <w:numPr>
          <w:ilvl w:val="0"/>
          <w:numId w:val="7"/>
        </w:numPr>
        <w:tabs>
          <w:tab w:val="left" w:pos="709"/>
        </w:tabs>
        <w:spacing w:before="72" w:beforeLines="30" w:after="72" w:afterLines="30" w:line="360" w:lineRule="auto"/>
        <w:rPr>
          <w:sz w:val="24"/>
          <w:highlight w:val="none"/>
        </w:rPr>
      </w:pPr>
      <w:r>
        <w:rPr>
          <w:rFonts w:hint="eastAsia"/>
          <w:sz w:val="24"/>
          <w:highlight w:val="none"/>
        </w:rPr>
        <w:t>本合同项下的</w:t>
      </w:r>
      <w:r>
        <w:rPr>
          <w:color w:val="000000"/>
          <w:sz w:val="24"/>
          <w:highlight w:val="none"/>
        </w:rPr>
        <w:t>付款方式</w:t>
      </w:r>
      <w:r>
        <w:rPr>
          <w:rFonts w:hint="eastAsia"/>
          <w:color w:val="000000"/>
          <w:sz w:val="24"/>
          <w:highlight w:val="none"/>
        </w:rPr>
        <w:t>为</w:t>
      </w:r>
      <w:r>
        <w:rPr>
          <w:color w:val="000000"/>
          <w:sz w:val="24"/>
          <w:highlight w:val="none"/>
        </w:rPr>
        <w:t>：</w:t>
      </w:r>
      <w:r>
        <w:rPr>
          <w:rFonts w:hint="eastAsia"/>
          <w:color w:val="000000"/>
          <w:sz w:val="24"/>
          <w:highlight w:val="none"/>
        </w:rPr>
        <w:t>【□</w:t>
      </w:r>
      <w:r>
        <w:rPr>
          <w:color w:val="000000"/>
          <w:sz w:val="24"/>
          <w:highlight w:val="none"/>
        </w:rPr>
        <w:t>银行电汇；</w:t>
      </w:r>
      <w:r>
        <w:rPr>
          <w:rFonts w:hint="eastAsia"/>
          <w:color w:val="000000"/>
          <w:sz w:val="24"/>
          <w:highlight w:val="none"/>
        </w:rPr>
        <w:t>□其他</w:t>
      </w:r>
      <w:r>
        <w:rPr>
          <w:rFonts w:hint="eastAsia"/>
          <w:color w:val="000000"/>
          <w:sz w:val="24"/>
          <w:highlight w:val="none"/>
          <w:u w:val="single"/>
        </w:rPr>
        <w:t xml:space="preserve">    </w:t>
      </w:r>
      <w:r>
        <w:rPr>
          <w:rFonts w:hint="eastAsia"/>
          <w:color w:val="000000"/>
          <w:sz w:val="24"/>
          <w:highlight w:val="none"/>
        </w:rPr>
        <w:t>】。</w:t>
      </w:r>
    </w:p>
    <w:p>
      <w:pPr>
        <w:numPr>
          <w:ilvl w:val="0"/>
          <w:numId w:val="7"/>
        </w:numPr>
        <w:tabs>
          <w:tab w:val="left" w:pos="709"/>
        </w:tabs>
        <w:spacing w:before="72" w:beforeLines="30" w:after="72" w:afterLines="30" w:line="360" w:lineRule="auto"/>
        <w:rPr>
          <w:color w:val="000000"/>
          <w:sz w:val="24"/>
          <w:highlight w:val="none"/>
        </w:rPr>
      </w:pPr>
      <w:r>
        <w:rPr>
          <w:rFonts w:hint="eastAsia"/>
          <w:color w:val="000000"/>
          <w:sz w:val="24"/>
          <w:highlight w:val="none"/>
        </w:rPr>
        <w:t>付款进度</w:t>
      </w:r>
    </w:p>
    <w:p>
      <w:pPr>
        <w:tabs>
          <w:tab w:val="left" w:pos="567"/>
        </w:tabs>
        <w:spacing w:before="72" w:beforeLines="30" w:after="72" w:afterLines="30" w:line="360" w:lineRule="auto"/>
        <w:ind w:left="567"/>
        <w:rPr>
          <w:rFonts w:asciiTheme="minorEastAsia" w:hAnsiTheme="minorEastAsia" w:eastAsiaTheme="minorEastAsia"/>
          <w:i/>
          <w:color w:val="000000"/>
          <w:sz w:val="24"/>
          <w:highlight w:val="none"/>
          <w:u w:val="single"/>
        </w:rPr>
      </w:pPr>
      <w:r>
        <w:rPr>
          <w:rFonts w:hint="eastAsia" w:asciiTheme="minorEastAsia" w:hAnsiTheme="minorEastAsia" w:eastAsiaTheme="minorEastAsia"/>
          <w:i/>
          <w:color w:val="000000"/>
          <w:sz w:val="24"/>
          <w:highlight w:val="none"/>
          <w:u w:val="single"/>
        </w:rPr>
        <w:t>选项一：直接填入付款进度</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付款进度为：【</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 xml:space="preserve"> </w:t>
      </w:r>
      <w:r>
        <w:rPr>
          <w:color w:val="000000"/>
          <w:sz w:val="24"/>
          <w:highlight w:val="none"/>
        </w:rPr>
        <w:t xml:space="preserve">          </w:t>
      </w:r>
      <w:r>
        <w:rPr>
          <w:rFonts w:hint="eastAsia"/>
          <w:color w:val="000000"/>
          <w:sz w:val="24"/>
          <w:highlight w:val="none"/>
        </w:rPr>
        <w:t>【</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color w:val="000000"/>
          <w:sz w:val="24"/>
          <w:highlight w:val="none"/>
        </w:rPr>
      </w:pPr>
      <w:r>
        <w:rPr>
          <w:rFonts w:hint="eastAsia"/>
          <w:color w:val="000000"/>
          <w:sz w:val="24"/>
          <w:highlight w:val="none"/>
        </w:rPr>
        <w:t xml:space="preserve"> </w:t>
      </w:r>
      <w:r>
        <w:rPr>
          <w:color w:val="000000"/>
          <w:sz w:val="24"/>
          <w:highlight w:val="none"/>
        </w:rPr>
        <w:t xml:space="preserve">          </w:t>
      </w:r>
      <w:r>
        <w:rPr>
          <w:rFonts w:hint="eastAsia"/>
          <w:color w:val="000000"/>
          <w:sz w:val="24"/>
          <w:highlight w:val="none"/>
        </w:rPr>
        <w:t>【</w:t>
      </w:r>
      <w:r>
        <w:rPr>
          <w:rFonts w:hint="eastAsia"/>
          <w:i/>
          <w:color w:val="000000"/>
          <w:sz w:val="24"/>
          <w:highlight w:val="none"/>
          <w:u w:val="single"/>
        </w:rPr>
        <w:t xml:space="preserve"> </w:t>
      </w:r>
      <w:r>
        <w:rPr>
          <w:i/>
          <w:color w:val="000000"/>
          <w:sz w:val="24"/>
          <w:highlight w:val="none"/>
          <w:u w:val="single"/>
        </w:rPr>
        <w:t xml:space="preserve">             </w:t>
      </w:r>
      <w:r>
        <w:rPr>
          <w:rFonts w:hint="eastAsia"/>
          <w:color w:val="000000"/>
          <w:sz w:val="24"/>
          <w:highlight w:val="none"/>
        </w:rPr>
        <w:t>】</w:t>
      </w:r>
    </w:p>
    <w:p>
      <w:pPr>
        <w:tabs>
          <w:tab w:val="left" w:pos="567"/>
        </w:tabs>
        <w:spacing w:before="72" w:beforeLines="30" w:after="72" w:afterLines="30" w:line="360" w:lineRule="auto"/>
        <w:ind w:left="567"/>
        <w:rPr>
          <w:rFonts w:asciiTheme="minorEastAsia" w:hAnsiTheme="minorEastAsia" w:eastAsiaTheme="minorEastAsia"/>
          <w:i/>
          <w:color w:val="000000"/>
          <w:sz w:val="24"/>
          <w:highlight w:val="none"/>
          <w:u w:val="single"/>
        </w:rPr>
      </w:pPr>
      <w:r>
        <w:rPr>
          <w:rFonts w:hint="eastAsia" w:asciiTheme="minorEastAsia" w:hAnsiTheme="minorEastAsia" w:eastAsiaTheme="minorEastAsia"/>
          <w:i/>
          <w:color w:val="000000"/>
          <w:sz w:val="24"/>
          <w:highlight w:val="none"/>
          <w:u w:val="single"/>
        </w:rPr>
        <w:t>选项二：到货验收付款+质保金</w:t>
      </w:r>
    </w:p>
    <w:p>
      <w:pPr>
        <w:pStyle w:val="32"/>
        <w:numPr>
          <w:ilvl w:val="0"/>
          <w:numId w:val="8"/>
        </w:numPr>
        <w:tabs>
          <w:tab w:val="left" w:pos="567"/>
        </w:tabs>
        <w:spacing w:before="72" w:beforeLines="30" w:after="72" w:afterLines="30" w:line="360" w:lineRule="auto"/>
        <w:ind w:firstLineChars="0"/>
        <w:rPr>
          <w:sz w:val="24"/>
          <w:highlight w:val="none"/>
        </w:rPr>
      </w:pPr>
      <w:r>
        <w:rPr>
          <w:rFonts w:hint="eastAsia" w:asciiTheme="minorEastAsia" w:hAnsiTheme="minorEastAsia" w:eastAsiaTheme="minorEastAsia"/>
          <w:sz w:val="24"/>
          <w:highlight w:val="none"/>
        </w:rPr>
        <w:t>卖方在合同规定的期限内将货物运至交货地点，买方在收到货物并签发验收证明后</w:t>
      </w:r>
      <w:r>
        <w:rPr>
          <w:rFonts w:hint="eastAsia"/>
          <w:sz w:val="24"/>
          <w:highlight w:val="none"/>
        </w:rPr>
        <w:t>【</w:t>
      </w:r>
      <w:r>
        <w:rPr>
          <w:rFonts w:hint="eastAsia"/>
          <w:i/>
          <w:sz w:val="24"/>
          <w:highlight w:val="none"/>
        </w:rPr>
        <w:t>填入天数</w:t>
      </w:r>
      <w:r>
        <w:rPr>
          <w:rFonts w:hint="eastAsia"/>
          <w:sz w:val="24"/>
          <w:highlight w:val="none"/>
        </w:rPr>
        <w:t>】</w:t>
      </w:r>
      <w:r>
        <w:rPr>
          <w:rFonts w:hAnsi="宋体"/>
          <w:sz w:val="24"/>
          <w:highlight w:val="none"/>
        </w:rPr>
        <w:t>日内</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买方</w:t>
      </w:r>
      <w:r>
        <w:rPr>
          <w:rFonts w:asciiTheme="minorEastAsia" w:hAnsiTheme="minorEastAsia" w:eastAsiaTheme="minorEastAsia"/>
          <w:sz w:val="24"/>
          <w:highlight w:val="none"/>
        </w:rPr>
        <w:t>支付</w:t>
      </w:r>
      <w:r>
        <w:rPr>
          <w:rFonts w:hint="eastAsia" w:asciiTheme="minorEastAsia" w:hAnsiTheme="minorEastAsia" w:eastAsiaTheme="minorEastAsia"/>
          <w:sz w:val="24"/>
          <w:highlight w:val="none"/>
        </w:rPr>
        <w:t>合同</w:t>
      </w:r>
      <w:r>
        <w:rPr>
          <w:rFonts w:asciiTheme="minorEastAsia" w:hAnsiTheme="minorEastAsia" w:eastAsiaTheme="minorEastAsia"/>
          <w:sz w:val="24"/>
          <w:highlight w:val="none"/>
        </w:rPr>
        <w:t>总价的</w:t>
      </w:r>
      <w:r>
        <w:rPr>
          <w:rFonts w:hint="eastAsia"/>
          <w:sz w:val="24"/>
          <w:highlight w:val="none"/>
        </w:rPr>
        <w:t>【</w:t>
      </w:r>
      <w:r>
        <w:rPr>
          <w:rFonts w:hint="eastAsia"/>
          <w:i/>
          <w:sz w:val="24"/>
          <w:highlight w:val="none"/>
        </w:rPr>
        <w:t>填入百分比</w:t>
      </w:r>
      <w:r>
        <w:rPr>
          <w:rFonts w:hint="eastAsia"/>
          <w:sz w:val="24"/>
          <w:highlight w:val="none"/>
        </w:rPr>
        <w:t>】</w:t>
      </w:r>
      <w:r>
        <w:rPr>
          <w:rFonts w:hAnsi="宋体"/>
          <w:sz w:val="24"/>
          <w:highlight w:val="none"/>
        </w:rPr>
        <w:t>，即</w:t>
      </w:r>
      <w:r>
        <w:rPr>
          <w:rFonts w:hint="eastAsia"/>
          <w:sz w:val="24"/>
          <w:highlight w:val="none"/>
        </w:rPr>
        <w:t>【</w:t>
      </w:r>
      <w:r>
        <w:rPr>
          <w:rFonts w:hint="eastAsia"/>
          <w:i/>
          <w:sz w:val="24"/>
          <w:highlight w:val="none"/>
        </w:rPr>
        <w:t>填入币种英文简写，如</w:t>
      </w:r>
      <w:r>
        <w:rPr>
          <w:i/>
          <w:sz w:val="24"/>
          <w:highlight w:val="none"/>
        </w:rPr>
        <w:t>RMB</w:t>
      </w:r>
      <w:r>
        <w:rPr>
          <w:rFonts w:hint="eastAsia"/>
          <w:sz w:val="24"/>
          <w:highlight w:val="none"/>
        </w:rPr>
        <w:t>】【</w:t>
      </w:r>
      <w:r>
        <w:rPr>
          <w:rFonts w:hint="eastAsia"/>
          <w:i/>
          <w:sz w:val="24"/>
          <w:highlight w:val="none"/>
        </w:rPr>
        <w:t>填入小写金额</w:t>
      </w:r>
      <w:r>
        <w:rPr>
          <w:rFonts w:hint="eastAsia"/>
          <w:sz w:val="24"/>
          <w:highlight w:val="none"/>
        </w:rPr>
        <w:t>】（大写：【</w:t>
      </w:r>
      <w:r>
        <w:rPr>
          <w:rFonts w:hint="eastAsia"/>
          <w:i/>
          <w:sz w:val="24"/>
          <w:highlight w:val="none"/>
        </w:rPr>
        <w:t>填入币种名称，如人民币</w:t>
      </w:r>
      <w:r>
        <w:rPr>
          <w:rFonts w:hint="eastAsia"/>
          <w:sz w:val="24"/>
          <w:highlight w:val="none"/>
        </w:rPr>
        <w:t>】【</w:t>
      </w:r>
      <w:r>
        <w:rPr>
          <w:rFonts w:hint="eastAsia"/>
          <w:i/>
          <w:sz w:val="24"/>
          <w:highlight w:val="none"/>
        </w:rPr>
        <w:t>填入大写金额</w:t>
      </w:r>
      <w:r>
        <w:rPr>
          <w:rFonts w:hint="eastAsia"/>
          <w:sz w:val="24"/>
          <w:highlight w:val="none"/>
        </w:rPr>
        <w:t>】）</w:t>
      </w:r>
      <w:r>
        <w:rPr>
          <w:rFonts w:hAnsi="宋体"/>
          <w:sz w:val="24"/>
          <w:highlight w:val="none"/>
        </w:rPr>
        <w:t>。</w:t>
      </w:r>
    </w:p>
    <w:p>
      <w:pPr>
        <w:pStyle w:val="32"/>
        <w:numPr>
          <w:ilvl w:val="0"/>
          <w:numId w:val="8"/>
        </w:numPr>
        <w:tabs>
          <w:tab w:val="left" w:pos="567"/>
        </w:tabs>
        <w:spacing w:before="72" w:beforeLines="30" w:after="72" w:afterLines="30" w:line="360" w:lineRule="auto"/>
        <w:ind w:firstLineChars="0"/>
        <w:rPr>
          <w:i/>
          <w:sz w:val="24"/>
          <w:highlight w:val="none"/>
        </w:rPr>
      </w:pPr>
      <w:r>
        <w:rPr>
          <w:sz w:val="24"/>
          <w:highlight w:val="none"/>
        </w:rPr>
        <w:t>合同总价的</w:t>
      </w:r>
      <w:r>
        <w:rPr>
          <w:rFonts w:hint="eastAsia"/>
          <w:sz w:val="24"/>
          <w:highlight w:val="none"/>
        </w:rPr>
        <w:t>【</w:t>
      </w:r>
      <w:r>
        <w:rPr>
          <w:rFonts w:hint="eastAsia"/>
          <w:i/>
          <w:sz w:val="24"/>
          <w:highlight w:val="none"/>
        </w:rPr>
        <w:t>填入百分比</w:t>
      </w:r>
      <w:r>
        <w:rPr>
          <w:rFonts w:hint="eastAsia"/>
          <w:sz w:val="24"/>
          <w:highlight w:val="none"/>
        </w:rPr>
        <w:t>】，</w:t>
      </w:r>
      <w:r>
        <w:rPr>
          <w:sz w:val="24"/>
          <w:highlight w:val="none"/>
        </w:rPr>
        <w:t>即</w:t>
      </w:r>
      <w:r>
        <w:rPr>
          <w:rFonts w:hint="eastAsia"/>
          <w:sz w:val="24"/>
          <w:highlight w:val="none"/>
        </w:rPr>
        <w:t>【</w:t>
      </w:r>
      <w:r>
        <w:rPr>
          <w:rFonts w:hint="eastAsia"/>
          <w:i/>
          <w:sz w:val="24"/>
          <w:highlight w:val="none"/>
        </w:rPr>
        <w:t>填入币种英文简写，如</w:t>
      </w:r>
      <w:r>
        <w:rPr>
          <w:i/>
          <w:sz w:val="24"/>
          <w:highlight w:val="none"/>
        </w:rPr>
        <w:t>RMB</w:t>
      </w:r>
      <w:r>
        <w:rPr>
          <w:rFonts w:hint="eastAsia"/>
          <w:sz w:val="24"/>
          <w:highlight w:val="none"/>
        </w:rPr>
        <w:t>】【</w:t>
      </w:r>
      <w:r>
        <w:rPr>
          <w:rFonts w:hint="eastAsia"/>
          <w:i/>
          <w:sz w:val="24"/>
          <w:highlight w:val="none"/>
        </w:rPr>
        <w:t>填入小写金额</w:t>
      </w:r>
      <w:r>
        <w:rPr>
          <w:rFonts w:hint="eastAsia"/>
          <w:sz w:val="24"/>
          <w:highlight w:val="none"/>
        </w:rPr>
        <w:t>】（大写：【</w:t>
      </w:r>
      <w:r>
        <w:rPr>
          <w:rFonts w:hint="eastAsia"/>
          <w:i/>
          <w:sz w:val="24"/>
          <w:highlight w:val="none"/>
        </w:rPr>
        <w:t>填入币种名称，如人民币</w:t>
      </w:r>
      <w:r>
        <w:rPr>
          <w:rFonts w:hint="eastAsia"/>
          <w:sz w:val="24"/>
          <w:highlight w:val="none"/>
        </w:rPr>
        <w:t>】【</w:t>
      </w:r>
      <w:r>
        <w:rPr>
          <w:rFonts w:hint="eastAsia"/>
          <w:i/>
          <w:sz w:val="24"/>
          <w:highlight w:val="none"/>
        </w:rPr>
        <w:t>填入大写金额</w:t>
      </w:r>
      <w:r>
        <w:rPr>
          <w:rFonts w:hint="eastAsia"/>
          <w:sz w:val="24"/>
          <w:highlight w:val="none"/>
        </w:rPr>
        <w:t>】）</w:t>
      </w:r>
      <w:r>
        <w:rPr>
          <w:sz w:val="24"/>
          <w:highlight w:val="none"/>
        </w:rPr>
        <w:t>作为质保金</w:t>
      </w:r>
      <w:r>
        <w:rPr>
          <w:rFonts w:hint="eastAsia"/>
          <w:sz w:val="24"/>
          <w:highlight w:val="none"/>
        </w:rPr>
        <w:t>。货物质保期结束且卖方收到买方签发的货物最终接受证书后【</w:t>
      </w:r>
      <w:r>
        <w:rPr>
          <w:rFonts w:hint="eastAsia"/>
          <w:i/>
          <w:sz w:val="24"/>
          <w:highlight w:val="none"/>
        </w:rPr>
        <w:t>填入天数</w:t>
      </w:r>
      <w:r>
        <w:rPr>
          <w:rFonts w:hint="eastAsia"/>
          <w:sz w:val="24"/>
          <w:highlight w:val="none"/>
        </w:rPr>
        <w:t>】日内，买方支付该等质保金。</w:t>
      </w:r>
    </w:p>
    <w:p>
      <w:pPr>
        <w:tabs>
          <w:tab w:val="left" w:pos="567"/>
        </w:tabs>
        <w:spacing w:before="72" w:beforeLines="30" w:after="72" w:afterLines="30" w:line="360" w:lineRule="auto"/>
        <w:ind w:left="567"/>
        <w:rPr>
          <w:i/>
          <w:color w:val="000000"/>
          <w:sz w:val="24"/>
          <w:highlight w:val="none"/>
          <w:u w:val="single"/>
        </w:rPr>
      </w:pPr>
      <w:r>
        <w:rPr>
          <w:rFonts w:hint="eastAsia"/>
          <w:i/>
          <w:color w:val="000000"/>
          <w:sz w:val="24"/>
          <w:highlight w:val="none"/>
          <w:u w:val="single"/>
        </w:rPr>
        <w:t>选项三：到货验收后一次性付清款项</w:t>
      </w:r>
    </w:p>
    <w:p>
      <w:pPr>
        <w:tabs>
          <w:tab w:val="left" w:pos="567"/>
        </w:tabs>
        <w:spacing w:before="72" w:beforeLines="30" w:after="72" w:afterLines="30" w:line="360" w:lineRule="auto"/>
        <w:ind w:left="567"/>
        <w:rPr>
          <w:rFonts w:asciiTheme="minorEastAsia" w:hAnsiTheme="minorEastAsia" w:eastAsiaTheme="minorEastAsia"/>
          <w:color w:val="000000"/>
          <w:sz w:val="24"/>
          <w:highlight w:val="none"/>
        </w:rPr>
      </w:pPr>
      <w:r>
        <w:rPr>
          <w:rFonts w:hint="eastAsia" w:asciiTheme="minorEastAsia" w:hAnsiTheme="minorEastAsia" w:eastAsiaTheme="minorEastAsia"/>
          <w:sz w:val="24"/>
          <w:highlight w:val="none"/>
        </w:rPr>
        <w:t>卖方在合同规定的期限内将货物运至交货地点，买方在收到货物并签发验收证明后</w:t>
      </w:r>
      <w:r>
        <w:rPr>
          <w:rFonts w:hint="eastAsia"/>
          <w:sz w:val="24"/>
          <w:highlight w:val="none"/>
        </w:rPr>
        <w:t>【</w:t>
      </w:r>
      <w:r>
        <w:rPr>
          <w:rFonts w:hint="eastAsia"/>
          <w:i/>
          <w:sz w:val="24"/>
          <w:highlight w:val="none"/>
        </w:rPr>
        <w:t>填入天数</w:t>
      </w:r>
      <w:r>
        <w:rPr>
          <w:rFonts w:hint="eastAsia"/>
          <w:sz w:val="24"/>
          <w:highlight w:val="none"/>
        </w:rPr>
        <w:t>】</w:t>
      </w:r>
      <w:r>
        <w:rPr>
          <w:rFonts w:hAnsi="宋体"/>
          <w:sz w:val="24"/>
          <w:highlight w:val="none"/>
        </w:rPr>
        <w:t>日内</w:t>
      </w:r>
      <w:r>
        <w:rPr>
          <w:rFonts w:hint="eastAsia" w:asciiTheme="minorEastAsia" w:hAnsiTheme="minorEastAsia" w:eastAsiaTheme="minorEastAsia"/>
          <w:color w:val="000000"/>
          <w:sz w:val="24"/>
          <w:highlight w:val="none"/>
        </w:rPr>
        <w:t>，买方一次性付清全部合同价款。</w:t>
      </w:r>
    </w:p>
    <w:p>
      <w:pPr>
        <w:numPr>
          <w:ilvl w:val="0"/>
          <w:numId w:val="7"/>
        </w:numPr>
        <w:tabs>
          <w:tab w:val="left" w:pos="567"/>
        </w:tabs>
        <w:spacing w:before="72" w:beforeLines="30" w:after="72" w:afterLines="30" w:line="360" w:lineRule="auto"/>
        <w:rPr>
          <w:color w:val="000000"/>
          <w:sz w:val="24"/>
          <w:highlight w:val="none"/>
        </w:rPr>
      </w:pPr>
      <w:bookmarkStart w:id="29" w:name="OLE_LINK91"/>
      <w:bookmarkStart w:id="30" w:name="OLE_LINK92"/>
      <w:r>
        <w:rPr>
          <w:rFonts w:hint="eastAsia"/>
          <w:color w:val="000000"/>
          <w:sz w:val="24"/>
          <w:highlight w:val="none"/>
        </w:rPr>
        <w:t>卖方应根据合同规定的付款条件和进度，提前向买方开具符合中国法律法规要求的发票并提供相关支持文件。</w:t>
      </w:r>
      <w:r>
        <w:rPr>
          <w:rFonts w:hint="eastAsia"/>
          <w:sz w:val="24"/>
          <w:highlight w:val="none"/>
        </w:rPr>
        <w:t>如乙方提供的服务属于增值税应税范围，乙方应为甲方开具增值税专用发票。</w:t>
      </w:r>
      <w:r>
        <w:rPr>
          <w:rFonts w:hint="eastAsia" w:cs="新宋体-18030"/>
          <w:sz w:val="24"/>
          <w:highlight w:val="none"/>
        </w:rPr>
        <w:t>发票</w:t>
      </w:r>
      <w:r>
        <w:rPr>
          <w:rFonts w:hint="eastAsia"/>
          <w:sz w:val="24"/>
          <w:highlight w:val="none"/>
        </w:rPr>
        <w:t>应注明合同编号且抬头应为：【</w:t>
      </w:r>
      <w:r>
        <w:rPr>
          <w:rFonts w:hint="eastAsia"/>
          <w:i/>
          <w:sz w:val="24"/>
          <w:highlight w:val="none"/>
        </w:rPr>
        <w:t>填入发票编号及抬头</w:t>
      </w:r>
      <w:r>
        <w:rPr>
          <w:rFonts w:hint="eastAsia"/>
          <w:sz w:val="24"/>
          <w:highlight w:val="none"/>
        </w:rPr>
        <w:t>】。</w:t>
      </w:r>
      <w:r>
        <w:rPr>
          <w:rFonts w:hint="eastAsia"/>
          <w:color w:val="000000"/>
          <w:sz w:val="24"/>
          <w:highlight w:val="none"/>
        </w:rPr>
        <w:t>如卖方未开具上述发票并提供相关支持文件，买方有权拒付相关合同价款。如果买方对卖方出具的该等发票和提供的相关支持文件无异议，应于收到该等发票和相关支持文件之日起【</w:t>
      </w:r>
      <w:r>
        <w:rPr>
          <w:rFonts w:hint="eastAsia"/>
          <w:i/>
          <w:color w:val="000000"/>
          <w:sz w:val="24"/>
          <w:highlight w:val="none"/>
        </w:rPr>
        <w:t>填入天数</w:t>
      </w:r>
      <w:r>
        <w:rPr>
          <w:rFonts w:hint="eastAsia"/>
          <w:color w:val="000000"/>
          <w:sz w:val="24"/>
          <w:highlight w:val="none"/>
        </w:rPr>
        <w:t>】日内向卖方付款。</w:t>
      </w:r>
      <w:bookmarkEnd w:id="29"/>
      <w:bookmarkEnd w:id="30"/>
      <w:r>
        <w:rPr>
          <w:rFonts w:hint="eastAsia"/>
          <w:sz w:val="24"/>
          <w:highlight w:val="none"/>
        </w:rPr>
        <w:t>如甲方对乙方开具的该等发票和相关支持文件有异议，应于收到发票及相关支持文件后【</w:t>
      </w:r>
      <w:r>
        <w:rPr>
          <w:rFonts w:hint="eastAsia"/>
          <w:i/>
          <w:sz w:val="24"/>
          <w:highlight w:val="none"/>
        </w:rPr>
        <w:t>填入日期，如十（10）</w:t>
      </w:r>
      <w:r>
        <w:rPr>
          <w:rFonts w:hint="eastAsia"/>
          <w:sz w:val="24"/>
          <w:highlight w:val="none"/>
        </w:rPr>
        <w:t>】日内通知乙方，乙方应重新开具发票和相关支持文件，买方应于收到卖方重新开具的发票和相关支持文件之日起</w:t>
      </w:r>
      <w:r>
        <w:rPr>
          <w:rFonts w:hint="eastAsia"/>
          <w:color w:val="000000"/>
          <w:sz w:val="24"/>
          <w:highlight w:val="none"/>
        </w:rPr>
        <w:t>【</w:t>
      </w:r>
      <w:r>
        <w:rPr>
          <w:rFonts w:hint="eastAsia"/>
          <w:i/>
          <w:color w:val="000000"/>
          <w:sz w:val="24"/>
          <w:highlight w:val="none"/>
        </w:rPr>
        <w:t>填入天数</w:t>
      </w:r>
      <w:r>
        <w:rPr>
          <w:rFonts w:hint="eastAsia"/>
          <w:color w:val="000000"/>
          <w:sz w:val="24"/>
          <w:highlight w:val="none"/>
        </w:rPr>
        <w:t>】日内向卖方付款。</w:t>
      </w:r>
    </w:p>
    <w:p>
      <w:pPr>
        <w:numPr>
          <w:ilvl w:val="0"/>
          <w:numId w:val="7"/>
        </w:numPr>
        <w:tabs>
          <w:tab w:val="left" w:pos="567"/>
        </w:tabs>
        <w:spacing w:before="72" w:beforeLines="30" w:after="72" w:afterLines="30" w:line="360" w:lineRule="auto"/>
        <w:rPr>
          <w:sz w:val="24"/>
          <w:highlight w:val="none"/>
        </w:rPr>
      </w:pPr>
      <w:r>
        <w:rPr>
          <w:rFonts w:hint="eastAsia" w:hAnsi="宋体"/>
          <w:sz w:val="24"/>
          <w:highlight w:val="none"/>
        </w:rPr>
        <w:t>卖方</w:t>
      </w:r>
      <w:r>
        <w:rPr>
          <w:rFonts w:hAnsi="宋体"/>
          <w:sz w:val="24"/>
          <w:highlight w:val="none"/>
        </w:rPr>
        <w:t>账户</w:t>
      </w:r>
    </w:p>
    <w:p>
      <w:pPr>
        <w:tabs>
          <w:tab w:val="left" w:pos="567"/>
          <w:tab w:val="left" w:pos="1418"/>
        </w:tabs>
        <w:spacing w:before="72" w:beforeLines="30" w:after="72" w:afterLines="30" w:line="360" w:lineRule="auto"/>
        <w:ind w:left="565" w:leftChars="269"/>
        <w:rPr>
          <w:sz w:val="24"/>
          <w:highlight w:val="none"/>
        </w:rPr>
      </w:pPr>
      <w:r>
        <w:rPr>
          <w:sz w:val="24"/>
          <w:highlight w:val="none"/>
        </w:rPr>
        <w:t>卖方应通过如下账户收取合同总价及其它款项，并通过该账户向买方支付与合同有关的任何款项：</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卖方名称：</w:t>
      </w:r>
      <w:r>
        <w:rPr>
          <w:rFonts w:hint="eastAsia"/>
          <w:sz w:val="24"/>
          <w:highlight w:val="none"/>
          <w:u w:val="single"/>
        </w:rPr>
        <w:t xml:space="preserve">                            </w:t>
      </w:r>
      <w:r>
        <w:rPr>
          <w:sz w:val="24"/>
          <w:highlight w:val="non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账号：</w:t>
      </w:r>
      <w:r>
        <w:rPr>
          <w:rFonts w:hint="eastAsia"/>
          <w:sz w:val="24"/>
          <w:highlight w:val="none"/>
          <w:u w:val="singl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开户行名称：</w:t>
      </w:r>
      <w:r>
        <w:rPr>
          <w:rFonts w:hint="eastAsia"/>
          <w:sz w:val="24"/>
          <w:highlight w:val="none"/>
          <w:u w:val="single"/>
        </w:rPr>
        <w:t xml:space="preserve">                          </w:t>
      </w:r>
      <w:r>
        <w:rPr>
          <w:sz w:val="24"/>
          <w:highlight w:val="none"/>
        </w:rPr>
        <w:t xml:space="preserve"> </w:t>
      </w:r>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开户行地址：</w:t>
      </w:r>
      <w:bookmarkStart w:id="31" w:name="OLE_LINK45"/>
      <w:bookmarkStart w:id="32" w:name="OLE_LINK46"/>
      <w:r>
        <w:rPr>
          <w:rFonts w:hint="eastAsia"/>
          <w:sz w:val="24"/>
          <w:highlight w:val="none"/>
          <w:u w:val="single"/>
        </w:rPr>
        <w:t xml:space="preserve">                          </w:t>
      </w:r>
      <w:r>
        <w:rPr>
          <w:sz w:val="24"/>
          <w:highlight w:val="none"/>
        </w:rPr>
        <w:t xml:space="preserve"> </w:t>
      </w:r>
      <w:bookmarkEnd w:id="31"/>
      <w:bookmarkEnd w:id="32"/>
    </w:p>
    <w:p>
      <w:pPr>
        <w:tabs>
          <w:tab w:val="left" w:pos="567"/>
          <w:tab w:val="left" w:pos="1418"/>
        </w:tabs>
        <w:spacing w:before="72" w:beforeLines="30" w:after="72" w:afterLines="30" w:line="360" w:lineRule="auto"/>
        <w:ind w:left="565" w:leftChars="269" w:right="3916" w:rightChars="1865"/>
        <w:rPr>
          <w:sz w:val="24"/>
          <w:highlight w:val="none"/>
        </w:rPr>
      </w:pPr>
      <w:r>
        <w:rPr>
          <w:sz w:val="24"/>
          <w:highlight w:val="none"/>
        </w:rPr>
        <w:t>邮政编码：</w:t>
      </w:r>
      <w:bookmarkStart w:id="33" w:name="OLE_LINK53"/>
      <w:bookmarkStart w:id="34" w:name="OLE_LINK52"/>
      <w:r>
        <w:rPr>
          <w:sz w:val="24"/>
          <w:highlight w:val="none"/>
          <w:u w:val="single"/>
        </w:rPr>
        <w:t xml:space="preserve">                          </w:t>
      </w:r>
      <w:bookmarkEnd w:id="33"/>
      <w:bookmarkEnd w:id="34"/>
      <w:r>
        <w:rPr>
          <w:sz w:val="24"/>
          <w:highlight w:val="none"/>
        </w:rPr>
        <w:t xml:space="preserve"> </w:t>
      </w:r>
    </w:p>
    <w:p>
      <w:pPr>
        <w:pStyle w:val="15"/>
        <w:numPr>
          <w:ilvl w:val="0"/>
          <w:numId w:val="4"/>
        </w:numPr>
        <w:spacing w:before="72" w:beforeLines="30" w:after="72" w:afterLines="30" w:line="360" w:lineRule="auto"/>
        <w:ind w:left="851" w:hanging="851"/>
        <w:jc w:val="left"/>
        <w:rPr>
          <w:sz w:val="24"/>
          <w:szCs w:val="24"/>
          <w:highlight w:val="none"/>
        </w:rPr>
      </w:pPr>
      <w:bookmarkStart w:id="35" w:name="_Toc306354310"/>
      <w:r>
        <w:rPr>
          <w:rFonts w:hint="eastAsia"/>
          <w:sz w:val="24"/>
          <w:szCs w:val="24"/>
          <w:highlight w:val="none"/>
        </w:rPr>
        <w:t>货物交付</w:t>
      </w:r>
      <w:bookmarkEnd w:id="35"/>
    </w:p>
    <w:p>
      <w:pPr>
        <w:numPr>
          <w:ilvl w:val="0"/>
          <w:numId w:val="9"/>
        </w:numPr>
        <w:tabs>
          <w:tab w:val="left" w:pos="567"/>
          <w:tab w:val="clear" w:pos="562"/>
        </w:tabs>
        <w:spacing w:before="72" w:beforeLines="30" w:after="72" w:afterLines="30" w:line="360" w:lineRule="auto"/>
        <w:ind w:left="567" w:hanging="567"/>
        <w:outlineLvl w:val="0"/>
        <w:rPr>
          <w:b/>
          <w:sz w:val="24"/>
          <w:highlight w:val="none"/>
        </w:rPr>
      </w:pPr>
      <w:r>
        <w:rPr>
          <w:rFonts w:hAnsi="宋体"/>
          <w:b/>
          <w:sz w:val="24"/>
          <w:highlight w:val="none"/>
        </w:rPr>
        <w:t>交货日期</w:t>
      </w:r>
    </w:p>
    <w:p>
      <w:pPr>
        <w:numPr>
          <w:ilvl w:val="0"/>
          <w:numId w:val="10"/>
        </w:numPr>
        <w:tabs>
          <w:tab w:val="left" w:pos="993"/>
        </w:tabs>
        <w:spacing w:before="72" w:beforeLines="30" w:after="72" w:afterLines="30" w:line="360" w:lineRule="auto"/>
        <w:ind w:left="1047" w:leftChars="268" w:hanging="484" w:hangingChars="202"/>
        <w:outlineLvl w:val="0"/>
        <w:rPr>
          <w:sz w:val="24"/>
          <w:highlight w:val="none"/>
        </w:rPr>
      </w:pPr>
      <w:r>
        <w:rPr>
          <w:rFonts w:hAnsi="宋体"/>
          <w:sz w:val="24"/>
          <w:highlight w:val="none"/>
        </w:rPr>
        <w:t>卖方应在</w:t>
      </w:r>
      <w:r>
        <w:rPr>
          <w:rFonts w:hint="eastAsia"/>
          <w:sz w:val="24"/>
          <w:highlight w:val="none"/>
        </w:rPr>
        <w:t>【</w:t>
      </w:r>
      <w:r>
        <w:rPr>
          <w:rFonts w:hint="eastAsia"/>
          <w:i/>
          <w:sz w:val="24"/>
          <w:highlight w:val="none"/>
        </w:rPr>
        <w:t>填入交货日期</w:t>
      </w:r>
      <w:r>
        <w:rPr>
          <w:rFonts w:hint="eastAsia"/>
          <w:sz w:val="24"/>
          <w:highlight w:val="none"/>
        </w:rPr>
        <w:t>】</w:t>
      </w:r>
      <w:r>
        <w:rPr>
          <w:rFonts w:ascii="宋体" w:hAnsi="宋体"/>
          <w:sz w:val="24"/>
          <w:highlight w:val="none"/>
        </w:rPr>
        <w:t>（“交货日期”）</w:t>
      </w:r>
      <w:r>
        <w:rPr>
          <w:rFonts w:hAnsi="宋体"/>
          <w:sz w:val="24"/>
          <w:highlight w:val="none"/>
        </w:rPr>
        <w:t>前完成货物的交付。</w:t>
      </w:r>
    </w:p>
    <w:p>
      <w:pPr>
        <w:numPr>
          <w:ilvl w:val="0"/>
          <w:numId w:val="10"/>
        </w:numPr>
        <w:tabs>
          <w:tab w:val="left" w:pos="993"/>
        </w:tabs>
        <w:spacing w:before="72" w:beforeLines="30" w:after="72" w:afterLines="30" w:line="360" w:lineRule="auto"/>
        <w:ind w:left="1047" w:leftChars="268" w:hanging="484" w:hangingChars="202"/>
        <w:outlineLvl w:val="0"/>
        <w:rPr>
          <w:sz w:val="24"/>
          <w:highlight w:val="none"/>
        </w:rPr>
      </w:pPr>
      <w:r>
        <w:rPr>
          <w:rFonts w:hAnsi="宋体"/>
          <w:sz w:val="24"/>
          <w:highlight w:val="none"/>
        </w:rPr>
        <w:t>买方</w:t>
      </w:r>
      <w:r>
        <w:rPr>
          <w:rFonts w:hint="eastAsia" w:hAnsi="宋体"/>
          <w:sz w:val="24"/>
          <w:highlight w:val="none"/>
        </w:rPr>
        <w:t>有权根据自身</w:t>
      </w:r>
      <w:r>
        <w:rPr>
          <w:rFonts w:hAnsi="宋体"/>
          <w:sz w:val="24"/>
          <w:highlight w:val="none"/>
        </w:rPr>
        <w:t>情况</w:t>
      </w:r>
      <w:r>
        <w:rPr>
          <w:rFonts w:hint="eastAsia" w:hAnsi="宋体"/>
          <w:sz w:val="24"/>
          <w:highlight w:val="none"/>
        </w:rPr>
        <w:t>要求卖方延期交付货物，但买方应在交付日期前</w:t>
      </w:r>
      <w:bookmarkStart w:id="36" w:name="OLE_LINK56"/>
      <w:bookmarkStart w:id="37" w:name="OLE_LINK57"/>
      <w:r>
        <w:rPr>
          <w:rFonts w:hint="eastAsia" w:hAnsi="宋体"/>
          <w:sz w:val="24"/>
          <w:highlight w:val="none"/>
        </w:rPr>
        <w:t>【</w:t>
      </w:r>
      <w:r>
        <w:rPr>
          <w:rFonts w:hint="eastAsia" w:hAnsi="宋体"/>
          <w:i/>
          <w:sz w:val="24"/>
          <w:highlight w:val="none"/>
        </w:rPr>
        <w:t>填入天数</w:t>
      </w:r>
      <w:r>
        <w:rPr>
          <w:rFonts w:hint="eastAsia" w:hAnsi="宋体"/>
          <w:sz w:val="24"/>
          <w:highlight w:val="none"/>
        </w:rPr>
        <w:t>】</w:t>
      </w:r>
      <w:bookmarkEnd w:id="36"/>
      <w:bookmarkEnd w:id="37"/>
      <w:r>
        <w:rPr>
          <w:rFonts w:hint="eastAsia" w:hAnsi="宋体"/>
          <w:sz w:val="24"/>
          <w:highlight w:val="none"/>
        </w:rPr>
        <w:t>日以书面方式</w:t>
      </w:r>
      <w:r>
        <w:rPr>
          <w:rFonts w:hAnsi="宋体"/>
          <w:sz w:val="24"/>
          <w:highlight w:val="none"/>
        </w:rPr>
        <w:t>通知卖方。</w:t>
      </w:r>
      <w:r>
        <w:rPr>
          <w:sz w:val="24"/>
          <w:highlight w:val="none"/>
        </w:rPr>
        <w:t>除非买方调整交货日期</w:t>
      </w:r>
      <w:r>
        <w:rPr>
          <w:rFonts w:hint="eastAsia"/>
          <w:sz w:val="24"/>
          <w:highlight w:val="none"/>
        </w:rPr>
        <w:t>实质性</w:t>
      </w:r>
      <w:r>
        <w:rPr>
          <w:sz w:val="24"/>
          <w:highlight w:val="none"/>
        </w:rPr>
        <w:t>加重卖方义务，否则卖方不得另行向买方主张增加费用。</w:t>
      </w:r>
    </w:p>
    <w:p>
      <w:pPr>
        <w:numPr>
          <w:ilvl w:val="0"/>
          <w:numId w:val="9"/>
        </w:numPr>
        <w:tabs>
          <w:tab w:val="left" w:pos="567"/>
          <w:tab w:val="left" w:pos="709"/>
          <w:tab w:val="clear" w:pos="562"/>
        </w:tabs>
        <w:spacing w:before="72" w:beforeLines="30" w:after="72" w:afterLines="30" w:line="360" w:lineRule="auto"/>
        <w:ind w:left="567" w:hanging="567"/>
        <w:outlineLvl w:val="0"/>
        <w:rPr>
          <w:sz w:val="24"/>
          <w:highlight w:val="none"/>
        </w:rPr>
      </w:pPr>
      <w:r>
        <w:rPr>
          <w:rFonts w:hAnsi="宋体"/>
          <w:b/>
          <w:sz w:val="24"/>
          <w:highlight w:val="none"/>
        </w:rPr>
        <w:t>交货地点</w:t>
      </w:r>
      <w:r>
        <w:rPr>
          <w:rFonts w:hint="eastAsia" w:hAnsi="宋体"/>
          <w:sz w:val="24"/>
          <w:highlight w:val="none"/>
        </w:rPr>
        <w:t>：</w:t>
      </w:r>
      <w:bookmarkStart w:id="38" w:name="OLE_LINK58"/>
      <w:bookmarkStart w:id="39" w:name="OLE_LINK60"/>
      <w:bookmarkStart w:id="40" w:name="OLE_LINK59"/>
      <w:bookmarkStart w:id="41" w:name="OLE_LINK61"/>
      <w:r>
        <w:rPr>
          <w:rFonts w:hint="eastAsia" w:hAnsi="宋体"/>
          <w:sz w:val="24"/>
          <w:highlight w:val="none"/>
        </w:rPr>
        <w:t>【</w:t>
      </w:r>
      <w:r>
        <w:rPr>
          <w:rFonts w:hint="eastAsia" w:hAnsi="宋体"/>
          <w:i/>
          <w:sz w:val="24"/>
          <w:highlight w:val="none"/>
        </w:rPr>
        <w:t>填入交货地点</w:t>
      </w:r>
      <w:r>
        <w:rPr>
          <w:rFonts w:hint="eastAsia" w:hAnsi="宋体"/>
          <w:sz w:val="24"/>
          <w:highlight w:val="none"/>
        </w:rPr>
        <w:t>】</w:t>
      </w:r>
      <w:bookmarkEnd w:id="38"/>
      <w:bookmarkEnd w:id="39"/>
      <w:bookmarkEnd w:id="40"/>
      <w:bookmarkEnd w:id="41"/>
      <w:r>
        <w:rPr>
          <w:rFonts w:hint="eastAsia"/>
          <w:sz w:val="24"/>
          <w:highlight w:val="none"/>
        </w:rPr>
        <w:t>。</w:t>
      </w:r>
    </w:p>
    <w:p>
      <w:pPr>
        <w:numPr>
          <w:ilvl w:val="0"/>
          <w:numId w:val="9"/>
        </w:numPr>
        <w:tabs>
          <w:tab w:val="left" w:pos="709"/>
        </w:tabs>
        <w:spacing w:before="72" w:beforeLines="30" w:after="72" w:afterLines="30" w:line="360" w:lineRule="auto"/>
        <w:ind w:left="567" w:hanging="567"/>
        <w:outlineLvl w:val="0"/>
        <w:rPr>
          <w:highlight w:val="none"/>
        </w:rPr>
      </w:pPr>
      <w:r>
        <w:rPr>
          <w:rFonts w:hAnsi="宋体"/>
          <w:sz w:val="24"/>
          <w:highlight w:val="none"/>
        </w:rPr>
        <w:t>每批</w:t>
      </w:r>
      <w:r>
        <w:rPr>
          <w:rFonts w:hint="eastAsia" w:hAnsi="宋体"/>
          <w:sz w:val="24"/>
          <w:highlight w:val="none"/>
        </w:rPr>
        <w:t>货</w:t>
      </w:r>
      <w:r>
        <w:rPr>
          <w:rFonts w:hint="eastAsia"/>
          <w:sz w:val="24"/>
          <w:highlight w:val="none"/>
        </w:rPr>
        <w:t>物</w:t>
      </w:r>
      <w:r>
        <w:rPr>
          <w:sz w:val="24"/>
          <w:highlight w:val="none"/>
        </w:rPr>
        <w:t>交付运输后</w:t>
      </w:r>
      <w:r>
        <w:rPr>
          <w:rFonts w:hint="eastAsia"/>
          <w:sz w:val="24"/>
          <w:highlight w:val="none"/>
        </w:rPr>
        <w:t>【</w:t>
      </w:r>
      <w:r>
        <w:rPr>
          <w:rFonts w:hint="eastAsia"/>
          <w:i/>
          <w:sz w:val="24"/>
          <w:highlight w:val="none"/>
        </w:rPr>
        <w:t>填入小时数</w:t>
      </w:r>
      <w:r>
        <w:rPr>
          <w:rFonts w:hint="eastAsia"/>
          <w:sz w:val="24"/>
          <w:highlight w:val="none"/>
        </w:rPr>
        <w:t>】</w:t>
      </w:r>
      <w:r>
        <w:rPr>
          <w:sz w:val="24"/>
          <w:highlight w:val="none"/>
        </w:rPr>
        <w:t>小时内，卖方应通过将下列</w:t>
      </w:r>
      <w:r>
        <w:rPr>
          <w:rFonts w:hint="eastAsia"/>
          <w:sz w:val="24"/>
          <w:highlight w:val="none"/>
        </w:rPr>
        <w:t>材料、</w:t>
      </w:r>
      <w:r>
        <w:rPr>
          <w:sz w:val="24"/>
          <w:highlight w:val="none"/>
        </w:rPr>
        <w:t>信息通知买方</w:t>
      </w:r>
      <w:r>
        <w:rPr>
          <w:rFonts w:hint="eastAsia"/>
          <w:sz w:val="24"/>
          <w:highlight w:val="none"/>
        </w:rPr>
        <w:t>：</w:t>
      </w:r>
      <w:r>
        <w:rPr>
          <w:sz w:val="24"/>
          <w:highlight w:val="none"/>
        </w:rPr>
        <w:t>合同号</w:t>
      </w:r>
      <w:r>
        <w:rPr>
          <w:rFonts w:hint="eastAsia"/>
          <w:sz w:val="24"/>
          <w:highlight w:val="none"/>
        </w:rPr>
        <w:t>、</w:t>
      </w:r>
      <w:r>
        <w:rPr>
          <w:sz w:val="24"/>
          <w:highlight w:val="none"/>
        </w:rPr>
        <w:t>货物名称及编号</w:t>
      </w:r>
      <w:r>
        <w:rPr>
          <w:rFonts w:hint="eastAsia"/>
          <w:sz w:val="24"/>
          <w:highlight w:val="none"/>
        </w:rPr>
        <w:t>、货物数量、</w:t>
      </w:r>
      <w:r>
        <w:rPr>
          <w:sz w:val="24"/>
          <w:highlight w:val="none"/>
        </w:rPr>
        <w:t>货物总重量</w:t>
      </w:r>
      <w:r>
        <w:rPr>
          <w:rFonts w:hint="eastAsia"/>
          <w:sz w:val="24"/>
          <w:highlight w:val="none"/>
        </w:rPr>
        <w:t>和【</w:t>
      </w:r>
      <w:r>
        <w:rPr>
          <w:rFonts w:hint="eastAsia"/>
          <w:i/>
          <w:sz w:val="24"/>
          <w:highlight w:val="none"/>
        </w:rPr>
        <w:t>填入其它材料或信息</w:t>
      </w:r>
      <w:r>
        <w:rPr>
          <w:rFonts w:hint="eastAsia"/>
          <w:sz w:val="24"/>
          <w:highlight w:val="none"/>
        </w:rPr>
        <w:t>】。</w:t>
      </w:r>
    </w:p>
    <w:p>
      <w:pPr>
        <w:numPr>
          <w:ilvl w:val="0"/>
          <w:numId w:val="9"/>
        </w:numPr>
        <w:tabs>
          <w:tab w:val="left" w:pos="567"/>
          <w:tab w:val="left" w:pos="709"/>
          <w:tab w:val="clear" w:pos="562"/>
        </w:tabs>
        <w:spacing w:before="72" w:beforeLines="30" w:after="72" w:afterLines="30" w:line="360" w:lineRule="auto"/>
        <w:ind w:left="567" w:hanging="567"/>
        <w:outlineLvl w:val="0"/>
        <w:rPr>
          <w:b/>
          <w:sz w:val="24"/>
          <w:highlight w:val="none"/>
        </w:rPr>
      </w:pPr>
      <w:r>
        <w:rPr>
          <w:rFonts w:hint="eastAsia"/>
          <w:b/>
          <w:sz w:val="24"/>
          <w:highlight w:val="none"/>
        </w:rPr>
        <w:t>包装</w:t>
      </w:r>
    </w:p>
    <w:p>
      <w:pPr>
        <w:pStyle w:val="32"/>
        <w:spacing w:line="360" w:lineRule="auto"/>
        <w:ind w:left="567" w:leftChars="270" w:firstLine="0" w:firstLineChars="0"/>
        <w:rPr>
          <w:rFonts w:hAnsi="宋体"/>
          <w:sz w:val="24"/>
          <w:highlight w:val="none"/>
        </w:rPr>
      </w:pPr>
      <w:r>
        <w:rPr>
          <w:rFonts w:hAnsi="宋体"/>
          <w:sz w:val="24"/>
          <w:highlight w:val="none"/>
        </w:rPr>
        <w:t>卖方应提供将货物</w:t>
      </w:r>
      <w:r>
        <w:rPr>
          <w:rFonts w:hint="eastAsia" w:hAnsi="宋体"/>
          <w:sz w:val="24"/>
          <w:highlight w:val="none"/>
        </w:rPr>
        <w:t>、货物资料</w:t>
      </w:r>
      <w:r>
        <w:rPr>
          <w:rFonts w:hAnsi="宋体"/>
          <w:sz w:val="24"/>
          <w:highlight w:val="none"/>
        </w:rPr>
        <w:t>运至</w:t>
      </w:r>
      <w:r>
        <w:rPr>
          <w:rFonts w:hint="eastAsia" w:hAnsi="宋体"/>
          <w:sz w:val="24"/>
          <w:highlight w:val="none"/>
        </w:rPr>
        <w:t>交货</w:t>
      </w:r>
      <w:r>
        <w:rPr>
          <w:rFonts w:hAnsi="宋体"/>
          <w:sz w:val="24"/>
          <w:highlight w:val="none"/>
        </w:rPr>
        <w:t>地点所需要的包装，以防止货物</w:t>
      </w:r>
      <w:r>
        <w:rPr>
          <w:rFonts w:hint="eastAsia" w:hAnsi="宋体"/>
          <w:sz w:val="24"/>
          <w:highlight w:val="none"/>
        </w:rPr>
        <w:t>、货物资料</w:t>
      </w:r>
      <w:r>
        <w:rPr>
          <w:rFonts w:hAnsi="宋体"/>
          <w:sz w:val="24"/>
          <w:highlight w:val="none"/>
        </w:rPr>
        <w:t>在运输中损坏或变质。货物</w:t>
      </w:r>
      <w:r>
        <w:rPr>
          <w:rFonts w:hint="eastAsia" w:hAnsi="宋体"/>
          <w:sz w:val="24"/>
          <w:highlight w:val="none"/>
        </w:rPr>
        <w:t>、货物资料</w:t>
      </w:r>
      <w:r>
        <w:rPr>
          <w:rFonts w:hAnsi="宋体"/>
          <w:sz w:val="24"/>
          <w:highlight w:val="none"/>
        </w:rPr>
        <w:t>的包装应采用防潮、防晒、防锈、防腐蚀、防震动、防野蛮装卸及防止其它损坏的必要保护措施，保护货物</w:t>
      </w:r>
      <w:r>
        <w:rPr>
          <w:rFonts w:hint="eastAsia" w:hAnsi="宋体"/>
          <w:sz w:val="24"/>
          <w:highlight w:val="none"/>
        </w:rPr>
        <w:t>、货物资料</w:t>
      </w:r>
      <w:r>
        <w:rPr>
          <w:rFonts w:hAnsi="宋体"/>
          <w:sz w:val="24"/>
          <w:highlight w:val="none"/>
        </w:rPr>
        <w:t>能够经受多次搬运、装卸及远洋和内陆长途运输。</w:t>
      </w:r>
    </w:p>
    <w:p>
      <w:pPr>
        <w:numPr>
          <w:ilvl w:val="0"/>
          <w:numId w:val="9"/>
        </w:numPr>
        <w:tabs>
          <w:tab w:val="left" w:pos="567"/>
          <w:tab w:val="left" w:pos="709"/>
          <w:tab w:val="clear" w:pos="562"/>
        </w:tabs>
        <w:spacing w:before="72" w:beforeLines="30" w:after="72" w:afterLines="30" w:line="360" w:lineRule="auto"/>
        <w:ind w:left="567" w:hanging="567"/>
        <w:outlineLvl w:val="0"/>
        <w:rPr>
          <w:b/>
          <w:sz w:val="24"/>
          <w:highlight w:val="none"/>
        </w:rPr>
      </w:pPr>
      <w:r>
        <w:rPr>
          <w:rFonts w:hint="eastAsia"/>
          <w:b/>
          <w:sz w:val="24"/>
          <w:highlight w:val="none"/>
        </w:rPr>
        <w:t>货物资料的交付</w:t>
      </w:r>
    </w:p>
    <w:p>
      <w:pPr>
        <w:pStyle w:val="32"/>
        <w:numPr>
          <w:ilvl w:val="0"/>
          <w:numId w:val="11"/>
        </w:numPr>
        <w:tabs>
          <w:tab w:val="left" w:pos="709"/>
        </w:tabs>
        <w:spacing w:before="72" w:beforeLines="30" w:after="72" w:afterLines="30" w:line="360" w:lineRule="auto"/>
        <w:ind w:firstLineChars="0"/>
        <w:outlineLvl w:val="0"/>
        <w:rPr>
          <w:sz w:val="24"/>
          <w:highlight w:val="none"/>
        </w:rPr>
      </w:pPr>
      <w:r>
        <w:rPr>
          <w:rFonts w:hint="eastAsia"/>
          <w:sz w:val="24"/>
          <w:highlight w:val="none"/>
        </w:rPr>
        <w:t>卖方应根据如下规定向买方交付与货物有关的资料。卖方交付的货物资料应当完整、正确、整洁、书写明确、质量完好，符合行业标准或惯例，并能满足买方正常使用与维护货物之需要。 卖方向买方交付货物、买方验收货物以卖方在交货日将全部货物资料交付买方为前提条件。</w:t>
      </w:r>
      <w:r>
        <w:rPr>
          <w:sz w:val="24"/>
          <w:highlight w:val="none"/>
        </w:rPr>
        <w:t>如买方发现货物资料存在任何</w:t>
      </w:r>
      <w:r>
        <w:rPr>
          <w:rFonts w:hint="eastAsia"/>
          <w:sz w:val="24"/>
          <w:highlight w:val="none"/>
        </w:rPr>
        <w:t>错漏、</w:t>
      </w:r>
      <w:r>
        <w:rPr>
          <w:sz w:val="24"/>
          <w:highlight w:val="none"/>
        </w:rPr>
        <w:t>短缺、损坏、遗失，买方应于收到之日起</w:t>
      </w:r>
      <w:r>
        <w:rPr>
          <w:rFonts w:hint="eastAsia" w:hAnsi="宋体"/>
          <w:sz w:val="24"/>
          <w:highlight w:val="none"/>
        </w:rPr>
        <w:t>合理期限</w:t>
      </w:r>
      <w:r>
        <w:rPr>
          <w:sz w:val="24"/>
          <w:highlight w:val="none"/>
        </w:rPr>
        <w:t>内通知卖方；卖方收到通知后</w:t>
      </w:r>
      <w:r>
        <w:rPr>
          <w:rFonts w:hint="eastAsia" w:hAnsi="宋体"/>
          <w:sz w:val="24"/>
          <w:highlight w:val="none"/>
        </w:rPr>
        <w:t>【</w:t>
      </w:r>
      <w:r>
        <w:rPr>
          <w:rFonts w:hint="eastAsia" w:hAnsi="宋体"/>
          <w:i/>
          <w:sz w:val="24"/>
          <w:highlight w:val="none"/>
        </w:rPr>
        <w:t>填入天数</w:t>
      </w:r>
      <w:r>
        <w:rPr>
          <w:rFonts w:hint="eastAsia" w:hAnsi="宋体"/>
          <w:sz w:val="24"/>
          <w:highlight w:val="none"/>
        </w:rPr>
        <w:t>】</w:t>
      </w:r>
      <w:r>
        <w:rPr>
          <w:sz w:val="24"/>
          <w:highlight w:val="none"/>
        </w:rPr>
        <w:t>日内应</w:t>
      </w:r>
      <w:r>
        <w:rPr>
          <w:rFonts w:hint="eastAsia"/>
          <w:sz w:val="24"/>
          <w:highlight w:val="none"/>
        </w:rPr>
        <w:t>自行承担费用</w:t>
      </w:r>
      <w:r>
        <w:rPr>
          <w:sz w:val="24"/>
          <w:highlight w:val="none"/>
        </w:rPr>
        <w:t>将补充或替换的货物资料送达买方，</w:t>
      </w:r>
      <w:r>
        <w:rPr>
          <w:rFonts w:hint="eastAsia"/>
          <w:sz w:val="24"/>
          <w:highlight w:val="none"/>
        </w:rPr>
        <w:t>并</w:t>
      </w:r>
      <w:r>
        <w:rPr>
          <w:sz w:val="24"/>
          <w:highlight w:val="none"/>
        </w:rPr>
        <w:t>不得因此影响交货进度</w:t>
      </w:r>
      <w:r>
        <w:rPr>
          <w:rFonts w:hint="eastAsia"/>
          <w:sz w:val="24"/>
          <w:highlight w:val="none"/>
        </w:rPr>
        <w:t>。</w:t>
      </w:r>
    </w:p>
    <w:p>
      <w:pPr>
        <w:pStyle w:val="32"/>
        <w:numPr>
          <w:ilvl w:val="0"/>
          <w:numId w:val="11"/>
        </w:numPr>
        <w:tabs>
          <w:tab w:val="left" w:pos="709"/>
        </w:tabs>
        <w:spacing w:before="72" w:beforeLines="30" w:after="72" w:afterLines="30" w:line="360" w:lineRule="auto"/>
        <w:ind w:firstLineChars="0"/>
        <w:outlineLvl w:val="0"/>
        <w:rPr>
          <w:highlight w:val="none"/>
        </w:rPr>
      </w:pPr>
      <w:r>
        <w:rPr>
          <w:rFonts w:hint="eastAsia"/>
          <w:sz w:val="24"/>
          <w:highlight w:val="none"/>
        </w:rPr>
        <w:t>货物资料的名称、数量及交付时间为：</w:t>
      </w:r>
      <w:r>
        <w:rPr>
          <w:rFonts w:hint="eastAsia" w:hAnsi="宋体"/>
          <w:sz w:val="24"/>
          <w:highlight w:val="none"/>
        </w:rPr>
        <w:t>【</w:t>
      </w:r>
      <w:r>
        <w:rPr>
          <w:rFonts w:hint="eastAsia" w:hAnsi="宋体"/>
          <w:i/>
          <w:sz w:val="24"/>
          <w:highlight w:val="none"/>
        </w:rPr>
        <w:t>填入货物资料的交付信息</w:t>
      </w:r>
      <w:r>
        <w:rPr>
          <w:rFonts w:hint="eastAsia" w:hAnsi="宋体"/>
          <w:sz w:val="24"/>
          <w:highlight w:val="none"/>
        </w:rPr>
        <w:t>】</w:t>
      </w:r>
      <w:r>
        <w:rPr>
          <w:rFonts w:hint="eastAsia"/>
          <w:sz w:val="24"/>
          <w:highlight w:val="none"/>
        </w:rPr>
        <w:t>。</w:t>
      </w:r>
    </w:p>
    <w:p>
      <w:pPr>
        <w:pStyle w:val="15"/>
        <w:numPr>
          <w:ilvl w:val="0"/>
          <w:numId w:val="4"/>
        </w:numPr>
        <w:tabs>
          <w:tab w:val="left" w:pos="567"/>
        </w:tabs>
        <w:spacing w:before="72" w:beforeLines="30" w:after="72" w:afterLines="30" w:line="360" w:lineRule="auto"/>
        <w:ind w:left="567" w:hanging="567"/>
        <w:jc w:val="left"/>
        <w:rPr>
          <w:sz w:val="24"/>
          <w:szCs w:val="24"/>
          <w:highlight w:val="none"/>
        </w:rPr>
      </w:pPr>
      <w:bookmarkStart w:id="42" w:name="_Toc306354315"/>
      <w:r>
        <w:rPr>
          <w:rFonts w:hint="eastAsia"/>
          <w:sz w:val="24"/>
          <w:szCs w:val="24"/>
          <w:highlight w:val="none"/>
        </w:rPr>
        <w:t>货物要求</w:t>
      </w:r>
    </w:p>
    <w:p>
      <w:pPr>
        <w:pStyle w:val="32"/>
        <w:numPr>
          <w:ilvl w:val="0"/>
          <w:numId w:val="12"/>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卖方应根据合同规定</w:t>
      </w:r>
      <w:r>
        <w:rPr>
          <w:rFonts w:hint="eastAsia" w:hAnsi="宋体"/>
          <w:sz w:val="24"/>
          <w:highlight w:val="none"/>
        </w:rPr>
        <w:t>提供</w:t>
      </w:r>
      <w:r>
        <w:rPr>
          <w:rFonts w:hAnsi="宋体"/>
          <w:sz w:val="24"/>
          <w:highlight w:val="none"/>
        </w:rPr>
        <w:t>货物，其提供的货物应符合合同规定的质量、规格及其它要求。如合同未就货物相关环节的质量、规格等予以明确规定，则应符合国家标准。如无国家标准，则应符合行业标准；如无行业标准，应</w:t>
      </w:r>
      <w:r>
        <w:rPr>
          <w:rFonts w:hint="eastAsia" w:hAnsi="宋体"/>
          <w:sz w:val="24"/>
          <w:highlight w:val="none"/>
        </w:rPr>
        <w:t>适用</w:t>
      </w:r>
      <w:r>
        <w:rPr>
          <w:rFonts w:hAnsi="宋体"/>
          <w:sz w:val="24"/>
          <w:highlight w:val="none"/>
        </w:rPr>
        <w:t>符合本合同目的的标准。</w:t>
      </w:r>
    </w:p>
    <w:p>
      <w:pPr>
        <w:pStyle w:val="32"/>
        <w:numPr>
          <w:ilvl w:val="0"/>
          <w:numId w:val="12"/>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在履行合同过程中，买方接受卖方的有关货物的建议和要求或买方的任何批准、认可不得免除卖方</w:t>
      </w:r>
      <w:r>
        <w:rPr>
          <w:rFonts w:hint="eastAsia" w:hAnsi="宋体"/>
          <w:sz w:val="24"/>
          <w:highlight w:val="none"/>
        </w:rPr>
        <w:t>在本合同项下的任何</w:t>
      </w:r>
      <w:r>
        <w:rPr>
          <w:rFonts w:hAnsi="宋体"/>
          <w:sz w:val="24"/>
          <w:highlight w:val="none"/>
        </w:rPr>
        <w:t>义务（包括卖方对货物应符合本合同</w:t>
      </w:r>
      <w:r>
        <w:rPr>
          <w:rFonts w:hint="eastAsia" w:hAnsi="宋体"/>
          <w:sz w:val="24"/>
          <w:highlight w:val="none"/>
        </w:rPr>
        <w:t>规定的</w:t>
      </w:r>
      <w:r>
        <w:rPr>
          <w:rFonts w:hAnsi="宋体"/>
          <w:sz w:val="24"/>
          <w:highlight w:val="none"/>
        </w:rPr>
        <w:t>质量和规格</w:t>
      </w:r>
      <w:r>
        <w:rPr>
          <w:rFonts w:hint="eastAsia" w:hAnsi="宋体"/>
          <w:sz w:val="24"/>
          <w:highlight w:val="none"/>
        </w:rPr>
        <w:t>等</w:t>
      </w:r>
      <w:r>
        <w:rPr>
          <w:rFonts w:hAnsi="宋体"/>
          <w:sz w:val="24"/>
          <w:highlight w:val="none"/>
        </w:rPr>
        <w:t>要求应承担的责任）。</w:t>
      </w:r>
    </w:p>
    <w:p>
      <w:pPr>
        <w:pStyle w:val="15"/>
        <w:numPr>
          <w:ilvl w:val="0"/>
          <w:numId w:val="4"/>
        </w:numPr>
        <w:tabs>
          <w:tab w:val="left" w:pos="567"/>
        </w:tabs>
        <w:spacing w:before="72" w:beforeLines="30" w:after="72" w:afterLines="30" w:line="360" w:lineRule="auto"/>
        <w:ind w:left="567" w:hanging="567"/>
        <w:jc w:val="left"/>
        <w:rPr>
          <w:sz w:val="24"/>
          <w:szCs w:val="24"/>
          <w:highlight w:val="none"/>
        </w:rPr>
      </w:pPr>
      <w:r>
        <w:rPr>
          <w:rFonts w:hint="eastAsia"/>
          <w:sz w:val="24"/>
          <w:szCs w:val="24"/>
          <w:highlight w:val="none"/>
        </w:rPr>
        <w:t>运输和保险</w:t>
      </w:r>
    </w:p>
    <w:p>
      <w:pPr>
        <w:pStyle w:val="32"/>
        <w:numPr>
          <w:ilvl w:val="0"/>
          <w:numId w:val="13"/>
        </w:numPr>
        <w:spacing w:before="72" w:beforeLines="30" w:after="72" w:afterLines="30" w:line="360" w:lineRule="auto"/>
        <w:ind w:left="567" w:hanging="567" w:firstLineChars="0"/>
        <w:outlineLvl w:val="0"/>
        <w:rPr>
          <w:sz w:val="24"/>
          <w:highlight w:val="none"/>
        </w:rPr>
      </w:pPr>
      <w:r>
        <w:rPr>
          <w:sz w:val="24"/>
          <w:highlight w:val="none"/>
        </w:rPr>
        <w:t>运输</w:t>
      </w:r>
      <w:r>
        <w:rPr>
          <w:rFonts w:hint="eastAsia"/>
          <w:sz w:val="24"/>
          <w:highlight w:val="none"/>
        </w:rPr>
        <w:t>方式：</w:t>
      </w:r>
      <w:r>
        <w:rPr>
          <w:rFonts w:hint="eastAsia" w:hAnsi="宋体"/>
          <w:sz w:val="24"/>
          <w:highlight w:val="none"/>
        </w:rPr>
        <w:t>【</w:t>
      </w:r>
      <w:r>
        <w:rPr>
          <w:rFonts w:hint="eastAsia" w:hAnsi="宋体"/>
          <w:i/>
          <w:sz w:val="24"/>
          <w:highlight w:val="none"/>
        </w:rPr>
        <w:t>填入运输方式</w:t>
      </w:r>
      <w:r>
        <w:rPr>
          <w:rFonts w:hint="eastAsia" w:hAnsi="宋体"/>
          <w:sz w:val="24"/>
          <w:highlight w:val="none"/>
        </w:rPr>
        <w:t>】</w:t>
      </w:r>
      <w:r>
        <w:rPr>
          <w:rFonts w:hint="eastAsia"/>
          <w:sz w:val="24"/>
          <w:highlight w:val="none"/>
        </w:rPr>
        <w:t>。</w:t>
      </w:r>
    </w:p>
    <w:p>
      <w:pPr>
        <w:pStyle w:val="32"/>
        <w:numPr>
          <w:ilvl w:val="0"/>
          <w:numId w:val="13"/>
        </w:numPr>
        <w:spacing w:before="72" w:beforeLines="30" w:after="72" w:afterLines="30" w:line="360" w:lineRule="auto"/>
        <w:ind w:left="567" w:hanging="567" w:firstLineChars="0"/>
        <w:outlineLvl w:val="0"/>
        <w:rPr>
          <w:rFonts w:hAnsi="宋体"/>
          <w:sz w:val="24"/>
          <w:highlight w:val="none"/>
        </w:rPr>
      </w:pPr>
      <w:r>
        <w:rPr>
          <w:rFonts w:hint="eastAsia"/>
          <w:sz w:val="24"/>
          <w:highlight w:val="none"/>
        </w:rPr>
        <w:t>除非本合同另有明确规定，</w:t>
      </w:r>
      <w:r>
        <w:rPr>
          <w:rFonts w:hAnsi="宋体"/>
          <w:sz w:val="24"/>
          <w:highlight w:val="none"/>
        </w:rPr>
        <w:t>卖方负责将货物</w:t>
      </w:r>
      <w:r>
        <w:rPr>
          <w:rFonts w:hint="eastAsia" w:hAnsi="宋体"/>
          <w:sz w:val="24"/>
          <w:highlight w:val="none"/>
        </w:rPr>
        <w:t>及配套软件、货物资料</w:t>
      </w:r>
      <w:r>
        <w:rPr>
          <w:rFonts w:hAnsi="宋体"/>
          <w:sz w:val="24"/>
          <w:highlight w:val="none"/>
        </w:rPr>
        <w:t>运至交货地点，运输费用全部包含于合同总价中。如卖方需改变本合同规定的运输方式，卖方应提前</w:t>
      </w:r>
      <w:r>
        <w:rPr>
          <w:rFonts w:hint="eastAsia" w:hAnsi="宋体"/>
          <w:sz w:val="24"/>
          <w:highlight w:val="none"/>
        </w:rPr>
        <w:t>【</w:t>
      </w:r>
      <w:r>
        <w:rPr>
          <w:rFonts w:hint="eastAsia" w:hAnsi="宋体"/>
          <w:i/>
          <w:sz w:val="24"/>
          <w:highlight w:val="none"/>
        </w:rPr>
        <w:t>填入天数</w:t>
      </w:r>
      <w:r>
        <w:rPr>
          <w:rFonts w:hint="eastAsia" w:hAnsi="宋体"/>
          <w:sz w:val="24"/>
          <w:highlight w:val="none"/>
        </w:rPr>
        <w:t>】</w:t>
      </w:r>
      <w:r>
        <w:rPr>
          <w:rFonts w:hAnsi="宋体"/>
          <w:sz w:val="24"/>
          <w:highlight w:val="none"/>
        </w:rPr>
        <w:t>通知买方，并获得买方的书面认可</w:t>
      </w:r>
      <w:r>
        <w:rPr>
          <w:rFonts w:hint="eastAsia" w:hAnsi="宋体"/>
          <w:sz w:val="24"/>
          <w:highlight w:val="none"/>
        </w:rPr>
        <w:t>。</w:t>
      </w:r>
    </w:p>
    <w:p>
      <w:pPr>
        <w:pStyle w:val="32"/>
        <w:numPr>
          <w:ilvl w:val="0"/>
          <w:numId w:val="13"/>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货物在交货地点的卸货由卖方负责，卸货费用由卖方承担，卖方应在买方指定的地点卸货，且遵守买方有关卸货的指示</w:t>
      </w:r>
      <w:r>
        <w:rPr>
          <w:rFonts w:hint="eastAsia" w:hAnsi="宋体"/>
          <w:sz w:val="24"/>
          <w:highlight w:val="none"/>
        </w:rPr>
        <w:t>。</w:t>
      </w:r>
    </w:p>
    <w:p>
      <w:pPr>
        <w:pStyle w:val="32"/>
        <w:numPr>
          <w:ilvl w:val="0"/>
          <w:numId w:val="13"/>
        </w:numPr>
        <w:spacing w:before="72" w:beforeLines="30" w:after="72" w:afterLines="30" w:line="360" w:lineRule="auto"/>
        <w:ind w:left="567" w:hanging="567" w:firstLineChars="0"/>
        <w:outlineLvl w:val="0"/>
        <w:rPr>
          <w:rFonts w:hAnsi="宋体"/>
          <w:sz w:val="24"/>
          <w:highlight w:val="none"/>
        </w:rPr>
      </w:pPr>
      <w:r>
        <w:rPr>
          <w:rFonts w:hAnsi="宋体"/>
          <w:sz w:val="24"/>
          <w:highlight w:val="none"/>
        </w:rPr>
        <w:t>卖方承担与货物</w:t>
      </w:r>
      <w:r>
        <w:rPr>
          <w:rFonts w:hint="eastAsia" w:hAnsi="宋体"/>
          <w:sz w:val="24"/>
          <w:highlight w:val="none"/>
        </w:rPr>
        <w:t>和货物资料</w:t>
      </w:r>
      <w:r>
        <w:rPr>
          <w:rFonts w:hAnsi="宋体"/>
          <w:sz w:val="24"/>
          <w:highlight w:val="none"/>
        </w:rPr>
        <w:t>运输相关的全部费用，该等费用已包含于合同总价中。</w:t>
      </w:r>
    </w:p>
    <w:p>
      <w:pPr>
        <w:pStyle w:val="32"/>
        <w:numPr>
          <w:ilvl w:val="0"/>
          <w:numId w:val="13"/>
        </w:numPr>
        <w:spacing w:line="360" w:lineRule="auto"/>
        <w:ind w:left="567" w:hanging="567" w:firstLineChars="0"/>
        <w:rPr>
          <w:sz w:val="24"/>
          <w:highlight w:val="none"/>
        </w:rPr>
      </w:pPr>
      <w:r>
        <w:rPr>
          <w:rFonts w:hint="eastAsia"/>
          <w:sz w:val="24"/>
          <w:highlight w:val="none"/>
        </w:rPr>
        <w:t>运输保险</w:t>
      </w:r>
    </w:p>
    <w:p>
      <w:pPr>
        <w:pStyle w:val="32"/>
        <w:spacing w:line="360" w:lineRule="auto"/>
        <w:ind w:left="567" w:firstLine="0" w:firstLineChars="0"/>
        <w:rPr>
          <w:rFonts w:hAnsi="宋体"/>
          <w:bCs/>
          <w:sz w:val="24"/>
          <w:highlight w:val="none"/>
        </w:rPr>
      </w:pPr>
      <w:r>
        <w:rPr>
          <w:rFonts w:hAnsi="宋体"/>
          <w:sz w:val="24"/>
          <w:highlight w:val="none"/>
        </w:rPr>
        <w:t>卖方应</w:t>
      </w:r>
      <w:r>
        <w:rPr>
          <w:rFonts w:hAnsi="宋体"/>
          <w:bCs/>
          <w:sz w:val="24"/>
          <w:highlight w:val="none"/>
        </w:rPr>
        <w:t>根据运输方式，向</w:t>
      </w:r>
      <w:r>
        <w:rPr>
          <w:rFonts w:hint="eastAsia" w:hAnsi="宋体"/>
          <w:bCs/>
          <w:sz w:val="24"/>
          <w:highlight w:val="none"/>
        </w:rPr>
        <w:t>买方认可的、拥有合法资质的著名保险公司投保货物运输一切险或综合险，保险</w:t>
      </w:r>
      <w:r>
        <w:rPr>
          <w:rFonts w:hAnsi="宋体"/>
          <w:bCs/>
          <w:sz w:val="24"/>
          <w:highlight w:val="none"/>
        </w:rPr>
        <w:t>金额不低于合同总价，</w:t>
      </w:r>
      <w:r>
        <w:rPr>
          <w:rFonts w:hint="eastAsia" w:hAnsi="宋体"/>
          <w:bCs/>
          <w:sz w:val="24"/>
          <w:highlight w:val="none"/>
        </w:rPr>
        <w:t>并将买方列为共同被保险人或受益人。保障</w:t>
      </w:r>
      <w:r>
        <w:rPr>
          <w:rFonts w:hAnsi="宋体"/>
          <w:bCs/>
          <w:sz w:val="24"/>
          <w:highlight w:val="none"/>
        </w:rPr>
        <w:t>区段为卖方制造厂存储货物的仓库到项目现场用于存储货物的仓库，</w:t>
      </w:r>
      <w:r>
        <w:rPr>
          <w:rFonts w:hint="eastAsia" w:hAnsi="宋体"/>
          <w:bCs/>
          <w:sz w:val="24"/>
          <w:highlight w:val="none"/>
        </w:rPr>
        <w:t>保险期限</w:t>
      </w:r>
      <w:r>
        <w:rPr>
          <w:rFonts w:hAnsi="宋体"/>
          <w:bCs/>
          <w:sz w:val="24"/>
          <w:highlight w:val="none"/>
        </w:rPr>
        <w:t>始于装货（含装货）止于</w:t>
      </w:r>
      <w:r>
        <w:rPr>
          <w:rFonts w:hint="eastAsia" w:hAnsi="宋体"/>
          <w:bCs/>
          <w:sz w:val="24"/>
          <w:highlight w:val="none"/>
        </w:rPr>
        <w:t>【</w:t>
      </w:r>
      <w:r>
        <w:rPr>
          <w:rFonts w:hint="eastAsia" w:hAnsi="宋体"/>
          <w:bCs/>
          <w:i/>
          <w:sz w:val="24"/>
          <w:highlight w:val="none"/>
        </w:rPr>
        <w:t>填入保险期限截止日期，如</w:t>
      </w:r>
      <w:r>
        <w:rPr>
          <w:rFonts w:hAnsi="宋体"/>
          <w:bCs/>
          <w:i/>
          <w:sz w:val="24"/>
          <w:highlight w:val="none"/>
        </w:rPr>
        <w:t>卸货后</w:t>
      </w:r>
      <w:r>
        <w:rPr>
          <w:rFonts w:hint="eastAsia" w:hAnsi="宋体"/>
          <w:bCs/>
          <w:i/>
          <w:sz w:val="24"/>
          <w:highlight w:val="none"/>
        </w:rPr>
        <w:t>十五（15）</w:t>
      </w:r>
      <w:r>
        <w:rPr>
          <w:rFonts w:hint="eastAsia" w:hAnsi="宋体"/>
          <w:bCs/>
          <w:sz w:val="24"/>
          <w:highlight w:val="none"/>
        </w:rPr>
        <w:t>】</w:t>
      </w:r>
      <w:r>
        <w:rPr>
          <w:rFonts w:hAnsi="宋体"/>
          <w:bCs/>
          <w:sz w:val="24"/>
          <w:highlight w:val="none"/>
        </w:rPr>
        <w:t>日。</w:t>
      </w:r>
    </w:p>
    <w:p>
      <w:pPr>
        <w:pStyle w:val="32"/>
        <w:numPr>
          <w:ilvl w:val="0"/>
          <w:numId w:val="13"/>
        </w:numPr>
        <w:spacing w:line="360" w:lineRule="auto"/>
        <w:ind w:firstLineChars="0"/>
        <w:rPr>
          <w:sz w:val="24"/>
          <w:highlight w:val="none"/>
        </w:rPr>
      </w:pPr>
      <w:r>
        <w:rPr>
          <w:rFonts w:hint="eastAsia"/>
          <w:highlight w:val="none"/>
        </w:rPr>
        <w:t xml:space="preserve"> </w:t>
      </w:r>
      <w:r>
        <w:rPr>
          <w:rFonts w:hint="eastAsia"/>
          <w:sz w:val="24"/>
          <w:highlight w:val="none"/>
        </w:rPr>
        <w:t>关于运输、卸货等内容的特别约定：【</w:t>
      </w:r>
      <w:r>
        <w:rPr>
          <w:rFonts w:hint="eastAsia"/>
          <w:i/>
          <w:sz w:val="24"/>
          <w:highlight w:val="none"/>
        </w:rPr>
        <w:t>如果双方对于运输、卸货等内容有特别约定，请在此处进行约定，同时，如果本条款的约定与本合同中其它条款的约定不一致，应相应进行调整和修改以保持一致</w:t>
      </w:r>
      <w:r>
        <w:rPr>
          <w:rFonts w:hint="eastAsia"/>
          <w:sz w:val="24"/>
          <w:highlight w:val="none"/>
        </w:rPr>
        <w:t>】</w:t>
      </w:r>
    </w:p>
    <w:p>
      <w:pPr>
        <w:pStyle w:val="15"/>
        <w:numPr>
          <w:ilvl w:val="0"/>
          <w:numId w:val="4"/>
        </w:numPr>
        <w:tabs>
          <w:tab w:val="left" w:pos="567"/>
        </w:tabs>
        <w:spacing w:before="72" w:beforeLines="30" w:after="72" w:afterLines="30" w:line="360" w:lineRule="auto"/>
        <w:ind w:left="567" w:hanging="567"/>
        <w:jc w:val="left"/>
        <w:rPr>
          <w:sz w:val="24"/>
          <w:szCs w:val="24"/>
          <w:highlight w:val="none"/>
        </w:rPr>
      </w:pPr>
      <w:r>
        <w:rPr>
          <w:rFonts w:hint="eastAsia"/>
          <w:sz w:val="24"/>
          <w:szCs w:val="24"/>
          <w:highlight w:val="none"/>
        </w:rPr>
        <w:t>验收</w:t>
      </w:r>
      <w:bookmarkEnd w:id="42"/>
    </w:p>
    <w:p>
      <w:pPr>
        <w:numPr>
          <w:ilvl w:val="0"/>
          <w:numId w:val="14"/>
        </w:numPr>
        <w:tabs>
          <w:tab w:val="left" w:pos="567"/>
          <w:tab w:val="left" w:pos="709"/>
          <w:tab w:val="clear" w:pos="1860"/>
        </w:tabs>
        <w:snapToGrid w:val="0"/>
        <w:spacing w:before="72" w:beforeLines="30" w:after="72" w:afterLines="30" w:line="360" w:lineRule="auto"/>
        <w:ind w:left="567" w:hanging="567"/>
        <w:rPr>
          <w:b/>
          <w:sz w:val="24"/>
          <w:highlight w:val="none"/>
        </w:rPr>
      </w:pPr>
      <w:r>
        <w:rPr>
          <w:rFonts w:hint="eastAsia"/>
          <w:sz w:val="24"/>
          <w:highlight w:val="none"/>
        </w:rPr>
        <w:t>合同货物交付前，卖方应对其进行全面检验，并在交付货物时向买方提交货物的质量合格证书。</w:t>
      </w:r>
    </w:p>
    <w:p>
      <w:pPr>
        <w:numPr>
          <w:ilvl w:val="0"/>
          <w:numId w:val="14"/>
        </w:numPr>
        <w:tabs>
          <w:tab w:val="left" w:pos="567"/>
          <w:tab w:val="left" w:pos="709"/>
          <w:tab w:val="clear" w:pos="1860"/>
        </w:tabs>
        <w:snapToGrid w:val="0"/>
        <w:spacing w:before="72" w:beforeLines="30" w:after="72" w:afterLines="30" w:line="360" w:lineRule="auto"/>
        <w:ind w:left="567" w:hanging="567"/>
        <w:rPr>
          <w:b/>
          <w:sz w:val="24"/>
          <w:highlight w:val="none"/>
        </w:rPr>
      </w:pPr>
      <w:r>
        <w:rPr>
          <w:rFonts w:hint="eastAsia" w:hAnsi="宋体"/>
          <w:sz w:val="24"/>
          <w:highlight w:val="none"/>
        </w:rPr>
        <w:t>货物运抵交货地点时，双方应共同对货物进行验收。如果货物通过验收，买方向卖方签发验收证明。如货物不符合本合同的规定，买方有权拒绝接受货物。</w:t>
      </w:r>
    </w:p>
    <w:p>
      <w:pPr>
        <w:numPr>
          <w:ilvl w:val="0"/>
          <w:numId w:val="14"/>
        </w:numPr>
        <w:tabs>
          <w:tab w:val="left" w:pos="567"/>
          <w:tab w:val="left" w:pos="709"/>
          <w:tab w:val="clear" w:pos="1860"/>
        </w:tabs>
        <w:snapToGrid w:val="0"/>
        <w:spacing w:before="72" w:beforeLines="30" w:after="72" w:afterLines="30" w:line="360" w:lineRule="auto"/>
        <w:ind w:left="567" w:hanging="567"/>
        <w:rPr>
          <w:sz w:val="24"/>
          <w:highlight w:val="none"/>
        </w:rPr>
      </w:pPr>
      <w:r>
        <w:rPr>
          <w:rFonts w:hint="eastAsia" w:hAnsi="宋体"/>
          <w:sz w:val="24"/>
          <w:highlight w:val="none"/>
        </w:rPr>
        <w:t>买方验收货物不减少、免除卖方在本合同项下的任何义务（包括卖方对货物应符合本合同质量、规格要求应承担的责任）。</w:t>
      </w:r>
    </w:p>
    <w:p>
      <w:pPr>
        <w:pStyle w:val="15"/>
        <w:numPr>
          <w:ilvl w:val="0"/>
          <w:numId w:val="4"/>
        </w:numPr>
        <w:tabs>
          <w:tab w:val="left" w:pos="567"/>
        </w:tabs>
        <w:spacing w:before="72" w:beforeLines="30" w:after="72" w:afterLines="30" w:line="360" w:lineRule="auto"/>
        <w:ind w:left="567" w:hanging="567"/>
        <w:jc w:val="left"/>
        <w:rPr>
          <w:rFonts w:ascii="Times New Roman" w:hAnsi="Times New Roman"/>
          <w:sz w:val="24"/>
          <w:szCs w:val="24"/>
          <w:highlight w:val="none"/>
        </w:rPr>
      </w:pPr>
      <w:bookmarkStart w:id="43" w:name="_Toc274668240"/>
      <w:bookmarkStart w:id="44" w:name="_Toc274343583"/>
      <w:bookmarkStart w:id="45" w:name="_Toc273388514"/>
      <w:bookmarkStart w:id="46" w:name="_Toc274754050"/>
      <w:bookmarkStart w:id="47" w:name="_Toc273451799"/>
      <w:bookmarkStart w:id="48" w:name="_Toc274344115"/>
      <w:bookmarkStart w:id="49" w:name="_Toc274403515"/>
      <w:bookmarkStart w:id="50" w:name="_Toc278875415"/>
      <w:bookmarkStart w:id="51" w:name="_Toc274669181"/>
      <w:bookmarkStart w:id="52" w:name="_Toc306354316"/>
      <w:bookmarkStart w:id="53" w:name="_Toc273388613"/>
      <w:bookmarkStart w:id="54" w:name="_Toc274075980"/>
      <w:bookmarkStart w:id="55" w:name="_Toc273458613"/>
      <w:bookmarkStart w:id="56" w:name="_Toc298158366"/>
      <w:r>
        <w:rPr>
          <w:rFonts w:ascii="Times New Roman" w:hAnsi="Times New Roman"/>
          <w:sz w:val="24"/>
          <w:szCs w:val="24"/>
          <w:highlight w:val="none"/>
        </w:rPr>
        <w:t>风险和</w:t>
      </w:r>
      <w:r>
        <w:rPr>
          <w:rFonts w:hint="eastAsia" w:ascii="Times New Roman" w:hAnsi="Times New Roman"/>
          <w:sz w:val="24"/>
          <w:szCs w:val="24"/>
          <w:highlight w:val="none"/>
        </w:rPr>
        <w:t>所有</w:t>
      </w:r>
      <w:r>
        <w:rPr>
          <w:rFonts w:ascii="Times New Roman" w:hAnsi="Times New Roman"/>
          <w:sz w:val="24"/>
          <w:szCs w:val="24"/>
          <w:highlight w:val="none"/>
        </w:rPr>
        <w:t>权的转移</w:t>
      </w:r>
      <w:bookmarkEnd w:id="43"/>
      <w:bookmarkEnd w:id="44"/>
      <w:bookmarkEnd w:id="45"/>
      <w:bookmarkEnd w:id="46"/>
      <w:bookmarkEnd w:id="47"/>
      <w:bookmarkEnd w:id="48"/>
      <w:bookmarkEnd w:id="49"/>
      <w:bookmarkEnd w:id="50"/>
      <w:bookmarkEnd w:id="51"/>
      <w:bookmarkEnd w:id="52"/>
      <w:bookmarkEnd w:id="53"/>
      <w:bookmarkEnd w:id="54"/>
      <w:bookmarkEnd w:id="55"/>
      <w:bookmarkEnd w:id="56"/>
    </w:p>
    <w:p>
      <w:pPr>
        <w:numPr>
          <w:ilvl w:val="0"/>
          <w:numId w:val="15"/>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除非本合同另有明确规定，</w:t>
      </w:r>
      <w:r>
        <w:rPr>
          <w:rFonts w:hint="eastAsia"/>
          <w:sz w:val="24"/>
          <w:highlight w:val="none"/>
        </w:rPr>
        <w:t>卖方</w:t>
      </w:r>
      <w:r>
        <w:rPr>
          <w:sz w:val="24"/>
          <w:highlight w:val="none"/>
        </w:rPr>
        <w:t>在指定交货地点</w:t>
      </w:r>
      <w:r>
        <w:rPr>
          <w:rFonts w:hint="eastAsia"/>
          <w:sz w:val="24"/>
          <w:highlight w:val="none"/>
        </w:rPr>
        <w:t>将货物交付给买方且买方签收货物之</w:t>
      </w:r>
      <w:r>
        <w:rPr>
          <w:sz w:val="24"/>
          <w:highlight w:val="none"/>
        </w:rPr>
        <w:t>前</w:t>
      </w:r>
      <w:r>
        <w:rPr>
          <w:rFonts w:hint="eastAsia"/>
          <w:sz w:val="24"/>
          <w:highlight w:val="none"/>
        </w:rPr>
        <w:t>，货物的一切</w:t>
      </w:r>
      <w:r>
        <w:rPr>
          <w:sz w:val="24"/>
          <w:highlight w:val="none"/>
        </w:rPr>
        <w:t>风险</w:t>
      </w:r>
      <w:r>
        <w:rPr>
          <w:rFonts w:hint="eastAsia"/>
          <w:sz w:val="24"/>
          <w:highlight w:val="none"/>
        </w:rPr>
        <w:t>（</w:t>
      </w:r>
      <w:r>
        <w:rPr>
          <w:sz w:val="24"/>
          <w:highlight w:val="none"/>
        </w:rPr>
        <w:t>包括</w:t>
      </w:r>
      <w:r>
        <w:rPr>
          <w:rFonts w:hint="eastAsia"/>
          <w:sz w:val="24"/>
          <w:highlight w:val="none"/>
        </w:rPr>
        <w:t>货物</w:t>
      </w:r>
      <w:r>
        <w:rPr>
          <w:sz w:val="24"/>
          <w:highlight w:val="none"/>
        </w:rPr>
        <w:t>在制造、储存和</w:t>
      </w:r>
      <w:r>
        <w:rPr>
          <w:rFonts w:hint="eastAsia"/>
          <w:sz w:val="24"/>
          <w:highlight w:val="none"/>
        </w:rPr>
        <w:t>自</w:t>
      </w:r>
      <w:r>
        <w:rPr>
          <w:sz w:val="24"/>
          <w:highlight w:val="none"/>
        </w:rPr>
        <w:t>发货地点至指定</w:t>
      </w:r>
      <w:r>
        <w:rPr>
          <w:rFonts w:hint="eastAsia"/>
          <w:sz w:val="24"/>
          <w:highlight w:val="none"/>
        </w:rPr>
        <w:t>交</w:t>
      </w:r>
      <w:r>
        <w:rPr>
          <w:sz w:val="24"/>
          <w:highlight w:val="none"/>
        </w:rPr>
        <w:t>货地点运输</w:t>
      </w:r>
      <w:r>
        <w:rPr>
          <w:rFonts w:hint="eastAsia"/>
          <w:sz w:val="24"/>
          <w:highlight w:val="none"/>
        </w:rPr>
        <w:t>及装卸货</w:t>
      </w:r>
      <w:r>
        <w:rPr>
          <w:sz w:val="24"/>
          <w:highlight w:val="none"/>
        </w:rPr>
        <w:t>过程中</w:t>
      </w:r>
      <w:r>
        <w:rPr>
          <w:rFonts w:hint="eastAsia"/>
          <w:sz w:val="24"/>
          <w:highlight w:val="none"/>
        </w:rPr>
        <w:t>毁损、灭失的</w:t>
      </w:r>
      <w:r>
        <w:rPr>
          <w:sz w:val="24"/>
          <w:highlight w:val="none"/>
        </w:rPr>
        <w:t>风险</w:t>
      </w:r>
      <w:r>
        <w:rPr>
          <w:rFonts w:hint="eastAsia"/>
          <w:sz w:val="24"/>
          <w:highlight w:val="none"/>
        </w:rPr>
        <w:t>）由卖方承担。卖方在指定交货地点将货物交付给买方且买方签收货物之后，货物</w:t>
      </w:r>
      <w:r>
        <w:rPr>
          <w:sz w:val="24"/>
          <w:highlight w:val="none"/>
        </w:rPr>
        <w:t>的</w:t>
      </w:r>
      <w:r>
        <w:rPr>
          <w:rFonts w:hint="eastAsia"/>
          <w:sz w:val="24"/>
          <w:highlight w:val="none"/>
        </w:rPr>
        <w:t>一切</w:t>
      </w:r>
      <w:r>
        <w:rPr>
          <w:sz w:val="24"/>
          <w:highlight w:val="none"/>
        </w:rPr>
        <w:t>风险</w:t>
      </w:r>
      <w:r>
        <w:rPr>
          <w:rFonts w:hint="eastAsia"/>
          <w:sz w:val="24"/>
          <w:highlight w:val="none"/>
        </w:rPr>
        <w:t>由买</w:t>
      </w:r>
      <w:r>
        <w:rPr>
          <w:sz w:val="24"/>
          <w:highlight w:val="none"/>
        </w:rPr>
        <w:t>方</w:t>
      </w:r>
      <w:r>
        <w:rPr>
          <w:rFonts w:hint="eastAsia"/>
          <w:sz w:val="24"/>
          <w:highlight w:val="none"/>
        </w:rPr>
        <w:t>承担</w:t>
      </w:r>
      <w:r>
        <w:rPr>
          <w:sz w:val="24"/>
          <w:highlight w:val="none"/>
        </w:rPr>
        <w:t>。</w:t>
      </w:r>
    </w:p>
    <w:p>
      <w:pPr>
        <w:numPr>
          <w:ilvl w:val="0"/>
          <w:numId w:val="15"/>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未经买方同意，卖方将货物留置或自行处置，不得视为货物合法、有效地交付买方。未经合法、有效交付，货物的风险仍由卖方承担。</w:t>
      </w:r>
    </w:p>
    <w:p>
      <w:pPr>
        <w:numPr>
          <w:ilvl w:val="0"/>
          <w:numId w:val="15"/>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虽然有前述规定，但是，如果货物的风险系因卖方违反合同规定、卖方的过错或者其它可归咎于卖方的原因造成的，货物的风险由卖方承担。</w:t>
      </w:r>
    </w:p>
    <w:p>
      <w:pPr>
        <w:numPr>
          <w:ilvl w:val="0"/>
          <w:numId w:val="15"/>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卖方在</w:t>
      </w:r>
      <w:r>
        <w:rPr>
          <w:rFonts w:hint="eastAsia"/>
          <w:sz w:val="24"/>
          <w:highlight w:val="none"/>
        </w:rPr>
        <w:t>约定</w:t>
      </w:r>
      <w:r>
        <w:rPr>
          <w:sz w:val="24"/>
          <w:highlight w:val="none"/>
        </w:rPr>
        <w:t>交货地点交货后，</w:t>
      </w:r>
      <w:r>
        <w:rPr>
          <w:rFonts w:hint="eastAsia"/>
          <w:sz w:val="24"/>
          <w:highlight w:val="none"/>
        </w:rPr>
        <w:t>货物</w:t>
      </w:r>
      <w:r>
        <w:rPr>
          <w:sz w:val="24"/>
          <w:highlight w:val="none"/>
        </w:rPr>
        <w:t>的</w:t>
      </w:r>
      <w:r>
        <w:rPr>
          <w:rFonts w:hint="eastAsia"/>
          <w:sz w:val="24"/>
          <w:highlight w:val="none"/>
        </w:rPr>
        <w:t>所有</w:t>
      </w:r>
      <w:r>
        <w:rPr>
          <w:sz w:val="24"/>
          <w:highlight w:val="none"/>
        </w:rPr>
        <w:t>权转移</w:t>
      </w:r>
      <w:r>
        <w:rPr>
          <w:rFonts w:hint="eastAsia"/>
          <w:sz w:val="24"/>
          <w:highlight w:val="none"/>
        </w:rPr>
        <w:t>至</w:t>
      </w:r>
      <w:r>
        <w:rPr>
          <w:sz w:val="24"/>
          <w:highlight w:val="none"/>
        </w:rPr>
        <w:t>买方。</w:t>
      </w:r>
    </w:p>
    <w:p>
      <w:pPr>
        <w:tabs>
          <w:tab w:val="left" w:pos="709"/>
          <w:tab w:val="left" w:pos="3060"/>
        </w:tabs>
        <w:spacing w:before="72" w:beforeLines="30" w:after="72" w:afterLines="30" w:line="360" w:lineRule="auto"/>
        <w:rPr>
          <w:i/>
          <w:sz w:val="24"/>
          <w:highlight w:val="none"/>
          <w:u w:val="single"/>
        </w:rPr>
      </w:pPr>
      <w:r>
        <w:rPr>
          <w:rFonts w:hint="eastAsia"/>
          <w:i/>
          <w:sz w:val="24"/>
          <w:highlight w:val="none"/>
          <w:u w:val="single"/>
        </w:rPr>
        <w:t>可选择条款—第九条技术服务条款，如不适用请删除</w:t>
      </w:r>
    </w:p>
    <w:p>
      <w:pPr>
        <w:pStyle w:val="15"/>
        <w:numPr>
          <w:ilvl w:val="0"/>
          <w:numId w:val="4"/>
        </w:numPr>
        <w:tabs>
          <w:tab w:val="left" w:pos="993"/>
        </w:tabs>
        <w:spacing w:before="72" w:beforeLines="30" w:after="72" w:afterLines="30" w:line="360" w:lineRule="auto"/>
        <w:ind w:left="567" w:hanging="567"/>
        <w:jc w:val="left"/>
        <w:rPr>
          <w:rFonts w:ascii="Times New Roman" w:hAnsi="Times New Roman"/>
          <w:sz w:val="24"/>
          <w:szCs w:val="24"/>
          <w:highlight w:val="none"/>
        </w:rPr>
      </w:pPr>
      <w:bookmarkStart w:id="57" w:name="_Toc306354317"/>
      <w:r>
        <w:rPr>
          <w:rFonts w:hint="eastAsia" w:ascii="Times New Roman" w:hAnsi="Times New Roman"/>
          <w:sz w:val="24"/>
          <w:szCs w:val="24"/>
          <w:highlight w:val="none"/>
        </w:rPr>
        <w:t>技术服务</w:t>
      </w:r>
    </w:p>
    <w:p>
      <w:pPr>
        <w:numPr>
          <w:ilvl w:val="0"/>
          <w:numId w:val="16"/>
        </w:numPr>
        <w:tabs>
          <w:tab w:val="left" w:pos="567"/>
          <w:tab w:val="clear" w:pos="1860"/>
        </w:tabs>
        <w:snapToGrid w:val="0"/>
        <w:spacing w:before="72" w:beforeLines="30" w:after="72" w:afterLines="30" w:line="360" w:lineRule="auto"/>
        <w:ind w:left="567" w:hanging="567"/>
        <w:rPr>
          <w:rFonts w:hAnsi="宋体"/>
          <w:sz w:val="24"/>
          <w:highlight w:val="none"/>
        </w:rPr>
      </w:pPr>
      <w:r>
        <w:rPr>
          <w:rFonts w:hint="eastAsia" w:hAnsi="宋体"/>
          <w:sz w:val="24"/>
          <w:highlight w:val="none"/>
        </w:rPr>
        <w:t>卖方应根据本合同的规定提供技术服务。相关费用已经包含在合同总价中，技术服务的内容和具体要求【</w:t>
      </w:r>
      <w:r>
        <w:rPr>
          <w:rFonts w:hint="eastAsia" w:hAnsi="宋体"/>
          <w:i/>
          <w:sz w:val="24"/>
          <w:highlight w:val="none"/>
        </w:rPr>
        <w:t>详见本合同附件二</w:t>
      </w:r>
      <w:r>
        <w:rPr>
          <w:rFonts w:hint="eastAsia" w:hAnsi="宋体"/>
          <w:sz w:val="24"/>
          <w:highlight w:val="none"/>
        </w:rPr>
        <w:t>】。</w:t>
      </w:r>
    </w:p>
    <w:p>
      <w:pPr>
        <w:numPr>
          <w:ilvl w:val="0"/>
          <w:numId w:val="16"/>
        </w:numPr>
        <w:tabs>
          <w:tab w:val="left" w:pos="567"/>
        </w:tabs>
        <w:snapToGrid w:val="0"/>
        <w:spacing w:before="72" w:beforeLines="30" w:after="72" w:afterLines="30" w:line="360" w:lineRule="auto"/>
        <w:ind w:left="567" w:hanging="567"/>
        <w:rPr>
          <w:rFonts w:hAnsi="宋体"/>
          <w:sz w:val="24"/>
          <w:highlight w:val="none"/>
        </w:rPr>
      </w:pPr>
      <w:r>
        <w:rPr>
          <w:rFonts w:hint="eastAsia" w:hAnsi="宋体"/>
          <w:sz w:val="24"/>
          <w:highlight w:val="none"/>
        </w:rPr>
        <w:t>卖方应根据买方要求，指派服务人员到项目现场或买方指定的其它地点提供技术服务。</w:t>
      </w:r>
    </w:p>
    <w:p>
      <w:pPr>
        <w:numPr>
          <w:ilvl w:val="0"/>
          <w:numId w:val="16"/>
        </w:numPr>
        <w:tabs>
          <w:tab w:val="left" w:pos="567"/>
        </w:tabs>
        <w:snapToGrid w:val="0"/>
        <w:spacing w:before="72" w:beforeLines="30" w:after="72" w:afterLines="30" w:line="360" w:lineRule="auto"/>
        <w:ind w:left="567" w:hanging="567"/>
        <w:rPr>
          <w:sz w:val="24"/>
          <w:highlight w:val="none"/>
        </w:rPr>
      </w:pPr>
      <w:bookmarkStart w:id="58" w:name="_DV_C687"/>
      <w:r>
        <w:rPr>
          <w:rFonts w:hint="eastAsia" w:hAnsi="宋体"/>
          <w:sz w:val="24"/>
          <w:highlight w:val="none"/>
        </w:rPr>
        <w:t>如果买方认为卖方指派的服务人员提供的技术服务无法满足本合同的要求，卖方应更换服务人员并负担由此产生的全部费用。</w:t>
      </w:r>
      <w:bookmarkEnd w:id="58"/>
    </w:p>
    <w:p>
      <w:pPr>
        <w:numPr>
          <w:ilvl w:val="0"/>
          <w:numId w:val="16"/>
        </w:numPr>
        <w:tabs>
          <w:tab w:val="left" w:pos="567"/>
        </w:tabs>
        <w:snapToGrid w:val="0"/>
        <w:spacing w:before="72" w:beforeLines="30" w:after="72" w:afterLines="30" w:line="360" w:lineRule="auto"/>
        <w:ind w:left="567" w:hanging="567"/>
        <w:rPr>
          <w:sz w:val="24"/>
          <w:highlight w:val="none"/>
        </w:rPr>
      </w:pPr>
      <w:r>
        <w:rPr>
          <w:rFonts w:hint="eastAsia"/>
          <w:sz w:val="24"/>
          <w:highlight w:val="none"/>
        </w:rPr>
        <w:t>卖方指派的服务人员在为买方提供技术服务期间所遭受的人身和财产损失由卖方自行承担，除非该人身损害系因买方造成或该财产损失系因买方重大过失造成。</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r>
        <w:rPr>
          <w:rFonts w:hint="eastAsia"/>
          <w:sz w:val="24"/>
          <w:szCs w:val="24"/>
          <w:highlight w:val="none"/>
        </w:rPr>
        <w:t>权利保证</w:t>
      </w:r>
      <w:bookmarkEnd w:id="57"/>
    </w:p>
    <w:p>
      <w:pPr>
        <w:widowControl/>
        <w:numPr>
          <w:ilvl w:val="0"/>
          <w:numId w:val="17"/>
        </w:numPr>
        <w:tabs>
          <w:tab w:val="left" w:pos="567"/>
          <w:tab w:val="left" w:pos="709"/>
        </w:tabs>
        <w:spacing w:before="72" w:beforeLines="30" w:after="72" w:afterLines="30" w:line="360" w:lineRule="auto"/>
        <w:ind w:left="567" w:hanging="567"/>
        <w:rPr>
          <w:sz w:val="24"/>
          <w:highlight w:val="none"/>
        </w:rPr>
      </w:pPr>
      <w:r>
        <w:rPr>
          <w:sz w:val="24"/>
          <w:highlight w:val="none"/>
        </w:rPr>
        <w:t>卖方保证，</w:t>
      </w:r>
      <w:r>
        <w:rPr>
          <w:rFonts w:hint="eastAsia"/>
          <w:sz w:val="24"/>
          <w:highlight w:val="none"/>
        </w:rPr>
        <w:t>货物未</w:t>
      </w:r>
      <w:r>
        <w:rPr>
          <w:sz w:val="24"/>
          <w:highlight w:val="none"/>
        </w:rPr>
        <w:t>侵犯任何第三方的专利权、商标权</w:t>
      </w:r>
      <w:r>
        <w:rPr>
          <w:rFonts w:hint="eastAsia"/>
          <w:sz w:val="24"/>
          <w:highlight w:val="none"/>
        </w:rPr>
        <w:t>或其它知识产</w:t>
      </w:r>
      <w:r>
        <w:rPr>
          <w:sz w:val="24"/>
          <w:highlight w:val="none"/>
        </w:rPr>
        <w:t>权</w:t>
      </w:r>
      <w:r>
        <w:rPr>
          <w:rFonts w:hint="eastAsia"/>
          <w:sz w:val="24"/>
          <w:highlight w:val="none"/>
        </w:rPr>
        <w:t>，货物</w:t>
      </w:r>
      <w:r>
        <w:rPr>
          <w:sz w:val="24"/>
          <w:highlight w:val="none"/>
        </w:rPr>
        <w:t>包含的全部专利、商标</w:t>
      </w:r>
      <w:r>
        <w:rPr>
          <w:rFonts w:hint="eastAsia"/>
          <w:sz w:val="24"/>
          <w:highlight w:val="none"/>
        </w:rPr>
        <w:t>及其它知识产权</w:t>
      </w:r>
      <w:r>
        <w:rPr>
          <w:sz w:val="24"/>
          <w:highlight w:val="none"/>
        </w:rPr>
        <w:t>均为卖方</w:t>
      </w:r>
      <w:r>
        <w:rPr>
          <w:rFonts w:hint="eastAsia"/>
          <w:sz w:val="24"/>
          <w:highlight w:val="none"/>
        </w:rPr>
        <w:t>合法</w:t>
      </w:r>
      <w:r>
        <w:rPr>
          <w:sz w:val="24"/>
          <w:highlight w:val="none"/>
        </w:rPr>
        <w:t>拥有或已获得</w:t>
      </w:r>
      <w:r>
        <w:rPr>
          <w:rFonts w:hint="eastAsia"/>
          <w:sz w:val="24"/>
          <w:highlight w:val="none"/>
        </w:rPr>
        <w:t>第三方</w:t>
      </w:r>
      <w:r>
        <w:rPr>
          <w:sz w:val="24"/>
          <w:highlight w:val="none"/>
        </w:rPr>
        <w:t>的</w:t>
      </w:r>
      <w:r>
        <w:rPr>
          <w:rFonts w:hint="eastAsia"/>
          <w:sz w:val="24"/>
          <w:highlight w:val="none"/>
        </w:rPr>
        <w:t>有效</w:t>
      </w:r>
      <w:r>
        <w:rPr>
          <w:sz w:val="24"/>
          <w:highlight w:val="none"/>
        </w:rPr>
        <w:t>授权。</w:t>
      </w:r>
    </w:p>
    <w:p>
      <w:pPr>
        <w:widowControl/>
        <w:numPr>
          <w:ilvl w:val="0"/>
          <w:numId w:val="17"/>
        </w:numPr>
        <w:tabs>
          <w:tab w:val="left" w:pos="567"/>
          <w:tab w:val="left" w:pos="709"/>
        </w:tabs>
        <w:spacing w:before="72" w:beforeLines="30" w:after="72" w:afterLines="30" w:line="360" w:lineRule="auto"/>
        <w:ind w:left="567" w:hanging="567"/>
        <w:rPr>
          <w:sz w:val="24"/>
          <w:highlight w:val="none"/>
        </w:rPr>
      </w:pPr>
      <w:r>
        <w:rPr>
          <w:sz w:val="24"/>
          <w:highlight w:val="none"/>
        </w:rPr>
        <w:t>卖方保证，</w:t>
      </w:r>
      <w:r>
        <w:rPr>
          <w:rFonts w:hint="eastAsia"/>
          <w:sz w:val="24"/>
          <w:highlight w:val="none"/>
        </w:rPr>
        <w:t>货物交付前，</w:t>
      </w:r>
      <w:r>
        <w:rPr>
          <w:sz w:val="24"/>
          <w:highlight w:val="none"/>
        </w:rPr>
        <w:t>卖方</w:t>
      </w:r>
      <w:r>
        <w:rPr>
          <w:rFonts w:hint="eastAsia"/>
          <w:sz w:val="24"/>
          <w:highlight w:val="none"/>
        </w:rPr>
        <w:t>对其货物享有完整的所有权，且货物上不存在任何形式的担保物权及其它任何权利负担，亦未</w:t>
      </w:r>
      <w:r>
        <w:rPr>
          <w:sz w:val="24"/>
          <w:highlight w:val="none"/>
        </w:rPr>
        <w:t>侵犯任何第三方的</w:t>
      </w:r>
      <w:r>
        <w:rPr>
          <w:rFonts w:hint="eastAsia"/>
          <w:sz w:val="24"/>
          <w:highlight w:val="none"/>
        </w:rPr>
        <w:t>权利。</w:t>
      </w:r>
    </w:p>
    <w:p>
      <w:pPr>
        <w:widowControl/>
        <w:numPr>
          <w:ilvl w:val="0"/>
          <w:numId w:val="17"/>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如货物侵犯任何第三方的权利（包括</w:t>
      </w:r>
      <w:r>
        <w:rPr>
          <w:sz w:val="24"/>
          <w:highlight w:val="none"/>
        </w:rPr>
        <w:t>知识产权</w:t>
      </w:r>
      <w:r>
        <w:rPr>
          <w:rFonts w:hint="eastAsia"/>
          <w:sz w:val="24"/>
          <w:highlight w:val="none"/>
        </w:rPr>
        <w:t>）</w:t>
      </w:r>
      <w:r>
        <w:rPr>
          <w:sz w:val="24"/>
          <w:highlight w:val="none"/>
        </w:rPr>
        <w:t>，卖方应根据买方</w:t>
      </w:r>
      <w:r>
        <w:rPr>
          <w:rFonts w:hint="eastAsia"/>
          <w:sz w:val="24"/>
          <w:highlight w:val="none"/>
        </w:rPr>
        <w:t>的</w:t>
      </w:r>
      <w:r>
        <w:rPr>
          <w:sz w:val="24"/>
          <w:highlight w:val="none"/>
        </w:rPr>
        <w:t>要求</w:t>
      </w:r>
      <w:r>
        <w:rPr>
          <w:rFonts w:hint="eastAsia"/>
          <w:sz w:val="24"/>
          <w:highlight w:val="none"/>
        </w:rPr>
        <w:t>自行承担费用</w:t>
      </w:r>
      <w:r>
        <w:rPr>
          <w:sz w:val="24"/>
          <w:highlight w:val="none"/>
        </w:rPr>
        <w:t>采取一切措施确保买方继续获得</w:t>
      </w:r>
      <w:r>
        <w:rPr>
          <w:rFonts w:hint="eastAsia"/>
          <w:sz w:val="24"/>
          <w:highlight w:val="none"/>
        </w:rPr>
        <w:t>货物</w:t>
      </w:r>
      <w:r>
        <w:rPr>
          <w:sz w:val="24"/>
          <w:highlight w:val="none"/>
        </w:rPr>
        <w:t>的权利，包括为买方</w:t>
      </w:r>
      <w:r>
        <w:rPr>
          <w:rFonts w:hint="eastAsia"/>
          <w:sz w:val="24"/>
          <w:highlight w:val="none"/>
        </w:rPr>
        <w:t>的利益</w:t>
      </w:r>
      <w:r>
        <w:rPr>
          <w:sz w:val="24"/>
          <w:highlight w:val="none"/>
        </w:rPr>
        <w:t>购买</w:t>
      </w:r>
      <w:r>
        <w:rPr>
          <w:rFonts w:hint="eastAsia"/>
          <w:sz w:val="24"/>
          <w:highlight w:val="none"/>
        </w:rPr>
        <w:t>货物的全部权益（包括但不限于知识产权），或采用</w:t>
      </w:r>
      <w:r>
        <w:rPr>
          <w:sz w:val="24"/>
          <w:highlight w:val="none"/>
        </w:rPr>
        <w:t>不侵权的材料、零部件、设计、技术、工艺、方法对</w:t>
      </w:r>
      <w:r>
        <w:rPr>
          <w:rFonts w:hint="eastAsia"/>
          <w:sz w:val="24"/>
          <w:highlight w:val="none"/>
        </w:rPr>
        <w:t>货物</w:t>
      </w:r>
      <w:r>
        <w:rPr>
          <w:sz w:val="24"/>
          <w:highlight w:val="none"/>
        </w:rPr>
        <w:t>进行变更，变更后</w:t>
      </w:r>
      <w:r>
        <w:rPr>
          <w:rFonts w:hint="eastAsia"/>
          <w:sz w:val="24"/>
          <w:highlight w:val="none"/>
        </w:rPr>
        <w:t>货物</w:t>
      </w:r>
      <w:r>
        <w:rPr>
          <w:sz w:val="24"/>
          <w:highlight w:val="none"/>
        </w:rPr>
        <w:t>的功能、品质和水平应符合本合同的</w:t>
      </w:r>
      <w:r>
        <w:rPr>
          <w:rFonts w:hint="eastAsia"/>
          <w:sz w:val="24"/>
          <w:highlight w:val="none"/>
        </w:rPr>
        <w:t>规定，且</w:t>
      </w:r>
      <w:r>
        <w:rPr>
          <w:sz w:val="24"/>
          <w:highlight w:val="none"/>
        </w:rPr>
        <w:t>不低于变更前的</w:t>
      </w:r>
      <w:r>
        <w:rPr>
          <w:rFonts w:hint="eastAsia"/>
          <w:sz w:val="24"/>
          <w:highlight w:val="none"/>
        </w:rPr>
        <w:t>货物</w:t>
      </w:r>
      <w:r>
        <w:rPr>
          <w:sz w:val="24"/>
          <w:highlight w:val="none"/>
        </w:rPr>
        <w:t>。</w:t>
      </w:r>
    </w:p>
    <w:p>
      <w:pPr>
        <w:widowControl/>
        <w:numPr>
          <w:ilvl w:val="0"/>
          <w:numId w:val="17"/>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双方同意，除非本合同另有约定，货物交付且买方按照本合同约定支付合同价款之后，买方</w:t>
      </w:r>
      <w:r>
        <w:rPr>
          <w:rFonts w:hint="eastAsia"/>
          <w:color w:val="000000"/>
          <w:sz w:val="24"/>
          <w:highlight w:val="none"/>
        </w:rPr>
        <w:t>不自动获得并拥有货物自身附有的相关知识产权，但</w:t>
      </w:r>
      <w:r>
        <w:rPr>
          <w:rFonts w:hint="eastAsia"/>
          <w:sz w:val="24"/>
          <w:highlight w:val="none"/>
        </w:rPr>
        <w:t>卖方同意无偿许可买方使用与货物有关的所有知识产权。</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bookmarkStart w:id="59" w:name="_Toc306354318"/>
      <w:r>
        <w:rPr>
          <w:rFonts w:hint="eastAsia"/>
          <w:sz w:val="24"/>
          <w:szCs w:val="24"/>
          <w:highlight w:val="none"/>
        </w:rPr>
        <w:t xml:space="preserve"> </w:t>
      </w:r>
      <w:r>
        <w:rPr>
          <w:sz w:val="24"/>
          <w:szCs w:val="24"/>
          <w:highlight w:val="none"/>
        </w:rPr>
        <w:t>质量保证</w:t>
      </w:r>
      <w:bookmarkEnd w:id="59"/>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sz w:val="24"/>
          <w:highlight w:val="none"/>
        </w:rPr>
        <w:t>卖方特此保证提供的货物</w:t>
      </w:r>
      <w:r>
        <w:rPr>
          <w:rFonts w:hint="eastAsia"/>
          <w:sz w:val="24"/>
          <w:highlight w:val="none"/>
        </w:rPr>
        <w:t>是崭新、从未使用过的，采用先进技术制造，具备优良的制造工艺和水平，符合本合同规定的要求，不存在任何缺陷。</w:t>
      </w:r>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color w:val="000000"/>
          <w:sz w:val="24"/>
          <w:highlight w:val="none"/>
        </w:rPr>
      </w:pPr>
      <w:r>
        <w:rPr>
          <w:rFonts w:hint="eastAsia"/>
          <w:sz w:val="24"/>
          <w:highlight w:val="none"/>
        </w:rPr>
        <w:t>货物的质保期为货物到货验收合格后</w:t>
      </w:r>
      <w:r>
        <w:rPr>
          <w:rFonts w:hint="eastAsia"/>
          <w:color w:val="000000"/>
          <w:sz w:val="24"/>
          <w:highlight w:val="none"/>
        </w:rPr>
        <w:t>【</w:t>
      </w:r>
      <w:r>
        <w:rPr>
          <w:rFonts w:hint="eastAsia"/>
          <w:i/>
          <w:color w:val="000000"/>
          <w:sz w:val="24"/>
          <w:highlight w:val="none"/>
        </w:rPr>
        <w:t>填入月数</w:t>
      </w:r>
      <w:r>
        <w:rPr>
          <w:rFonts w:hint="eastAsia"/>
          <w:color w:val="000000"/>
          <w:sz w:val="24"/>
          <w:highlight w:val="none"/>
        </w:rPr>
        <w:t>】个月。</w:t>
      </w:r>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int="eastAsia"/>
          <w:sz w:val="24"/>
          <w:highlight w:val="none"/>
        </w:rPr>
        <w:t>质保期内，如发现货物违反本合同项下的任何保证，买方有权选择且卖方应采取下列补救措施：</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（1）卖方对货物进行修复使货物符合本合同项下的保证和本合同的约定。卖方承担由此产生的费用。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（2）卖方对货物进行更换使货物符合本合同项下的保证和本合同的约定。卖方承担由此产生的费用。</w:t>
      </w:r>
    </w:p>
    <w:p>
      <w:pPr>
        <w:tabs>
          <w:tab w:val="left" w:pos="1860"/>
        </w:tabs>
        <w:autoSpaceDE w:val="0"/>
        <w:autoSpaceDN w:val="0"/>
        <w:adjustRightInd w:val="0"/>
        <w:spacing w:before="72" w:beforeLines="30" w:after="72" w:afterLines="30" w:line="360" w:lineRule="auto"/>
        <w:ind w:left="567"/>
        <w:jc w:val="left"/>
        <w:rPr>
          <w:sz w:val="24"/>
          <w:highlight w:val="none"/>
        </w:rPr>
      </w:pPr>
      <w:r>
        <w:rPr>
          <w:rFonts w:hint="eastAsia"/>
          <w:sz w:val="24"/>
          <w:highlight w:val="none"/>
        </w:rPr>
        <w:t>（3）退货。卖方承担由此产生的费用。</w:t>
      </w:r>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Ansi="宋体"/>
          <w:sz w:val="24"/>
          <w:highlight w:val="none"/>
        </w:rPr>
        <w:t>对于任何修复或更换，卖方应在收到</w:t>
      </w:r>
      <w:r>
        <w:rPr>
          <w:rFonts w:hint="eastAsia" w:hAnsi="宋体"/>
          <w:sz w:val="24"/>
          <w:highlight w:val="none"/>
        </w:rPr>
        <w:t>买方发出的</w:t>
      </w:r>
      <w:r>
        <w:rPr>
          <w:rFonts w:hAnsi="宋体"/>
          <w:sz w:val="24"/>
          <w:highlight w:val="none"/>
        </w:rPr>
        <w:t>货物缺陷通知后</w:t>
      </w:r>
      <w:r>
        <w:rPr>
          <w:rFonts w:hint="eastAsia"/>
          <w:color w:val="000000"/>
          <w:sz w:val="24"/>
          <w:highlight w:val="none"/>
        </w:rPr>
        <w:t>【</w:t>
      </w:r>
      <w:r>
        <w:rPr>
          <w:rFonts w:hint="eastAsia"/>
          <w:i/>
          <w:color w:val="000000"/>
          <w:sz w:val="24"/>
          <w:highlight w:val="none"/>
        </w:rPr>
        <w:t>填入天数</w:t>
      </w:r>
      <w:r>
        <w:rPr>
          <w:rFonts w:hint="eastAsia"/>
          <w:color w:val="000000"/>
          <w:sz w:val="24"/>
          <w:highlight w:val="none"/>
        </w:rPr>
        <w:t>】</w:t>
      </w:r>
      <w:r>
        <w:rPr>
          <w:rFonts w:hint="eastAsia" w:hAnsi="宋体"/>
          <w:sz w:val="24"/>
          <w:highlight w:val="none"/>
        </w:rPr>
        <w:t>日</w:t>
      </w:r>
      <w:r>
        <w:rPr>
          <w:rFonts w:hAnsi="宋体"/>
          <w:sz w:val="24"/>
          <w:highlight w:val="none"/>
        </w:rPr>
        <w:t>内完成。</w:t>
      </w:r>
      <w:r>
        <w:rPr>
          <w:rFonts w:hint="eastAsia" w:hAnsi="宋体"/>
          <w:sz w:val="24"/>
          <w:highlight w:val="none"/>
        </w:rPr>
        <w:t>若卖方到通知后未在规定的时间内及时维修、重作、更换以弥补缺陷，卖方可采取必要的补救措施，但其风险和费用将由买方承担，买方根据合同规定对买方行使的其他权利不受影响。</w:t>
      </w:r>
      <w:r>
        <w:rPr>
          <w:rFonts w:hAnsi="宋体"/>
          <w:sz w:val="24"/>
          <w:highlight w:val="none"/>
        </w:rPr>
        <w:t>如经修复、更换仍无法消除该等缺陷，买方有权要求退货。卖方应赔偿买方因货物存在前述缺陷遭受的全部损失。</w:t>
      </w:r>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Ansi="宋体"/>
          <w:sz w:val="24"/>
          <w:highlight w:val="none"/>
        </w:rPr>
        <w:t>如在质保期内发生</w:t>
      </w:r>
      <w:r>
        <w:rPr>
          <w:rFonts w:hint="eastAsia" w:hAnsi="宋体"/>
          <w:sz w:val="24"/>
          <w:highlight w:val="none"/>
        </w:rPr>
        <w:t>维修、重作、更换以弥补缺陷事件，</w:t>
      </w:r>
      <w:r>
        <w:rPr>
          <w:rFonts w:hAnsi="宋体"/>
          <w:sz w:val="24"/>
          <w:highlight w:val="none"/>
        </w:rPr>
        <w:t>则相应的质保期应重新计算</w:t>
      </w:r>
      <w:r>
        <w:rPr>
          <w:rFonts w:hint="eastAsia" w:hAnsi="宋体"/>
          <w:sz w:val="24"/>
          <w:highlight w:val="none"/>
        </w:rPr>
        <w:t>。</w:t>
      </w:r>
    </w:p>
    <w:p>
      <w:pPr>
        <w:numPr>
          <w:ilvl w:val="0"/>
          <w:numId w:val="18"/>
        </w:numPr>
        <w:tabs>
          <w:tab w:val="left" w:pos="567"/>
          <w:tab w:val="left" w:pos="709"/>
          <w:tab w:val="clear" w:pos="1860"/>
        </w:tabs>
        <w:autoSpaceDE w:val="0"/>
        <w:autoSpaceDN w:val="0"/>
        <w:adjustRightInd w:val="0"/>
        <w:spacing w:before="72" w:beforeLines="30" w:after="72" w:afterLines="30" w:line="360" w:lineRule="auto"/>
        <w:ind w:left="567" w:hanging="567"/>
        <w:jc w:val="left"/>
        <w:rPr>
          <w:sz w:val="24"/>
          <w:highlight w:val="none"/>
        </w:rPr>
      </w:pPr>
      <w:r>
        <w:rPr>
          <w:rFonts w:hint="eastAsia" w:hAnsi="宋体"/>
          <w:sz w:val="24"/>
          <w:highlight w:val="none"/>
        </w:rPr>
        <w:t>质保期结束，买方向卖方签发货物最终接收证书。买方签发最终接收证书不减少、免除卖方在本合同项下的任何义务（包括卖方对货物应符合本合同质量、规格要求应承担的责任）。</w:t>
      </w:r>
    </w:p>
    <w:p>
      <w:pPr>
        <w:pStyle w:val="15"/>
        <w:numPr>
          <w:ilvl w:val="0"/>
          <w:numId w:val="4"/>
        </w:numPr>
        <w:tabs>
          <w:tab w:val="left" w:pos="993"/>
        </w:tabs>
        <w:spacing w:before="72" w:beforeLines="30" w:after="72" w:afterLines="30" w:line="360" w:lineRule="auto"/>
        <w:ind w:left="567" w:hanging="567"/>
        <w:jc w:val="left"/>
        <w:rPr>
          <w:rFonts w:ascii="Times New Roman" w:hAnsi="Times New Roman"/>
          <w:sz w:val="24"/>
          <w:szCs w:val="24"/>
          <w:highlight w:val="none"/>
        </w:rPr>
      </w:pPr>
      <w:bookmarkStart w:id="60" w:name="_Toc274075964"/>
      <w:bookmarkStart w:id="61" w:name="_Toc274076152"/>
      <w:bookmarkStart w:id="62" w:name="_Toc274403516"/>
      <w:bookmarkStart w:id="63" w:name="_Toc273451906"/>
      <w:bookmarkStart w:id="64" w:name="_Toc273451839"/>
      <w:bookmarkStart w:id="65" w:name="_Toc274754051"/>
      <w:bookmarkStart w:id="66" w:name="_Toc278875417"/>
      <w:bookmarkStart w:id="67" w:name="_Toc298158368"/>
      <w:bookmarkStart w:id="68" w:name="_Toc274344116"/>
      <w:bookmarkStart w:id="69" w:name="_Toc274668241"/>
      <w:bookmarkStart w:id="70" w:name="_Toc274669182"/>
      <w:bookmarkStart w:id="71" w:name="_Toc274343584"/>
      <w:bookmarkStart w:id="72" w:name="_Toc306354320"/>
      <w:bookmarkStart w:id="73" w:name="_Toc273451804"/>
      <w:bookmarkStart w:id="74" w:name="_Toc273388519"/>
      <w:bookmarkStart w:id="75" w:name="_Toc274075986"/>
      <w:bookmarkStart w:id="76" w:name="_Toc273388618"/>
      <w:bookmarkStart w:id="77" w:name="_Toc273458618"/>
      <w:r>
        <w:rPr>
          <w:rFonts w:hint="eastAsia" w:ascii="Times New Roman" w:hAnsi="Times New Roman"/>
          <w:sz w:val="24"/>
          <w:szCs w:val="24"/>
          <w:highlight w:val="none"/>
        </w:rPr>
        <w:t xml:space="preserve"> </w:t>
      </w:r>
      <w:r>
        <w:rPr>
          <w:rFonts w:ascii="Times New Roman" w:hAnsi="Times New Roman"/>
          <w:sz w:val="24"/>
          <w:szCs w:val="24"/>
          <w:highlight w:val="none"/>
        </w:rPr>
        <w:t>违约责任</w:t>
      </w:r>
      <w:bookmarkEnd w:id="60"/>
      <w:bookmarkEnd w:id="61"/>
      <w:bookmarkEnd w:id="62"/>
      <w:bookmarkEnd w:id="63"/>
      <w:bookmarkEnd w:id="64"/>
      <w:bookmarkEnd w:id="65"/>
      <w:bookmarkEnd w:id="66"/>
      <w:bookmarkEnd w:id="67"/>
      <w:bookmarkEnd w:id="68"/>
      <w:bookmarkEnd w:id="69"/>
      <w:bookmarkEnd w:id="70"/>
      <w:bookmarkEnd w:id="71"/>
      <w:bookmarkEnd w:id="72"/>
    </w:p>
    <w:p>
      <w:pPr>
        <w:numPr>
          <w:ilvl w:val="0"/>
          <w:numId w:val="19"/>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卖方发生下列任一违约行为时，应向买方支付合同总价</w:t>
      </w:r>
      <w:bookmarkStart w:id="78" w:name="OLE_LINK65"/>
      <w:bookmarkStart w:id="79" w:name="OLE_LINK64"/>
      <w:r>
        <w:rPr>
          <w:rFonts w:hint="eastAsia"/>
          <w:sz w:val="24"/>
          <w:highlight w:val="none"/>
        </w:rPr>
        <w:t>【</w:t>
      </w:r>
      <w:r>
        <w:rPr>
          <w:rFonts w:hint="eastAsia"/>
          <w:i/>
          <w:sz w:val="24"/>
          <w:highlight w:val="none"/>
        </w:rPr>
        <w:t>填入百分比</w:t>
      </w:r>
      <w:r>
        <w:rPr>
          <w:rFonts w:hint="eastAsia"/>
          <w:sz w:val="24"/>
          <w:highlight w:val="none"/>
        </w:rPr>
        <w:t>】</w:t>
      </w:r>
      <w:bookmarkEnd w:id="78"/>
      <w:bookmarkEnd w:id="79"/>
      <w:r>
        <w:rPr>
          <w:rFonts w:hint="eastAsia"/>
          <w:sz w:val="24"/>
          <w:highlight w:val="none"/>
        </w:rPr>
        <w:t>的违约金，并赔偿买方因此遭受的</w:t>
      </w:r>
      <w:r>
        <w:rPr>
          <w:rFonts w:hint="eastAsia"/>
          <w:bCs/>
          <w:sz w:val="24"/>
          <w:highlight w:val="none"/>
        </w:rPr>
        <w:t>超出违约金数额的</w:t>
      </w:r>
      <w:r>
        <w:rPr>
          <w:rFonts w:hint="eastAsia"/>
          <w:sz w:val="24"/>
          <w:highlight w:val="none"/>
        </w:rPr>
        <w:t>全部损失：</w:t>
      </w:r>
    </w:p>
    <w:p>
      <w:pPr>
        <w:numPr>
          <w:ilvl w:val="1"/>
          <w:numId w:val="20"/>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卖方未按照合同的规定提供货物和相关服务；</w:t>
      </w:r>
    </w:p>
    <w:p>
      <w:pPr>
        <w:numPr>
          <w:ilvl w:val="1"/>
          <w:numId w:val="20"/>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卖方提供的货物不合格，且卖方未根据合同规定及时更换为合格产品；</w:t>
      </w:r>
    </w:p>
    <w:p>
      <w:pPr>
        <w:numPr>
          <w:ilvl w:val="1"/>
          <w:numId w:val="20"/>
        </w:numPr>
        <w:tabs>
          <w:tab w:val="left" w:pos="567"/>
          <w:tab w:val="left" w:pos="993"/>
        </w:tabs>
        <w:snapToGrid w:val="0"/>
        <w:spacing w:before="72" w:beforeLines="30" w:after="72" w:afterLines="30" w:line="360" w:lineRule="auto"/>
        <w:ind w:left="567" w:firstLine="0"/>
        <w:rPr>
          <w:sz w:val="24"/>
          <w:highlight w:val="none"/>
        </w:rPr>
      </w:pPr>
      <w:r>
        <w:rPr>
          <w:rFonts w:hint="eastAsia"/>
          <w:sz w:val="24"/>
          <w:highlight w:val="none"/>
        </w:rPr>
        <w:t>卖方违反本合同规定的承诺、保证或其它义务。</w:t>
      </w:r>
    </w:p>
    <w:p>
      <w:pPr>
        <w:numPr>
          <w:ilvl w:val="0"/>
          <w:numId w:val="19"/>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就卖方的上述违约行为</w:t>
      </w:r>
      <w:r>
        <w:rPr>
          <w:rFonts w:hint="eastAsia"/>
          <w:sz w:val="24"/>
          <w:highlight w:val="none"/>
        </w:rPr>
        <w:t>，买方除有权依据本合同第12.1款要求卖方承担违约责任外，有权</w:t>
      </w:r>
      <w:r>
        <w:rPr>
          <w:sz w:val="24"/>
          <w:highlight w:val="none"/>
        </w:rPr>
        <w:t>向卖方出具书面通知，要求卖方进行更正或整改</w:t>
      </w:r>
      <w:r>
        <w:rPr>
          <w:rFonts w:hint="eastAsia"/>
          <w:sz w:val="24"/>
          <w:highlight w:val="none"/>
        </w:rPr>
        <w:t>。如</w:t>
      </w:r>
      <w:r>
        <w:rPr>
          <w:sz w:val="24"/>
          <w:highlight w:val="none"/>
        </w:rPr>
        <w:t>卖方</w:t>
      </w:r>
      <w:r>
        <w:rPr>
          <w:rFonts w:hint="eastAsia"/>
          <w:sz w:val="24"/>
          <w:highlight w:val="none"/>
        </w:rPr>
        <w:t>收到该等通知后【</w:t>
      </w:r>
      <w:r>
        <w:rPr>
          <w:rFonts w:hint="eastAsia"/>
          <w:i/>
          <w:sz w:val="24"/>
          <w:highlight w:val="none"/>
        </w:rPr>
        <w:t>填入工作日数，如十（</w:t>
      </w:r>
      <w:r>
        <w:rPr>
          <w:i/>
          <w:sz w:val="24"/>
          <w:highlight w:val="none"/>
        </w:rPr>
        <w:t>10</w:t>
      </w:r>
      <w:r>
        <w:rPr>
          <w:rFonts w:hint="eastAsia"/>
          <w:i/>
          <w:sz w:val="24"/>
          <w:highlight w:val="none"/>
        </w:rPr>
        <w:t>）</w:t>
      </w:r>
      <w:r>
        <w:rPr>
          <w:rFonts w:hint="eastAsia"/>
          <w:sz w:val="24"/>
          <w:highlight w:val="none"/>
        </w:rPr>
        <w:t>】</w:t>
      </w:r>
      <w:r>
        <w:rPr>
          <w:sz w:val="24"/>
          <w:highlight w:val="none"/>
        </w:rPr>
        <w:t>个工作日内未按照买方要求</w:t>
      </w:r>
      <w:r>
        <w:rPr>
          <w:rFonts w:hint="eastAsia"/>
          <w:sz w:val="24"/>
          <w:highlight w:val="none"/>
        </w:rPr>
        <w:t>作出</w:t>
      </w:r>
      <w:r>
        <w:rPr>
          <w:sz w:val="24"/>
          <w:highlight w:val="none"/>
        </w:rPr>
        <w:t>更正或进行整改的，买方有权立即</w:t>
      </w:r>
      <w:r>
        <w:rPr>
          <w:rFonts w:hint="eastAsia"/>
          <w:sz w:val="24"/>
          <w:highlight w:val="none"/>
        </w:rPr>
        <w:t>解除</w:t>
      </w:r>
      <w:r>
        <w:rPr>
          <w:sz w:val="24"/>
          <w:highlight w:val="none"/>
        </w:rPr>
        <w:t>本合同，卖方应赔偿买方</w:t>
      </w:r>
      <w:r>
        <w:rPr>
          <w:rFonts w:hint="eastAsia"/>
          <w:sz w:val="24"/>
          <w:highlight w:val="none"/>
        </w:rPr>
        <w:t>因此</w:t>
      </w:r>
      <w:r>
        <w:rPr>
          <w:sz w:val="24"/>
          <w:highlight w:val="none"/>
        </w:rPr>
        <w:t>而遭受的</w:t>
      </w:r>
      <w:r>
        <w:rPr>
          <w:rFonts w:hint="eastAsia"/>
          <w:bCs/>
          <w:sz w:val="24"/>
          <w:highlight w:val="none"/>
        </w:rPr>
        <w:t>超出违约金数额的</w:t>
      </w:r>
      <w:r>
        <w:rPr>
          <w:sz w:val="24"/>
          <w:highlight w:val="none"/>
        </w:rPr>
        <w:t>全部损失。</w:t>
      </w:r>
    </w:p>
    <w:p>
      <w:pPr>
        <w:numPr>
          <w:ilvl w:val="0"/>
          <w:numId w:val="19"/>
        </w:numPr>
        <w:tabs>
          <w:tab w:val="left" w:pos="567"/>
          <w:tab w:val="left" w:pos="709"/>
          <w:tab w:val="left" w:pos="3060"/>
        </w:tabs>
        <w:spacing w:before="72" w:beforeLines="30" w:after="72" w:afterLines="30" w:line="360" w:lineRule="auto"/>
        <w:ind w:left="567" w:hanging="567"/>
        <w:rPr>
          <w:rFonts w:hAnsi="宋体"/>
          <w:bCs/>
          <w:sz w:val="24"/>
          <w:highlight w:val="none"/>
        </w:rPr>
      </w:pPr>
      <w:r>
        <w:rPr>
          <w:rFonts w:hint="eastAsia"/>
          <w:sz w:val="24"/>
          <w:highlight w:val="none"/>
        </w:rPr>
        <w:t>如卖方未能在交付日期交付货物，每延期交付一日，卖方应向买方支付合同总价的【</w:t>
      </w:r>
      <w:r>
        <w:rPr>
          <w:rFonts w:hint="eastAsia"/>
          <w:i/>
          <w:sz w:val="24"/>
          <w:highlight w:val="none"/>
        </w:rPr>
        <w:t>填入百分比</w:t>
      </w:r>
      <w:r>
        <w:rPr>
          <w:rFonts w:hint="eastAsia"/>
          <w:sz w:val="24"/>
          <w:highlight w:val="none"/>
        </w:rPr>
        <w:t>】作为延期违约金，但是，该等延期违约金最高不得超过合同总价的【</w:t>
      </w:r>
      <w:r>
        <w:rPr>
          <w:rFonts w:hint="eastAsia"/>
          <w:i/>
          <w:sz w:val="24"/>
          <w:highlight w:val="none"/>
        </w:rPr>
        <w:t>填入百分比</w:t>
      </w:r>
      <w:r>
        <w:rPr>
          <w:rFonts w:hint="eastAsia"/>
          <w:sz w:val="24"/>
          <w:highlight w:val="none"/>
        </w:rPr>
        <w:t>】。</w:t>
      </w:r>
      <w:r>
        <w:rPr>
          <w:rFonts w:hint="eastAsia" w:hAnsi="宋体"/>
          <w:bCs/>
          <w:sz w:val="24"/>
          <w:highlight w:val="none"/>
        </w:rPr>
        <w:t>如延期超过</w:t>
      </w:r>
      <w:r>
        <w:rPr>
          <w:rFonts w:hAnsi="宋体"/>
          <w:bCs/>
          <w:sz w:val="24"/>
          <w:highlight w:val="none"/>
        </w:rPr>
        <w:t>【</w:t>
      </w:r>
      <w:r>
        <w:rPr>
          <w:rFonts w:hint="eastAsia" w:hAnsi="宋体"/>
          <w:bCs/>
          <w:i/>
          <w:sz w:val="24"/>
          <w:highlight w:val="none"/>
        </w:rPr>
        <w:t>填入天数</w:t>
      </w:r>
      <w:r>
        <w:rPr>
          <w:rFonts w:hAnsi="宋体"/>
          <w:bCs/>
          <w:sz w:val="24"/>
          <w:highlight w:val="none"/>
        </w:rPr>
        <w:t>】</w:t>
      </w:r>
      <w:r>
        <w:rPr>
          <w:rFonts w:hint="eastAsia" w:hAnsi="宋体"/>
          <w:bCs/>
          <w:sz w:val="24"/>
          <w:highlight w:val="none"/>
        </w:rPr>
        <w:t>日，除要求卖方支付违约金外，买方有权解除本合同，并有权要求卖方赔偿买方因此遭受的</w:t>
      </w:r>
      <w:r>
        <w:rPr>
          <w:rFonts w:hint="eastAsia"/>
          <w:bCs/>
          <w:sz w:val="24"/>
          <w:highlight w:val="none"/>
        </w:rPr>
        <w:t>超出违约金数额的</w:t>
      </w:r>
      <w:r>
        <w:rPr>
          <w:rFonts w:hint="eastAsia" w:hAnsi="宋体"/>
          <w:bCs/>
          <w:sz w:val="24"/>
          <w:highlight w:val="none"/>
        </w:rPr>
        <w:t>全部损失。</w:t>
      </w:r>
    </w:p>
    <w:p>
      <w:pPr>
        <w:numPr>
          <w:ilvl w:val="0"/>
          <w:numId w:val="19"/>
        </w:numPr>
        <w:tabs>
          <w:tab w:val="left" w:pos="567"/>
          <w:tab w:val="left" w:pos="709"/>
          <w:tab w:val="left" w:pos="3060"/>
        </w:tabs>
        <w:spacing w:before="72" w:beforeLines="30" w:after="72" w:afterLines="30" w:line="360" w:lineRule="auto"/>
        <w:ind w:left="567" w:hanging="567"/>
        <w:rPr>
          <w:sz w:val="24"/>
          <w:highlight w:val="none"/>
        </w:rPr>
      </w:pPr>
      <w:r>
        <w:rPr>
          <w:rFonts w:hint="eastAsia"/>
          <w:sz w:val="24"/>
          <w:highlight w:val="none"/>
        </w:rPr>
        <w:t>如仅因买方原因，买方逾期向卖方付款，卖方应向买方发出书面催款通知，买方应在收到该等通知后【填入天数】日内付款，否则，即应自该等【填入天数】日期间结束之日起，按合同订立时1年期贷款市场报价利率计算并支付应付未付合同价款的利息，最高不超过相关应付未付合同价款的【填入百分比】。双方同意，该等利息的支付是买方就未能如期支付相关合同价款所需承担的全部责任。</w:t>
      </w:r>
    </w:p>
    <w:p>
      <w:pPr>
        <w:numPr>
          <w:ilvl w:val="0"/>
          <w:numId w:val="19"/>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卖方根据本合同的规定应承担违约金或赔偿责任的，买方有权从合同总价余额</w:t>
      </w:r>
      <w:r>
        <w:rPr>
          <w:rFonts w:hint="eastAsia"/>
          <w:sz w:val="24"/>
          <w:highlight w:val="none"/>
        </w:rPr>
        <w:t>中直接扣除</w:t>
      </w:r>
      <w:r>
        <w:rPr>
          <w:sz w:val="24"/>
          <w:highlight w:val="none"/>
        </w:rPr>
        <w:t>。</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r>
        <w:rPr>
          <w:rFonts w:hint="eastAsia"/>
          <w:sz w:val="24"/>
          <w:highlight w:val="none"/>
        </w:rPr>
        <w:t xml:space="preserve"> </w:t>
      </w:r>
      <w:bookmarkStart w:id="80" w:name="_Toc306354321"/>
      <w:r>
        <w:rPr>
          <w:rFonts w:hint="eastAsia" w:ascii="Times New Roman" w:hAnsi="Times New Roman"/>
          <w:sz w:val="24"/>
          <w:szCs w:val="24"/>
          <w:highlight w:val="none"/>
        </w:rPr>
        <w:t>合同的解除和</w:t>
      </w:r>
      <w:r>
        <w:rPr>
          <w:sz w:val="24"/>
          <w:szCs w:val="24"/>
          <w:highlight w:val="none"/>
        </w:rPr>
        <w:t>终止</w:t>
      </w:r>
      <w:bookmarkEnd w:id="80"/>
    </w:p>
    <w:p>
      <w:pPr>
        <w:numPr>
          <w:ilvl w:val="0"/>
          <w:numId w:val="21"/>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如</w:t>
      </w:r>
      <w:r>
        <w:rPr>
          <w:rFonts w:hAnsi="宋体"/>
          <w:color w:val="000000"/>
          <w:sz w:val="24"/>
          <w:highlight w:val="none"/>
        </w:rPr>
        <w:t>发生以下任</w:t>
      </w:r>
      <w:r>
        <w:rPr>
          <w:rFonts w:hint="eastAsia" w:hAnsi="宋体"/>
          <w:color w:val="000000"/>
          <w:sz w:val="24"/>
          <w:highlight w:val="none"/>
        </w:rPr>
        <w:t>一情形，经书面通知卖方，</w:t>
      </w:r>
      <w:r>
        <w:rPr>
          <w:rFonts w:hAnsi="宋体"/>
          <w:color w:val="000000"/>
          <w:sz w:val="24"/>
          <w:highlight w:val="none"/>
        </w:rPr>
        <w:t>买方</w:t>
      </w:r>
      <w:r>
        <w:rPr>
          <w:rFonts w:hint="eastAsia" w:hAnsi="宋体"/>
          <w:color w:val="000000"/>
          <w:sz w:val="24"/>
          <w:highlight w:val="none"/>
        </w:rPr>
        <w:t>有权解除本</w:t>
      </w:r>
      <w:r>
        <w:rPr>
          <w:rFonts w:hAnsi="宋体"/>
          <w:color w:val="000000"/>
          <w:sz w:val="24"/>
          <w:highlight w:val="none"/>
        </w:rPr>
        <w:t>合同：</w:t>
      </w:r>
      <w:r>
        <w:rPr>
          <w:rFonts w:hint="eastAsia" w:hAnsi="宋体"/>
          <w:color w:val="000000"/>
          <w:sz w:val="24"/>
          <w:highlight w:val="none"/>
        </w:rPr>
        <w:t xml:space="preserve"> </w:t>
      </w:r>
    </w:p>
    <w:p>
      <w:pPr>
        <w:widowControl/>
        <w:numPr>
          <w:ilvl w:val="0"/>
          <w:numId w:val="22"/>
        </w:numPr>
        <w:tabs>
          <w:tab w:val="left" w:pos="993"/>
          <w:tab w:val="clear" w:pos="840"/>
        </w:tabs>
        <w:spacing w:before="72" w:beforeLines="30" w:after="72" w:afterLines="30" w:line="360" w:lineRule="auto"/>
        <w:ind w:left="1378" w:leftChars="270" w:hanging="811" w:hangingChars="338"/>
        <w:jc w:val="left"/>
        <w:rPr>
          <w:sz w:val="24"/>
          <w:highlight w:val="none"/>
        </w:rPr>
      </w:pPr>
      <w:r>
        <w:rPr>
          <w:rFonts w:hint="eastAsia"/>
          <w:sz w:val="24"/>
          <w:highlight w:val="none"/>
        </w:rPr>
        <w:t>本合同明确规定买方有权解除合同的情形；</w:t>
      </w:r>
    </w:p>
    <w:p>
      <w:pPr>
        <w:widowControl/>
        <w:numPr>
          <w:ilvl w:val="0"/>
          <w:numId w:val="22"/>
        </w:numPr>
        <w:tabs>
          <w:tab w:val="left" w:pos="993"/>
          <w:tab w:val="clear" w:pos="840"/>
        </w:tabs>
        <w:spacing w:before="72" w:beforeLines="30" w:after="72" w:afterLines="30" w:line="360" w:lineRule="auto"/>
        <w:ind w:left="1378" w:leftChars="270" w:hanging="811" w:hangingChars="338"/>
        <w:jc w:val="left"/>
        <w:rPr>
          <w:sz w:val="24"/>
          <w:highlight w:val="none"/>
        </w:rPr>
      </w:pPr>
      <w:r>
        <w:rPr>
          <w:sz w:val="24"/>
          <w:highlight w:val="none"/>
        </w:rPr>
        <w:t>卖方破产、资不抵债、停业清理、解散、被兼并、被查封</w:t>
      </w:r>
      <w:r>
        <w:rPr>
          <w:rFonts w:hint="eastAsia"/>
          <w:sz w:val="24"/>
          <w:highlight w:val="none"/>
        </w:rPr>
        <w:t>；</w:t>
      </w:r>
    </w:p>
    <w:p>
      <w:pPr>
        <w:widowControl/>
        <w:numPr>
          <w:ilvl w:val="0"/>
          <w:numId w:val="22"/>
        </w:numPr>
        <w:tabs>
          <w:tab w:val="left" w:pos="993"/>
          <w:tab w:val="clear" w:pos="840"/>
        </w:tabs>
        <w:spacing w:before="72" w:beforeLines="30" w:after="72" w:afterLines="30" w:line="360" w:lineRule="auto"/>
        <w:ind w:left="1378" w:leftChars="270" w:hanging="811" w:hangingChars="338"/>
        <w:jc w:val="left"/>
        <w:rPr>
          <w:sz w:val="24"/>
          <w:highlight w:val="none"/>
        </w:rPr>
      </w:pPr>
      <w:r>
        <w:rPr>
          <w:sz w:val="24"/>
          <w:highlight w:val="none"/>
        </w:rPr>
        <w:t>卖方</w:t>
      </w:r>
      <w:r>
        <w:rPr>
          <w:rFonts w:hint="eastAsia"/>
          <w:sz w:val="24"/>
          <w:highlight w:val="none"/>
        </w:rPr>
        <w:t>发生其它严重违约</w:t>
      </w:r>
      <w:r>
        <w:rPr>
          <w:sz w:val="24"/>
          <w:highlight w:val="none"/>
        </w:rPr>
        <w:t>，</w:t>
      </w:r>
      <w:r>
        <w:rPr>
          <w:rFonts w:hint="eastAsia"/>
          <w:sz w:val="24"/>
          <w:highlight w:val="none"/>
        </w:rPr>
        <w:t>且未在买方要求的合理期限内纠正；</w:t>
      </w:r>
    </w:p>
    <w:p>
      <w:pPr>
        <w:widowControl/>
        <w:numPr>
          <w:ilvl w:val="0"/>
          <w:numId w:val="22"/>
        </w:numPr>
        <w:tabs>
          <w:tab w:val="left" w:pos="993"/>
          <w:tab w:val="clear" w:pos="840"/>
        </w:tabs>
        <w:spacing w:before="72" w:beforeLines="30" w:after="72" w:afterLines="30" w:line="360" w:lineRule="auto"/>
        <w:ind w:left="1378" w:leftChars="270" w:hanging="811" w:hangingChars="338"/>
        <w:jc w:val="left"/>
        <w:rPr>
          <w:sz w:val="24"/>
          <w:highlight w:val="none"/>
        </w:rPr>
      </w:pPr>
      <w:r>
        <w:rPr>
          <w:rFonts w:hint="eastAsia"/>
          <w:sz w:val="24"/>
          <w:highlight w:val="none"/>
        </w:rPr>
        <w:t>不可抗力</w:t>
      </w:r>
      <w:r>
        <w:rPr>
          <w:sz w:val="24"/>
          <w:highlight w:val="none"/>
        </w:rPr>
        <w:t>持续超过【</w:t>
      </w:r>
      <w:r>
        <w:rPr>
          <w:rFonts w:hint="eastAsia"/>
          <w:i/>
          <w:sz w:val="24"/>
          <w:highlight w:val="none"/>
        </w:rPr>
        <w:t>填入天数，如六十（60）</w:t>
      </w:r>
      <w:r>
        <w:rPr>
          <w:sz w:val="24"/>
          <w:highlight w:val="none"/>
        </w:rPr>
        <w:t>】</w:t>
      </w:r>
      <w:r>
        <w:rPr>
          <w:rFonts w:hint="eastAsia"/>
          <w:sz w:val="24"/>
          <w:highlight w:val="none"/>
        </w:rPr>
        <w:t>日。</w:t>
      </w:r>
    </w:p>
    <w:p>
      <w:pPr>
        <w:numPr>
          <w:ilvl w:val="0"/>
          <w:numId w:val="21"/>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如因卖方违约买方解除本合同，</w:t>
      </w:r>
      <w:r>
        <w:rPr>
          <w:rFonts w:hAnsi="宋体"/>
          <w:color w:val="000000"/>
          <w:sz w:val="24"/>
          <w:highlight w:val="none"/>
        </w:rPr>
        <w:t>卖方应退回买方已经支付的</w:t>
      </w:r>
      <w:r>
        <w:rPr>
          <w:rFonts w:hint="eastAsia" w:hAnsi="宋体"/>
          <w:color w:val="000000"/>
          <w:sz w:val="24"/>
          <w:highlight w:val="none"/>
        </w:rPr>
        <w:t>全部款项，并根据本合同规定支付违约金，并且买方有权要求卖方赔偿其因此遭受的</w:t>
      </w:r>
      <w:r>
        <w:rPr>
          <w:rFonts w:hint="eastAsia"/>
          <w:bCs/>
          <w:sz w:val="24"/>
          <w:highlight w:val="none"/>
        </w:rPr>
        <w:t>超出违约金数额的</w:t>
      </w:r>
      <w:r>
        <w:rPr>
          <w:rFonts w:hint="eastAsia" w:hAnsi="宋体"/>
          <w:color w:val="000000"/>
          <w:sz w:val="24"/>
          <w:highlight w:val="none"/>
        </w:rPr>
        <w:t>全部损失。</w:t>
      </w:r>
      <w:r>
        <w:rPr>
          <w:rFonts w:hAnsi="宋体"/>
          <w:color w:val="000000"/>
          <w:sz w:val="24"/>
          <w:highlight w:val="none"/>
        </w:rPr>
        <w:t>买方</w:t>
      </w:r>
      <w:r>
        <w:rPr>
          <w:rFonts w:hint="eastAsia" w:hAnsi="宋体"/>
          <w:color w:val="000000"/>
          <w:sz w:val="24"/>
          <w:highlight w:val="none"/>
        </w:rPr>
        <w:t>有权以</w:t>
      </w:r>
      <w:r>
        <w:rPr>
          <w:rFonts w:hAnsi="宋体"/>
          <w:color w:val="000000"/>
          <w:sz w:val="24"/>
          <w:highlight w:val="none"/>
        </w:rPr>
        <w:t>适当的条件和方式</w:t>
      </w:r>
      <w:r>
        <w:rPr>
          <w:rFonts w:hint="eastAsia" w:hAnsi="宋体"/>
          <w:color w:val="000000"/>
          <w:sz w:val="24"/>
          <w:highlight w:val="none"/>
        </w:rPr>
        <w:t>购买同等货物</w:t>
      </w:r>
      <w:r>
        <w:rPr>
          <w:rFonts w:hAnsi="宋体"/>
          <w:color w:val="000000"/>
          <w:sz w:val="24"/>
          <w:highlight w:val="none"/>
        </w:rPr>
        <w:t>，卖方应</w:t>
      </w:r>
      <w:r>
        <w:rPr>
          <w:rFonts w:hint="eastAsia" w:hAnsi="宋体"/>
          <w:color w:val="000000"/>
          <w:sz w:val="24"/>
          <w:highlight w:val="none"/>
        </w:rPr>
        <w:t>承</w:t>
      </w:r>
      <w:r>
        <w:rPr>
          <w:rFonts w:hAnsi="宋体"/>
          <w:color w:val="000000"/>
          <w:sz w:val="24"/>
          <w:highlight w:val="none"/>
        </w:rPr>
        <w:t>担</w:t>
      </w:r>
      <w:r>
        <w:rPr>
          <w:rFonts w:hint="eastAsia" w:hAnsi="宋体"/>
          <w:color w:val="000000"/>
          <w:sz w:val="24"/>
          <w:highlight w:val="none"/>
        </w:rPr>
        <w:t>买方</w:t>
      </w:r>
      <w:r>
        <w:rPr>
          <w:rFonts w:hAnsi="宋体"/>
          <w:color w:val="000000"/>
          <w:sz w:val="24"/>
          <w:highlight w:val="none"/>
        </w:rPr>
        <w:t>购买</w:t>
      </w:r>
      <w:r>
        <w:rPr>
          <w:rFonts w:hint="eastAsia" w:hAnsi="宋体"/>
          <w:color w:val="000000"/>
          <w:sz w:val="24"/>
          <w:highlight w:val="none"/>
        </w:rPr>
        <w:t>同等货物的差额费用</w:t>
      </w:r>
      <w:r>
        <w:rPr>
          <w:rFonts w:hAnsi="宋体"/>
          <w:color w:val="000000"/>
          <w:sz w:val="24"/>
          <w:highlight w:val="none"/>
        </w:rPr>
        <w:t>。</w:t>
      </w:r>
    </w:p>
    <w:p>
      <w:pPr>
        <w:numPr>
          <w:ilvl w:val="0"/>
          <w:numId w:val="21"/>
        </w:numPr>
        <w:tabs>
          <w:tab w:val="left" w:pos="567"/>
          <w:tab w:val="left" w:pos="709"/>
        </w:tabs>
        <w:spacing w:before="72" w:beforeLines="30" w:after="72" w:afterLines="30" w:line="360" w:lineRule="auto"/>
        <w:ind w:left="567" w:hanging="567"/>
        <w:rPr>
          <w:rFonts w:hAnsi="宋体"/>
          <w:color w:val="000000"/>
          <w:sz w:val="24"/>
          <w:highlight w:val="none"/>
        </w:rPr>
      </w:pPr>
      <w:r>
        <w:rPr>
          <w:rFonts w:hint="eastAsia" w:hAnsi="宋体"/>
          <w:color w:val="000000"/>
          <w:sz w:val="24"/>
          <w:highlight w:val="none"/>
        </w:rPr>
        <w:t>无论基于何种原因，经</w:t>
      </w:r>
      <w:r>
        <w:rPr>
          <w:rFonts w:hAnsi="宋体"/>
          <w:color w:val="000000"/>
          <w:sz w:val="24"/>
          <w:highlight w:val="none"/>
        </w:rPr>
        <w:t>提前【</w:t>
      </w:r>
      <w:r>
        <w:rPr>
          <w:rFonts w:hint="eastAsia" w:hAnsi="宋体"/>
          <w:i/>
          <w:color w:val="000000"/>
          <w:sz w:val="24"/>
          <w:highlight w:val="none"/>
        </w:rPr>
        <w:t>填入天数，如十五（15）</w:t>
      </w:r>
      <w:r>
        <w:rPr>
          <w:rFonts w:hAnsi="宋体"/>
          <w:color w:val="000000"/>
          <w:sz w:val="24"/>
          <w:highlight w:val="none"/>
        </w:rPr>
        <w:t>】</w:t>
      </w:r>
      <w:r>
        <w:rPr>
          <w:rFonts w:hint="eastAsia" w:hAnsi="宋体"/>
          <w:color w:val="000000"/>
          <w:sz w:val="24"/>
          <w:highlight w:val="none"/>
        </w:rPr>
        <w:t>日</w:t>
      </w:r>
      <w:r>
        <w:rPr>
          <w:rFonts w:hAnsi="宋体"/>
          <w:color w:val="000000"/>
          <w:sz w:val="24"/>
          <w:highlight w:val="none"/>
        </w:rPr>
        <w:t>书面通知</w:t>
      </w:r>
      <w:r>
        <w:rPr>
          <w:rFonts w:hint="eastAsia" w:hAnsi="宋体"/>
          <w:color w:val="000000"/>
          <w:sz w:val="24"/>
          <w:highlight w:val="none"/>
        </w:rPr>
        <w:t>卖方</w:t>
      </w:r>
      <w:r>
        <w:rPr>
          <w:rFonts w:hAnsi="宋体"/>
          <w:color w:val="000000"/>
          <w:sz w:val="24"/>
          <w:highlight w:val="none"/>
        </w:rPr>
        <w:t>，买方有权随时</w:t>
      </w:r>
      <w:r>
        <w:rPr>
          <w:rFonts w:hint="eastAsia" w:hAnsi="宋体"/>
          <w:color w:val="000000"/>
          <w:sz w:val="24"/>
          <w:highlight w:val="none"/>
        </w:rPr>
        <w:t>终止</w:t>
      </w:r>
      <w:r>
        <w:rPr>
          <w:rFonts w:hAnsi="宋体"/>
          <w:color w:val="000000"/>
          <w:sz w:val="24"/>
          <w:highlight w:val="none"/>
        </w:rPr>
        <w:t>合同。卖方</w:t>
      </w:r>
      <w:r>
        <w:rPr>
          <w:rFonts w:hint="eastAsia" w:hAnsi="宋体"/>
          <w:color w:val="000000"/>
          <w:sz w:val="24"/>
          <w:highlight w:val="none"/>
        </w:rPr>
        <w:t>收到</w:t>
      </w:r>
      <w:r>
        <w:rPr>
          <w:rFonts w:hAnsi="宋体"/>
          <w:color w:val="000000"/>
          <w:sz w:val="24"/>
          <w:highlight w:val="none"/>
        </w:rPr>
        <w:t>买方</w:t>
      </w:r>
      <w:r>
        <w:rPr>
          <w:rFonts w:hint="eastAsia" w:hAnsi="宋体"/>
          <w:color w:val="000000"/>
          <w:sz w:val="24"/>
          <w:highlight w:val="none"/>
        </w:rPr>
        <w:t>终止</w:t>
      </w:r>
      <w:r>
        <w:rPr>
          <w:rFonts w:hAnsi="宋体"/>
          <w:color w:val="000000"/>
          <w:sz w:val="24"/>
          <w:highlight w:val="none"/>
        </w:rPr>
        <w:t>合同的</w:t>
      </w:r>
      <w:r>
        <w:rPr>
          <w:rFonts w:hint="eastAsia" w:hAnsi="宋体"/>
          <w:color w:val="000000"/>
          <w:sz w:val="24"/>
          <w:highlight w:val="none"/>
        </w:rPr>
        <w:t>书面</w:t>
      </w:r>
      <w:r>
        <w:rPr>
          <w:rFonts w:hAnsi="宋体"/>
          <w:color w:val="000000"/>
          <w:sz w:val="24"/>
          <w:highlight w:val="none"/>
        </w:rPr>
        <w:t>通知</w:t>
      </w:r>
      <w:r>
        <w:rPr>
          <w:rFonts w:hint="eastAsia" w:hAnsi="宋体"/>
          <w:color w:val="000000"/>
          <w:sz w:val="24"/>
          <w:highlight w:val="none"/>
        </w:rPr>
        <w:t>后，</w:t>
      </w:r>
      <w:r>
        <w:rPr>
          <w:rFonts w:hAnsi="宋体"/>
          <w:color w:val="000000"/>
          <w:sz w:val="24"/>
          <w:highlight w:val="none"/>
        </w:rPr>
        <w:t>应立即停止</w:t>
      </w:r>
      <w:r>
        <w:rPr>
          <w:rFonts w:hint="eastAsia" w:hAnsi="宋体"/>
          <w:color w:val="000000"/>
          <w:sz w:val="24"/>
          <w:highlight w:val="none"/>
        </w:rPr>
        <w:t>实施与</w:t>
      </w:r>
      <w:r>
        <w:rPr>
          <w:rFonts w:hAnsi="宋体"/>
          <w:color w:val="000000"/>
          <w:sz w:val="24"/>
          <w:highlight w:val="none"/>
        </w:rPr>
        <w:t>本合同</w:t>
      </w:r>
      <w:r>
        <w:rPr>
          <w:rFonts w:hint="eastAsia" w:hAnsi="宋体"/>
          <w:color w:val="000000"/>
          <w:sz w:val="24"/>
          <w:highlight w:val="none"/>
        </w:rPr>
        <w:t>有</w:t>
      </w:r>
      <w:r>
        <w:rPr>
          <w:rFonts w:hAnsi="宋体"/>
          <w:color w:val="000000"/>
          <w:sz w:val="24"/>
          <w:highlight w:val="none"/>
        </w:rPr>
        <w:t>关的工作并对</w:t>
      </w:r>
      <w:r>
        <w:rPr>
          <w:rFonts w:hint="eastAsia" w:hAnsi="宋体"/>
          <w:color w:val="000000"/>
          <w:sz w:val="24"/>
          <w:highlight w:val="none"/>
        </w:rPr>
        <w:t>已履行</w:t>
      </w:r>
      <w:r>
        <w:rPr>
          <w:rFonts w:hAnsi="宋体"/>
          <w:color w:val="000000"/>
          <w:sz w:val="24"/>
          <w:highlight w:val="none"/>
        </w:rPr>
        <w:t>的</w:t>
      </w:r>
      <w:r>
        <w:rPr>
          <w:rFonts w:hint="eastAsia" w:hAnsi="宋体"/>
          <w:color w:val="000000"/>
          <w:sz w:val="24"/>
          <w:highlight w:val="none"/>
        </w:rPr>
        <w:t>部分</w:t>
      </w:r>
      <w:r>
        <w:rPr>
          <w:rFonts w:hAnsi="宋体"/>
          <w:color w:val="000000"/>
          <w:sz w:val="24"/>
          <w:highlight w:val="none"/>
        </w:rPr>
        <w:t>进行结算。买方收到卖方的结算</w:t>
      </w:r>
      <w:r>
        <w:rPr>
          <w:rFonts w:hint="eastAsia" w:hAnsi="宋体"/>
          <w:color w:val="000000"/>
          <w:sz w:val="24"/>
          <w:highlight w:val="none"/>
        </w:rPr>
        <w:t>要求</w:t>
      </w:r>
      <w:r>
        <w:rPr>
          <w:rFonts w:hAnsi="宋体"/>
          <w:color w:val="000000"/>
          <w:sz w:val="24"/>
          <w:highlight w:val="none"/>
        </w:rPr>
        <w:t>后，</w:t>
      </w:r>
      <w:r>
        <w:rPr>
          <w:rFonts w:hint="eastAsia" w:hAnsi="宋体"/>
          <w:color w:val="000000"/>
          <w:sz w:val="24"/>
          <w:highlight w:val="none"/>
        </w:rPr>
        <w:t>应</w:t>
      </w:r>
      <w:r>
        <w:rPr>
          <w:rFonts w:hAnsi="宋体"/>
          <w:color w:val="000000"/>
          <w:sz w:val="24"/>
          <w:highlight w:val="none"/>
        </w:rPr>
        <w:t>与卖方协商结算</w:t>
      </w:r>
      <w:r>
        <w:rPr>
          <w:rFonts w:hint="eastAsia" w:hAnsi="宋体"/>
          <w:color w:val="000000"/>
          <w:sz w:val="24"/>
          <w:highlight w:val="none"/>
        </w:rPr>
        <w:t>数额、</w:t>
      </w:r>
      <w:r>
        <w:rPr>
          <w:rFonts w:hAnsi="宋体"/>
          <w:color w:val="000000"/>
          <w:sz w:val="24"/>
          <w:highlight w:val="none"/>
        </w:rPr>
        <w:t>因买方终止合同</w:t>
      </w:r>
      <w:r>
        <w:rPr>
          <w:rFonts w:hint="eastAsia" w:hAnsi="宋体"/>
          <w:color w:val="000000"/>
          <w:sz w:val="24"/>
          <w:highlight w:val="none"/>
        </w:rPr>
        <w:t>需向</w:t>
      </w:r>
      <w:r>
        <w:rPr>
          <w:rFonts w:hAnsi="宋体"/>
          <w:color w:val="000000"/>
          <w:sz w:val="24"/>
          <w:highlight w:val="none"/>
        </w:rPr>
        <w:t>卖方</w:t>
      </w:r>
      <w:r>
        <w:rPr>
          <w:rFonts w:hint="eastAsia" w:hAnsi="宋体"/>
          <w:color w:val="000000"/>
          <w:sz w:val="24"/>
          <w:highlight w:val="none"/>
        </w:rPr>
        <w:t>支付</w:t>
      </w:r>
      <w:r>
        <w:rPr>
          <w:rFonts w:hAnsi="宋体"/>
          <w:color w:val="000000"/>
          <w:sz w:val="24"/>
          <w:highlight w:val="none"/>
        </w:rPr>
        <w:t>的补偿</w:t>
      </w:r>
      <w:r>
        <w:rPr>
          <w:rFonts w:hint="eastAsia" w:hAnsi="宋体"/>
          <w:color w:val="000000"/>
          <w:sz w:val="24"/>
          <w:highlight w:val="none"/>
        </w:rPr>
        <w:t>款等事项</w:t>
      </w:r>
      <w:r>
        <w:rPr>
          <w:rFonts w:hAnsi="宋体"/>
          <w:color w:val="000000"/>
          <w:sz w:val="24"/>
          <w:highlight w:val="none"/>
        </w:rPr>
        <w:t>。</w:t>
      </w:r>
      <w:r>
        <w:rPr>
          <w:rFonts w:hint="eastAsia" w:hAnsi="宋体"/>
          <w:color w:val="000000"/>
          <w:sz w:val="24"/>
          <w:highlight w:val="none"/>
        </w:rPr>
        <w:t>买方因终止合同向</w:t>
      </w:r>
      <w:r>
        <w:rPr>
          <w:rFonts w:hAnsi="宋体"/>
          <w:color w:val="000000"/>
          <w:sz w:val="24"/>
          <w:highlight w:val="none"/>
        </w:rPr>
        <w:t>卖方</w:t>
      </w:r>
      <w:r>
        <w:rPr>
          <w:rFonts w:hint="eastAsia" w:hAnsi="宋体"/>
          <w:color w:val="000000"/>
          <w:sz w:val="24"/>
          <w:highlight w:val="none"/>
        </w:rPr>
        <w:t>支付的补偿款以卖方为</w:t>
      </w:r>
      <w:r>
        <w:rPr>
          <w:rFonts w:hAnsi="宋体"/>
          <w:color w:val="000000"/>
          <w:sz w:val="24"/>
          <w:highlight w:val="none"/>
        </w:rPr>
        <w:t>履行合同已</w:t>
      </w:r>
      <w:r>
        <w:rPr>
          <w:rFonts w:hint="eastAsia" w:hAnsi="宋体"/>
          <w:color w:val="000000"/>
          <w:sz w:val="24"/>
          <w:highlight w:val="none"/>
        </w:rPr>
        <w:t>实际</w:t>
      </w:r>
      <w:r>
        <w:rPr>
          <w:rFonts w:hAnsi="宋体"/>
          <w:color w:val="000000"/>
          <w:sz w:val="24"/>
          <w:highlight w:val="none"/>
        </w:rPr>
        <w:t>发生</w:t>
      </w:r>
      <w:r>
        <w:rPr>
          <w:rFonts w:hint="eastAsia" w:hAnsi="宋体"/>
          <w:color w:val="000000"/>
          <w:sz w:val="24"/>
          <w:highlight w:val="none"/>
        </w:rPr>
        <w:t>的</w:t>
      </w:r>
      <w:r>
        <w:rPr>
          <w:rFonts w:hAnsi="宋体"/>
          <w:color w:val="000000"/>
          <w:sz w:val="24"/>
          <w:highlight w:val="none"/>
        </w:rPr>
        <w:t>直接、合理费用</w:t>
      </w:r>
      <w:r>
        <w:rPr>
          <w:rFonts w:hint="eastAsia" w:hAnsi="宋体"/>
          <w:color w:val="000000"/>
          <w:sz w:val="24"/>
          <w:highlight w:val="none"/>
        </w:rPr>
        <w:t>为限。</w:t>
      </w:r>
      <w:r>
        <w:rPr>
          <w:rFonts w:hAnsi="宋体"/>
          <w:color w:val="000000"/>
          <w:sz w:val="24"/>
          <w:highlight w:val="none"/>
        </w:rPr>
        <w:t>买方向卖方支付的</w:t>
      </w:r>
      <w:r>
        <w:rPr>
          <w:rFonts w:hint="eastAsia" w:hAnsi="宋体"/>
          <w:color w:val="000000"/>
          <w:sz w:val="24"/>
          <w:highlight w:val="none"/>
        </w:rPr>
        <w:t>该等补偿款</w:t>
      </w:r>
      <w:r>
        <w:rPr>
          <w:rFonts w:hAnsi="宋体"/>
          <w:color w:val="000000"/>
          <w:sz w:val="24"/>
          <w:highlight w:val="none"/>
        </w:rPr>
        <w:t>系买方</w:t>
      </w:r>
      <w:r>
        <w:rPr>
          <w:rFonts w:hint="eastAsia" w:hAnsi="宋体"/>
          <w:color w:val="000000"/>
          <w:sz w:val="24"/>
          <w:highlight w:val="none"/>
        </w:rPr>
        <w:t>根据本款规定</w:t>
      </w:r>
      <w:r>
        <w:rPr>
          <w:rFonts w:hAnsi="宋体"/>
          <w:color w:val="000000"/>
          <w:sz w:val="24"/>
          <w:highlight w:val="none"/>
        </w:rPr>
        <w:t>终止合同时</w:t>
      </w:r>
      <w:r>
        <w:rPr>
          <w:rFonts w:hint="eastAsia" w:hAnsi="宋体"/>
          <w:color w:val="000000"/>
          <w:sz w:val="24"/>
          <w:highlight w:val="none"/>
        </w:rPr>
        <w:t>，</w:t>
      </w:r>
      <w:r>
        <w:rPr>
          <w:rFonts w:hAnsi="宋体"/>
          <w:color w:val="000000"/>
          <w:sz w:val="24"/>
          <w:highlight w:val="none"/>
        </w:rPr>
        <w:t>卖方可获得的</w:t>
      </w:r>
      <w:r>
        <w:rPr>
          <w:rFonts w:hint="eastAsia" w:hAnsi="宋体"/>
          <w:color w:val="000000"/>
          <w:sz w:val="24"/>
          <w:highlight w:val="none"/>
        </w:rPr>
        <w:t>全部赔偿。任何时候卖方均无权要求买方赔偿因合同终止引起的预期利润的损失或损害。</w:t>
      </w:r>
    </w:p>
    <w:p>
      <w:pPr>
        <w:numPr>
          <w:ilvl w:val="0"/>
          <w:numId w:val="21"/>
        </w:numPr>
        <w:tabs>
          <w:tab w:val="left" w:pos="567"/>
          <w:tab w:val="left" w:pos="709"/>
        </w:tabs>
        <w:spacing w:before="72" w:beforeLines="30" w:after="72" w:afterLines="30" w:line="360" w:lineRule="auto"/>
        <w:ind w:left="567" w:hanging="567"/>
        <w:rPr>
          <w:rFonts w:hAnsi="宋体"/>
          <w:color w:val="000000"/>
          <w:sz w:val="24"/>
          <w:highlight w:val="none"/>
        </w:rPr>
      </w:pPr>
      <w:bookmarkStart w:id="81" w:name="_DV_C932"/>
      <w:r>
        <w:rPr>
          <w:rFonts w:hint="eastAsia" w:hAnsi="宋体"/>
          <w:color w:val="000000"/>
          <w:sz w:val="24"/>
          <w:highlight w:val="none"/>
        </w:rPr>
        <w:t>如果本合同根据本条第13</w:t>
      </w:r>
      <w:r>
        <w:rPr>
          <w:rFonts w:hAnsi="宋体"/>
          <w:color w:val="000000"/>
          <w:sz w:val="24"/>
          <w:highlight w:val="none"/>
        </w:rPr>
        <w:t>.3款</w:t>
      </w:r>
      <w:r>
        <w:rPr>
          <w:rFonts w:hint="eastAsia" w:hAnsi="宋体"/>
          <w:color w:val="000000"/>
          <w:sz w:val="24"/>
          <w:highlight w:val="none"/>
        </w:rPr>
        <w:t>终止，对于合同终止前买方已经支付合同价款或提供补偿费用的货物，卖方应立即移交给买方，买方拥有相关货物的全部权益。</w:t>
      </w:r>
      <w:bookmarkEnd w:id="81"/>
    </w:p>
    <w:p>
      <w:pPr>
        <w:pStyle w:val="15"/>
        <w:numPr>
          <w:ilvl w:val="0"/>
          <w:numId w:val="4"/>
        </w:numPr>
        <w:tabs>
          <w:tab w:val="left" w:pos="993"/>
        </w:tabs>
        <w:spacing w:before="72" w:beforeLines="30" w:after="72" w:afterLines="30" w:line="360" w:lineRule="auto"/>
        <w:ind w:left="567" w:hanging="567"/>
        <w:jc w:val="left"/>
        <w:rPr>
          <w:sz w:val="24"/>
          <w:szCs w:val="24"/>
          <w:highlight w:val="none"/>
        </w:rPr>
      </w:pPr>
      <w:bookmarkStart w:id="82" w:name="_Toc306354322"/>
      <w:r>
        <w:rPr>
          <w:rFonts w:hint="eastAsia"/>
          <w:sz w:val="24"/>
          <w:szCs w:val="24"/>
          <w:highlight w:val="none"/>
        </w:rPr>
        <w:t xml:space="preserve"> 健康、安全和环保</w:t>
      </w:r>
      <w:bookmarkEnd w:id="82"/>
    </w:p>
    <w:p>
      <w:pPr>
        <w:numPr>
          <w:ilvl w:val="0"/>
          <w:numId w:val="23"/>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卖方应确保在货物制造过程中使用的材料和制作工艺符合国家标准</w:t>
      </w:r>
      <w:r>
        <w:rPr>
          <w:rFonts w:hint="eastAsia"/>
          <w:sz w:val="24"/>
          <w:highlight w:val="none"/>
        </w:rPr>
        <w:t>，保证货物制造现场符合法律法规的要求</w:t>
      </w:r>
      <w:r>
        <w:rPr>
          <w:sz w:val="24"/>
          <w:highlight w:val="none"/>
        </w:rPr>
        <w:t>。</w:t>
      </w:r>
    </w:p>
    <w:p>
      <w:pPr>
        <w:numPr>
          <w:ilvl w:val="0"/>
          <w:numId w:val="23"/>
        </w:numPr>
        <w:tabs>
          <w:tab w:val="left" w:pos="567"/>
          <w:tab w:val="left" w:pos="709"/>
          <w:tab w:val="left" w:pos="3060"/>
        </w:tabs>
        <w:spacing w:before="72" w:beforeLines="30" w:after="72" w:afterLines="30" w:line="360" w:lineRule="auto"/>
        <w:ind w:left="567" w:hanging="567"/>
        <w:rPr>
          <w:sz w:val="24"/>
          <w:highlight w:val="none"/>
        </w:rPr>
      </w:pPr>
      <w:r>
        <w:rPr>
          <w:sz w:val="24"/>
          <w:highlight w:val="none"/>
        </w:rPr>
        <w:t>卖方向买方提供的货物必须符合</w:t>
      </w:r>
      <w:r>
        <w:rPr>
          <w:rFonts w:hint="eastAsia"/>
          <w:sz w:val="24"/>
          <w:highlight w:val="none"/>
        </w:rPr>
        <w:t>中国</w:t>
      </w:r>
      <w:r>
        <w:rPr>
          <w:sz w:val="24"/>
          <w:highlight w:val="none"/>
        </w:rPr>
        <w:t>有关健康、安全、环保法律法规的规定。对</w:t>
      </w:r>
      <w:r>
        <w:rPr>
          <w:rFonts w:hint="eastAsia"/>
          <w:sz w:val="24"/>
          <w:highlight w:val="none"/>
        </w:rPr>
        <w:t>于</w:t>
      </w:r>
      <w:r>
        <w:rPr>
          <w:sz w:val="24"/>
          <w:highlight w:val="none"/>
        </w:rPr>
        <w:t>根据有关法律法规必须持证生产或经营的</w:t>
      </w:r>
      <w:r>
        <w:rPr>
          <w:rFonts w:hint="eastAsia"/>
          <w:sz w:val="24"/>
          <w:highlight w:val="none"/>
        </w:rPr>
        <w:t>货物</w:t>
      </w:r>
      <w:r>
        <w:rPr>
          <w:sz w:val="24"/>
          <w:highlight w:val="none"/>
        </w:rPr>
        <w:t>，卖方在生产或经营时应持有全套有效的生产许可证或经营许可证。</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bookmarkStart w:id="83" w:name="_Toc306354323"/>
      <w:r>
        <w:rPr>
          <w:rFonts w:hint="eastAsia" w:ascii="Times New Roman" w:hAnsi="Times New Roman"/>
          <w:sz w:val="24"/>
          <w:szCs w:val="24"/>
          <w:highlight w:val="none"/>
        </w:rPr>
        <w:t xml:space="preserve"> 转让</w:t>
      </w:r>
      <w:r>
        <w:rPr>
          <w:rFonts w:hint="eastAsia"/>
          <w:sz w:val="24"/>
          <w:szCs w:val="24"/>
          <w:highlight w:val="none"/>
        </w:rPr>
        <w:t>和分包</w:t>
      </w:r>
      <w:bookmarkEnd w:id="83"/>
    </w:p>
    <w:p>
      <w:pPr>
        <w:widowControl/>
        <w:numPr>
          <w:ilvl w:val="0"/>
          <w:numId w:val="24"/>
        </w:numPr>
        <w:tabs>
          <w:tab w:val="left" w:pos="567"/>
          <w:tab w:val="left" w:pos="709"/>
        </w:tabs>
        <w:spacing w:before="72" w:beforeLines="30" w:after="72" w:afterLines="30" w:line="360" w:lineRule="auto"/>
        <w:ind w:left="567" w:hanging="567"/>
        <w:rPr>
          <w:sz w:val="24"/>
          <w:highlight w:val="none"/>
        </w:rPr>
      </w:pPr>
      <w:r>
        <w:rPr>
          <w:sz w:val="24"/>
          <w:highlight w:val="none"/>
        </w:rPr>
        <w:t>未经买方</w:t>
      </w:r>
      <w:r>
        <w:rPr>
          <w:rFonts w:hint="eastAsia"/>
          <w:sz w:val="24"/>
          <w:highlight w:val="none"/>
        </w:rPr>
        <w:t>事先</w:t>
      </w:r>
      <w:r>
        <w:rPr>
          <w:sz w:val="24"/>
          <w:highlight w:val="none"/>
        </w:rPr>
        <w:t>书面同意，卖方不得</w:t>
      </w:r>
      <w:r>
        <w:rPr>
          <w:rFonts w:hint="eastAsia"/>
          <w:sz w:val="24"/>
          <w:highlight w:val="none"/>
        </w:rPr>
        <w:t>将</w:t>
      </w:r>
      <w:r>
        <w:rPr>
          <w:sz w:val="24"/>
          <w:highlight w:val="none"/>
        </w:rPr>
        <w:t>其</w:t>
      </w:r>
      <w:r>
        <w:rPr>
          <w:rFonts w:hint="eastAsia"/>
          <w:sz w:val="24"/>
          <w:highlight w:val="none"/>
        </w:rPr>
        <w:t>在本</w:t>
      </w:r>
      <w:r>
        <w:rPr>
          <w:sz w:val="24"/>
          <w:highlight w:val="none"/>
        </w:rPr>
        <w:t>合同</w:t>
      </w:r>
      <w:r>
        <w:rPr>
          <w:rFonts w:hint="eastAsia"/>
          <w:sz w:val="24"/>
          <w:highlight w:val="none"/>
        </w:rPr>
        <w:t>项下</w:t>
      </w:r>
      <w:r>
        <w:rPr>
          <w:sz w:val="24"/>
          <w:highlight w:val="none"/>
        </w:rPr>
        <w:t>的</w:t>
      </w:r>
      <w:r>
        <w:rPr>
          <w:rFonts w:hint="eastAsia"/>
          <w:sz w:val="24"/>
          <w:highlight w:val="none"/>
        </w:rPr>
        <w:t>任何权利和</w:t>
      </w:r>
      <w:r>
        <w:rPr>
          <w:sz w:val="24"/>
          <w:highlight w:val="none"/>
        </w:rPr>
        <w:t>义务</w:t>
      </w:r>
      <w:r>
        <w:rPr>
          <w:rFonts w:hint="eastAsia"/>
          <w:sz w:val="24"/>
          <w:highlight w:val="none"/>
        </w:rPr>
        <w:t>全部或部分转让给任何第三方，包括卖方的关联企业</w:t>
      </w:r>
      <w:r>
        <w:rPr>
          <w:sz w:val="24"/>
          <w:highlight w:val="none"/>
        </w:rPr>
        <w:t>。</w:t>
      </w:r>
      <w:r>
        <w:rPr>
          <w:rFonts w:hint="eastAsia"/>
          <w:sz w:val="24"/>
          <w:highlight w:val="none"/>
        </w:rPr>
        <w:t>买方</w:t>
      </w:r>
      <w:r>
        <w:rPr>
          <w:sz w:val="24"/>
          <w:highlight w:val="none"/>
        </w:rPr>
        <w:t>可以</w:t>
      </w:r>
      <w:r>
        <w:rPr>
          <w:rFonts w:hint="eastAsia"/>
          <w:sz w:val="24"/>
          <w:highlight w:val="none"/>
        </w:rPr>
        <w:t>将其在</w:t>
      </w:r>
      <w:r>
        <w:rPr>
          <w:sz w:val="24"/>
          <w:highlight w:val="none"/>
        </w:rPr>
        <w:t>本合同</w:t>
      </w:r>
      <w:r>
        <w:rPr>
          <w:rFonts w:hint="eastAsia"/>
          <w:sz w:val="24"/>
          <w:highlight w:val="none"/>
        </w:rPr>
        <w:t>项下的</w:t>
      </w:r>
      <w:r>
        <w:rPr>
          <w:sz w:val="24"/>
          <w:highlight w:val="none"/>
        </w:rPr>
        <w:t>权利和义务</w:t>
      </w:r>
      <w:r>
        <w:rPr>
          <w:rFonts w:hint="eastAsia"/>
          <w:sz w:val="24"/>
          <w:highlight w:val="none"/>
        </w:rPr>
        <w:t>全部或部分</w:t>
      </w:r>
      <w:r>
        <w:rPr>
          <w:sz w:val="24"/>
          <w:highlight w:val="none"/>
        </w:rPr>
        <w:t>转让给</w:t>
      </w:r>
      <w:r>
        <w:rPr>
          <w:rFonts w:hint="eastAsia"/>
          <w:sz w:val="24"/>
          <w:highlight w:val="none"/>
        </w:rPr>
        <w:t>其关联企业</w:t>
      </w:r>
      <w:r>
        <w:rPr>
          <w:sz w:val="24"/>
          <w:highlight w:val="none"/>
        </w:rPr>
        <w:t>，</w:t>
      </w:r>
      <w:r>
        <w:rPr>
          <w:rFonts w:hint="eastAsia"/>
          <w:sz w:val="24"/>
          <w:highlight w:val="none"/>
        </w:rPr>
        <w:t>且无需</w:t>
      </w:r>
      <w:r>
        <w:rPr>
          <w:sz w:val="24"/>
          <w:highlight w:val="none"/>
        </w:rPr>
        <w:t>事先征得</w:t>
      </w:r>
      <w:r>
        <w:rPr>
          <w:rFonts w:hint="eastAsia"/>
          <w:sz w:val="24"/>
          <w:highlight w:val="none"/>
        </w:rPr>
        <w:t>卖方</w:t>
      </w:r>
      <w:r>
        <w:rPr>
          <w:sz w:val="24"/>
          <w:highlight w:val="none"/>
        </w:rPr>
        <w:t>的同意，但应书面通知</w:t>
      </w:r>
      <w:r>
        <w:rPr>
          <w:rFonts w:hint="eastAsia"/>
          <w:sz w:val="24"/>
          <w:highlight w:val="none"/>
        </w:rPr>
        <w:t>卖方</w:t>
      </w:r>
      <w:r>
        <w:rPr>
          <w:sz w:val="24"/>
          <w:highlight w:val="none"/>
        </w:rPr>
        <w:t>。</w:t>
      </w:r>
    </w:p>
    <w:p>
      <w:pPr>
        <w:widowControl/>
        <w:numPr>
          <w:ilvl w:val="0"/>
          <w:numId w:val="24"/>
        </w:numPr>
        <w:tabs>
          <w:tab w:val="left" w:pos="567"/>
          <w:tab w:val="left" w:pos="709"/>
        </w:tabs>
        <w:spacing w:before="72" w:beforeLines="30" w:after="72" w:afterLines="30" w:line="360" w:lineRule="auto"/>
        <w:ind w:left="567" w:hanging="567"/>
        <w:rPr>
          <w:sz w:val="24"/>
          <w:highlight w:val="none"/>
        </w:rPr>
      </w:pPr>
      <w:r>
        <w:rPr>
          <w:rFonts w:hint="eastAsia"/>
          <w:sz w:val="24"/>
          <w:highlight w:val="none"/>
        </w:rPr>
        <w:t>未经买方事先书面同意，卖方不得将其在本合同项下的任何义务分包给任何第三方，包括卖方的关联企业。</w:t>
      </w:r>
      <w:bookmarkStart w:id="84" w:name="_DV_C867"/>
      <w:r>
        <w:rPr>
          <w:rFonts w:hint="eastAsia"/>
          <w:sz w:val="24"/>
          <w:highlight w:val="none"/>
        </w:rPr>
        <w:t>卖方不得将本合同转包给任何第三方，包括其关联企业。</w:t>
      </w:r>
      <w:bookmarkEnd w:id="84"/>
    </w:p>
    <w:bookmarkEnd w:id="73"/>
    <w:bookmarkEnd w:id="74"/>
    <w:bookmarkEnd w:id="75"/>
    <w:bookmarkEnd w:id="76"/>
    <w:bookmarkEnd w:id="77"/>
    <w:p>
      <w:pPr>
        <w:pStyle w:val="15"/>
        <w:numPr>
          <w:ilvl w:val="0"/>
          <w:numId w:val="4"/>
        </w:numPr>
        <w:tabs>
          <w:tab w:val="left" w:pos="993"/>
        </w:tabs>
        <w:spacing w:before="72" w:beforeLines="30" w:after="72" w:afterLines="30" w:line="360" w:lineRule="auto"/>
        <w:ind w:left="567" w:hanging="567"/>
        <w:jc w:val="left"/>
        <w:rPr>
          <w:rFonts w:hAnsi="宋体"/>
          <w:color w:val="000000"/>
          <w:sz w:val="24"/>
          <w:szCs w:val="24"/>
          <w:highlight w:val="none"/>
        </w:rPr>
      </w:pPr>
      <w:bookmarkStart w:id="85" w:name="_Toc306354324"/>
      <w:r>
        <w:rPr>
          <w:rFonts w:hint="eastAsia" w:hAnsi="宋体"/>
          <w:color w:val="000000"/>
          <w:sz w:val="24"/>
          <w:szCs w:val="24"/>
          <w:highlight w:val="none"/>
        </w:rPr>
        <w:t xml:space="preserve"> 不可抗力</w:t>
      </w:r>
      <w:bookmarkEnd w:id="85"/>
    </w:p>
    <w:p>
      <w:pPr>
        <w:pStyle w:val="9"/>
        <w:widowControl/>
        <w:numPr>
          <w:ilvl w:val="0"/>
          <w:numId w:val="25"/>
        </w:numPr>
        <w:tabs>
          <w:tab w:val="left" w:pos="567"/>
        </w:tabs>
        <w:spacing w:before="72" w:beforeLines="30" w:after="72" w:afterLines="30" w:line="360" w:lineRule="auto"/>
        <w:ind w:left="567" w:hanging="567"/>
        <w:rPr>
          <w:sz w:val="24"/>
          <w:highlight w:val="none"/>
        </w:rPr>
      </w:pPr>
      <w:r>
        <w:rPr>
          <w:rFonts w:hint="eastAsia"/>
          <w:sz w:val="24"/>
          <w:highlight w:val="none"/>
        </w:rPr>
        <w:t>不可抗力系指本合同的履行过程中，任何一方经合理努力仍不可预见、不可避免并不能克服的客观情况。</w:t>
      </w:r>
      <w:r>
        <w:rPr>
          <w:sz w:val="24"/>
          <w:highlight w:val="none"/>
        </w:rPr>
        <w:t>任何一方因不可抗力不能或延迟履行本合同，不承担违约责任。</w:t>
      </w:r>
    </w:p>
    <w:p>
      <w:pPr>
        <w:pStyle w:val="9"/>
        <w:widowControl/>
        <w:numPr>
          <w:ilvl w:val="0"/>
          <w:numId w:val="25"/>
        </w:numPr>
        <w:tabs>
          <w:tab w:val="left" w:pos="567"/>
        </w:tabs>
        <w:spacing w:before="72" w:beforeLines="30" w:after="72" w:afterLines="30" w:line="360" w:lineRule="auto"/>
        <w:ind w:left="567" w:hanging="567"/>
        <w:rPr>
          <w:sz w:val="24"/>
          <w:highlight w:val="none"/>
        </w:rPr>
      </w:pPr>
      <w:r>
        <w:rPr>
          <w:sz w:val="24"/>
          <w:highlight w:val="none"/>
        </w:rPr>
        <w:t>如果一方遭受不可抗力，应立即（不迟于24小时内）通知另一方，并采取一切合理、必要的措施减少损失及不可抗力的影响，恢复合同的履行。</w:t>
      </w:r>
      <w:r>
        <w:rPr>
          <w:rFonts w:hint="eastAsia"/>
          <w:sz w:val="24"/>
          <w:highlight w:val="none"/>
        </w:rPr>
        <w:t>不可抗力结束后</w:t>
      </w:r>
      <w:r>
        <w:rPr>
          <w:sz w:val="24"/>
          <w:highlight w:val="none"/>
        </w:rPr>
        <w:t>48</w:t>
      </w:r>
      <w:r>
        <w:rPr>
          <w:rFonts w:hint="eastAsia"/>
          <w:sz w:val="24"/>
          <w:highlight w:val="none"/>
        </w:rPr>
        <w:t>小时内，遭受不可抗力的一方应向另一方通报不可抗力的情况，包括不可抗力造成的损害、延续时间、合同设备受影响的范围、补救措施等，如不可抗力持续发生，遭受不可抗力的一方应及时更新该等信息。</w:t>
      </w:r>
    </w:p>
    <w:p>
      <w:pPr>
        <w:pStyle w:val="9"/>
        <w:widowControl/>
        <w:numPr>
          <w:ilvl w:val="0"/>
          <w:numId w:val="25"/>
        </w:numPr>
        <w:tabs>
          <w:tab w:val="left" w:pos="567"/>
        </w:tabs>
        <w:spacing w:before="72" w:beforeLines="30" w:after="72" w:afterLines="30" w:line="360" w:lineRule="auto"/>
        <w:ind w:left="567" w:hanging="567"/>
        <w:rPr>
          <w:sz w:val="24"/>
          <w:highlight w:val="none"/>
        </w:rPr>
      </w:pPr>
      <w:r>
        <w:rPr>
          <w:rFonts w:hint="eastAsia"/>
          <w:sz w:val="24"/>
          <w:highlight w:val="none"/>
        </w:rPr>
        <w:t>如发生不可抗力，双方各自承担其人员和财产损失。一旦不可抗力停止或者影响消除，双方应立即履行其义务，合同的期限应该相应顺延。如果不可抗力的影响持续超过【</w:t>
      </w:r>
      <w:r>
        <w:rPr>
          <w:rFonts w:hint="eastAsia"/>
          <w:i/>
          <w:sz w:val="24"/>
          <w:highlight w:val="none"/>
        </w:rPr>
        <w:t>填入天数</w:t>
      </w:r>
      <w:r>
        <w:rPr>
          <w:rFonts w:hint="eastAsia"/>
          <w:sz w:val="24"/>
          <w:highlight w:val="none"/>
        </w:rPr>
        <w:t>】日，双方应该共同商议应对措施。</w:t>
      </w:r>
    </w:p>
    <w:p>
      <w:pPr>
        <w:pStyle w:val="9"/>
        <w:widowControl/>
        <w:numPr>
          <w:ilvl w:val="0"/>
          <w:numId w:val="25"/>
        </w:numPr>
        <w:tabs>
          <w:tab w:val="left" w:pos="567"/>
        </w:tabs>
        <w:spacing w:before="72" w:beforeLines="30" w:after="72" w:afterLines="30" w:line="360" w:lineRule="auto"/>
        <w:ind w:left="567" w:hanging="567"/>
        <w:rPr>
          <w:sz w:val="24"/>
          <w:highlight w:val="none"/>
        </w:rPr>
      </w:pPr>
      <w:r>
        <w:rPr>
          <w:rFonts w:hint="eastAsia"/>
          <w:sz w:val="24"/>
          <w:highlight w:val="none"/>
        </w:rPr>
        <w:t>任何一方迟延履行合同后遭受不可抗力的，不得减少、免除该方在本合同项下的任何义务和责任。</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bookmarkStart w:id="86" w:name="_Toc298158360"/>
      <w:bookmarkStart w:id="87" w:name="_Toc306354326"/>
      <w:r>
        <w:rPr>
          <w:rFonts w:hint="eastAsia"/>
          <w:sz w:val="24"/>
          <w:szCs w:val="24"/>
          <w:highlight w:val="none"/>
        </w:rPr>
        <w:t xml:space="preserve"> 保密</w:t>
      </w:r>
      <w:bookmarkEnd w:id="86"/>
      <w:bookmarkEnd w:id="87"/>
    </w:p>
    <w:p>
      <w:pPr>
        <w:numPr>
          <w:ilvl w:val="0"/>
          <w:numId w:val="26"/>
        </w:numPr>
        <w:tabs>
          <w:tab w:val="left" w:pos="567"/>
          <w:tab w:val="left" w:pos="709"/>
        </w:tabs>
        <w:spacing w:before="72" w:beforeLines="30" w:after="72" w:afterLines="30" w:line="360" w:lineRule="auto"/>
        <w:ind w:left="567" w:hanging="567"/>
        <w:rPr>
          <w:sz w:val="24"/>
          <w:highlight w:val="none"/>
        </w:rPr>
      </w:pPr>
      <w:r>
        <w:rPr>
          <w:sz w:val="24"/>
          <w:highlight w:val="none"/>
        </w:rPr>
        <w:t>除非法律法规、政府机关另行强制要求，未经</w:t>
      </w:r>
      <w:r>
        <w:rPr>
          <w:rFonts w:hint="eastAsia"/>
          <w:sz w:val="24"/>
          <w:highlight w:val="none"/>
        </w:rPr>
        <w:t>买方</w:t>
      </w:r>
      <w:r>
        <w:rPr>
          <w:sz w:val="24"/>
          <w:highlight w:val="none"/>
        </w:rPr>
        <w:t>同意，</w:t>
      </w:r>
      <w:r>
        <w:rPr>
          <w:rFonts w:hint="eastAsia"/>
          <w:sz w:val="24"/>
          <w:highlight w:val="none"/>
        </w:rPr>
        <w:t>卖方</w:t>
      </w:r>
      <w:r>
        <w:rPr>
          <w:sz w:val="24"/>
          <w:highlight w:val="none"/>
        </w:rPr>
        <w:t>不得将</w:t>
      </w:r>
      <w:r>
        <w:rPr>
          <w:rFonts w:hint="eastAsia"/>
          <w:sz w:val="24"/>
          <w:highlight w:val="none"/>
        </w:rPr>
        <w:t>买</w:t>
      </w:r>
      <w:r>
        <w:rPr>
          <w:sz w:val="24"/>
          <w:highlight w:val="none"/>
        </w:rPr>
        <w:t>方保密信息披露给任何第三方（包括与合同无关的</w:t>
      </w:r>
      <w:r>
        <w:rPr>
          <w:rFonts w:hint="eastAsia"/>
          <w:sz w:val="24"/>
          <w:highlight w:val="none"/>
        </w:rPr>
        <w:t>卖</w:t>
      </w:r>
      <w:r>
        <w:rPr>
          <w:sz w:val="24"/>
          <w:highlight w:val="none"/>
        </w:rPr>
        <w:t>方员工和政府部门），亦不得将该等信息用于与本合同无关的用途。保密信息包括但不限于：合同内容；</w:t>
      </w:r>
      <w:r>
        <w:rPr>
          <w:rFonts w:hint="eastAsia"/>
          <w:sz w:val="24"/>
          <w:highlight w:val="none"/>
        </w:rPr>
        <w:t>买方提供的</w:t>
      </w:r>
      <w:r>
        <w:rPr>
          <w:sz w:val="24"/>
          <w:highlight w:val="none"/>
        </w:rPr>
        <w:t>与本合同有关的任何技术信息、图纸、样本、资料等；</w:t>
      </w:r>
      <w:r>
        <w:rPr>
          <w:rFonts w:hint="eastAsia"/>
          <w:sz w:val="24"/>
          <w:highlight w:val="none"/>
        </w:rPr>
        <w:t>买方</w:t>
      </w:r>
      <w:r>
        <w:rPr>
          <w:sz w:val="24"/>
          <w:highlight w:val="none"/>
        </w:rPr>
        <w:t>提供的或</w:t>
      </w:r>
      <w:r>
        <w:rPr>
          <w:rFonts w:hint="eastAsia"/>
          <w:sz w:val="24"/>
          <w:highlight w:val="none"/>
        </w:rPr>
        <w:t>卖方</w:t>
      </w:r>
      <w:r>
        <w:rPr>
          <w:sz w:val="24"/>
          <w:highlight w:val="none"/>
        </w:rPr>
        <w:t>获得的与项目或买方有关的任何技术和商务信息。</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bookmarkStart w:id="88" w:name="_Toc306354328"/>
      <w:r>
        <w:rPr>
          <w:rFonts w:hint="eastAsia"/>
          <w:sz w:val="24"/>
          <w:szCs w:val="24"/>
          <w:highlight w:val="none"/>
        </w:rPr>
        <w:t xml:space="preserve"> 审计、禁止商业贿赂和反腐败</w:t>
      </w:r>
    </w:p>
    <w:p>
      <w:pPr>
        <w:pStyle w:val="32"/>
        <w:numPr>
          <w:ilvl w:val="0"/>
          <w:numId w:val="27"/>
        </w:numPr>
        <w:adjustRightInd w:val="0"/>
        <w:snapToGrid w:val="0"/>
        <w:spacing w:before="72" w:beforeLines="30" w:after="72" w:afterLines="30"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kern w:val="0"/>
          <w:sz w:val="24"/>
          <w:highlight w:val="none"/>
        </w:rPr>
        <w:t>卖方应根据买方要求，接受和配合买方或买方委</w:t>
      </w:r>
      <w:r>
        <w:rPr>
          <w:rFonts w:hint="eastAsia" w:asciiTheme="minorEastAsia" w:hAnsiTheme="minorEastAsia" w:eastAsiaTheme="minorEastAsia"/>
          <w:sz w:val="24"/>
          <w:highlight w:val="none"/>
        </w:rPr>
        <w:t>托的会计师事务所进行的与本合同相关的审计。</w:t>
      </w:r>
    </w:p>
    <w:p>
      <w:pPr>
        <w:pStyle w:val="32"/>
        <w:numPr>
          <w:ilvl w:val="0"/>
          <w:numId w:val="27"/>
        </w:numPr>
        <w:adjustRightInd w:val="0"/>
        <w:snapToGrid w:val="0"/>
        <w:spacing w:before="72" w:beforeLines="30" w:after="72" w:afterLines="30"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kern w:val="0"/>
          <w:sz w:val="24"/>
          <w:highlight w:val="none"/>
        </w:rPr>
        <w:t>卖方应保存与本合同相关的记录和账目，保存期限为本合同终止后【</w:t>
      </w:r>
      <w:r>
        <w:rPr>
          <w:rFonts w:hint="eastAsia" w:asciiTheme="minorEastAsia" w:hAnsiTheme="minorEastAsia" w:eastAsiaTheme="minorEastAsia"/>
          <w:i/>
          <w:kern w:val="0"/>
          <w:sz w:val="24"/>
          <w:highlight w:val="none"/>
        </w:rPr>
        <w:t>填入年数，如十（</w:t>
      </w:r>
      <w:r>
        <w:rPr>
          <w:rFonts w:asciiTheme="minorEastAsia" w:hAnsiTheme="minorEastAsia" w:eastAsiaTheme="minorEastAsia"/>
          <w:i/>
          <w:kern w:val="0"/>
          <w:sz w:val="24"/>
          <w:highlight w:val="none"/>
        </w:rPr>
        <w:t>10</w:t>
      </w:r>
      <w:r>
        <w:rPr>
          <w:rFonts w:hint="eastAsia" w:asciiTheme="minorEastAsia" w:hAnsiTheme="minorEastAsia" w:eastAsiaTheme="minorEastAsia"/>
          <w:i/>
          <w:kern w:val="0"/>
          <w:sz w:val="24"/>
          <w:highlight w:val="none"/>
        </w:rPr>
        <w:t>）</w:t>
      </w:r>
      <w:r>
        <w:rPr>
          <w:rFonts w:hint="eastAsia" w:asciiTheme="minorEastAsia" w:hAnsiTheme="minorEastAsia" w:eastAsiaTheme="minorEastAsia"/>
          <w:kern w:val="0"/>
          <w:sz w:val="24"/>
          <w:highlight w:val="none"/>
        </w:rPr>
        <w:t>】年或遵从所在国相关规定。经提前通知，买方或买方委托的会计师事务所有权检查并复制该等记录和账目。</w:t>
      </w:r>
    </w:p>
    <w:p>
      <w:pPr>
        <w:pStyle w:val="32"/>
        <w:numPr>
          <w:ilvl w:val="0"/>
          <w:numId w:val="27"/>
        </w:numPr>
        <w:spacing w:line="360" w:lineRule="auto"/>
        <w:ind w:left="567" w:hanging="567" w:firstLineChars="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双方确认并承诺，双方熟悉并了解合同签订地和履行地关于禁止商业贿赂和反腐败的法律、法规及商业政策，双方承诺双方的高级职员、员工、授权代表或者代理商将会严格遵守前述禁止商业贿赂和反腐败的法律、法规及商业政策。卖方应在其分包合同（如有）中要求分包商遵守相同的禁止商业贿赂及反腐败要求。违反禁止商业贿赂和反腐败法律、法规及商业政策的一方将承担相应的法律责任及所有不利后果，且守约方有权因此随时终止本合同。</w:t>
      </w:r>
    </w:p>
    <w:p>
      <w:pPr>
        <w:pStyle w:val="15"/>
        <w:numPr>
          <w:ilvl w:val="0"/>
          <w:numId w:val="4"/>
        </w:numPr>
        <w:tabs>
          <w:tab w:val="left" w:pos="993"/>
        </w:tabs>
        <w:spacing w:before="72" w:beforeLines="30" w:after="72" w:afterLines="30" w:line="360" w:lineRule="auto"/>
        <w:ind w:left="567" w:hanging="567"/>
        <w:jc w:val="left"/>
        <w:rPr>
          <w:sz w:val="24"/>
          <w:szCs w:val="24"/>
          <w:highlight w:val="none"/>
        </w:rPr>
      </w:pPr>
      <w:r>
        <w:rPr>
          <w:rFonts w:hint="eastAsia"/>
          <w:sz w:val="24"/>
          <w:szCs w:val="24"/>
          <w:highlight w:val="none"/>
        </w:rPr>
        <w:t xml:space="preserve"> 通知</w:t>
      </w:r>
      <w:bookmarkEnd w:id="88"/>
    </w:p>
    <w:p>
      <w:pPr>
        <w:widowControl/>
        <w:numPr>
          <w:ilvl w:val="0"/>
          <w:numId w:val="28"/>
        </w:numPr>
        <w:tabs>
          <w:tab w:val="left" w:pos="567"/>
          <w:tab w:val="left" w:pos="709"/>
        </w:tabs>
        <w:autoSpaceDE w:val="0"/>
        <w:autoSpaceDN w:val="0"/>
        <w:spacing w:before="72" w:beforeLines="30" w:after="72" w:afterLines="30" w:line="360" w:lineRule="auto"/>
        <w:ind w:left="567" w:hanging="567"/>
        <w:jc w:val="left"/>
        <w:textAlignment w:val="bottom"/>
        <w:rPr>
          <w:sz w:val="24"/>
          <w:highlight w:val="none"/>
        </w:rPr>
      </w:pPr>
      <w:r>
        <w:rPr>
          <w:rFonts w:hint="eastAsia"/>
          <w:sz w:val="24"/>
          <w:highlight w:val="none"/>
        </w:rPr>
        <w:t>通知应根据本合同规定以亲自递送、特快专递、传真等方式送达。</w:t>
      </w:r>
      <w:r>
        <w:rPr>
          <w:sz w:val="24"/>
          <w:highlight w:val="none"/>
        </w:rPr>
        <w:t>通知在下列情况视为</w:t>
      </w:r>
      <w:r>
        <w:rPr>
          <w:rFonts w:hint="eastAsia"/>
          <w:sz w:val="24"/>
          <w:highlight w:val="none"/>
        </w:rPr>
        <w:t>送达</w:t>
      </w:r>
      <w:r>
        <w:rPr>
          <w:sz w:val="24"/>
          <w:highlight w:val="none"/>
        </w:rPr>
        <w:t>：</w:t>
      </w:r>
    </w:p>
    <w:p>
      <w:pPr>
        <w:widowControl/>
        <w:numPr>
          <w:ilvl w:val="1"/>
          <w:numId w:val="29"/>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w:t>
      </w:r>
      <w:r>
        <w:rPr>
          <w:sz w:val="24"/>
          <w:highlight w:val="none"/>
        </w:rPr>
        <w:t>亲自递送方式，于</w:t>
      </w:r>
      <w:r>
        <w:rPr>
          <w:rFonts w:hint="eastAsia"/>
          <w:sz w:val="24"/>
          <w:highlight w:val="none"/>
        </w:rPr>
        <w:t>签收确认</w:t>
      </w:r>
      <w:r>
        <w:rPr>
          <w:sz w:val="24"/>
          <w:highlight w:val="none"/>
        </w:rPr>
        <w:t>之时；</w:t>
      </w:r>
    </w:p>
    <w:p>
      <w:pPr>
        <w:widowControl/>
        <w:numPr>
          <w:ilvl w:val="1"/>
          <w:numId w:val="29"/>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用特快专递</w:t>
      </w:r>
      <w:r>
        <w:rPr>
          <w:sz w:val="24"/>
          <w:highlight w:val="none"/>
        </w:rPr>
        <w:t>方式，于</w:t>
      </w:r>
      <w:r>
        <w:rPr>
          <w:rFonts w:hint="eastAsia"/>
          <w:sz w:val="24"/>
          <w:highlight w:val="none"/>
        </w:rPr>
        <w:t>收件人签收</w:t>
      </w:r>
      <w:r>
        <w:rPr>
          <w:sz w:val="24"/>
          <w:highlight w:val="none"/>
        </w:rPr>
        <w:t>之时</w:t>
      </w:r>
      <w:r>
        <w:rPr>
          <w:rFonts w:hint="eastAsia"/>
          <w:sz w:val="24"/>
          <w:highlight w:val="none"/>
        </w:rPr>
        <w:t>；</w:t>
      </w:r>
    </w:p>
    <w:p>
      <w:pPr>
        <w:widowControl/>
        <w:numPr>
          <w:ilvl w:val="1"/>
          <w:numId w:val="29"/>
        </w:numPr>
        <w:tabs>
          <w:tab w:val="left" w:pos="567"/>
          <w:tab w:val="left" w:pos="993"/>
        </w:tabs>
        <w:spacing w:before="72" w:beforeLines="30" w:after="72" w:afterLines="30" w:line="360" w:lineRule="auto"/>
        <w:ind w:left="567" w:firstLine="0"/>
        <w:jc w:val="left"/>
        <w:rPr>
          <w:sz w:val="24"/>
          <w:highlight w:val="none"/>
        </w:rPr>
      </w:pPr>
      <w:r>
        <w:rPr>
          <w:sz w:val="24"/>
          <w:highlight w:val="none"/>
        </w:rPr>
        <w:t>如采</w:t>
      </w:r>
      <w:r>
        <w:rPr>
          <w:rFonts w:hint="eastAsia"/>
          <w:sz w:val="24"/>
          <w:highlight w:val="none"/>
        </w:rPr>
        <w:t>用</w:t>
      </w:r>
      <w:r>
        <w:rPr>
          <w:sz w:val="24"/>
          <w:highlight w:val="none"/>
        </w:rPr>
        <w:t>传真方式，于确认传输之时</w:t>
      </w:r>
      <w:r>
        <w:rPr>
          <w:rFonts w:hint="eastAsia"/>
          <w:sz w:val="24"/>
          <w:highlight w:val="none"/>
        </w:rPr>
        <w:t>。</w:t>
      </w:r>
    </w:p>
    <w:p>
      <w:pPr>
        <w:widowControl/>
        <w:numPr>
          <w:ilvl w:val="0"/>
          <w:numId w:val="28"/>
        </w:numPr>
        <w:tabs>
          <w:tab w:val="left" w:pos="567"/>
          <w:tab w:val="left" w:pos="709"/>
        </w:tabs>
        <w:autoSpaceDE w:val="0"/>
        <w:autoSpaceDN w:val="0"/>
        <w:spacing w:before="72" w:beforeLines="30" w:after="72" w:afterLines="30" w:line="360" w:lineRule="auto"/>
        <w:ind w:left="567" w:hanging="567"/>
        <w:jc w:val="left"/>
        <w:textAlignment w:val="bottom"/>
        <w:rPr>
          <w:sz w:val="24"/>
          <w:highlight w:val="none"/>
        </w:rPr>
      </w:pPr>
      <w:r>
        <w:rPr>
          <w:rFonts w:ascii="宋体" w:hAnsi="宋体"/>
          <w:sz w:val="24"/>
          <w:highlight w:val="none"/>
        </w:rPr>
        <w:t>除非一方另行</w:t>
      </w:r>
      <w:r>
        <w:rPr>
          <w:rFonts w:hint="eastAsia" w:ascii="宋体" w:hAnsi="宋体"/>
          <w:sz w:val="24"/>
          <w:highlight w:val="none"/>
        </w:rPr>
        <w:t>明确</w:t>
      </w:r>
      <w:r>
        <w:rPr>
          <w:rFonts w:ascii="宋体" w:hAnsi="宋体"/>
          <w:sz w:val="24"/>
          <w:highlight w:val="none"/>
        </w:rPr>
        <w:t>要求，双方可通过互联网电子邮件进行通讯联系或传送文件。因不能合理控制的原因导致任何互联网电子邮件遗失、延误、被截取、破坏或修改的，</w:t>
      </w:r>
      <w:r>
        <w:rPr>
          <w:rFonts w:hint="eastAsia" w:ascii="宋体" w:hAnsi="宋体"/>
          <w:sz w:val="24"/>
          <w:highlight w:val="none"/>
        </w:rPr>
        <w:t>通知发出方不承担</w:t>
      </w:r>
      <w:r>
        <w:rPr>
          <w:rFonts w:ascii="宋体" w:hAnsi="宋体"/>
          <w:sz w:val="24"/>
          <w:highlight w:val="none"/>
        </w:rPr>
        <w:t>因此造成的任何损失、损害、费用、伤害或不便。</w:t>
      </w:r>
    </w:p>
    <w:p>
      <w:pPr>
        <w:numPr>
          <w:ilvl w:val="0"/>
          <w:numId w:val="28"/>
        </w:numPr>
        <w:adjustRightInd w:val="0"/>
        <w:snapToGrid w:val="0"/>
        <w:spacing w:line="360" w:lineRule="auto"/>
        <w:ind w:left="567" w:hanging="567"/>
        <w:jc w:val="left"/>
        <w:textAlignment w:val="baseline"/>
        <w:outlineLvl w:val="3"/>
        <w:rPr>
          <w:sz w:val="24"/>
          <w:highlight w:val="none"/>
        </w:rPr>
      </w:pPr>
      <w:r>
        <w:rPr>
          <w:rFonts w:hint="eastAsia" w:hAnsi="宋体"/>
          <w:bCs/>
          <w:kern w:val="0"/>
          <w:sz w:val="24"/>
          <w:highlight w:val="none"/>
        </w:rPr>
        <w:t>本合同送达地址适用范围包括就本合同发生争议时相关文件和法律文书的 送达（包括在争议进入仲裁、民事诉讼程序后的一审、二审、再审和执行程序）。</w:t>
      </w:r>
    </w:p>
    <w:p>
      <w:pPr>
        <w:pStyle w:val="15"/>
        <w:numPr>
          <w:ilvl w:val="0"/>
          <w:numId w:val="4"/>
        </w:numPr>
        <w:tabs>
          <w:tab w:val="left" w:pos="567"/>
        </w:tabs>
        <w:spacing w:before="72" w:beforeLines="30" w:after="72" w:afterLines="30" w:line="360" w:lineRule="auto"/>
        <w:ind w:left="567" w:hanging="567"/>
        <w:jc w:val="left"/>
        <w:rPr>
          <w:sz w:val="24"/>
          <w:szCs w:val="24"/>
          <w:highlight w:val="none"/>
        </w:rPr>
      </w:pPr>
      <w:bookmarkStart w:id="89" w:name="_Toc306354329"/>
      <w:r>
        <w:rPr>
          <w:sz w:val="24"/>
          <w:szCs w:val="24"/>
          <w:highlight w:val="none"/>
        </w:rPr>
        <w:t>法律适用</w:t>
      </w:r>
      <w:r>
        <w:rPr>
          <w:rFonts w:hint="eastAsia"/>
          <w:sz w:val="24"/>
          <w:szCs w:val="24"/>
          <w:highlight w:val="none"/>
        </w:rPr>
        <w:t>和</w:t>
      </w:r>
      <w:r>
        <w:rPr>
          <w:sz w:val="24"/>
          <w:szCs w:val="24"/>
          <w:highlight w:val="none"/>
        </w:rPr>
        <w:t>争议解决</w:t>
      </w:r>
      <w:bookmarkEnd w:id="89"/>
    </w:p>
    <w:p>
      <w:pPr>
        <w:numPr>
          <w:ilvl w:val="1"/>
          <w:numId w:val="30"/>
        </w:numPr>
        <w:tabs>
          <w:tab w:val="left" w:pos="567"/>
        </w:tabs>
        <w:spacing w:before="72" w:beforeLines="30" w:after="72" w:afterLines="30" w:line="360" w:lineRule="auto"/>
        <w:ind w:left="567" w:hanging="567"/>
        <w:rPr>
          <w:rFonts w:ascii="宋体" w:hAnsi="宋体"/>
          <w:sz w:val="24"/>
          <w:highlight w:val="none"/>
        </w:rPr>
      </w:pPr>
      <w:bookmarkStart w:id="90" w:name="_Toc296959346"/>
      <w:bookmarkStart w:id="91" w:name="_Toc296955884"/>
      <w:r>
        <w:rPr>
          <w:rFonts w:hint="eastAsia" w:ascii="宋体" w:hAnsi="宋体"/>
          <w:sz w:val="24"/>
          <w:highlight w:val="none"/>
        </w:rPr>
        <w:t>本合同适用中华人民共和国（不含香港特别行政区、澳门特别行政区和台湾地区）法律。</w:t>
      </w:r>
    </w:p>
    <w:p>
      <w:pPr>
        <w:numPr>
          <w:ilvl w:val="1"/>
          <w:numId w:val="30"/>
        </w:numPr>
        <w:tabs>
          <w:tab w:val="left" w:pos="567"/>
        </w:tabs>
        <w:spacing w:before="72" w:beforeLines="30" w:after="72" w:afterLines="30" w:line="360" w:lineRule="auto"/>
        <w:ind w:left="567" w:hanging="567"/>
        <w:rPr>
          <w:rFonts w:ascii="宋体" w:hAnsi="宋体"/>
          <w:sz w:val="24"/>
          <w:highlight w:val="none"/>
        </w:rPr>
      </w:pPr>
      <w:r>
        <w:rPr>
          <w:rFonts w:ascii="宋体" w:hAnsi="宋体"/>
          <w:sz w:val="24"/>
          <w:highlight w:val="none"/>
        </w:rPr>
        <w:t>因履行</w:t>
      </w:r>
      <w:r>
        <w:rPr>
          <w:rFonts w:hint="eastAsia" w:ascii="宋体" w:hAnsi="宋体"/>
          <w:sz w:val="24"/>
          <w:highlight w:val="none"/>
        </w:rPr>
        <w:t>本</w:t>
      </w:r>
      <w:r>
        <w:rPr>
          <w:rFonts w:ascii="宋体" w:hAnsi="宋体"/>
          <w:sz w:val="24"/>
          <w:highlight w:val="none"/>
        </w:rPr>
        <w:t>合同发生的或与本合同有关的一切争议，双方</w:t>
      </w:r>
      <w:r>
        <w:rPr>
          <w:rFonts w:hint="eastAsia" w:ascii="宋体" w:hAnsi="宋体"/>
          <w:sz w:val="24"/>
          <w:highlight w:val="none"/>
        </w:rPr>
        <w:t>首先应</w:t>
      </w:r>
      <w:r>
        <w:rPr>
          <w:rFonts w:ascii="宋体" w:hAnsi="宋体"/>
          <w:sz w:val="24"/>
          <w:highlight w:val="none"/>
        </w:rPr>
        <w:t>友好协商解决，</w:t>
      </w:r>
      <w:r>
        <w:rPr>
          <w:rFonts w:hint="eastAsia" w:ascii="宋体" w:hAnsi="宋体"/>
          <w:sz w:val="24"/>
          <w:highlight w:val="none"/>
        </w:rPr>
        <w:t>如</w:t>
      </w:r>
      <w:r>
        <w:rPr>
          <w:rFonts w:ascii="宋体" w:hAnsi="宋体"/>
          <w:sz w:val="24"/>
          <w:highlight w:val="none"/>
        </w:rPr>
        <w:t>经协商</w:t>
      </w:r>
      <w:r>
        <w:rPr>
          <w:rFonts w:hint="eastAsia" w:ascii="宋体" w:hAnsi="宋体"/>
          <w:sz w:val="24"/>
          <w:highlight w:val="none"/>
        </w:rPr>
        <w:t>【</w:t>
      </w:r>
      <w:r>
        <w:rPr>
          <w:rFonts w:hint="eastAsia" w:ascii="宋体" w:hAnsi="宋体"/>
          <w:i/>
          <w:sz w:val="24"/>
          <w:highlight w:val="none"/>
        </w:rPr>
        <w:t>填入天数，如</w:t>
      </w:r>
      <w:r>
        <w:rPr>
          <w:rFonts w:hAnsi="宋体"/>
          <w:i/>
          <w:sz w:val="24"/>
          <w:highlight w:val="none"/>
        </w:rPr>
        <w:t>六十（</w:t>
      </w:r>
      <w:r>
        <w:rPr>
          <w:i/>
          <w:sz w:val="24"/>
          <w:highlight w:val="none"/>
        </w:rPr>
        <w:t>60</w:t>
      </w:r>
      <w:r>
        <w:rPr>
          <w:rFonts w:hAnsi="宋体"/>
          <w:i/>
          <w:sz w:val="24"/>
          <w:highlight w:val="none"/>
        </w:rPr>
        <w:t>）</w:t>
      </w:r>
      <w:r>
        <w:rPr>
          <w:rFonts w:hint="eastAsia" w:ascii="宋体" w:hAnsi="宋体"/>
          <w:sz w:val="24"/>
          <w:highlight w:val="none"/>
        </w:rPr>
        <w:t>】日内</w:t>
      </w:r>
      <w:r>
        <w:rPr>
          <w:rFonts w:ascii="宋体" w:hAnsi="宋体"/>
          <w:sz w:val="24"/>
          <w:highlight w:val="none"/>
        </w:rPr>
        <w:t>仍不能解决</w:t>
      </w:r>
      <w:r>
        <w:rPr>
          <w:rFonts w:hint="eastAsia" w:ascii="宋体" w:hAnsi="宋体"/>
          <w:sz w:val="24"/>
          <w:highlight w:val="none"/>
        </w:rPr>
        <w:t>，</w:t>
      </w:r>
      <w:r>
        <w:rPr>
          <w:rFonts w:ascii="宋体" w:hAnsi="宋体"/>
          <w:sz w:val="24"/>
          <w:highlight w:val="none"/>
        </w:rPr>
        <w:t>双方同意：</w:t>
      </w:r>
    </w:p>
    <w:p>
      <w:pPr>
        <w:spacing w:before="72" w:beforeLines="30" w:after="72" w:afterLines="30" w:line="360" w:lineRule="auto"/>
        <w:ind w:left="567"/>
        <w:rPr>
          <w:bCs/>
          <w:i/>
          <w:kern w:val="0"/>
          <w:sz w:val="24"/>
          <w:highlight w:val="none"/>
          <w:u w:val="single"/>
        </w:rPr>
      </w:pPr>
      <w:r>
        <w:rPr>
          <w:rFonts w:hint="eastAsia"/>
          <w:bCs/>
          <w:i/>
          <w:kern w:val="0"/>
          <w:sz w:val="24"/>
          <w:highlight w:val="none"/>
          <w:u w:val="single"/>
        </w:rPr>
        <w:t>请根据实际情况从下列选项中选择其中一项，并将不适用的删除</w:t>
      </w:r>
    </w:p>
    <w:p>
      <w:pPr>
        <w:spacing w:before="72" w:beforeLines="30" w:after="72" w:afterLines="30" w:line="360" w:lineRule="auto"/>
        <w:ind w:left="567"/>
        <w:rPr>
          <w:rFonts w:ascii="宋体" w:hAnsi="宋体"/>
          <w:i/>
          <w:sz w:val="24"/>
          <w:highlight w:val="none"/>
          <w:u w:val="single"/>
        </w:rPr>
      </w:pPr>
      <w:r>
        <w:rPr>
          <w:rFonts w:hint="eastAsia" w:ascii="宋体" w:hAnsi="宋体"/>
          <w:i/>
          <w:sz w:val="24"/>
          <w:highlight w:val="none"/>
          <w:u w:val="single"/>
        </w:rPr>
        <w:t>选项一:诉讼</w:t>
      </w:r>
    </w:p>
    <w:p>
      <w:pPr>
        <w:spacing w:before="72" w:beforeLines="30" w:after="72" w:afterLines="30" w:line="360" w:lineRule="auto"/>
        <w:ind w:left="567"/>
        <w:rPr>
          <w:rFonts w:ascii="宋体" w:hAnsi="宋体"/>
          <w:sz w:val="24"/>
          <w:highlight w:val="none"/>
        </w:rPr>
      </w:pPr>
      <w:r>
        <w:rPr>
          <w:rFonts w:ascii="宋体" w:hAnsi="宋体"/>
          <w:sz w:val="24"/>
          <w:highlight w:val="none"/>
        </w:rPr>
        <w:t>向买方所在地人民法院起诉。</w:t>
      </w:r>
    </w:p>
    <w:p>
      <w:pPr>
        <w:spacing w:before="72" w:beforeLines="30" w:after="72" w:afterLines="30" w:line="360" w:lineRule="auto"/>
        <w:ind w:left="567"/>
        <w:rPr>
          <w:rFonts w:ascii="宋体" w:hAnsi="宋体"/>
          <w:i/>
          <w:sz w:val="24"/>
          <w:highlight w:val="none"/>
          <w:u w:val="single"/>
        </w:rPr>
      </w:pPr>
      <w:r>
        <w:rPr>
          <w:rFonts w:hint="eastAsia" w:ascii="宋体" w:hAnsi="宋体"/>
          <w:i/>
          <w:sz w:val="24"/>
          <w:highlight w:val="none"/>
          <w:u w:val="single"/>
        </w:rPr>
        <w:t>选项二：仲裁</w:t>
      </w:r>
    </w:p>
    <w:p>
      <w:pPr>
        <w:spacing w:before="72" w:beforeLines="30" w:after="72" w:afterLines="30" w:line="360" w:lineRule="auto"/>
        <w:ind w:left="567"/>
        <w:rPr>
          <w:sz w:val="24"/>
          <w:highlight w:val="none"/>
        </w:rPr>
      </w:pPr>
      <w:r>
        <w:rPr>
          <w:rFonts w:ascii="宋体" w:hAnsi="宋体"/>
          <w:sz w:val="24"/>
          <w:highlight w:val="none"/>
        </w:rPr>
        <w:t>提交</w:t>
      </w:r>
      <w:r>
        <w:rPr>
          <w:rFonts w:hint="eastAsia" w:ascii="宋体" w:hAnsi="宋体"/>
          <w:sz w:val="24"/>
          <w:highlight w:val="none"/>
        </w:rPr>
        <w:t>【□中国国际经济贸易仲裁委员会；□北京仲裁委员会；□天津仲裁委员会】</w:t>
      </w:r>
      <w:r>
        <w:rPr>
          <w:rFonts w:ascii="宋体" w:hAnsi="宋体"/>
          <w:sz w:val="24"/>
          <w:highlight w:val="none"/>
        </w:rPr>
        <w:t>进行仲裁。</w:t>
      </w:r>
      <w:r>
        <w:rPr>
          <w:rFonts w:hint="eastAsia"/>
          <w:bCs/>
          <w:sz w:val="24"/>
          <w:highlight w:val="none"/>
        </w:rPr>
        <w:t>仲裁应根据申请仲裁时该仲裁委员会现行有效的仲裁规则进行。仲裁员人数为【</w:t>
      </w:r>
      <w:r>
        <w:rPr>
          <w:rFonts w:hint="eastAsia"/>
          <w:bCs/>
          <w:i/>
          <w:sz w:val="24"/>
          <w:highlight w:val="none"/>
        </w:rPr>
        <w:t>请根据选择的仲裁机构现行有效的规定填写，简单合同可选择独任仲裁员</w:t>
      </w:r>
      <w:r>
        <w:rPr>
          <w:rFonts w:hint="eastAsia"/>
          <w:bCs/>
          <w:sz w:val="24"/>
          <w:highlight w:val="none"/>
        </w:rPr>
        <w:t>】名。庭审地为【</w:t>
      </w:r>
      <w:r>
        <w:rPr>
          <w:rFonts w:hint="eastAsia"/>
          <w:bCs/>
          <w:i/>
          <w:sz w:val="24"/>
          <w:highlight w:val="none"/>
        </w:rPr>
        <w:t>根据委托方所在地，从委托方便利的角度填入庭审地</w:t>
      </w:r>
      <w:r>
        <w:rPr>
          <w:rFonts w:hint="eastAsia"/>
          <w:bCs/>
          <w:sz w:val="24"/>
          <w:highlight w:val="none"/>
        </w:rPr>
        <w:t>】。仲裁裁决是终局的，对双方均有约束力。</w:t>
      </w:r>
    </w:p>
    <w:p>
      <w:pPr>
        <w:numPr>
          <w:ilvl w:val="1"/>
          <w:numId w:val="30"/>
        </w:numPr>
        <w:tabs>
          <w:tab w:val="left" w:pos="567"/>
        </w:tabs>
        <w:spacing w:before="72" w:beforeLines="30" w:after="72" w:afterLines="30" w:line="360" w:lineRule="auto"/>
        <w:ind w:left="567" w:hanging="567"/>
        <w:rPr>
          <w:b/>
          <w:sz w:val="24"/>
          <w:highlight w:val="none"/>
        </w:rPr>
      </w:pPr>
      <w:r>
        <w:rPr>
          <w:rFonts w:hint="eastAsia" w:ascii="宋体" w:hAnsi="宋体"/>
          <w:sz w:val="24"/>
          <w:highlight w:val="none"/>
        </w:rPr>
        <w:t>争议解决期间</w:t>
      </w:r>
      <w:r>
        <w:rPr>
          <w:rFonts w:ascii="宋体" w:hAnsi="宋体"/>
          <w:sz w:val="24"/>
          <w:highlight w:val="none"/>
        </w:rPr>
        <w:t>，除争议事项外，双方应继续履行本合同。</w:t>
      </w:r>
    </w:p>
    <w:bookmarkEnd w:id="90"/>
    <w:bookmarkEnd w:id="91"/>
    <w:p>
      <w:pPr>
        <w:pStyle w:val="15"/>
        <w:numPr>
          <w:ilvl w:val="0"/>
          <w:numId w:val="4"/>
        </w:numPr>
        <w:tabs>
          <w:tab w:val="left" w:pos="567"/>
        </w:tabs>
        <w:spacing w:before="72" w:beforeLines="30" w:after="72" w:afterLines="30" w:line="360" w:lineRule="auto"/>
        <w:ind w:left="567" w:hanging="567"/>
        <w:jc w:val="left"/>
        <w:rPr>
          <w:sz w:val="24"/>
          <w:szCs w:val="24"/>
          <w:highlight w:val="none"/>
        </w:rPr>
      </w:pPr>
      <w:bookmarkStart w:id="92" w:name="_Toc306354330"/>
      <w:r>
        <w:rPr>
          <w:rFonts w:hint="eastAsia"/>
          <w:sz w:val="24"/>
          <w:szCs w:val="24"/>
          <w:highlight w:val="none"/>
        </w:rPr>
        <w:t xml:space="preserve"> </w:t>
      </w:r>
      <w:r>
        <w:rPr>
          <w:sz w:val="24"/>
          <w:szCs w:val="24"/>
          <w:highlight w:val="none"/>
        </w:rPr>
        <w:t>其它</w:t>
      </w:r>
      <w:bookmarkEnd w:id="92"/>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在本合同签订时如卖方属于《保障中小企业款项支付条例》（“条例”）规定的中小企业，本合同所约定的付款期限、方式、条件和违约责任等交易条件应遵守该条例的规定。如本合同约定的任何交易条件违反该条例，买方应按照符合该条例规定的交易条件履行合同，并应按照条例的规定与卖方协商变更本合同的该等交易条件，以保障卖方享有条例规定的合法权益。</w:t>
      </w:r>
    </w:p>
    <w:p>
      <w:pPr>
        <w:numPr>
          <w:ilvl w:val="1"/>
          <w:numId w:val="31"/>
        </w:numPr>
        <w:tabs>
          <w:tab w:val="left" w:pos="567"/>
        </w:tabs>
        <w:spacing w:before="72" w:beforeLines="30" w:after="72" w:afterLines="30" w:line="360" w:lineRule="auto"/>
        <w:ind w:left="567" w:hanging="567"/>
        <w:rPr>
          <w:sz w:val="24"/>
          <w:highlight w:val="none"/>
        </w:rPr>
      </w:pPr>
      <w:r>
        <w:rPr>
          <w:sz w:val="24"/>
          <w:highlight w:val="none"/>
        </w:rPr>
        <w:t>本合同自买卖双方</w:t>
      </w:r>
      <w:r>
        <w:rPr>
          <w:rFonts w:hint="eastAsia"/>
          <w:sz w:val="24"/>
          <w:highlight w:val="none"/>
        </w:rPr>
        <w:t>法定代表人或授权代表</w:t>
      </w:r>
      <w:r>
        <w:rPr>
          <w:sz w:val="24"/>
          <w:highlight w:val="none"/>
        </w:rPr>
        <w:t>签</w:t>
      </w:r>
      <w:r>
        <w:rPr>
          <w:rFonts w:hint="eastAsia"/>
          <w:sz w:val="24"/>
          <w:highlight w:val="none"/>
        </w:rPr>
        <w:t>字并盖章</w:t>
      </w:r>
      <w:r>
        <w:rPr>
          <w:sz w:val="24"/>
          <w:highlight w:val="none"/>
        </w:rPr>
        <w:t>之日起生效</w:t>
      </w:r>
      <w:r>
        <w:rPr>
          <w:rFonts w:hint="eastAsia"/>
          <w:sz w:val="24"/>
          <w:highlight w:val="none"/>
        </w:rPr>
        <w:t>，</w:t>
      </w:r>
      <w:bookmarkStart w:id="93" w:name="OLE_LINK12"/>
      <w:bookmarkStart w:id="94" w:name="OLE_LINK11"/>
      <w:r>
        <w:rPr>
          <w:rFonts w:hint="eastAsia" w:ascii="宋体" w:hAnsi="宋体"/>
          <w:sz w:val="24"/>
          <w:highlight w:val="none"/>
        </w:rPr>
        <w:t>自双方履行完本合同项下全部权利和义务后终止</w:t>
      </w:r>
      <w:bookmarkEnd w:id="93"/>
      <w:bookmarkEnd w:id="94"/>
      <w:r>
        <w:rPr>
          <w:sz w:val="24"/>
          <w:highlight w:val="none"/>
        </w:rPr>
        <w:t>。</w:t>
      </w:r>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本合同签署以前双方就本合同约定的货物买卖及</w:t>
      </w:r>
      <w:r>
        <w:rPr>
          <w:sz w:val="24"/>
          <w:highlight w:val="none"/>
        </w:rPr>
        <w:t>相关事宜</w:t>
      </w:r>
      <w:r>
        <w:rPr>
          <w:rFonts w:hint="eastAsia"/>
          <w:sz w:val="24"/>
          <w:highlight w:val="none"/>
        </w:rPr>
        <w:t>达成的所有口头和</w:t>
      </w:r>
      <w:r>
        <w:rPr>
          <w:sz w:val="24"/>
          <w:highlight w:val="none"/>
        </w:rPr>
        <w:t>/</w:t>
      </w:r>
      <w:r>
        <w:rPr>
          <w:rFonts w:hint="eastAsia"/>
          <w:sz w:val="24"/>
          <w:highlight w:val="none"/>
        </w:rPr>
        <w:t>或书面的声明、文件、信件及双方其它形式的通信在本合同生效后自动失效。</w:t>
      </w:r>
    </w:p>
    <w:p>
      <w:pPr>
        <w:numPr>
          <w:ilvl w:val="1"/>
          <w:numId w:val="31"/>
        </w:numPr>
        <w:tabs>
          <w:tab w:val="left" w:pos="567"/>
        </w:tabs>
        <w:spacing w:before="72" w:beforeLines="30" w:after="72" w:afterLines="30" w:line="360" w:lineRule="auto"/>
        <w:ind w:left="567" w:hanging="567"/>
        <w:rPr>
          <w:rFonts w:ascii="宋体" w:hAnsi="宋体"/>
          <w:sz w:val="24"/>
          <w:highlight w:val="none"/>
        </w:rPr>
      </w:pPr>
      <w:r>
        <w:rPr>
          <w:rFonts w:ascii="宋体" w:hAnsi="宋体"/>
          <w:sz w:val="24"/>
          <w:highlight w:val="none"/>
        </w:rPr>
        <w:t>未经另一方事先书面同意，任何一方不得以任何方式使用另一方的名称、商品商标、服务商标、企业标志、商号或品牌。</w:t>
      </w:r>
    </w:p>
    <w:p>
      <w:pPr>
        <w:numPr>
          <w:ilvl w:val="1"/>
          <w:numId w:val="31"/>
        </w:numPr>
        <w:tabs>
          <w:tab w:val="left" w:pos="567"/>
        </w:tabs>
        <w:spacing w:before="72" w:beforeLines="30" w:after="72" w:afterLines="30" w:line="360" w:lineRule="auto"/>
        <w:ind w:left="567" w:hanging="567"/>
        <w:rPr>
          <w:sz w:val="24"/>
          <w:highlight w:val="none"/>
        </w:rPr>
      </w:pPr>
      <w:r>
        <w:rPr>
          <w:sz w:val="24"/>
          <w:highlight w:val="none"/>
        </w:rPr>
        <w:t>如</w:t>
      </w:r>
      <w:r>
        <w:rPr>
          <w:rFonts w:hint="eastAsia"/>
          <w:sz w:val="24"/>
          <w:highlight w:val="none"/>
        </w:rPr>
        <w:t>果</w:t>
      </w:r>
      <w:r>
        <w:rPr>
          <w:sz w:val="24"/>
          <w:highlight w:val="none"/>
        </w:rPr>
        <w:t>本合同</w:t>
      </w:r>
      <w:r>
        <w:rPr>
          <w:rFonts w:hint="eastAsia"/>
          <w:sz w:val="24"/>
          <w:highlight w:val="none"/>
        </w:rPr>
        <w:t>的</w:t>
      </w:r>
      <w:r>
        <w:rPr>
          <w:sz w:val="24"/>
          <w:highlight w:val="none"/>
        </w:rPr>
        <w:t>任何条款</w:t>
      </w:r>
      <w:r>
        <w:rPr>
          <w:rFonts w:hint="eastAsia"/>
          <w:sz w:val="24"/>
          <w:highlight w:val="none"/>
        </w:rPr>
        <w:t>或规定</w:t>
      </w:r>
      <w:r>
        <w:rPr>
          <w:sz w:val="24"/>
          <w:highlight w:val="none"/>
        </w:rPr>
        <w:t>被裁定</w:t>
      </w:r>
      <w:r>
        <w:rPr>
          <w:rFonts w:hint="eastAsia"/>
          <w:sz w:val="24"/>
          <w:highlight w:val="none"/>
        </w:rPr>
        <w:t>为</w:t>
      </w:r>
      <w:r>
        <w:rPr>
          <w:sz w:val="24"/>
          <w:highlight w:val="none"/>
        </w:rPr>
        <w:t>无效、不合法或不可</w:t>
      </w:r>
      <w:r>
        <w:rPr>
          <w:rFonts w:hint="eastAsia"/>
          <w:sz w:val="24"/>
          <w:highlight w:val="none"/>
        </w:rPr>
        <w:t>强制</w:t>
      </w:r>
      <w:r>
        <w:rPr>
          <w:sz w:val="24"/>
          <w:highlight w:val="none"/>
        </w:rPr>
        <w:t>执行，</w:t>
      </w:r>
      <w:r>
        <w:rPr>
          <w:rFonts w:hint="eastAsia"/>
          <w:sz w:val="24"/>
          <w:highlight w:val="none"/>
        </w:rPr>
        <w:t>该条款或规定应视为被删除，本合同</w:t>
      </w:r>
      <w:r>
        <w:rPr>
          <w:sz w:val="24"/>
          <w:highlight w:val="none"/>
        </w:rPr>
        <w:t>其它条款</w:t>
      </w:r>
      <w:r>
        <w:rPr>
          <w:rFonts w:hint="eastAsia"/>
          <w:sz w:val="24"/>
          <w:highlight w:val="none"/>
        </w:rPr>
        <w:t>不受影响，</w:t>
      </w:r>
      <w:r>
        <w:rPr>
          <w:sz w:val="24"/>
          <w:highlight w:val="none"/>
        </w:rPr>
        <w:t>仍</w:t>
      </w:r>
      <w:r>
        <w:rPr>
          <w:rFonts w:hint="eastAsia"/>
          <w:sz w:val="24"/>
          <w:highlight w:val="none"/>
        </w:rPr>
        <w:t>继续</w:t>
      </w:r>
      <w:r>
        <w:rPr>
          <w:sz w:val="24"/>
          <w:highlight w:val="none"/>
        </w:rPr>
        <w:t>有效。</w:t>
      </w:r>
    </w:p>
    <w:p>
      <w:pPr>
        <w:numPr>
          <w:ilvl w:val="1"/>
          <w:numId w:val="31"/>
        </w:numPr>
        <w:tabs>
          <w:tab w:val="left" w:pos="567"/>
        </w:tabs>
        <w:spacing w:before="72" w:beforeLines="30" w:after="72" w:afterLines="30" w:line="360" w:lineRule="auto"/>
        <w:ind w:left="567" w:hanging="567"/>
        <w:rPr>
          <w:sz w:val="24"/>
          <w:highlight w:val="none"/>
        </w:rPr>
      </w:pPr>
      <w:r>
        <w:rPr>
          <w:sz w:val="24"/>
          <w:highlight w:val="none"/>
        </w:rPr>
        <w:t>本合同履行过程中，</w:t>
      </w:r>
      <w:r>
        <w:rPr>
          <w:rFonts w:hint="eastAsia"/>
          <w:sz w:val="24"/>
          <w:highlight w:val="none"/>
        </w:rPr>
        <w:t>如</w:t>
      </w:r>
      <w:r>
        <w:rPr>
          <w:sz w:val="24"/>
          <w:highlight w:val="none"/>
        </w:rPr>
        <w:t>卖方</w:t>
      </w:r>
      <w:r>
        <w:rPr>
          <w:rFonts w:hint="eastAsia"/>
          <w:sz w:val="24"/>
          <w:highlight w:val="none"/>
        </w:rPr>
        <w:t>发生重组、</w:t>
      </w:r>
      <w:r>
        <w:rPr>
          <w:sz w:val="24"/>
          <w:highlight w:val="none"/>
        </w:rPr>
        <w:t>合并、</w:t>
      </w:r>
      <w:r>
        <w:rPr>
          <w:rFonts w:hint="eastAsia"/>
          <w:sz w:val="24"/>
          <w:highlight w:val="none"/>
        </w:rPr>
        <w:t>分立、重大股权或资产转让，应及时通知买方。经买方事先书面同意，卖方应安排具有相应资质的主体继续履行本合同，否则卖方不得执行前述重组、合并、分立或转让。卖方应根据买方的要求，为继续履行本合同的主体安排履约担保。</w:t>
      </w:r>
    </w:p>
    <w:p>
      <w:pPr>
        <w:numPr>
          <w:ilvl w:val="1"/>
          <w:numId w:val="31"/>
        </w:numPr>
        <w:tabs>
          <w:tab w:val="left" w:pos="567"/>
        </w:tabs>
        <w:spacing w:before="72" w:beforeLines="30" w:after="72" w:afterLines="30" w:line="360" w:lineRule="auto"/>
        <w:ind w:left="567" w:hanging="567"/>
        <w:rPr>
          <w:sz w:val="24"/>
          <w:highlight w:val="none"/>
        </w:rPr>
      </w:pPr>
      <w:r>
        <w:rPr>
          <w:sz w:val="24"/>
          <w:highlight w:val="none"/>
        </w:rPr>
        <w:t>本合同</w:t>
      </w:r>
      <w:r>
        <w:rPr>
          <w:rFonts w:hint="eastAsia"/>
          <w:sz w:val="24"/>
          <w:highlight w:val="none"/>
        </w:rPr>
        <w:t>解除或终止</w:t>
      </w:r>
      <w:r>
        <w:rPr>
          <w:sz w:val="24"/>
          <w:highlight w:val="none"/>
        </w:rPr>
        <w:t>后</w:t>
      </w:r>
      <w:r>
        <w:rPr>
          <w:rFonts w:hint="eastAsia"/>
          <w:sz w:val="24"/>
          <w:highlight w:val="none"/>
        </w:rPr>
        <w:t>，本合同项下关于知识产权、保密、保证、责任、法律适用、争议解决和其它具有持续性效力的条款继续</w:t>
      </w:r>
      <w:r>
        <w:rPr>
          <w:sz w:val="24"/>
          <w:highlight w:val="none"/>
        </w:rPr>
        <w:t>有效。</w:t>
      </w:r>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本</w:t>
      </w:r>
      <w:r>
        <w:rPr>
          <w:sz w:val="24"/>
          <w:highlight w:val="none"/>
        </w:rPr>
        <w:t>合同未尽事宜，应由双方协商</w:t>
      </w:r>
      <w:r>
        <w:rPr>
          <w:rFonts w:hint="eastAsia"/>
          <w:sz w:val="24"/>
          <w:highlight w:val="none"/>
        </w:rPr>
        <w:t>确定</w:t>
      </w:r>
      <w:r>
        <w:rPr>
          <w:sz w:val="24"/>
          <w:highlight w:val="none"/>
        </w:rPr>
        <w:t>，并签订补充协议，补充协议与本合同具有同等法律效力。</w:t>
      </w:r>
    </w:p>
    <w:p>
      <w:pPr>
        <w:numPr>
          <w:ilvl w:val="1"/>
          <w:numId w:val="31"/>
        </w:numPr>
        <w:tabs>
          <w:tab w:val="left" w:pos="567"/>
        </w:tabs>
        <w:spacing w:before="72" w:beforeLines="30" w:after="72" w:afterLines="30" w:line="360" w:lineRule="auto"/>
        <w:ind w:left="567" w:hanging="567"/>
        <w:rPr>
          <w:sz w:val="24"/>
          <w:highlight w:val="none"/>
        </w:rPr>
      </w:pPr>
      <w:r>
        <w:rPr>
          <w:sz w:val="24"/>
          <w:highlight w:val="none"/>
        </w:rPr>
        <w:t>本合同的任何变更、修改或增减，须经双方协商</w:t>
      </w:r>
      <w:r>
        <w:rPr>
          <w:rFonts w:hint="eastAsia"/>
          <w:sz w:val="24"/>
          <w:highlight w:val="none"/>
        </w:rPr>
        <w:t>一致、法定代表人或</w:t>
      </w:r>
      <w:r>
        <w:rPr>
          <w:sz w:val="24"/>
          <w:highlight w:val="none"/>
        </w:rPr>
        <w:t>授权代表签署书面文件</w:t>
      </w:r>
      <w:r>
        <w:rPr>
          <w:rFonts w:hint="eastAsia"/>
          <w:sz w:val="24"/>
          <w:highlight w:val="none"/>
        </w:rPr>
        <w:t>并盖章</w:t>
      </w:r>
      <w:r>
        <w:rPr>
          <w:sz w:val="24"/>
          <w:highlight w:val="none"/>
        </w:rPr>
        <w:t>后</w:t>
      </w:r>
      <w:r>
        <w:rPr>
          <w:rFonts w:hint="eastAsia"/>
          <w:sz w:val="24"/>
          <w:highlight w:val="none"/>
        </w:rPr>
        <w:t>生</w:t>
      </w:r>
      <w:r>
        <w:rPr>
          <w:sz w:val="24"/>
          <w:highlight w:val="none"/>
        </w:rPr>
        <w:t>效。</w:t>
      </w:r>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任何一方未行使或延迟行使本合同项下的任何权利，不视为该方对该等权利的放弃。任何一方部分行使其在本合同项下的任何权利不妨碍其将来进一步行使该等权利或合同约定的其它权利。</w:t>
      </w:r>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本合同系双方协商、讨论的结果，合同内容非一方当事人单方拟定。本合同不属于格式合同，条款内容不属于格式条款。</w:t>
      </w:r>
    </w:p>
    <w:p>
      <w:pPr>
        <w:numPr>
          <w:ilvl w:val="1"/>
          <w:numId w:val="31"/>
        </w:numPr>
        <w:tabs>
          <w:tab w:val="left" w:pos="567"/>
        </w:tabs>
        <w:spacing w:before="72" w:beforeLines="30" w:after="72" w:afterLines="30" w:line="360" w:lineRule="auto"/>
        <w:ind w:left="567" w:hanging="567"/>
        <w:rPr>
          <w:sz w:val="24"/>
          <w:highlight w:val="none"/>
        </w:rPr>
      </w:pPr>
      <w:r>
        <w:rPr>
          <w:rFonts w:hint="eastAsia"/>
          <w:sz w:val="24"/>
          <w:highlight w:val="none"/>
        </w:rPr>
        <w:t>本合同正文、附件及其后的修改文件和补充文件均应采用中文书写。附件及其后的修改文件和补充文件作为本合同不可分割的组成部分，与本合同正文具有同等法律效力。</w:t>
      </w:r>
    </w:p>
    <w:p>
      <w:pPr>
        <w:widowControl/>
        <w:numPr>
          <w:ilvl w:val="1"/>
          <w:numId w:val="31"/>
        </w:numPr>
        <w:tabs>
          <w:tab w:val="left" w:pos="567"/>
        </w:tabs>
        <w:spacing w:before="72" w:beforeLines="30" w:after="72" w:afterLines="30" w:line="360" w:lineRule="auto"/>
        <w:ind w:left="567" w:hanging="567"/>
        <w:jc w:val="left"/>
        <w:rPr>
          <w:sz w:val="24"/>
          <w:highlight w:val="none"/>
        </w:rPr>
      </w:pPr>
      <w:r>
        <w:rPr>
          <w:sz w:val="24"/>
          <w:highlight w:val="none"/>
        </w:rPr>
        <w:t>本合同一式</w:t>
      </w:r>
      <w:r>
        <w:rPr>
          <w:rFonts w:hint="eastAsia"/>
          <w:sz w:val="24"/>
          <w:highlight w:val="none"/>
        </w:rPr>
        <w:t>【</w:t>
      </w:r>
      <w:r>
        <w:rPr>
          <w:rFonts w:hint="eastAsia"/>
          <w:i/>
          <w:sz w:val="24"/>
          <w:highlight w:val="none"/>
        </w:rPr>
        <w:t>填入合同份数</w:t>
      </w:r>
      <w:r>
        <w:rPr>
          <w:rFonts w:hint="eastAsia"/>
          <w:sz w:val="24"/>
          <w:highlight w:val="none"/>
        </w:rPr>
        <w:t>】</w:t>
      </w:r>
      <w:r>
        <w:rPr>
          <w:sz w:val="24"/>
          <w:highlight w:val="none"/>
        </w:rPr>
        <w:t>份，</w:t>
      </w:r>
      <w:r>
        <w:rPr>
          <w:rFonts w:hint="eastAsia"/>
          <w:sz w:val="24"/>
          <w:highlight w:val="none"/>
        </w:rPr>
        <w:t>买卖双方各持【</w:t>
      </w:r>
      <w:r>
        <w:rPr>
          <w:rFonts w:hint="eastAsia"/>
          <w:i/>
          <w:sz w:val="24"/>
          <w:highlight w:val="none"/>
        </w:rPr>
        <w:t>填入合同份数</w:t>
      </w:r>
      <w:r>
        <w:rPr>
          <w:rFonts w:hint="eastAsia"/>
          <w:sz w:val="24"/>
          <w:highlight w:val="none"/>
        </w:rPr>
        <w:t>】份</w:t>
      </w:r>
      <w:r>
        <w:rPr>
          <w:sz w:val="24"/>
          <w:highlight w:val="none"/>
        </w:rPr>
        <w:t>，具有同等效力。</w:t>
      </w:r>
    </w:p>
    <w:p>
      <w:pPr>
        <w:widowControl/>
        <w:spacing w:before="72" w:beforeLines="30" w:after="72" w:afterLines="30" w:line="360" w:lineRule="auto"/>
        <w:jc w:val="left"/>
        <w:rPr>
          <w:sz w:val="24"/>
          <w:highlight w:val="none"/>
        </w:rPr>
      </w:pPr>
      <w:r>
        <w:rPr>
          <w:sz w:val="24"/>
          <w:highlight w:val="none"/>
        </w:rPr>
        <w:br w:type="page"/>
      </w:r>
    </w:p>
    <w:p>
      <w:pPr>
        <w:tabs>
          <w:tab w:val="left" w:pos="850"/>
        </w:tabs>
        <w:autoSpaceDE w:val="0"/>
        <w:autoSpaceDN w:val="0"/>
        <w:spacing w:before="72" w:beforeLines="30" w:after="72" w:afterLines="30" w:line="360" w:lineRule="auto"/>
        <w:jc w:val="center"/>
        <w:textAlignment w:val="bottom"/>
        <w:rPr>
          <w:b/>
          <w:sz w:val="24"/>
          <w:highlight w:val="none"/>
        </w:rPr>
      </w:pPr>
      <w:r>
        <w:rPr>
          <w:rFonts w:hint="eastAsia"/>
          <w:b/>
          <w:sz w:val="24"/>
          <w:highlight w:val="none"/>
        </w:rPr>
        <w:t>（本页无正文，为签章页）</w:t>
      </w:r>
    </w:p>
    <w:p>
      <w:pPr>
        <w:tabs>
          <w:tab w:val="left" w:pos="850"/>
        </w:tabs>
        <w:autoSpaceDE w:val="0"/>
        <w:autoSpaceDN w:val="0"/>
        <w:spacing w:before="72" w:beforeLines="30" w:after="72" w:afterLines="30" w:line="360" w:lineRule="auto"/>
        <w:ind w:firstLine="600"/>
        <w:textAlignment w:val="bottom"/>
        <w:rPr>
          <w:sz w:val="24"/>
          <w:highlight w:val="none"/>
        </w:rPr>
      </w:pPr>
    </w:p>
    <w:tbl>
      <w:tblPr>
        <w:tblStyle w:val="18"/>
        <w:tblW w:w="5000" w:type="pct"/>
        <w:tblInd w:w="0" w:type="dxa"/>
        <w:tblLayout w:type="autofit"/>
        <w:tblCellMar>
          <w:top w:w="0" w:type="dxa"/>
          <w:left w:w="108" w:type="dxa"/>
          <w:bottom w:w="0" w:type="dxa"/>
          <w:right w:w="108" w:type="dxa"/>
        </w:tblCellMar>
      </w:tblPr>
      <w:tblGrid>
        <w:gridCol w:w="4437"/>
        <w:gridCol w:w="4085"/>
      </w:tblGrid>
      <w:tr>
        <w:tblPrEx>
          <w:tblCellMar>
            <w:top w:w="0" w:type="dxa"/>
            <w:left w:w="108" w:type="dxa"/>
            <w:bottom w:w="0" w:type="dxa"/>
            <w:right w:w="108" w:type="dxa"/>
          </w:tblCellMar>
        </w:tblPrEx>
        <w:trPr>
          <w:trHeight w:val="2653" w:hRule="atLeast"/>
        </w:trPr>
        <w:tc>
          <w:tcPr>
            <w:tcW w:w="2603" w:type="pct"/>
          </w:tcPr>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rPr>
              <w:t>买方</w:t>
            </w:r>
            <w:r>
              <w:rPr>
                <w:rFonts w:hint="eastAsia"/>
                <w:sz w:val="24"/>
                <w:highlight w:val="none"/>
              </w:rPr>
              <w:t>（盖章）</w:t>
            </w:r>
          </w:p>
        </w:tc>
        <w:tc>
          <w:tcPr>
            <w:tcW w:w="2397" w:type="pct"/>
          </w:tcPr>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rPr>
              <w:t>卖方</w:t>
            </w:r>
            <w:r>
              <w:rPr>
                <w:rFonts w:hint="eastAsia"/>
                <w:sz w:val="24"/>
                <w:highlight w:val="none"/>
              </w:rPr>
              <w:t>（盖章）</w:t>
            </w:r>
          </w:p>
          <w:p>
            <w:pPr>
              <w:tabs>
                <w:tab w:val="left" w:pos="850"/>
              </w:tabs>
              <w:autoSpaceDE w:val="0"/>
              <w:autoSpaceDN w:val="0"/>
              <w:spacing w:before="72" w:beforeLines="30" w:after="72" w:afterLines="30" w:line="360" w:lineRule="auto"/>
              <w:textAlignment w:val="bottom"/>
              <w:rPr>
                <w:sz w:val="24"/>
                <w:highlight w:val="none"/>
              </w:rPr>
            </w:pPr>
          </w:p>
        </w:tc>
      </w:tr>
      <w:tr>
        <w:tblPrEx>
          <w:tblCellMar>
            <w:top w:w="0" w:type="dxa"/>
            <w:left w:w="108" w:type="dxa"/>
            <w:bottom w:w="0" w:type="dxa"/>
            <w:right w:w="108" w:type="dxa"/>
          </w:tblCellMar>
        </w:tblPrEx>
        <w:trPr>
          <w:trHeight w:val="1084" w:hRule="atLeast"/>
        </w:trPr>
        <w:tc>
          <w:tcPr>
            <w:tcW w:w="2603" w:type="pct"/>
            <w:vAlign w:val="center"/>
          </w:tcPr>
          <w:p>
            <w:pPr>
              <w:tabs>
                <w:tab w:val="left" w:pos="850"/>
              </w:tabs>
              <w:autoSpaceDE w:val="0"/>
              <w:autoSpaceDN w:val="0"/>
              <w:spacing w:before="72" w:beforeLines="30" w:after="72" w:afterLines="30" w:line="360" w:lineRule="auto"/>
              <w:textAlignment w:val="bottom"/>
              <w:rPr>
                <w:sz w:val="24"/>
                <w:highlight w:val="none"/>
              </w:rPr>
            </w:pPr>
            <w:r>
              <w:rPr>
                <w:sz w:val="24"/>
                <w:highlight w:val="none"/>
              </w:rPr>
              <w:t>法定代表人或授权代表签字：</w:t>
            </w: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u w:val="single"/>
              </w:rPr>
              <w:t xml:space="preserve">         </w:t>
            </w:r>
            <w:r>
              <w:rPr>
                <w:rFonts w:hint="eastAsia"/>
                <w:sz w:val="24"/>
                <w:highlight w:val="none"/>
                <w:u w:val="single"/>
              </w:rPr>
              <w:t xml:space="preserve">                     </w:t>
            </w:r>
            <w:r>
              <w:rPr>
                <w:sz w:val="24"/>
                <w:highlight w:val="none"/>
                <w:u w:val="single"/>
              </w:rPr>
              <w:t xml:space="preserve">    </w:t>
            </w:r>
          </w:p>
        </w:tc>
        <w:tc>
          <w:tcPr>
            <w:tcW w:w="2397" w:type="pct"/>
            <w:vAlign w:val="center"/>
          </w:tcPr>
          <w:p>
            <w:pPr>
              <w:tabs>
                <w:tab w:val="left" w:pos="850"/>
              </w:tabs>
              <w:autoSpaceDE w:val="0"/>
              <w:autoSpaceDN w:val="0"/>
              <w:spacing w:before="72" w:beforeLines="30" w:after="72" w:afterLines="30" w:line="360" w:lineRule="auto"/>
              <w:textAlignment w:val="bottom"/>
              <w:rPr>
                <w:sz w:val="24"/>
                <w:highlight w:val="none"/>
              </w:rPr>
            </w:pPr>
            <w:r>
              <w:rPr>
                <w:sz w:val="24"/>
                <w:highlight w:val="none"/>
              </w:rPr>
              <w:t>法定代表人或授权代表签字：</w:t>
            </w: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p>
          <w:p>
            <w:pPr>
              <w:tabs>
                <w:tab w:val="left" w:pos="850"/>
              </w:tabs>
              <w:autoSpaceDE w:val="0"/>
              <w:autoSpaceDN w:val="0"/>
              <w:spacing w:before="72" w:beforeLines="30" w:after="72" w:afterLines="30" w:line="360" w:lineRule="auto"/>
              <w:textAlignment w:val="bottom"/>
              <w:rPr>
                <w:sz w:val="24"/>
                <w:highlight w:val="none"/>
              </w:rPr>
            </w:pPr>
            <w:r>
              <w:rPr>
                <w:sz w:val="24"/>
                <w:highlight w:val="none"/>
                <w:u w:val="single"/>
              </w:rPr>
              <w:t xml:space="preserve">            </w:t>
            </w:r>
            <w:r>
              <w:rPr>
                <w:rFonts w:hint="eastAsia"/>
                <w:sz w:val="24"/>
                <w:highlight w:val="none"/>
                <w:u w:val="single"/>
              </w:rPr>
              <w:t xml:space="preserve">                 </w:t>
            </w:r>
            <w:r>
              <w:rPr>
                <w:sz w:val="24"/>
                <w:highlight w:val="none"/>
                <w:u w:val="single"/>
              </w:rPr>
              <w:t xml:space="preserve">   </w:t>
            </w:r>
          </w:p>
        </w:tc>
      </w:tr>
    </w:tbl>
    <w:p>
      <w:pPr>
        <w:spacing w:before="72" w:beforeLines="30" w:after="72" w:afterLines="30" w:line="360" w:lineRule="auto"/>
        <w:rPr>
          <w:sz w:val="24"/>
          <w:highlight w:val="none"/>
        </w:rPr>
      </w:pPr>
      <w:r>
        <w:rPr>
          <w:rFonts w:hint="eastAsia"/>
          <w:sz w:val="24"/>
          <w:highlight w:val="none"/>
        </w:rPr>
        <w:t>姓名：</w:t>
      </w:r>
      <w:r>
        <w:rPr>
          <w:rFonts w:hint="eastAsia"/>
          <w:sz w:val="24"/>
          <w:highlight w:val="none"/>
          <w:u w:val="single"/>
        </w:rPr>
        <w:t xml:space="preserve">                     </w:t>
      </w:r>
      <w:r>
        <w:rPr>
          <w:rFonts w:hint="eastAsia"/>
          <w:sz w:val="24"/>
          <w:highlight w:val="none"/>
        </w:rPr>
        <w:tab/>
      </w:r>
      <w:r>
        <w:rPr>
          <w:rFonts w:hint="eastAsia"/>
          <w:sz w:val="24"/>
          <w:highlight w:val="none"/>
        </w:rPr>
        <w:tab/>
      </w:r>
      <w:r>
        <w:rPr>
          <w:rFonts w:hint="eastAsia"/>
          <w:sz w:val="24"/>
          <w:highlight w:val="none"/>
        </w:rPr>
        <w:t xml:space="preserve">          姓名：</w:t>
      </w:r>
      <w:r>
        <w:rPr>
          <w:rFonts w:hint="eastAsia"/>
          <w:sz w:val="24"/>
          <w:highlight w:val="none"/>
          <w:u w:val="single"/>
        </w:rPr>
        <w:t xml:space="preserve">                       </w:t>
      </w:r>
    </w:p>
    <w:p>
      <w:pPr>
        <w:spacing w:before="72" w:beforeLines="30" w:after="72" w:afterLines="30" w:line="360" w:lineRule="auto"/>
        <w:rPr>
          <w:sz w:val="24"/>
          <w:highlight w:val="none"/>
        </w:rPr>
      </w:pPr>
      <w:r>
        <w:rPr>
          <w:rFonts w:hint="eastAsia"/>
          <w:sz w:val="24"/>
          <w:highlight w:val="none"/>
        </w:rPr>
        <w:t>职务：</w:t>
      </w:r>
      <w:r>
        <w:rPr>
          <w:rFonts w:hint="eastAsia"/>
          <w:sz w:val="24"/>
          <w:highlight w:val="none"/>
          <w:u w:val="single"/>
        </w:rPr>
        <w:t xml:space="preserve">                     </w:t>
      </w:r>
      <w:r>
        <w:rPr>
          <w:rFonts w:hint="eastAsia"/>
          <w:sz w:val="24"/>
          <w:highlight w:val="none"/>
        </w:rPr>
        <w:tab/>
      </w:r>
      <w:r>
        <w:rPr>
          <w:rFonts w:hint="eastAsia"/>
          <w:sz w:val="24"/>
          <w:highlight w:val="none"/>
        </w:rPr>
        <w:tab/>
      </w:r>
      <w:r>
        <w:rPr>
          <w:rFonts w:hint="eastAsia"/>
          <w:sz w:val="24"/>
          <w:highlight w:val="none"/>
        </w:rPr>
        <w:t xml:space="preserve">          职务：</w:t>
      </w:r>
      <w:r>
        <w:rPr>
          <w:rFonts w:hint="eastAsia"/>
          <w:sz w:val="24"/>
          <w:highlight w:val="none"/>
          <w:u w:val="single"/>
        </w:rPr>
        <w:t xml:space="preserve">                       </w:t>
      </w: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sz w:val="24"/>
          <w:highlight w:val="none"/>
        </w:rPr>
      </w:pPr>
    </w:p>
    <w:p>
      <w:pPr>
        <w:widowControl/>
        <w:spacing w:before="72" w:beforeLines="30" w:after="72" w:afterLines="30" w:line="360" w:lineRule="auto"/>
        <w:jc w:val="left"/>
        <w:rPr>
          <w:b/>
          <w:bCs/>
          <w:iCs/>
          <w:kern w:val="0"/>
          <w:sz w:val="24"/>
          <w:highlight w:val="none"/>
        </w:rPr>
      </w:pPr>
      <w:bookmarkStart w:id="95" w:name="_Toc358987523"/>
      <w:bookmarkStart w:id="96" w:name="_Toc291435952"/>
      <w:bookmarkStart w:id="97" w:name="_Toc291435885"/>
      <w:bookmarkStart w:id="98" w:name="_Toc366251493"/>
      <w:bookmarkStart w:id="99" w:name="_Toc296955897"/>
      <w:bookmarkStart w:id="100" w:name="_Toc300670448"/>
      <w:bookmarkStart w:id="101" w:name="_Toc300670376"/>
      <w:r>
        <w:rPr>
          <w:rFonts w:hint="eastAsia"/>
          <w:b/>
          <w:bCs/>
          <w:iCs/>
          <w:kern w:val="0"/>
          <w:sz w:val="24"/>
          <w:highlight w:val="none"/>
        </w:rPr>
        <w:t>附件一：</w:t>
      </w:r>
      <w:bookmarkEnd w:id="95"/>
      <w:bookmarkEnd w:id="96"/>
      <w:bookmarkEnd w:id="97"/>
      <w:bookmarkEnd w:id="98"/>
      <w:bookmarkEnd w:id="99"/>
      <w:bookmarkEnd w:id="100"/>
      <w:bookmarkEnd w:id="101"/>
      <w:r>
        <w:rPr>
          <w:rFonts w:hint="eastAsia"/>
          <w:b/>
          <w:bCs/>
          <w:iCs/>
          <w:kern w:val="0"/>
          <w:sz w:val="24"/>
          <w:highlight w:val="none"/>
        </w:rPr>
        <w:t>价格表</w:t>
      </w:r>
    </w:p>
    <w:p>
      <w:pPr>
        <w:widowControl/>
        <w:spacing w:before="72" w:beforeLines="30" w:after="72" w:afterLines="30" w:line="360" w:lineRule="auto"/>
        <w:jc w:val="left"/>
        <w:rPr>
          <w:sz w:val="24"/>
          <w:highlight w:val="none"/>
        </w:rPr>
      </w:pPr>
      <w:r>
        <w:rPr>
          <w:rFonts w:hint="eastAsia"/>
          <w:b/>
          <w:bCs/>
          <w:iCs/>
          <w:kern w:val="0"/>
          <w:sz w:val="24"/>
          <w:highlight w:val="none"/>
        </w:rPr>
        <w:t>附件二：技术服务</w:t>
      </w:r>
    </w:p>
    <w:p>
      <w:pPr>
        <w:rPr>
          <w:highlight w:val="none"/>
          <w:lang w:val="en-US" w:eastAsia="zh-CN"/>
        </w:rPr>
      </w:pPr>
      <w:r>
        <w:rPr>
          <w:rFonts w:hint="eastAsia"/>
          <w:b/>
          <w:bCs/>
          <w:iCs/>
          <w:kern w:val="0"/>
          <w:sz w:val="24"/>
          <w:highlight w:val="none"/>
        </w:rPr>
        <w:t>附件三：付款进度</w:t>
      </w:r>
    </w:p>
    <w:p>
      <w:pPr>
        <w:pStyle w:val="5"/>
        <w:rPr>
          <w:highlight w:val="none"/>
          <w:lang w:val="en-US" w:eastAsia="zh-CN"/>
        </w:rPr>
      </w:pPr>
    </w:p>
    <w:p>
      <w:pPr>
        <w:rPr>
          <w:highlight w:val="none"/>
          <w:lang w:val="en-US" w:eastAsia="zh-CN"/>
        </w:rPr>
      </w:pPr>
    </w:p>
    <w:p>
      <w:pPr>
        <w:pStyle w:val="5"/>
        <w:rPr>
          <w:highlight w:val="none"/>
          <w:lang w:val="en-US" w:eastAsia="zh-CN"/>
        </w:rPr>
      </w:pPr>
    </w:p>
    <w:p>
      <w:pPr>
        <w:pStyle w:val="5"/>
        <w:rPr>
          <w:highlight w:val="none"/>
          <w:lang w:val="en-US" w:eastAsia="zh-CN"/>
        </w:rPr>
      </w:pPr>
    </w:p>
    <w:p>
      <w:pPr>
        <w:rPr>
          <w:rFonts w:hint="eastAsia"/>
          <w:b/>
          <w:strike w:val="0"/>
          <w:dstrike w:val="0"/>
          <w:sz w:val="24"/>
          <w:highlight w:val="none"/>
          <w:lang w:val="en-US" w:eastAsia="zh-CN"/>
        </w:rPr>
      </w:pPr>
      <w:r>
        <w:rPr>
          <w:rFonts w:hint="eastAsia"/>
          <w:b/>
          <w:strike w:val="0"/>
          <w:dstrike w:val="0"/>
          <w:sz w:val="24"/>
          <w:highlight w:val="none"/>
          <w:lang w:val="en-US" w:eastAsia="zh-CN"/>
        </w:rPr>
        <w:br w:type="page"/>
      </w:r>
    </w:p>
    <w:p>
      <w:pPr>
        <w:pStyle w:val="32"/>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highlight w:val="none"/>
        </w:rPr>
      </w:pPr>
      <w:r>
        <w:rPr>
          <w:rFonts w:hint="eastAsia"/>
          <w:b/>
          <w:strike w:val="0"/>
          <w:dstrike w:val="0"/>
          <w:sz w:val="24"/>
          <w:highlight w:val="none"/>
          <w:lang w:val="en-US" w:eastAsia="zh-CN"/>
        </w:rPr>
        <w:t xml:space="preserve">附件4： </w:t>
      </w:r>
      <w:r>
        <w:rPr>
          <w:rFonts w:hint="eastAsia"/>
          <w:b/>
          <w:strike w:val="0"/>
          <w:dstrike w:val="0"/>
          <w:sz w:val="24"/>
          <w:highlight w:val="none"/>
        </w:rPr>
        <w:t>供应商履约异常处罚方式</w:t>
      </w:r>
    </w:p>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1"/>
        <w:rPr>
          <w:rFonts w:hint="eastAsia" w:eastAsia="宋体"/>
          <w:b/>
          <w:strike w:val="0"/>
          <w:dstrike w:val="0"/>
          <w:sz w:val="24"/>
          <w:highlight w:val="none"/>
          <w:lang w:eastAsia="zh-CN"/>
        </w:rPr>
      </w:pPr>
      <w:r>
        <w:rPr>
          <w:rFonts w:hint="eastAsia"/>
          <w:b/>
          <w:strike w:val="0"/>
          <w:dstrike w:val="0"/>
          <w:sz w:val="24"/>
          <w:highlight w:val="none"/>
          <w:lang w:val="en-US" w:eastAsia="zh-CN"/>
        </w:rPr>
        <w:t>4.1海油发展供应商处理情形和处理标准</w:t>
      </w:r>
    </w:p>
    <w:tbl>
      <w:tblPr>
        <w:tblStyle w:val="1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6"/>
        <w:gridCol w:w="5484"/>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58"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序号</w:t>
            </w:r>
          </w:p>
        </w:tc>
        <w:tc>
          <w:tcPr>
            <w:tcW w:w="1266"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违规类型</w:t>
            </w:r>
          </w:p>
        </w:tc>
        <w:tc>
          <w:tcPr>
            <w:tcW w:w="5484" w:type="dxa"/>
            <w:shd w:val="clear" w:color="auto" w:fill="auto"/>
            <w:vAlign w:val="center"/>
          </w:tcPr>
          <w:p>
            <w:pPr>
              <w:jc w:val="center"/>
              <w:textAlignment w:val="center"/>
              <w:rPr>
                <w:b/>
                <w:bCs/>
                <w:color w:val="000000"/>
                <w:sz w:val="22"/>
                <w:szCs w:val="22"/>
                <w:highlight w:val="none"/>
              </w:rPr>
            </w:pPr>
            <w:r>
              <w:rPr>
                <w:rFonts w:hint="eastAsia"/>
                <w:b/>
                <w:bCs/>
                <w:color w:val="000000"/>
                <w:sz w:val="22"/>
                <w:szCs w:val="22"/>
                <w:highlight w:val="none"/>
                <w:lang w:bidi="ar"/>
              </w:rPr>
              <w:t>违规情形说明</w:t>
            </w:r>
          </w:p>
        </w:tc>
        <w:tc>
          <w:tcPr>
            <w:tcW w:w="1281" w:type="dxa"/>
            <w:shd w:val="clear" w:color="auto" w:fill="auto"/>
            <w:vAlign w:val="center"/>
          </w:tcPr>
          <w:p>
            <w:pPr>
              <w:textAlignment w:val="center"/>
              <w:rPr>
                <w:b/>
                <w:bCs/>
                <w:color w:val="000000"/>
                <w:sz w:val="22"/>
                <w:szCs w:val="22"/>
                <w:highlight w:val="none"/>
              </w:rPr>
            </w:pPr>
            <w:r>
              <w:rPr>
                <w:rFonts w:hint="eastAsia"/>
                <w:b/>
                <w:bCs/>
                <w:color w:val="000000"/>
                <w:sz w:val="22"/>
                <w:szCs w:val="22"/>
                <w:highlight w:val="none"/>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提供虚假资料</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提供虚假材料（资质文件、业绩、财务状况、书面承诺等）进行供应商注册、准入或参与采购项目，未造成损失的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rFonts w:hint="default" w:eastAsia="宋体"/>
                <w:color w:val="000000"/>
                <w:sz w:val="20"/>
                <w:szCs w:val="20"/>
                <w:highlight w:val="none"/>
                <w:lang w:val="en-US" w:eastAsia="zh-CN"/>
              </w:rPr>
            </w:pPr>
            <w:r>
              <w:rPr>
                <w:rFonts w:hint="eastAsia"/>
                <w:b/>
                <w:bCs/>
                <w:color w:val="000000"/>
                <w:sz w:val="20"/>
                <w:szCs w:val="20"/>
                <w:highlight w:val="none"/>
                <w:lang w:bidi="ar"/>
              </w:rPr>
              <w:t>提供虚假材料</w:t>
            </w:r>
            <w:r>
              <w:rPr>
                <w:rFonts w:hint="eastAsia"/>
                <w:color w:val="000000"/>
                <w:sz w:val="20"/>
                <w:szCs w:val="20"/>
                <w:highlight w:val="none"/>
                <w:lang w:bidi="ar"/>
              </w:rPr>
              <w:t>（</w:t>
            </w:r>
            <w:r>
              <w:rPr>
                <w:rFonts w:hint="eastAsia"/>
                <w:b/>
                <w:bCs/>
                <w:color w:val="000000"/>
                <w:sz w:val="20"/>
                <w:szCs w:val="20"/>
                <w:highlight w:val="none"/>
                <w:lang w:bidi="ar"/>
              </w:rPr>
              <w:t>资质文件、业绩、财务状况、书面承诺</w:t>
            </w:r>
            <w:r>
              <w:rPr>
                <w:rFonts w:hint="eastAsia"/>
                <w:color w:val="000000"/>
                <w:sz w:val="20"/>
                <w:szCs w:val="20"/>
                <w:highlight w:val="none"/>
                <w:lang w:bidi="ar"/>
              </w:rPr>
              <w:t>等）进行供应商注册、准入或参与采购项目，造成损失的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恶意串通</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为达到不正当目的</w:t>
            </w:r>
            <w:r>
              <w:rPr>
                <w:rFonts w:hint="eastAsia"/>
                <w:b/>
                <w:bCs/>
                <w:color w:val="000000"/>
                <w:sz w:val="20"/>
                <w:szCs w:val="20"/>
                <w:highlight w:val="none"/>
                <w:lang w:bidi="ar"/>
              </w:rPr>
              <w:t>相互恶意串通</w:t>
            </w:r>
            <w:r>
              <w:rPr>
                <w:rFonts w:hint="eastAsia"/>
                <w:color w:val="000000"/>
                <w:sz w:val="20"/>
                <w:szCs w:val="20"/>
                <w:highlight w:val="none"/>
                <w:lang w:bidi="ar"/>
              </w:rPr>
              <w:t>，未造成损失的。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为达到不正当目的相互恶意串通，造成损失的</w:t>
            </w:r>
            <w:r>
              <w:rPr>
                <w:rFonts w:hint="eastAsia"/>
                <w:color w:val="000000"/>
                <w:sz w:val="20"/>
                <w:szCs w:val="20"/>
                <w:highlight w:val="none"/>
                <w:lang w:eastAsia="zh-CN" w:bidi="ar"/>
              </w:rPr>
              <w:t>（</w:t>
            </w:r>
            <w:r>
              <w:rPr>
                <w:rFonts w:hint="eastAsia"/>
                <w:color w:val="000000"/>
                <w:sz w:val="20"/>
                <w:szCs w:val="20"/>
                <w:highlight w:val="none"/>
                <w:lang w:val="en-US" w:eastAsia="zh-CN" w:bidi="ar"/>
              </w:rPr>
              <w:t>造成损失是指已签订合同且已执行）</w:t>
            </w:r>
            <w:r>
              <w:rPr>
                <w:rFonts w:hint="eastAsia"/>
                <w:color w:val="000000"/>
                <w:sz w:val="20"/>
                <w:szCs w:val="20"/>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采取公开招标采办方式的，以招标代理公司判定结果为准）</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中途撤销投标</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非公开采办方式，具有参与意向，但未投标/响应的，未对采办过程造成影响的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非公开采办方式，具有参与意向，但未投标/响应的，且对采办过程造成影响的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开标后在有效期内中途撤销投标的，未对采办过程造成影响的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开标后在有效期内中途撤销投标的</w:t>
            </w:r>
            <w:r>
              <w:rPr>
                <w:rFonts w:hint="eastAsia"/>
                <w:color w:val="000000"/>
                <w:sz w:val="20"/>
                <w:szCs w:val="20"/>
                <w:highlight w:val="none"/>
                <w:lang w:bidi="ar"/>
              </w:rPr>
              <w:t>，且对采办过程造成影响的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9</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投标文件质量差</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未造成影响的。</w:t>
            </w:r>
          </w:p>
        </w:tc>
        <w:tc>
          <w:tcPr>
            <w:tcW w:w="1281" w:type="dxa"/>
            <w:shd w:val="clear" w:color="auto" w:fill="auto"/>
            <w:vAlign w:val="center"/>
          </w:tcPr>
          <w:p>
            <w:pPr>
              <w:jc w:val="both"/>
              <w:textAlignment w:val="center"/>
              <w:rPr>
                <w:color w:val="000000"/>
                <w:sz w:val="20"/>
                <w:szCs w:val="20"/>
                <w:highlight w:val="none"/>
              </w:rPr>
            </w:pPr>
            <w:r>
              <w:rPr>
                <w:rFonts w:hint="eastAsia"/>
                <w:color w:val="000000"/>
                <w:sz w:val="20"/>
                <w:szCs w:val="20"/>
                <w:highlight w:val="none"/>
                <w:lang w:bidi="ar"/>
              </w:rPr>
              <w:t>初次出现对供应商进行“约谈”，一年内出现两次给予</w:t>
            </w:r>
            <w:r>
              <w:rPr>
                <w:rFonts w:hint="eastAsia"/>
                <w:b/>
                <w:bCs/>
                <w:color w:val="000000"/>
                <w:sz w:val="20"/>
                <w:szCs w:val="20"/>
                <w:highlight w:val="none"/>
                <w:lang w:bidi="ar"/>
              </w:rPr>
              <w:t>“警告”</w:t>
            </w:r>
            <w:r>
              <w:rPr>
                <w:rFonts w:hint="eastAsia"/>
                <w:color w:val="000000"/>
                <w:sz w:val="20"/>
                <w:szCs w:val="20"/>
                <w:highlight w:val="none"/>
                <w:lang w:bidi="ar"/>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10</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不重视招投标工作，主要包括：①名录内供应商投标时本身具备相关业绩及技术能力，但因不重视投标文件编制而导致评标不合格；②名录内供应商投标时完全复制招标文件要求从而导致评标不合格；③名录内供应商投标时附错其他项目的方案或资料从而导致评标不合格；④邀请招标项目供应商因不重视商务投标导致商务评议不合格等情况。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11</w:t>
            </w:r>
          </w:p>
        </w:tc>
        <w:tc>
          <w:tcPr>
            <w:tcW w:w="1266"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排挤其他供应商</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在采购结果公布之前，违法违规获得非公开评标信息，或采取不正当手段妨碍、排挤其他供应商投标或中标的，证据确凿的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12</w:t>
            </w:r>
          </w:p>
        </w:tc>
        <w:tc>
          <w:tcPr>
            <w:tcW w:w="1266"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不遵守招投标纪律</w:t>
            </w:r>
          </w:p>
        </w:tc>
        <w:tc>
          <w:tcPr>
            <w:tcW w:w="5484" w:type="dxa"/>
            <w:shd w:val="clear" w:color="auto" w:fill="auto"/>
            <w:vAlign w:val="center"/>
          </w:tcPr>
          <w:p>
            <w:pPr>
              <w:textAlignment w:val="center"/>
              <w:rPr>
                <w:color w:val="000000"/>
                <w:sz w:val="20"/>
                <w:szCs w:val="20"/>
                <w:highlight w:val="none"/>
              </w:rPr>
            </w:pPr>
            <w:r>
              <w:rPr>
                <w:rStyle w:val="33"/>
                <w:rFonts w:hint="default"/>
                <w:highlight w:val="none"/>
                <w:lang w:bidi="ar"/>
              </w:rPr>
              <w:t>不遵守招投标相关纪律：如在开标、评标现场无理取闹，违反招投标程序</w:t>
            </w:r>
            <w:r>
              <w:rPr>
                <w:rFonts w:ascii="Times New Roman" w:hAnsi="Times New Roman" w:cs="Times New Roman"/>
                <w:color w:val="000000"/>
                <w:sz w:val="20"/>
                <w:szCs w:val="20"/>
                <w:highlight w:val="none"/>
                <w:lang w:bidi="ar"/>
              </w:rPr>
              <w:t>,</w:t>
            </w:r>
            <w:r>
              <w:rPr>
                <w:rStyle w:val="33"/>
                <w:rFonts w:hint="default"/>
                <w:highlight w:val="none"/>
                <w:lang w:bidi="ar"/>
              </w:rPr>
              <w:t>破坏招投标秩序等情形的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13</w:t>
            </w:r>
          </w:p>
        </w:tc>
        <w:tc>
          <w:tcPr>
            <w:tcW w:w="1266" w:type="dxa"/>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拒不签订合同</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获取中标资格或成交资格拒绝签订合同的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14</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供应商对评标结果提出异议</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采取邀请招标/竞争性谈判/邀请询价采办方式，评标结束后，供应商提出异议并要求复议（如对中标供应商的投标文件提出异议），经核查后异议不实的或提出异议却无法提供证明文件的。未造成影响的。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15</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采取邀请招标/竞争性谈判/邀请询价采办方式，评标结束后，供应商提出异议并要求复议（如对中标供应商的投标文件提出异议），</w:t>
            </w:r>
            <w:r>
              <w:rPr>
                <w:rFonts w:hint="eastAsia"/>
                <w:b/>
                <w:bCs/>
                <w:color w:val="000000"/>
                <w:sz w:val="20"/>
                <w:szCs w:val="20"/>
                <w:highlight w:val="none"/>
                <w:lang w:bidi="ar"/>
              </w:rPr>
              <w:t>经核查后异议不实的或提出异议却无法提供证明文件的</w:t>
            </w:r>
            <w:r>
              <w:rPr>
                <w:rFonts w:hint="eastAsia"/>
                <w:color w:val="000000"/>
                <w:sz w:val="20"/>
                <w:szCs w:val="20"/>
                <w:highlight w:val="none"/>
                <w:lang w:bidi="ar"/>
              </w:rPr>
              <w:t>。造成影响的。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16</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无事实依据对采购过程或采购结果进行乱投诉、举报的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情节较轻的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恶意投诉、举报的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对伪造证据、捏造事实、诬陷招标方或供应商管理、供应商使用单位人员的，一经查证</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19</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擅自变更、</w:t>
            </w:r>
            <w:r>
              <w:rPr>
                <w:rFonts w:hint="eastAsia"/>
                <w:b/>
                <w:bCs/>
                <w:color w:val="000000"/>
                <w:sz w:val="20"/>
                <w:szCs w:val="20"/>
                <w:highlight w:val="none"/>
                <w:lang w:bidi="ar"/>
              </w:rPr>
              <w:t>不按照合同规定履行或者擅自终止合同的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损失较轻或对安全生产影响较小的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20</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损失较大或对安全生产影响较大的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21</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b/>
                <w:bCs/>
                <w:color w:val="000000"/>
                <w:sz w:val="20"/>
                <w:szCs w:val="20"/>
                <w:highlight w:val="none"/>
                <w:lang w:bidi="ar"/>
              </w:rPr>
              <w:t>擅自降低标的功能标准或改变功能结构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及时整改未造成影响的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22</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损失较大或对安全生产影响较大的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23</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及时整改但造成一定影响的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24</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及时整改但影响较重的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25</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拒不整改的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26</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假冒其他厂家品牌，</w:t>
            </w:r>
            <w:r>
              <w:rPr>
                <w:rFonts w:hint="eastAsia"/>
                <w:b/>
                <w:bCs/>
                <w:color w:val="000000"/>
                <w:sz w:val="20"/>
                <w:szCs w:val="20"/>
                <w:highlight w:val="none"/>
                <w:lang w:bidi="ar"/>
              </w:rPr>
              <w:t>提供伪劣商品</w:t>
            </w:r>
            <w:r>
              <w:rPr>
                <w:rFonts w:hint="eastAsia"/>
                <w:color w:val="000000"/>
                <w:sz w:val="20"/>
                <w:szCs w:val="20"/>
                <w:highlight w:val="none"/>
                <w:lang w:bidi="ar"/>
              </w:rPr>
              <w:t>、以假乱真弄虚作假的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对生产经营造成影响较小</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27</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对生产经营影响较大；或虽然对生产经营影响较小，但拒绝整改的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28</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出现供给不足（即“</w:t>
            </w:r>
            <w:r>
              <w:rPr>
                <w:rFonts w:hint="eastAsia"/>
                <w:b/>
                <w:bCs/>
                <w:color w:val="000000"/>
                <w:sz w:val="20"/>
                <w:szCs w:val="20"/>
                <w:highlight w:val="none"/>
                <w:lang w:bidi="ar"/>
              </w:rPr>
              <w:t>短斤少两</w:t>
            </w:r>
            <w:r>
              <w:rPr>
                <w:rFonts w:hint="eastAsia"/>
                <w:color w:val="000000"/>
                <w:sz w:val="20"/>
                <w:szCs w:val="20"/>
                <w:highlight w:val="none"/>
                <w:lang w:bidi="ar"/>
              </w:rPr>
              <w:t>”行为）</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及时整改未产生影响的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29</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整改但产生影响的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拒不更正的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31</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所提供的产品</w:t>
            </w:r>
            <w:r>
              <w:rPr>
                <w:rFonts w:hint="eastAsia"/>
                <w:b/>
                <w:bCs/>
                <w:color w:val="000000"/>
                <w:sz w:val="20"/>
                <w:szCs w:val="20"/>
                <w:highlight w:val="none"/>
                <w:lang w:bidi="ar"/>
              </w:rPr>
              <w:t>存在严重质量问题</w:t>
            </w:r>
            <w:r>
              <w:rPr>
                <w:rFonts w:hint="eastAsia"/>
                <w:color w:val="000000"/>
                <w:sz w:val="20"/>
                <w:szCs w:val="20"/>
                <w:highlight w:val="none"/>
                <w:lang w:bidi="ar"/>
              </w:rPr>
              <w:t>，影响安全生产或对工程建设造成实质性影响的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对安全生产或工程建设影响较轻的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32</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对安全生产或工程建设影响较重的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33</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提供的产品/服务出现</w:t>
            </w:r>
            <w:r>
              <w:rPr>
                <w:rFonts w:hint="eastAsia"/>
                <w:b/>
                <w:bCs/>
                <w:color w:val="000000"/>
                <w:sz w:val="20"/>
                <w:szCs w:val="20"/>
                <w:highlight w:val="none"/>
                <w:lang w:bidi="ar"/>
              </w:rPr>
              <w:t>严重安全隐患</w:t>
            </w:r>
            <w:r>
              <w:rPr>
                <w:rFonts w:hint="eastAsia"/>
                <w:color w:val="000000"/>
                <w:sz w:val="20"/>
                <w:szCs w:val="20"/>
                <w:highlight w:val="none"/>
                <w:lang w:bidi="ar"/>
              </w:rPr>
              <w:t>，且拒绝整改或整改不及时、不到位的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提供的产品/服务出现严重安全隐患，且拒绝整改或整改不及时、不到位的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34</w:t>
            </w:r>
          </w:p>
        </w:tc>
        <w:tc>
          <w:tcPr>
            <w:tcW w:w="1266" w:type="dxa"/>
            <w:vMerge w:val="restart"/>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提供虚假进度报告</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未造成实质影响的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35</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造成实质性影响的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36</w:t>
            </w:r>
          </w:p>
        </w:tc>
        <w:tc>
          <w:tcPr>
            <w:tcW w:w="1266" w:type="dxa"/>
            <w:vMerge w:val="restart"/>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在允许分包项目中，违反分包承诺进行</w:t>
            </w:r>
            <w:r>
              <w:rPr>
                <w:rFonts w:hint="eastAsia"/>
                <w:b/>
                <w:bCs/>
                <w:color w:val="000000"/>
                <w:sz w:val="20"/>
                <w:szCs w:val="20"/>
                <w:highlight w:val="none"/>
                <w:lang w:bidi="ar"/>
              </w:rPr>
              <w:t>分包</w:t>
            </w:r>
            <w:r>
              <w:rPr>
                <w:rFonts w:hint="eastAsia"/>
                <w:color w:val="000000"/>
                <w:sz w:val="20"/>
                <w:szCs w:val="20"/>
                <w:highlight w:val="none"/>
                <w:lang w:bidi="ar"/>
              </w:rPr>
              <w:t>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37</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未及时更正其违规行为的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38</w:t>
            </w:r>
          </w:p>
        </w:tc>
        <w:tc>
          <w:tcPr>
            <w:tcW w:w="1266" w:type="dxa"/>
            <w:vMerge w:val="continue"/>
            <w:shd w:val="clear" w:color="auto" w:fill="auto"/>
            <w:vAlign w:val="center"/>
          </w:tcPr>
          <w:p>
            <w:pPr>
              <w:jc w:val="cente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39</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违反规定</w:t>
            </w:r>
            <w:r>
              <w:rPr>
                <w:rFonts w:hint="eastAsia"/>
                <w:b/>
                <w:bCs/>
                <w:color w:val="000000"/>
                <w:sz w:val="20"/>
                <w:szCs w:val="20"/>
                <w:highlight w:val="none"/>
                <w:lang w:bidi="ar"/>
              </w:rPr>
              <w:t>擅自把中标项目或合同转让、转包、分包</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未及时更正其违规行为的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41</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拒绝更正其违规行为的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42</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未经同意拖延交工、交货日期，</w:t>
            </w:r>
            <w:r>
              <w:rPr>
                <w:rFonts w:hint="eastAsia"/>
                <w:b/>
                <w:bCs/>
                <w:color w:val="000000"/>
                <w:sz w:val="20"/>
                <w:szCs w:val="20"/>
                <w:highlight w:val="none"/>
                <w:lang w:bidi="ar"/>
              </w:rPr>
              <w:t>延缓执行合同的期限</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未造成严重影响且愿意协商解决或</w:t>
            </w:r>
            <w:r>
              <w:rPr>
                <w:rFonts w:hint="eastAsia"/>
                <w:b/>
                <w:bCs/>
                <w:color w:val="000000"/>
                <w:sz w:val="20"/>
                <w:szCs w:val="20"/>
                <w:highlight w:val="none"/>
                <w:lang w:bidi="ar"/>
              </w:rPr>
              <w:t>承担赔偿责任的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依据合同条款进行处理，合同条款中未做约定的，可以不予处理。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43</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造成实质影响但愿意协商解决的，根据影响程度</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对供应商给予</w:t>
            </w:r>
            <w:r>
              <w:rPr>
                <w:rFonts w:hint="eastAsia"/>
                <w:b/>
                <w:bCs/>
                <w:color w:val="000000"/>
                <w:sz w:val="20"/>
                <w:szCs w:val="20"/>
                <w:highlight w:val="none"/>
                <w:lang w:bidi="ar"/>
              </w:rPr>
              <w:t>禁用一年至禁用两年”处理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44</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造成较重或严重影响且拒绝协商解决的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45</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拒绝履行售后义务</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拒绝履行售后服务义务并拒绝协商解决的情况，及其他因供应商的原因导致中国海油受损，并拒绝协商解决和赔偿责任的情况</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46</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拒不配合</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拒绝中国海油管理部门的监督检查或不如实反映情况、提供材料的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47</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行贿</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向采购交易所涉及的相关方或能产生实际影响的相关方行贿,行贿判定的依据为检察院或法院书面判定</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48</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使用禁用供应商</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参与或承揽中国海油业务时，在已知晓或应当知晓的情况下，仍代理被中国海油禁用其他供应商的产品、服务，或将已获取的合同对其分包的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49</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未经许可，对外</w:t>
            </w:r>
            <w:r>
              <w:rPr>
                <w:rFonts w:hint="eastAsia"/>
                <w:b/>
                <w:bCs/>
                <w:color w:val="000000"/>
                <w:sz w:val="20"/>
                <w:szCs w:val="20"/>
                <w:highlight w:val="none"/>
                <w:lang w:bidi="ar"/>
              </w:rPr>
              <w:t>披露中国海油商业秘密</w:t>
            </w:r>
            <w:r>
              <w:rPr>
                <w:rFonts w:hint="eastAsia"/>
                <w:color w:val="000000"/>
                <w:sz w:val="20"/>
                <w:szCs w:val="20"/>
                <w:highlight w:val="none"/>
                <w:lang w:bidi="ar"/>
              </w:rPr>
              <w:t>信息的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未造成经济损失或名誉损失的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造成经济损失或名誉损失的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51</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由于供应商的过失，与</w:t>
            </w:r>
            <w:r>
              <w:rPr>
                <w:rFonts w:hint="eastAsia"/>
                <w:b/>
                <w:bCs/>
                <w:color w:val="000000"/>
                <w:sz w:val="20"/>
                <w:szCs w:val="20"/>
                <w:highlight w:val="none"/>
                <w:lang w:bidi="ar"/>
              </w:rPr>
              <w:t>中国海油及所属单位产生法律诉讼的</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由于供应商的过失，与中国海油及所属单位产生法律诉讼的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52</w:t>
            </w:r>
          </w:p>
        </w:tc>
        <w:tc>
          <w:tcPr>
            <w:tcW w:w="1266"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三年内记满10分的供应商，或连续三个合同执行过程中均发生“C级”事故</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公司安全生产部将通知采办共享中心，采办共享中心书面通知供应商，并按程序清理出公司供应商库</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对供应商给予“禁用三年”</w:t>
            </w:r>
            <w:r>
              <w:rPr>
                <w:rFonts w:hint="eastAsia"/>
                <w:color w:val="000000"/>
                <w:sz w:val="20"/>
                <w:szCs w:val="20"/>
                <w:highlight w:val="none"/>
                <w:lang w:val="en-US" w:eastAsia="zh-CN" w:bidi="ar"/>
              </w:rPr>
              <w:t>处理</w:t>
            </w:r>
            <w:r>
              <w:rPr>
                <w:rFonts w:hint="eastAsia"/>
                <w:color w:val="000000"/>
                <w:sz w:val="20"/>
                <w:szCs w:val="20"/>
                <w:highlight w:val="none"/>
                <w:lang w:bidi="ar"/>
              </w:rPr>
              <w:t>；情节严重的，</w:t>
            </w: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53</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供应商在提报中国海油员工、</w:t>
            </w:r>
            <w:r>
              <w:rPr>
                <w:rFonts w:hint="eastAsia"/>
                <w:b/>
                <w:bCs/>
                <w:color w:val="000000"/>
                <w:sz w:val="20"/>
                <w:szCs w:val="20"/>
                <w:highlight w:val="none"/>
                <w:lang w:bidi="ar"/>
              </w:rPr>
              <w:t>员工亲属、离职退休的领导人员在本单位的任职</w:t>
            </w:r>
            <w:r>
              <w:rPr>
                <w:rFonts w:hint="eastAsia"/>
                <w:color w:val="000000"/>
                <w:sz w:val="20"/>
                <w:szCs w:val="20"/>
                <w:highlight w:val="none"/>
                <w:lang w:bidi="ar"/>
              </w:rPr>
              <w:t>和持股情况时</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存在瞒报相关情况的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54</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存在利用中国海油人员的职务之便牟取不正当利益情形的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55</w:t>
            </w:r>
          </w:p>
        </w:tc>
        <w:tc>
          <w:tcPr>
            <w:tcW w:w="1266"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经营状况异常</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国家机关、权威机构网站公布的严重违法失信企业，或被列入失信人名单等情形</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给予“无固定期禁用”处理，直至其经营风险被解除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56</w:t>
            </w:r>
          </w:p>
        </w:tc>
        <w:tc>
          <w:tcPr>
            <w:tcW w:w="1266" w:type="dxa"/>
            <w:vMerge w:val="restart"/>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其它违反国家、集团公司及海油发展规章制度的行为</w:t>
            </w: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违反国家政策、法律法规，存在不与农民工签订合同，或</w:t>
            </w:r>
            <w:r>
              <w:rPr>
                <w:rFonts w:hint="eastAsia"/>
                <w:b/>
                <w:bCs/>
                <w:color w:val="000000"/>
                <w:sz w:val="20"/>
                <w:szCs w:val="20"/>
                <w:highlight w:val="none"/>
                <w:lang w:bidi="ar"/>
              </w:rPr>
              <w:t>存在拖欠农民工工资问题</w:t>
            </w:r>
            <w:r>
              <w:rPr>
                <w:rFonts w:hint="eastAsia"/>
                <w:color w:val="000000"/>
                <w:sz w:val="20"/>
                <w:szCs w:val="20"/>
                <w:highlight w:val="none"/>
                <w:lang w:bidi="ar"/>
              </w:rPr>
              <w:t>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57</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违反国家政策、法律法规，对破坏生态环境，</w:t>
            </w:r>
            <w:r>
              <w:rPr>
                <w:rFonts w:hint="eastAsia"/>
                <w:b/>
                <w:bCs/>
                <w:color w:val="000000"/>
                <w:sz w:val="20"/>
                <w:szCs w:val="20"/>
                <w:highlight w:val="none"/>
                <w:lang w:bidi="ar"/>
              </w:rPr>
              <w:t>对环境造成污染的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58</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违反劳动法</w:t>
            </w:r>
            <w:r>
              <w:rPr>
                <w:rFonts w:hint="eastAsia"/>
                <w:color w:val="000000"/>
                <w:sz w:val="20"/>
                <w:szCs w:val="20"/>
                <w:highlight w:val="none"/>
                <w:lang w:bidi="ar"/>
              </w:rPr>
              <w:t>等法规，引起员工仲裁并对中国海油造成不良影响的</w:t>
            </w:r>
          </w:p>
        </w:tc>
        <w:tc>
          <w:tcPr>
            <w:tcW w:w="1281"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59</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b/>
                <w:bCs/>
                <w:color w:val="000000"/>
                <w:sz w:val="20"/>
                <w:szCs w:val="20"/>
                <w:highlight w:val="none"/>
                <w:lang w:bidi="ar"/>
              </w:rPr>
              <w:t>对存在其它不当行为可能给中国海油带来风险的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根据情况或问题程度，对供应商进行“约谈”或“警告”处理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60</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对存在其它不当行为已经给中国海油带来风险的</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根据情况或问题程度，依据风险情形，对供应商进行“禁用一年”至“长期禁用”处理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658" w:type="dxa"/>
            <w:shd w:val="clear" w:color="auto" w:fill="auto"/>
            <w:vAlign w:val="center"/>
          </w:tcPr>
          <w:p>
            <w:pPr>
              <w:jc w:val="center"/>
              <w:textAlignment w:val="center"/>
              <w:rPr>
                <w:color w:val="000000"/>
                <w:sz w:val="20"/>
                <w:szCs w:val="20"/>
                <w:highlight w:val="none"/>
              </w:rPr>
            </w:pPr>
            <w:r>
              <w:rPr>
                <w:rFonts w:hint="eastAsia"/>
                <w:color w:val="000000"/>
                <w:sz w:val="20"/>
                <w:szCs w:val="20"/>
                <w:highlight w:val="none"/>
                <w:lang w:bidi="ar"/>
              </w:rPr>
              <w:t>61</w:t>
            </w:r>
          </w:p>
        </w:tc>
        <w:tc>
          <w:tcPr>
            <w:tcW w:w="1266" w:type="dxa"/>
            <w:vMerge w:val="continue"/>
            <w:shd w:val="clear" w:color="auto" w:fill="auto"/>
            <w:vAlign w:val="center"/>
          </w:tcPr>
          <w:p>
            <w:pPr>
              <w:rPr>
                <w:color w:val="000000"/>
                <w:sz w:val="20"/>
                <w:szCs w:val="20"/>
                <w:highlight w:val="none"/>
              </w:rPr>
            </w:pPr>
          </w:p>
        </w:tc>
        <w:tc>
          <w:tcPr>
            <w:tcW w:w="5484"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其它</w:t>
            </w:r>
            <w:r>
              <w:rPr>
                <w:rFonts w:hint="eastAsia"/>
                <w:b/>
                <w:bCs/>
                <w:color w:val="000000"/>
                <w:sz w:val="20"/>
                <w:szCs w:val="20"/>
                <w:highlight w:val="none"/>
                <w:lang w:bidi="ar"/>
              </w:rPr>
              <w:t>违反国家法律法规及集团公司规章制度</w:t>
            </w:r>
            <w:r>
              <w:rPr>
                <w:rFonts w:hint="eastAsia"/>
                <w:color w:val="000000"/>
                <w:sz w:val="20"/>
                <w:szCs w:val="20"/>
                <w:highlight w:val="none"/>
                <w:lang w:bidi="ar"/>
              </w:rPr>
              <w:t>的行为，包括国家、审计、纪检监察、巡视等函件反映问题等</w:t>
            </w:r>
          </w:p>
        </w:tc>
        <w:tc>
          <w:tcPr>
            <w:tcW w:w="1281" w:type="dxa"/>
            <w:shd w:val="clear" w:color="auto" w:fill="auto"/>
            <w:vAlign w:val="center"/>
          </w:tcPr>
          <w:p>
            <w:pPr>
              <w:textAlignment w:val="center"/>
              <w:rPr>
                <w:color w:val="000000"/>
                <w:sz w:val="20"/>
                <w:szCs w:val="20"/>
                <w:highlight w:val="none"/>
              </w:rPr>
            </w:pPr>
            <w:r>
              <w:rPr>
                <w:rFonts w:hint="eastAsia"/>
                <w:color w:val="000000"/>
                <w:sz w:val="20"/>
                <w:szCs w:val="20"/>
                <w:highlight w:val="none"/>
                <w:lang w:bidi="ar"/>
              </w:rPr>
              <w:t>由集团公司工程与物装部或集团公司工程与物装部组织相关管理部门及所属单位，对供应商问题性质及业务实际情况判定，进行相应处理</w:t>
            </w:r>
          </w:p>
        </w:tc>
      </w:tr>
    </w:tbl>
    <w:p>
      <w:pPr>
        <w:rPr>
          <w:rFonts w:asciiTheme="minorEastAsia" w:hAnsiTheme="minorEastAsia"/>
          <w:sz w:val="24"/>
          <w:szCs w:val="24"/>
          <w:highlight w:val="none"/>
        </w:rPr>
      </w:pPr>
    </w:p>
    <w:p>
      <w:pPr>
        <w:pStyle w:val="5"/>
        <w:rPr>
          <w:rFonts w:asciiTheme="minorEastAsia" w:hAnsiTheme="minorEastAsia"/>
          <w:sz w:val="24"/>
          <w:szCs w:val="24"/>
          <w:highlight w:val="none"/>
        </w:rPr>
      </w:pPr>
    </w:p>
    <w:p>
      <w:pPr>
        <w:rPr>
          <w:rFonts w:hint="eastAsia" w:asciiTheme="minorEastAsia" w:hAnsiTheme="minorEastAsia"/>
          <w:sz w:val="24"/>
          <w:szCs w:val="24"/>
          <w:highlight w:val="none"/>
          <w:lang w:val="en-US" w:eastAsia="zh-CN"/>
        </w:rPr>
      </w:pPr>
    </w:p>
    <w:p>
      <w:pPr>
        <w:rPr>
          <w:rFonts w:hint="eastAsia" w:asciiTheme="minorEastAsia" w:hAnsiTheme="minorEastAsia"/>
          <w:sz w:val="24"/>
          <w:szCs w:val="24"/>
          <w:highlight w:val="none"/>
          <w:lang w:val="en-US" w:eastAsia="zh-CN"/>
        </w:rPr>
      </w:pPr>
    </w:p>
    <w:p>
      <w:pPr>
        <w:rPr>
          <w:rFonts w:hint="eastAsia" w:asciiTheme="minorEastAsia" w:hAnsiTheme="minorEastAsia"/>
          <w:sz w:val="24"/>
          <w:szCs w:val="24"/>
          <w:highlight w:val="none"/>
          <w:lang w:val="en-US" w:eastAsia="zh-CN"/>
        </w:rPr>
      </w:pPr>
    </w:p>
    <w:p>
      <w:pPr>
        <w:outlineLvl w:val="9"/>
        <w:rPr>
          <w:rFonts w:hint="eastAsia" w:ascii="黑体" w:hAnsi="黑体" w:eastAsia="黑体"/>
          <w:sz w:val="24"/>
          <w:szCs w:val="22"/>
          <w:highlight w:val="none"/>
          <w:lang w:val="en-US" w:eastAsia="zh-CN"/>
        </w:rPr>
      </w:pPr>
      <w:r>
        <w:rPr>
          <w:rFonts w:hint="eastAsia" w:ascii="黑体" w:hAnsi="黑体" w:eastAsia="黑体"/>
          <w:sz w:val="24"/>
          <w:szCs w:val="22"/>
          <w:highlight w:val="none"/>
          <w:lang w:val="en-US" w:eastAsia="zh-CN"/>
        </w:rPr>
        <w:br w:type="page"/>
      </w:r>
    </w:p>
    <w:p>
      <w:pPr>
        <w:outlineLvl w:val="1"/>
        <w:rPr>
          <w:rFonts w:hint="default" w:asciiTheme="minorEastAsia" w:hAnsiTheme="minorEastAsia" w:eastAsiaTheme="minorEastAsia"/>
          <w:sz w:val="24"/>
          <w:szCs w:val="24"/>
          <w:highlight w:val="none"/>
          <w:lang w:val="en-US" w:eastAsia="zh-CN"/>
        </w:rPr>
      </w:pPr>
      <w:r>
        <w:rPr>
          <w:rFonts w:hint="eastAsia" w:ascii="黑体" w:hAnsi="黑体" w:eastAsia="黑体"/>
          <w:sz w:val="24"/>
          <w:szCs w:val="22"/>
          <w:highlight w:val="none"/>
          <w:lang w:val="en-US" w:eastAsia="zh-CN"/>
        </w:rPr>
        <w:t>4.2集团公司</w:t>
      </w:r>
      <w:r>
        <w:rPr>
          <w:rFonts w:hint="eastAsia" w:ascii="黑体" w:hAnsi="黑体" w:eastAsia="黑体"/>
          <w:sz w:val="24"/>
          <w:highlight w:val="none"/>
        </w:rPr>
        <w:t>供应商处理情形和处理标准</w:t>
      </w:r>
    </w:p>
    <w:p>
      <w:pPr>
        <w:pStyle w:val="5"/>
        <w:rPr>
          <w:rFonts w:asciiTheme="minorEastAsia" w:hAnsiTheme="minorEastAsia"/>
          <w:sz w:val="24"/>
          <w:szCs w:val="24"/>
          <w:highlight w:val="none"/>
        </w:rPr>
      </w:pPr>
    </w:p>
    <w:tbl>
      <w:tblPr>
        <w:tblStyle w:val="1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01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3"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序号</w:t>
            </w:r>
          </w:p>
        </w:tc>
        <w:tc>
          <w:tcPr>
            <w:tcW w:w="4015"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违规类型</w:t>
            </w:r>
          </w:p>
        </w:tc>
        <w:tc>
          <w:tcPr>
            <w:tcW w:w="4012" w:type="dxa"/>
            <w:shd w:val="clear" w:color="auto" w:fill="auto"/>
            <w:vAlign w:val="center"/>
          </w:tcPr>
          <w:p>
            <w:pPr>
              <w:widowControl/>
              <w:jc w:val="center"/>
              <w:rPr>
                <w:rFonts w:hint="eastAsia"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提供虚假材料（资质文件、业绩、财务状况、书面承诺等）进行供应商注册、资格审查或参与采购项目。</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未造成损失的，对供应商给予“禁用一年”或“禁用两年”处理；造成损失根据损失程度再增加对其处理。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为达到不正当目的相互恶意串通，包括与采购人，代理机构或供应商之间串通。</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根据影响程度，对供应商给予“禁用两年”或“长期禁用”处理；</w:t>
            </w:r>
          </w:p>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注册供应商发生围标串标给予“长期禁用”处理。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向采购交易所涉及的相关方或能产生实际影响的相关方行贿。</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在采购结果公布之前，违法违规获得非公开评标信息，或采取不正当手段妨碍、排挤其他供应商投标或中标的，证据确凿。</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softHyphen/>
            </w:r>
            <w:r>
              <w:rPr>
                <w:rFonts w:hint="eastAsia" w:ascii="宋体" w:hAnsi="宋体" w:eastAsia="宋体" w:cs="宋体"/>
                <w:color w:val="000000" w:themeColor="text1"/>
                <w:kern w:val="0"/>
                <w:sz w:val="20"/>
                <w:szCs w:val="20"/>
                <w:highlight w:val="none"/>
                <w14:textFill>
                  <w14:solidFill>
                    <w14:schemeClr w14:val="tx1"/>
                  </w14:solidFill>
                </w14:textFill>
              </w:rPr>
              <w:t>投标截止后撤销投标文件的，以及在中标公示或公告阶段，中标候选人放弃中标资格。</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根据影响程度，对供应商给予“禁用一年”或“禁用两年”处理。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获取中标资格或成交资格拒绝签订合同。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不遵守招投标相关纪律或工作要求：如在开标、评标现场无理取闹，违反招投标程序,不遵守招投标秩序等情形。</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8</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无事实依据对采购过程、采购结果或供应商处理结果进行乱投诉、举报的缠诉、滥诉行为。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对供应商给予“警告”处理；恶意投诉、举报的，对供应商给予“禁用两年”处理；对伪造证据、捏造事实、诬陷招标方或供应商管理、供应商使用单位人员的，一经查证，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9</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擅自变更、不按照合同规定履行或者擅自终止合同。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情节较轻的，对供应商给予“禁用两年”处理；情节严重的，对供应商给予“长期禁用”处理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10</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擅自降低标的功能标准或改变功能结构。供应商在提供工程、货物和服务时，擅自降低原来规定的功能标准，改变功能结构，使采购原有的功能要求得不到保证。</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整改且未造成影响的，对供应商可以不予处理；及时整改但造成一定影响的，对供应商给予“禁用一年”处理；及时整改但影响较重的，视情况对供应商给予“禁用两年”处理；拒不整改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假冒其他厂家品牌，提供伪劣商品、以假乱真弄虚作假。</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出现供给不足（即“短斤少两”行为）。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及时整改未产生影响的可以不予处理；整改但产生影响的，对供应商或相关品类给予“禁用一年”处理；拒不更正的，对供应商给予“长期禁用”处理。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提供虚假进度报告。</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未造成实质影响的给予供应商“禁用一年”处理；造成实质性影响的，对供应商给予“禁用两年”处理。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违反规定将中标项目或合同转让、转包、分包。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及时更正其违规行为的，视情形对供应商给予“警告至禁用一年”处理；拒绝更正其违规行为的，对供应商给予“长期禁用”处理。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未经同意拖延完工、交货日期，延缓执行合同的期限。</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实质影响且愿意协商解决或承担赔偿责任的，对供应商给予“警告”处理；造成实质影响但愿意协商解决的，根据影响程度，对供应商或相关品类给予“禁用一年”或“禁用两年”处理；造成严重影响，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拒绝中国海油管理部门的监督检查或不如实反映情况、提供材料。</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参与或承揽中国海油业务时，在已知晓或应当知晓的情况下，仍代理被中国海油禁用其他供应商的产品、服务，或将已获取的合同对其分包。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对该供应商给予“禁用一年”处理。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18</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拒绝履行售后服务义务并拒绝协商解决的情况，及其他因供应商的原因导致中国海油受损，并拒绝协商解决和赔偿责任的情况。</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19</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所提供的产品存在严重质量问题，影响安全生产或对工程建设造成实质性影响。</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根据专业机构调查结论，对供应商</w:t>
            </w:r>
            <w:r>
              <w:rPr>
                <w:rFonts w:hint="eastAsia" w:ascii="宋体" w:hAnsi="宋体" w:eastAsia="宋体" w:cs="宋体"/>
                <w:sz w:val="20"/>
                <w:szCs w:val="20"/>
                <w:highlight w:val="none"/>
              </w:rPr>
              <w:t>或相关品类</w:t>
            </w:r>
            <w:r>
              <w:rPr>
                <w:rFonts w:hint="eastAsia" w:ascii="宋体" w:hAnsi="宋体" w:eastAsia="宋体" w:cs="宋体"/>
                <w:color w:val="000000" w:themeColor="text1"/>
                <w:kern w:val="0"/>
                <w:sz w:val="20"/>
                <w:szCs w:val="20"/>
                <w:highlight w:val="none"/>
                <w14:textFill>
                  <w14:solidFill>
                    <w14:schemeClr w14:val="tx1"/>
                  </w14:solidFill>
                </w14:textFill>
              </w:rPr>
              <w:t>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20</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提供的产品/服务出现安全隐患，且拒绝整改或整改不及时、不到位。</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存在安全隐患且整改不到位的，给予供应商“禁用两年”处理；存在严重安全隐患且整改不到位的，对供应商给予“长期禁用”处理。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21</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未经许可，对外披露中国海油商业秘密信息。</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情节较轻的，供应商给予“禁用一年”处理；情节较重的，供应商给予“禁用两年”处理；情节严重的，对供应商给予“长期禁用”处理。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22</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由于供应商的原因，与中国海油及所属单位产生法律诉讼。</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23</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发生“一般A级”及以上安全事故且负主要责任的供应商。</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视情形对供应商给予“禁用一年”或“禁用两年”处理，情节严重的，给予“长期禁用”处理。“一般A级”以下级别根据情况或问题程度，约谈供应商，或“警告”处理。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24</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供应商在提报中国海油员工、员工亲属、离职退休的领导人员在本单位的任职和持股情况时，存在瞒报相关情况或发现利用职务之便谋取不正当利益的。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存在瞒报相关情况的，对供应商给予“禁用一年”处理；发现利用中国海油人员的职务之便牟取不正当利益情形的，对供应商给予“长期禁用”处理。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25</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在承揽的中国海油业务中，存在拖欠农民工工资行为的。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未造成不良影响并及时整改的，对供应商给予“警告”处理；整改不及时或影响较大的，对供应商给予“禁用一年”或“禁用两年”处理。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26</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对存在其他不当行为可能给中国海油带来风险。</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27</w:t>
            </w:r>
          </w:p>
        </w:tc>
        <w:tc>
          <w:tcPr>
            <w:tcW w:w="4015"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其他违反国家法律法规及集团公司规章制度的行为，包括国家、审计、纪检监察、巡视等函件反映问题。</w:t>
            </w:r>
          </w:p>
        </w:tc>
        <w:tc>
          <w:tcPr>
            <w:tcW w:w="4012" w:type="dxa"/>
            <w:shd w:val="clear" w:color="auto" w:fill="auto"/>
            <w:vAlign w:val="center"/>
          </w:tcPr>
          <w:p>
            <w:pPr>
              <w:widowControl/>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由工程与物装部组织相关管理部门及所属单位，对供应商问题性质及业务实际情况判定，进行相应处理。</w:t>
            </w:r>
          </w:p>
        </w:tc>
      </w:tr>
    </w:tbl>
    <w:p>
      <w:pPr>
        <w:pStyle w:val="9"/>
        <w:ind w:left="0" w:leftChars="0" w:firstLine="0" w:firstLineChars="0"/>
        <w:rPr>
          <w:rFonts w:hint="eastAsia" w:ascii="宋体" w:hAnsi="宋体" w:cs="宋体"/>
          <w:sz w:val="20"/>
          <w:szCs w:val="20"/>
          <w:highlight w:val="none"/>
          <w:lang w:eastAsia="zh-CN"/>
        </w:rPr>
      </w:pPr>
    </w:p>
    <w:p>
      <w:pPr>
        <w:pStyle w:val="5"/>
        <w:ind w:firstLine="0" w:firstLineChars="0"/>
        <w:rPr>
          <w:rFonts w:hint="default" w:eastAsia="宋体"/>
          <w:highlight w:val="none"/>
          <w:lang w:val="en-US" w:eastAsia="zh-CN"/>
        </w:rPr>
      </w:pPr>
      <w:r>
        <w:rPr>
          <w:rFonts w:hint="eastAsia" w:eastAsia="宋体"/>
          <w:highlight w:val="none"/>
          <w:lang w:val="en-US" w:eastAsia="zh-CN"/>
        </w:rPr>
        <w:t>供应商处理结果以集团公司审批为准，本附件仅作为风险提示。</w:t>
      </w: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rPr>
      </w:pPr>
    </w:p>
    <w:p>
      <w:pPr>
        <w:pStyle w:val="5"/>
        <w:rPr>
          <w:highlight w:val="none"/>
        </w:rPr>
      </w:pPr>
    </w:p>
    <w:p>
      <w:pPr>
        <w:rPr>
          <w:highlight w:val="none"/>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t>附件5：商务文件</w:t>
      </w:r>
    </w:p>
    <w:p>
      <w:pPr>
        <w:pStyle w:val="22"/>
        <w:rPr>
          <w:rFonts w:hint="eastAsia"/>
          <w:highlight w:val="none"/>
          <w:lang w:val="en-US" w:eastAsia="zh-CN"/>
        </w:rPr>
      </w:pPr>
    </w:p>
    <w:p>
      <w:pPr>
        <w:autoSpaceDE/>
        <w:autoSpaceDN/>
        <w:adjustRightInd/>
        <w:jc w:val="both"/>
        <w:outlineLvl w:val="0"/>
        <w:rPr>
          <w:rFonts w:hint="eastAsia" w:ascii="宋体" w:hAnsi="宋体" w:eastAsiaTheme="minorEastAsia" w:cstheme="minorBidi"/>
          <w:b w:val="0"/>
          <w:bCs w:val="0"/>
          <w:color w:val="000000"/>
          <w:sz w:val="21"/>
          <w:szCs w:val="22"/>
          <w:highlight w:val="none"/>
          <w:lang w:eastAsia="zh-CN"/>
        </w:rPr>
      </w:pPr>
      <w:r>
        <w:rPr>
          <w:rFonts w:hint="eastAsia" w:ascii="宋体" w:hAnsi="宋体" w:eastAsiaTheme="minorEastAsia" w:cstheme="minorBidi"/>
          <w:b w:val="0"/>
          <w:bCs w:val="0"/>
          <w:color w:val="000000"/>
          <w:kern w:val="2"/>
          <w:sz w:val="21"/>
          <w:szCs w:val="22"/>
          <w:highlight w:val="none"/>
          <w:lang w:val="en-US" w:eastAsia="zh-CN"/>
        </w:rPr>
        <w:t>5.1：</w:t>
      </w:r>
      <w:r>
        <w:rPr>
          <w:rFonts w:hint="eastAsia" w:ascii="宋体" w:hAnsi="宋体" w:eastAsiaTheme="minorEastAsia" w:cstheme="minorBidi"/>
          <w:bCs w:val="0"/>
          <w:color w:val="000000"/>
          <w:sz w:val="21"/>
          <w:szCs w:val="22"/>
          <w:highlight w:val="none"/>
          <w:lang w:eastAsia="zh-CN"/>
        </w:rPr>
        <w:t>营业执照</w:t>
      </w:r>
    </w:p>
    <w:p>
      <w:pPr>
        <w:adjustRightInd/>
        <w:jc w:val="both"/>
        <w:outlineLvl w:val="0"/>
        <w:rPr>
          <w:rFonts w:hint="default"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b w:val="0"/>
          <w:bCs w:val="0"/>
          <w:color w:val="000000"/>
          <w:kern w:val="2"/>
          <w:sz w:val="21"/>
          <w:szCs w:val="22"/>
          <w:highlight w:val="none"/>
          <w:lang w:val="en-US" w:eastAsia="zh-CN"/>
        </w:rPr>
        <w:t>5.2：</w:t>
      </w:r>
      <w:r>
        <w:rPr>
          <w:rFonts w:hint="eastAsia" w:ascii="宋体" w:hAnsi="宋体" w:eastAsiaTheme="minorEastAsia" w:cstheme="minorBidi"/>
          <w:color w:val="000000"/>
          <w:kern w:val="2"/>
          <w:sz w:val="21"/>
          <w:szCs w:val="22"/>
          <w:highlight w:val="none"/>
          <w:lang w:val="en-US" w:eastAsia="zh-CN" w:bidi="ar-SA"/>
        </w:rPr>
        <w:t>法定代表人（单位负责人）身份证明</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5.3：法定代表人授权委托书（如涉及）</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kern w:val="2"/>
          <w:sz w:val="21"/>
          <w:szCs w:val="22"/>
          <w:highlight w:val="none"/>
          <w:lang w:val="en-US" w:eastAsia="zh-CN" w:bidi="ar-SA"/>
        </w:rPr>
      </w:pPr>
      <w:r>
        <w:rPr>
          <w:rFonts w:hint="eastAsia" w:ascii="宋体" w:hAnsi="宋体" w:eastAsiaTheme="minorEastAsia" w:cstheme="minorBidi"/>
          <w:color w:val="000000"/>
          <w:kern w:val="2"/>
          <w:sz w:val="21"/>
          <w:szCs w:val="22"/>
          <w:highlight w:val="none"/>
          <w:lang w:val="en-US" w:eastAsia="zh-CN" w:bidi="ar-SA"/>
        </w:rPr>
        <w:t>5.4：专业资质（如涉及）</w:t>
      </w:r>
    </w:p>
    <w:p>
      <w:pPr>
        <w:adjustRightInd/>
        <w:jc w:val="both"/>
        <w:outlineLvl w:val="0"/>
        <w:rPr>
          <w:rFonts w:hint="eastAsia" w:ascii="宋体" w:hAnsi="宋体" w:eastAsiaTheme="minorEastAsia" w:cstheme="minorBidi"/>
          <w:color w:val="000000"/>
          <w:sz w:val="21"/>
          <w:szCs w:val="22"/>
          <w:highlight w:val="none"/>
          <w:lang w:eastAsia="zh-CN"/>
        </w:rPr>
      </w:pPr>
      <w:r>
        <w:rPr>
          <w:rFonts w:hint="eastAsia" w:ascii="宋体" w:hAnsi="宋体" w:eastAsiaTheme="minorEastAsia" w:cstheme="minorBidi"/>
          <w:color w:val="000000"/>
          <w:kern w:val="2"/>
          <w:sz w:val="21"/>
          <w:szCs w:val="22"/>
          <w:highlight w:val="none"/>
          <w:lang w:val="en-US" w:eastAsia="zh-CN" w:bidi="ar-SA"/>
        </w:rPr>
        <w:t>5.</w:t>
      </w:r>
      <w:r>
        <w:rPr>
          <w:rFonts w:hint="eastAsia" w:ascii="宋体" w:hAnsi="宋体" w:cstheme="minorBidi"/>
          <w:color w:val="000000"/>
          <w:kern w:val="2"/>
          <w:sz w:val="21"/>
          <w:szCs w:val="22"/>
          <w:highlight w:val="none"/>
          <w:lang w:val="en-US" w:eastAsia="zh-CN" w:bidi="ar-SA"/>
        </w:rPr>
        <w:t>5</w:t>
      </w:r>
      <w:r>
        <w:rPr>
          <w:rFonts w:hint="eastAsia" w:ascii="宋体" w:hAnsi="宋体" w:eastAsiaTheme="minorEastAsia" w:cstheme="minorBidi"/>
          <w:color w:val="000000"/>
          <w:kern w:val="2"/>
          <w:sz w:val="21"/>
          <w:szCs w:val="22"/>
          <w:highlight w:val="none"/>
          <w:lang w:val="en-US" w:eastAsia="zh-CN" w:bidi="ar-SA"/>
        </w:rPr>
        <w:t>：</w:t>
      </w:r>
      <w:r>
        <w:rPr>
          <w:rFonts w:hint="eastAsia" w:ascii="宋体" w:hAnsi="宋体" w:eastAsiaTheme="minorEastAsia" w:cstheme="minorBidi"/>
          <w:color w:val="000000"/>
          <w:sz w:val="21"/>
          <w:szCs w:val="22"/>
          <w:highlight w:val="none"/>
          <w:lang w:eastAsia="zh-CN"/>
        </w:rPr>
        <w:t>环境管理体系认证、质量管理体系认证、健康安全管理体系认证和国家强制产品认证等相关否决事项，</w:t>
      </w:r>
      <w:r>
        <w:rPr>
          <w:rFonts w:hint="eastAsia" w:ascii="宋体" w:hAnsi="宋体" w:cstheme="minorBidi"/>
          <w:color w:val="000000"/>
          <w:sz w:val="21"/>
          <w:szCs w:val="22"/>
          <w:highlight w:val="none"/>
          <w:lang w:val="en-US" w:eastAsia="zh-CN"/>
        </w:rPr>
        <w:t>并可</w:t>
      </w:r>
      <w:r>
        <w:rPr>
          <w:rFonts w:hint="eastAsia" w:ascii="宋体" w:hAnsi="宋体" w:eastAsiaTheme="minorEastAsia" w:cstheme="minorBidi"/>
          <w:color w:val="000000"/>
          <w:sz w:val="21"/>
          <w:szCs w:val="22"/>
          <w:highlight w:val="none"/>
          <w:lang w:eastAsia="zh-CN"/>
        </w:rPr>
        <w:t>在中国国家认证认可监督管理委员会网站（</w:t>
      </w:r>
      <w:r>
        <w:rPr>
          <w:rFonts w:hint="eastAsia" w:ascii="宋体" w:hAnsi="宋体" w:eastAsiaTheme="minorEastAsia" w:cstheme="minorBidi"/>
          <w:color w:val="000000"/>
          <w:sz w:val="21"/>
          <w:szCs w:val="22"/>
          <w:highlight w:val="none"/>
          <w:lang w:eastAsia="zh-CN"/>
        </w:rPr>
        <w:fldChar w:fldCharType="begin"/>
      </w:r>
      <w:r>
        <w:rPr>
          <w:rFonts w:hint="eastAsia" w:ascii="宋体" w:hAnsi="宋体" w:eastAsiaTheme="minorEastAsia" w:cstheme="minorBidi"/>
          <w:color w:val="000000"/>
          <w:sz w:val="21"/>
          <w:szCs w:val="22"/>
          <w:highlight w:val="none"/>
          <w:lang w:eastAsia="zh-CN"/>
        </w:rPr>
        <w:instrText xml:space="preserve"> HYPERLINK "http://www.cnca.gov.cn）核实" </w:instrText>
      </w:r>
      <w:r>
        <w:rPr>
          <w:rFonts w:hint="eastAsia" w:ascii="宋体" w:hAnsi="宋体" w:eastAsiaTheme="minorEastAsia" w:cstheme="minorBidi"/>
          <w:color w:val="000000"/>
          <w:sz w:val="21"/>
          <w:szCs w:val="22"/>
          <w:highlight w:val="none"/>
          <w:lang w:eastAsia="zh-CN"/>
        </w:rPr>
        <w:fldChar w:fldCharType="separate"/>
      </w:r>
      <w:r>
        <w:rPr>
          <w:rFonts w:hint="eastAsia" w:ascii="宋体" w:hAnsi="宋体" w:eastAsiaTheme="minorEastAsia" w:cstheme="minorBidi"/>
          <w:color w:val="000000"/>
          <w:sz w:val="21"/>
          <w:szCs w:val="22"/>
          <w:highlight w:val="none"/>
          <w:lang w:eastAsia="zh-CN"/>
        </w:rPr>
        <w:t>http://www.cnca.gov.cn）核实</w:t>
      </w:r>
      <w:r>
        <w:rPr>
          <w:rFonts w:hint="eastAsia" w:ascii="宋体" w:hAnsi="宋体" w:eastAsiaTheme="minorEastAsia" w:cstheme="minorBidi"/>
          <w:color w:val="000000"/>
          <w:sz w:val="21"/>
          <w:szCs w:val="22"/>
          <w:highlight w:val="none"/>
          <w:lang w:eastAsia="zh-CN"/>
        </w:rPr>
        <w:fldChar w:fldCharType="end"/>
      </w:r>
    </w:p>
    <w:p>
      <w:pPr>
        <w:adjustRightInd/>
        <w:jc w:val="both"/>
        <w:outlineLvl w:val="0"/>
        <w:rPr>
          <w:rFonts w:hint="eastAsia" w:ascii="宋体" w:hAnsi="宋体" w:eastAsiaTheme="minorEastAsia" w:cstheme="minorBidi"/>
          <w:strike w:val="0"/>
          <w:dstrike w:val="0"/>
          <w:color w:val="000000"/>
          <w:sz w:val="21"/>
          <w:szCs w:val="22"/>
          <w:highlight w:val="none"/>
          <w:lang w:val="en-US" w:eastAsia="zh-CN"/>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6</w:t>
      </w:r>
      <w:r>
        <w:rPr>
          <w:rFonts w:hint="eastAsia" w:ascii="宋体" w:hAnsi="宋体" w:eastAsiaTheme="minorEastAsia" w:cstheme="minorBidi"/>
          <w:color w:val="000000"/>
          <w:sz w:val="21"/>
          <w:szCs w:val="22"/>
          <w:highlight w:val="none"/>
          <w:lang w:val="en-US" w:eastAsia="zh-CN"/>
        </w:rPr>
        <w:t>：</w:t>
      </w:r>
      <w:r>
        <w:rPr>
          <w:rFonts w:hint="eastAsia" w:ascii="宋体" w:hAnsi="宋体" w:eastAsiaTheme="minorEastAsia" w:cstheme="minorBidi"/>
          <w:strike w:val="0"/>
          <w:dstrike w:val="0"/>
          <w:color w:val="000000"/>
          <w:sz w:val="21"/>
          <w:szCs w:val="22"/>
          <w:highlight w:val="none"/>
          <w:lang w:val="en-US" w:eastAsia="zh-CN"/>
        </w:rPr>
        <w:t>股权证明文件</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b w:val="0"/>
          <w:bCs w:val="0"/>
          <w:color w:val="000000"/>
          <w:sz w:val="21"/>
          <w:szCs w:val="22"/>
          <w:highlight w:val="none"/>
          <w:lang w:val="en-US" w:eastAsia="zh-CN"/>
        </w:rPr>
      </w:pPr>
      <w:r>
        <w:rPr>
          <w:rFonts w:hint="eastAsia" w:ascii="宋体" w:hAnsi="宋体" w:eastAsiaTheme="minorEastAsia" w:cstheme="minorBidi"/>
          <w:strike w:val="0"/>
          <w:dstrike w:val="0"/>
          <w:color w:val="000000"/>
          <w:sz w:val="21"/>
          <w:szCs w:val="22"/>
          <w:highlight w:val="none"/>
          <w:lang w:val="en-US" w:eastAsia="zh-CN"/>
        </w:rPr>
        <w:t>5.</w:t>
      </w:r>
      <w:r>
        <w:rPr>
          <w:rFonts w:hint="eastAsia" w:ascii="宋体" w:hAnsi="宋体" w:cstheme="minorBidi"/>
          <w:strike w:val="0"/>
          <w:dstrike w:val="0"/>
          <w:color w:val="000000"/>
          <w:sz w:val="21"/>
          <w:szCs w:val="22"/>
          <w:highlight w:val="none"/>
          <w:lang w:val="en-US" w:eastAsia="zh-CN"/>
        </w:rPr>
        <w:t>7</w:t>
      </w:r>
      <w:r>
        <w:rPr>
          <w:rFonts w:hint="eastAsia" w:ascii="宋体" w:hAnsi="宋体" w:eastAsiaTheme="minorEastAsia" w:cstheme="minorBidi"/>
          <w:strike w:val="0"/>
          <w:dstrike w:val="0"/>
          <w:color w:val="000000"/>
          <w:sz w:val="21"/>
          <w:szCs w:val="22"/>
          <w:highlight w:val="none"/>
          <w:lang w:val="en-US" w:eastAsia="zh-CN"/>
        </w:rPr>
        <w:t>：</w:t>
      </w:r>
      <w:r>
        <w:rPr>
          <w:rFonts w:hint="eastAsia" w:ascii="宋体" w:hAnsi="宋体" w:eastAsiaTheme="minorEastAsia" w:cstheme="minorBidi"/>
          <w:b w:val="0"/>
          <w:bCs w:val="0"/>
          <w:color w:val="000000"/>
          <w:sz w:val="21"/>
          <w:szCs w:val="22"/>
          <w:highlight w:val="none"/>
          <w:lang w:val="en-US" w:eastAsia="zh-CN"/>
        </w:rPr>
        <w:t>供应商承诺书</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eastAsiaTheme="minorEastAsia" w:cstheme="minorBidi"/>
          <w:b w:val="0"/>
          <w:bCs w:val="0"/>
          <w:color w:val="000000"/>
          <w:sz w:val="21"/>
          <w:szCs w:val="22"/>
          <w:highlight w:val="none"/>
          <w:lang w:val="en-US" w:eastAsia="zh-CN"/>
        </w:rPr>
        <w:t>5.</w:t>
      </w:r>
      <w:r>
        <w:rPr>
          <w:rFonts w:hint="eastAsia" w:ascii="宋体" w:hAnsi="宋体" w:cstheme="minorBidi"/>
          <w:b w:val="0"/>
          <w:bCs w:val="0"/>
          <w:color w:val="000000"/>
          <w:sz w:val="21"/>
          <w:szCs w:val="22"/>
          <w:highlight w:val="none"/>
          <w:lang w:val="en-US" w:eastAsia="zh-CN"/>
        </w:rPr>
        <w:t>8</w:t>
      </w:r>
      <w:r>
        <w:rPr>
          <w:rFonts w:hint="eastAsia" w:ascii="宋体" w:hAnsi="宋体" w:eastAsiaTheme="minorEastAsia" w:cstheme="minorBidi"/>
          <w:b w:val="0"/>
          <w:bCs w:val="0"/>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代理商、贸易商、服务商要求（详见评议内容：</w:t>
      </w:r>
      <w:r>
        <w:rPr>
          <w:rFonts w:hint="eastAsia" w:ascii="宋体" w:hAnsi="宋体" w:eastAsiaTheme="minorEastAsia" w:cstheme="minorBidi"/>
          <w:b w:val="0"/>
          <w:bCs w:val="0"/>
          <w:color w:val="000000"/>
          <w:kern w:val="2"/>
          <w:sz w:val="21"/>
          <w:szCs w:val="22"/>
          <w:highlight w:val="none"/>
          <w:lang w:val="en-US" w:eastAsia="zh-CN" w:bidi="ar-SA"/>
        </w:rPr>
        <w:t>对不满足要求的或未能提供相应证明材料的</w:t>
      </w:r>
      <w:r>
        <w:rPr>
          <w:rFonts w:hint="eastAsia" w:ascii="宋体" w:hAnsi="宋体" w:eastAsiaTheme="minorEastAsia" w:cstheme="minorBidi"/>
          <w:color w:val="000000"/>
          <w:sz w:val="21"/>
          <w:szCs w:val="22"/>
          <w:highlight w:val="none"/>
          <w:lang w:val="en-US" w:eastAsia="zh-CN"/>
        </w:rPr>
        <w:t>代理商、贸易商、服务商</w:t>
      </w:r>
      <w:r>
        <w:rPr>
          <w:rFonts w:hint="eastAsia" w:ascii="宋体" w:hAnsi="宋体" w:eastAsiaTheme="minorEastAsia" w:cstheme="minorBidi"/>
          <w:b w:val="0"/>
          <w:bCs w:val="0"/>
          <w:color w:val="000000"/>
          <w:kern w:val="2"/>
          <w:sz w:val="21"/>
          <w:szCs w:val="22"/>
          <w:highlight w:val="none"/>
          <w:lang w:val="en-US" w:eastAsia="zh-CN" w:bidi="ar-SA"/>
        </w:rPr>
        <w:t>，将影响评审结果。</w:t>
      </w:r>
      <w:r>
        <w:rPr>
          <w:rFonts w:hint="eastAsia" w:ascii="宋体" w:hAnsi="宋体" w:eastAsiaTheme="minorEastAsia" w:cstheme="minorBidi"/>
          <w:color w:val="000000"/>
          <w:sz w:val="21"/>
          <w:szCs w:val="22"/>
          <w:highlight w:val="none"/>
          <w:lang w:val="en-US" w:eastAsia="zh-CN"/>
        </w:rPr>
        <w:t>）</w:t>
      </w:r>
    </w:p>
    <w:p>
      <w:pPr>
        <w:adjustRightInd/>
        <w:jc w:val="both"/>
        <w:outlineLvl w:val="0"/>
        <w:rPr>
          <w:rFonts w:hint="eastAsia" w:ascii="宋体" w:hAnsi="宋体" w:eastAsiaTheme="minorEastAsia" w:cstheme="minorBidi"/>
          <w:color w:val="000000"/>
          <w:sz w:val="21"/>
          <w:szCs w:val="22"/>
          <w:highlight w:val="none"/>
          <w:lang w:val="en-US" w:eastAsia="zh-CN"/>
        </w:rPr>
      </w:pPr>
      <w:r>
        <w:rPr>
          <w:rFonts w:hint="eastAsia" w:ascii="宋体" w:hAnsi="宋体" w:cstheme="minorBidi"/>
          <w:color w:val="000000"/>
          <w:sz w:val="21"/>
          <w:szCs w:val="22"/>
          <w:highlight w:val="none"/>
          <w:lang w:val="en-US" w:eastAsia="zh-CN"/>
        </w:rPr>
        <w:t>5.9： 制造商承诺书及相关支持文件</w:t>
      </w:r>
      <w:r>
        <w:rPr>
          <w:rFonts w:hint="eastAsia" w:ascii="宋体" w:hAnsi="宋体" w:cstheme="minorBidi"/>
          <w:color w:val="000000"/>
          <w:kern w:val="2"/>
          <w:sz w:val="21"/>
          <w:szCs w:val="22"/>
          <w:highlight w:val="none"/>
          <w:lang w:val="en-US" w:eastAsia="zh-CN" w:bidi="ar-SA"/>
        </w:rPr>
        <w:t>——详见附件</w:t>
      </w:r>
    </w:p>
    <w:p>
      <w:pPr>
        <w:adjustRightInd/>
        <w:jc w:val="both"/>
        <w:outlineLvl w:val="0"/>
        <w:rPr>
          <w:rFonts w:hint="eastAsia" w:ascii="宋体" w:hAnsi="宋体" w:eastAsiaTheme="minorEastAsia"/>
          <w:color w:val="000000"/>
          <w:sz w:val="21"/>
          <w:szCs w:val="22"/>
          <w:highlight w:val="none"/>
        </w:rPr>
      </w:pPr>
      <w:r>
        <w:rPr>
          <w:rFonts w:hint="eastAsia" w:ascii="宋体" w:hAnsi="宋体" w:eastAsiaTheme="minorEastAsia" w:cstheme="minorBidi"/>
          <w:color w:val="000000"/>
          <w:sz w:val="21"/>
          <w:szCs w:val="22"/>
          <w:highlight w:val="none"/>
          <w:lang w:val="en-US" w:eastAsia="zh-CN"/>
        </w:rPr>
        <w:t>5.</w:t>
      </w:r>
      <w:r>
        <w:rPr>
          <w:rFonts w:hint="eastAsia" w:ascii="宋体" w:hAnsi="宋体" w:cstheme="minorBidi"/>
          <w:color w:val="000000"/>
          <w:sz w:val="21"/>
          <w:szCs w:val="22"/>
          <w:highlight w:val="none"/>
          <w:lang w:val="en-US" w:eastAsia="zh-CN"/>
        </w:rPr>
        <w:t>10</w:t>
      </w:r>
      <w:r>
        <w:rPr>
          <w:rFonts w:hint="eastAsia" w:ascii="宋体" w:hAnsi="宋体" w:eastAsiaTheme="minorEastAsia" w:cstheme="minorBidi"/>
          <w:b w:val="0"/>
          <w:bCs w:val="0"/>
          <w:color w:val="000000"/>
          <w:sz w:val="21"/>
          <w:szCs w:val="22"/>
          <w:highlight w:val="none"/>
          <w:lang w:eastAsia="zh-CN"/>
        </w:rPr>
        <w:t>业绩要求</w:t>
      </w:r>
      <w:r>
        <w:rPr>
          <w:rFonts w:hint="eastAsia" w:ascii="宋体" w:hAnsi="宋体" w:eastAsiaTheme="minorEastAsia" w:cstheme="minorBidi"/>
          <w:b w:val="0"/>
          <w:bCs w:val="0"/>
          <w:color w:val="000000"/>
          <w:sz w:val="21"/>
          <w:szCs w:val="22"/>
          <w:highlight w:val="none"/>
        </w:rPr>
        <w:t>（</w:t>
      </w:r>
      <w:r>
        <w:rPr>
          <w:rFonts w:hint="eastAsia" w:ascii="宋体" w:hAnsi="宋体" w:eastAsiaTheme="minorEastAsia" w:cstheme="minorBidi"/>
          <w:color w:val="000000"/>
          <w:sz w:val="21"/>
          <w:szCs w:val="22"/>
          <w:highlight w:val="none"/>
          <w:lang w:val="en-US" w:eastAsia="zh-CN"/>
        </w:rPr>
        <w:t>详见评议内容</w:t>
      </w:r>
      <w:r>
        <w:rPr>
          <w:rFonts w:hint="eastAsia" w:ascii="宋体" w:hAnsi="宋体" w:eastAsiaTheme="minorEastAsia" w:cstheme="minorBidi"/>
          <w:b w:val="0"/>
          <w:bCs w:val="0"/>
          <w:color w:val="000000"/>
          <w:sz w:val="21"/>
          <w:szCs w:val="22"/>
          <w:highlight w:val="none"/>
        </w:rPr>
        <w:t>：提供的证明材料必须完全涵盖</w:t>
      </w:r>
      <w:r>
        <w:rPr>
          <w:rFonts w:hint="eastAsia" w:ascii="宋体" w:hAnsi="宋体" w:eastAsiaTheme="minorEastAsia" w:cstheme="minorBidi"/>
          <w:b w:val="0"/>
          <w:bCs w:val="0"/>
          <w:color w:val="000000"/>
          <w:sz w:val="21"/>
          <w:szCs w:val="22"/>
          <w:highlight w:val="none"/>
          <w:lang w:val="en-US" w:eastAsia="zh-CN"/>
        </w:rPr>
        <w:t>要求的</w:t>
      </w:r>
      <w:r>
        <w:rPr>
          <w:rFonts w:hint="eastAsia" w:ascii="宋体" w:hAnsi="宋体" w:eastAsiaTheme="minorEastAsia" w:cstheme="minorBidi"/>
          <w:b w:val="0"/>
          <w:bCs w:val="0"/>
          <w:color w:val="000000"/>
          <w:sz w:val="21"/>
          <w:szCs w:val="22"/>
          <w:highlight w:val="none"/>
        </w:rPr>
        <w:t>内容，否则视为无效业绩，缺少任何1项都将影响评审结果）</w:t>
      </w:r>
    </w:p>
    <w:p>
      <w:pPr>
        <w:adjustRightInd/>
        <w:jc w:val="both"/>
        <w:outlineLvl w:val="0"/>
        <w:rPr>
          <w:rFonts w:hint="eastAsia" w:ascii="宋体" w:hAnsi="宋体" w:cstheme="minorBidi"/>
          <w:color w:val="000000"/>
          <w:kern w:val="2"/>
          <w:sz w:val="21"/>
          <w:szCs w:val="22"/>
          <w:highlight w:val="none"/>
          <w:lang w:val="en-US" w:eastAsia="zh-CN" w:bidi="ar-SA"/>
        </w:rPr>
      </w:pPr>
      <w:r>
        <w:rPr>
          <w:rFonts w:hint="eastAsia" w:ascii="宋体" w:hAnsi="宋体" w:eastAsiaTheme="minorEastAsia"/>
          <w:color w:val="000000"/>
          <w:sz w:val="21"/>
          <w:szCs w:val="22"/>
          <w:highlight w:val="none"/>
          <w:lang w:val="en-US" w:eastAsia="zh-CN"/>
        </w:rPr>
        <w:t>5.</w:t>
      </w:r>
      <w:r>
        <w:rPr>
          <w:rFonts w:hint="eastAsia" w:ascii="宋体" w:hAnsi="宋体"/>
          <w:color w:val="000000"/>
          <w:sz w:val="21"/>
          <w:szCs w:val="22"/>
          <w:highlight w:val="none"/>
          <w:lang w:val="en-US" w:eastAsia="zh-CN"/>
        </w:rPr>
        <w:t>11</w:t>
      </w:r>
      <w:r>
        <w:rPr>
          <w:rFonts w:hint="eastAsia" w:ascii="宋体" w:hAnsi="宋体" w:eastAsiaTheme="minorEastAsia"/>
          <w:color w:val="000000"/>
          <w:sz w:val="21"/>
          <w:szCs w:val="22"/>
          <w:highlight w:val="none"/>
          <w:lang w:val="en-US" w:eastAsia="zh-CN"/>
        </w:rPr>
        <w:t>：</w:t>
      </w:r>
      <w:r>
        <w:rPr>
          <w:rFonts w:hint="eastAsia" w:ascii="宋体" w:hAnsi="宋体" w:eastAsiaTheme="minorEastAsia" w:cstheme="minorBidi"/>
          <w:color w:val="000000"/>
          <w:sz w:val="21"/>
          <w:szCs w:val="22"/>
          <w:highlight w:val="none"/>
          <w:lang w:val="en-US" w:eastAsia="zh-CN"/>
        </w:rPr>
        <w:t>商务偏离表</w:t>
      </w:r>
      <w:r>
        <w:rPr>
          <w:rFonts w:hint="eastAsia" w:ascii="宋体" w:hAnsi="宋体" w:cstheme="minorBidi"/>
          <w:color w:val="000000"/>
          <w:kern w:val="2"/>
          <w:sz w:val="21"/>
          <w:szCs w:val="22"/>
          <w:highlight w:val="none"/>
          <w:lang w:val="en-US" w:eastAsia="zh-CN" w:bidi="ar-SA"/>
        </w:rPr>
        <w:t>——详见附件</w:t>
      </w:r>
    </w:p>
    <w:p>
      <w:pPr>
        <w:pStyle w:val="22"/>
        <w:adjustRightInd/>
        <w:jc w:val="both"/>
        <w:outlineLvl w:val="1"/>
        <w:rPr>
          <w:rFonts w:hint="default" w:asciiTheme="minorHAnsi" w:hAnsiTheme="minorHAnsi" w:eastAsiaTheme="minorEastAsia" w:cstheme="minorBidi"/>
          <w:b w:val="0"/>
          <w:bCs w:val="0"/>
          <w:color w:val="000000" w:themeColor="text1"/>
          <w:kern w:val="2"/>
          <w:sz w:val="21"/>
          <w:szCs w:val="22"/>
          <w:highlight w:val="none"/>
          <w:lang w:val="en-US" w:eastAsia="zh-CN"/>
          <w14:textFill>
            <w14:solidFill>
              <w14:schemeClr w14:val="tx1"/>
            </w14:solidFill>
          </w14:textFill>
        </w:rPr>
      </w:pPr>
      <w:r>
        <w:rPr>
          <w:rFonts w:hint="eastAsia" w:ascii="宋体" w:hAnsi="宋体" w:cstheme="minorBidi"/>
          <w:color w:val="000000"/>
          <w:kern w:val="2"/>
          <w:sz w:val="21"/>
          <w:szCs w:val="22"/>
          <w:highlight w:val="none"/>
          <w:lang w:val="en-US" w:eastAsia="zh-CN" w:bidi="ar-SA"/>
        </w:rPr>
        <w:t>5.12：其他补充</w:t>
      </w: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rPr>
          <w:rFonts w:hint="eastAsia"/>
          <w:highlight w:val="none"/>
          <w:lang w:val="en-US" w:eastAsia="zh-CN"/>
        </w:rPr>
      </w:pPr>
    </w:p>
    <w:p>
      <w:pPr>
        <w:pStyle w:val="22"/>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highlight w:val="none"/>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highlight w:val="none"/>
          <w:lang w:val="en-US" w:eastAsia="zh-CN"/>
        </w:rPr>
        <w:t>：法定代表人（单位负责人）身份证明</w:t>
      </w:r>
    </w:p>
    <w:p>
      <w:pPr>
        <w:pStyle w:val="9"/>
        <w:keepNext w:val="0"/>
        <w:keepLines w:val="0"/>
        <w:pageBreakBefore w:val="0"/>
        <w:widowControl w:val="0"/>
        <w:kinsoku/>
        <w:wordWrap/>
        <w:overflowPunct/>
        <w:topLinePunct w:val="0"/>
        <w:autoSpaceDE/>
        <w:autoSpaceDN/>
        <w:bidi w:val="0"/>
        <w:adjustRightInd/>
        <w:snapToGrid/>
        <w:ind w:left="782"/>
        <w:textAlignment w:val="auto"/>
        <w:rPr>
          <w:rFonts w:hint="eastAsia"/>
          <w:highlight w:val="none"/>
          <w:lang w:val="en-US" w:eastAsia="zh-CN"/>
        </w:rPr>
      </w:pPr>
    </w:p>
    <w:p>
      <w:pPr>
        <w:pStyle w:val="5"/>
        <w:rPr>
          <w:rFonts w:ascii="微软雅黑" w:hAnsi="微软雅黑" w:eastAsia="微软雅黑"/>
          <w:b/>
          <w:spacing w:val="2"/>
          <w:sz w:val="32"/>
          <w:szCs w:val="32"/>
          <w:highlight w:val="none"/>
        </w:rPr>
      </w:pPr>
    </w:p>
    <w:p>
      <w:pPr>
        <w:pStyle w:val="5"/>
        <w:rPr>
          <w:rFonts w:ascii="微软雅黑" w:hAnsi="微软雅黑" w:eastAsia="微软雅黑"/>
          <w:b/>
          <w:spacing w:val="2"/>
          <w:sz w:val="32"/>
          <w:szCs w:val="32"/>
          <w:highlight w:val="none"/>
        </w:rPr>
      </w:pPr>
    </w:p>
    <w:p>
      <w:pPr>
        <w:spacing w:before="120" w:beforeLines="50" w:after="120" w:afterLines="50"/>
        <w:ind w:right="11"/>
        <w:jc w:val="center"/>
        <w:rPr>
          <w:rFonts w:ascii="微软雅黑" w:hAnsi="微软雅黑" w:eastAsia="微软雅黑"/>
          <w:b/>
          <w:sz w:val="32"/>
          <w:szCs w:val="32"/>
          <w:highlight w:val="none"/>
        </w:rPr>
      </w:pPr>
      <w:r>
        <w:rPr>
          <w:rFonts w:ascii="微软雅黑" w:hAnsi="微软雅黑" w:eastAsia="微软雅黑"/>
          <w:b/>
          <w:spacing w:val="2"/>
          <w:sz w:val="32"/>
          <w:szCs w:val="32"/>
          <w:highlight w:val="none"/>
        </w:rPr>
        <w:t>法定代表</w:t>
      </w:r>
      <w:r>
        <w:rPr>
          <w:rFonts w:ascii="微软雅黑" w:hAnsi="微软雅黑" w:eastAsia="微软雅黑"/>
          <w:b/>
          <w:sz w:val="32"/>
          <w:szCs w:val="32"/>
          <w:highlight w:val="none"/>
        </w:rPr>
        <w:t>人</w:t>
      </w:r>
      <w:r>
        <w:rPr>
          <w:rFonts w:ascii="微软雅黑" w:hAnsi="微软雅黑" w:eastAsia="微软雅黑"/>
          <w:b/>
          <w:spacing w:val="2"/>
          <w:sz w:val="32"/>
          <w:szCs w:val="32"/>
          <w:highlight w:val="none"/>
        </w:rPr>
        <w:t>（单位负责人</w:t>
      </w:r>
      <w:r>
        <w:rPr>
          <w:rFonts w:ascii="微软雅黑" w:hAnsi="微软雅黑" w:eastAsia="微软雅黑"/>
          <w:b/>
          <w:sz w:val="32"/>
          <w:szCs w:val="32"/>
          <w:highlight w:val="none"/>
        </w:rPr>
        <w:t>）</w:t>
      </w:r>
      <w:r>
        <w:rPr>
          <w:rFonts w:ascii="微软雅黑" w:hAnsi="微软雅黑" w:eastAsia="微软雅黑"/>
          <w:b/>
          <w:spacing w:val="2"/>
          <w:sz w:val="32"/>
          <w:szCs w:val="32"/>
          <w:highlight w:val="none"/>
        </w:rPr>
        <w:t>身份证</w:t>
      </w:r>
      <w:r>
        <w:rPr>
          <w:rFonts w:ascii="微软雅黑" w:hAnsi="微软雅黑" w:eastAsia="微软雅黑"/>
          <w:b/>
          <w:sz w:val="32"/>
          <w:szCs w:val="32"/>
          <w:highlight w:val="none"/>
        </w:rPr>
        <w:t>明</w:t>
      </w:r>
    </w:p>
    <w:p>
      <w:pPr>
        <w:tabs>
          <w:tab w:val="left" w:pos="142"/>
        </w:tabs>
        <w:spacing w:line="200" w:lineRule="exact"/>
        <w:ind w:right="11"/>
        <w:jc w:val="center"/>
        <w:rPr>
          <w:rFonts w:ascii="微软雅黑" w:hAnsi="微软雅黑" w:eastAsia="微软雅黑"/>
          <w:sz w:val="20"/>
          <w:szCs w:val="20"/>
          <w:highlight w:val="none"/>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highlight w:val="none"/>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highlight w:val="none"/>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名</w:t>
      </w:r>
      <w:r>
        <w:rPr>
          <w:rFonts w:ascii="微软雅黑" w:hAnsi="微软雅黑" w:eastAsia="微软雅黑" w:cstheme="minorBidi"/>
          <w:spacing w:val="-3"/>
          <w:kern w:val="0"/>
          <w:sz w:val="24"/>
          <w:szCs w:val="24"/>
          <w:highlight w:val="none"/>
          <w:lang w:val="en-US" w:eastAsia="zh-CN" w:bidi="ar-SA"/>
        </w:rPr>
        <w:t>称</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w w:val="225"/>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姓名</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性别</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年</w:t>
      </w:r>
      <w:r>
        <w:rPr>
          <w:rFonts w:ascii="微软雅黑" w:hAnsi="微软雅黑" w:eastAsia="微软雅黑" w:cstheme="minorBidi"/>
          <w:spacing w:val="-3"/>
          <w:kern w:val="0"/>
          <w:sz w:val="24"/>
          <w:szCs w:val="24"/>
          <w:highlight w:val="none"/>
          <w:lang w:val="en-US" w:eastAsia="zh-CN" w:bidi="ar-SA"/>
        </w:rPr>
        <w:t>龄</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职</w:t>
      </w:r>
      <w:r>
        <w:rPr>
          <w:rFonts w:ascii="微软雅黑" w:hAnsi="微软雅黑" w:eastAsia="微软雅黑" w:cstheme="minorBidi"/>
          <w:spacing w:val="-3"/>
          <w:kern w:val="0"/>
          <w:sz w:val="24"/>
          <w:szCs w:val="24"/>
          <w:highlight w:val="none"/>
          <w:lang w:val="en-US" w:eastAsia="zh-CN" w:bidi="ar-SA"/>
        </w:rPr>
        <w:t>务</w:t>
      </w:r>
      <w:r>
        <w:rPr>
          <w:rFonts w:ascii="微软雅黑" w:hAnsi="微软雅黑" w:eastAsia="微软雅黑" w:cstheme="minorBidi"/>
          <w:spacing w:val="-1"/>
          <w:kern w:val="0"/>
          <w:sz w:val="24"/>
          <w:szCs w:val="24"/>
          <w:highlight w:val="none"/>
          <w:lang w:val="en-US" w:eastAsia="zh-CN" w:bidi="ar-SA"/>
        </w:rPr>
        <w:t>：</w:t>
      </w:r>
      <w:r>
        <w:rPr>
          <w:rFonts w:ascii="微软雅黑" w:hAnsi="微软雅黑" w:eastAsia="微软雅黑" w:cstheme="minorBidi"/>
          <w:w w:val="225"/>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spacing w:val="-1"/>
          <w:kern w:val="0"/>
          <w:sz w:val="24"/>
          <w:szCs w:val="24"/>
          <w:highlight w:val="none"/>
          <w:lang w:val="en-US" w:eastAsia="zh-CN" w:bidi="ar-SA"/>
        </w:rPr>
        <w:t>系</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spacing w:val="-3"/>
          <w:kern w:val="0"/>
          <w:sz w:val="24"/>
          <w:szCs w:val="24"/>
          <w:highlight w:val="none"/>
          <w:lang w:val="en-US" w:eastAsia="zh-CN" w:bidi="ar-SA"/>
        </w:rPr>
        <w:t>（</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名</w:t>
      </w:r>
      <w:r>
        <w:rPr>
          <w:rFonts w:ascii="微软雅黑" w:hAnsi="微软雅黑" w:eastAsia="微软雅黑" w:cstheme="minorBidi"/>
          <w:kern w:val="0"/>
          <w:sz w:val="24"/>
          <w:szCs w:val="24"/>
          <w:highlight w:val="none"/>
          <w:lang w:val="en-US" w:eastAsia="zh-CN" w:bidi="ar-SA"/>
        </w:rPr>
        <w:t>称</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的</w:t>
      </w:r>
      <w:r>
        <w:rPr>
          <w:rFonts w:ascii="微软雅黑" w:hAnsi="微软雅黑" w:eastAsia="微软雅黑" w:cstheme="minorBidi"/>
          <w:spacing w:val="-3"/>
          <w:kern w:val="0"/>
          <w:sz w:val="24"/>
          <w:szCs w:val="24"/>
          <w:highlight w:val="none"/>
          <w:lang w:val="en-US" w:eastAsia="zh-CN" w:bidi="ar-SA"/>
        </w:rPr>
        <w:t>法定</w:t>
      </w:r>
      <w:r>
        <w:rPr>
          <w:rFonts w:ascii="微软雅黑" w:hAnsi="微软雅黑" w:eastAsia="微软雅黑" w:cstheme="minorBidi"/>
          <w:kern w:val="0"/>
          <w:sz w:val="24"/>
          <w:szCs w:val="24"/>
          <w:highlight w:val="none"/>
          <w:lang w:val="en-US" w:eastAsia="zh-CN" w:bidi="ar-SA"/>
        </w:rPr>
        <w:t>代表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6"/>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特此</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w:t>
      </w:r>
      <w:r>
        <w:rPr>
          <w:rFonts w:ascii="微软雅黑" w:hAnsi="微软雅黑" w:eastAsia="微软雅黑" w:cstheme="minorBidi"/>
          <w:spacing w:val="-3"/>
          <w:kern w:val="0"/>
          <w:sz w:val="24"/>
          <w:szCs w:val="24"/>
          <w:highlight w:val="none"/>
          <w:lang w:val="en-US" w:eastAsia="zh-CN" w:bidi="ar-SA"/>
        </w:rPr>
        <w:t>本</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明</w:t>
      </w:r>
      <w:r>
        <w:rPr>
          <w:rFonts w:ascii="微软雅黑" w:hAnsi="微软雅黑" w:eastAsia="微软雅黑" w:cstheme="minorBidi"/>
          <w:kern w:val="0"/>
          <w:sz w:val="24"/>
          <w:szCs w:val="24"/>
          <w:highlight w:val="none"/>
          <w:lang w:val="en-US" w:eastAsia="zh-CN" w:bidi="ar-SA"/>
        </w:rPr>
        <w:t>需</w:t>
      </w:r>
      <w:r>
        <w:rPr>
          <w:rFonts w:ascii="微软雅黑" w:hAnsi="微软雅黑" w:eastAsia="微软雅黑" w:cstheme="minorBidi"/>
          <w:spacing w:val="-3"/>
          <w:kern w:val="0"/>
          <w:sz w:val="24"/>
          <w:szCs w:val="24"/>
          <w:highlight w:val="none"/>
          <w:lang w:val="en-US" w:eastAsia="zh-CN" w:bidi="ar-SA"/>
        </w:rPr>
        <w:t>由</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w:t>
      </w:r>
      <w:r>
        <w:rPr>
          <w:rFonts w:ascii="微软雅黑" w:hAnsi="微软雅黑" w:eastAsia="微软雅黑" w:cstheme="minorBidi"/>
          <w:spacing w:val="-3"/>
          <w:kern w:val="0"/>
          <w:sz w:val="24"/>
          <w:szCs w:val="24"/>
          <w:highlight w:val="none"/>
          <w:lang w:val="en-US" w:eastAsia="zh-CN" w:bidi="ar-SA"/>
        </w:rPr>
        <w:t>盖</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tabs>
          <w:tab w:val="left" w:pos="142"/>
        </w:tabs>
        <w:ind w:right="11"/>
        <w:rPr>
          <w:rFonts w:ascii="微软雅黑" w:hAnsi="微软雅黑" w:eastAsia="微软雅黑"/>
          <w:sz w:val="24"/>
          <w:szCs w:val="24"/>
          <w:highlight w:val="none"/>
        </w:rPr>
      </w:pPr>
    </w:p>
    <w:p>
      <w:pPr>
        <w:tabs>
          <w:tab w:val="left" w:pos="142"/>
        </w:tabs>
        <w:ind w:right="11"/>
        <w:rPr>
          <w:rFonts w:ascii="微软雅黑" w:hAnsi="微软雅黑" w:eastAsia="微软雅黑"/>
          <w:sz w:val="24"/>
          <w:szCs w:val="24"/>
          <w:highlight w:val="none"/>
        </w:rPr>
      </w:pPr>
    </w:p>
    <w:p>
      <w:pPr>
        <w:tabs>
          <w:tab w:val="left" w:pos="142"/>
        </w:tabs>
        <w:ind w:right="11"/>
        <w:rPr>
          <w:rFonts w:ascii="微软雅黑" w:hAnsi="微软雅黑" w:eastAsia="微软雅黑"/>
          <w:sz w:val="24"/>
          <w:szCs w:val="24"/>
          <w:highlight w:val="none"/>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spacing w:val="-1"/>
          <w:kern w:val="0"/>
          <w:sz w:val="24"/>
          <w:szCs w:val="24"/>
          <w:highlight w:val="none"/>
          <w:lang w:val="en-US" w:eastAsia="zh-CN" w:bidi="ar-SA"/>
        </w:rPr>
        <w:t>：</w:t>
      </w:r>
      <w:r>
        <w:rPr>
          <w:rFonts w:hint="eastAsia" w:ascii="微软雅黑" w:hAnsi="微软雅黑" w:eastAsia="微软雅黑" w:cstheme="minorBidi"/>
          <w:spacing w:val="-1"/>
          <w:kern w:val="0"/>
          <w:sz w:val="24"/>
          <w:szCs w:val="24"/>
          <w:highlight w:val="none"/>
          <w:u w:val="single"/>
          <w:lang w:val="en-US" w:eastAsia="zh-CN" w:bidi="ar-SA"/>
        </w:rPr>
        <w:t xml:space="preserve">                   </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rPr>
          <w:highlight w:val="none"/>
        </w:rPr>
      </w:pPr>
      <w:r>
        <w:rPr>
          <w:rFonts w:hint="eastAsia" w:ascii="微软雅黑" w:hAnsi="微软雅黑" w:eastAsia="微软雅黑" w:cstheme="minorBidi"/>
          <w:w w:val="225"/>
          <w:kern w:val="0"/>
          <w:sz w:val="24"/>
          <w:szCs w:val="24"/>
          <w:highlight w:val="none"/>
          <w:lang w:val="en-US" w:eastAsia="zh-CN" w:bidi="ar-SA"/>
        </w:rPr>
        <w:t>____</w:t>
      </w:r>
      <w:r>
        <w:rPr>
          <w:rFonts w:ascii="微软雅黑" w:hAnsi="微软雅黑" w:eastAsia="微软雅黑" w:cstheme="minorBidi"/>
          <w:kern w:val="0"/>
          <w:sz w:val="24"/>
          <w:szCs w:val="24"/>
          <w:highlight w:val="none"/>
          <w:lang w:val="en-US" w:eastAsia="zh-CN" w:bidi="ar-SA"/>
        </w:rPr>
        <w:t>年</w:t>
      </w:r>
      <w:r>
        <w:rPr>
          <w:rFonts w:hint="eastAsia" w:ascii="微软雅黑" w:hAnsi="微软雅黑" w:eastAsia="微软雅黑" w:cstheme="minorBidi"/>
          <w:kern w:val="0"/>
          <w:sz w:val="24"/>
          <w:szCs w:val="24"/>
          <w:highlight w:val="none"/>
          <w:lang w:val="en-US" w:eastAsia="zh-CN" w:bidi="ar-SA"/>
        </w:rPr>
        <w:t>_______</w:t>
      </w:r>
      <w:r>
        <w:rPr>
          <w:rFonts w:ascii="微软雅黑" w:hAnsi="微软雅黑" w:eastAsia="微软雅黑" w:cstheme="minorBidi"/>
          <w:kern w:val="0"/>
          <w:sz w:val="24"/>
          <w:szCs w:val="24"/>
          <w:highlight w:val="none"/>
          <w:lang w:val="en-US" w:eastAsia="zh-CN" w:bidi="ar-SA"/>
        </w:rPr>
        <w:t>月</w:t>
      </w:r>
      <w:r>
        <w:rPr>
          <w:rFonts w:hint="eastAsia" w:ascii="微软雅黑" w:hAnsi="微软雅黑" w:eastAsia="微软雅黑" w:cstheme="minorBidi"/>
          <w:kern w:val="0"/>
          <w:sz w:val="24"/>
          <w:szCs w:val="24"/>
          <w:highlight w:val="none"/>
          <w:lang w:val="en-US" w:eastAsia="zh-CN" w:bidi="ar-SA"/>
        </w:rPr>
        <w:t>______</w:t>
      </w:r>
      <w:r>
        <w:rPr>
          <w:rFonts w:ascii="微软雅黑" w:hAnsi="微软雅黑" w:eastAsia="微软雅黑" w:cstheme="minorBidi"/>
          <w:kern w:val="0"/>
          <w:sz w:val="24"/>
          <w:szCs w:val="24"/>
          <w:highlight w:val="none"/>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t>5.3：授权委托书</w:t>
      </w:r>
    </w:p>
    <w:p>
      <w:pPr>
        <w:pStyle w:val="34"/>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highlight w:val="none"/>
          <w:lang w:eastAsia="zh-CN"/>
        </w:rPr>
      </w:pPr>
    </w:p>
    <w:p>
      <w:pPr>
        <w:pStyle w:val="34"/>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highlight w:val="none"/>
          <w:lang w:eastAsia="zh-CN"/>
        </w:rPr>
      </w:pPr>
      <w:r>
        <w:rPr>
          <w:rFonts w:ascii="微软雅黑" w:hAnsi="微软雅黑" w:eastAsia="微软雅黑"/>
          <w:b/>
          <w:spacing w:val="2"/>
          <w:highlight w:val="none"/>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本人</w:t>
      </w:r>
      <w:r>
        <w:rPr>
          <w:rFonts w:ascii="微软雅黑" w:hAnsi="微软雅黑" w:eastAsia="微软雅黑" w:cstheme="minorBidi"/>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姓</w:t>
      </w:r>
      <w:r>
        <w:rPr>
          <w:rFonts w:ascii="微软雅黑" w:hAnsi="微软雅黑" w:eastAsia="微软雅黑" w:cstheme="minorBidi"/>
          <w:kern w:val="0"/>
          <w:sz w:val="24"/>
          <w:szCs w:val="24"/>
          <w:highlight w:val="none"/>
          <w:lang w:val="en-US" w:eastAsia="zh-CN" w:bidi="ar-SA"/>
        </w:rPr>
        <w:t>名）</w:t>
      </w:r>
      <w:r>
        <w:rPr>
          <w:rFonts w:ascii="微软雅黑" w:hAnsi="微软雅黑" w:eastAsia="微软雅黑" w:cstheme="minorBidi"/>
          <w:spacing w:val="-1"/>
          <w:kern w:val="0"/>
          <w:sz w:val="24"/>
          <w:szCs w:val="24"/>
          <w:highlight w:val="none"/>
          <w:lang w:val="en-US" w:eastAsia="zh-CN" w:bidi="ar-SA"/>
        </w:rPr>
        <w:t>系</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名</w:t>
      </w:r>
      <w:r>
        <w:rPr>
          <w:rFonts w:ascii="微软雅黑" w:hAnsi="微软雅黑" w:eastAsia="微软雅黑" w:cstheme="minorBidi"/>
          <w:kern w:val="0"/>
          <w:sz w:val="24"/>
          <w:szCs w:val="24"/>
          <w:highlight w:val="none"/>
          <w:lang w:val="en-US" w:eastAsia="zh-CN" w:bidi="ar-SA"/>
        </w:rPr>
        <w:t>称）的</w:t>
      </w:r>
      <w:r>
        <w:rPr>
          <w:rFonts w:ascii="微软雅黑" w:hAnsi="微软雅黑" w:eastAsia="微软雅黑" w:cstheme="minorBidi"/>
          <w:spacing w:val="-3"/>
          <w:kern w:val="0"/>
          <w:sz w:val="24"/>
          <w:szCs w:val="24"/>
          <w:highlight w:val="none"/>
          <w:lang w:val="en-US" w:eastAsia="zh-CN" w:bidi="ar-SA"/>
        </w:rPr>
        <w:t>法定</w:t>
      </w:r>
      <w:r>
        <w:rPr>
          <w:rFonts w:ascii="微软雅黑" w:hAnsi="微软雅黑" w:eastAsia="微软雅黑" w:cstheme="minorBidi"/>
          <w:kern w:val="0"/>
          <w:sz w:val="24"/>
          <w:szCs w:val="24"/>
          <w:highlight w:val="none"/>
          <w:lang w:val="en-US" w:eastAsia="zh-CN" w:bidi="ar-SA"/>
        </w:rPr>
        <w:t>代表人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单位负责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4"/>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现</w:t>
      </w:r>
      <w:r>
        <w:rPr>
          <w:rFonts w:ascii="微软雅黑" w:hAnsi="微软雅黑" w:eastAsia="微软雅黑" w:cstheme="minorBidi"/>
          <w:kern w:val="0"/>
          <w:sz w:val="24"/>
          <w:szCs w:val="24"/>
          <w:highlight w:val="none"/>
          <w:lang w:val="en-US" w:eastAsia="zh-CN" w:bidi="ar-SA"/>
        </w:rPr>
        <w:t>委</w:t>
      </w:r>
      <w:r>
        <w:rPr>
          <w:rFonts w:ascii="微软雅黑" w:hAnsi="微软雅黑" w:eastAsia="微软雅黑" w:cstheme="minorBidi"/>
          <w:spacing w:val="-1"/>
          <w:kern w:val="0"/>
          <w:sz w:val="24"/>
          <w:szCs w:val="24"/>
          <w:highlight w:val="none"/>
          <w:lang w:val="en-US" w:eastAsia="zh-CN" w:bidi="ar-SA"/>
        </w:rPr>
        <w:t>托</w:t>
      </w:r>
      <w:r>
        <w:rPr>
          <w:rFonts w:ascii="微软雅黑" w:hAnsi="微软雅黑" w:eastAsia="微软雅黑" w:cstheme="minorBidi"/>
          <w:spacing w:val="-1"/>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（姓名）为我</w:t>
      </w:r>
      <w:r>
        <w:rPr>
          <w:rFonts w:ascii="微软雅黑" w:hAnsi="微软雅黑" w:eastAsia="微软雅黑" w:cstheme="minorBidi"/>
          <w:spacing w:val="-3"/>
          <w:kern w:val="0"/>
          <w:sz w:val="24"/>
          <w:szCs w:val="24"/>
          <w:highlight w:val="none"/>
          <w:lang w:val="en-US" w:eastAsia="zh-CN" w:bidi="ar-SA"/>
        </w:rPr>
        <w:t>方代</w:t>
      </w:r>
      <w:r>
        <w:rPr>
          <w:rFonts w:ascii="微软雅黑" w:hAnsi="微软雅黑" w:eastAsia="微软雅黑" w:cstheme="minorBidi"/>
          <w:kern w:val="0"/>
          <w:sz w:val="24"/>
          <w:szCs w:val="24"/>
          <w:highlight w:val="none"/>
          <w:lang w:val="en-US" w:eastAsia="zh-CN" w:bidi="ar-SA"/>
        </w:rPr>
        <w:t>理人。代理</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根据授</w:t>
      </w:r>
      <w:r>
        <w:rPr>
          <w:rFonts w:ascii="微软雅黑" w:hAnsi="微软雅黑" w:eastAsia="微软雅黑" w:cstheme="minorBidi"/>
          <w:spacing w:val="-3"/>
          <w:kern w:val="0"/>
          <w:sz w:val="24"/>
          <w:szCs w:val="24"/>
          <w:highlight w:val="none"/>
          <w:lang w:val="en-US" w:eastAsia="zh-CN" w:bidi="ar-SA"/>
        </w:rPr>
        <w:t>权，</w:t>
      </w:r>
      <w:r>
        <w:rPr>
          <w:rFonts w:ascii="微软雅黑" w:hAnsi="微软雅黑" w:eastAsia="微软雅黑" w:cstheme="minorBidi"/>
          <w:kern w:val="0"/>
          <w:sz w:val="24"/>
          <w:szCs w:val="24"/>
          <w:highlight w:val="none"/>
          <w:lang w:val="en-US" w:eastAsia="zh-CN" w:bidi="ar-SA"/>
        </w:rPr>
        <w:t>以我方名义</w:t>
      </w:r>
      <w:r>
        <w:rPr>
          <w:rFonts w:ascii="微软雅黑" w:hAnsi="微软雅黑" w:eastAsia="微软雅黑" w:cstheme="minorBidi"/>
          <w:spacing w:val="-3"/>
          <w:kern w:val="0"/>
          <w:sz w:val="24"/>
          <w:szCs w:val="24"/>
          <w:highlight w:val="none"/>
          <w:lang w:val="en-US" w:eastAsia="zh-CN" w:bidi="ar-SA"/>
        </w:rPr>
        <w:t>签</w:t>
      </w:r>
      <w:r>
        <w:rPr>
          <w:rFonts w:ascii="微软雅黑" w:hAnsi="微软雅黑" w:eastAsia="微软雅黑" w:cstheme="minorBidi"/>
          <w:kern w:val="0"/>
          <w:sz w:val="24"/>
          <w:szCs w:val="24"/>
          <w:highlight w:val="none"/>
          <w:lang w:val="en-US" w:eastAsia="zh-CN" w:bidi="ar-SA"/>
        </w:rPr>
        <w:t>署、澄清</w:t>
      </w:r>
      <w:r>
        <w:rPr>
          <w:rFonts w:hint="eastAsia"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确认、递交</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撤回</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修改</w:t>
      </w:r>
      <w:r>
        <w:rPr>
          <w:rFonts w:hint="eastAsia" w:ascii="微软雅黑" w:hAnsi="微软雅黑" w:eastAsia="微软雅黑" w:cstheme="minorBidi"/>
          <w:kern w:val="0"/>
          <w:sz w:val="24"/>
          <w:szCs w:val="24"/>
          <w:highlight w:val="none"/>
          <w:lang w:val="en-US" w:eastAsia="zh-CN" w:bidi="ar-SA"/>
        </w:rPr>
        <w:t>服务</w:t>
      </w:r>
      <w:r>
        <w:rPr>
          <w:rFonts w:ascii="微软雅黑" w:hAnsi="微软雅黑" w:eastAsia="微软雅黑" w:cstheme="minorBidi"/>
          <w:kern w:val="0"/>
          <w:sz w:val="24"/>
          <w:szCs w:val="24"/>
          <w:highlight w:val="none"/>
          <w:lang w:val="en-US" w:eastAsia="zh-CN" w:bidi="ar-SA"/>
        </w:rPr>
        <w:t>采购询价项目</w:t>
      </w:r>
      <w:r>
        <w:rPr>
          <w:rFonts w:hint="eastAsia" w:ascii="微软雅黑" w:hAnsi="微软雅黑" w:eastAsia="微软雅黑" w:cstheme="minorBidi"/>
          <w:kern w:val="0"/>
          <w:sz w:val="24"/>
          <w:szCs w:val="24"/>
          <w:highlight w:val="none"/>
          <w:lang w:val="en-US" w:eastAsia="zh-CN" w:bidi="ar-SA"/>
        </w:rPr>
        <w:t>报价</w:t>
      </w:r>
      <w:r>
        <w:rPr>
          <w:rFonts w:ascii="微软雅黑" w:hAnsi="微软雅黑" w:eastAsia="微软雅黑" w:cstheme="minorBidi"/>
          <w:kern w:val="0"/>
          <w:sz w:val="24"/>
          <w:szCs w:val="24"/>
          <w:highlight w:val="none"/>
          <w:lang w:val="en-US" w:eastAsia="zh-CN" w:bidi="ar-SA"/>
        </w:rPr>
        <w:t>文件、签订合</w:t>
      </w:r>
      <w:r>
        <w:rPr>
          <w:rFonts w:ascii="微软雅黑" w:hAnsi="微软雅黑" w:eastAsia="微软雅黑" w:cstheme="minorBidi"/>
          <w:spacing w:val="-3"/>
          <w:kern w:val="0"/>
          <w:sz w:val="24"/>
          <w:szCs w:val="24"/>
          <w:highlight w:val="none"/>
          <w:lang w:val="en-US" w:eastAsia="zh-CN" w:bidi="ar-SA"/>
        </w:rPr>
        <w:t>同</w:t>
      </w:r>
      <w:r>
        <w:rPr>
          <w:rFonts w:ascii="微软雅黑" w:hAnsi="微软雅黑" w:eastAsia="微软雅黑" w:cstheme="minorBidi"/>
          <w:kern w:val="0"/>
          <w:sz w:val="24"/>
          <w:szCs w:val="24"/>
          <w:highlight w:val="none"/>
          <w:lang w:val="en-US" w:eastAsia="zh-CN" w:bidi="ar-SA"/>
        </w:rPr>
        <w:t>和处</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有关事宜，其</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律后果</w:t>
      </w:r>
      <w:r>
        <w:rPr>
          <w:rFonts w:ascii="微软雅黑" w:hAnsi="微软雅黑" w:eastAsia="微软雅黑" w:cstheme="minorBidi"/>
          <w:spacing w:val="-3"/>
          <w:kern w:val="0"/>
          <w:sz w:val="24"/>
          <w:szCs w:val="24"/>
          <w:highlight w:val="none"/>
          <w:lang w:val="en-US" w:eastAsia="zh-CN" w:bidi="ar-SA"/>
        </w:rPr>
        <w:t>由</w:t>
      </w:r>
      <w:r>
        <w:rPr>
          <w:rFonts w:ascii="微软雅黑" w:hAnsi="微软雅黑" w:eastAsia="微软雅黑" w:cstheme="minorBidi"/>
          <w:kern w:val="0"/>
          <w:sz w:val="24"/>
          <w:szCs w:val="24"/>
          <w:highlight w:val="none"/>
          <w:lang w:val="en-US" w:eastAsia="zh-CN" w:bidi="ar-SA"/>
        </w:rPr>
        <w:t>我</w:t>
      </w:r>
      <w:r>
        <w:rPr>
          <w:rFonts w:ascii="微软雅黑" w:hAnsi="微软雅黑" w:eastAsia="微软雅黑" w:cstheme="minorBidi"/>
          <w:spacing w:val="-3"/>
          <w:kern w:val="0"/>
          <w:sz w:val="24"/>
          <w:szCs w:val="24"/>
          <w:highlight w:val="none"/>
          <w:lang w:val="en-US" w:eastAsia="zh-CN" w:bidi="ar-SA"/>
        </w:rPr>
        <w:t>方</w:t>
      </w:r>
      <w:r>
        <w:rPr>
          <w:rFonts w:ascii="微软雅黑" w:hAnsi="微软雅黑" w:eastAsia="微软雅黑" w:cstheme="minorBidi"/>
          <w:kern w:val="0"/>
          <w:sz w:val="24"/>
          <w:szCs w:val="24"/>
          <w:highlight w:val="none"/>
          <w:lang w:val="en-US" w:eastAsia="zh-CN" w:bidi="ar-SA"/>
        </w:rPr>
        <w:t>承</w:t>
      </w:r>
      <w:r>
        <w:rPr>
          <w:rFonts w:ascii="微软雅黑" w:hAnsi="微软雅黑" w:eastAsia="微软雅黑" w:cstheme="minorBidi"/>
          <w:spacing w:val="-3"/>
          <w:kern w:val="0"/>
          <w:sz w:val="24"/>
          <w:szCs w:val="24"/>
          <w:highlight w:val="none"/>
          <w:lang w:val="en-US" w:eastAsia="zh-CN" w:bidi="ar-SA"/>
        </w:rPr>
        <w:t>担</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委托</w:t>
      </w:r>
      <w:r>
        <w:rPr>
          <w:rFonts w:ascii="微软雅黑" w:hAnsi="微软雅黑" w:eastAsia="微软雅黑" w:cstheme="minorBidi"/>
          <w:spacing w:val="-3"/>
          <w:kern w:val="0"/>
          <w:sz w:val="24"/>
          <w:szCs w:val="24"/>
          <w:highlight w:val="none"/>
          <w:lang w:val="en-US" w:eastAsia="zh-CN" w:bidi="ar-SA"/>
        </w:rPr>
        <w:t>期</w:t>
      </w:r>
      <w:r>
        <w:rPr>
          <w:rFonts w:ascii="微软雅黑" w:hAnsi="微软雅黑" w:eastAsia="微软雅黑" w:cstheme="minorBidi"/>
          <w:kern w:val="0"/>
          <w:sz w:val="24"/>
          <w:szCs w:val="24"/>
          <w:highlight w:val="none"/>
          <w:lang w:val="en-US" w:eastAsia="zh-CN" w:bidi="ar-SA"/>
        </w:rPr>
        <w:t>限</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spacing w:val="-3"/>
          <w:kern w:val="0"/>
          <w:sz w:val="24"/>
          <w:szCs w:val="24"/>
          <w:highlight w:val="none"/>
          <w:u w:val="single" w:color="000000"/>
          <w:lang w:val="en-US" w:eastAsia="zh-CN" w:bidi="ar-SA"/>
        </w:rPr>
        <w:tab/>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代理</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无</w:t>
      </w:r>
      <w:r>
        <w:rPr>
          <w:rFonts w:ascii="微软雅黑" w:hAnsi="微软雅黑" w:eastAsia="微软雅黑" w:cstheme="minorBidi"/>
          <w:spacing w:val="-3"/>
          <w:kern w:val="0"/>
          <w:sz w:val="24"/>
          <w:szCs w:val="24"/>
          <w:highlight w:val="none"/>
          <w:lang w:val="en-US" w:eastAsia="zh-CN" w:bidi="ar-SA"/>
        </w:rPr>
        <w:t>转</w:t>
      </w:r>
      <w:r>
        <w:rPr>
          <w:rFonts w:ascii="微软雅黑" w:hAnsi="微软雅黑" w:eastAsia="微软雅黑" w:cstheme="minorBidi"/>
          <w:kern w:val="0"/>
          <w:sz w:val="24"/>
          <w:szCs w:val="24"/>
          <w:highlight w:val="none"/>
          <w:lang w:val="en-US" w:eastAsia="zh-CN" w:bidi="ar-SA"/>
        </w:rPr>
        <w:t>委</w:t>
      </w:r>
      <w:r>
        <w:rPr>
          <w:rFonts w:ascii="微软雅黑" w:hAnsi="微软雅黑" w:eastAsia="微软雅黑" w:cstheme="minorBidi"/>
          <w:spacing w:val="-3"/>
          <w:kern w:val="0"/>
          <w:sz w:val="24"/>
          <w:szCs w:val="24"/>
          <w:highlight w:val="none"/>
          <w:lang w:val="en-US" w:eastAsia="zh-CN" w:bidi="ar-SA"/>
        </w:rPr>
        <w:t>托</w:t>
      </w:r>
      <w:r>
        <w:rPr>
          <w:rFonts w:ascii="微软雅黑" w:hAnsi="微软雅黑" w:eastAsia="微软雅黑" w:cstheme="minorBidi"/>
          <w:kern w:val="0"/>
          <w:sz w:val="24"/>
          <w:szCs w:val="24"/>
          <w:highlight w:val="none"/>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highlight w:val="none"/>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highlight w:val="none"/>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应答人</w:t>
      </w:r>
      <w:r>
        <w:rPr>
          <w:rFonts w:ascii="微软雅黑" w:hAnsi="微软雅黑" w:eastAsia="微软雅黑" w:cstheme="minorBidi"/>
          <w:spacing w:val="-3"/>
          <w:kern w:val="0"/>
          <w:sz w:val="24"/>
          <w:szCs w:val="24"/>
          <w:highlight w:val="none"/>
          <w:lang w:val="en-US" w:eastAsia="zh-CN" w:bidi="ar-SA"/>
        </w:rPr>
        <w:t>：</w:t>
      </w:r>
      <w:r>
        <w:rPr>
          <w:rFonts w:hint="eastAsia" w:ascii="微软雅黑" w:hAnsi="微软雅黑" w:eastAsia="微软雅黑" w:cstheme="minorBidi"/>
          <w:spacing w:val="-3"/>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法定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spacing w:val="-108"/>
          <w:kern w:val="0"/>
          <w:sz w:val="24"/>
          <w:szCs w:val="24"/>
          <w:highlight w:val="none"/>
          <w:lang w:val="en-US" w:eastAsia="zh-CN" w:bidi="ar-SA"/>
        </w:rPr>
        <w:t>）</w:t>
      </w:r>
      <w:r>
        <w:rPr>
          <w:rFonts w:ascii="微软雅黑" w:hAnsi="微软雅黑" w:eastAsia="微软雅黑" w:cstheme="minorBidi"/>
          <w:spacing w:val="-1"/>
          <w:kern w:val="0"/>
          <w:sz w:val="24"/>
          <w:szCs w:val="24"/>
          <w:highlight w:val="none"/>
          <w:lang w:val="en-US" w:eastAsia="zh-CN" w:bidi="ar-SA"/>
        </w:rPr>
        <w:t>：</w:t>
      </w:r>
      <w:r>
        <w:rPr>
          <w:rFonts w:hint="eastAsia" w:ascii="微软雅黑" w:hAnsi="微软雅黑" w:eastAsia="微软雅黑" w:cstheme="minorBidi"/>
          <w:spacing w:val="-1"/>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（签</w:t>
      </w:r>
      <w:r>
        <w:rPr>
          <w:rFonts w:ascii="微软雅黑" w:hAnsi="微软雅黑" w:eastAsia="微软雅黑" w:cstheme="minorBidi"/>
          <w:spacing w:val="-3"/>
          <w:kern w:val="0"/>
          <w:sz w:val="24"/>
          <w:szCs w:val="24"/>
          <w:highlight w:val="none"/>
          <w:lang w:val="en-US" w:eastAsia="zh-CN" w:bidi="ar-SA"/>
        </w:rPr>
        <w:t>字</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hint="eastAsia" w:ascii="微软雅黑" w:hAnsi="微软雅黑" w:eastAsia="微软雅黑" w:cstheme="minorBidi"/>
          <w:kern w:val="0"/>
          <w:sz w:val="24"/>
          <w:szCs w:val="24"/>
          <w:highlight w:val="none"/>
          <w:lang w:val="en-US" w:eastAsia="zh-CN" w:bidi="ar-SA"/>
        </w:rPr>
        <w:t xml:space="preserve"> </w:t>
      </w:r>
      <w:r>
        <w:rPr>
          <w:rFonts w:ascii="微软雅黑" w:hAnsi="微软雅黑" w:eastAsia="微软雅黑" w:cstheme="minorBidi"/>
          <w:kern w:val="0"/>
          <w:sz w:val="24"/>
          <w:szCs w:val="24"/>
          <w:highlight w:val="none"/>
          <w:lang w:val="en-US" w:eastAsia="zh-CN" w:bidi="ar-SA"/>
        </w:rPr>
        <w:t>身份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号</w:t>
      </w:r>
      <w:r>
        <w:rPr>
          <w:rFonts w:ascii="微软雅黑" w:hAnsi="微软雅黑" w:eastAsia="微软雅黑" w:cstheme="minorBidi"/>
          <w:spacing w:val="-3"/>
          <w:kern w:val="0"/>
          <w:sz w:val="24"/>
          <w:szCs w:val="24"/>
          <w:highlight w:val="none"/>
          <w:lang w:val="en-US" w:eastAsia="zh-CN" w:bidi="ar-SA"/>
        </w:rPr>
        <w:t>码：</w:t>
      </w:r>
      <w:r>
        <w:rPr>
          <w:rFonts w:hint="eastAsia" w:ascii="微软雅黑" w:hAnsi="微软雅黑" w:eastAsia="微软雅黑" w:cstheme="minorBidi"/>
          <w:w w:val="225"/>
          <w:kern w:val="0"/>
          <w:sz w:val="24"/>
          <w:szCs w:val="24"/>
          <w:highlight w:val="none"/>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委托</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理</w:t>
      </w:r>
      <w:r>
        <w:rPr>
          <w:rFonts w:ascii="微软雅黑" w:hAnsi="微软雅黑" w:eastAsia="微软雅黑" w:cstheme="minorBidi"/>
          <w:spacing w:val="-3"/>
          <w:kern w:val="0"/>
          <w:sz w:val="24"/>
          <w:szCs w:val="24"/>
          <w:highlight w:val="none"/>
          <w:lang w:val="en-US" w:eastAsia="zh-CN" w:bidi="ar-SA"/>
        </w:rPr>
        <w:t>人：</w:t>
      </w:r>
      <w:r>
        <w:rPr>
          <w:rFonts w:hint="eastAsia" w:ascii="微软雅黑" w:hAnsi="微软雅黑" w:eastAsia="微软雅黑" w:cstheme="minorBidi"/>
          <w:spacing w:val="-3"/>
          <w:kern w:val="0"/>
          <w:sz w:val="24"/>
          <w:szCs w:val="24"/>
          <w:highlight w:val="none"/>
          <w:u w:val="single"/>
          <w:lang w:val="en-US" w:eastAsia="zh-CN" w:bidi="ar-SA"/>
        </w:rPr>
        <w:t xml:space="preserve">                                      </w:t>
      </w:r>
      <w:r>
        <w:rPr>
          <w:rFonts w:ascii="微软雅黑" w:hAnsi="微软雅黑" w:eastAsia="微软雅黑" w:cstheme="minorBidi"/>
          <w:kern w:val="0"/>
          <w:sz w:val="24"/>
          <w:szCs w:val="24"/>
          <w:highlight w:val="none"/>
          <w:lang w:val="en-US" w:eastAsia="zh-CN" w:bidi="ar-SA"/>
        </w:rPr>
        <w:t>（签</w:t>
      </w:r>
      <w:r>
        <w:rPr>
          <w:rFonts w:ascii="微软雅黑" w:hAnsi="微软雅黑" w:eastAsia="微软雅黑" w:cstheme="minorBidi"/>
          <w:spacing w:val="-3"/>
          <w:kern w:val="0"/>
          <w:sz w:val="24"/>
          <w:szCs w:val="24"/>
          <w:highlight w:val="none"/>
          <w:lang w:val="en-US" w:eastAsia="zh-CN" w:bidi="ar-SA"/>
        </w:rPr>
        <w:t>字</w:t>
      </w:r>
      <w:r>
        <w:rPr>
          <w:rFonts w:ascii="微软雅黑" w:hAnsi="微软雅黑" w:eastAsia="微软雅黑" w:cstheme="minorBidi"/>
          <w:kern w:val="0"/>
          <w:sz w:val="24"/>
          <w:szCs w:val="24"/>
          <w:highlight w:val="none"/>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 xml:space="preserve">  身份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号</w:t>
      </w:r>
      <w:r>
        <w:rPr>
          <w:rFonts w:ascii="微软雅黑" w:hAnsi="微软雅黑" w:eastAsia="微软雅黑" w:cstheme="minorBidi"/>
          <w:spacing w:val="-3"/>
          <w:kern w:val="0"/>
          <w:sz w:val="24"/>
          <w:szCs w:val="24"/>
          <w:highlight w:val="none"/>
          <w:lang w:val="en-US" w:eastAsia="zh-CN" w:bidi="ar-SA"/>
        </w:rPr>
        <w:t>码：</w:t>
      </w:r>
      <w:r>
        <w:rPr>
          <w:rFonts w:hint="eastAsia" w:ascii="微软雅黑" w:hAnsi="微软雅黑" w:eastAsia="微软雅黑" w:cstheme="minorBidi"/>
          <w:spacing w:val="-3"/>
          <w:kern w:val="0"/>
          <w:sz w:val="24"/>
          <w:szCs w:val="24"/>
          <w:highlight w:val="none"/>
          <w:u w:val="single"/>
          <w:lang w:val="en-US" w:eastAsia="zh-CN" w:bidi="ar-SA"/>
        </w:rPr>
        <w:t xml:space="preserve">                                               </w:t>
      </w:r>
    </w:p>
    <w:p>
      <w:pPr>
        <w:keepNext w:val="0"/>
        <w:keepLines w:val="0"/>
        <w:pageBreakBefore w:val="0"/>
        <w:widowControl w:val="0"/>
        <w:tabs>
          <w:tab w:val="left" w:pos="142"/>
          <w:tab w:val="left" w:pos="6643"/>
          <w:tab w:val="left" w:pos="7589"/>
          <w:tab w:val="left" w:pos="8533"/>
        </w:tabs>
        <w:kinsoku/>
        <w:wordWrap w:val="0"/>
        <w:overflowPunct/>
        <w:topLinePunct w:val="0"/>
        <w:autoSpaceDE/>
        <w:autoSpaceDN/>
        <w:bidi w:val="0"/>
        <w:adjustRightInd/>
        <w:snapToGrid/>
        <w:spacing w:before="36" w:after="120" w:afterLines="50"/>
        <w:ind w:left="780" w:right="11" w:firstLine="480"/>
        <w:jc w:val="right"/>
        <w:textAlignment w:val="auto"/>
        <w:outlineLvl w:val="9"/>
        <w:rPr>
          <w:highlight w:val="none"/>
        </w:rPr>
      </w:pP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hint="eastAsia" w:ascii="微软雅黑" w:hAnsi="微软雅黑" w:eastAsia="微软雅黑" w:cstheme="minorBidi"/>
          <w:kern w:val="0"/>
          <w:sz w:val="24"/>
          <w:szCs w:val="24"/>
          <w:highlight w:val="none"/>
          <w:lang w:val="en-US" w:eastAsia="zh-CN" w:bidi="ar-SA"/>
        </w:rPr>
        <w:t>年</w:t>
      </w: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ascii="微软雅黑" w:hAnsi="微软雅黑" w:eastAsia="微软雅黑" w:cstheme="minorBidi"/>
          <w:spacing w:val="-3"/>
          <w:kern w:val="0"/>
          <w:sz w:val="24"/>
          <w:szCs w:val="24"/>
          <w:highlight w:val="none"/>
          <w:lang w:val="en-US" w:eastAsia="zh-CN" w:bidi="ar-SA"/>
        </w:rPr>
        <w:t>月</w:t>
      </w:r>
      <w:r>
        <w:rPr>
          <w:rFonts w:hint="eastAsia" w:ascii="微软雅黑" w:hAnsi="微软雅黑" w:eastAsia="微软雅黑" w:cstheme="minorBidi"/>
          <w:kern w:val="0"/>
          <w:sz w:val="24"/>
          <w:szCs w:val="24"/>
          <w:highlight w:val="none"/>
          <w:u w:val="single" w:color="000000"/>
          <w:lang w:val="en-US" w:eastAsia="zh-CN" w:bidi="ar-SA"/>
        </w:rPr>
        <w:t xml:space="preserve">        </w:t>
      </w:r>
      <w:r>
        <w:rPr>
          <w:rFonts w:ascii="微软雅黑" w:hAnsi="微软雅黑" w:eastAsia="微软雅黑" w:cstheme="minorBidi"/>
          <w:kern w:val="0"/>
          <w:sz w:val="24"/>
          <w:szCs w:val="24"/>
          <w:highlight w:val="none"/>
          <w:lang w:val="en-US" w:eastAsia="zh-CN" w:bidi="ar-SA"/>
        </w:rPr>
        <w:t>日</w:t>
      </w:r>
    </w:p>
    <w:p>
      <w:pPr>
        <w:rPr>
          <w:rFonts w:hint="eastAsia"/>
          <w:highlight w:val="none"/>
          <w:lang w:val="en-US" w:eastAsia="zh-CN"/>
        </w:rPr>
      </w:pPr>
    </w:p>
    <w:p>
      <w:pPr>
        <w:pStyle w:val="6"/>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5.6：股权证明文件</w:t>
      </w:r>
    </w:p>
    <w:p>
      <w:pPr>
        <w:rPr>
          <w:rFonts w:hint="eastAsia"/>
          <w:highlight w:val="none"/>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Chars="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（应答人应在应答文件中提供其公司章程或其他能够体现出资人、股东信息的法定文件，此证明文件将作为评标/评审时的依据。）</w:t>
      </w:r>
    </w:p>
    <w:p>
      <w:pPr>
        <w:rPr>
          <w:rFonts w:hint="eastAsia"/>
          <w:highlight w:val="none"/>
          <w:lang w:val="en-US" w:eastAsia="zh-CN"/>
        </w:rPr>
      </w:pPr>
    </w:p>
    <w:p>
      <w:pPr>
        <w:rPr>
          <w:rFonts w:hint="eastAsia"/>
          <w:highlight w:val="none"/>
          <w:lang w:val="en-US" w:eastAsia="zh-CN"/>
        </w:rPr>
      </w:pPr>
    </w:p>
    <w:p>
      <w:pPr>
        <w:rPr>
          <w:highlight w:val="none"/>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22"/>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5.7：供应商承诺书              </w:t>
      </w:r>
    </w:p>
    <w:p>
      <w:pPr>
        <w:ind w:firstLine="3253" w:firstLineChars="900"/>
        <w:jc w:val="both"/>
        <w:outlineLvl w:val="9"/>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p>
    <w:p>
      <w:pPr>
        <w:rPr>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spacing w:line="360" w:lineRule="auto"/>
        <w:ind w:firstLine="42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我公司近三年不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存在控股关系或管理关系、单位负责人为同一人，同一自然人同时持有两家公司非公开上市股份的情形。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确认，我公司不存在中国海油员工（不含中国海油正式派出的）、海油发展离职未满三年的员工在我公司担任股东、法人代表、董事、监事和其他任职人员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spacing w:line="360" w:lineRule="auto"/>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6、我公司如涉及雇用农民工，承诺与农民工签订劳动合同，及时、足额发放工资、缴纳社会保险费用。</w:t>
      </w:r>
    </w:p>
    <w:p>
      <w:pPr>
        <w:pStyle w:val="9"/>
        <w:ind w:left="0" w:firstLine="420" w:firstLineChars="200"/>
        <w:rPr>
          <w:rFonts w:hint="default" w:eastAsia="宋体"/>
          <w:highlight w:val="none"/>
          <w:lang w:val="en-US" w:eastAsia="zh-CN"/>
        </w:rPr>
      </w:pPr>
      <w:r>
        <w:rPr>
          <w:rFonts w:hint="eastAsia" w:cs="宋体"/>
          <w:color w:val="000000" w:themeColor="text1"/>
          <w:sz w:val="21"/>
          <w:szCs w:val="21"/>
          <w:highlight w:val="none"/>
          <w:lang w:val="en-US" w:eastAsia="zh-CN"/>
          <w14:textFill>
            <w14:solidFill>
              <w14:schemeClr w14:val="tx1"/>
            </w14:solidFill>
          </w14:textFill>
        </w:rPr>
        <w:t>7、我公司承诺</w:t>
      </w:r>
      <w:r>
        <w:rPr>
          <w:rFonts w:hint="eastAsia" w:ascii="宋体" w:hAnsi="宋体" w:eastAsia="宋体" w:cs="宋体"/>
          <w:highlight w:val="none"/>
          <w:lang w:eastAsia="zh-CN"/>
        </w:rPr>
        <w:t>积极响应国家节能减排和绿色环保政策，切实推进绿色供应链建设</w:t>
      </w:r>
      <w:r>
        <w:rPr>
          <w:rFonts w:hint="eastAsia" w:cs="宋体"/>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8、我公司此次投标涉及供应商属性为：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贸易商；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代理商；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制造商；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集成商。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9、我公司为：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中小微企业；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大型企业；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国有企业、事业单位、大学；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2" w:char="00A3"/>
      </w:r>
      <w:r>
        <w:rPr>
          <w:rFonts w:hint="eastAsia" w:ascii="宋体" w:hAnsi="宋体" w:eastAsia="宋体" w:cs="宋体"/>
          <w:color w:val="000000" w:themeColor="text1"/>
          <w:sz w:val="21"/>
          <w:szCs w:val="21"/>
          <w:highlight w:val="none"/>
          <w:lang w:val="en-US" w:eastAsia="zh-CN"/>
          <w14:textFill>
            <w14:solidFill>
              <w14:schemeClr w14:val="tx1"/>
            </w14:solidFill>
          </w14:textFill>
        </w:rPr>
        <w:t>境外或港澳台企业。</w:t>
      </w:r>
    </w:p>
    <w:p>
      <w:pPr>
        <w:pStyle w:val="9"/>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10、</w:t>
      </w:r>
      <w:r>
        <w:rPr>
          <w:color w:val="000000" w:themeColor="text1"/>
          <w:sz w:val="21"/>
          <w:szCs w:val="21"/>
          <w:highlight w:val="none"/>
          <w:lang w:eastAsia="zh-CN"/>
          <w14:textFill>
            <w14:solidFill>
              <w14:schemeClr w14:val="tx1"/>
            </w14:solidFill>
          </w14:textFill>
        </w:rPr>
        <w:t>我公司财务状况、业绩状况、人员社保状况如下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贸易商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63"/>
        <w:gridCol w:w="310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64" w:type="dxa"/>
            <w:gridSpan w:val="2"/>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3100"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2558" w:type="dxa"/>
            <w:vMerge w:val="restart"/>
            <w:vAlign w:val="center"/>
          </w:tcPr>
          <w:p>
            <w:pPr>
              <w:jc w:val="center"/>
              <w:rPr>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continue"/>
          </w:tcPr>
          <w:p>
            <w:pPr>
              <w:rPr>
                <w:color w:val="000000" w:themeColor="text1"/>
                <w:sz w:val="21"/>
                <w:szCs w:val="21"/>
                <w:highlight w:val="none"/>
                <w:lang w:eastAsia="zh-CN"/>
                <w14:textFill>
                  <w14:solidFill>
                    <w14:schemeClr w14:val="tx1"/>
                  </w14:solidFill>
                </w14:textFill>
              </w:rPr>
            </w:pPr>
          </w:p>
        </w:tc>
        <w:tc>
          <w:tcPr>
            <w:tcW w:w="2558" w:type="dxa"/>
            <w:vMerge w:val="continue"/>
          </w:tcPr>
          <w:p>
            <w:pPr>
              <w:rPr>
                <w:color w:val="000000" w:themeColor="text1"/>
                <w:sz w:val="21"/>
                <w:szCs w:val="21"/>
                <w:highlight w:val="none"/>
                <w:lang w:eastAsia="zh-CN"/>
                <w14:textFill>
                  <w14:solidFill>
                    <w14:schemeClr w14:val="tx1"/>
                  </w14:solidFill>
                </w14:textFill>
              </w:rPr>
            </w:pPr>
          </w:p>
        </w:tc>
      </w:tr>
    </w:tbl>
    <w:p>
      <w:pPr>
        <w:pStyle w:val="9"/>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11、</w:t>
      </w:r>
      <w:r>
        <w:rPr>
          <w:color w:val="000000" w:themeColor="text1"/>
          <w:sz w:val="21"/>
          <w:szCs w:val="21"/>
          <w:highlight w:val="none"/>
          <w14:textFill>
            <w14:solidFill>
              <w14:schemeClr w14:val="tx1"/>
            </w14:solidFill>
          </w14:textFill>
        </w:rPr>
        <w:t>我公司财务状况、业绩状况、人员社保状况、代理状况如下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代理商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9"/>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34"/>
        <w:gridCol w:w="2346"/>
        <w:gridCol w:w="1444"/>
        <w:gridCol w:w="10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51" w:type="dxa"/>
            <w:gridSpan w:val="2"/>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2346"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1444"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106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代理模式</w:t>
            </w:r>
          </w:p>
        </w:tc>
        <w:tc>
          <w:tcPr>
            <w:tcW w:w="165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是否为项目代理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trPr>
        <w:tc>
          <w:tcPr>
            <w:tcW w:w="1317"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834"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444"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06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650" w:type="dxa"/>
            <w:vMerge w:val="restart"/>
            <w:vAlign w:val="center"/>
          </w:tcPr>
          <w:p>
            <w:pPr>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是</w:t>
            </w:r>
          </w:p>
          <w:p>
            <w:pPr>
              <w:jc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17"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834" w:type="dxa"/>
          </w:tcPr>
          <w:p>
            <w:pP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continue"/>
          </w:tcPr>
          <w:p>
            <w:pPr>
              <w:rPr>
                <w:color w:val="000000" w:themeColor="text1"/>
                <w:sz w:val="21"/>
                <w:szCs w:val="21"/>
                <w:highlight w:val="none"/>
                <w:lang w:eastAsia="zh-CN"/>
                <w14:textFill>
                  <w14:solidFill>
                    <w14:schemeClr w14:val="tx1"/>
                  </w14:solidFill>
                </w14:textFill>
              </w:rPr>
            </w:pPr>
          </w:p>
        </w:tc>
        <w:tc>
          <w:tcPr>
            <w:tcW w:w="1444" w:type="dxa"/>
            <w:vMerge w:val="continue"/>
          </w:tcPr>
          <w:p>
            <w:pPr>
              <w:rPr>
                <w:color w:val="000000" w:themeColor="text1"/>
                <w:sz w:val="21"/>
                <w:szCs w:val="21"/>
                <w:highlight w:val="none"/>
                <w:lang w:eastAsia="zh-CN"/>
                <w14:textFill>
                  <w14:solidFill>
                    <w14:schemeClr w14:val="tx1"/>
                  </w14:solidFill>
                </w14:textFill>
              </w:rPr>
            </w:pPr>
          </w:p>
        </w:tc>
        <w:tc>
          <w:tcPr>
            <w:tcW w:w="1060" w:type="dxa"/>
            <w:vMerge w:val="continue"/>
          </w:tcPr>
          <w:p>
            <w:pPr>
              <w:rPr>
                <w:color w:val="000000" w:themeColor="text1"/>
                <w:sz w:val="21"/>
                <w:szCs w:val="21"/>
                <w:highlight w:val="none"/>
                <w:lang w:eastAsia="zh-CN"/>
                <w14:textFill>
                  <w14:solidFill>
                    <w14:schemeClr w14:val="tx1"/>
                  </w14:solidFill>
                </w14:textFill>
              </w:rPr>
            </w:pPr>
          </w:p>
        </w:tc>
        <w:tc>
          <w:tcPr>
            <w:tcW w:w="1650" w:type="dxa"/>
            <w:vMerge w:val="continue"/>
          </w:tcPr>
          <w:p>
            <w:pPr>
              <w:rPr>
                <w:color w:val="000000" w:themeColor="text1"/>
                <w:sz w:val="21"/>
                <w:szCs w:val="21"/>
                <w:highlight w:val="none"/>
                <w:lang w:eastAsia="zh-CN"/>
                <w14:textFill>
                  <w14:solidFill>
                    <w14:schemeClr w14:val="tx1"/>
                  </w14:solidFill>
                </w14:textFill>
              </w:rPr>
            </w:pPr>
          </w:p>
        </w:tc>
      </w:tr>
    </w:tbl>
    <w:p>
      <w:pPr>
        <w:pStyle w:val="9"/>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我公司业绩状况、</w:t>
      </w:r>
      <w:r>
        <w:rPr>
          <w:rFonts w:hint="eastAsia" w:eastAsia="宋体"/>
          <w:color w:val="000000" w:themeColor="text1"/>
          <w:sz w:val="21"/>
          <w:szCs w:val="21"/>
          <w:highlight w:val="none"/>
          <w:lang w:val="en-US" w:eastAsia="zh-CN"/>
          <w14:textFill>
            <w14:solidFill>
              <w14:schemeClr w14:val="tx1"/>
            </w14:solidFill>
          </w14:textFill>
        </w:rPr>
        <w:t>人员社保状况、实缴注册资本状况</w:t>
      </w:r>
      <w:r>
        <w:rPr>
          <w:color w:val="000000" w:themeColor="text1"/>
          <w:sz w:val="21"/>
          <w:szCs w:val="21"/>
          <w:highlight w:val="none"/>
          <w14:textFill>
            <w14:solidFill>
              <w14:schemeClr w14:val="tx1"/>
            </w14:solidFill>
          </w14:textFill>
        </w:rPr>
        <w:t>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服务商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9"/>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2"/>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97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322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实缴注册资本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72" w:type="dxa"/>
          </w:tcPr>
          <w:p>
            <w:pPr>
              <w:rPr>
                <w:b/>
                <w:color w:val="000000" w:themeColor="text1"/>
                <w:sz w:val="21"/>
                <w:szCs w:val="21"/>
                <w:highlight w:val="none"/>
                <w:lang w:eastAsia="zh-CN"/>
                <w14:textFill>
                  <w14:solidFill>
                    <w14:schemeClr w14:val="tx1"/>
                  </w14:solidFill>
                </w14:textFill>
              </w:rPr>
            </w:pPr>
          </w:p>
        </w:tc>
        <w:tc>
          <w:tcPr>
            <w:tcW w:w="2552" w:type="dxa"/>
          </w:tcPr>
          <w:p>
            <w:pPr>
              <w:rPr>
                <w:b/>
                <w:color w:val="000000" w:themeColor="text1"/>
                <w:sz w:val="21"/>
                <w:szCs w:val="21"/>
                <w:highlight w:val="none"/>
                <w:lang w:eastAsia="zh-CN"/>
                <w14:textFill>
                  <w14:solidFill>
                    <w14:schemeClr w14:val="tx1"/>
                  </w14:solidFill>
                </w14:textFill>
              </w:rPr>
            </w:pPr>
          </w:p>
        </w:tc>
        <w:tc>
          <w:tcPr>
            <w:tcW w:w="3228" w:type="dxa"/>
          </w:tcPr>
          <w:p>
            <w:pPr>
              <w:rPr>
                <w:b/>
                <w:color w:val="000000" w:themeColor="text1"/>
                <w:sz w:val="21"/>
                <w:szCs w:val="21"/>
                <w:highlight w:val="none"/>
                <w:lang w:eastAsia="zh-CN"/>
                <w14:textFill>
                  <w14:solidFill>
                    <w14:schemeClr w14:val="tx1"/>
                  </w14:solidFill>
                </w14:textFill>
              </w:rPr>
            </w:pPr>
          </w:p>
        </w:tc>
      </w:tr>
    </w:tbl>
    <w:p>
      <w:pPr>
        <w:spacing w:line="348"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上述信息如有虚假我公司将承担相关责任，并按照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。我公司将严格遵守国家相关法律法规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核查与审计</w:t>
      </w:r>
      <w:r>
        <w:rPr>
          <w:rFonts w:hint="eastAsia" w:ascii="宋体" w:hAnsi="宋体" w:eastAsia="宋体" w:cs="宋体"/>
          <w:color w:val="000000" w:themeColor="text1"/>
          <w:sz w:val="21"/>
          <w:szCs w:val="21"/>
          <w:highlight w:val="none"/>
          <w14:textFill>
            <w14:solidFill>
              <w14:schemeClr w14:val="tx1"/>
            </w14:solidFill>
          </w14:textFill>
        </w:rPr>
        <w:t>。当相关信息发生变更时将及时主动办理更新手续。</w:t>
      </w:r>
    </w:p>
    <w:p>
      <w:pPr>
        <w:pStyle w:val="9"/>
        <w:rPr>
          <w:rFonts w:hint="eastAsia"/>
          <w:color w:val="000000" w:themeColor="text1"/>
          <w:sz w:val="21"/>
          <w:szCs w:val="21"/>
          <w:highlight w:val="none"/>
          <w14:textFill>
            <w14:solidFill>
              <w14:schemeClr w14:val="tx1"/>
            </w14:solidFill>
          </w14:textFill>
        </w:rPr>
      </w:pPr>
    </w:p>
    <w:p>
      <w:pPr>
        <w:spacing w:line="348" w:lineRule="auto"/>
        <w:ind w:firstLine="540"/>
        <w:jc w:val="center"/>
        <w:outlineLvl w:val="9"/>
        <w:rPr>
          <w:rFonts w:hint="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p>
    <w:p>
      <w:pPr>
        <w:spacing w:line="348" w:lineRule="auto"/>
        <w:jc w:val="righ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信用中国”或</w:t>
      </w:r>
      <w:r>
        <w:rPr>
          <w:rFonts w:hint="eastAsia" w:asciiTheme="minorEastAsia" w:hAnsiTheme="minorEastAsia" w:cstheme="minorEastAsia"/>
          <w:b w:val="0"/>
          <w:bCs w:val="0"/>
          <w:color w:val="000000" w:themeColor="text1"/>
          <w:sz w:val="21"/>
          <w:szCs w:val="21"/>
          <w:highlight w:val="none"/>
          <w14:textFill>
            <w14:solidFill>
              <w14:schemeClr w14:val="tx1"/>
            </w14:solidFill>
          </w14:textFill>
        </w:rPr>
        <w:t>“中国执行信息公开网”</w:t>
      </w:r>
      <w:r>
        <w:rPr>
          <w:rFonts w:hint="eastAsia" w:asciiTheme="minorEastAsia" w:hAnsiTheme="minorEastAsia" w:cstheme="minorEastAsia"/>
          <w:color w:val="000000" w:themeColor="text1"/>
          <w:sz w:val="21"/>
          <w:szCs w:val="21"/>
          <w:highlight w:val="none"/>
          <w14:textFill>
            <w14:solidFill>
              <w14:schemeClr w14:val="tx1"/>
            </w14:solidFill>
          </w14:textFill>
        </w:rPr>
        <w:t>网站查询截图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9"/>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2：“中国裁判文书网”查询截图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9"/>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cs="宋体"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3：“国家企业信用信息公示系统”查询截图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rPr>
          <w:highlight w:val="none"/>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eastAsia" w:ascii="黑体" w:hAnsi="黑体" w:eastAsia="黑体" w:cstheme="minorBidi"/>
          <w:b/>
          <w:bCs/>
          <w:color w:val="auto"/>
          <w:kern w:val="2"/>
          <w:sz w:val="24"/>
          <w:szCs w:val="24"/>
          <w:highlight w:val="none"/>
          <w:lang w:val="en-US" w:eastAsia="zh-CN" w:bidi="ar-SA"/>
        </w:rPr>
      </w:pPr>
    </w:p>
    <w:p>
      <w:pPr>
        <w:keepNext w:val="0"/>
        <w:keepLines w:val="0"/>
        <w:widowControl/>
        <w:suppressLineNumbers w:val="0"/>
        <w:jc w:val="left"/>
        <w:outlineLvl w:val="1"/>
        <w:rPr>
          <w:rFonts w:hint="default" w:ascii="仿宋" w:hAnsi="仿宋" w:eastAsia="仿宋" w:cs="仿宋"/>
          <w:b/>
          <w:bCs w:val="0"/>
          <w:sz w:val="28"/>
          <w:szCs w:val="28"/>
          <w:highlight w:val="none"/>
          <w:lang w:val="en-US" w:eastAsia="zh-CN"/>
        </w:rPr>
      </w:pPr>
      <w:r>
        <w:rPr>
          <w:rFonts w:hint="eastAsia" w:ascii="黑体" w:hAnsi="黑体" w:eastAsia="黑体" w:cstheme="minorBidi"/>
          <w:b/>
          <w:bCs/>
          <w:color w:val="auto"/>
          <w:kern w:val="2"/>
          <w:sz w:val="24"/>
          <w:szCs w:val="24"/>
          <w:highlight w:val="none"/>
          <w:lang w:val="en-US" w:eastAsia="zh-CN" w:bidi="ar-SA"/>
        </w:rPr>
        <w:t>5.9：制造商承诺书</w:t>
      </w:r>
    </w:p>
    <w:p>
      <w:pPr>
        <w:keepNext w:val="0"/>
        <w:keepLines w:val="0"/>
        <w:widowControl/>
        <w:suppressLineNumbers w:val="0"/>
        <w:jc w:val="center"/>
        <w:rPr>
          <w:rFonts w:hint="eastAsia" w:ascii="仿宋" w:hAnsi="仿宋" w:eastAsia="仿宋" w:cs="仿宋"/>
          <w:b/>
          <w:bCs/>
          <w:sz w:val="44"/>
          <w:szCs w:val="44"/>
          <w:highlight w:val="none"/>
          <w:lang w:val="en-US" w:eastAsia="zh-CN"/>
        </w:rPr>
      </w:pPr>
    </w:p>
    <w:p>
      <w:pPr>
        <w:keepNext w:val="0"/>
        <w:keepLines w:val="0"/>
        <w:widowControl/>
        <w:suppressLineNumbers w:val="0"/>
        <w:jc w:val="center"/>
        <w:rPr>
          <w:rFonts w:hint="eastAsia" w:ascii="仿宋" w:hAnsi="仿宋" w:eastAsia="仿宋" w:cs="仿宋"/>
          <w:sz w:val="28"/>
          <w:szCs w:val="28"/>
          <w:highlight w:val="none"/>
          <w:lang w:val="en-US" w:eastAsia="zh-CN"/>
        </w:rPr>
      </w:pPr>
      <w:r>
        <w:rPr>
          <w:rFonts w:hint="eastAsia" w:ascii="仿宋" w:hAnsi="仿宋" w:eastAsia="仿宋" w:cs="仿宋"/>
          <w:b/>
          <w:bCs/>
          <w:sz w:val="44"/>
          <w:szCs w:val="44"/>
          <w:highlight w:val="none"/>
          <w:lang w:val="en-US" w:eastAsia="zh-CN"/>
        </w:rPr>
        <w:t>制造商承诺书</w:t>
      </w:r>
    </w:p>
    <w:p>
      <w:pPr>
        <w:keepNext w:val="0"/>
        <w:keepLines w:val="0"/>
        <w:widowControl/>
        <w:suppressLineNumbers w:val="0"/>
        <w:jc w:val="center"/>
        <w:rPr>
          <w:rFonts w:hint="eastAsia" w:ascii="仿宋" w:hAnsi="仿宋" w:eastAsia="仿宋" w:cs="仿宋"/>
          <w:sz w:val="28"/>
          <w:szCs w:val="28"/>
          <w:highlight w:val="none"/>
          <w:lang w:val="en-US" w:eastAsia="zh-CN"/>
        </w:rPr>
      </w:pPr>
    </w:p>
    <w:p>
      <w:pPr>
        <w:keepNext w:val="0"/>
        <w:keepLines w:val="0"/>
        <w:widowControl/>
        <w:suppressLineNumbers w:val="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致：</w:t>
      </w:r>
      <w:r>
        <w:rPr>
          <w:rFonts w:hint="eastAsia" w:ascii="仿宋" w:hAnsi="仿宋" w:eastAsia="仿宋" w:cs="仿宋"/>
          <w:sz w:val="28"/>
          <w:szCs w:val="28"/>
          <w:highlight w:val="none"/>
          <w:u w:val="single"/>
          <w:lang w:val="en-US" w:eastAsia="zh-CN"/>
        </w:rPr>
        <w:t xml:space="preserve">  招标人/招标代理机构   </w:t>
      </w:r>
    </w:p>
    <w:p>
      <w:pPr>
        <w:keepNext w:val="0"/>
        <w:keepLines w:val="0"/>
        <w:widowControl/>
        <w:suppressLineNumbers w:val="0"/>
        <w:ind w:firstLine="560" w:firstLineChars="200"/>
        <w:jc w:val="both"/>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我们</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u w:val="none"/>
          <w:lang w:val="en-US" w:eastAsia="zh-CN"/>
        </w:rPr>
        <w:t>公司名称）</w:t>
      </w:r>
      <w:r>
        <w:rPr>
          <w:rFonts w:hint="eastAsia" w:ascii="仿宋" w:hAnsi="仿宋" w:eastAsia="仿宋" w:cs="仿宋"/>
          <w:sz w:val="28"/>
          <w:szCs w:val="28"/>
          <w:highlight w:val="none"/>
          <w:lang w:val="en-US" w:eastAsia="zh-CN"/>
        </w:rPr>
        <w:t>是按中华人民共和国法律于</w:t>
      </w:r>
      <w:r>
        <w:rPr>
          <w:rFonts w:hint="eastAsia" w:ascii="仿宋" w:hAnsi="仿宋" w:eastAsia="仿宋" w:cs="仿宋"/>
          <w:sz w:val="28"/>
          <w:szCs w:val="28"/>
          <w:highlight w:val="none"/>
          <w:u w:val="single"/>
          <w:lang w:val="en-US" w:eastAsia="zh-CN"/>
        </w:rPr>
        <w:t xml:space="preserve">    年 月 日</w:t>
      </w:r>
      <w:r>
        <w:rPr>
          <w:rFonts w:hint="eastAsia" w:ascii="仿宋" w:hAnsi="仿宋" w:eastAsia="仿宋" w:cs="仿宋"/>
          <w:sz w:val="28"/>
          <w:szCs w:val="28"/>
          <w:highlight w:val="none"/>
          <w:lang w:val="en-US" w:eastAsia="zh-CN"/>
        </w:rPr>
        <w:t>成立的一家制造商，主要营业地点设在</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 xml:space="preserve">。兹声明我司就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项目(招标编号：</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lang w:val="en-US" w:eastAsia="zh-CN"/>
        </w:rPr>
        <w:t>）使用我公司 □自行生产制造/ □</w:t>
      </w:r>
      <w:r>
        <w:rPr>
          <w:rFonts w:hint="eastAsia" w:ascii="仿宋" w:hAnsi="仿宋" w:eastAsia="仿宋" w:cs="仿宋"/>
          <w:sz w:val="28"/>
          <w:szCs w:val="28"/>
          <w:highlight w:val="none"/>
          <w:lang w:val="en-US" w:eastAsia="zh-Hans"/>
        </w:rPr>
        <w:t>代工方式</w:t>
      </w:r>
      <w:r>
        <w:rPr>
          <w:rFonts w:hint="eastAsia" w:ascii="仿宋" w:hAnsi="仿宋" w:eastAsia="仿宋" w:cs="仿宋"/>
          <w:sz w:val="28"/>
          <w:szCs w:val="28"/>
          <w:highlight w:val="none"/>
          <w:lang w:val="en-US" w:eastAsia="zh-CN"/>
        </w:rPr>
        <w:t>/□集成方式</w:t>
      </w:r>
      <w:r>
        <w:rPr>
          <w:rFonts w:hint="eastAsia" w:ascii="仿宋" w:hAnsi="仿宋" w:eastAsia="仿宋" w:cs="仿宋"/>
          <w:sz w:val="28"/>
          <w:szCs w:val="28"/>
          <w:highlight w:val="none"/>
          <w:lang w:val="en-US" w:eastAsia="zh-Hans"/>
        </w:rPr>
        <w:t>生产</w:t>
      </w:r>
      <w:r>
        <w:rPr>
          <w:rFonts w:hint="eastAsia" w:ascii="仿宋" w:hAnsi="仿宋" w:eastAsia="仿宋" w:cs="仿宋"/>
          <w:sz w:val="28"/>
          <w:szCs w:val="28"/>
          <w:highlight w:val="none"/>
          <w:lang w:val="en-US" w:eastAsia="zh-CN"/>
        </w:rPr>
        <w:t>的</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ind w:left="0" w:leftChars="0" w:firstLine="0" w:firstLineChars="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u w:val="none"/>
          <w:lang w:val="en-US" w:eastAsia="zh-CN"/>
        </w:rPr>
        <w:t>产品</w:t>
      </w:r>
      <w:r>
        <w:rPr>
          <w:rFonts w:hint="eastAsia" w:ascii="仿宋" w:hAnsi="仿宋" w:eastAsia="仿宋" w:cs="仿宋"/>
          <w:sz w:val="28"/>
          <w:szCs w:val="28"/>
          <w:highlight w:val="none"/>
          <w:lang w:val="en-US" w:eastAsia="zh-CN"/>
        </w:rPr>
        <w:t>参与投标。</w:t>
      </w:r>
    </w:p>
    <w:p>
      <w:pPr>
        <w:keepNext w:val="0"/>
        <w:keepLines w:val="0"/>
        <w:widowControl/>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我公司就项目承诺如下：</w:t>
      </w:r>
    </w:p>
    <w:p>
      <w:pPr>
        <w:keepNext w:val="0"/>
        <w:keepLines w:val="0"/>
        <w:widowControl/>
        <w:suppressLineNumbers w:val="0"/>
        <w:jc w:val="both"/>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 我公司为</w:t>
      </w:r>
      <w:r>
        <w:rPr>
          <w:rFonts w:hint="eastAsia" w:ascii="仿宋" w:hAnsi="仿宋" w:eastAsia="仿宋" w:cs="仿宋"/>
          <w:b/>
          <w:bCs/>
          <w:sz w:val="28"/>
          <w:szCs w:val="28"/>
          <w:highlight w:val="none"/>
          <w:lang w:val="en-US" w:eastAsia="zh-CN"/>
        </w:rPr>
        <w:t>传统型制造商，</w:t>
      </w:r>
      <w:r>
        <w:rPr>
          <w:rFonts w:hint="eastAsia" w:ascii="仿宋" w:hAnsi="仿宋" w:eastAsia="仿宋" w:cs="仿宋"/>
          <w:sz w:val="28"/>
          <w:szCs w:val="28"/>
          <w:highlight w:val="none"/>
          <w:lang w:val="en-US" w:eastAsia="zh-CN"/>
        </w:rPr>
        <w:t>投标产品系我公司自行生产制造，我公司具备制造必须的资质、厂房、设备、人力等资源。</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sym w:font="Wingdings 2" w:char="00A3"/>
      </w:r>
      <w:r>
        <w:rPr>
          <w:rFonts w:hint="eastAsia" w:ascii="仿宋" w:hAnsi="仿宋" w:eastAsia="仿宋" w:cs="仿宋"/>
          <w:sz w:val="28"/>
          <w:szCs w:val="28"/>
          <w:highlight w:val="none"/>
          <w:lang w:val="en-US" w:eastAsia="zh-CN"/>
        </w:rPr>
        <w:t xml:space="preserve"> 我公司为</w:t>
      </w:r>
      <w:r>
        <w:rPr>
          <w:rFonts w:hint="eastAsia" w:ascii="仿宋" w:hAnsi="仿宋" w:eastAsia="仿宋" w:cs="仿宋"/>
          <w:b/>
          <w:bCs/>
          <w:sz w:val="28"/>
          <w:szCs w:val="28"/>
          <w:highlight w:val="none"/>
          <w:lang w:val="en-US" w:eastAsia="zh-CN"/>
        </w:rPr>
        <w:t>OEM型制造商，</w:t>
      </w:r>
      <w:r>
        <w:rPr>
          <w:rFonts w:hint="eastAsia" w:ascii="仿宋" w:hAnsi="仿宋" w:eastAsia="仿宋" w:cs="仿宋"/>
          <w:sz w:val="28"/>
          <w:szCs w:val="28"/>
          <w:highlight w:val="none"/>
          <w:lang w:val="en-US" w:eastAsia="zh-CN"/>
        </w:rPr>
        <w:t>投标产品系我公司以</w:t>
      </w:r>
      <w:r>
        <w:rPr>
          <w:rFonts w:hint="eastAsia" w:ascii="仿宋" w:hAnsi="仿宋" w:eastAsia="仿宋" w:cs="仿宋"/>
          <w:sz w:val="28"/>
          <w:szCs w:val="28"/>
          <w:highlight w:val="none"/>
          <w:lang w:val="en-US" w:eastAsia="zh-Hans"/>
        </w:rPr>
        <w:t>代工方式生产</w:t>
      </w:r>
      <w:r>
        <w:rPr>
          <w:rFonts w:hint="eastAsia" w:ascii="仿宋" w:hAnsi="仿宋" w:eastAsia="仿宋" w:cs="仿宋"/>
          <w:sz w:val="28"/>
          <w:szCs w:val="28"/>
          <w:highlight w:val="none"/>
          <w:lang w:val="en-US" w:eastAsia="zh-CN"/>
        </w:rPr>
        <w:t>，我公司具备供货的资质和能力。</w:t>
      </w:r>
    </w:p>
    <w:p>
      <w:pPr>
        <w:keepNext w:val="0"/>
        <w:keepLines w:val="0"/>
        <w:widowControl/>
        <w:numPr>
          <w:ilvl w:val="0"/>
          <w:numId w:val="0"/>
        </w:numPr>
        <w:suppressLineNumbers w:val="0"/>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sym w:font="Wingdings 2" w:char="00A3"/>
      </w:r>
      <w:r>
        <w:rPr>
          <w:rFonts w:hint="eastAsia" w:ascii="仿宋" w:hAnsi="仿宋" w:eastAsia="仿宋" w:cs="仿宋"/>
          <w:sz w:val="28"/>
          <w:szCs w:val="28"/>
          <w:highlight w:val="none"/>
          <w:lang w:val="en-US" w:eastAsia="zh-CN"/>
        </w:rPr>
        <w:t xml:space="preserve"> 我公司为</w:t>
      </w:r>
      <w:r>
        <w:rPr>
          <w:rFonts w:hint="eastAsia" w:ascii="仿宋" w:hAnsi="仿宋" w:eastAsia="仿宋" w:cs="仿宋"/>
          <w:b/>
          <w:bCs/>
          <w:sz w:val="28"/>
          <w:szCs w:val="28"/>
          <w:highlight w:val="none"/>
          <w:lang w:val="en-US" w:eastAsia="zh-CN"/>
        </w:rPr>
        <w:t>集成型制造商，</w:t>
      </w:r>
      <w:r>
        <w:rPr>
          <w:rFonts w:hint="eastAsia" w:ascii="仿宋" w:hAnsi="仿宋" w:eastAsia="仿宋" w:cs="仿宋"/>
          <w:sz w:val="28"/>
          <w:szCs w:val="28"/>
          <w:highlight w:val="none"/>
          <w:lang w:val="en-US" w:eastAsia="zh-CN"/>
        </w:rPr>
        <w:t>投标产品系我公司集成</w:t>
      </w:r>
      <w:r>
        <w:rPr>
          <w:rFonts w:hint="eastAsia" w:ascii="仿宋" w:hAnsi="仿宋" w:eastAsia="仿宋" w:cs="仿宋"/>
          <w:sz w:val="28"/>
          <w:szCs w:val="28"/>
          <w:highlight w:val="none"/>
          <w:lang w:val="en-US" w:eastAsia="zh-Hans"/>
        </w:rPr>
        <w:t>方式生产</w:t>
      </w:r>
      <w:r>
        <w:rPr>
          <w:rFonts w:hint="eastAsia" w:ascii="仿宋" w:hAnsi="仿宋" w:eastAsia="仿宋" w:cs="仿宋"/>
          <w:sz w:val="28"/>
          <w:szCs w:val="28"/>
          <w:highlight w:val="none"/>
          <w:lang w:val="en-US" w:eastAsia="zh-CN"/>
        </w:rPr>
        <w:t>，我公司具备集成必须的资质、厂房、设备、人力等资源。</w:t>
      </w:r>
    </w:p>
    <w:p>
      <w:pPr>
        <w:keepNext w:val="0"/>
        <w:keepLines w:val="0"/>
        <w:widowControl/>
        <w:suppressLineNumbers w:val="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（2）我司对所投产品拥有知识产权和产品销售权。</w:t>
      </w:r>
    </w:p>
    <w:p>
      <w:pPr>
        <w:keepNext w:val="0"/>
        <w:keepLines w:val="0"/>
        <w:widowControl/>
        <w:suppressLineNumbers w:val="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（3）后附我公司相关证明材料真实有效。</w:t>
      </w:r>
    </w:p>
    <w:p>
      <w:pPr>
        <w:keepNext w:val="0"/>
        <w:keepLines w:val="0"/>
        <w:widowControl/>
        <w:suppressLineNumbers w:val="0"/>
        <w:wordWrap w:val="0"/>
        <w:jc w:val="right"/>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投标人名称（盖章）：</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wordWrap w:val="0"/>
        <w:jc w:val="right"/>
        <w:rPr>
          <w:rFonts w:hint="eastAsia" w:ascii="仿宋" w:hAnsi="仿宋" w:eastAsia="仿宋" w:cs="仿宋"/>
          <w:sz w:val="28"/>
          <w:szCs w:val="28"/>
          <w:highlight w:val="none"/>
          <w:u w:val="single"/>
          <w:lang w:val="en-US" w:eastAsia="zh-CN"/>
        </w:rPr>
      </w:pPr>
      <w:r>
        <w:rPr>
          <w:rFonts w:hint="eastAsia" w:ascii="仿宋" w:hAnsi="仿宋" w:eastAsia="仿宋" w:cs="仿宋"/>
          <w:sz w:val="28"/>
          <w:szCs w:val="28"/>
          <w:highlight w:val="none"/>
          <w:lang w:val="en-US" w:eastAsia="zh-CN"/>
        </w:rPr>
        <w:t>法定代表人或授权人签章：</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wordWrap w:val="0"/>
        <w:jc w:val="right"/>
        <w:rPr>
          <w:rFonts w:hint="default" w:ascii="仿宋" w:hAnsi="仿宋" w:eastAsia="仿宋" w:cs="仿宋"/>
          <w:sz w:val="28"/>
          <w:szCs w:val="28"/>
          <w:highlight w:val="none"/>
          <w:u w:val="single"/>
          <w:lang w:val="en-US" w:eastAsia="zh-CN"/>
        </w:rPr>
      </w:pPr>
      <w:r>
        <w:rPr>
          <w:rFonts w:hint="eastAsia" w:ascii="仿宋" w:hAnsi="仿宋" w:eastAsia="仿宋" w:cs="仿宋"/>
          <w:sz w:val="28"/>
          <w:szCs w:val="28"/>
          <w:highlight w:val="none"/>
          <w:u w:val="none"/>
          <w:lang w:val="en-US" w:eastAsia="zh-CN"/>
        </w:rPr>
        <w:t>日   期：</w:t>
      </w:r>
      <w:r>
        <w:rPr>
          <w:rFonts w:hint="eastAsia" w:ascii="仿宋" w:hAnsi="仿宋" w:eastAsia="仿宋" w:cs="仿宋"/>
          <w:sz w:val="28"/>
          <w:szCs w:val="28"/>
          <w:highlight w:val="none"/>
          <w:u w:val="single"/>
          <w:lang w:val="en-US" w:eastAsia="zh-CN"/>
        </w:rPr>
        <w:t xml:space="preserve">                 </w:t>
      </w:r>
    </w:p>
    <w:p>
      <w:pPr>
        <w:keepNext w:val="0"/>
        <w:keepLines w:val="0"/>
        <w:widowControl/>
        <w:suppressLineNumbers w:val="0"/>
        <w:ind w:firstLine="440" w:firstLineChars="100"/>
        <w:jc w:val="left"/>
        <w:rPr>
          <w:rFonts w:hint="eastAsia" w:ascii="仿宋" w:hAnsi="仿宋" w:eastAsia="仿宋" w:cs="仿宋"/>
          <w:b w:val="0"/>
          <w:bCs w:val="0"/>
          <w:sz w:val="44"/>
          <w:szCs w:val="44"/>
          <w:highlight w:val="none"/>
          <w:lang w:val="en-US" w:eastAsia="zh-CN"/>
        </w:rPr>
      </w:pPr>
      <w:r>
        <w:rPr>
          <w:rFonts w:hint="eastAsia" w:ascii="仿宋" w:hAnsi="仿宋" w:eastAsia="仿宋" w:cs="仿宋"/>
          <w:b w:val="0"/>
          <w:bCs w:val="0"/>
          <w:sz w:val="44"/>
          <w:szCs w:val="44"/>
          <w:highlight w:val="none"/>
          <w:lang w:val="en-US" w:eastAsia="zh-CN"/>
        </w:rPr>
        <w:t>制造商证明相关材料</w:t>
      </w:r>
    </w:p>
    <w:p>
      <w:pPr>
        <w:keepNext w:val="0"/>
        <w:keepLines w:val="0"/>
        <w:widowControl/>
        <w:suppressLineNumbers w:val="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 xml:space="preserve">（提示：1、各单位可根据实际需求情况，自行设置制造商需提供的证明材料。2、标黄内容均为提示性信息，用于辅助制定相关要求，正式文件中应注意删除，避免产生歧义。） </w:t>
      </w:r>
    </w:p>
    <w:p>
      <w:pPr>
        <w:keepNext w:val="0"/>
        <w:keepLines w:val="0"/>
        <w:widowControl/>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供应商应根据《制造商承诺书》所选类型提供相关证明材料（选择一类提供即可），逐页加盖公章，原件备查。</w:t>
      </w:r>
    </w:p>
    <w:p>
      <w:pPr>
        <w:keepNext w:val="0"/>
        <w:keepLines w:val="0"/>
        <w:widowControl/>
        <w:suppressLineNumbers w:val="0"/>
        <w:ind w:firstLine="560" w:firstLineChars="200"/>
        <w:jc w:val="both"/>
        <w:rPr>
          <w:rFonts w:hint="default"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传统型制造商应提供的证明材料：</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生产工艺（需提供****工艺介绍和供流程图）：</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32"/>
        </w:numPr>
        <w:suppressLineNumbers w:val="0"/>
        <w:ind w:left="-140" w:leftChars="0" w:firstLine="560" w:firstLineChars="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32"/>
        </w:numPr>
        <w:suppressLineNumbers w:val="0"/>
        <w:ind w:left="-140" w:leftChars="0" w:firstLine="560" w:firstLineChars="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32"/>
        </w:numPr>
        <w:suppressLineNumbers w:val="0"/>
        <w:ind w:left="-140" w:leftChars="0" w:firstLine="560" w:firstLineChars="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default"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OEM型制造商应提供的证明材料：</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代工协议：</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生产工艺（需提供****工艺介绍和流程图）：</w:t>
      </w:r>
    </w:p>
    <w:p>
      <w:pPr>
        <w:keepNext w:val="0"/>
        <w:keepLines w:val="0"/>
        <w:widowControl/>
        <w:numPr>
          <w:ilvl w:val="0"/>
          <w:numId w:val="33"/>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33"/>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33"/>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numPr>
          <w:ilvl w:val="0"/>
          <w:numId w:val="0"/>
        </w:numPr>
        <w:suppressLineNumbers w:val="0"/>
        <w:jc w:val="both"/>
        <w:rPr>
          <w:rFonts w:hint="eastAsia" w:ascii="仿宋" w:hAnsi="仿宋" w:eastAsia="仿宋" w:cs="仿宋"/>
          <w:b w:val="0"/>
          <w:bCs w:val="0"/>
          <w:sz w:val="28"/>
          <w:szCs w:val="28"/>
          <w:highlight w:val="none"/>
          <w:lang w:val="en-US" w:eastAsia="zh-CN"/>
        </w:rPr>
      </w:pPr>
    </w:p>
    <w:p>
      <w:pPr>
        <w:keepNext w:val="0"/>
        <w:keepLines w:val="0"/>
        <w:widowControl/>
        <w:suppressLineNumbers w:val="0"/>
        <w:ind w:firstLine="720" w:firstLineChars="200"/>
        <w:jc w:val="both"/>
        <w:rPr>
          <w:rFonts w:hint="eastAsia" w:ascii="仿宋" w:hAnsi="仿宋" w:eastAsia="仿宋" w:cs="仿宋"/>
          <w:b w:val="0"/>
          <w:bCs w:val="0"/>
          <w:sz w:val="36"/>
          <w:szCs w:val="36"/>
          <w:highlight w:val="none"/>
          <w:lang w:val="en-US" w:eastAsia="zh-CN"/>
        </w:rPr>
      </w:pPr>
      <w:r>
        <w:rPr>
          <w:rFonts w:hint="eastAsia" w:ascii="仿宋" w:hAnsi="仿宋" w:eastAsia="仿宋" w:cs="仿宋"/>
          <w:b w:val="0"/>
          <w:bCs w:val="0"/>
          <w:sz w:val="36"/>
          <w:szCs w:val="36"/>
          <w:highlight w:val="none"/>
          <w:lang w:val="en-US" w:eastAsia="zh-CN"/>
        </w:rPr>
        <w:t>集成型制造商应提供的证明材料：</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生产/销售资质证书（如安全生产许可证、特种设备生产/制造许可证、经营许可证等）：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三体系管理认证证书（质量管理体系认证，环境管理体系认证，职业健康安全管理体系认证）：</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组装或加工设备证明（需提供****设备购买证明或租赁证明、实物照片等）：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厂房、库房证明（需提供房产证明或租赁证明、实物照片等）：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与标的物相关的生产设备证明（需提供****设备购买证明或租赁证明、实物照片等）：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生产工艺（需提供****工艺介绍和流程图）：</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检测仪器证明（需提供****仪器购买证明或租赁证明、实物照片等）：</w:t>
      </w:r>
    </w:p>
    <w:p>
      <w:pPr>
        <w:keepNext w:val="0"/>
        <w:keepLines w:val="0"/>
        <w:widowControl/>
        <w:numPr>
          <w:ilvl w:val="0"/>
          <w:numId w:val="34"/>
        </w:numPr>
        <w:suppressLineNumbers w:val="0"/>
        <w:ind w:firstLine="560" w:firstLineChars="200"/>
        <w:jc w:val="both"/>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相关知识产权或专利：</w:t>
      </w:r>
    </w:p>
    <w:p>
      <w:pPr>
        <w:keepNext w:val="0"/>
        <w:keepLines w:val="0"/>
        <w:widowControl/>
        <w:numPr>
          <w:ilvl w:val="0"/>
          <w:numId w:val="34"/>
        </w:numPr>
        <w:suppressLineNumbers w:val="0"/>
        <w:ind w:firstLine="560" w:firstLineChars="200"/>
        <w:jc w:val="both"/>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其他证明材料（如涉及）：</w:t>
      </w:r>
    </w:p>
    <w:p>
      <w:pPr>
        <w:keepNext w:val="0"/>
        <w:keepLines w:val="0"/>
        <w:widowControl/>
        <w:suppressLineNumbers w:val="0"/>
        <w:jc w:val="both"/>
        <w:rPr>
          <w:rFonts w:hint="default" w:ascii="仿宋" w:hAnsi="仿宋" w:eastAsia="仿宋" w:cs="仿宋"/>
          <w:b/>
          <w:bCs/>
          <w:sz w:val="28"/>
          <w:szCs w:val="28"/>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25"/>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5.11：商务偏离表</w:t>
      </w:r>
    </w:p>
    <w:p>
      <w:pPr>
        <w:pStyle w:val="25"/>
        <w:adjustRightInd/>
        <w:jc w:val="center"/>
        <w:rPr>
          <w:rFonts w:hint="eastAsia" w:hAnsi="宋体" w:eastAsiaTheme="minorEastAsia" w:cstheme="minorBidi"/>
          <w:b w:val="0"/>
          <w:kern w:val="2"/>
          <w:sz w:val="21"/>
          <w:szCs w:val="22"/>
          <w:highlight w:val="none"/>
          <w:lang w:eastAsia="zh-CN"/>
        </w:rPr>
      </w:pPr>
      <w:r>
        <w:rPr>
          <w:rFonts w:hint="eastAsia" w:hAnsi="宋体"/>
          <w:b/>
          <w:sz w:val="21"/>
          <w:szCs w:val="21"/>
          <w:highlight w:val="none"/>
        </w:rPr>
        <w:t>商务偏离条款</w:t>
      </w:r>
      <w:r>
        <w:rPr>
          <w:rFonts w:hint="eastAsia" w:hAnsi="宋体" w:eastAsiaTheme="minorEastAsia" w:cstheme="minorBidi"/>
          <w:kern w:val="2"/>
          <w:sz w:val="21"/>
          <w:szCs w:val="22"/>
          <w:highlight w:val="none"/>
          <w:lang w:eastAsia="zh-CN"/>
        </w:rPr>
        <w:t>（</w:t>
      </w:r>
      <w:r>
        <w:rPr>
          <w:rFonts w:hint="eastAsia" w:hAnsi="宋体" w:eastAsiaTheme="minorEastAsia" w:cstheme="minorBidi"/>
          <w:kern w:val="2"/>
          <w:sz w:val="21"/>
          <w:szCs w:val="22"/>
          <w:highlight w:val="none"/>
          <w:lang w:val="en-US" w:eastAsia="zh-CN"/>
        </w:rPr>
        <w:t>内容仅供参考，具体业务具体编制</w:t>
      </w:r>
      <w:r>
        <w:rPr>
          <w:rFonts w:hint="eastAsia" w:hAnsi="宋体" w:eastAsiaTheme="minorEastAsia" w:cstheme="minorBidi"/>
          <w:kern w:val="2"/>
          <w:sz w:val="21"/>
          <w:szCs w:val="22"/>
          <w:highlight w:val="none"/>
          <w:lang w:eastAsia="zh-CN"/>
        </w:rPr>
        <w:t>）</w:t>
      </w:r>
    </w:p>
    <w:p>
      <w:pPr>
        <w:pStyle w:val="25"/>
        <w:adjustRightInd/>
        <w:jc w:val="center"/>
        <w:rPr>
          <w:rFonts w:hAnsi="宋体"/>
          <w:b/>
          <w:sz w:val="21"/>
          <w:szCs w:val="21"/>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92"/>
        <w:gridCol w:w="1560"/>
        <w:gridCol w:w="297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序号</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商务参数</w:t>
            </w:r>
          </w:p>
        </w:tc>
        <w:tc>
          <w:tcPr>
            <w:tcW w:w="1560" w:type="dxa"/>
            <w:vAlign w:val="center"/>
          </w:tcPr>
          <w:p>
            <w:pPr>
              <w:spacing w:line="360" w:lineRule="auto"/>
              <w:jc w:val="center"/>
              <w:rPr>
                <w:rFonts w:ascii="宋体" w:hAnsi="宋体"/>
                <w:color w:val="000000"/>
                <w:highlight w:val="none"/>
              </w:rPr>
            </w:pPr>
            <w:r>
              <w:rPr>
                <w:rFonts w:hint="eastAsia" w:ascii="宋体" w:hAnsi="宋体"/>
                <w:color w:val="000000"/>
                <w:highlight w:val="none"/>
              </w:rPr>
              <w:t>是否存在异议</w:t>
            </w:r>
          </w:p>
        </w:tc>
        <w:tc>
          <w:tcPr>
            <w:tcW w:w="2979" w:type="dxa"/>
            <w:vAlign w:val="center"/>
          </w:tcPr>
          <w:p>
            <w:pPr>
              <w:spacing w:line="360" w:lineRule="auto"/>
              <w:jc w:val="center"/>
              <w:rPr>
                <w:rFonts w:ascii="宋体" w:hAnsi="宋体"/>
                <w:color w:val="000000"/>
                <w:highlight w:val="none"/>
              </w:rPr>
            </w:pPr>
            <w:r>
              <w:rPr>
                <w:rFonts w:hint="eastAsia" w:ascii="宋体" w:hAnsi="宋体"/>
                <w:color w:val="000000"/>
                <w:highlight w:val="none"/>
              </w:rPr>
              <w:t>解决方法</w:t>
            </w:r>
          </w:p>
          <w:p>
            <w:pPr>
              <w:spacing w:line="360" w:lineRule="auto"/>
              <w:jc w:val="center"/>
              <w:rPr>
                <w:rFonts w:ascii="宋体" w:hAnsi="宋体"/>
                <w:color w:val="000000"/>
                <w:highlight w:val="none"/>
              </w:rPr>
            </w:pPr>
            <w:r>
              <w:rPr>
                <w:rFonts w:hint="eastAsia" w:ascii="宋体" w:hAnsi="宋体"/>
                <w:color w:val="000000"/>
                <w:highlight w:val="none"/>
              </w:rPr>
              <w:t>（不接受/协商/接受询价方条件）</w:t>
            </w:r>
          </w:p>
        </w:tc>
        <w:tc>
          <w:tcPr>
            <w:tcW w:w="1242" w:type="dxa"/>
            <w:vAlign w:val="center"/>
          </w:tcPr>
          <w:p>
            <w:pPr>
              <w:spacing w:line="360" w:lineRule="auto"/>
              <w:jc w:val="center"/>
              <w:rPr>
                <w:rFonts w:ascii="宋体" w:hAnsi="宋体"/>
                <w:color w:val="000000"/>
                <w:highlight w:val="none"/>
              </w:rPr>
            </w:pPr>
            <w:r>
              <w:rPr>
                <w:rFonts w:hint="eastAsia" w:ascii="宋体" w:hAnsi="宋体"/>
                <w:color w:val="000000"/>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1</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违约条款</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2</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付款方式</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3</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服务期</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4</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报价有效期</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5</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合同条款</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6" w:type="dxa"/>
            <w:vAlign w:val="center"/>
          </w:tcPr>
          <w:p>
            <w:pPr>
              <w:spacing w:line="360" w:lineRule="auto"/>
              <w:jc w:val="center"/>
              <w:rPr>
                <w:rFonts w:ascii="宋体" w:hAnsi="宋体"/>
                <w:color w:val="000000"/>
                <w:highlight w:val="none"/>
              </w:rPr>
            </w:pPr>
            <w:r>
              <w:rPr>
                <w:rFonts w:hint="eastAsia" w:ascii="宋体" w:hAnsi="宋体"/>
                <w:color w:val="000000"/>
                <w:highlight w:val="none"/>
              </w:rPr>
              <w:t>6</w:t>
            </w:r>
          </w:p>
        </w:tc>
        <w:tc>
          <w:tcPr>
            <w:tcW w:w="1792" w:type="dxa"/>
            <w:vAlign w:val="center"/>
          </w:tcPr>
          <w:p>
            <w:pPr>
              <w:spacing w:line="360" w:lineRule="auto"/>
              <w:jc w:val="center"/>
              <w:rPr>
                <w:rFonts w:ascii="宋体" w:hAnsi="宋体"/>
                <w:color w:val="000000"/>
                <w:highlight w:val="none"/>
              </w:rPr>
            </w:pPr>
            <w:r>
              <w:rPr>
                <w:rFonts w:hint="eastAsia" w:ascii="宋体" w:hAnsi="宋体"/>
                <w:color w:val="000000"/>
                <w:highlight w:val="none"/>
              </w:rPr>
              <w:t>其他</w:t>
            </w:r>
          </w:p>
        </w:tc>
        <w:tc>
          <w:tcPr>
            <w:tcW w:w="1560" w:type="dxa"/>
            <w:vAlign w:val="center"/>
          </w:tcPr>
          <w:p>
            <w:pPr>
              <w:spacing w:line="360" w:lineRule="auto"/>
              <w:jc w:val="center"/>
              <w:rPr>
                <w:rFonts w:ascii="宋体" w:hAnsi="宋体"/>
                <w:color w:val="000000"/>
                <w:highlight w:val="none"/>
              </w:rPr>
            </w:pPr>
          </w:p>
        </w:tc>
        <w:tc>
          <w:tcPr>
            <w:tcW w:w="2979" w:type="dxa"/>
            <w:vAlign w:val="center"/>
          </w:tcPr>
          <w:p>
            <w:pPr>
              <w:spacing w:line="360" w:lineRule="auto"/>
              <w:jc w:val="center"/>
              <w:rPr>
                <w:rFonts w:ascii="宋体" w:hAnsi="宋体"/>
                <w:color w:val="000000"/>
                <w:highlight w:val="none"/>
              </w:rPr>
            </w:pPr>
          </w:p>
        </w:tc>
        <w:tc>
          <w:tcPr>
            <w:tcW w:w="1242" w:type="dxa"/>
            <w:vAlign w:val="center"/>
          </w:tcPr>
          <w:p>
            <w:pPr>
              <w:spacing w:line="360" w:lineRule="auto"/>
              <w:jc w:val="center"/>
              <w:rPr>
                <w:rFonts w:ascii="宋体" w:hAnsi="宋体"/>
                <w:color w:val="000000"/>
                <w:highlight w:val="none"/>
              </w:rPr>
            </w:pPr>
          </w:p>
        </w:tc>
      </w:tr>
    </w:tbl>
    <w:p>
      <w:pPr>
        <w:spacing w:line="360" w:lineRule="auto"/>
        <w:rPr>
          <w:rFonts w:ascii="宋体" w:hAnsi="宋体"/>
          <w:color w:val="000000"/>
          <w:szCs w:val="21"/>
          <w:highlight w:val="none"/>
        </w:rPr>
      </w:pPr>
    </w:p>
    <w:p>
      <w:pPr>
        <w:spacing w:line="360" w:lineRule="auto"/>
        <w:rPr>
          <w:rFonts w:ascii="宋体" w:hAnsi="宋体"/>
          <w:color w:val="000000"/>
          <w:szCs w:val="21"/>
          <w:highlight w:val="none"/>
        </w:rPr>
      </w:pPr>
      <w:r>
        <w:rPr>
          <w:rFonts w:hint="eastAsia" w:ascii="宋体" w:hAnsi="宋体"/>
          <w:color w:val="000000"/>
          <w:szCs w:val="21"/>
          <w:highlight w:val="none"/>
        </w:rPr>
        <w:t>注：如果</w:t>
      </w:r>
      <w:r>
        <w:rPr>
          <w:rFonts w:hint="eastAsia" w:ascii="宋体" w:hAnsi="宋体"/>
          <w:color w:val="000000"/>
          <w:szCs w:val="21"/>
          <w:highlight w:val="none"/>
          <w:lang w:val="en-US" w:eastAsia="zh-CN"/>
        </w:rPr>
        <w:t>应答</w:t>
      </w:r>
      <w:r>
        <w:rPr>
          <w:rFonts w:hint="eastAsia" w:ascii="宋体" w:hAnsi="宋体"/>
          <w:color w:val="000000"/>
          <w:szCs w:val="21"/>
          <w:highlight w:val="none"/>
        </w:rPr>
        <w:t>人对询价文件的商务条款有异议，请在此处一一列出，</w:t>
      </w:r>
      <w:r>
        <w:rPr>
          <w:rFonts w:hint="eastAsia" w:ascii="宋体" w:hAnsi="宋体"/>
          <w:color w:val="000000"/>
          <w:szCs w:val="21"/>
          <w:highlight w:val="none"/>
          <w:lang w:val="en-US" w:eastAsia="zh-CN"/>
        </w:rPr>
        <w:t>应答</w:t>
      </w:r>
      <w:r>
        <w:rPr>
          <w:rFonts w:hint="eastAsia" w:ascii="宋体" w:hAnsi="宋体"/>
          <w:color w:val="000000"/>
          <w:szCs w:val="21"/>
          <w:highlight w:val="none"/>
        </w:rPr>
        <w:t>人的商务偏离条款将作为评标的依据之一；如若没有异议请标明“无”，否则视为放弃。</w:t>
      </w:r>
    </w:p>
    <w:p>
      <w:pPr>
        <w:spacing w:before="120" w:line="360" w:lineRule="auto"/>
        <w:rPr>
          <w:rFonts w:ascii="宋体" w:hAnsi="宋体"/>
          <w:b/>
          <w:bCs/>
          <w:color w:val="000000"/>
          <w:szCs w:val="21"/>
          <w:highlight w:val="none"/>
        </w:rPr>
      </w:pPr>
    </w:p>
    <w:p>
      <w:pPr>
        <w:spacing w:line="360" w:lineRule="auto"/>
        <w:rPr>
          <w:rFonts w:ascii="宋体" w:hAnsi="宋体"/>
          <w:color w:val="000000"/>
          <w:szCs w:val="21"/>
          <w:highlight w:val="none"/>
        </w:rPr>
      </w:pPr>
    </w:p>
    <w:p>
      <w:pPr>
        <w:spacing w:line="360" w:lineRule="auto"/>
        <w:ind w:right="840"/>
        <w:jc w:val="center"/>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lang w:eastAsia="zh-CN"/>
        </w:rPr>
        <w:t>应答人</w:t>
      </w:r>
      <w:r>
        <w:rPr>
          <w:rFonts w:ascii="宋体" w:hAnsi="宋体"/>
          <w:color w:val="000000"/>
          <w:szCs w:val="21"/>
          <w:highlight w:val="none"/>
        </w:rPr>
        <w:t>：（盖章）</w:t>
      </w:r>
    </w:p>
    <w:p>
      <w:pPr>
        <w:spacing w:line="360" w:lineRule="auto"/>
        <w:jc w:val="right"/>
        <w:rPr>
          <w:rFonts w:ascii="宋体" w:hAnsi="宋体"/>
          <w:color w:val="000000"/>
          <w:szCs w:val="21"/>
          <w:highlight w:val="none"/>
        </w:rPr>
      </w:pPr>
    </w:p>
    <w:p>
      <w:pPr>
        <w:spacing w:line="360" w:lineRule="auto"/>
        <w:ind w:right="1680"/>
        <w:jc w:val="center"/>
        <w:rPr>
          <w:rFonts w:ascii="宋体" w:hAnsi="宋体"/>
          <w:color w:val="000000"/>
          <w:szCs w:val="21"/>
          <w:highlight w:val="none"/>
        </w:rPr>
      </w:pPr>
      <w:r>
        <w:rPr>
          <w:rFonts w:hint="eastAsia" w:ascii="宋体" w:hAnsi="宋体"/>
          <w:color w:val="000000"/>
          <w:szCs w:val="21"/>
          <w:highlight w:val="none"/>
        </w:rPr>
        <w:t xml:space="preserve">                               </w:t>
      </w:r>
      <w:r>
        <w:rPr>
          <w:rFonts w:ascii="宋体" w:hAnsi="宋体"/>
          <w:color w:val="000000"/>
          <w:szCs w:val="21"/>
          <w:highlight w:val="none"/>
        </w:rPr>
        <w:t>法定代表人或委托代理人：（签字）</w:t>
      </w:r>
    </w:p>
    <w:p>
      <w:pPr>
        <w:rPr>
          <w:highlight w:val="none"/>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pStyle w:val="5"/>
        <w:rPr>
          <w:highlight w:val="none"/>
          <w:lang w:val="en-US" w:eastAsia="zh-CN"/>
        </w:rPr>
      </w:pPr>
    </w:p>
    <w:p>
      <w:pPr>
        <w:rPr>
          <w:highlight w:val="none"/>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br w:type="page"/>
      </w:r>
    </w:p>
    <w:p>
      <w:pPr>
        <w:pStyle w:val="5"/>
        <w:ind w:firstLine="0" w:firstLineChars="0"/>
        <w:rPr>
          <w:highlight w:val="none"/>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highlight w:val="none"/>
          <w:lang w:val="en-US" w:eastAsia="zh-CN"/>
        </w:rPr>
      </w:pPr>
      <w:r>
        <w:rPr>
          <w:rFonts w:hint="eastAsia" w:ascii="黑体" w:hAnsi="黑体" w:eastAsia="黑体"/>
          <w:b/>
          <w:bCs/>
          <w:sz w:val="24"/>
          <w:szCs w:val="24"/>
          <w:highlight w:val="none"/>
        </w:rPr>
        <w:t>附件</w:t>
      </w:r>
      <w:r>
        <w:rPr>
          <w:rFonts w:hint="eastAsia" w:ascii="黑体" w:hAnsi="黑体" w:eastAsia="黑体"/>
          <w:b/>
          <w:bCs/>
          <w:sz w:val="24"/>
          <w:szCs w:val="24"/>
          <w:highlight w:val="none"/>
          <w:lang w:val="en-US" w:eastAsia="zh-CN"/>
        </w:rPr>
        <w:t>6：</w:t>
      </w:r>
      <w:r>
        <w:rPr>
          <w:rFonts w:hint="eastAsia" w:ascii="黑体" w:hAnsi="黑体" w:eastAsia="黑体"/>
          <w:b/>
          <w:bCs/>
          <w:sz w:val="24"/>
          <w:szCs w:val="24"/>
          <w:highlight w:val="none"/>
        </w:rPr>
        <w:t xml:space="preserve"> </w:t>
      </w:r>
      <w:r>
        <w:rPr>
          <w:rFonts w:hint="eastAsia" w:ascii="黑体" w:hAnsi="黑体" w:eastAsia="黑体"/>
          <w:b/>
          <w:bCs/>
          <w:sz w:val="24"/>
          <w:szCs w:val="24"/>
          <w:highlight w:val="none"/>
          <w:lang w:val="en-US" w:eastAsia="zh-CN"/>
        </w:rPr>
        <w:t>技术文件</w:t>
      </w:r>
    </w:p>
    <w:p>
      <w:pPr>
        <w:rPr>
          <w:rFonts w:hint="eastAsia" w:ascii="黑体" w:hAnsi="黑体" w:eastAsia="黑体"/>
          <w:sz w:val="24"/>
          <w:szCs w:val="24"/>
          <w:highlight w:val="none"/>
          <w:lang w:val="en-US" w:eastAsia="zh-CN"/>
        </w:rPr>
      </w:pPr>
    </w:p>
    <w:p>
      <w:pPr>
        <w:widowControl w:val="0"/>
        <w:numPr>
          <w:ilvl w:val="0"/>
          <w:numId w:val="0"/>
        </w:numPr>
        <w:jc w:val="both"/>
        <w:rPr>
          <w:rFonts w:hint="default"/>
          <w:highlight w:val="none"/>
          <w:lang w:val="en-US" w:eastAsia="zh-CN"/>
        </w:rPr>
      </w:pPr>
    </w:p>
    <w:p>
      <w:pPr>
        <w:tabs>
          <w:tab w:val="left" w:pos="6480"/>
          <w:tab w:val="left" w:pos="6660"/>
          <w:tab w:val="left" w:pos="9360"/>
        </w:tabs>
        <w:spacing w:line="360" w:lineRule="auto"/>
        <w:ind w:right="36" w:rightChars="17"/>
        <w:jc w:val="center"/>
        <w:rPr>
          <w:rFonts w:ascii="宋体" w:hAnsi="宋体"/>
          <w:b/>
          <w:color w:val="000000"/>
          <w:szCs w:val="21"/>
          <w:highlight w:val="none"/>
        </w:rPr>
      </w:pPr>
      <w:r>
        <w:rPr>
          <w:rFonts w:hint="eastAsia" w:ascii="宋体" w:hAnsi="宋体"/>
          <w:b/>
          <w:color w:val="000000"/>
          <w:szCs w:val="21"/>
          <w:highlight w:val="none"/>
        </w:rPr>
        <w:t>技术</w:t>
      </w:r>
      <w:r>
        <w:rPr>
          <w:rFonts w:hint="eastAsia" w:ascii="宋体" w:hAnsi="宋体"/>
          <w:b/>
          <w:color w:val="000000"/>
          <w:szCs w:val="21"/>
          <w:highlight w:val="none"/>
          <w:lang w:val="en-US" w:eastAsia="zh-CN"/>
        </w:rPr>
        <w:t>偏离</w:t>
      </w:r>
      <w:r>
        <w:rPr>
          <w:rFonts w:hint="eastAsia" w:ascii="宋体" w:hAnsi="宋体"/>
          <w:b/>
          <w:color w:val="000000"/>
          <w:szCs w:val="21"/>
          <w:highlight w:val="none"/>
        </w:rPr>
        <w:t>表</w:t>
      </w:r>
    </w:p>
    <w:tbl>
      <w:tblPr>
        <w:tblStyle w:val="18"/>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992"/>
        <w:gridCol w:w="17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序号</w:t>
            </w:r>
          </w:p>
        </w:tc>
        <w:tc>
          <w:tcPr>
            <w:tcW w:w="396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技术参数</w:t>
            </w: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是否存在异议</w:t>
            </w: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解决方法</w:t>
            </w:r>
          </w:p>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（不接受/协商/接受询价方条件）</w:t>
            </w: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r>
              <w:rPr>
                <w:rFonts w:hint="eastAsia" w:ascii="宋体" w:hAnsi="宋体"/>
                <w:color w:val="000000"/>
                <w:sz w:val="18"/>
                <w:szCs w:val="18"/>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1</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Theme="minorEastAsia"/>
                <w:color w:val="00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2</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3</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4</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5</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6</w:t>
            </w:r>
          </w:p>
        </w:tc>
        <w:tc>
          <w:tcPr>
            <w:tcW w:w="3969" w:type="dxa"/>
            <w:vAlign w:val="center"/>
          </w:tcPr>
          <w:p>
            <w:pPr>
              <w:pStyle w:val="3"/>
              <w:keepNext w:val="0"/>
              <w:keepLines w:val="0"/>
              <w:pageBreakBefore w:val="0"/>
              <w:kinsoku/>
              <w:wordWrap/>
              <w:overflowPunct/>
              <w:topLinePunct w:val="0"/>
              <w:autoSpaceDE/>
              <w:autoSpaceDN/>
              <w:bidi w:val="0"/>
              <w:adjustRightInd/>
              <w:snapToGrid/>
              <w:spacing w:line="280" w:lineRule="exact"/>
              <w:jc w:val="left"/>
              <w:textAlignment w:val="auto"/>
              <w:rPr>
                <w:rFonts w:hint="default" w:ascii="宋体" w:hAnsi="宋体" w:eastAsiaTheme="minorEastAsia" w:cstheme="minorBidi"/>
                <w:color w:val="000000"/>
                <w:kern w:val="2"/>
                <w:sz w:val="18"/>
                <w:szCs w:val="18"/>
                <w:highlight w:val="none"/>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none"/>
              </w:rPr>
            </w:pPr>
          </w:p>
        </w:tc>
      </w:tr>
    </w:tbl>
    <w:p>
      <w:pPr>
        <w:spacing w:before="50" w:line="360" w:lineRule="auto"/>
        <w:ind w:firstLine="3885" w:firstLineChars="1850"/>
        <w:rPr>
          <w:rFonts w:ascii="宋体" w:hAnsi="宋体"/>
          <w:color w:val="000000"/>
          <w:szCs w:val="21"/>
          <w:highlight w:val="none"/>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highlight w:val="none"/>
        </w:rPr>
      </w:pPr>
      <w:r>
        <w:rPr>
          <w:rFonts w:hint="eastAsia" w:ascii="宋体" w:hAnsi="宋体"/>
          <w:color w:val="000000"/>
          <w:szCs w:val="21"/>
          <w:highlight w:val="none"/>
        </w:rPr>
        <w:t>说明：</w:t>
      </w:r>
    </w:p>
    <w:p>
      <w:pPr>
        <w:keepNext w:val="0"/>
        <w:keepLines w:val="0"/>
        <w:pageBreakBefore w:val="0"/>
        <w:widowControl w:val="0"/>
        <w:numPr>
          <w:ilvl w:val="0"/>
          <w:numId w:val="35"/>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以上技术如无偏差，则都填“无”字。</w:t>
      </w:r>
    </w:p>
    <w:p>
      <w:pPr>
        <w:keepNext w:val="0"/>
        <w:keepLines w:val="0"/>
        <w:pageBreakBefore w:val="0"/>
        <w:widowControl w:val="0"/>
        <w:numPr>
          <w:ilvl w:val="0"/>
          <w:numId w:val="35"/>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技术标准以技术要求为基准。</w:t>
      </w:r>
    </w:p>
    <w:p>
      <w:pPr>
        <w:keepNext w:val="0"/>
        <w:keepLines w:val="0"/>
        <w:pageBreakBefore w:val="0"/>
        <w:widowControl w:val="0"/>
        <w:numPr>
          <w:ilvl w:val="0"/>
          <w:numId w:val="35"/>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highlight w:val="none"/>
        </w:rPr>
      </w:pPr>
      <w:r>
        <w:rPr>
          <w:rFonts w:hint="eastAsia" w:ascii="宋体" w:hAnsi="宋体"/>
          <w:color w:val="000000"/>
          <w:szCs w:val="21"/>
          <w:highlight w:val="none"/>
        </w:rPr>
        <w:t>以上技术偏差将作为</w:t>
      </w:r>
      <w:r>
        <w:rPr>
          <w:rFonts w:hint="eastAsia" w:ascii="宋体" w:hAnsi="宋体"/>
          <w:color w:val="000000"/>
          <w:szCs w:val="21"/>
          <w:highlight w:val="none"/>
          <w:lang w:val="en-US" w:eastAsia="zh-CN"/>
        </w:rPr>
        <w:t>采购</w:t>
      </w:r>
      <w:r>
        <w:rPr>
          <w:rFonts w:hint="eastAsia" w:ascii="宋体" w:hAnsi="宋体"/>
          <w:color w:val="000000"/>
          <w:szCs w:val="21"/>
          <w:highlight w:val="none"/>
        </w:rPr>
        <w:t>人判断应答人报价的重要依据，请慎重考虑、酌情填写。</w:t>
      </w:r>
    </w:p>
    <w:p>
      <w:pPr>
        <w:spacing w:line="360" w:lineRule="auto"/>
        <w:rPr>
          <w:rFonts w:ascii="宋体" w:hAnsi="宋体"/>
          <w:color w:val="000000"/>
          <w:szCs w:val="21"/>
          <w:highlight w:val="none"/>
        </w:rPr>
      </w:pPr>
    </w:p>
    <w:p>
      <w:pPr>
        <w:tabs>
          <w:tab w:val="left" w:pos="0"/>
        </w:tabs>
        <w:spacing w:line="360" w:lineRule="auto"/>
        <w:ind w:firstLine="3570" w:firstLineChars="1700"/>
        <w:rPr>
          <w:rFonts w:ascii="宋体" w:hAnsi="宋体"/>
          <w:color w:val="000000"/>
          <w:szCs w:val="21"/>
          <w:highlight w:val="none"/>
          <w:u w:val="single"/>
        </w:rPr>
      </w:pPr>
      <w:r>
        <w:rPr>
          <w:rFonts w:hint="eastAsia" w:ascii="宋体" w:hAnsi="宋体"/>
          <w:color w:val="000000"/>
          <w:szCs w:val="21"/>
          <w:highlight w:val="none"/>
          <w:lang w:eastAsia="zh-CN"/>
        </w:rPr>
        <w:t>应答人</w:t>
      </w:r>
      <w:r>
        <w:rPr>
          <w:rFonts w:hint="eastAsia" w:ascii="宋体" w:hAnsi="宋体"/>
          <w:color w:val="000000"/>
          <w:szCs w:val="21"/>
          <w:highlight w:val="none"/>
        </w:rPr>
        <w:t>：（盖章）</w:t>
      </w:r>
    </w:p>
    <w:p>
      <w:pPr>
        <w:tabs>
          <w:tab w:val="left" w:pos="4320"/>
        </w:tabs>
        <w:spacing w:line="360" w:lineRule="auto"/>
        <w:ind w:firstLine="3465" w:firstLineChars="1650"/>
        <w:jc w:val="center"/>
        <w:rPr>
          <w:rFonts w:ascii="宋体" w:hAnsi="宋体"/>
          <w:color w:val="000000"/>
          <w:szCs w:val="21"/>
          <w:highlight w:val="none"/>
        </w:rPr>
      </w:pPr>
    </w:p>
    <w:p>
      <w:pPr>
        <w:tabs>
          <w:tab w:val="left" w:pos="4320"/>
        </w:tabs>
        <w:spacing w:line="360" w:lineRule="auto"/>
        <w:ind w:firstLine="3570" w:firstLineChars="1700"/>
        <w:rPr>
          <w:rFonts w:hint="eastAsia" w:ascii="宋体" w:hAnsi="宋体"/>
          <w:color w:val="000000"/>
          <w:szCs w:val="21"/>
          <w:highlight w:val="none"/>
        </w:rPr>
      </w:pPr>
      <w:r>
        <w:rPr>
          <w:rFonts w:ascii="宋体" w:hAnsi="宋体"/>
          <w:color w:val="000000"/>
          <w:szCs w:val="21"/>
          <w:highlight w:val="none"/>
        </w:rPr>
        <w:t>法定代表人或委托代理人：（签字</w:t>
      </w:r>
      <w:r>
        <w:rPr>
          <w:rFonts w:hint="eastAsia" w:ascii="宋体" w:hAnsi="宋体"/>
          <w:color w:val="000000"/>
          <w:szCs w:val="21"/>
          <w:highlight w:val="none"/>
        </w:rPr>
        <w:t>）</w:t>
      </w:r>
    </w:p>
    <w:p>
      <w:pPr>
        <w:rPr>
          <w:highlight w:val="none"/>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rPr>
          <w:highlight w:val="none"/>
          <w:lang w:val="en-US" w:eastAsia="zh-CN"/>
        </w:rPr>
      </w:pPr>
    </w:p>
    <w:p>
      <w:pPr>
        <w:pStyle w:val="21"/>
        <w:rPr>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pStyle w:val="5"/>
        <w:ind w:firstLine="0" w:firstLineChars="0"/>
        <w:rPr>
          <w:highlight w:val="none"/>
          <w:lang w:val="en-US" w:eastAsia="zh-CN"/>
        </w:rPr>
      </w:pPr>
    </w:p>
    <w:p>
      <w:pPr>
        <w:rPr>
          <w:highlight w:val="none"/>
          <w:lang w:val="en-US" w:eastAsia="zh-CN"/>
        </w:rPr>
      </w:pPr>
    </w:p>
    <w:p>
      <w:pPr>
        <w:pStyle w:val="21"/>
        <w:rPr>
          <w:highlight w:val="none"/>
          <w:lang w:val="en-US" w:eastAsia="zh-CN"/>
        </w:rPr>
      </w:pPr>
    </w:p>
    <w:p>
      <w:pPr>
        <w:pStyle w:val="21"/>
        <w:rPr>
          <w:highlight w:val="none"/>
          <w:lang w:val="en-US" w:eastAsia="zh-CN"/>
        </w:rPr>
      </w:pPr>
    </w:p>
    <w:p>
      <w:pPr>
        <w:pStyle w:val="5"/>
        <w:ind w:firstLine="0" w:firstLineChars="0"/>
        <w:rPr>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32"/>
        <w:spacing w:line="360" w:lineRule="auto"/>
        <w:ind w:firstLine="0"/>
        <w:jc w:val="center"/>
        <w:rPr>
          <w:rFonts w:hint="eastAsia"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32"/>
        <w:spacing w:line="360" w:lineRule="auto"/>
        <w:ind w:firstLine="0"/>
        <w:jc w:val="left"/>
        <w:rPr>
          <w:rFonts w:hint="default" w:asciiTheme="minorEastAsia" w:hAnsiTheme="minorEastAsia" w:eastAsiaTheme="minorEastAsia"/>
          <w:b/>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w:t>
      </w:r>
      <w:r>
        <w:rPr>
          <w:rFonts w:hint="eastAsia" w:ascii="宋体" w:hAnsi="宋体" w:cs="宋体"/>
          <w:i w:val="0"/>
          <w:iCs w:val="0"/>
          <w:color w:val="0000FF"/>
          <w:sz w:val="24"/>
          <w:szCs w:val="24"/>
          <w:highlight w:val="none"/>
          <w:u w:val="none"/>
          <w:lang w:val="en-US" w:eastAsia="zh-CN"/>
        </w:rPr>
        <w:t>法兰等24项项</w:t>
      </w:r>
      <w:r>
        <w:rPr>
          <w:rFonts w:hint="eastAsia" w:ascii="宋体" w:hAnsi="宋体" w:eastAsia="宋体" w:cs="宋体"/>
          <w:i w:val="0"/>
          <w:iCs w:val="0"/>
          <w:color w:val="0000FF"/>
          <w:sz w:val="24"/>
          <w:szCs w:val="24"/>
          <w:highlight w:val="none"/>
          <w:u w:val="none"/>
          <w:lang w:val="en-US" w:eastAsia="zh-CN"/>
        </w:rPr>
        <w:t>采购项目</w:t>
      </w:r>
    </w:p>
    <w:p>
      <w:pPr>
        <w:pStyle w:val="32"/>
        <w:spacing w:line="360" w:lineRule="auto"/>
        <w:ind w:left="0" w:leftChars="0" w:firstLine="0" w:firstLineChars="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报价单位：元；    货币单位：人民币</w:t>
      </w:r>
    </w:p>
    <w:tbl>
      <w:tblPr>
        <w:tblStyle w:val="18"/>
        <w:tblW w:w="0" w:type="auto"/>
        <w:jc w:val="center"/>
        <w:tblLayout w:type="autofit"/>
        <w:tblCellMar>
          <w:top w:w="0" w:type="dxa"/>
          <w:left w:w="108" w:type="dxa"/>
          <w:bottom w:w="0" w:type="dxa"/>
          <w:right w:w="108" w:type="dxa"/>
        </w:tblCellMar>
      </w:tblPr>
      <w:tblGrid>
        <w:gridCol w:w="613"/>
        <w:gridCol w:w="928"/>
        <w:gridCol w:w="1715"/>
        <w:gridCol w:w="1243"/>
        <w:gridCol w:w="613"/>
        <w:gridCol w:w="624"/>
        <w:gridCol w:w="1086"/>
        <w:gridCol w:w="1086"/>
        <w:gridCol w:w="614"/>
      </w:tblGrid>
      <w:tr>
        <w:trPr>
          <w:trHeight w:val="841" w:hRule="atLeast"/>
          <w:jc w:val="center"/>
        </w:trPr>
        <w:tc>
          <w:tcPr>
            <w:tcW w:w="0" w:type="auto"/>
            <w:tcBorders>
              <w:top w:val="single" w:color="000000" w:sz="8" w:space="0"/>
              <w:left w:val="single" w:color="000000" w:sz="8" w:space="0"/>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序号</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货物名称</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技术参数及规格型号</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品牌或制造商</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单位</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数量</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不含税单价</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不含税小计</w:t>
            </w:r>
          </w:p>
        </w:tc>
        <w:tc>
          <w:tcPr>
            <w:tcW w:w="0" w:type="auto"/>
            <w:tcBorders>
              <w:top w:val="single" w:color="000000" w:sz="8" w:space="0"/>
              <w:left w:val="nil"/>
              <w:bottom w:val="nil"/>
              <w:right w:val="single" w:color="000000" w:sz="8"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备注</w:t>
            </w: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258" name="AutoShape_1"/>
                  <wp:cNvGraphicFramePr/>
                  <a:graphic xmlns:a="http://schemas.openxmlformats.org/drawingml/2006/main">
                    <a:graphicData uri="http://schemas.openxmlformats.org/drawingml/2006/picture">
                      <pic:pic xmlns:pic="http://schemas.openxmlformats.org/drawingml/2006/picture">
                        <pic:nvPicPr>
                          <pic:cNvPr id="258" name="AutoShape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387" name="AutoShape_1_SpCnt_1"/>
                  <wp:cNvGraphicFramePr/>
                  <a:graphic xmlns:a="http://schemas.openxmlformats.org/drawingml/2006/main">
                    <a:graphicData uri="http://schemas.openxmlformats.org/drawingml/2006/picture">
                      <pic:pic xmlns:pic="http://schemas.openxmlformats.org/drawingml/2006/picture">
                        <pic:nvPicPr>
                          <pic:cNvPr id="387" name="AutoShape_1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88" name="AutoShape_1_SpCnt_2"/>
                  <wp:cNvGraphicFramePr/>
                  <a:graphic xmlns:a="http://schemas.openxmlformats.org/drawingml/2006/main">
                    <a:graphicData uri="http://schemas.openxmlformats.org/drawingml/2006/picture">
                      <pic:pic xmlns:pic="http://schemas.openxmlformats.org/drawingml/2006/picture">
                        <pic:nvPicPr>
                          <pic:cNvPr id="388" name="AutoShape_1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89" name="AutoShape_1_SpCnt_3"/>
                  <wp:cNvGraphicFramePr/>
                  <a:graphic xmlns:a="http://schemas.openxmlformats.org/drawingml/2006/main">
                    <a:graphicData uri="http://schemas.openxmlformats.org/drawingml/2006/picture">
                      <pic:pic xmlns:pic="http://schemas.openxmlformats.org/drawingml/2006/picture">
                        <pic:nvPicPr>
                          <pic:cNvPr id="389" name="AutoShape_1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0" name="AutoShape_4"/>
                  <wp:cNvGraphicFramePr/>
                  <a:graphic xmlns:a="http://schemas.openxmlformats.org/drawingml/2006/main">
                    <a:graphicData uri="http://schemas.openxmlformats.org/drawingml/2006/picture">
                      <pic:pic xmlns:pic="http://schemas.openxmlformats.org/drawingml/2006/picture">
                        <pic:nvPicPr>
                          <pic:cNvPr id="390" name="AutoShape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1" name="AutoShape_2"/>
                  <wp:cNvGraphicFramePr/>
                  <a:graphic xmlns:a="http://schemas.openxmlformats.org/drawingml/2006/main">
                    <a:graphicData uri="http://schemas.openxmlformats.org/drawingml/2006/picture">
                      <pic:pic xmlns:pic="http://schemas.openxmlformats.org/drawingml/2006/picture">
                        <pic:nvPicPr>
                          <pic:cNvPr id="391" name="AutoShape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2" name="AutoShape_4_SpCnt_1"/>
                  <wp:cNvGraphicFramePr/>
                  <a:graphic xmlns:a="http://schemas.openxmlformats.org/drawingml/2006/main">
                    <a:graphicData uri="http://schemas.openxmlformats.org/drawingml/2006/picture">
                      <pic:pic xmlns:pic="http://schemas.openxmlformats.org/drawingml/2006/picture">
                        <pic:nvPicPr>
                          <pic:cNvPr id="392" name="AutoShape_4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3" name="AutoShape_2_SpCnt_1"/>
                  <wp:cNvGraphicFramePr/>
                  <a:graphic xmlns:a="http://schemas.openxmlformats.org/drawingml/2006/main">
                    <a:graphicData uri="http://schemas.openxmlformats.org/drawingml/2006/picture">
                      <pic:pic xmlns:pic="http://schemas.openxmlformats.org/drawingml/2006/picture">
                        <pic:nvPicPr>
                          <pic:cNvPr id="393" name="AutoShape_2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4" name="AutoShape_3"/>
                  <wp:cNvGraphicFramePr/>
                  <a:graphic xmlns:a="http://schemas.openxmlformats.org/drawingml/2006/main">
                    <a:graphicData uri="http://schemas.openxmlformats.org/drawingml/2006/picture">
                      <pic:pic xmlns:pic="http://schemas.openxmlformats.org/drawingml/2006/picture">
                        <pic:nvPicPr>
                          <pic:cNvPr id="394" name="AutoShape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5" name="AutoShape_2_SpCnt_2"/>
                  <wp:cNvGraphicFramePr/>
                  <a:graphic xmlns:a="http://schemas.openxmlformats.org/drawingml/2006/main">
                    <a:graphicData uri="http://schemas.openxmlformats.org/drawingml/2006/picture">
                      <pic:pic xmlns:pic="http://schemas.openxmlformats.org/drawingml/2006/picture">
                        <pic:nvPicPr>
                          <pic:cNvPr id="395" name="AutoShape_2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6" name="AutoShape_4_SpCnt_2"/>
                  <wp:cNvGraphicFramePr/>
                  <a:graphic xmlns:a="http://schemas.openxmlformats.org/drawingml/2006/main">
                    <a:graphicData uri="http://schemas.openxmlformats.org/drawingml/2006/picture">
                      <pic:pic xmlns:pic="http://schemas.openxmlformats.org/drawingml/2006/picture">
                        <pic:nvPicPr>
                          <pic:cNvPr id="396" name="AutoShape_4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7" name="AutoShape_2_SpCnt_3"/>
                  <wp:cNvGraphicFramePr/>
                  <a:graphic xmlns:a="http://schemas.openxmlformats.org/drawingml/2006/main">
                    <a:graphicData uri="http://schemas.openxmlformats.org/drawingml/2006/picture">
                      <pic:pic xmlns:pic="http://schemas.openxmlformats.org/drawingml/2006/picture">
                        <pic:nvPicPr>
                          <pic:cNvPr id="397" name="AutoShape_2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8" name="AutoShape_4_SpCnt_3"/>
                  <wp:cNvGraphicFramePr/>
                  <a:graphic xmlns:a="http://schemas.openxmlformats.org/drawingml/2006/main">
                    <a:graphicData uri="http://schemas.openxmlformats.org/drawingml/2006/picture">
                      <pic:pic xmlns:pic="http://schemas.openxmlformats.org/drawingml/2006/picture">
                        <pic:nvPicPr>
                          <pic:cNvPr id="398" name="AutoShape_4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399" name="AutoShape_3_SpCnt_1"/>
                  <wp:cNvGraphicFramePr/>
                  <a:graphic xmlns:a="http://schemas.openxmlformats.org/drawingml/2006/main">
                    <a:graphicData uri="http://schemas.openxmlformats.org/drawingml/2006/picture">
                      <pic:pic xmlns:pic="http://schemas.openxmlformats.org/drawingml/2006/picture">
                        <pic:nvPicPr>
                          <pic:cNvPr id="399" name="AutoShape_3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0" name="AutoShape_2_SpCnt_4"/>
                  <wp:cNvGraphicFramePr/>
                  <a:graphic xmlns:a="http://schemas.openxmlformats.org/drawingml/2006/main">
                    <a:graphicData uri="http://schemas.openxmlformats.org/drawingml/2006/picture">
                      <pic:pic xmlns:pic="http://schemas.openxmlformats.org/drawingml/2006/picture">
                        <pic:nvPicPr>
                          <pic:cNvPr id="400" name="AutoShape_2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01" name="AutoShape_1_SpCnt_4"/>
                  <wp:cNvGraphicFramePr/>
                  <a:graphic xmlns:a="http://schemas.openxmlformats.org/drawingml/2006/main">
                    <a:graphicData uri="http://schemas.openxmlformats.org/drawingml/2006/picture">
                      <pic:pic xmlns:pic="http://schemas.openxmlformats.org/drawingml/2006/picture">
                        <pic:nvPicPr>
                          <pic:cNvPr id="401" name="AutoShape_1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2" name="AutoShape_4_SpCnt_4"/>
                  <wp:cNvGraphicFramePr/>
                  <a:graphic xmlns:a="http://schemas.openxmlformats.org/drawingml/2006/main">
                    <a:graphicData uri="http://schemas.openxmlformats.org/drawingml/2006/picture">
                      <pic:pic xmlns:pic="http://schemas.openxmlformats.org/drawingml/2006/picture">
                        <pic:nvPicPr>
                          <pic:cNvPr id="402" name="AutoShape_4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3" name="AutoShape_2_SpCnt_5"/>
                  <wp:cNvGraphicFramePr/>
                  <a:graphic xmlns:a="http://schemas.openxmlformats.org/drawingml/2006/main">
                    <a:graphicData uri="http://schemas.openxmlformats.org/drawingml/2006/picture">
                      <pic:pic xmlns:pic="http://schemas.openxmlformats.org/drawingml/2006/picture">
                        <pic:nvPicPr>
                          <pic:cNvPr id="403" name="AutoShape_2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4" name="AutoShape_4_SpCnt_5"/>
                  <wp:cNvGraphicFramePr/>
                  <a:graphic xmlns:a="http://schemas.openxmlformats.org/drawingml/2006/main">
                    <a:graphicData uri="http://schemas.openxmlformats.org/drawingml/2006/picture">
                      <pic:pic xmlns:pic="http://schemas.openxmlformats.org/drawingml/2006/picture">
                        <pic:nvPicPr>
                          <pic:cNvPr id="404" name="AutoShape_4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5" name="AutoShape_2_SpCnt_6"/>
                  <wp:cNvGraphicFramePr/>
                  <a:graphic xmlns:a="http://schemas.openxmlformats.org/drawingml/2006/main">
                    <a:graphicData uri="http://schemas.openxmlformats.org/drawingml/2006/picture">
                      <pic:pic xmlns:pic="http://schemas.openxmlformats.org/drawingml/2006/picture">
                        <pic:nvPicPr>
                          <pic:cNvPr id="405" name="AutoShape_2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06" name="AutoShape_3_SpCnt_2"/>
                  <wp:cNvGraphicFramePr/>
                  <a:graphic xmlns:a="http://schemas.openxmlformats.org/drawingml/2006/main">
                    <a:graphicData uri="http://schemas.openxmlformats.org/drawingml/2006/picture">
                      <pic:pic xmlns:pic="http://schemas.openxmlformats.org/drawingml/2006/picture">
                        <pic:nvPicPr>
                          <pic:cNvPr id="406" name="AutoShape_3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07" name="AutoShape_3_SpCnt_3"/>
                  <wp:cNvGraphicFramePr/>
                  <a:graphic xmlns:a="http://schemas.openxmlformats.org/drawingml/2006/main">
                    <a:graphicData uri="http://schemas.openxmlformats.org/drawingml/2006/picture">
                      <pic:pic xmlns:pic="http://schemas.openxmlformats.org/drawingml/2006/picture">
                        <pic:nvPicPr>
                          <pic:cNvPr id="407" name="AutoShape_3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8" name="AutoShape_4_SpCnt_6"/>
                  <wp:cNvGraphicFramePr/>
                  <a:graphic xmlns:a="http://schemas.openxmlformats.org/drawingml/2006/main">
                    <a:graphicData uri="http://schemas.openxmlformats.org/drawingml/2006/picture">
                      <pic:pic xmlns:pic="http://schemas.openxmlformats.org/drawingml/2006/picture">
                        <pic:nvPicPr>
                          <pic:cNvPr id="408" name="AutoShape_4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09" name="AutoShape_2_SpCnt_7"/>
                  <wp:cNvGraphicFramePr/>
                  <a:graphic xmlns:a="http://schemas.openxmlformats.org/drawingml/2006/main">
                    <a:graphicData uri="http://schemas.openxmlformats.org/drawingml/2006/picture">
                      <pic:pic xmlns:pic="http://schemas.openxmlformats.org/drawingml/2006/picture">
                        <pic:nvPicPr>
                          <pic:cNvPr id="409" name="AutoShape_2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0" name="AutoShape_4_SpCnt_7"/>
                  <wp:cNvGraphicFramePr/>
                  <a:graphic xmlns:a="http://schemas.openxmlformats.org/drawingml/2006/main">
                    <a:graphicData uri="http://schemas.openxmlformats.org/drawingml/2006/picture">
                      <pic:pic xmlns:pic="http://schemas.openxmlformats.org/drawingml/2006/picture">
                        <pic:nvPicPr>
                          <pic:cNvPr id="410" name="AutoShape_4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1" name="AutoShape_2_SpCnt_8"/>
                  <wp:cNvGraphicFramePr/>
                  <a:graphic xmlns:a="http://schemas.openxmlformats.org/drawingml/2006/main">
                    <a:graphicData uri="http://schemas.openxmlformats.org/drawingml/2006/picture">
                      <pic:pic xmlns:pic="http://schemas.openxmlformats.org/drawingml/2006/picture">
                        <pic:nvPicPr>
                          <pic:cNvPr id="411" name="AutoShape_2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2" name="AutoShape_1_SpCnt_5"/>
                  <wp:cNvGraphicFramePr/>
                  <a:graphic xmlns:a="http://schemas.openxmlformats.org/drawingml/2006/main">
                    <a:graphicData uri="http://schemas.openxmlformats.org/drawingml/2006/picture">
                      <pic:pic xmlns:pic="http://schemas.openxmlformats.org/drawingml/2006/picture">
                        <pic:nvPicPr>
                          <pic:cNvPr id="412" name="AutoShape_1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3" name="AutoShape_1_SpCnt_6"/>
                  <wp:cNvGraphicFramePr/>
                  <a:graphic xmlns:a="http://schemas.openxmlformats.org/drawingml/2006/main">
                    <a:graphicData uri="http://schemas.openxmlformats.org/drawingml/2006/picture">
                      <pic:pic xmlns:pic="http://schemas.openxmlformats.org/drawingml/2006/picture">
                        <pic:nvPicPr>
                          <pic:cNvPr id="413" name="AutoShape_1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4" name="AutoShape_4_SpCnt_8"/>
                  <wp:cNvGraphicFramePr/>
                  <a:graphic xmlns:a="http://schemas.openxmlformats.org/drawingml/2006/main">
                    <a:graphicData uri="http://schemas.openxmlformats.org/drawingml/2006/picture">
                      <pic:pic xmlns:pic="http://schemas.openxmlformats.org/drawingml/2006/picture">
                        <pic:nvPicPr>
                          <pic:cNvPr id="414" name="AutoShape_4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5" name="AutoShape_2_SpCnt_9"/>
                  <wp:cNvGraphicFramePr/>
                  <a:graphic xmlns:a="http://schemas.openxmlformats.org/drawingml/2006/main">
                    <a:graphicData uri="http://schemas.openxmlformats.org/drawingml/2006/picture">
                      <pic:pic xmlns:pic="http://schemas.openxmlformats.org/drawingml/2006/picture">
                        <pic:nvPicPr>
                          <pic:cNvPr id="415" name="AutoShape_2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6" name="AutoShape_4_SpCnt_9"/>
                  <wp:cNvGraphicFramePr/>
                  <a:graphic xmlns:a="http://schemas.openxmlformats.org/drawingml/2006/main">
                    <a:graphicData uri="http://schemas.openxmlformats.org/drawingml/2006/picture">
                      <pic:pic xmlns:pic="http://schemas.openxmlformats.org/drawingml/2006/picture">
                        <pic:nvPicPr>
                          <pic:cNvPr id="416" name="AutoShape_4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7" name="AutoShape_2_SpCnt_10"/>
                  <wp:cNvGraphicFramePr/>
                  <a:graphic xmlns:a="http://schemas.openxmlformats.org/drawingml/2006/main">
                    <a:graphicData uri="http://schemas.openxmlformats.org/drawingml/2006/picture">
                      <pic:pic xmlns:pic="http://schemas.openxmlformats.org/drawingml/2006/picture">
                        <pic:nvPicPr>
                          <pic:cNvPr id="417" name="AutoShape_2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8" name="AutoShape_3_SpCnt_4"/>
                  <wp:cNvGraphicFramePr/>
                  <a:graphic xmlns:a="http://schemas.openxmlformats.org/drawingml/2006/main">
                    <a:graphicData uri="http://schemas.openxmlformats.org/drawingml/2006/picture">
                      <pic:pic xmlns:pic="http://schemas.openxmlformats.org/drawingml/2006/picture">
                        <pic:nvPicPr>
                          <pic:cNvPr id="418" name="AutoShape_3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19" name="AutoShape_2_SpCnt_11"/>
                  <wp:cNvGraphicFramePr/>
                  <a:graphic xmlns:a="http://schemas.openxmlformats.org/drawingml/2006/main">
                    <a:graphicData uri="http://schemas.openxmlformats.org/drawingml/2006/picture">
                      <pic:pic xmlns:pic="http://schemas.openxmlformats.org/drawingml/2006/picture">
                        <pic:nvPicPr>
                          <pic:cNvPr id="419" name="AutoShape_2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0" name="AutoShape_4_SpCnt_10"/>
                  <wp:cNvGraphicFramePr/>
                  <a:graphic xmlns:a="http://schemas.openxmlformats.org/drawingml/2006/main">
                    <a:graphicData uri="http://schemas.openxmlformats.org/drawingml/2006/picture">
                      <pic:pic xmlns:pic="http://schemas.openxmlformats.org/drawingml/2006/picture">
                        <pic:nvPicPr>
                          <pic:cNvPr id="420" name="AutoShape_4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1" name="AutoShape_2_SpCnt_12"/>
                  <wp:cNvGraphicFramePr/>
                  <a:graphic xmlns:a="http://schemas.openxmlformats.org/drawingml/2006/main">
                    <a:graphicData uri="http://schemas.openxmlformats.org/drawingml/2006/picture">
                      <pic:pic xmlns:pic="http://schemas.openxmlformats.org/drawingml/2006/picture">
                        <pic:nvPicPr>
                          <pic:cNvPr id="421" name="AutoShape_2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2" name="AutoShape_4_SpCnt_11"/>
                  <wp:cNvGraphicFramePr/>
                  <a:graphic xmlns:a="http://schemas.openxmlformats.org/drawingml/2006/main">
                    <a:graphicData uri="http://schemas.openxmlformats.org/drawingml/2006/picture">
                      <pic:pic xmlns:pic="http://schemas.openxmlformats.org/drawingml/2006/picture">
                        <pic:nvPicPr>
                          <pic:cNvPr id="422" name="AutoShape_4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3" name="AutoShape_3_SpCnt_5"/>
                  <wp:cNvGraphicFramePr/>
                  <a:graphic xmlns:a="http://schemas.openxmlformats.org/drawingml/2006/main">
                    <a:graphicData uri="http://schemas.openxmlformats.org/drawingml/2006/picture">
                      <pic:pic xmlns:pic="http://schemas.openxmlformats.org/drawingml/2006/picture">
                        <pic:nvPicPr>
                          <pic:cNvPr id="423" name="AutoShape_3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24" name="AutoShape_3_SpCnt_6"/>
                  <wp:cNvGraphicFramePr/>
                  <a:graphic xmlns:a="http://schemas.openxmlformats.org/drawingml/2006/main">
                    <a:graphicData uri="http://schemas.openxmlformats.org/drawingml/2006/picture">
                      <pic:pic xmlns:pic="http://schemas.openxmlformats.org/drawingml/2006/picture">
                        <pic:nvPicPr>
                          <pic:cNvPr id="424" name="AutoShape_3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25" name="AutoShape_1_SpCnt_7"/>
                  <wp:cNvGraphicFramePr/>
                  <a:graphic xmlns:a="http://schemas.openxmlformats.org/drawingml/2006/main">
                    <a:graphicData uri="http://schemas.openxmlformats.org/drawingml/2006/picture">
                      <pic:pic xmlns:pic="http://schemas.openxmlformats.org/drawingml/2006/picture">
                        <pic:nvPicPr>
                          <pic:cNvPr id="425" name="AutoShape_1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6" name="AutoShape_4_SpCnt_12"/>
                  <wp:cNvGraphicFramePr/>
                  <a:graphic xmlns:a="http://schemas.openxmlformats.org/drawingml/2006/main">
                    <a:graphicData uri="http://schemas.openxmlformats.org/drawingml/2006/picture">
                      <pic:pic xmlns:pic="http://schemas.openxmlformats.org/drawingml/2006/picture">
                        <pic:nvPicPr>
                          <pic:cNvPr id="426" name="AutoShape_4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7" name="AutoShape_2_SpCnt_13"/>
                  <wp:cNvGraphicFramePr/>
                  <a:graphic xmlns:a="http://schemas.openxmlformats.org/drawingml/2006/main">
                    <a:graphicData uri="http://schemas.openxmlformats.org/drawingml/2006/picture">
                      <pic:pic xmlns:pic="http://schemas.openxmlformats.org/drawingml/2006/picture">
                        <pic:nvPicPr>
                          <pic:cNvPr id="427" name="AutoShape_2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8" name="AutoShape_4_SpCnt_13"/>
                  <wp:cNvGraphicFramePr/>
                  <a:graphic xmlns:a="http://schemas.openxmlformats.org/drawingml/2006/main">
                    <a:graphicData uri="http://schemas.openxmlformats.org/drawingml/2006/picture">
                      <pic:pic xmlns:pic="http://schemas.openxmlformats.org/drawingml/2006/picture">
                        <pic:nvPicPr>
                          <pic:cNvPr id="428" name="AutoShape_4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29" name="AutoShape_2_SpCnt_14"/>
                  <wp:cNvGraphicFramePr/>
                  <a:graphic xmlns:a="http://schemas.openxmlformats.org/drawingml/2006/main">
                    <a:graphicData uri="http://schemas.openxmlformats.org/drawingml/2006/picture">
                      <pic:pic xmlns:pic="http://schemas.openxmlformats.org/drawingml/2006/picture">
                        <pic:nvPicPr>
                          <pic:cNvPr id="429" name="AutoShape_2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30" name="AutoShape_3_SpCnt_7"/>
                  <wp:cNvGraphicFramePr/>
                  <a:graphic xmlns:a="http://schemas.openxmlformats.org/drawingml/2006/main">
                    <a:graphicData uri="http://schemas.openxmlformats.org/drawingml/2006/picture">
                      <pic:pic xmlns:pic="http://schemas.openxmlformats.org/drawingml/2006/picture">
                        <pic:nvPicPr>
                          <pic:cNvPr id="430" name="AutoShape_3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31" name="AutoShape_4_SpCnt_14"/>
                  <wp:cNvGraphicFramePr/>
                  <a:graphic xmlns:a="http://schemas.openxmlformats.org/drawingml/2006/main">
                    <a:graphicData uri="http://schemas.openxmlformats.org/drawingml/2006/picture">
                      <pic:pic xmlns:pic="http://schemas.openxmlformats.org/drawingml/2006/picture">
                        <pic:nvPicPr>
                          <pic:cNvPr id="431" name="AutoShape_4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32" name="AutoShape_2_SpCnt_15"/>
                  <wp:cNvGraphicFramePr/>
                  <a:graphic xmlns:a="http://schemas.openxmlformats.org/drawingml/2006/main">
                    <a:graphicData uri="http://schemas.openxmlformats.org/drawingml/2006/picture">
                      <pic:pic xmlns:pic="http://schemas.openxmlformats.org/drawingml/2006/picture">
                        <pic:nvPicPr>
                          <pic:cNvPr id="432" name="AutoShape_2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33" name="AutoShape_4_SpCnt_15"/>
                  <wp:cNvGraphicFramePr/>
                  <a:graphic xmlns:a="http://schemas.openxmlformats.org/drawingml/2006/main">
                    <a:graphicData uri="http://schemas.openxmlformats.org/drawingml/2006/picture">
                      <pic:pic xmlns:pic="http://schemas.openxmlformats.org/drawingml/2006/picture">
                        <pic:nvPicPr>
                          <pic:cNvPr id="433" name="AutoShape_4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34" name="Line_23"/>
                  <wp:cNvGraphicFramePr/>
                  <a:graphic xmlns:a="http://schemas.openxmlformats.org/drawingml/2006/main">
                    <a:graphicData uri="http://schemas.openxmlformats.org/drawingml/2006/picture">
                      <pic:pic xmlns:pic="http://schemas.openxmlformats.org/drawingml/2006/picture">
                        <pic:nvPicPr>
                          <pic:cNvPr id="434" name="Line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435" name="Line_23_SpCnt_1"/>
                  <wp:cNvGraphicFramePr/>
                  <a:graphic xmlns:a="http://schemas.openxmlformats.org/drawingml/2006/main">
                    <a:graphicData uri="http://schemas.openxmlformats.org/drawingml/2006/picture">
                      <pic:pic xmlns:pic="http://schemas.openxmlformats.org/drawingml/2006/picture">
                        <pic:nvPicPr>
                          <pic:cNvPr id="435" name="Line_23_SpCnt_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436" name="Line_23_SpCnt_2"/>
                  <wp:cNvGraphicFramePr/>
                  <a:graphic xmlns:a="http://schemas.openxmlformats.org/drawingml/2006/main">
                    <a:graphicData uri="http://schemas.openxmlformats.org/drawingml/2006/picture">
                      <pic:pic xmlns:pic="http://schemas.openxmlformats.org/drawingml/2006/picture">
                        <pic:nvPicPr>
                          <pic:cNvPr id="436" name="Line_23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37" name="Line_23_SpCnt_3"/>
                  <wp:cNvGraphicFramePr/>
                  <a:graphic xmlns:a="http://schemas.openxmlformats.org/drawingml/2006/main">
                    <a:graphicData uri="http://schemas.openxmlformats.org/drawingml/2006/picture">
                      <pic:pic xmlns:pic="http://schemas.openxmlformats.org/drawingml/2006/picture">
                        <pic:nvPicPr>
                          <pic:cNvPr id="437" name="Line_23_SpCnt_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38" name="Line_23_SpCnt_4"/>
                  <wp:cNvGraphicFramePr/>
                  <a:graphic xmlns:a="http://schemas.openxmlformats.org/drawingml/2006/main">
                    <a:graphicData uri="http://schemas.openxmlformats.org/drawingml/2006/picture">
                      <pic:pic xmlns:pic="http://schemas.openxmlformats.org/drawingml/2006/picture">
                        <pic:nvPicPr>
                          <pic:cNvPr id="438" name="Line_23_SpCnt_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39" name="Line_23_SpCnt_5"/>
                  <wp:cNvGraphicFramePr/>
                  <a:graphic xmlns:a="http://schemas.openxmlformats.org/drawingml/2006/main">
                    <a:graphicData uri="http://schemas.openxmlformats.org/drawingml/2006/picture">
                      <pic:pic xmlns:pic="http://schemas.openxmlformats.org/drawingml/2006/picture">
                        <pic:nvPicPr>
                          <pic:cNvPr id="439" name="Line_23_SpCnt_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0" name="Line_23_SpCnt_6"/>
                  <wp:cNvGraphicFramePr/>
                  <a:graphic xmlns:a="http://schemas.openxmlformats.org/drawingml/2006/main">
                    <a:graphicData uri="http://schemas.openxmlformats.org/drawingml/2006/picture">
                      <pic:pic xmlns:pic="http://schemas.openxmlformats.org/drawingml/2006/picture">
                        <pic:nvPicPr>
                          <pic:cNvPr id="440" name="Line_23_SpCnt_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1" name="Line_23_SpCnt_7"/>
                  <wp:cNvGraphicFramePr/>
                  <a:graphic xmlns:a="http://schemas.openxmlformats.org/drawingml/2006/main">
                    <a:graphicData uri="http://schemas.openxmlformats.org/drawingml/2006/picture">
                      <pic:pic xmlns:pic="http://schemas.openxmlformats.org/drawingml/2006/picture">
                        <pic:nvPicPr>
                          <pic:cNvPr id="441" name="Line_23_SpCnt_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2" name="Line_23_SpCnt_8"/>
                  <wp:cNvGraphicFramePr/>
                  <a:graphic xmlns:a="http://schemas.openxmlformats.org/drawingml/2006/main">
                    <a:graphicData uri="http://schemas.openxmlformats.org/drawingml/2006/picture">
                      <pic:pic xmlns:pic="http://schemas.openxmlformats.org/drawingml/2006/picture">
                        <pic:nvPicPr>
                          <pic:cNvPr id="442" name="Line_23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443" name="Line_23_SpCnt_9"/>
                  <wp:cNvGraphicFramePr/>
                  <a:graphic xmlns:a="http://schemas.openxmlformats.org/drawingml/2006/main">
                    <a:graphicData uri="http://schemas.openxmlformats.org/drawingml/2006/picture">
                      <pic:pic xmlns:pic="http://schemas.openxmlformats.org/drawingml/2006/picture">
                        <pic:nvPicPr>
                          <pic:cNvPr id="443" name="Line_23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92075</wp:posOffset>
                  </wp:positionH>
                  <wp:positionV relativeFrom="paragraph">
                    <wp:posOffset>182245</wp:posOffset>
                  </wp:positionV>
                  <wp:extent cx="635" cy="0"/>
                  <wp:effectExtent l="0" t="0" r="0" b="0"/>
                  <wp:wrapNone/>
                  <wp:docPr id="444" name="Line_23_SpCnt_10"/>
                  <wp:cNvGraphicFramePr/>
                  <a:graphic xmlns:a="http://schemas.openxmlformats.org/drawingml/2006/main">
                    <a:graphicData uri="http://schemas.openxmlformats.org/drawingml/2006/picture">
                      <pic:pic xmlns:pic="http://schemas.openxmlformats.org/drawingml/2006/picture">
                        <pic:nvPicPr>
                          <pic:cNvPr id="444" name="Line_23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5" name="Line_23_SpCnt_11"/>
                  <wp:cNvGraphicFramePr/>
                  <a:graphic xmlns:a="http://schemas.openxmlformats.org/drawingml/2006/main">
                    <a:graphicData uri="http://schemas.openxmlformats.org/drawingml/2006/picture">
                      <pic:pic xmlns:pic="http://schemas.openxmlformats.org/drawingml/2006/picture">
                        <pic:nvPicPr>
                          <pic:cNvPr id="445" name="Line_23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6" name="Line_23_SpCnt_12"/>
                  <wp:cNvGraphicFramePr/>
                  <a:graphic xmlns:a="http://schemas.openxmlformats.org/drawingml/2006/main">
                    <a:graphicData uri="http://schemas.openxmlformats.org/drawingml/2006/picture">
                      <pic:pic xmlns:pic="http://schemas.openxmlformats.org/drawingml/2006/picture">
                        <pic:nvPicPr>
                          <pic:cNvPr id="446" name="Line_23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7" name="Line_23_SpCnt_13"/>
                  <wp:cNvGraphicFramePr/>
                  <a:graphic xmlns:a="http://schemas.openxmlformats.org/drawingml/2006/main">
                    <a:graphicData uri="http://schemas.openxmlformats.org/drawingml/2006/picture">
                      <pic:pic xmlns:pic="http://schemas.openxmlformats.org/drawingml/2006/picture">
                        <pic:nvPicPr>
                          <pic:cNvPr id="447" name="Line_23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8" name="Line_23_SpCnt_14"/>
                  <wp:cNvGraphicFramePr/>
                  <a:graphic xmlns:a="http://schemas.openxmlformats.org/drawingml/2006/main">
                    <a:graphicData uri="http://schemas.openxmlformats.org/drawingml/2006/picture">
                      <pic:pic xmlns:pic="http://schemas.openxmlformats.org/drawingml/2006/picture">
                        <pic:nvPicPr>
                          <pic:cNvPr id="448" name="Line_23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49" name="Line_23_SpCnt_15"/>
                  <wp:cNvGraphicFramePr/>
                  <a:graphic xmlns:a="http://schemas.openxmlformats.org/drawingml/2006/main">
                    <a:graphicData uri="http://schemas.openxmlformats.org/drawingml/2006/picture">
                      <pic:pic xmlns:pic="http://schemas.openxmlformats.org/drawingml/2006/picture">
                        <pic:nvPicPr>
                          <pic:cNvPr id="449" name="Line_23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91</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4</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0" name="AutoShape_4_SpCnt_16"/>
                  <wp:cNvGraphicFramePr/>
                  <a:graphic xmlns:a="http://schemas.openxmlformats.org/drawingml/2006/main">
                    <a:graphicData uri="http://schemas.openxmlformats.org/drawingml/2006/picture">
                      <pic:pic xmlns:pic="http://schemas.openxmlformats.org/drawingml/2006/picture">
                        <pic:nvPicPr>
                          <pic:cNvPr id="450" name="AutoShape_4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1" name="AutoShape_4_SpCnt_17"/>
                  <wp:cNvGraphicFramePr/>
                  <a:graphic xmlns:a="http://schemas.openxmlformats.org/drawingml/2006/main">
                    <a:graphicData uri="http://schemas.openxmlformats.org/drawingml/2006/picture">
                      <pic:pic xmlns:pic="http://schemas.openxmlformats.org/drawingml/2006/picture">
                        <pic:nvPicPr>
                          <pic:cNvPr id="451" name="AutoShape_4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2" name="AutoShape_2_SpCnt_16"/>
                  <wp:cNvGraphicFramePr/>
                  <a:graphic xmlns:a="http://schemas.openxmlformats.org/drawingml/2006/main">
                    <a:graphicData uri="http://schemas.openxmlformats.org/drawingml/2006/picture">
                      <pic:pic xmlns:pic="http://schemas.openxmlformats.org/drawingml/2006/picture">
                        <pic:nvPicPr>
                          <pic:cNvPr id="452" name="AutoShape_2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3" name="AutoShape_4_SpCnt_18"/>
                  <wp:cNvGraphicFramePr/>
                  <a:graphic xmlns:a="http://schemas.openxmlformats.org/drawingml/2006/main">
                    <a:graphicData uri="http://schemas.openxmlformats.org/drawingml/2006/picture">
                      <pic:pic xmlns:pic="http://schemas.openxmlformats.org/drawingml/2006/picture">
                        <pic:nvPicPr>
                          <pic:cNvPr id="453" name="AutoShape_4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4" name="AutoShape_2_SpCnt_17"/>
                  <wp:cNvGraphicFramePr/>
                  <a:graphic xmlns:a="http://schemas.openxmlformats.org/drawingml/2006/main">
                    <a:graphicData uri="http://schemas.openxmlformats.org/drawingml/2006/picture">
                      <pic:pic xmlns:pic="http://schemas.openxmlformats.org/drawingml/2006/picture">
                        <pic:nvPicPr>
                          <pic:cNvPr id="454" name="AutoShape_2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5" name="AutoShape_4_SpCnt_19"/>
                  <wp:cNvGraphicFramePr/>
                  <a:graphic xmlns:a="http://schemas.openxmlformats.org/drawingml/2006/main">
                    <a:graphicData uri="http://schemas.openxmlformats.org/drawingml/2006/picture">
                      <pic:pic xmlns:pic="http://schemas.openxmlformats.org/drawingml/2006/picture">
                        <pic:nvPicPr>
                          <pic:cNvPr id="455" name="AutoShape_4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6" name="AutoShape_3_SpCnt_8"/>
                  <wp:cNvGraphicFramePr/>
                  <a:graphic xmlns:a="http://schemas.openxmlformats.org/drawingml/2006/main">
                    <a:graphicData uri="http://schemas.openxmlformats.org/drawingml/2006/picture">
                      <pic:pic xmlns:pic="http://schemas.openxmlformats.org/drawingml/2006/picture">
                        <pic:nvPicPr>
                          <pic:cNvPr id="456" name="AutoShape_3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7" name="AutoShape_2_SpCnt_18"/>
                  <wp:cNvGraphicFramePr/>
                  <a:graphic xmlns:a="http://schemas.openxmlformats.org/drawingml/2006/main">
                    <a:graphicData uri="http://schemas.openxmlformats.org/drawingml/2006/picture">
                      <pic:pic xmlns:pic="http://schemas.openxmlformats.org/drawingml/2006/picture">
                        <pic:nvPicPr>
                          <pic:cNvPr id="457" name="AutoShape_2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8" name="AutoShape_4_SpCnt_20"/>
                  <wp:cNvGraphicFramePr/>
                  <a:graphic xmlns:a="http://schemas.openxmlformats.org/drawingml/2006/main">
                    <a:graphicData uri="http://schemas.openxmlformats.org/drawingml/2006/picture">
                      <pic:pic xmlns:pic="http://schemas.openxmlformats.org/drawingml/2006/picture">
                        <pic:nvPicPr>
                          <pic:cNvPr id="458" name="AutoShape_4_SpCnt_20"/>
                          <pic:cNvPicPr/>
                        </pic:nvPicPr>
                        <pic:blipFill>
                          <a:blip r:embed="rId7"/>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59" name="AutoShape_1_SpCnt_8"/>
                  <wp:cNvGraphicFramePr/>
                  <a:graphic xmlns:a="http://schemas.openxmlformats.org/drawingml/2006/main">
                    <a:graphicData uri="http://schemas.openxmlformats.org/drawingml/2006/picture">
                      <pic:pic xmlns:pic="http://schemas.openxmlformats.org/drawingml/2006/picture">
                        <pic:nvPicPr>
                          <pic:cNvPr id="459" name="AutoShape_1_SpCnt_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0" name="AutoShape_2_SpCnt_19"/>
                  <wp:cNvGraphicFramePr/>
                  <a:graphic xmlns:a="http://schemas.openxmlformats.org/drawingml/2006/main">
                    <a:graphicData uri="http://schemas.openxmlformats.org/drawingml/2006/picture">
                      <pic:pic xmlns:pic="http://schemas.openxmlformats.org/drawingml/2006/picture">
                        <pic:nvPicPr>
                          <pic:cNvPr id="460" name="AutoShape_2_SpCnt_19"/>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1" name="AutoShape_4_SpCnt_21"/>
                  <wp:cNvGraphicFramePr/>
                  <a:graphic xmlns:a="http://schemas.openxmlformats.org/drawingml/2006/main">
                    <a:graphicData uri="http://schemas.openxmlformats.org/drawingml/2006/picture">
                      <pic:pic xmlns:pic="http://schemas.openxmlformats.org/drawingml/2006/picture">
                        <pic:nvPicPr>
                          <pic:cNvPr id="461" name="AutoShape_4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2" name="AutoShape_4_SpCnt_22"/>
                  <wp:cNvGraphicFramePr/>
                  <a:graphic xmlns:a="http://schemas.openxmlformats.org/drawingml/2006/main">
                    <a:graphicData uri="http://schemas.openxmlformats.org/drawingml/2006/picture">
                      <pic:pic xmlns:pic="http://schemas.openxmlformats.org/drawingml/2006/picture">
                        <pic:nvPicPr>
                          <pic:cNvPr id="462" name="AutoShape_4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3" name="AutoShape_3_SpCnt_9"/>
                  <wp:cNvGraphicFramePr/>
                  <a:graphic xmlns:a="http://schemas.openxmlformats.org/drawingml/2006/main">
                    <a:graphicData uri="http://schemas.openxmlformats.org/drawingml/2006/picture">
                      <pic:pic xmlns:pic="http://schemas.openxmlformats.org/drawingml/2006/picture">
                        <pic:nvPicPr>
                          <pic:cNvPr id="463" name="AutoShape_3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4" name="AutoShape_2_SpCnt_20"/>
                  <wp:cNvGraphicFramePr/>
                  <a:graphic xmlns:a="http://schemas.openxmlformats.org/drawingml/2006/main">
                    <a:graphicData uri="http://schemas.openxmlformats.org/drawingml/2006/picture">
                      <pic:pic xmlns:pic="http://schemas.openxmlformats.org/drawingml/2006/picture">
                        <pic:nvPicPr>
                          <pic:cNvPr id="464" name="AutoShape_2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5" name="AutoShape_2_SpCnt_21"/>
                  <wp:cNvGraphicFramePr/>
                  <a:graphic xmlns:a="http://schemas.openxmlformats.org/drawingml/2006/main">
                    <a:graphicData uri="http://schemas.openxmlformats.org/drawingml/2006/picture">
                      <pic:pic xmlns:pic="http://schemas.openxmlformats.org/drawingml/2006/picture">
                        <pic:nvPicPr>
                          <pic:cNvPr id="465" name="AutoShape_2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6" name="AutoShape_4_SpCnt_23"/>
                  <wp:cNvGraphicFramePr/>
                  <a:graphic xmlns:a="http://schemas.openxmlformats.org/drawingml/2006/main">
                    <a:graphicData uri="http://schemas.openxmlformats.org/drawingml/2006/picture">
                      <pic:pic xmlns:pic="http://schemas.openxmlformats.org/drawingml/2006/picture">
                        <pic:nvPicPr>
                          <pic:cNvPr id="466" name="AutoShape_4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7" name="AutoShape_3_SpCnt_10"/>
                  <wp:cNvGraphicFramePr/>
                  <a:graphic xmlns:a="http://schemas.openxmlformats.org/drawingml/2006/main">
                    <a:graphicData uri="http://schemas.openxmlformats.org/drawingml/2006/picture">
                      <pic:pic xmlns:pic="http://schemas.openxmlformats.org/drawingml/2006/picture">
                        <pic:nvPicPr>
                          <pic:cNvPr id="467" name="AutoShape_3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8" name="AutoShape_1_SpCnt_9"/>
                  <wp:cNvGraphicFramePr/>
                  <a:graphic xmlns:a="http://schemas.openxmlformats.org/drawingml/2006/main">
                    <a:graphicData uri="http://schemas.openxmlformats.org/drawingml/2006/picture">
                      <pic:pic xmlns:pic="http://schemas.openxmlformats.org/drawingml/2006/picture">
                        <pic:nvPicPr>
                          <pic:cNvPr id="468" name="AutoShape_1_SpCnt_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69" name="AutoShape_2_SpCnt_22"/>
                  <wp:cNvGraphicFramePr/>
                  <a:graphic xmlns:a="http://schemas.openxmlformats.org/drawingml/2006/main">
                    <a:graphicData uri="http://schemas.openxmlformats.org/drawingml/2006/picture">
                      <pic:pic xmlns:pic="http://schemas.openxmlformats.org/drawingml/2006/picture">
                        <pic:nvPicPr>
                          <pic:cNvPr id="469" name="AutoShape_2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70" name="AutoShape_3_SpCnt_11"/>
                  <wp:cNvGraphicFramePr/>
                  <a:graphic xmlns:a="http://schemas.openxmlformats.org/drawingml/2006/main">
                    <a:graphicData uri="http://schemas.openxmlformats.org/drawingml/2006/picture">
                      <pic:pic xmlns:pic="http://schemas.openxmlformats.org/drawingml/2006/picture">
                        <pic:nvPicPr>
                          <pic:cNvPr id="470" name="AutoShape_3_SpCnt_11"/>
                          <pic:cNvPicPr/>
                        </pic:nvPicPr>
                        <pic:blipFill>
                          <a:blip r:embed="rId9"/>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1" name="AutoShape_2_SpCnt_23"/>
                  <wp:cNvGraphicFramePr/>
                  <a:graphic xmlns:a="http://schemas.openxmlformats.org/drawingml/2006/main">
                    <a:graphicData uri="http://schemas.openxmlformats.org/drawingml/2006/picture">
                      <pic:pic xmlns:pic="http://schemas.openxmlformats.org/drawingml/2006/picture">
                        <pic:nvPicPr>
                          <pic:cNvPr id="471" name="AutoShape_2_SpCnt_23"/>
                          <pic:cNvPicPr/>
                        </pic:nvPicPr>
                        <pic:blipFill>
                          <a:blip r:embed="rId10"/>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2" name="AutoShape_4_SpCnt_24"/>
                  <wp:cNvGraphicFramePr/>
                  <a:graphic xmlns:a="http://schemas.openxmlformats.org/drawingml/2006/main">
                    <a:graphicData uri="http://schemas.openxmlformats.org/drawingml/2006/picture">
                      <pic:pic xmlns:pic="http://schemas.openxmlformats.org/drawingml/2006/picture">
                        <pic:nvPicPr>
                          <pic:cNvPr id="472" name="AutoShape_4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3" name="AutoShape_1_SpCnt_10"/>
                  <wp:cNvGraphicFramePr/>
                  <a:graphic xmlns:a="http://schemas.openxmlformats.org/drawingml/2006/main">
                    <a:graphicData uri="http://schemas.openxmlformats.org/drawingml/2006/picture">
                      <pic:pic xmlns:pic="http://schemas.openxmlformats.org/drawingml/2006/picture">
                        <pic:nvPicPr>
                          <pic:cNvPr id="473" name="AutoShape_1_SpCnt_1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4" name="AutoShape_4_SpCnt_25"/>
                  <wp:cNvGraphicFramePr/>
                  <a:graphic xmlns:a="http://schemas.openxmlformats.org/drawingml/2006/main">
                    <a:graphicData uri="http://schemas.openxmlformats.org/drawingml/2006/picture">
                      <pic:pic xmlns:pic="http://schemas.openxmlformats.org/drawingml/2006/picture">
                        <pic:nvPicPr>
                          <pic:cNvPr id="474" name="AutoShape_4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5" name="AutoShape_4_SpCnt_26"/>
                  <wp:cNvGraphicFramePr/>
                  <a:graphic xmlns:a="http://schemas.openxmlformats.org/drawingml/2006/main">
                    <a:graphicData uri="http://schemas.openxmlformats.org/drawingml/2006/picture">
                      <pic:pic xmlns:pic="http://schemas.openxmlformats.org/drawingml/2006/picture">
                        <pic:nvPicPr>
                          <pic:cNvPr id="475" name="AutoShape_4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6" name="AutoShape_2_SpCnt_24"/>
                  <wp:cNvGraphicFramePr/>
                  <a:graphic xmlns:a="http://schemas.openxmlformats.org/drawingml/2006/main">
                    <a:graphicData uri="http://schemas.openxmlformats.org/drawingml/2006/picture">
                      <pic:pic xmlns:pic="http://schemas.openxmlformats.org/drawingml/2006/picture">
                        <pic:nvPicPr>
                          <pic:cNvPr id="476" name="AutoShape_2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77" name="AutoShape_3_SpCnt_12"/>
                  <wp:cNvGraphicFramePr/>
                  <a:graphic xmlns:a="http://schemas.openxmlformats.org/drawingml/2006/main">
                    <a:graphicData uri="http://schemas.openxmlformats.org/drawingml/2006/picture">
                      <pic:pic xmlns:pic="http://schemas.openxmlformats.org/drawingml/2006/picture">
                        <pic:nvPicPr>
                          <pic:cNvPr id="477" name="AutoShape_3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8" name="AutoShape_2_SpCnt_25"/>
                  <wp:cNvGraphicFramePr/>
                  <a:graphic xmlns:a="http://schemas.openxmlformats.org/drawingml/2006/main">
                    <a:graphicData uri="http://schemas.openxmlformats.org/drawingml/2006/picture">
                      <pic:pic xmlns:pic="http://schemas.openxmlformats.org/drawingml/2006/picture">
                        <pic:nvPicPr>
                          <pic:cNvPr id="478" name="AutoShape_2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79" name="AutoShape_4_SpCnt_27"/>
                  <wp:cNvGraphicFramePr/>
                  <a:graphic xmlns:a="http://schemas.openxmlformats.org/drawingml/2006/main">
                    <a:graphicData uri="http://schemas.openxmlformats.org/drawingml/2006/picture">
                      <pic:pic xmlns:pic="http://schemas.openxmlformats.org/drawingml/2006/picture">
                        <pic:nvPicPr>
                          <pic:cNvPr id="479" name="AutoShape_4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80" name="AutoShape_3_SpCnt_13"/>
                  <wp:cNvGraphicFramePr/>
                  <a:graphic xmlns:a="http://schemas.openxmlformats.org/drawingml/2006/main">
                    <a:graphicData uri="http://schemas.openxmlformats.org/drawingml/2006/picture">
                      <pic:pic xmlns:pic="http://schemas.openxmlformats.org/drawingml/2006/picture">
                        <pic:nvPicPr>
                          <pic:cNvPr id="480" name="AutoShape_3_SpCnt_1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1" name="AutoShape_2_SpCnt_26"/>
                  <wp:cNvGraphicFramePr/>
                  <a:graphic xmlns:a="http://schemas.openxmlformats.org/drawingml/2006/main">
                    <a:graphicData uri="http://schemas.openxmlformats.org/drawingml/2006/picture">
                      <pic:pic xmlns:pic="http://schemas.openxmlformats.org/drawingml/2006/picture">
                        <pic:nvPicPr>
                          <pic:cNvPr id="481" name="AutoShape_2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2" name="AutoShape_2_SpCnt_27"/>
                  <wp:cNvGraphicFramePr/>
                  <a:graphic xmlns:a="http://schemas.openxmlformats.org/drawingml/2006/main">
                    <a:graphicData uri="http://schemas.openxmlformats.org/drawingml/2006/picture">
                      <pic:pic xmlns:pic="http://schemas.openxmlformats.org/drawingml/2006/picture">
                        <pic:nvPicPr>
                          <pic:cNvPr id="482" name="AutoShape_2_SpCnt_27"/>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3" name="AutoShape_4_SpCnt_28"/>
                  <wp:cNvGraphicFramePr/>
                  <a:graphic xmlns:a="http://schemas.openxmlformats.org/drawingml/2006/main">
                    <a:graphicData uri="http://schemas.openxmlformats.org/drawingml/2006/picture">
                      <pic:pic xmlns:pic="http://schemas.openxmlformats.org/drawingml/2006/picture">
                        <pic:nvPicPr>
                          <pic:cNvPr id="483" name="AutoShape_4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84" name="AutoShape_1_SpCnt_11"/>
                  <wp:cNvGraphicFramePr/>
                  <a:graphic xmlns:a="http://schemas.openxmlformats.org/drawingml/2006/main">
                    <a:graphicData uri="http://schemas.openxmlformats.org/drawingml/2006/picture">
                      <pic:pic xmlns:pic="http://schemas.openxmlformats.org/drawingml/2006/picture">
                        <pic:nvPicPr>
                          <pic:cNvPr id="484" name="AutoShape_1_SpCnt_1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5" name="AutoShape_4_SpCnt_29"/>
                  <wp:cNvGraphicFramePr/>
                  <a:graphic xmlns:a="http://schemas.openxmlformats.org/drawingml/2006/main">
                    <a:graphicData uri="http://schemas.openxmlformats.org/drawingml/2006/picture">
                      <pic:pic xmlns:pic="http://schemas.openxmlformats.org/drawingml/2006/picture">
                        <pic:nvPicPr>
                          <pic:cNvPr id="485" name="AutoShape_4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6" name="AutoShape_3_SpCnt_14"/>
                  <wp:cNvGraphicFramePr/>
                  <a:graphic xmlns:a="http://schemas.openxmlformats.org/drawingml/2006/main">
                    <a:graphicData uri="http://schemas.openxmlformats.org/drawingml/2006/picture">
                      <pic:pic xmlns:pic="http://schemas.openxmlformats.org/drawingml/2006/picture">
                        <pic:nvPicPr>
                          <pic:cNvPr id="486" name="AutoShape_3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7" name="AutoShape_2_SpCnt_28"/>
                  <wp:cNvGraphicFramePr/>
                  <a:graphic xmlns:a="http://schemas.openxmlformats.org/drawingml/2006/main">
                    <a:graphicData uri="http://schemas.openxmlformats.org/drawingml/2006/picture">
                      <pic:pic xmlns:pic="http://schemas.openxmlformats.org/drawingml/2006/picture">
                        <pic:nvPicPr>
                          <pic:cNvPr id="487" name="AutoShape_2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88" name="AutoShape_1_SpCnt_12"/>
                  <wp:cNvGraphicFramePr/>
                  <a:graphic xmlns:a="http://schemas.openxmlformats.org/drawingml/2006/main">
                    <a:graphicData uri="http://schemas.openxmlformats.org/drawingml/2006/picture">
                      <pic:pic xmlns:pic="http://schemas.openxmlformats.org/drawingml/2006/picture">
                        <pic:nvPicPr>
                          <pic:cNvPr id="488" name="AutoShape_1_SpCnt_1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89" name="AutoShape_2_SpCnt_29"/>
                  <wp:cNvGraphicFramePr/>
                  <a:graphic xmlns:a="http://schemas.openxmlformats.org/drawingml/2006/main">
                    <a:graphicData uri="http://schemas.openxmlformats.org/drawingml/2006/picture">
                      <pic:pic xmlns:pic="http://schemas.openxmlformats.org/drawingml/2006/picture">
                        <pic:nvPicPr>
                          <pic:cNvPr id="489" name="AutoShape_2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90" name="AutoShape_4_SpCnt_30"/>
                  <wp:cNvGraphicFramePr/>
                  <a:graphic xmlns:a="http://schemas.openxmlformats.org/drawingml/2006/main">
                    <a:graphicData uri="http://schemas.openxmlformats.org/drawingml/2006/picture">
                      <pic:pic xmlns:pic="http://schemas.openxmlformats.org/drawingml/2006/picture">
                        <pic:nvPicPr>
                          <pic:cNvPr id="490" name="AutoShape_4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91" name="AutoShape_3_SpCnt_15"/>
                  <wp:cNvGraphicFramePr/>
                  <a:graphic xmlns:a="http://schemas.openxmlformats.org/drawingml/2006/main">
                    <a:graphicData uri="http://schemas.openxmlformats.org/drawingml/2006/picture">
                      <pic:pic xmlns:pic="http://schemas.openxmlformats.org/drawingml/2006/picture">
                        <pic:nvPicPr>
                          <pic:cNvPr id="491" name="AutoShape_3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92" name="AutoShape_1_SpCnt_13"/>
                  <wp:cNvGraphicFramePr/>
                  <a:graphic xmlns:a="http://schemas.openxmlformats.org/drawingml/2006/main">
                    <a:graphicData uri="http://schemas.openxmlformats.org/drawingml/2006/picture">
                      <pic:pic xmlns:pic="http://schemas.openxmlformats.org/drawingml/2006/picture">
                        <pic:nvPicPr>
                          <pic:cNvPr id="492" name="AutoShape_1_SpCnt_13"/>
                          <pic:cNvPicPr/>
                        </pic:nvPicPr>
                        <pic:blipFill>
                          <a:blip r:embed="rId12"/>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93" name="AutoShape_2_SpCnt_30"/>
                  <wp:cNvGraphicFramePr/>
                  <a:graphic xmlns:a="http://schemas.openxmlformats.org/drawingml/2006/main">
                    <a:graphicData uri="http://schemas.openxmlformats.org/drawingml/2006/picture">
                      <pic:pic xmlns:pic="http://schemas.openxmlformats.org/drawingml/2006/picture">
                        <pic:nvPicPr>
                          <pic:cNvPr id="493" name="AutoShape_2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94" name="AutoShape_4_SpCnt_31"/>
                  <wp:cNvGraphicFramePr/>
                  <a:graphic xmlns:a="http://schemas.openxmlformats.org/drawingml/2006/main">
                    <a:graphicData uri="http://schemas.openxmlformats.org/drawingml/2006/picture">
                      <pic:pic xmlns:pic="http://schemas.openxmlformats.org/drawingml/2006/picture">
                        <pic:nvPicPr>
                          <pic:cNvPr id="494" name="AutoShape_4_SpCnt_31"/>
                          <pic:cNvPicPr/>
                        </pic:nvPicPr>
                        <pic:blipFill>
                          <a:blip r:embed="rId13"/>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95" name="AutoShape_1_SpCnt_14"/>
                  <wp:cNvGraphicFramePr/>
                  <a:graphic xmlns:a="http://schemas.openxmlformats.org/drawingml/2006/main">
                    <a:graphicData uri="http://schemas.openxmlformats.org/drawingml/2006/picture">
                      <pic:pic xmlns:pic="http://schemas.openxmlformats.org/drawingml/2006/picture">
                        <pic:nvPicPr>
                          <pic:cNvPr id="495" name="AutoShape_1_SpCnt_1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83820</wp:posOffset>
                  </wp:positionH>
                  <wp:positionV relativeFrom="paragraph">
                    <wp:posOffset>162560</wp:posOffset>
                  </wp:positionV>
                  <wp:extent cx="635" cy="0"/>
                  <wp:effectExtent l="0" t="0" r="0" b="0"/>
                  <wp:wrapNone/>
                  <wp:docPr id="496" name="AutoShape_2_SpCnt_31"/>
                  <wp:cNvGraphicFramePr/>
                  <a:graphic xmlns:a="http://schemas.openxmlformats.org/drawingml/2006/main">
                    <a:graphicData uri="http://schemas.openxmlformats.org/drawingml/2006/picture">
                      <pic:pic xmlns:pic="http://schemas.openxmlformats.org/drawingml/2006/picture">
                        <pic:nvPicPr>
                          <pic:cNvPr id="496" name="AutoShape_2_SpCnt_31"/>
                          <pic:cNvPicPr/>
                        </pic:nvPicPr>
                        <pic:blipFill>
                          <a:blip r:embed="rId14"/>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85090</wp:posOffset>
                  </wp:positionH>
                  <wp:positionV relativeFrom="paragraph">
                    <wp:posOffset>162560</wp:posOffset>
                  </wp:positionV>
                  <wp:extent cx="635" cy="0"/>
                  <wp:effectExtent l="0" t="0" r="0" b="0"/>
                  <wp:wrapNone/>
                  <wp:docPr id="497" name="AutoShape_1_SpCnt_15"/>
                  <wp:cNvGraphicFramePr/>
                  <a:graphic xmlns:a="http://schemas.openxmlformats.org/drawingml/2006/main">
                    <a:graphicData uri="http://schemas.openxmlformats.org/drawingml/2006/picture">
                      <pic:pic xmlns:pic="http://schemas.openxmlformats.org/drawingml/2006/picture">
                        <pic:nvPicPr>
                          <pic:cNvPr id="497" name="AutoShape_1_SpCnt_1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98" name="Line_23_SpCnt_16"/>
                  <wp:cNvGraphicFramePr/>
                  <a:graphic xmlns:a="http://schemas.openxmlformats.org/drawingml/2006/main">
                    <a:graphicData uri="http://schemas.openxmlformats.org/drawingml/2006/picture">
                      <pic:pic xmlns:pic="http://schemas.openxmlformats.org/drawingml/2006/picture">
                        <pic:nvPicPr>
                          <pic:cNvPr id="498" name="Line_23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499" name="Line_23_SpCnt_17"/>
                  <wp:cNvGraphicFramePr/>
                  <a:graphic xmlns:a="http://schemas.openxmlformats.org/drawingml/2006/main">
                    <a:graphicData uri="http://schemas.openxmlformats.org/drawingml/2006/picture">
                      <pic:pic xmlns:pic="http://schemas.openxmlformats.org/drawingml/2006/picture">
                        <pic:nvPicPr>
                          <pic:cNvPr id="499" name="Line_23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00" name="Line_23_SpCnt_18"/>
                  <wp:cNvGraphicFramePr/>
                  <a:graphic xmlns:a="http://schemas.openxmlformats.org/drawingml/2006/main">
                    <a:graphicData uri="http://schemas.openxmlformats.org/drawingml/2006/picture">
                      <pic:pic xmlns:pic="http://schemas.openxmlformats.org/drawingml/2006/picture">
                        <pic:nvPicPr>
                          <pic:cNvPr id="500" name="Line_23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01" name="Line_23_SpCnt_19"/>
                  <wp:cNvGraphicFramePr/>
                  <a:graphic xmlns:a="http://schemas.openxmlformats.org/drawingml/2006/main">
                    <a:graphicData uri="http://schemas.openxmlformats.org/drawingml/2006/picture">
                      <pic:pic xmlns:pic="http://schemas.openxmlformats.org/drawingml/2006/picture">
                        <pic:nvPicPr>
                          <pic:cNvPr id="501" name="Line_23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2" name="Line_23_SpCnt_20"/>
                  <wp:cNvGraphicFramePr/>
                  <a:graphic xmlns:a="http://schemas.openxmlformats.org/drawingml/2006/main">
                    <a:graphicData uri="http://schemas.openxmlformats.org/drawingml/2006/picture">
                      <pic:pic xmlns:pic="http://schemas.openxmlformats.org/drawingml/2006/picture">
                        <pic:nvPicPr>
                          <pic:cNvPr id="502" name="Line_23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03" name="Line_23_SpCnt_21"/>
                  <wp:cNvGraphicFramePr/>
                  <a:graphic xmlns:a="http://schemas.openxmlformats.org/drawingml/2006/main">
                    <a:graphicData uri="http://schemas.openxmlformats.org/drawingml/2006/picture">
                      <pic:pic xmlns:pic="http://schemas.openxmlformats.org/drawingml/2006/picture">
                        <pic:nvPicPr>
                          <pic:cNvPr id="503" name="Line_23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4" name="Line_23_SpCnt_22"/>
                  <wp:cNvGraphicFramePr/>
                  <a:graphic xmlns:a="http://schemas.openxmlformats.org/drawingml/2006/main">
                    <a:graphicData uri="http://schemas.openxmlformats.org/drawingml/2006/picture">
                      <pic:pic xmlns:pic="http://schemas.openxmlformats.org/drawingml/2006/picture">
                        <pic:nvPicPr>
                          <pic:cNvPr id="504" name="Line_23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5" name="Line_23_SpCnt_23"/>
                  <wp:cNvGraphicFramePr/>
                  <a:graphic xmlns:a="http://schemas.openxmlformats.org/drawingml/2006/main">
                    <a:graphicData uri="http://schemas.openxmlformats.org/drawingml/2006/picture">
                      <pic:pic xmlns:pic="http://schemas.openxmlformats.org/drawingml/2006/picture">
                        <pic:nvPicPr>
                          <pic:cNvPr id="505" name="Line_23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92075</wp:posOffset>
                  </wp:positionH>
                  <wp:positionV relativeFrom="paragraph">
                    <wp:posOffset>182245</wp:posOffset>
                  </wp:positionV>
                  <wp:extent cx="635" cy="0"/>
                  <wp:effectExtent l="0" t="0" r="0" b="0"/>
                  <wp:wrapNone/>
                  <wp:docPr id="506" name="Line_23_SpCnt_24"/>
                  <wp:cNvGraphicFramePr/>
                  <a:graphic xmlns:a="http://schemas.openxmlformats.org/drawingml/2006/main">
                    <a:graphicData uri="http://schemas.openxmlformats.org/drawingml/2006/picture">
                      <pic:pic xmlns:pic="http://schemas.openxmlformats.org/drawingml/2006/picture">
                        <pic:nvPicPr>
                          <pic:cNvPr id="506" name="Line_23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7" name="Line_23_SpCnt_25"/>
                  <wp:cNvGraphicFramePr/>
                  <a:graphic xmlns:a="http://schemas.openxmlformats.org/drawingml/2006/main">
                    <a:graphicData uri="http://schemas.openxmlformats.org/drawingml/2006/picture">
                      <pic:pic xmlns:pic="http://schemas.openxmlformats.org/drawingml/2006/picture">
                        <pic:nvPicPr>
                          <pic:cNvPr id="507" name="Line_23_SpCnt_25"/>
                          <pic:cNvPicPr/>
                        </pic:nvPicPr>
                        <pic:blipFill>
                          <a:blip r:embed="rId15"/>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8" name="Line_23_SpCnt_26"/>
                  <wp:cNvGraphicFramePr/>
                  <a:graphic xmlns:a="http://schemas.openxmlformats.org/drawingml/2006/main">
                    <a:graphicData uri="http://schemas.openxmlformats.org/drawingml/2006/picture">
                      <pic:pic xmlns:pic="http://schemas.openxmlformats.org/drawingml/2006/picture">
                        <pic:nvPicPr>
                          <pic:cNvPr id="508" name="Line_23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09" name="Line_23_SpCnt_27"/>
                  <wp:cNvGraphicFramePr/>
                  <a:graphic xmlns:a="http://schemas.openxmlformats.org/drawingml/2006/main">
                    <a:graphicData uri="http://schemas.openxmlformats.org/drawingml/2006/picture">
                      <pic:pic xmlns:pic="http://schemas.openxmlformats.org/drawingml/2006/picture">
                        <pic:nvPicPr>
                          <pic:cNvPr id="509" name="Line_23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10" name="Line_23_SpCnt_28"/>
                  <wp:cNvGraphicFramePr/>
                  <a:graphic xmlns:a="http://schemas.openxmlformats.org/drawingml/2006/main">
                    <a:graphicData uri="http://schemas.openxmlformats.org/drawingml/2006/picture">
                      <pic:pic xmlns:pic="http://schemas.openxmlformats.org/drawingml/2006/picture">
                        <pic:nvPicPr>
                          <pic:cNvPr id="510" name="Line_23_SpCnt_28"/>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11" name="Line_23_SpCnt_29"/>
                  <wp:cNvGraphicFramePr/>
                  <a:graphic xmlns:a="http://schemas.openxmlformats.org/drawingml/2006/main">
                    <a:graphicData uri="http://schemas.openxmlformats.org/drawingml/2006/picture">
                      <pic:pic xmlns:pic="http://schemas.openxmlformats.org/drawingml/2006/picture">
                        <pic:nvPicPr>
                          <pic:cNvPr id="511" name="Line_23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12" name="Line_23_SpCnt_30"/>
                  <wp:cNvGraphicFramePr/>
                  <a:graphic xmlns:a="http://schemas.openxmlformats.org/drawingml/2006/main">
                    <a:graphicData uri="http://schemas.openxmlformats.org/drawingml/2006/picture">
                      <pic:pic xmlns:pic="http://schemas.openxmlformats.org/drawingml/2006/picture">
                        <pic:nvPicPr>
                          <pic:cNvPr id="512" name="Line_23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90805</wp:posOffset>
                  </wp:positionH>
                  <wp:positionV relativeFrom="paragraph">
                    <wp:posOffset>182245</wp:posOffset>
                  </wp:positionV>
                  <wp:extent cx="635" cy="0"/>
                  <wp:effectExtent l="0" t="0" r="0" b="0"/>
                  <wp:wrapNone/>
                  <wp:docPr id="513" name="Line_23_SpCnt_31"/>
                  <wp:cNvGraphicFramePr/>
                  <a:graphic xmlns:a="http://schemas.openxmlformats.org/drawingml/2006/main">
                    <a:graphicData uri="http://schemas.openxmlformats.org/drawingml/2006/picture">
                      <pic:pic xmlns:pic="http://schemas.openxmlformats.org/drawingml/2006/picture">
                        <pic:nvPicPr>
                          <pic:cNvPr id="513" name="Line_23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52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5</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90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6</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弯头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104</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八字盲板</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8</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异径管</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9</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异径管</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异径三通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11</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异径三通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等径三通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等径三通</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14</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活接头</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6</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15</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盲法兰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16</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盲法兰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18</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89</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19</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0" name="AutoShape_4_SpCnt_32"/>
                  <wp:cNvGraphicFramePr/>
                  <a:graphic xmlns:a="http://schemas.openxmlformats.org/drawingml/2006/main">
                    <a:graphicData uri="http://schemas.openxmlformats.org/drawingml/2006/picture">
                      <pic:pic xmlns:pic="http://schemas.openxmlformats.org/drawingml/2006/picture">
                        <pic:nvPicPr>
                          <pic:cNvPr id="770" name="AutoShape_4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1" name="AutoShape_2_SpCnt_32"/>
                  <wp:cNvGraphicFramePr/>
                  <a:graphic xmlns:a="http://schemas.openxmlformats.org/drawingml/2006/main">
                    <a:graphicData uri="http://schemas.openxmlformats.org/drawingml/2006/picture">
                      <pic:pic xmlns:pic="http://schemas.openxmlformats.org/drawingml/2006/picture">
                        <pic:nvPicPr>
                          <pic:cNvPr id="771" name="AutoShape_2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2" name="AutoShape_2_SpCnt_33"/>
                  <wp:cNvGraphicFramePr/>
                  <a:graphic xmlns:a="http://schemas.openxmlformats.org/drawingml/2006/main">
                    <a:graphicData uri="http://schemas.openxmlformats.org/drawingml/2006/picture">
                      <pic:pic xmlns:pic="http://schemas.openxmlformats.org/drawingml/2006/picture">
                        <pic:nvPicPr>
                          <pic:cNvPr id="772" name="AutoShape_2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3" name="AutoShape_4_SpCnt_33"/>
                  <wp:cNvGraphicFramePr/>
                  <a:graphic xmlns:a="http://schemas.openxmlformats.org/drawingml/2006/main">
                    <a:graphicData uri="http://schemas.openxmlformats.org/drawingml/2006/picture">
                      <pic:pic xmlns:pic="http://schemas.openxmlformats.org/drawingml/2006/picture">
                        <pic:nvPicPr>
                          <pic:cNvPr id="773" name="AutoShape_4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4" name="AutoShape_3_SpCnt_16"/>
                  <wp:cNvGraphicFramePr/>
                  <a:graphic xmlns:a="http://schemas.openxmlformats.org/drawingml/2006/main">
                    <a:graphicData uri="http://schemas.openxmlformats.org/drawingml/2006/picture">
                      <pic:pic xmlns:pic="http://schemas.openxmlformats.org/drawingml/2006/picture">
                        <pic:nvPicPr>
                          <pic:cNvPr id="774" name="AutoShape_3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75" name="AutoShape_1_SpCnt_16"/>
                  <wp:cNvGraphicFramePr/>
                  <a:graphic xmlns:a="http://schemas.openxmlformats.org/drawingml/2006/main">
                    <a:graphicData uri="http://schemas.openxmlformats.org/drawingml/2006/picture">
                      <pic:pic xmlns:pic="http://schemas.openxmlformats.org/drawingml/2006/picture">
                        <pic:nvPicPr>
                          <pic:cNvPr id="775" name="AutoShape_1_SpCnt_1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6" name="AutoShape_4_SpCnt_34"/>
                  <wp:cNvGraphicFramePr/>
                  <a:graphic xmlns:a="http://schemas.openxmlformats.org/drawingml/2006/main">
                    <a:graphicData uri="http://schemas.openxmlformats.org/drawingml/2006/picture">
                      <pic:pic xmlns:pic="http://schemas.openxmlformats.org/drawingml/2006/picture">
                        <pic:nvPicPr>
                          <pic:cNvPr id="776" name="AutoShape_4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7" name="AutoShape_4_SpCnt_35"/>
                  <wp:cNvGraphicFramePr/>
                  <a:graphic xmlns:a="http://schemas.openxmlformats.org/drawingml/2006/main">
                    <a:graphicData uri="http://schemas.openxmlformats.org/drawingml/2006/picture">
                      <pic:pic xmlns:pic="http://schemas.openxmlformats.org/drawingml/2006/picture">
                        <pic:nvPicPr>
                          <pic:cNvPr id="777" name="AutoShape_4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78" name="AutoShape_3_SpCnt_17"/>
                  <wp:cNvGraphicFramePr/>
                  <a:graphic xmlns:a="http://schemas.openxmlformats.org/drawingml/2006/main">
                    <a:graphicData uri="http://schemas.openxmlformats.org/drawingml/2006/picture">
                      <pic:pic xmlns:pic="http://schemas.openxmlformats.org/drawingml/2006/picture">
                        <pic:nvPicPr>
                          <pic:cNvPr id="778" name="AutoShape_3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79" name="AutoShape_1_SpCnt_17"/>
                  <wp:cNvGraphicFramePr/>
                  <a:graphic xmlns:a="http://schemas.openxmlformats.org/drawingml/2006/main">
                    <a:graphicData uri="http://schemas.openxmlformats.org/drawingml/2006/picture">
                      <pic:pic xmlns:pic="http://schemas.openxmlformats.org/drawingml/2006/picture">
                        <pic:nvPicPr>
                          <pic:cNvPr id="779" name="AutoShape_1_SpCnt_1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0" name="AutoShape_4_SpCnt_36"/>
                  <wp:cNvGraphicFramePr/>
                  <a:graphic xmlns:a="http://schemas.openxmlformats.org/drawingml/2006/main">
                    <a:graphicData uri="http://schemas.openxmlformats.org/drawingml/2006/picture">
                      <pic:pic xmlns:pic="http://schemas.openxmlformats.org/drawingml/2006/picture">
                        <pic:nvPicPr>
                          <pic:cNvPr id="780" name="AutoShape_4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1" name="AutoShape_2_SpCnt_34"/>
                  <wp:cNvGraphicFramePr/>
                  <a:graphic xmlns:a="http://schemas.openxmlformats.org/drawingml/2006/main">
                    <a:graphicData uri="http://schemas.openxmlformats.org/drawingml/2006/picture">
                      <pic:pic xmlns:pic="http://schemas.openxmlformats.org/drawingml/2006/picture">
                        <pic:nvPicPr>
                          <pic:cNvPr id="781" name="AutoShape_2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2" name="AutoShape_4_SpCnt_37"/>
                  <wp:cNvGraphicFramePr/>
                  <a:graphic xmlns:a="http://schemas.openxmlformats.org/drawingml/2006/main">
                    <a:graphicData uri="http://schemas.openxmlformats.org/drawingml/2006/picture">
                      <pic:pic xmlns:pic="http://schemas.openxmlformats.org/drawingml/2006/picture">
                        <pic:nvPicPr>
                          <pic:cNvPr id="782" name="AutoShape_4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83" name="AutoShape_3_SpCnt_18"/>
                  <wp:cNvGraphicFramePr/>
                  <a:graphic xmlns:a="http://schemas.openxmlformats.org/drawingml/2006/main">
                    <a:graphicData uri="http://schemas.openxmlformats.org/drawingml/2006/picture">
                      <pic:pic xmlns:pic="http://schemas.openxmlformats.org/drawingml/2006/picture">
                        <pic:nvPicPr>
                          <pic:cNvPr id="783" name="AutoShape_3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4" name="AutoShape_4_SpCnt_38"/>
                  <wp:cNvGraphicFramePr/>
                  <a:graphic xmlns:a="http://schemas.openxmlformats.org/drawingml/2006/main">
                    <a:graphicData uri="http://schemas.openxmlformats.org/drawingml/2006/picture">
                      <pic:pic xmlns:pic="http://schemas.openxmlformats.org/drawingml/2006/picture">
                        <pic:nvPicPr>
                          <pic:cNvPr id="784" name="AutoShape_4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5" name="AutoShape_1_SpCnt_18"/>
                  <wp:cNvGraphicFramePr/>
                  <a:graphic xmlns:a="http://schemas.openxmlformats.org/drawingml/2006/main">
                    <a:graphicData uri="http://schemas.openxmlformats.org/drawingml/2006/picture">
                      <pic:pic xmlns:pic="http://schemas.openxmlformats.org/drawingml/2006/picture">
                        <pic:nvPicPr>
                          <pic:cNvPr id="785" name="AutoShape_1_SpCnt_1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6" name="AutoShape_4_SpCnt_39"/>
                  <wp:cNvGraphicFramePr/>
                  <a:graphic xmlns:a="http://schemas.openxmlformats.org/drawingml/2006/main">
                    <a:graphicData uri="http://schemas.openxmlformats.org/drawingml/2006/picture">
                      <pic:pic xmlns:pic="http://schemas.openxmlformats.org/drawingml/2006/picture">
                        <pic:nvPicPr>
                          <pic:cNvPr id="786" name="AutoShape_4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7" name="AutoShape_2_SpCnt_35"/>
                  <wp:cNvGraphicFramePr/>
                  <a:graphic xmlns:a="http://schemas.openxmlformats.org/drawingml/2006/main">
                    <a:graphicData uri="http://schemas.openxmlformats.org/drawingml/2006/picture">
                      <pic:pic xmlns:pic="http://schemas.openxmlformats.org/drawingml/2006/picture">
                        <pic:nvPicPr>
                          <pic:cNvPr id="787" name="AutoShape_2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8" name="AutoShape_4_SpCnt_40"/>
                  <wp:cNvGraphicFramePr/>
                  <a:graphic xmlns:a="http://schemas.openxmlformats.org/drawingml/2006/main">
                    <a:graphicData uri="http://schemas.openxmlformats.org/drawingml/2006/picture">
                      <pic:pic xmlns:pic="http://schemas.openxmlformats.org/drawingml/2006/picture">
                        <pic:nvPicPr>
                          <pic:cNvPr id="788" name="AutoShape_4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89" name="AutoShape_3_SpCnt_19"/>
                  <wp:cNvGraphicFramePr/>
                  <a:graphic xmlns:a="http://schemas.openxmlformats.org/drawingml/2006/main">
                    <a:graphicData uri="http://schemas.openxmlformats.org/drawingml/2006/picture">
                      <pic:pic xmlns:pic="http://schemas.openxmlformats.org/drawingml/2006/picture">
                        <pic:nvPicPr>
                          <pic:cNvPr id="789" name="AutoShape_3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0" name="AutoShape_1_SpCnt_19"/>
                  <wp:cNvGraphicFramePr/>
                  <a:graphic xmlns:a="http://schemas.openxmlformats.org/drawingml/2006/main">
                    <a:graphicData uri="http://schemas.openxmlformats.org/drawingml/2006/picture">
                      <pic:pic xmlns:pic="http://schemas.openxmlformats.org/drawingml/2006/picture">
                        <pic:nvPicPr>
                          <pic:cNvPr id="790" name="AutoShape_1_SpCnt_1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1" name="AutoShape_2_SpCnt_36"/>
                  <wp:cNvGraphicFramePr/>
                  <a:graphic xmlns:a="http://schemas.openxmlformats.org/drawingml/2006/main">
                    <a:graphicData uri="http://schemas.openxmlformats.org/drawingml/2006/picture">
                      <pic:pic xmlns:pic="http://schemas.openxmlformats.org/drawingml/2006/picture">
                        <pic:nvPicPr>
                          <pic:cNvPr id="791" name="AutoShape_2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2" name="AutoShape_4_SpCnt_41"/>
                  <wp:cNvGraphicFramePr/>
                  <a:graphic xmlns:a="http://schemas.openxmlformats.org/drawingml/2006/main">
                    <a:graphicData uri="http://schemas.openxmlformats.org/drawingml/2006/picture">
                      <pic:pic xmlns:pic="http://schemas.openxmlformats.org/drawingml/2006/picture">
                        <pic:nvPicPr>
                          <pic:cNvPr id="792" name="AutoShape_4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3" name="AutoShape_4_SpCnt_42"/>
                  <wp:cNvGraphicFramePr/>
                  <a:graphic xmlns:a="http://schemas.openxmlformats.org/drawingml/2006/main">
                    <a:graphicData uri="http://schemas.openxmlformats.org/drawingml/2006/picture">
                      <pic:pic xmlns:pic="http://schemas.openxmlformats.org/drawingml/2006/picture">
                        <pic:nvPicPr>
                          <pic:cNvPr id="793" name="AutoShape_4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4" name="AutoShape_3_SpCnt_20"/>
                  <wp:cNvGraphicFramePr/>
                  <a:graphic xmlns:a="http://schemas.openxmlformats.org/drawingml/2006/main">
                    <a:graphicData uri="http://schemas.openxmlformats.org/drawingml/2006/picture">
                      <pic:pic xmlns:pic="http://schemas.openxmlformats.org/drawingml/2006/picture">
                        <pic:nvPicPr>
                          <pic:cNvPr id="794" name="AutoShape_3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5" name="AutoShape_4_SpCnt_43"/>
                  <wp:cNvGraphicFramePr/>
                  <a:graphic xmlns:a="http://schemas.openxmlformats.org/drawingml/2006/main">
                    <a:graphicData uri="http://schemas.openxmlformats.org/drawingml/2006/picture">
                      <pic:pic xmlns:pic="http://schemas.openxmlformats.org/drawingml/2006/picture">
                        <pic:nvPicPr>
                          <pic:cNvPr id="795" name="AutoShape_4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6" name="AutoShape_2_SpCnt_37"/>
                  <wp:cNvGraphicFramePr/>
                  <a:graphic xmlns:a="http://schemas.openxmlformats.org/drawingml/2006/main">
                    <a:graphicData uri="http://schemas.openxmlformats.org/drawingml/2006/picture">
                      <pic:pic xmlns:pic="http://schemas.openxmlformats.org/drawingml/2006/picture">
                        <pic:nvPicPr>
                          <pic:cNvPr id="796" name="AutoShape_2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797" name="AutoShape_4_SpCnt_44"/>
                  <wp:cNvGraphicFramePr/>
                  <a:graphic xmlns:a="http://schemas.openxmlformats.org/drawingml/2006/main">
                    <a:graphicData uri="http://schemas.openxmlformats.org/drawingml/2006/picture">
                      <pic:pic xmlns:pic="http://schemas.openxmlformats.org/drawingml/2006/picture">
                        <pic:nvPicPr>
                          <pic:cNvPr id="797" name="AutoShape_4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98" name="AutoShape_3_SpCnt_21"/>
                  <wp:cNvGraphicFramePr/>
                  <a:graphic xmlns:a="http://schemas.openxmlformats.org/drawingml/2006/main">
                    <a:graphicData uri="http://schemas.openxmlformats.org/drawingml/2006/picture">
                      <pic:pic xmlns:pic="http://schemas.openxmlformats.org/drawingml/2006/picture">
                        <pic:nvPicPr>
                          <pic:cNvPr id="798" name="AutoShape_3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799" name="AutoShape_1_SpCnt_20"/>
                  <wp:cNvGraphicFramePr/>
                  <a:graphic xmlns:a="http://schemas.openxmlformats.org/drawingml/2006/main">
                    <a:graphicData uri="http://schemas.openxmlformats.org/drawingml/2006/picture">
                      <pic:pic xmlns:pic="http://schemas.openxmlformats.org/drawingml/2006/picture">
                        <pic:nvPicPr>
                          <pic:cNvPr id="799" name="AutoShape_1_SpCnt_2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0" name="AutoShape_4_SpCnt_45"/>
                  <wp:cNvGraphicFramePr/>
                  <a:graphic xmlns:a="http://schemas.openxmlformats.org/drawingml/2006/main">
                    <a:graphicData uri="http://schemas.openxmlformats.org/drawingml/2006/picture">
                      <pic:pic xmlns:pic="http://schemas.openxmlformats.org/drawingml/2006/picture">
                        <pic:nvPicPr>
                          <pic:cNvPr id="800" name="AutoShape_4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01" name="AutoShape_3_SpCnt_22"/>
                  <wp:cNvGraphicFramePr/>
                  <a:graphic xmlns:a="http://schemas.openxmlformats.org/drawingml/2006/main">
                    <a:graphicData uri="http://schemas.openxmlformats.org/drawingml/2006/picture">
                      <pic:pic xmlns:pic="http://schemas.openxmlformats.org/drawingml/2006/picture">
                        <pic:nvPicPr>
                          <pic:cNvPr id="801" name="AutoShape_3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2" name="AutoShape_2_SpCnt_38"/>
                  <wp:cNvGraphicFramePr/>
                  <a:graphic xmlns:a="http://schemas.openxmlformats.org/drawingml/2006/main">
                    <a:graphicData uri="http://schemas.openxmlformats.org/drawingml/2006/picture">
                      <pic:pic xmlns:pic="http://schemas.openxmlformats.org/drawingml/2006/picture">
                        <pic:nvPicPr>
                          <pic:cNvPr id="802" name="AutoShape_2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3" name="AutoShape_2_SpCnt_39"/>
                  <wp:cNvGraphicFramePr/>
                  <a:graphic xmlns:a="http://schemas.openxmlformats.org/drawingml/2006/main">
                    <a:graphicData uri="http://schemas.openxmlformats.org/drawingml/2006/picture">
                      <pic:pic xmlns:pic="http://schemas.openxmlformats.org/drawingml/2006/picture">
                        <pic:nvPicPr>
                          <pic:cNvPr id="803" name="AutoShape_2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4" name="AutoShape_2_SpCnt_40"/>
                  <wp:cNvGraphicFramePr/>
                  <a:graphic xmlns:a="http://schemas.openxmlformats.org/drawingml/2006/main">
                    <a:graphicData uri="http://schemas.openxmlformats.org/drawingml/2006/picture">
                      <pic:pic xmlns:pic="http://schemas.openxmlformats.org/drawingml/2006/picture">
                        <pic:nvPicPr>
                          <pic:cNvPr id="804" name="AutoShape_2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5" name="AutoShape_4_SpCnt_46"/>
                  <wp:cNvGraphicFramePr/>
                  <a:graphic xmlns:a="http://schemas.openxmlformats.org/drawingml/2006/main">
                    <a:graphicData uri="http://schemas.openxmlformats.org/drawingml/2006/picture">
                      <pic:pic xmlns:pic="http://schemas.openxmlformats.org/drawingml/2006/picture">
                        <pic:nvPicPr>
                          <pic:cNvPr id="805" name="AutoShape_4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6" name="AutoShape_2_SpCnt_41"/>
                  <wp:cNvGraphicFramePr/>
                  <a:graphic xmlns:a="http://schemas.openxmlformats.org/drawingml/2006/main">
                    <a:graphicData uri="http://schemas.openxmlformats.org/drawingml/2006/picture">
                      <pic:pic xmlns:pic="http://schemas.openxmlformats.org/drawingml/2006/picture">
                        <pic:nvPicPr>
                          <pic:cNvPr id="806" name="AutoShape_2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7" name="AutoShape_2_SpCnt_42"/>
                  <wp:cNvGraphicFramePr/>
                  <a:graphic xmlns:a="http://schemas.openxmlformats.org/drawingml/2006/main">
                    <a:graphicData uri="http://schemas.openxmlformats.org/drawingml/2006/picture">
                      <pic:pic xmlns:pic="http://schemas.openxmlformats.org/drawingml/2006/picture">
                        <pic:nvPicPr>
                          <pic:cNvPr id="807" name="AutoShape_2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08" name="AutoShape_1_SpCnt_21"/>
                  <wp:cNvGraphicFramePr/>
                  <a:graphic xmlns:a="http://schemas.openxmlformats.org/drawingml/2006/main">
                    <a:graphicData uri="http://schemas.openxmlformats.org/drawingml/2006/picture">
                      <pic:pic xmlns:pic="http://schemas.openxmlformats.org/drawingml/2006/picture">
                        <pic:nvPicPr>
                          <pic:cNvPr id="808" name="AutoShape_1_SpCnt_2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09" name="AutoShape_2_SpCnt_43"/>
                  <wp:cNvGraphicFramePr/>
                  <a:graphic xmlns:a="http://schemas.openxmlformats.org/drawingml/2006/main">
                    <a:graphicData uri="http://schemas.openxmlformats.org/drawingml/2006/picture">
                      <pic:pic xmlns:pic="http://schemas.openxmlformats.org/drawingml/2006/picture">
                        <pic:nvPicPr>
                          <pic:cNvPr id="809" name="AutoShape_2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0" name="AutoShape_1_SpCnt_22"/>
                  <wp:cNvGraphicFramePr/>
                  <a:graphic xmlns:a="http://schemas.openxmlformats.org/drawingml/2006/main">
                    <a:graphicData uri="http://schemas.openxmlformats.org/drawingml/2006/picture">
                      <pic:pic xmlns:pic="http://schemas.openxmlformats.org/drawingml/2006/picture">
                        <pic:nvPicPr>
                          <pic:cNvPr id="810" name="AutoShape_1_SpCnt_2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1" name="AutoShape_2_SpCnt_44"/>
                  <wp:cNvGraphicFramePr/>
                  <a:graphic xmlns:a="http://schemas.openxmlformats.org/drawingml/2006/main">
                    <a:graphicData uri="http://schemas.openxmlformats.org/drawingml/2006/picture">
                      <pic:pic xmlns:pic="http://schemas.openxmlformats.org/drawingml/2006/picture">
                        <pic:nvPicPr>
                          <pic:cNvPr id="811" name="AutoShape_2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12" name="AutoShape_3_SpCnt_23"/>
                  <wp:cNvGraphicFramePr/>
                  <a:graphic xmlns:a="http://schemas.openxmlformats.org/drawingml/2006/main">
                    <a:graphicData uri="http://schemas.openxmlformats.org/drawingml/2006/picture">
                      <pic:pic xmlns:pic="http://schemas.openxmlformats.org/drawingml/2006/picture">
                        <pic:nvPicPr>
                          <pic:cNvPr id="812" name="AutoShape_3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3" name="AutoShape_2_SpCnt_45"/>
                  <wp:cNvGraphicFramePr/>
                  <a:graphic xmlns:a="http://schemas.openxmlformats.org/drawingml/2006/main">
                    <a:graphicData uri="http://schemas.openxmlformats.org/drawingml/2006/picture">
                      <pic:pic xmlns:pic="http://schemas.openxmlformats.org/drawingml/2006/picture">
                        <pic:nvPicPr>
                          <pic:cNvPr id="813" name="AutoShape_2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4" name="AutoShape_1_SpCnt_23"/>
                  <wp:cNvGraphicFramePr/>
                  <a:graphic xmlns:a="http://schemas.openxmlformats.org/drawingml/2006/main">
                    <a:graphicData uri="http://schemas.openxmlformats.org/drawingml/2006/picture">
                      <pic:pic xmlns:pic="http://schemas.openxmlformats.org/drawingml/2006/picture">
                        <pic:nvPicPr>
                          <pic:cNvPr id="814" name="AutoShape_1_SpCnt_2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5" name="AutoShape_2_SpCnt_46"/>
                  <wp:cNvGraphicFramePr/>
                  <a:graphic xmlns:a="http://schemas.openxmlformats.org/drawingml/2006/main">
                    <a:graphicData uri="http://schemas.openxmlformats.org/drawingml/2006/picture">
                      <pic:pic xmlns:pic="http://schemas.openxmlformats.org/drawingml/2006/picture">
                        <pic:nvPicPr>
                          <pic:cNvPr id="815" name="AutoShape_2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6" name="AutoShape_2_SpCnt_47"/>
                  <wp:cNvGraphicFramePr/>
                  <a:graphic xmlns:a="http://schemas.openxmlformats.org/drawingml/2006/main">
                    <a:graphicData uri="http://schemas.openxmlformats.org/drawingml/2006/picture">
                      <pic:pic xmlns:pic="http://schemas.openxmlformats.org/drawingml/2006/picture">
                        <pic:nvPicPr>
                          <pic:cNvPr id="816" name="AutoShape_2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17" name="AutoShape_4_SpCnt_47"/>
                  <wp:cNvGraphicFramePr/>
                  <a:graphic xmlns:a="http://schemas.openxmlformats.org/drawingml/2006/main">
                    <a:graphicData uri="http://schemas.openxmlformats.org/drawingml/2006/picture">
                      <pic:pic xmlns:pic="http://schemas.openxmlformats.org/drawingml/2006/picture">
                        <pic:nvPicPr>
                          <pic:cNvPr id="817" name="AutoShape_4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18" name="Line_23_SpCnt_32"/>
                  <wp:cNvGraphicFramePr/>
                  <a:graphic xmlns:a="http://schemas.openxmlformats.org/drawingml/2006/main">
                    <a:graphicData uri="http://schemas.openxmlformats.org/drawingml/2006/picture">
                      <pic:pic xmlns:pic="http://schemas.openxmlformats.org/drawingml/2006/picture">
                        <pic:nvPicPr>
                          <pic:cNvPr id="818" name="Line_23_SpCnt_3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19" name="Line_23_SpCnt_33"/>
                  <wp:cNvGraphicFramePr/>
                  <a:graphic xmlns:a="http://schemas.openxmlformats.org/drawingml/2006/main">
                    <a:graphicData uri="http://schemas.openxmlformats.org/drawingml/2006/picture">
                      <pic:pic xmlns:pic="http://schemas.openxmlformats.org/drawingml/2006/picture">
                        <pic:nvPicPr>
                          <pic:cNvPr id="819" name="Line_23_SpCnt_3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0" name="Line_23_SpCnt_34"/>
                  <wp:cNvGraphicFramePr/>
                  <a:graphic xmlns:a="http://schemas.openxmlformats.org/drawingml/2006/main">
                    <a:graphicData uri="http://schemas.openxmlformats.org/drawingml/2006/picture">
                      <pic:pic xmlns:pic="http://schemas.openxmlformats.org/drawingml/2006/picture">
                        <pic:nvPicPr>
                          <pic:cNvPr id="820" name="Line_23_SpCnt_3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1" name="Line_23_SpCnt_35"/>
                  <wp:cNvGraphicFramePr/>
                  <a:graphic xmlns:a="http://schemas.openxmlformats.org/drawingml/2006/main">
                    <a:graphicData uri="http://schemas.openxmlformats.org/drawingml/2006/picture">
                      <pic:pic xmlns:pic="http://schemas.openxmlformats.org/drawingml/2006/picture">
                        <pic:nvPicPr>
                          <pic:cNvPr id="821" name="Line_23_SpCnt_3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2" name="Line_23_SpCnt_36"/>
                  <wp:cNvGraphicFramePr/>
                  <a:graphic xmlns:a="http://schemas.openxmlformats.org/drawingml/2006/main">
                    <a:graphicData uri="http://schemas.openxmlformats.org/drawingml/2006/picture">
                      <pic:pic xmlns:pic="http://schemas.openxmlformats.org/drawingml/2006/picture">
                        <pic:nvPicPr>
                          <pic:cNvPr id="822" name="Line_23_SpCnt_3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3" name="Line_23_SpCnt_37"/>
                  <wp:cNvGraphicFramePr/>
                  <a:graphic xmlns:a="http://schemas.openxmlformats.org/drawingml/2006/main">
                    <a:graphicData uri="http://schemas.openxmlformats.org/drawingml/2006/picture">
                      <pic:pic xmlns:pic="http://schemas.openxmlformats.org/drawingml/2006/picture">
                        <pic:nvPicPr>
                          <pic:cNvPr id="823" name="Line_23_SpCnt_3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4" name="Line_23_SpCnt_38"/>
                  <wp:cNvGraphicFramePr/>
                  <a:graphic xmlns:a="http://schemas.openxmlformats.org/drawingml/2006/main">
                    <a:graphicData uri="http://schemas.openxmlformats.org/drawingml/2006/picture">
                      <pic:pic xmlns:pic="http://schemas.openxmlformats.org/drawingml/2006/picture">
                        <pic:nvPicPr>
                          <pic:cNvPr id="824" name="Line_23_SpCnt_3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5" name="Line_23_SpCnt_39"/>
                  <wp:cNvGraphicFramePr/>
                  <a:graphic xmlns:a="http://schemas.openxmlformats.org/drawingml/2006/main">
                    <a:graphicData uri="http://schemas.openxmlformats.org/drawingml/2006/picture">
                      <pic:pic xmlns:pic="http://schemas.openxmlformats.org/drawingml/2006/picture">
                        <pic:nvPicPr>
                          <pic:cNvPr id="825" name="Line_23_SpCnt_3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6" name="Line_23_SpCnt_40"/>
                  <wp:cNvGraphicFramePr/>
                  <a:graphic xmlns:a="http://schemas.openxmlformats.org/drawingml/2006/main">
                    <a:graphicData uri="http://schemas.openxmlformats.org/drawingml/2006/picture">
                      <pic:pic xmlns:pic="http://schemas.openxmlformats.org/drawingml/2006/picture">
                        <pic:nvPicPr>
                          <pic:cNvPr id="826" name="Line_23_SpCnt_4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7" name="Line_23_SpCnt_41"/>
                  <wp:cNvGraphicFramePr/>
                  <a:graphic xmlns:a="http://schemas.openxmlformats.org/drawingml/2006/main">
                    <a:graphicData uri="http://schemas.openxmlformats.org/drawingml/2006/picture">
                      <pic:pic xmlns:pic="http://schemas.openxmlformats.org/drawingml/2006/picture">
                        <pic:nvPicPr>
                          <pic:cNvPr id="827" name="Line_23_SpCnt_4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28" name="Line_23_SpCnt_42"/>
                  <wp:cNvGraphicFramePr/>
                  <a:graphic xmlns:a="http://schemas.openxmlformats.org/drawingml/2006/main">
                    <a:graphicData uri="http://schemas.openxmlformats.org/drawingml/2006/picture">
                      <pic:pic xmlns:pic="http://schemas.openxmlformats.org/drawingml/2006/picture">
                        <pic:nvPicPr>
                          <pic:cNvPr id="828" name="Line_23_SpCnt_4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29" name="Line_23_SpCnt_43"/>
                  <wp:cNvGraphicFramePr/>
                  <a:graphic xmlns:a="http://schemas.openxmlformats.org/drawingml/2006/main">
                    <a:graphicData uri="http://schemas.openxmlformats.org/drawingml/2006/picture">
                      <pic:pic xmlns:pic="http://schemas.openxmlformats.org/drawingml/2006/picture">
                        <pic:nvPicPr>
                          <pic:cNvPr id="829" name="Line_23_SpCnt_4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30" name="Line_23_SpCnt_44"/>
                  <wp:cNvGraphicFramePr/>
                  <a:graphic xmlns:a="http://schemas.openxmlformats.org/drawingml/2006/main">
                    <a:graphicData uri="http://schemas.openxmlformats.org/drawingml/2006/picture">
                      <pic:pic xmlns:pic="http://schemas.openxmlformats.org/drawingml/2006/picture">
                        <pic:nvPicPr>
                          <pic:cNvPr id="830" name="Line_23_SpCnt_4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31" name="Line_23_SpCnt_45"/>
                  <wp:cNvGraphicFramePr/>
                  <a:graphic xmlns:a="http://schemas.openxmlformats.org/drawingml/2006/main">
                    <a:graphicData uri="http://schemas.openxmlformats.org/drawingml/2006/picture">
                      <pic:pic xmlns:pic="http://schemas.openxmlformats.org/drawingml/2006/picture">
                        <pic:nvPicPr>
                          <pic:cNvPr id="831" name="Line_23_SpCnt_4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32" name="Line_23_SpCnt_46"/>
                  <wp:cNvGraphicFramePr/>
                  <a:graphic xmlns:a="http://schemas.openxmlformats.org/drawingml/2006/main">
                    <a:graphicData uri="http://schemas.openxmlformats.org/drawingml/2006/picture">
                      <pic:pic xmlns:pic="http://schemas.openxmlformats.org/drawingml/2006/picture">
                        <pic:nvPicPr>
                          <pic:cNvPr id="832" name="Line_23_SpCnt_4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33" name="Line_23_SpCnt_47"/>
                  <wp:cNvGraphicFramePr/>
                  <a:graphic xmlns:a="http://schemas.openxmlformats.org/drawingml/2006/main">
                    <a:graphicData uri="http://schemas.openxmlformats.org/drawingml/2006/picture">
                      <pic:pic xmlns:pic="http://schemas.openxmlformats.org/drawingml/2006/picture">
                        <pic:nvPicPr>
                          <pic:cNvPr id="833" name="Line_23_SpCnt_4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34" name="AutoShape_4_SpCnt_48"/>
                  <wp:cNvGraphicFramePr/>
                  <a:graphic xmlns:a="http://schemas.openxmlformats.org/drawingml/2006/main">
                    <a:graphicData uri="http://schemas.openxmlformats.org/drawingml/2006/picture">
                      <pic:pic xmlns:pic="http://schemas.openxmlformats.org/drawingml/2006/picture">
                        <pic:nvPicPr>
                          <pic:cNvPr id="834" name="AutoShape_4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35" name="AutoShape_4_SpCnt_49"/>
                  <wp:cNvGraphicFramePr/>
                  <a:graphic xmlns:a="http://schemas.openxmlformats.org/drawingml/2006/main">
                    <a:graphicData uri="http://schemas.openxmlformats.org/drawingml/2006/picture">
                      <pic:pic xmlns:pic="http://schemas.openxmlformats.org/drawingml/2006/picture">
                        <pic:nvPicPr>
                          <pic:cNvPr id="835" name="AutoShape_4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36" name="AutoShape_2_SpCnt_48"/>
                  <wp:cNvGraphicFramePr/>
                  <a:graphic xmlns:a="http://schemas.openxmlformats.org/drawingml/2006/main">
                    <a:graphicData uri="http://schemas.openxmlformats.org/drawingml/2006/picture">
                      <pic:pic xmlns:pic="http://schemas.openxmlformats.org/drawingml/2006/picture">
                        <pic:nvPicPr>
                          <pic:cNvPr id="836" name="AutoShape_2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37" name="AutoShape_1_SpCnt_24"/>
                  <wp:cNvGraphicFramePr/>
                  <a:graphic xmlns:a="http://schemas.openxmlformats.org/drawingml/2006/main">
                    <a:graphicData uri="http://schemas.openxmlformats.org/drawingml/2006/picture">
                      <pic:pic xmlns:pic="http://schemas.openxmlformats.org/drawingml/2006/picture">
                        <pic:nvPicPr>
                          <pic:cNvPr id="837" name="AutoShape_1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38" name="AutoShape_2_SpCnt_49"/>
                  <wp:cNvGraphicFramePr/>
                  <a:graphic xmlns:a="http://schemas.openxmlformats.org/drawingml/2006/main">
                    <a:graphicData uri="http://schemas.openxmlformats.org/drawingml/2006/picture">
                      <pic:pic xmlns:pic="http://schemas.openxmlformats.org/drawingml/2006/picture">
                        <pic:nvPicPr>
                          <pic:cNvPr id="838" name="AutoShape_2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39" name="AutoShape_1_SpCnt_25"/>
                  <wp:cNvGraphicFramePr/>
                  <a:graphic xmlns:a="http://schemas.openxmlformats.org/drawingml/2006/main">
                    <a:graphicData uri="http://schemas.openxmlformats.org/drawingml/2006/picture">
                      <pic:pic xmlns:pic="http://schemas.openxmlformats.org/drawingml/2006/picture">
                        <pic:nvPicPr>
                          <pic:cNvPr id="839" name="AutoShape_1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0" name="AutoShape_4_SpCnt_50"/>
                  <wp:cNvGraphicFramePr/>
                  <a:graphic xmlns:a="http://schemas.openxmlformats.org/drawingml/2006/main">
                    <a:graphicData uri="http://schemas.openxmlformats.org/drawingml/2006/picture">
                      <pic:pic xmlns:pic="http://schemas.openxmlformats.org/drawingml/2006/picture">
                        <pic:nvPicPr>
                          <pic:cNvPr id="840" name="AutoShape_4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1" name="AutoShape_2_SpCnt_50"/>
                  <wp:cNvGraphicFramePr/>
                  <a:graphic xmlns:a="http://schemas.openxmlformats.org/drawingml/2006/main">
                    <a:graphicData uri="http://schemas.openxmlformats.org/drawingml/2006/picture">
                      <pic:pic xmlns:pic="http://schemas.openxmlformats.org/drawingml/2006/picture">
                        <pic:nvPicPr>
                          <pic:cNvPr id="841" name="AutoShape_2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2" name="AutoShape_1_SpCnt_26"/>
                  <wp:cNvGraphicFramePr/>
                  <a:graphic xmlns:a="http://schemas.openxmlformats.org/drawingml/2006/main">
                    <a:graphicData uri="http://schemas.openxmlformats.org/drawingml/2006/picture">
                      <pic:pic xmlns:pic="http://schemas.openxmlformats.org/drawingml/2006/picture">
                        <pic:nvPicPr>
                          <pic:cNvPr id="842" name="AutoShape_1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3" name="AutoShape_2_SpCnt_51"/>
                  <wp:cNvGraphicFramePr/>
                  <a:graphic xmlns:a="http://schemas.openxmlformats.org/drawingml/2006/main">
                    <a:graphicData uri="http://schemas.openxmlformats.org/drawingml/2006/picture">
                      <pic:pic xmlns:pic="http://schemas.openxmlformats.org/drawingml/2006/picture">
                        <pic:nvPicPr>
                          <pic:cNvPr id="843" name="AutoShape_2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4" name="AutoShape_4_SpCnt_51"/>
                  <wp:cNvGraphicFramePr/>
                  <a:graphic xmlns:a="http://schemas.openxmlformats.org/drawingml/2006/main">
                    <a:graphicData uri="http://schemas.openxmlformats.org/drawingml/2006/picture">
                      <pic:pic xmlns:pic="http://schemas.openxmlformats.org/drawingml/2006/picture">
                        <pic:nvPicPr>
                          <pic:cNvPr id="844" name="AutoShape_4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5" name="AutoShape_2_SpCnt_52"/>
                  <wp:cNvGraphicFramePr/>
                  <a:graphic xmlns:a="http://schemas.openxmlformats.org/drawingml/2006/main">
                    <a:graphicData uri="http://schemas.openxmlformats.org/drawingml/2006/picture">
                      <pic:pic xmlns:pic="http://schemas.openxmlformats.org/drawingml/2006/picture">
                        <pic:nvPicPr>
                          <pic:cNvPr id="845" name="AutoShape_2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6" name="AutoShape_3_SpCnt_24"/>
                  <wp:cNvGraphicFramePr/>
                  <a:graphic xmlns:a="http://schemas.openxmlformats.org/drawingml/2006/main">
                    <a:graphicData uri="http://schemas.openxmlformats.org/drawingml/2006/picture">
                      <pic:pic xmlns:pic="http://schemas.openxmlformats.org/drawingml/2006/picture">
                        <pic:nvPicPr>
                          <pic:cNvPr id="846" name="AutoShape_3_SpCnt_2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7" name="AutoShape_1_SpCnt_27"/>
                  <wp:cNvGraphicFramePr/>
                  <a:graphic xmlns:a="http://schemas.openxmlformats.org/drawingml/2006/main">
                    <a:graphicData uri="http://schemas.openxmlformats.org/drawingml/2006/picture">
                      <pic:pic xmlns:pic="http://schemas.openxmlformats.org/drawingml/2006/picture">
                        <pic:nvPicPr>
                          <pic:cNvPr id="847" name="AutoShape_1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8" name="AutoShape_4_SpCnt_52"/>
                  <wp:cNvGraphicFramePr/>
                  <a:graphic xmlns:a="http://schemas.openxmlformats.org/drawingml/2006/main">
                    <a:graphicData uri="http://schemas.openxmlformats.org/drawingml/2006/picture">
                      <pic:pic xmlns:pic="http://schemas.openxmlformats.org/drawingml/2006/picture">
                        <pic:nvPicPr>
                          <pic:cNvPr id="848" name="AutoShape_4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49" name="AutoShape_3_SpCnt_25"/>
                  <wp:cNvGraphicFramePr/>
                  <a:graphic xmlns:a="http://schemas.openxmlformats.org/drawingml/2006/main">
                    <a:graphicData uri="http://schemas.openxmlformats.org/drawingml/2006/picture">
                      <pic:pic xmlns:pic="http://schemas.openxmlformats.org/drawingml/2006/picture">
                        <pic:nvPicPr>
                          <pic:cNvPr id="849" name="AutoShape_3_SpCnt_2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0" name="AutoShape_2_SpCnt_53"/>
                  <wp:cNvGraphicFramePr/>
                  <a:graphic xmlns:a="http://schemas.openxmlformats.org/drawingml/2006/main">
                    <a:graphicData uri="http://schemas.openxmlformats.org/drawingml/2006/picture">
                      <pic:pic xmlns:pic="http://schemas.openxmlformats.org/drawingml/2006/picture">
                        <pic:nvPicPr>
                          <pic:cNvPr id="850" name="AutoShape_2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1" name="AutoShape_3_SpCnt_26"/>
                  <wp:cNvGraphicFramePr/>
                  <a:graphic xmlns:a="http://schemas.openxmlformats.org/drawingml/2006/main">
                    <a:graphicData uri="http://schemas.openxmlformats.org/drawingml/2006/picture">
                      <pic:pic xmlns:pic="http://schemas.openxmlformats.org/drawingml/2006/picture">
                        <pic:nvPicPr>
                          <pic:cNvPr id="851" name="AutoShape_3_SpCnt_2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2" name="AutoShape_2_SpCnt_54"/>
                  <wp:cNvGraphicFramePr/>
                  <a:graphic xmlns:a="http://schemas.openxmlformats.org/drawingml/2006/main">
                    <a:graphicData uri="http://schemas.openxmlformats.org/drawingml/2006/picture">
                      <pic:pic xmlns:pic="http://schemas.openxmlformats.org/drawingml/2006/picture">
                        <pic:nvPicPr>
                          <pic:cNvPr id="852" name="AutoShape_2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3" name="AutoShape_2_SpCnt_55"/>
                  <wp:cNvGraphicFramePr/>
                  <a:graphic xmlns:a="http://schemas.openxmlformats.org/drawingml/2006/main">
                    <a:graphicData uri="http://schemas.openxmlformats.org/drawingml/2006/picture">
                      <pic:pic xmlns:pic="http://schemas.openxmlformats.org/drawingml/2006/picture">
                        <pic:nvPicPr>
                          <pic:cNvPr id="853" name="AutoShape_2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4" name="AutoShape_4_SpCnt_53"/>
                  <wp:cNvGraphicFramePr/>
                  <a:graphic xmlns:a="http://schemas.openxmlformats.org/drawingml/2006/main">
                    <a:graphicData uri="http://schemas.openxmlformats.org/drawingml/2006/picture">
                      <pic:pic xmlns:pic="http://schemas.openxmlformats.org/drawingml/2006/picture">
                        <pic:nvPicPr>
                          <pic:cNvPr id="854" name="AutoShape_4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5" name="AutoShape_4_SpCnt_54"/>
                  <wp:cNvGraphicFramePr/>
                  <a:graphic xmlns:a="http://schemas.openxmlformats.org/drawingml/2006/main">
                    <a:graphicData uri="http://schemas.openxmlformats.org/drawingml/2006/picture">
                      <pic:pic xmlns:pic="http://schemas.openxmlformats.org/drawingml/2006/picture">
                        <pic:nvPicPr>
                          <pic:cNvPr id="855" name="AutoShape_4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6" name="AutoShape_1_SpCnt_28"/>
                  <wp:cNvGraphicFramePr/>
                  <a:graphic xmlns:a="http://schemas.openxmlformats.org/drawingml/2006/main">
                    <a:graphicData uri="http://schemas.openxmlformats.org/drawingml/2006/picture">
                      <pic:pic xmlns:pic="http://schemas.openxmlformats.org/drawingml/2006/picture">
                        <pic:nvPicPr>
                          <pic:cNvPr id="856" name="AutoShape_1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57" name="AutoShape_3_SpCnt_27"/>
                  <wp:cNvGraphicFramePr/>
                  <a:graphic xmlns:a="http://schemas.openxmlformats.org/drawingml/2006/main">
                    <a:graphicData uri="http://schemas.openxmlformats.org/drawingml/2006/picture">
                      <pic:pic xmlns:pic="http://schemas.openxmlformats.org/drawingml/2006/picture">
                        <pic:nvPicPr>
                          <pic:cNvPr id="857" name="AutoShape_3_SpCnt_2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58" name="AutoShape_2_SpCnt_56"/>
                  <wp:cNvGraphicFramePr/>
                  <a:graphic xmlns:a="http://schemas.openxmlformats.org/drawingml/2006/main">
                    <a:graphicData uri="http://schemas.openxmlformats.org/drawingml/2006/picture">
                      <pic:pic xmlns:pic="http://schemas.openxmlformats.org/drawingml/2006/picture">
                        <pic:nvPicPr>
                          <pic:cNvPr id="858" name="AutoShape_2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59" name="AutoShape_1_SpCnt_29"/>
                  <wp:cNvGraphicFramePr/>
                  <a:graphic xmlns:a="http://schemas.openxmlformats.org/drawingml/2006/main">
                    <a:graphicData uri="http://schemas.openxmlformats.org/drawingml/2006/picture">
                      <pic:pic xmlns:pic="http://schemas.openxmlformats.org/drawingml/2006/picture">
                        <pic:nvPicPr>
                          <pic:cNvPr id="859" name="AutoShape_1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0" name="AutoShape_2_SpCnt_57"/>
                  <wp:cNvGraphicFramePr/>
                  <a:graphic xmlns:a="http://schemas.openxmlformats.org/drawingml/2006/main">
                    <a:graphicData uri="http://schemas.openxmlformats.org/drawingml/2006/picture">
                      <pic:pic xmlns:pic="http://schemas.openxmlformats.org/drawingml/2006/picture">
                        <pic:nvPicPr>
                          <pic:cNvPr id="860" name="AutoShape_2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1" name="AutoShape_2_SpCnt_58"/>
                  <wp:cNvGraphicFramePr/>
                  <a:graphic xmlns:a="http://schemas.openxmlformats.org/drawingml/2006/main">
                    <a:graphicData uri="http://schemas.openxmlformats.org/drawingml/2006/picture">
                      <pic:pic xmlns:pic="http://schemas.openxmlformats.org/drawingml/2006/picture">
                        <pic:nvPicPr>
                          <pic:cNvPr id="861" name="AutoShape_2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2" name="AutoShape_2_SpCnt_59"/>
                  <wp:cNvGraphicFramePr/>
                  <a:graphic xmlns:a="http://schemas.openxmlformats.org/drawingml/2006/main">
                    <a:graphicData uri="http://schemas.openxmlformats.org/drawingml/2006/picture">
                      <pic:pic xmlns:pic="http://schemas.openxmlformats.org/drawingml/2006/picture">
                        <pic:nvPicPr>
                          <pic:cNvPr id="862" name="AutoShape_2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3" name="AutoShape_2_SpCnt_60"/>
                  <wp:cNvGraphicFramePr/>
                  <a:graphic xmlns:a="http://schemas.openxmlformats.org/drawingml/2006/main">
                    <a:graphicData uri="http://schemas.openxmlformats.org/drawingml/2006/picture">
                      <pic:pic xmlns:pic="http://schemas.openxmlformats.org/drawingml/2006/picture">
                        <pic:nvPicPr>
                          <pic:cNvPr id="863" name="AutoShape_2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4" name="AutoShape_4_SpCnt_55"/>
                  <wp:cNvGraphicFramePr/>
                  <a:graphic xmlns:a="http://schemas.openxmlformats.org/drawingml/2006/main">
                    <a:graphicData uri="http://schemas.openxmlformats.org/drawingml/2006/picture">
                      <pic:pic xmlns:pic="http://schemas.openxmlformats.org/drawingml/2006/picture">
                        <pic:nvPicPr>
                          <pic:cNvPr id="864" name="AutoShape_4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5" name="AutoShape_1_SpCnt_30"/>
                  <wp:cNvGraphicFramePr/>
                  <a:graphic xmlns:a="http://schemas.openxmlformats.org/drawingml/2006/main">
                    <a:graphicData uri="http://schemas.openxmlformats.org/drawingml/2006/picture">
                      <pic:pic xmlns:pic="http://schemas.openxmlformats.org/drawingml/2006/picture">
                        <pic:nvPicPr>
                          <pic:cNvPr id="865" name="AutoShape_1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6" name="AutoShape_4_SpCnt_56"/>
                  <wp:cNvGraphicFramePr/>
                  <a:graphic xmlns:a="http://schemas.openxmlformats.org/drawingml/2006/main">
                    <a:graphicData uri="http://schemas.openxmlformats.org/drawingml/2006/picture">
                      <pic:pic xmlns:pic="http://schemas.openxmlformats.org/drawingml/2006/picture">
                        <pic:nvPicPr>
                          <pic:cNvPr id="866" name="AutoShape_4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7" name="AutoShape_3_SpCnt_28"/>
                  <wp:cNvGraphicFramePr/>
                  <a:graphic xmlns:a="http://schemas.openxmlformats.org/drawingml/2006/main">
                    <a:graphicData uri="http://schemas.openxmlformats.org/drawingml/2006/picture">
                      <pic:pic xmlns:pic="http://schemas.openxmlformats.org/drawingml/2006/picture">
                        <pic:nvPicPr>
                          <pic:cNvPr id="867" name="AutoShape_3_SpCnt_2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68" name="AutoShape_2_SpCnt_61"/>
                  <wp:cNvGraphicFramePr/>
                  <a:graphic xmlns:a="http://schemas.openxmlformats.org/drawingml/2006/main">
                    <a:graphicData uri="http://schemas.openxmlformats.org/drawingml/2006/picture">
                      <pic:pic xmlns:pic="http://schemas.openxmlformats.org/drawingml/2006/picture">
                        <pic:nvPicPr>
                          <pic:cNvPr id="868" name="AutoShape_2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69" name="AutoShape_1_SpCnt_31"/>
                  <wp:cNvGraphicFramePr/>
                  <a:graphic xmlns:a="http://schemas.openxmlformats.org/drawingml/2006/main">
                    <a:graphicData uri="http://schemas.openxmlformats.org/drawingml/2006/picture">
                      <pic:pic xmlns:pic="http://schemas.openxmlformats.org/drawingml/2006/picture">
                        <pic:nvPicPr>
                          <pic:cNvPr id="869" name="AutoShape_1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0" name="AutoShape_4_SpCnt_57"/>
                  <wp:cNvGraphicFramePr/>
                  <a:graphic xmlns:a="http://schemas.openxmlformats.org/drawingml/2006/main">
                    <a:graphicData uri="http://schemas.openxmlformats.org/drawingml/2006/picture">
                      <pic:pic xmlns:pic="http://schemas.openxmlformats.org/drawingml/2006/picture">
                        <pic:nvPicPr>
                          <pic:cNvPr id="870" name="AutoShape_4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71" name="AutoShape_3_SpCnt_29"/>
                  <wp:cNvGraphicFramePr/>
                  <a:graphic xmlns:a="http://schemas.openxmlformats.org/drawingml/2006/main">
                    <a:graphicData uri="http://schemas.openxmlformats.org/drawingml/2006/picture">
                      <pic:pic xmlns:pic="http://schemas.openxmlformats.org/drawingml/2006/picture">
                        <pic:nvPicPr>
                          <pic:cNvPr id="871" name="AutoShape_3_SpCnt_2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2" name="AutoShape_4_SpCnt_58"/>
                  <wp:cNvGraphicFramePr/>
                  <a:graphic xmlns:a="http://schemas.openxmlformats.org/drawingml/2006/main">
                    <a:graphicData uri="http://schemas.openxmlformats.org/drawingml/2006/picture">
                      <pic:pic xmlns:pic="http://schemas.openxmlformats.org/drawingml/2006/picture">
                        <pic:nvPicPr>
                          <pic:cNvPr id="872" name="AutoShape_4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3" name="AutoShape_4_SpCnt_59"/>
                  <wp:cNvGraphicFramePr/>
                  <a:graphic xmlns:a="http://schemas.openxmlformats.org/drawingml/2006/main">
                    <a:graphicData uri="http://schemas.openxmlformats.org/drawingml/2006/picture">
                      <pic:pic xmlns:pic="http://schemas.openxmlformats.org/drawingml/2006/picture">
                        <pic:nvPicPr>
                          <pic:cNvPr id="873" name="AutoShape_4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74" name="AutoShape_3_SpCnt_30"/>
                  <wp:cNvGraphicFramePr/>
                  <a:graphic xmlns:a="http://schemas.openxmlformats.org/drawingml/2006/main">
                    <a:graphicData uri="http://schemas.openxmlformats.org/drawingml/2006/picture">
                      <pic:pic xmlns:pic="http://schemas.openxmlformats.org/drawingml/2006/picture">
                        <pic:nvPicPr>
                          <pic:cNvPr id="874" name="AutoShape_3_SpCnt_3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5" name="AutoShape_4_SpCnt_60"/>
                  <wp:cNvGraphicFramePr/>
                  <a:graphic xmlns:a="http://schemas.openxmlformats.org/drawingml/2006/main">
                    <a:graphicData uri="http://schemas.openxmlformats.org/drawingml/2006/picture">
                      <pic:pic xmlns:pic="http://schemas.openxmlformats.org/drawingml/2006/picture">
                        <pic:nvPicPr>
                          <pic:cNvPr id="875" name="AutoShape_4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6" name="AutoShape_2_SpCnt_62"/>
                  <wp:cNvGraphicFramePr/>
                  <a:graphic xmlns:a="http://schemas.openxmlformats.org/drawingml/2006/main">
                    <a:graphicData uri="http://schemas.openxmlformats.org/drawingml/2006/picture">
                      <pic:pic xmlns:pic="http://schemas.openxmlformats.org/drawingml/2006/picture">
                        <pic:nvPicPr>
                          <pic:cNvPr id="876" name="AutoShape_2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7" name="AutoShape_2_SpCnt_63"/>
                  <wp:cNvGraphicFramePr/>
                  <a:graphic xmlns:a="http://schemas.openxmlformats.org/drawingml/2006/main">
                    <a:graphicData uri="http://schemas.openxmlformats.org/drawingml/2006/picture">
                      <pic:pic xmlns:pic="http://schemas.openxmlformats.org/drawingml/2006/picture">
                        <pic:nvPicPr>
                          <pic:cNvPr id="877" name="AutoShape_2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8" name="AutoShape_4_SpCnt_61"/>
                  <wp:cNvGraphicFramePr/>
                  <a:graphic xmlns:a="http://schemas.openxmlformats.org/drawingml/2006/main">
                    <a:graphicData uri="http://schemas.openxmlformats.org/drawingml/2006/picture">
                      <pic:pic xmlns:pic="http://schemas.openxmlformats.org/drawingml/2006/picture">
                        <pic:nvPicPr>
                          <pic:cNvPr id="878" name="AutoShape_4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79" name="AutoShape_4_SpCnt_62"/>
                  <wp:cNvGraphicFramePr/>
                  <a:graphic xmlns:a="http://schemas.openxmlformats.org/drawingml/2006/main">
                    <a:graphicData uri="http://schemas.openxmlformats.org/drawingml/2006/picture">
                      <pic:pic xmlns:pic="http://schemas.openxmlformats.org/drawingml/2006/picture">
                        <pic:nvPicPr>
                          <pic:cNvPr id="879" name="AutoShape_4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85090</wp:posOffset>
                  </wp:positionH>
                  <wp:positionV relativeFrom="paragraph">
                    <wp:posOffset>162560</wp:posOffset>
                  </wp:positionV>
                  <wp:extent cx="635" cy="0"/>
                  <wp:effectExtent l="0" t="0" r="0" b="0"/>
                  <wp:wrapNone/>
                  <wp:docPr id="880" name="AutoShape_3_SpCnt_31"/>
                  <wp:cNvGraphicFramePr/>
                  <a:graphic xmlns:a="http://schemas.openxmlformats.org/drawingml/2006/main">
                    <a:graphicData uri="http://schemas.openxmlformats.org/drawingml/2006/picture">
                      <pic:pic xmlns:pic="http://schemas.openxmlformats.org/drawingml/2006/picture">
                        <pic:nvPicPr>
                          <pic:cNvPr id="880" name="AutoShape_3_SpCnt_3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83820</wp:posOffset>
                  </wp:positionH>
                  <wp:positionV relativeFrom="paragraph">
                    <wp:posOffset>162560</wp:posOffset>
                  </wp:positionV>
                  <wp:extent cx="635" cy="0"/>
                  <wp:effectExtent l="0" t="0" r="0" b="0"/>
                  <wp:wrapNone/>
                  <wp:docPr id="881" name="AutoShape_4_SpCnt_63"/>
                  <wp:cNvGraphicFramePr/>
                  <a:graphic xmlns:a="http://schemas.openxmlformats.org/drawingml/2006/main">
                    <a:graphicData uri="http://schemas.openxmlformats.org/drawingml/2006/picture">
                      <pic:pic xmlns:pic="http://schemas.openxmlformats.org/drawingml/2006/picture">
                        <pic:nvPicPr>
                          <pic:cNvPr id="881" name="AutoShape_4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2" name="Line_23_SpCnt_48"/>
                  <wp:cNvGraphicFramePr/>
                  <a:graphic xmlns:a="http://schemas.openxmlformats.org/drawingml/2006/main">
                    <a:graphicData uri="http://schemas.openxmlformats.org/drawingml/2006/picture">
                      <pic:pic xmlns:pic="http://schemas.openxmlformats.org/drawingml/2006/picture">
                        <pic:nvPicPr>
                          <pic:cNvPr id="882" name="Line_23_SpCnt_4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3" name="Line_23_SpCnt_49"/>
                  <wp:cNvGraphicFramePr/>
                  <a:graphic xmlns:a="http://schemas.openxmlformats.org/drawingml/2006/main">
                    <a:graphicData uri="http://schemas.openxmlformats.org/drawingml/2006/picture">
                      <pic:pic xmlns:pic="http://schemas.openxmlformats.org/drawingml/2006/picture">
                        <pic:nvPicPr>
                          <pic:cNvPr id="883" name="Line_23_SpCnt_4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84" name="Line_23_SpCnt_50"/>
                  <wp:cNvGraphicFramePr/>
                  <a:graphic xmlns:a="http://schemas.openxmlformats.org/drawingml/2006/main">
                    <a:graphicData uri="http://schemas.openxmlformats.org/drawingml/2006/picture">
                      <pic:pic xmlns:pic="http://schemas.openxmlformats.org/drawingml/2006/picture">
                        <pic:nvPicPr>
                          <pic:cNvPr id="884" name="Line_23_SpCnt_5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5" name="Line_23_SpCnt_51"/>
                  <wp:cNvGraphicFramePr/>
                  <a:graphic xmlns:a="http://schemas.openxmlformats.org/drawingml/2006/main">
                    <a:graphicData uri="http://schemas.openxmlformats.org/drawingml/2006/picture">
                      <pic:pic xmlns:pic="http://schemas.openxmlformats.org/drawingml/2006/picture">
                        <pic:nvPicPr>
                          <pic:cNvPr id="885" name="Line_23_SpCnt_5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86" name="Line_23_SpCnt_52"/>
                  <wp:cNvGraphicFramePr/>
                  <a:graphic xmlns:a="http://schemas.openxmlformats.org/drawingml/2006/main">
                    <a:graphicData uri="http://schemas.openxmlformats.org/drawingml/2006/picture">
                      <pic:pic xmlns:pic="http://schemas.openxmlformats.org/drawingml/2006/picture">
                        <pic:nvPicPr>
                          <pic:cNvPr id="886" name="Line_23_SpCnt_5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7" name="Line_23_SpCnt_53"/>
                  <wp:cNvGraphicFramePr/>
                  <a:graphic xmlns:a="http://schemas.openxmlformats.org/drawingml/2006/main">
                    <a:graphicData uri="http://schemas.openxmlformats.org/drawingml/2006/picture">
                      <pic:pic xmlns:pic="http://schemas.openxmlformats.org/drawingml/2006/picture">
                        <pic:nvPicPr>
                          <pic:cNvPr id="887" name="Line_23_SpCnt_5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8" name="Line_23_SpCnt_54"/>
                  <wp:cNvGraphicFramePr/>
                  <a:graphic xmlns:a="http://schemas.openxmlformats.org/drawingml/2006/main">
                    <a:graphicData uri="http://schemas.openxmlformats.org/drawingml/2006/picture">
                      <pic:pic xmlns:pic="http://schemas.openxmlformats.org/drawingml/2006/picture">
                        <pic:nvPicPr>
                          <pic:cNvPr id="888" name="Line_23_SpCnt_54"/>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89" name="Line_23_SpCnt_55"/>
                  <wp:cNvGraphicFramePr/>
                  <a:graphic xmlns:a="http://schemas.openxmlformats.org/drawingml/2006/main">
                    <a:graphicData uri="http://schemas.openxmlformats.org/drawingml/2006/picture">
                      <pic:pic xmlns:pic="http://schemas.openxmlformats.org/drawingml/2006/picture">
                        <pic:nvPicPr>
                          <pic:cNvPr id="889" name="Line_23_SpCnt_55"/>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90" name="Line_23_SpCnt_56"/>
                  <wp:cNvGraphicFramePr/>
                  <a:graphic xmlns:a="http://schemas.openxmlformats.org/drawingml/2006/main">
                    <a:graphicData uri="http://schemas.openxmlformats.org/drawingml/2006/picture">
                      <pic:pic xmlns:pic="http://schemas.openxmlformats.org/drawingml/2006/picture">
                        <pic:nvPicPr>
                          <pic:cNvPr id="890" name="Line_23_SpCnt_56"/>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92075</wp:posOffset>
                  </wp:positionH>
                  <wp:positionV relativeFrom="paragraph">
                    <wp:posOffset>182245</wp:posOffset>
                  </wp:positionV>
                  <wp:extent cx="635" cy="0"/>
                  <wp:effectExtent l="0" t="0" r="0" b="0"/>
                  <wp:wrapNone/>
                  <wp:docPr id="891" name="Line_23_SpCnt_57"/>
                  <wp:cNvGraphicFramePr/>
                  <a:graphic xmlns:a="http://schemas.openxmlformats.org/drawingml/2006/main">
                    <a:graphicData uri="http://schemas.openxmlformats.org/drawingml/2006/picture">
                      <pic:pic xmlns:pic="http://schemas.openxmlformats.org/drawingml/2006/picture">
                        <pic:nvPicPr>
                          <pic:cNvPr id="891" name="Line_23_SpCnt_57"/>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2" name="Line_23_SpCnt_58"/>
                  <wp:cNvGraphicFramePr/>
                  <a:graphic xmlns:a="http://schemas.openxmlformats.org/drawingml/2006/main">
                    <a:graphicData uri="http://schemas.openxmlformats.org/drawingml/2006/picture">
                      <pic:pic xmlns:pic="http://schemas.openxmlformats.org/drawingml/2006/picture">
                        <pic:nvPicPr>
                          <pic:cNvPr id="892" name="Line_23_SpCnt_58"/>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3" name="Line_23_SpCnt_59"/>
                  <wp:cNvGraphicFramePr/>
                  <a:graphic xmlns:a="http://schemas.openxmlformats.org/drawingml/2006/main">
                    <a:graphicData uri="http://schemas.openxmlformats.org/drawingml/2006/picture">
                      <pic:pic xmlns:pic="http://schemas.openxmlformats.org/drawingml/2006/picture">
                        <pic:nvPicPr>
                          <pic:cNvPr id="893" name="Line_23_SpCnt_59"/>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4" name="Line_23_SpCnt_60"/>
                  <wp:cNvGraphicFramePr/>
                  <a:graphic xmlns:a="http://schemas.openxmlformats.org/drawingml/2006/main">
                    <a:graphicData uri="http://schemas.openxmlformats.org/drawingml/2006/picture">
                      <pic:pic xmlns:pic="http://schemas.openxmlformats.org/drawingml/2006/picture">
                        <pic:nvPicPr>
                          <pic:cNvPr id="894" name="Line_23_SpCnt_60"/>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5" name="Line_23_SpCnt_61"/>
                  <wp:cNvGraphicFramePr/>
                  <a:graphic xmlns:a="http://schemas.openxmlformats.org/drawingml/2006/main">
                    <a:graphicData uri="http://schemas.openxmlformats.org/drawingml/2006/picture">
                      <pic:pic xmlns:pic="http://schemas.openxmlformats.org/drawingml/2006/picture">
                        <pic:nvPicPr>
                          <pic:cNvPr id="895" name="Line_23_SpCnt_61"/>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6" name="Line_23_SpCnt_62"/>
                  <wp:cNvGraphicFramePr/>
                  <a:graphic xmlns:a="http://schemas.openxmlformats.org/drawingml/2006/main">
                    <a:graphicData uri="http://schemas.openxmlformats.org/drawingml/2006/picture">
                      <pic:pic xmlns:pic="http://schemas.openxmlformats.org/drawingml/2006/picture">
                        <pic:nvPicPr>
                          <pic:cNvPr id="896" name="Line_23_SpCnt_6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90805</wp:posOffset>
                  </wp:positionH>
                  <wp:positionV relativeFrom="paragraph">
                    <wp:posOffset>182245</wp:posOffset>
                  </wp:positionV>
                  <wp:extent cx="635" cy="0"/>
                  <wp:effectExtent l="0" t="0" r="0" b="0"/>
                  <wp:wrapNone/>
                  <wp:docPr id="897" name="Line_23_SpCnt_63"/>
                  <wp:cNvGraphicFramePr/>
                  <a:graphic xmlns:a="http://schemas.openxmlformats.org/drawingml/2006/main">
                    <a:graphicData uri="http://schemas.openxmlformats.org/drawingml/2006/picture">
                      <pic:pic xmlns:pic="http://schemas.openxmlformats.org/drawingml/2006/picture">
                        <pic:nvPicPr>
                          <pic:cNvPr id="897" name="Line_23_SpCnt_63"/>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30</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42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22</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29</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23</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962"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24</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法兰</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参考附件2内容</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EA</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i w:val="0"/>
                <w:iCs w:val="0"/>
                <w:color w:val="auto"/>
                <w:kern w:val="0"/>
                <w:sz w:val="18"/>
                <w:szCs w:val="18"/>
                <w:u w:val="none"/>
                <w:lang w:val="en-US" w:eastAsia="zh-CN" w:bidi="ar"/>
              </w:rPr>
              <w:t>7</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299" w:hRule="atLeast"/>
          <w:jc w:val="center"/>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不含税总价：</w:t>
            </w:r>
          </w:p>
        </w:tc>
      </w:tr>
      <w:tr>
        <w:tblPrEx>
          <w:tblCellMar>
            <w:top w:w="0" w:type="dxa"/>
            <w:left w:w="108" w:type="dxa"/>
            <w:bottom w:w="0" w:type="dxa"/>
            <w:right w:w="108" w:type="dxa"/>
          </w:tblCellMar>
        </w:tblPrEx>
        <w:trPr>
          <w:trHeight w:val="299" w:hRule="atLeast"/>
          <w:jc w:val="center"/>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税费（13%）：</w:t>
            </w:r>
          </w:p>
        </w:tc>
      </w:tr>
      <w:tr>
        <w:trPr>
          <w:trHeight w:val="299" w:hRule="atLeast"/>
          <w:jc w:val="center"/>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含税总价：</w:t>
            </w:r>
          </w:p>
        </w:tc>
      </w:tr>
      <w:tr>
        <w:tblPrEx>
          <w:tblCellMar>
            <w:top w:w="0" w:type="dxa"/>
            <w:left w:w="108" w:type="dxa"/>
            <w:bottom w:w="0" w:type="dxa"/>
            <w:right w:w="108" w:type="dxa"/>
          </w:tblCellMar>
        </w:tblPrEx>
        <w:trPr>
          <w:trHeight w:val="299" w:hRule="atLeast"/>
          <w:jc w:val="center"/>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含税总价（大写人民币）：</w:t>
            </w:r>
          </w:p>
        </w:tc>
      </w:tr>
      <w:tr>
        <w:tblPrEx>
          <w:tblCellMar>
            <w:top w:w="0" w:type="dxa"/>
            <w:left w:w="108" w:type="dxa"/>
            <w:bottom w:w="0" w:type="dxa"/>
            <w:right w:w="108" w:type="dxa"/>
          </w:tblCellMar>
        </w:tblPrEx>
        <w:trPr>
          <w:trHeight w:val="306" w:hRule="atLeast"/>
          <w:jc w:val="center"/>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不含税总价（大写人民币）：</w:t>
            </w:r>
          </w:p>
        </w:tc>
      </w:tr>
    </w:tbl>
    <w:p>
      <w:pPr>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注：</w:t>
      </w:r>
    </w:p>
    <w:p>
      <w:pPr>
        <w:snapToGrid w:val="0"/>
        <w:spacing w:line="276"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1、报价有效期：自应答截止日次日起</w:t>
      </w:r>
      <w:r>
        <w:rPr>
          <w:rFonts w:hint="eastAsia" w:asciiTheme="minorEastAsia" w:hAnsiTheme="minorEastAsia" w:cstheme="minorEastAsia"/>
          <w:color w:val="0000FF"/>
          <w:sz w:val="24"/>
          <w:szCs w:val="24"/>
          <w:lang w:val="en-US" w:eastAsia="zh-CN"/>
        </w:rPr>
        <w:t>120</w:t>
      </w:r>
      <w:r>
        <w:rPr>
          <w:rFonts w:hint="eastAsia" w:asciiTheme="minorEastAsia" w:hAnsiTheme="minorEastAsia" w:eastAsiaTheme="minorEastAsia" w:cstheme="minorEastAsia"/>
          <w:color w:val="000000" w:themeColor="text1"/>
          <w:sz w:val="24"/>
          <w:szCs w:val="24"/>
          <w14:textFill>
            <w14:solidFill>
              <w14:schemeClr w14:val="tx1"/>
            </w14:solidFill>
          </w14:textFill>
        </w:rPr>
        <w:t>个日历日。（请应答人响应）</w:t>
      </w:r>
    </w:p>
    <w:p>
      <w:pPr>
        <w:pStyle w:val="23"/>
        <w:spacing w:line="300" w:lineRule="exac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2、交货期：</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卖方应于合同签订日起</w:t>
      </w:r>
      <w:r>
        <w:rPr>
          <w:rFonts w:hint="eastAsia" w:asciiTheme="minorEastAsia" w:hAnsiTheme="minorEastAsia" w:eastAsiaTheme="minorEastAsia" w:cstheme="minorEastAsia"/>
          <w:color w:val="0000FF"/>
          <w:sz w:val="24"/>
          <w:szCs w:val="24"/>
          <w:lang w:val="en-US" w:eastAsia="zh-CN"/>
        </w:rPr>
        <w:t>30日</w:t>
      </w:r>
      <w:r>
        <w:rPr>
          <w:rFonts w:hint="eastAsia" w:asciiTheme="minorEastAsia" w:hAnsiTheme="minorEastAsia" w:eastAsiaTheme="minorEastAsia" w:cstheme="minorEastAsia"/>
          <w:color w:val="auto"/>
          <w:sz w:val="24"/>
          <w:szCs w:val="24"/>
          <w:lang w:val="en-US" w:eastAsia="zh-CN"/>
        </w:rPr>
        <w:t>内供货</w:t>
      </w:r>
      <w:r>
        <w:rPr>
          <w:rFonts w:hint="eastAsia" w:asciiTheme="minorEastAsia" w:hAnsiTheme="minorEastAsia" w:eastAsiaTheme="minorEastAsia" w:cstheme="minorEastAsia"/>
          <w:color w:val="0000FF"/>
          <w:sz w:val="24"/>
          <w:szCs w:val="24"/>
          <w:lang w:eastAsia="zh-CN"/>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（请应答人响应）</w:t>
      </w:r>
    </w:p>
    <w:p>
      <w:pPr>
        <w:snapToGrid w:val="0"/>
        <w:spacing w:line="276"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以上报价包括：人工费、材料费、设施设备费、管理费、服务费、税费、利润、税金/其它应付款项，报价文件中规定的其它义务/风险/责任有关的费用及一切与履行本询价文件有关的于此处未列明的其它所有费用。固定单价在询价有效期和其必要的延长期内是固定的，不因通货膨胀、利/汇率、税/费变化而作任何调整。（请应答人响应）</w:t>
      </w:r>
    </w:p>
    <w:p>
      <w:pPr>
        <w:snapToGrid w:val="0"/>
        <w:spacing w:line="276"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4、开具发票种类：</w:t>
      </w:r>
      <w:r>
        <w:rPr>
          <w:rFonts w:hint="eastAsia" w:asciiTheme="minorEastAsia" w:hAnsiTheme="minorEastAsia" w:eastAsiaTheme="minorEastAsia" w:cstheme="minorEastAsia"/>
          <w:color w:val="0000FF"/>
          <w:sz w:val="24"/>
          <w:szCs w:val="24"/>
        </w:rPr>
        <w:t>增值税专用发票</w:t>
      </w:r>
      <w:r>
        <w:rPr>
          <w:rFonts w:hint="eastAsia" w:asciiTheme="minorEastAsia" w:hAnsiTheme="minorEastAsia" w:eastAsiaTheme="minorEastAsia" w:cstheme="minorEastAsia"/>
          <w:color w:val="000000" w:themeColor="text1"/>
          <w:sz w:val="24"/>
          <w:szCs w:val="24"/>
          <w14:textFill>
            <w14:solidFill>
              <w14:schemeClr w14:val="tx1"/>
            </w14:solidFill>
          </w14:textFill>
        </w:rPr>
        <w:t>/增值税普通发票/其它。（请应答人如实填写具体发票种类）</w:t>
      </w:r>
    </w:p>
    <w:p>
      <w:pPr>
        <w:snapToGrid w:val="0"/>
        <w:spacing w:line="276"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、投标时，请提供可编辑版报价单。</w:t>
      </w:r>
    </w:p>
    <w:p>
      <w:pPr>
        <w:pStyle w:val="32"/>
        <w:spacing w:line="276" w:lineRule="auto"/>
        <w:ind w:firstLine="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、应答人商务联系人姓名________电话_______________邮箱_______________</w:t>
      </w:r>
    </w:p>
    <w:p>
      <w:pPr>
        <w:pStyle w:val="32"/>
        <w:spacing w:line="360" w:lineRule="auto"/>
        <w:ind w:right="840" w:firstLine="0"/>
        <w:jc w:val="righ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报价单位名称：***（加盖公章）</w:t>
      </w:r>
    </w:p>
    <w:p>
      <w:pPr>
        <w:pStyle w:val="32"/>
        <w:spacing w:line="360" w:lineRule="auto"/>
        <w:ind w:right="560" w:firstLine="4740" w:firstLineChars="197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报价日期：****年**月**日</w:t>
      </w:r>
    </w:p>
    <w:p>
      <w:pPr>
        <w:pStyle w:val="5"/>
        <w:ind w:firstLine="0" w:firstLineChars="0"/>
        <w:rPr>
          <w:lang w:val="en-US" w:eastAsia="zh-CN"/>
        </w:rPr>
      </w:pPr>
    </w:p>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Noto Sans CJK DemiLight">
    <w:altName w:val="宋体"/>
    <w:panose1 w:val="00000000000000000000"/>
    <w:charset w:val="86"/>
    <w:family w:val="swiss"/>
    <w:pitch w:val="default"/>
    <w:sig w:usb0="00000000" w:usb1="00000000" w:usb2="00000016" w:usb3="00000000" w:csb0="002E0107" w:csb1="00000000"/>
  </w:font>
  <w:font w:name="Courier">
    <w:altName w:val="Courier New"/>
    <w:panose1 w:val="02070409020205020404"/>
    <w:charset w:val="00"/>
    <w:family w:val="modern"/>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新宋体-18030">
    <w:altName w:val="微软雅黑"/>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216" w:firstLineChars="2000"/>
      <w:rPr>
        <w:lang w:val="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B3DC2"/>
    <w:multiLevelType w:val="multilevel"/>
    <w:tmpl w:val="0ECB3DC2"/>
    <w:lvl w:ilvl="0" w:tentative="0">
      <w:start w:val="1"/>
      <w:numFmt w:val="decimal"/>
      <w:lvlText w:val="10.%1"/>
      <w:lvlJc w:val="left"/>
      <w:pPr>
        <w:ind w:left="418" w:hanging="420"/>
      </w:pPr>
      <w:rPr>
        <w:rFonts w:hint="default" w:ascii="Times New Roman" w:hAnsi="Times New Roman" w:cs="Times New Roman"/>
        <w:b w:val="0"/>
        <w:i w:val="0"/>
        <w:color w:val="auto"/>
        <w:sz w:val="24"/>
        <w:szCs w:val="24"/>
      </w:rPr>
    </w:lvl>
    <w:lvl w:ilvl="1" w:tentative="0">
      <w:start w:val="1"/>
      <w:numFmt w:val="decimal"/>
      <w:lvlText w:val="(%2)"/>
      <w:lvlJc w:val="left"/>
      <w:pPr>
        <w:ind w:left="808" w:hanging="390"/>
      </w:pPr>
      <w:rPr>
        <w:rFonts w:hint="default"/>
      </w:r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1">
    <w:nsid w:val="111D4901"/>
    <w:multiLevelType w:val="multilevel"/>
    <w:tmpl w:val="111D4901"/>
    <w:lvl w:ilvl="0" w:tentative="0">
      <w:start w:val="1"/>
      <w:numFmt w:val="decimal"/>
      <w:lvlText w:val="12.%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594051"/>
    <w:multiLevelType w:val="multilevel"/>
    <w:tmpl w:val="11594051"/>
    <w:lvl w:ilvl="0" w:tentative="0">
      <w:start w:val="1"/>
      <w:numFmt w:val="decimal"/>
      <w:lvlText w:val="5.%1"/>
      <w:lvlJc w:val="left"/>
      <w:pPr>
        <w:ind w:left="420" w:hanging="420"/>
      </w:pPr>
      <w:rPr>
        <w:rFonts w:hint="eastAsia"/>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3AE254C"/>
    <w:multiLevelType w:val="multilevel"/>
    <w:tmpl w:val="13AE254C"/>
    <w:lvl w:ilvl="0" w:tentative="0">
      <w:start w:val="1"/>
      <w:numFmt w:val="decimal"/>
      <w:lvlText w:val="8.%1"/>
      <w:lvlJc w:val="left"/>
      <w:pPr>
        <w:ind w:left="704" w:hanging="420"/>
      </w:pPr>
      <w:rPr>
        <w:rFonts w:hint="eastAsia"/>
        <w:b w:val="0"/>
        <w:i w:val="0"/>
        <w:color w:val="auto"/>
        <w:sz w:val="24"/>
        <w:szCs w:val="24"/>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
    <w:nsid w:val="18324A0E"/>
    <w:multiLevelType w:val="singleLevel"/>
    <w:tmpl w:val="18324A0E"/>
    <w:lvl w:ilvl="0" w:tentative="0">
      <w:start w:val="1"/>
      <w:numFmt w:val="decimal"/>
      <w:suff w:val="nothing"/>
      <w:lvlText w:val="%1、"/>
      <w:lvlJc w:val="left"/>
    </w:lvl>
  </w:abstractNum>
  <w:abstractNum w:abstractNumId="5">
    <w:nsid w:val="187E4373"/>
    <w:multiLevelType w:val="multilevel"/>
    <w:tmpl w:val="187E4373"/>
    <w:lvl w:ilvl="0" w:tentative="0">
      <w:start w:val="1"/>
      <w:numFmt w:val="decimal"/>
      <w:lvlText w:val="19.%1"/>
      <w:lvlJc w:val="left"/>
      <w:pPr>
        <w:ind w:left="420" w:hanging="420"/>
      </w:pPr>
      <w:rPr>
        <w:rFonts w:hint="eastAsia"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0673A34"/>
    <w:multiLevelType w:val="multilevel"/>
    <w:tmpl w:val="20673A34"/>
    <w:lvl w:ilvl="0" w:tentative="0">
      <w:start w:val="1"/>
      <w:numFmt w:val="decimal"/>
      <w:lvlText w:val="9.%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13F27C5"/>
    <w:multiLevelType w:val="multilevel"/>
    <w:tmpl w:val="213F27C5"/>
    <w:lvl w:ilvl="0" w:tentative="0">
      <w:start w:val="1"/>
      <w:numFmt w:val="decimal"/>
      <w:lvlText w:val="(%1)"/>
      <w:lvlJc w:val="left"/>
      <w:pPr>
        <w:ind w:left="987" w:hanging="420"/>
      </w:pPr>
      <w:rPr>
        <w:rFonts w:hint="default" w:cs="Times New Roman"/>
        <w:b w:val="0"/>
        <w:i w:val="0"/>
        <w:color w:val="auto"/>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22030A0D"/>
    <w:multiLevelType w:val="multilevel"/>
    <w:tmpl w:val="22030A0D"/>
    <w:lvl w:ilvl="0" w:tentative="0">
      <w:start w:val="1"/>
      <w:numFmt w:val="decimal"/>
      <w:lvlText w:val="14.%1"/>
      <w:lvlJc w:val="left"/>
      <w:pPr>
        <w:ind w:left="420" w:hanging="420"/>
      </w:pPr>
      <w:rPr>
        <w:rFonts w:hint="default" w:ascii="Times New Roman" w:hAnsi="Times New Roman" w:cs="Times New Roman"/>
        <w:b w:val="0"/>
        <w:i w:val="0"/>
        <w:color w:val="auto"/>
        <w:sz w:val="24"/>
        <w:szCs w:val="24"/>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8C4446"/>
    <w:multiLevelType w:val="multilevel"/>
    <w:tmpl w:val="288C4446"/>
    <w:lvl w:ilvl="0" w:tentative="0">
      <w:start w:val="1"/>
      <w:numFmt w:val="decimal"/>
      <w:lvlText w:val="11.%1"/>
      <w:lvlJc w:val="left"/>
      <w:pPr>
        <w:tabs>
          <w:tab w:val="left" w:pos="1860"/>
        </w:tabs>
        <w:ind w:left="1860" w:hanging="420"/>
      </w:pPr>
      <w:rPr>
        <w:rFonts w:hint="default" w:ascii="Times New Roman" w:hAnsi="Times New Roman" w:cs="Times New Roman"/>
        <w:b w:val="0"/>
        <w:i w:val="0"/>
        <w:color w:val="auto"/>
        <w:sz w:val="24"/>
        <w:szCs w:val="24"/>
        <w:lang w:eastAsia="zh-CN"/>
      </w:rPr>
    </w:lvl>
    <w:lvl w:ilvl="1" w:tentative="0">
      <w:start w:val="1"/>
      <w:numFmt w:val="decimal"/>
      <w:lvlText w:val="(%2)"/>
      <w:lvlJc w:val="left"/>
      <w:pPr>
        <w:tabs>
          <w:tab w:val="left" w:pos="840"/>
        </w:tabs>
        <w:ind w:left="840" w:hanging="420"/>
      </w:pPr>
      <w:rPr>
        <w:rFonts w:ascii="Times New Roman"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DC64C40"/>
    <w:multiLevelType w:val="multilevel"/>
    <w:tmpl w:val="2DC64C40"/>
    <w:lvl w:ilvl="0" w:tentative="0">
      <w:start w:val="1"/>
      <w:numFmt w:val="chineseCountingThousand"/>
      <w:lvlText w:val="第%1条"/>
      <w:lvlJc w:val="left"/>
      <w:pPr>
        <w:ind w:left="1697" w:hanging="420"/>
      </w:pPr>
      <w:rPr>
        <w:rFonts w:hint="eastAsia"/>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E967B86"/>
    <w:multiLevelType w:val="multilevel"/>
    <w:tmpl w:val="2E967B86"/>
    <w:lvl w:ilvl="0" w:tentative="0">
      <w:start w:val="1"/>
      <w:numFmt w:val="decimal"/>
      <w:lvlText w:val="7.%1"/>
      <w:lvlJc w:val="left"/>
      <w:pPr>
        <w:tabs>
          <w:tab w:val="left" w:pos="1860"/>
        </w:tabs>
        <w:ind w:left="1860" w:hanging="420"/>
      </w:pPr>
      <w:rPr>
        <w:rFonts w:hint="default" w:ascii="Times New Roman" w:hAnsi="Times New Roman" w:cs="Times New Roman"/>
        <w:b w:val="0"/>
        <w:bCs w:val="0"/>
        <w:i w:val="0"/>
        <w:iCs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44619A6"/>
    <w:multiLevelType w:val="multilevel"/>
    <w:tmpl w:val="344619A6"/>
    <w:lvl w:ilvl="0" w:tentative="0">
      <w:start w:val="1"/>
      <w:numFmt w:val="decimal"/>
      <w:lvlText w:val="18.%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7BB4534"/>
    <w:multiLevelType w:val="multilevel"/>
    <w:tmpl w:val="37BB4534"/>
    <w:lvl w:ilvl="0" w:tentative="0">
      <w:start w:val="1"/>
      <w:numFmt w:val="decimal"/>
      <w:lvlText w:val="(%1)"/>
      <w:lvlJc w:val="left"/>
      <w:pPr>
        <w:ind w:left="1068" w:hanging="420"/>
      </w:pPr>
      <w:rPr>
        <w:rFonts w:hint="eastAsia" w:ascii="Times New Roman" w:hAnsi="Times New Roman" w:eastAsia="宋体" w:cs="Times New Roman"/>
      </w:rPr>
    </w:lvl>
    <w:lvl w:ilvl="1" w:tentative="0">
      <w:start w:val="1"/>
      <w:numFmt w:val="decimal"/>
      <w:lvlText w:val="(%2)"/>
      <w:lvlJc w:val="left"/>
      <w:pPr>
        <w:ind w:left="1488" w:hanging="420"/>
      </w:pPr>
      <w:rPr>
        <w:rFonts w:hint="eastAsia" w:ascii="Times New Roman" w:hAnsi="Times New Roman" w:eastAsia="宋体" w:cs="Times New Roman"/>
      </w:r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14">
    <w:nsid w:val="3B6E3992"/>
    <w:multiLevelType w:val="multilevel"/>
    <w:tmpl w:val="3B6E3992"/>
    <w:lvl w:ilvl="0" w:tentative="0">
      <w:start w:val="1"/>
      <w:numFmt w:val="decimal"/>
      <w:lvlText w:val="16.%1"/>
      <w:lvlJc w:val="left"/>
      <w:pPr>
        <w:ind w:left="84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3CD40402"/>
    <w:multiLevelType w:val="singleLevel"/>
    <w:tmpl w:val="3CD40402"/>
    <w:lvl w:ilvl="0" w:tentative="0">
      <w:start w:val="1"/>
      <w:numFmt w:val="chineseCounting"/>
      <w:suff w:val="nothing"/>
      <w:lvlText w:val="%1、"/>
      <w:lvlJc w:val="left"/>
      <w:rPr>
        <w:rFonts w:hint="eastAsia"/>
      </w:rPr>
    </w:lvl>
  </w:abstractNum>
  <w:abstractNum w:abstractNumId="16">
    <w:nsid w:val="3EB85368"/>
    <w:multiLevelType w:val="multilevel"/>
    <w:tmpl w:val="3EB85368"/>
    <w:lvl w:ilvl="0" w:tentative="0">
      <w:start w:val="1"/>
      <w:numFmt w:val="decimal"/>
      <w:lvlText w:val="1.%1"/>
      <w:lvlJc w:val="left"/>
      <w:pPr>
        <w:tabs>
          <w:tab w:val="left" w:pos="2278"/>
        </w:tabs>
        <w:ind w:left="2278" w:hanging="42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FC80A62"/>
    <w:multiLevelType w:val="multilevel"/>
    <w:tmpl w:val="3FC80A62"/>
    <w:lvl w:ilvl="0" w:tentative="0">
      <w:start w:val="1"/>
      <w:numFmt w:val="decimal"/>
      <w:lvlText w:val="4.%1"/>
      <w:lvlJc w:val="left"/>
      <w:pPr>
        <w:tabs>
          <w:tab w:val="left" w:pos="562"/>
        </w:tabs>
        <w:ind w:left="562" w:hanging="420"/>
      </w:pPr>
      <w:rPr>
        <w:rFonts w:hint="eastAsia"/>
        <w:b w:val="0"/>
        <w:i w:val="0"/>
        <w:color w:val="auto"/>
        <w:sz w:val="24"/>
        <w:szCs w:val="24"/>
      </w:rPr>
    </w:lvl>
    <w:lvl w:ilvl="1" w:tentative="0">
      <w:start w:val="1"/>
      <w:numFmt w:val="decimal"/>
      <w:lvlText w:val="(%2)"/>
      <w:lvlJc w:val="left"/>
      <w:pPr>
        <w:tabs>
          <w:tab w:val="left" w:pos="-140"/>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0B6C9A8"/>
    <w:multiLevelType w:val="singleLevel"/>
    <w:tmpl w:val="40B6C9A8"/>
    <w:lvl w:ilvl="0" w:tentative="0">
      <w:start w:val="1"/>
      <w:numFmt w:val="decimal"/>
      <w:suff w:val="nothing"/>
      <w:lvlText w:val="%1、"/>
      <w:lvlJc w:val="left"/>
      <w:pPr>
        <w:ind w:left="-140"/>
      </w:pPr>
    </w:lvl>
  </w:abstractNum>
  <w:abstractNum w:abstractNumId="19">
    <w:nsid w:val="40C5160D"/>
    <w:multiLevelType w:val="multilevel"/>
    <w:tmpl w:val="40C5160D"/>
    <w:lvl w:ilvl="0" w:tentative="0">
      <w:start w:val="1"/>
      <w:numFmt w:val="decimal"/>
      <w:lvlText w:val="(%1)"/>
      <w:lvlJc w:val="left"/>
      <w:pPr>
        <w:ind w:left="988" w:hanging="420"/>
      </w:pPr>
      <w:rPr>
        <w:rFonts w:hint="eastAsia"/>
        <w:b w:val="0"/>
        <w:color w:val="auto"/>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20">
    <w:nsid w:val="490B6D34"/>
    <w:multiLevelType w:val="multilevel"/>
    <w:tmpl w:val="490B6D34"/>
    <w:lvl w:ilvl="0" w:tentative="0">
      <w:start w:val="1"/>
      <w:numFmt w:val="decimal"/>
      <w:lvlText w:val="15.%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C4253E0"/>
    <w:multiLevelType w:val="multilevel"/>
    <w:tmpl w:val="4C4253E0"/>
    <w:lvl w:ilvl="0" w:tentative="0">
      <w:start w:val="1"/>
      <w:numFmt w:val="decimal"/>
      <w:lvlText w:val="(%1)"/>
      <w:lvlJc w:val="left"/>
      <w:pPr>
        <w:ind w:left="420" w:hanging="420"/>
      </w:pPr>
      <w:rPr>
        <w:rFonts w:hint="eastAsia" w:ascii="Times New Roman" w:hAnsi="Times New Roman" w:eastAsia="宋体" w:cs="Times New Roman"/>
      </w:rPr>
    </w:lvl>
    <w:lvl w:ilvl="1" w:tentative="0">
      <w:start w:val="1"/>
      <w:numFmt w:val="decimal"/>
      <w:lvlText w:val="(%2)"/>
      <w:lvlJc w:val="left"/>
      <w:pPr>
        <w:ind w:left="840" w:hanging="420"/>
      </w:pPr>
      <w:rPr>
        <w:rFonts w:hint="default" w:ascii="Times New Roman" w:hAnsi="Times New Roman" w:cs="Times New Roman"/>
        <w:b w:val="0"/>
        <w:i w:val="0"/>
        <w:color w:val="auto"/>
        <w:spacing w:val="0"/>
        <w:kern w:val="2"/>
        <w:sz w:val="24"/>
        <w:szCs w:val="24"/>
        <w:u w:val="none"/>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EEC7676"/>
    <w:multiLevelType w:val="multilevel"/>
    <w:tmpl w:val="4EEC7676"/>
    <w:lvl w:ilvl="0" w:tentative="0">
      <w:start w:val="1"/>
      <w:numFmt w:val="decimal"/>
      <w:lvlText w:val="13.%1."/>
      <w:lvlJc w:val="left"/>
      <w:pPr>
        <w:tabs>
          <w:tab w:val="left" w:pos="3681"/>
        </w:tabs>
        <w:ind w:left="3681"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F2A4C79"/>
    <w:multiLevelType w:val="multilevel"/>
    <w:tmpl w:val="4F2A4C79"/>
    <w:lvl w:ilvl="0" w:tentative="0">
      <w:start w:val="1"/>
      <w:numFmt w:val="decimal"/>
      <w:lvlText w:val="17.%1"/>
      <w:lvlJc w:val="left"/>
      <w:pPr>
        <w:ind w:left="1126" w:hanging="420"/>
      </w:pPr>
      <w:rPr>
        <w:rFonts w:hint="eastAsia" w:cs="Times New Roman"/>
        <w:b w:val="0"/>
        <w:color w:val="auto"/>
        <w:sz w:val="24"/>
        <w:szCs w:val="21"/>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24">
    <w:nsid w:val="56791D3E"/>
    <w:multiLevelType w:val="multilevel"/>
    <w:tmpl w:val="56791D3E"/>
    <w:lvl w:ilvl="0" w:tentative="0">
      <w:start w:val="1"/>
      <w:numFmt w:val="decimal"/>
      <w:lvlText w:val="(%1)"/>
      <w:lvlJc w:val="left"/>
      <w:pPr>
        <w:tabs>
          <w:tab w:val="left" w:pos="840"/>
        </w:tabs>
        <w:ind w:left="840" w:hanging="420"/>
      </w:pPr>
      <w:rPr>
        <w:rFonts w:ascii="Times New Roman" w:hAnsi="宋体" w:eastAsia="宋体" w:cs="Times New Roman"/>
      </w:rPr>
    </w:lvl>
    <w:lvl w:ilvl="1" w:tentative="0">
      <w:start w:val="1"/>
      <w:numFmt w:val="lowerLetter"/>
      <w:lvlText w:val="%2)"/>
      <w:lvlJc w:val="left"/>
      <w:pPr>
        <w:tabs>
          <w:tab w:val="left" w:pos="360"/>
        </w:tabs>
        <w:ind w:left="360" w:hanging="420"/>
      </w:pPr>
    </w:lvl>
    <w:lvl w:ilvl="2" w:tentative="0">
      <w:start w:val="1"/>
      <w:numFmt w:val="lowerRoman"/>
      <w:lvlText w:val="%3."/>
      <w:lvlJc w:val="right"/>
      <w:pPr>
        <w:tabs>
          <w:tab w:val="left" w:pos="780"/>
        </w:tabs>
        <w:ind w:left="780" w:hanging="420"/>
      </w:pPr>
    </w:lvl>
    <w:lvl w:ilvl="3" w:tentative="0">
      <w:start w:val="1"/>
      <w:numFmt w:val="decimal"/>
      <w:lvlText w:val="%4."/>
      <w:lvlJc w:val="left"/>
      <w:pPr>
        <w:tabs>
          <w:tab w:val="left" w:pos="1200"/>
        </w:tabs>
        <w:ind w:left="1200" w:hanging="420"/>
      </w:pPr>
    </w:lvl>
    <w:lvl w:ilvl="4" w:tentative="0">
      <w:start w:val="1"/>
      <w:numFmt w:val="lowerLetter"/>
      <w:lvlText w:val="%5)"/>
      <w:lvlJc w:val="left"/>
      <w:pPr>
        <w:tabs>
          <w:tab w:val="left" w:pos="1620"/>
        </w:tabs>
        <w:ind w:left="1620" w:hanging="420"/>
      </w:pPr>
    </w:lvl>
    <w:lvl w:ilvl="5" w:tentative="0">
      <w:start w:val="1"/>
      <w:numFmt w:val="lowerRoman"/>
      <w:lvlText w:val="%6."/>
      <w:lvlJc w:val="right"/>
      <w:pPr>
        <w:tabs>
          <w:tab w:val="left" w:pos="2040"/>
        </w:tabs>
        <w:ind w:left="2040" w:hanging="420"/>
      </w:pPr>
    </w:lvl>
    <w:lvl w:ilvl="6" w:tentative="0">
      <w:start w:val="1"/>
      <w:numFmt w:val="decimal"/>
      <w:lvlText w:val="%7."/>
      <w:lvlJc w:val="left"/>
      <w:pPr>
        <w:tabs>
          <w:tab w:val="left" w:pos="2460"/>
        </w:tabs>
        <w:ind w:left="2460" w:hanging="420"/>
      </w:pPr>
    </w:lvl>
    <w:lvl w:ilvl="7" w:tentative="0">
      <w:start w:val="1"/>
      <w:numFmt w:val="lowerLetter"/>
      <w:lvlText w:val="%8)"/>
      <w:lvlJc w:val="left"/>
      <w:pPr>
        <w:tabs>
          <w:tab w:val="left" w:pos="2880"/>
        </w:tabs>
        <w:ind w:left="2880" w:hanging="420"/>
      </w:pPr>
    </w:lvl>
    <w:lvl w:ilvl="8" w:tentative="0">
      <w:start w:val="1"/>
      <w:numFmt w:val="lowerRoman"/>
      <w:lvlText w:val="%9."/>
      <w:lvlJc w:val="right"/>
      <w:pPr>
        <w:tabs>
          <w:tab w:val="left" w:pos="3300"/>
        </w:tabs>
        <w:ind w:left="3300" w:hanging="420"/>
      </w:pPr>
    </w:lvl>
  </w:abstractNum>
  <w:abstractNum w:abstractNumId="25">
    <w:nsid w:val="5D5607AE"/>
    <w:multiLevelType w:val="multilevel"/>
    <w:tmpl w:val="5D5607AE"/>
    <w:lvl w:ilvl="0" w:tentative="0">
      <w:start w:val="1"/>
      <w:numFmt w:val="decimal"/>
      <w:lvlText w:val="2.%1"/>
      <w:lvlJc w:val="left"/>
      <w:pPr>
        <w:tabs>
          <w:tab w:val="left" w:pos="840"/>
        </w:tabs>
        <w:ind w:left="840" w:hanging="420"/>
      </w:pPr>
      <w:rPr>
        <w:rFonts w:hint="default" w:ascii="Times New Roman" w:hAnsi="Times New Roman" w:cs="Times New Roman"/>
      </w:rPr>
    </w:lvl>
    <w:lvl w:ilvl="1" w:tentative="0">
      <w:start w:val="1"/>
      <w:numFmt w:val="decimal"/>
      <w:lvlText w:val="(%2)"/>
      <w:lvlJc w:val="left"/>
      <w:pPr>
        <w:tabs>
          <w:tab w:val="left" w:pos="-560"/>
        </w:tabs>
        <w:ind w:left="112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DA2558A"/>
    <w:multiLevelType w:val="multilevel"/>
    <w:tmpl w:val="5DA2558A"/>
    <w:lvl w:ilvl="0" w:tentative="0">
      <w:start w:val="0"/>
      <w:numFmt w:val="bullet"/>
      <w:pStyle w:val="26"/>
      <w:lvlText w:val=""/>
      <w:lvlJc w:val="left"/>
      <w:pPr>
        <w:ind w:left="898" w:hanging="420"/>
      </w:pPr>
      <w:rPr>
        <w:rFonts w:hint="default" w:ascii="Wingdings" w:hAnsi="Wingdings" w:eastAsia="Wingdings" w:cs="Wingdings"/>
        <w:w w:val="100"/>
        <w:sz w:val="24"/>
        <w:szCs w:val="24"/>
        <w:lang w:val="zh-CN" w:eastAsia="zh-CN" w:bidi="zh-C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61694D6C"/>
    <w:multiLevelType w:val="singleLevel"/>
    <w:tmpl w:val="61694D6C"/>
    <w:lvl w:ilvl="0" w:tentative="0">
      <w:start w:val="1"/>
      <w:numFmt w:val="decimal"/>
      <w:suff w:val="nothing"/>
      <w:lvlText w:val="%1、"/>
      <w:lvlJc w:val="left"/>
    </w:lvl>
  </w:abstractNum>
  <w:abstractNum w:abstractNumId="28">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B93CF0"/>
    <w:multiLevelType w:val="multilevel"/>
    <w:tmpl w:val="6CB93CF0"/>
    <w:lvl w:ilvl="0" w:tentative="0">
      <w:start w:val="3"/>
      <w:numFmt w:val="none"/>
      <w:lvlText w:val="6"/>
      <w:lvlJc w:val="left"/>
      <w:pPr>
        <w:tabs>
          <w:tab w:val="left" w:pos="420"/>
        </w:tabs>
        <w:ind w:left="420" w:hanging="420"/>
      </w:pPr>
      <w:rPr>
        <w:rFonts w:hint="eastAsia"/>
      </w:rPr>
    </w:lvl>
    <w:lvl w:ilvl="1" w:tentative="0">
      <w:start w:val="1"/>
      <w:numFmt w:val="decimal"/>
      <w:lvlText w:val="20.%2"/>
      <w:lvlJc w:val="left"/>
      <w:pPr>
        <w:tabs>
          <w:tab w:val="left" w:pos="720"/>
        </w:tabs>
        <w:ind w:left="720" w:hanging="72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800"/>
        </w:tabs>
        <w:ind w:left="1800" w:hanging="1800"/>
      </w:pPr>
      <w:rPr>
        <w:rFonts w:hint="eastAsia"/>
      </w:rPr>
    </w:lvl>
    <w:lvl w:ilvl="6" w:tentative="0">
      <w:start w:val="1"/>
      <w:numFmt w:val="decimal"/>
      <w:lvlText w:val="%1.%2.%3.%4.%5.%6.%7"/>
      <w:lvlJc w:val="left"/>
      <w:pPr>
        <w:tabs>
          <w:tab w:val="left" w:pos="2160"/>
        </w:tabs>
        <w:ind w:left="2160" w:hanging="216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520"/>
        </w:tabs>
        <w:ind w:left="2520" w:hanging="2520"/>
      </w:pPr>
      <w:rPr>
        <w:rFonts w:hint="eastAsia"/>
      </w:rPr>
    </w:lvl>
  </w:abstractNum>
  <w:abstractNum w:abstractNumId="30">
    <w:nsid w:val="6F281FD0"/>
    <w:multiLevelType w:val="multilevel"/>
    <w:tmpl w:val="6F281FD0"/>
    <w:lvl w:ilvl="0" w:tentative="0">
      <w:start w:val="2"/>
      <w:numFmt w:val="bullet"/>
      <w:pStyle w:val="29"/>
      <w:lvlText w:val="★"/>
      <w:lvlJc w:val="left"/>
      <w:pPr>
        <w:ind w:left="840" w:hanging="360"/>
      </w:pPr>
      <w:rPr>
        <w:rFonts w:hint="eastAsia" w:ascii="宋体" w:hAnsi="宋体" w:eastAsia="宋体" w:cs="宋体"/>
        <w:b w:val="0"/>
        <w:color w:val="auto"/>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1">
    <w:nsid w:val="78E83899"/>
    <w:multiLevelType w:val="multilevel"/>
    <w:tmpl w:val="78E83899"/>
    <w:lvl w:ilvl="0" w:tentative="0">
      <w:start w:val="14"/>
      <w:numFmt w:val="decimal"/>
      <w:lvlText w:val="%1."/>
      <w:lvlJc w:val="left"/>
      <w:pPr>
        <w:tabs>
          <w:tab w:val="left" w:pos="0"/>
        </w:tabs>
        <w:ind w:left="810" w:hanging="810"/>
      </w:pPr>
      <w:rPr>
        <w:rFonts w:hint="default"/>
      </w:rPr>
    </w:lvl>
    <w:lvl w:ilvl="1" w:tentative="0">
      <w:start w:val="1"/>
      <w:numFmt w:val="decimal"/>
      <w:lvlText w:val="21.%2"/>
      <w:lvlJc w:val="left"/>
      <w:pPr>
        <w:tabs>
          <w:tab w:val="left" w:pos="0"/>
        </w:tabs>
        <w:ind w:left="810" w:hanging="810"/>
      </w:pPr>
      <w:rPr>
        <w:rFonts w:hint="default" w:ascii="Times New Roman" w:hAnsi="Times New Roman" w:eastAsia="宋体" w:cs="Times New Roman"/>
        <w:b w:val="0"/>
        <w:i w:val="0"/>
        <w:color w:val="auto"/>
        <w:sz w:val="24"/>
        <w:szCs w:val="21"/>
        <w:lang w:val="en-US"/>
      </w:rPr>
    </w:lvl>
    <w:lvl w:ilvl="2" w:tentative="0">
      <w:start w:val="1"/>
      <w:numFmt w:val="decimal"/>
      <w:lvlText w:val="%1.%2、%3."/>
      <w:lvlJc w:val="left"/>
      <w:pPr>
        <w:tabs>
          <w:tab w:val="left" w:pos="0"/>
        </w:tabs>
        <w:ind w:left="1080" w:hanging="1080"/>
      </w:pPr>
      <w:rPr>
        <w:rFonts w:hint="default"/>
      </w:rPr>
    </w:lvl>
    <w:lvl w:ilvl="3" w:tentative="0">
      <w:start w:val="1"/>
      <w:numFmt w:val="decimal"/>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440" w:hanging="1440"/>
      </w:pPr>
      <w:rPr>
        <w:rFonts w:hint="default"/>
      </w:rPr>
    </w:lvl>
    <w:lvl w:ilvl="5" w:tentative="0">
      <w:start w:val="1"/>
      <w:numFmt w:val="decimal"/>
      <w:lvlText w:val="%1.%2、%3.%4.%5.%6."/>
      <w:lvlJc w:val="left"/>
      <w:pPr>
        <w:tabs>
          <w:tab w:val="left" w:pos="0"/>
        </w:tabs>
        <w:ind w:left="1800" w:hanging="1800"/>
      </w:pPr>
      <w:rPr>
        <w:rFonts w:hint="default"/>
      </w:rPr>
    </w:lvl>
    <w:lvl w:ilvl="6" w:tentative="0">
      <w:start w:val="1"/>
      <w:numFmt w:val="decimal"/>
      <w:lvlText w:val="%1.%2、%3.%4.%5.%6.%7."/>
      <w:lvlJc w:val="left"/>
      <w:pPr>
        <w:tabs>
          <w:tab w:val="left" w:pos="0"/>
        </w:tabs>
        <w:ind w:left="1800" w:hanging="1800"/>
      </w:pPr>
      <w:rPr>
        <w:rFonts w:hint="default"/>
      </w:rPr>
    </w:lvl>
    <w:lvl w:ilvl="7" w:tentative="0">
      <w:start w:val="1"/>
      <w:numFmt w:val="decimal"/>
      <w:lvlText w:val="%1.%2、%3.%4.%5.%6.%7.%8."/>
      <w:lvlJc w:val="left"/>
      <w:pPr>
        <w:tabs>
          <w:tab w:val="left" w:pos="0"/>
        </w:tabs>
        <w:ind w:left="2160" w:hanging="216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32">
    <w:nsid w:val="7C367DBC"/>
    <w:multiLevelType w:val="multilevel"/>
    <w:tmpl w:val="7C367DBC"/>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3">
    <w:nsid w:val="7C6A4F85"/>
    <w:multiLevelType w:val="multilevel"/>
    <w:tmpl w:val="7C6A4F85"/>
    <w:lvl w:ilvl="0" w:tentative="0">
      <w:start w:val="1"/>
      <w:numFmt w:val="decimal"/>
      <w:lvlText w:val="6.%1"/>
      <w:lvlJc w:val="left"/>
      <w:pPr>
        <w:ind w:left="420" w:hanging="420"/>
      </w:pPr>
      <w:rPr>
        <w:rFonts w:hint="eastAsia"/>
        <w:b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7ECC3C6B"/>
    <w:multiLevelType w:val="multilevel"/>
    <w:tmpl w:val="7ECC3C6B"/>
    <w:lvl w:ilvl="0" w:tentative="0">
      <w:start w:val="1"/>
      <w:numFmt w:val="decimal"/>
      <w:lvlText w:val="3.%1"/>
      <w:lvlJc w:val="left"/>
      <w:pPr>
        <w:ind w:left="420" w:hanging="420"/>
      </w:pPr>
      <w:rPr>
        <w:rFonts w:hint="default" w:ascii="Times New Roman" w:hAnsi="Times New Roman" w:cs="Times New Roman"/>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6"/>
  </w:num>
  <w:num w:numId="2">
    <w:abstractNumId w:val="30"/>
  </w:num>
  <w:num w:numId="3">
    <w:abstractNumId w:val="15"/>
  </w:num>
  <w:num w:numId="4">
    <w:abstractNumId w:val="10"/>
  </w:num>
  <w:num w:numId="5">
    <w:abstractNumId w:val="16"/>
  </w:num>
  <w:num w:numId="6">
    <w:abstractNumId w:val="25"/>
  </w:num>
  <w:num w:numId="7">
    <w:abstractNumId w:val="34"/>
  </w:num>
  <w:num w:numId="8">
    <w:abstractNumId w:val="7"/>
  </w:num>
  <w:num w:numId="9">
    <w:abstractNumId w:val="17"/>
  </w:num>
  <w:num w:numId="10">
    <w:abstractNumId w:val="19"/>
  </w:num>
  <w:num w:numId="11">
    <w:abstractNumId w:val="32"/>
  </w:num>
  <w:num w:numId="12">
    <w:abstractNumId w:val="2"/>
  </w:num>
  <w:num w:numId="13">
    <w:abstractNumId w:val="33"/>
  </w:num>
  <w:num w:numId="14">
    <w:abstractNumId w:val="11"/>
  </w:num>
  <w:num w:numId="15">
    <w:abstractNumId w:val="3"/>
  </w:num>
  <w:num w:numId="16">
    <w:abstractNumId w:val="6"/>
  </w:num>
  <w:num w:numId="17">
    <w:abstractNumId w:val="0"/>
  </w:num>
  <w:num w:numId="18">
    <w:abstractNumId w:val="9"/>
  </w:num>
  <w:num w:numId="19">
    <w:abstractNumId w:val="1"/>
  </w:num>
  <w:num w:numId="20">
    <w:abstractNumId w:val="21"/>
  </w:num>
  <w:num w:numId="21">
    <w:abstractNumId w:val="22"/>
  </w:num>
  <w:num w:numId="22">
    <w:abstractNumId w:val="24"/>
  </w:num>
  <w:num w:numId="23">
    <w:abstractNumId w:val="8"/>
  </w:num>
  <w:num w:numId="24">
    <w:abstractNumId w:val="20"/>
  </w:num>
  <w:num w:numId="25">
    <w:abstractNumId w:val="14"/>
  </w:num>
  <w:num w:numId="26">
    <w:abstractNumId w:val="23"/>
  </w:num>
  <w:num w:numId="27">
    <w:abstractNumId w:val="12"/>
  </w:num>
  <w:num w:numId="28">
    <w:abstractNumId w:val="5"/>
  </w:num>
  <w:num w:numId="29">
    <w:abstractNumId w:val="13"/>
  </w:num>
  <w:num w:numId="30">
    <w:abstractNumId w:val="29"/>
  </w:num>
  <w:num w:numId="31">
    <w:abstractNumId w:val="31"/>
  </w:num>
  <w:num w:numId="32">
    <w:abstractNumId w:val="18"/>
  </w:num>
  <w:num w:numId="33">
    <w:abstractNumId w:val="4"/>
  </w:num>
  <w:num w:numId="34">
    <w:abstractNumId w:val="2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C456E"/>
    <w:rsid w:val="01E271FF"/>
    <w:rsid w:val="02886B37"/>
    <w:rsid w:val="03D05765"/>
    <w:rsid w:val="050D1D59"/>
    <w:rsid w:val="059463E3"/>
    <w:rsid w:val="076A6A45"/>
    <w:rsid w:val="087B3B3C"/>
    <w:rsid w:val="08C56BDB"/>
    <w:rsid w:val="08F10101"/>
    <w:rsid w:val="093F3D84"/>
    <w:rsid w:val="09846171"/>
    <w:rsid w:val="09B63701"/>
    <w:rsid w:val="0A5C680F"/>
    <w:rsid w:val="0A7973B5"/>
    <w:rsid w:val="0B247BE7"/>
    <w:rsid w:val="0B6423BD"/>
    <w:rsid w:val="0C2F5EFF"/>
    <w:rsid w:val="0D142104"/>
    <w:rsid w:val="0EE43141"/>
    <w:rsid w:val="0F1776B9"/>
    <w:rsid w:val="10F3686E"/>
    <w:rsid w:val="10F82DE0"/>
    <w:rsid w:val="111C2935"/>
    <w:rsid w:val="120E0D05"/>
    <w:rsid w:val="123E2587"/>
    <w:rsid w:val="13C8306A"/>
    <w:rsid w:val="14140AB7"/>
    <w:rsid w:val="15420170"/>
    <w:rsid w:val="15576134"/>
    <w:rsid w:val="15602263"/>
    <w:rsid w:val="18A63C2D"/>
    <w:rsid w:val="18BF5B28"/>
    <w:rsid w:val="19C1051D"/>
    <w:rsid w:val="1A947DD6"/>
    <w:rsid w:val="1B3D6CD9"/>
    <w:rsid w:val="1B3F1E24"/>
    <w:rsid w:val="1C107DB7"/>
    <w:rsid w:val="1C3D6D64"/>
    <w:rsid w:val="1C4D2134"/>
    <w:rsid w:val="1CF1208B"/>
    <w:rsid w:val="1D9B5CCE"/>
    <w:rsid w:val="1DEE6D36"/>
    <w:rsid w:val="200A5B20"/>
    <w:rsid w:val="21625E81"/>
    <w:rsid w:val="226D5C2A"/>
    <w:rsid w:val="23181B9F"/>
    <w:rsid w:val="244557E5"/>
    <w:rsid w:val="24462612"/>
    <w:rsid w:val="24AF58CE"/>
    <w:rsid w:val="25245E9A"/>
    <w:rsid w:val="25330E2E"/>
    <w:rsid w:val="256E2074"/>
    <w:rsid w:val="25FD4123"/>
    <w:rsid w:val="26CF7AC3"/>
    <w:rsid w:val="27570882"/>
    <w:rsid w:val="276C144B"/>
    <w:rsid w:val="2AE87D03"/>
    <w:rsid w:val="2BAF73C8"/>
    <w:rsid w:val="2BC056A6"/>
    <w:rsid w:val="2C167721"/>
    <w:rsid w:val="2C3A6526"/>
    <w:rsid w:val="2CBA556F"/>
    <w:rsid w:val="2E0319E1"/>
    <w:rsid w:val="316A3C7B"/>
    <w:rsid w:val="318C1D8B"/>
    <w:rsid w:val="323B7276"/>
    <w:rsid w:val="32552935"/>
    <w:rsid w:val="328C1A46"/>
    <w:rsid w:val="332A4C13"/>
    <w:rsid w:val="333935A7"/>
    <w:rsid w:val="34000EE3"/>
    <w:rsid w:val="34357F34"/>
    <w:rsid w:val="36C108E2"/>
    <w:rsid w:val="36DB6C4E"/>
    <w:rsid w:val="36E112D0"/>
    <w:rsid w:val="36E22E90"/>
    <w:rsid w:val="374C5E9F"/>
    <w:rsid w:val="38AB0384"/>
    <w:rsid w:val="38CE1966"/>
    <w:rsid w:val="39E9236C"/>
    <w:rsid w:val="3A0E2894"/>
    <w:rsid w:val="3A6F486B"/>
    <w:rsid w:val="3CBB6B27"/>
    <w:rsid w:val="3D376FC2"/>
    <w:rsid w:val="3D777D02"/>
    <w:rsid w:val="3E5517BE"/>
    <w:rsid w:val="40082867"/>
    <w:rsid w:val="401D4463"/>
    <w:rsid w:val="408A636F"/>
    <w:rsid w:val="40965F45"/>
    <w:rsid w:val="41A80509"/>
    <w:rsid w:val="41E130A2"/>
    <w:rsid w:val="42413E65"/>
    <w:rsid w:val="42B87E71"/>
    <w:rsid w:val="43FD142B"/>
    <w:rsid w:val="44656D56"/>
    <w:rsid w:val="44C60E22"/>
    <w:rsid w:val="44C8730E"/>
    <w:rsid w:val="45442B1D"/>
    <w:rsid w:val="45653EE1"/>
    <w:rsid w:val="473F1C86"/>
    <w:rsid w:val="476547F2"/>
    <w:rsid w:val="47776D40"/>
    <w:rsid w:val="47866D8D"/>
    <w:rsid w:val="47E81D04"/>
    <w:rsid w:val="489C4C49"/>
    <w:rsid w:val="492F66B1"/>
    <w:rsid w:val="497A66EA"/>
    <w:rsid w:val="49953228"/>
    <w:rsid w:val="49B94B53"/>
    <w:rsid w:val="4B8A32E1"/>
    <w:rsid w:val="4D3F38CB"/>
    <w:rsid w:val="4DBD40D9"/>
    <w:rsid w:val="4E4B4084"/>
    <w:rsid w:val="4FC47104"/>
    <w:rsid w:val="4FC6157F"/>
    <w:rsid w:val="505A6975"/>
    <w:rsid w:val="50D36FF2"/>
    <w:rsid w:val="51D5593F"/>
    <w:rsid w:val="51E332DC"/>
    <w:rsid w:val="52E15705"/>
    <w:rsid w:val="530F2A70"/>
    <w:rsid w:val="531A76BE"/>
    <w:rsid w:val="542E3584"/>
    <w:rsid w:val="543A0037"/>
    <w:rsid w:val="543F6D6B"/>
    <w:rsid w:val="54C74ABA"/>
    <w:rsid w:val="551B2E31"/>
    <w:rsid w:val="55BD35AF"/>
    <w:rsid w:val="55BF4D5A"/>
    <w:rsid w:val="56160ACB"/>
    <w:rsid w:val="567057F1"/>
    <w:rsid w:val="574216A0"/>
    <w:rsid w:val="5858155E"/>
    <w:rsid w:val="58927C7F"/>
    <w:rsid w:val="5A852AD1"/>
    <w:rsid w:val="5C087B8B"/>
    <w:rsid w:val="5C5047A4"/>
    <w:rsid w:val="5C995E21"/>
    <w:rsid w:val="5CEF1DC1"/>
    <w:rsid w:val="5CFF7D3B"/>
    <w:rsid w:val="5D4A3BA2"/>
    <w:rsid w:val="5D6909EB"/>
    <w:rsid w:val="5EA13F21"/>
    <w:rsid w:val="5EA841A9"/>
    <w:rsid w:val="5EEF40F1"/>
    <w:rsid w:val="5F4771A8"/>
    <w:rsid w:val="62A0195F"/>
    <w:rsid w:val="62FC43FB"/>
    <w:rsid w:val="637F0FCD"/>
    <w:rsid w:val="63C262CF"/>
    <w:rsid w:val="63E82864"/>
    <w:rsid w:val="66E95553"/>
    <w:rsid w:val="67FB0406"/>
    <w:rsid w:val="68613882"/>
    <w:rsid w:val="68B22FA3"/>
    <w:rsid w:val="69363A8A"/>
    <w:rsid w:val="693C3CE8"/>
    <w:rsid w:val="69C65F01"/>
    <w:rsid w:val="6A0B0806"/>
    <w:rsid w:val="6A1F0454"/>
    <w:rsid w:val="6CAB7197"/>
    <w:rsid w:val="6D9F1FE6"/>
    <w:rsid w:val="6E5B3A74"/>
    <w:rsid w:val="6E65139B"/>
    <w:rsid w:val="6EDA3E76"/>
    <w:rsid w:val="719C7C31"/>
    <w:rsid w:val="72233722"/>
    <w:rsid w:val="72784F94"/>
    <w:rsid w:val="72846E08"/>
    <w:rsid w:val="73AA2F62"/>
    <w:rsid w:val="73BB4BAC"/>
    <w:rsid w:val="751A2E05"/>
    <w:rsid w:val="754A75E4"/>
    <w:rsid w:val="756D3991"/>
    <w:rsid w:val="758249FE"/>
    <w:rsid w:val="75BC0475"/>
    <w:rsid w:val="77F82A54"/>
    <w:rsid w:val="78F61204"/>
    <w:rsid w:val="795216B7"/>
    <w:rsid w:val="7A243685"/>
    <w:rsid w:val="7A7A081F"/>
    <w:rsid w:val="7AF00B93"/>
    <w:rsid w:val="7B4C1199"/>
    <w:rsid w:val="7C88209D"/>
    <w:rsid w:val="7D1E145A"/>
    <w:rsid w:val="7D3556BB"/>
    <w:rsid w:val="7D5D3F3B"/>
    <w:rsid w:val="7F4E6C4D"/>
    <w:rsid w:val="7F5124DB"/>
    <w:rsid w:val="7FD71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qFormat/>
    <w:uiPriority w:val="0"/>
    <w:pPr>
      <w:keepNext/>
      <w:keepLines/>
      <w:spacing w:before="340" w:after="330" w:line="578" w:lineRule="auto"/>
      <w:jc w:val="both"/>
      <w:outlineLvl w:val="0"/>
    </w:pPr>
    <w:rPr>
      <w:rFonts w:ascii="Times New Roman" w:hAnsi="Times New Roman" w:eastAsia="宋体" w:cs="Times New Roman"/>
      <w:b/>
      <w:bCs/>
      <w:kern w:val="44"/>
      <w:sz w:val="44"/>
      <w:szCs w:val="44"/>
      <w:lang w:val="zh-CN" w:eastAsia="zh-CN"/>
    </w:rPr>
  </w:style>
  <w:style w:type="paragraph" w:styleId="6">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0">
    <w:name w:val="Default Paragraph Font"/>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默认段落字体 Para Char"/>
    <w:basedOn w:val="3"/>
    <w:next w:val="3"/>
    <w:qFormat/>
    <w:uiPriority w:val="0"/>
    <w:pPr>
      <w:widowControl w:val="0"/>
      <w:spacing w:before="80" w:after="80" w:line="360" w:lineRule="auto"/>
      <w:jc w:val="both"/>
    </w:pPr>
    <w:rPr>
      <w:rFonts w:ascii="Calibri" w:hAnsi="Calibri" w:cs="Times New Roman"/>
      <w:kern w:val="2"/>
      <w:szCs w:val="20"/>
    </w:rPr>
  </w:style>
  <w:style w:type="paragraph" w:customStyle="1" w:styleId="3">
    <w:name w:val="Normal_1"/>
    <w:next w:val="2"/>
    <w:qFormat/>
    <w:uiPriority w:val="0"/>
    <w:rPr>
      <w:rFonts w:ascii="Times New Roman" w:hAnsi="Times New Roman" w:eastAsia="Times New Roman" w:cs="Times New Roman"/>
      <w:sz w:val="24"/>
      <w:szCs w:val="24"/>
    </w:rPr>
  </w:style>
  <w:style w:type="paragraph" w:styleId="5">
    <w:name w:val="Normal Indent"/>
    <w:basedOn w:val="1"/>
    <w:next w:val="1"/>
    <w:qFormat/>
    <w:uiPriority w:val="0"/>
    <w:pPr>
      <w:ind w:firstLine="420" w:firstLineChars="200"/>
    </w:pPr>
    <w:rPr>
      <w:rFonts w:ascii="Times New Roman" w:hAnsi="Times New Roman"/>
      <w:szCs w:val="24"/>
    </w:rPr>
  </w:style>
  <w:style w:type="paragraph" w:styleId="8">
    <w:name w:val="annotation text"/>
    <w:basedOn w:val="1"/>
    <w:unhideWhenUsed/>
    <w:qFormat/>
    <w:uiPriority w:val="99"/>
    <w:pPr>
      <w:jc w:val="left"/>
    </w:pPr>
  </w:style>
  <w:style w:type="paragraph" w:styleId="9">
    <w:name w:val="Body Text"/>
    <w:basedOn w:val="1"/>
    <w:next w:val="1"/>
    <w:qFormat/>
    <w:uiPriority w:val="1"/>
    <w:pPr>
      <w:spacing w:before="36"/>
      <w:ind w:left="780"/>
      <w:jc w:val="left"/>
    </w:pPr>
    <w:rPr>
      <w:rFonts w:ascii="宋体" w:hAnsi="宋体" w:eastAsia="宋体"/>
      <w:kern w:val="0"/>
      <w:szCs w:val="21"/>
      <w:lang w:eastAsia="en-US"/>
    </w:rPr>
  </w:style>
  <w:style w:type="paragraph" w:styleId="10">
    <w:name w:val="List 2"/>
    <w:basedOn w:val="1"/>
    <w:next w:val="1"/>
    <w:qFormat/>
    <w:uiPriority w:val="0"/>
    <w:pPr>
      <w:ind w:left="100" w:leftChars="200" w:hanging="200" w:hangingChars="200"/>
    </w:pPr>
  </w:style>
  <w:style w:type="paragraph" w:styleId="11">
    <w:name w:val="footer"/>
    <w:basedOn w:val="1"/>
    <w:next w:val="5"/>
    <w:unhideWhenUsed/>
    <w:qFormat/>
    <w:uiPriority w:val="99"/>
    <w:pPr>
      <w:tabs>
        <w:tab w:val="center" w:pos="4153"/>
        <w:tab w:val="right" w:pos="8306"/>
      </w:tabs>
      <w:snapToGrid w:val="0"/>
      <w:jc w:val="left"/>
    </w:pPr>
    <w:rPr>
      <w:sz w:val="18"/>
      <w:szCs w:val="18"/>
    </w:rPr>
  </w:style>
  <w:style w:type="paragraph" w:styleId="12">
    <w:name w:val="toc 1"/>
    <w:basedOn w:val="1"/>
    <w:next w:val="1"/>
    <w:qFormat/>
    <w:uiPriority w:val="39"/>
    <w:pPr>
      <w:tabs>
        <w:tab w:val="right" w:leader="dot" w:pos="8608"/>
      </w:tabs>
      <w:spacing w:line="360" w:lineRule="auto"/>
      <w:ind w:firstLine="425" w:firstLineChars="177"/>
    </w:pPr>
  </w:style>
  <w:style w:type="paragraph" w:styleId="13">
    <w:name w:val="Body Text 2"/>
    <w:basedOn w:val="1"/>
    <w:unhideWhenUsed/>
    <w:qFormat/>
    <w:uiPriority w:val="99"/>
    <w:pPr>
      <w:spacing w:after="120" w:line="480" w:lineRule="auto"/>
    </w:p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Title"/>
    <w:basedOn w:val="1"/>
    <w:qFormat/>
    <w:uiPriority w:val="0"/>
    <w:pPr>
      <w:spacing w:before="240" w:after="60"/>
      <w:jc w:val="center"/>
      <w:outlineLvl w:val="0"/>
    </w:pPr>
    <w:rPr>
      <w:rFonts w:ascii="Arial" w:hAnsi="Arial" w:eastAsia="楷体_GB2312"/>
      <w:b/>
      <w:bCs/>
      <w:sz w:val="32"/>
      <w:szCs w:val="32"/>
    </w:rPr>
  </w:style>
  <w:style w:type="paragraph" w:styleId="16">
    <w:name w:val="annotation subject"/>
    <w:next w:val="8"/>
    <w:unhideWhenUsed/>
    <w:qFormat/>
    <w:uiPriority w:val="0"/>
    <w:pPr>
      <w:widowControl w:val="0"/>
      <w:jc w:val="left"/>
    </w:pPr>
    <w:rPr>
      <w:rFonts w:asciiTheme="minorHAnsi" w:hAnsiTheme="minorHAnsi" w:eastAsiaTheme="minorEastAsia" w:cstheme="minorBidi"/>
      <w:b/>
      <w:bCs/>
      <w:kern w:val="2"/>
      <w:sz w:val="21"/>
      <w:szCs w:val="22"/>
      <w:lang w:val="en-US" w:eastAsia="zh-CN" w:bidi="ar-SA"/>
    </w:rPr>
  </w:style>
  <w:style w:type="paragraph" w:styleId="17">
    <w:name w:val="Body Text First Indent 2"/>
    <w:basedOn w:val="1"/>
    <w:next w:val="1"/>
    <w:qFormat/>
    <w:uiPriority w:val="0"/>
    <w:pPr>
      <w:ind w:firstLine="420" w:firstLineChars="200"/>
    </w:p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书目1"/>
    <w:basedOn w:val="1"/>
    <w:next w:val="1"/>
    <w:unhideWhenUsed/>
    <w:qFormat/>
    <w:uiPriority w:val="37"/>
  </w:style>
  <w:style w:type="paragraph" w:customStyle="1" w:styleId="23">
    <w:name w:val="Table Paragraph"/>
    <w:basedOn w:val="24"/>
    <w:qFormat/>
    <w:uiPriority w:val="0"/>
    <w:pPr>
      <w:jc w:val="left"/>
    </w:pPr>
    <w:rPr>
      <w:kern w:val="0"/>
      <w:sz w:val="22"/>
      <w:lang w:eastAsia="en-US"/>
    </w:rPr>
  </w:style>
  <w:style w:type="paragraph" w:customStyle="1" w:styleId="24">
    <w:name w:val="正文_1"/>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6">
    <w:name w:val="项目编号⚪"/>
    <w:qFormat/>
    <w:uiPriority w:val="0"/>
    <w:pPr>
      <w:numPr>
        <w:ilvl w:val="0"/>
        <w:numId w:val="1"/>
      </w:numPr>
      <w:adjustRightInd w:val="0"/>
      <w:snapToGrid w:val="0"/>
      <w:spacing w:line="360" w:lineRule="auto"/>
      <w:jc w:val="both"/>
    </w:pPr>
    <w:rPr>
      <w:rFonts w:ascii="Arial" w:hAnsi="Arial" w:eastAsia="宋体" w:cs="Times New Roman"/>
      <w:sz w:val="24"/>
      <w:szCs w:val="21"/>
      <w:lang w:val="en-US" w:eastAsia="zh-CN" w:bidi="ar-SA"/>
    </w:rPr>
  </w:style>
  <w:style w:type="paragraph" w:customStyle="1" w:styleId="27">
    <w:name w:val="首行缩进2字符"/>
    <w:basedOn w:val="1"/>
    <w:qFormat/>
    <w:uiPriority w:val="0"/>
    <w:pPr>
      <w:adjustRightInd w:val="0"/>
      <w:snapToGrid w:val="0"/>
      <w:spacing w:line="360" w:lineRule="auto"/>
      <w:ind w:firstLine="200" w:firstLineChars="200"/>
    </w:pPr>
    <w:rPr>
      <w:rFonts w:eastAsia="宋体" w:cs="宋体"/>
      <w:szCs w:val="24"/>
    </w:rPr>
  </w:style>
  <w:style w:type="paragraph" w:customStyle="1" w:styleId="28">
    <w:name w:val="左侧3字符"/>
    <w:basedOn w:val="27"/>
    <w:qFormat/>
    <w:uiPriority w:val="0"/>
    <w:pPr>
      <w:ind w:left="300" w:leftChars="300" w:firstLine="0" w:firstLineChars="0"/>
    </w:pPr>
  </w:style>
  <w:style w:type="paragraph" w:customStyle="1" w:styleId="29">
    <w:name w:val="项目编号★"/>
    <w:basedOn w:val="27"/>
    <w:qFormat/>
    <w:uiPriority w:val="0"/>
    <w:pPr>
      <w:numPr>
        <w:ilvl w:val="0"/>
        <w:numId w:val="2"/>
      </w:numPr>
      <w:ind w:left="300" w:hanging="300" w:hangingChars="300"/>
    </w:pPr>
  </w:style>
  <w:style w:type="paragraph" w:styleId="30">
    <w:name w:val="No Spacing"/>
    <w:qFormat/>
    <w:uiPriority w:val="1"/>
    <w:pPr>
      <w:widowControl w:val="0"/>
    </w:pPr>
    <w:rPr>
      <w:rFonts w:ascii="Calibri" w:hAnsi="Calibri" w:eastAsia="宋体" w:cs="Arial"/>
      <w:sz w:val="22"/>
      <w:szCs w:val="22"/>
      <w:lang w:val="en-US" w:eastAsia="zh-CN" w:bidi="ar-SA"/>
    </w:rPr>
  </w:style>
  <w:style w:type="paragraph" w:customStyle="1" w:styleId="31">
    <w:name w:val="表文"/>
    <w:qFormat/>
    <w:uiPriority w:val="0"/>
    <w:pPr>
      <w:widowControl w:val="0"/>
      <w:jc w:val="center"/>
    </w:pPr>
    <w:rPr>
      <w:rFonts w:eastAsia="楷体" w:cs="宋体" w:asciiTheme="minorHAnsi" w:hAnsiTheme="minorHAnsi"/>
      <w:sz w:val="22"/>
      <w:szCs w:val="22"/>
      <w:lang w:val="en-US" w:eastAsia="en-US" w:bidi="ar-SA"/>
    </w:rPr>
  </w:style>
  <w:style w:type="paragraph" w:styleId="32">
    <w:name w:val="List Paragraph"/>
    <w:basedOn w:val="1"/>
    <w:qFormat/>
    <w:uiPriority w:val="34"/>
    <w:pPr>
      <w:widowControl/>
      <w:ind w:firstLine="420"/>
    </w:pPr>
    <w:rPr>
      <w:rFonts w:ascii="Calibri" w:hAnsi="Calibri" w:eastAsia="宋体" w:cs="Calibri"/>
      <w:kern w:val="0"/>
      <w:szCs w:val="21"/>
    </w:rPr>
  </w:style>
  <w:style w:type="character" w:customStyle="1" w:styleId="33">
    <w:name w:val="font01"/>
    <w:basedOn w:val="20"/>
    <w:qFormat/>
    <w:uiPriority w:val="0"/>
    <w:rPr>
      <w:rFonts w:hint="eastAsia" w:ascii="宋体" w:hAnsi="宋体" w:eastAsia="宋体" w:cs="宋体"/>
      <w:color w:val="000000"/>
      <w:sz w:val="20"/>
      <w:szCs w:val="20"/>
      <w:u w:val="none"/>
    </w:rPr>
  </w:style>
  <w:style w:type="paragraph" w:customStyle="1" w:styleId="34">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35">
    <w:name w:val="临时正文"/>
    <w:basedOn w:val="36"/>
    <w:qFormat/>
    <w:uiPriority w:val="0"/>
    <w:pPr>
      <w:spacing w:line="360" w:lineRule="auto"/>
      <w:ind w:firstLine="480"/>
    </w:pPr>
    <w:rPr>
      <w:bCs/>
      <w:kern w:val="21"/>
      <w:sz w:val="24"/>
      <w:szCs w:val="24"/>
    </w:rPr>
  </w:style>
  <w:style w:type="paragraph" w:customStyle="1" w:styleId="36">
    <w:name w:val="正文格式"/>
    <w:basedOn w:val="1"/>
    <w:qFormat/>
    <w:uiPriority w:val="0"/>
    <w:pPr>
      <w:keepNext w:val="0"/>
      <w:topLinePunct/>
      <w:ind w:firstLine="420" w:firstLineChars="200"/>
    </w:pPr>
    <w:rPr>
      <w:rFonts w:ascii="宋体" w:hAnsi="宋体"/>
      <w:szCs w:val="20"/>
    </w:rPr>
  </w:style>
  <w:style w:type="paragraph" w:customStyle="1" w:styleId="37">
    <w:name w:val="正文表标题"/>
    <w:next w:val="1"/>
    <w:qFormat/>
    <w:uiPriority w:val="0"/>
    <w:pPr>
      <w:spacing w:beforeLines="50" w:afterLines="50"/>
      <w:ind w:left="885" w:hanging="360"/>
      <w:jc w:val="center"/>
    </w:pPr>
    <w:rPr>
      <w:rFonts w:ascii="黑体" w:hAnsi="Times New Roman" w:eastAsia="黑体" w:cs="Times New Roman"/>
      <w:sz w:val="21"/>
      <w:lang w:val="en-US" w:eastAsia="zh-CN" w:bidi="ar-SA"/>
    </w:rPr>
  </w:style>
  <w:style w:type="paragraph" w:customStyle="1" w:styleId="38">
    <w:name w:val="Normal2"/>
    <w:qFormat/>
    <w:uiPriority w:val="0"/>
    <w:pPr>
      <w:widowControl w:val="0"/>
      <w:adjustRightInd w:val="0"/>
      <w:spacing w:line="360" w:lineRule="atLeast"/>
      <w:textAlignment w:val="baseline"/>
    </w:pPr>
    <w:rPr>
      <w:rFonts w:ascii="Courier" w:hAnsi="Courier" w:eastAsia="宋体" w:cs="Times New Roman"/>
      <w:sz w:val="24"/>
      <w:lang w:val="en-US" w:eastAsia="zh-CN" w:bidi="ar-SA"/>
    </w:rPr>
  </w:style>
  <w:style w:type="paragraph" w:customStyle="1" w:styleId="39">
    <w:name w:val="规范1级标题"/>
    <w:basedOn w:val="40"/>
    <w:qFormat/>
    <w:uiPriority w:val="0"/>
    <w:rPr>
      <w:sz w:val="28"/>
      <w:szCs w:val="28"/>
    </w:rPr>
  </w:style>
  <w:style w:type="paragraph" w:customStyle="1" w:styleId="40">
    <w:name w:val="一级标题"/>
    <w:basedOn w:val="4"/>
    <w:qFormat/>
    <w:uiPriority w:val="0"/>
  </w:style>
  <w:style w:type="table" w:customStyle="1" w:styleId="41">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42">
    <w:name w:val="APTIT3"/>
    <w:basedOn w:val="43"/>
    <w:qFormat/>
    <w:uiPriority w:val="0"/>
    <w:pPr>
      <w:ind w:left="2126"/>
    </w:pPr>
  </w:style>
  <w:style w:type="paragraph" w:customStyle="1" w:styleId="43">
    <w:name w:val="APTIT2"/>
    <w:basedOn w:val="44"/>
    <w:qFormat/>
    <w:uiPriority w:val="0"/>
    <w:pPr>
      <w:ind w:left="1418"/>
    </w:pPr>
  </w:style>
  <w:style w:type="paragraph" w:customStyle="1" w:styleId="44">
    <w:name w:val="APTIT1"/>
    <w:basedOn w:val="1"/>
    <w:qFormat/>
    <w:uiPriority w:val="0"/>
    <w:pPr>
      <w:widowControl/>
      <w:spacing w:line="360" w:lineRule="atLeast"/>
      <w:ind w:left="709"/>
      <w:jc w:val="both"/>
    </w:pPr>
    <w:rPr>
      <w:rFonts w:ascii="Times New Roman" w:hAnsi="Times New Roman" w:eastAsia="宋体" w:cs="Times New Roman"/>
      <w:sz w:val="24"/>
      <w:szCs w:val="20"/>
      <w:lang w:val="en-GB"/>
    </w:rPr>
  </w:style>
  <w:style w:type="paragraph" w:customStyle="1" w:styleId="45">
    <w:name w:val="正文文本_0"/>
    <w:basedOn w:val="46"/>
    <w:unhideWhenUsed/>
    <w:qFormat/>
    <w:uiPriority w:val="1"/>
    <w:pPr>
      <w:spacing w:line="360" w:lineRule="exact"/>
      <w:ind w:firstLine="200" w:firstLineChars="200"/>
    </w:pPr>
    <w:rPr>
      <w:rFonts w:ascii="Microsoft YaHei UI" w:hAnsi="Microsoft YaHei UI" w:eastAsia="Microsoft YaHei UI"/>
      <w:kern w:val="0"/>
      <w:szCs w:val="21"/>
    </w:rPr>
  </w:style>
  <w:style w:type="paragraph" w:customStyle="1" w:styleId="4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2024-08-08T07:26:00Z</dcterms:created>
  <dc:creator>liuna</dc:creator>
  <cp:lastModifiedBy>ZBTJZHLIUNA</cp:lastModifiedBy>
  <dcterms:modified xsi:type="dcterms:W3CDTF">2025-10-24T02:42:52Z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B7053D162E5A46EBB11A537A9019D98A</vt:lpwstr>
  </property>
</Properties>
</file>