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cs="宋体" w:asciiTheme="minorEastAsia" w:hAnsiTheme="minorEastAsia"/>
          <w:color w:val="auto"/>
          <w:sz w:val="72"/>
          <w:szCs w:val="72"/>
          <w:highlight w:val="none"/>
        </w:rPr>
      </w:pPr>
      <w:r>
        <w:rPr>
          <w:rFonts w:hint="eastAsia" w:cs="宋体" w:asciiTheme="minorEastAsia" w:hAnsiTheme="minorEastAsia"/>
          <w:color w:val="auto"/>
          <w:sz w:val="44"/>
          <w:szCs w:val="44"/>
          <w:highlight w:val="none"/>
          <w:lang w:val="en-US" w:eastAsia="zh-CN"/>
        </w:rPr>
        <w:t>公开/邀请询价文件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auto"/>
          <w:sz w:val="5"/>
          <w:szCs w:val="5"/>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1840"/>
        <w:textAlignment w:val="auto"/>
        <w:outlineLvl w:val="9"/>
        <w:rPr>
          <w:rFonts w:cs="宋体" w:asciiTheme="minorEastAsia" w:hAnsiTheme="minorEastAsia"/>
          <w:color w:val="auto"/>
          <w:sz w:val="4"/>
          <w:szCs w:val="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auto"/>
          <w:sz w:val="7"/>
          <w:szCs w:val="7"/>
          <w:highlight w:val="none"/>
        </w:rPr>
      </w:pP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auto"/>
          <w:highlight w:val="none"/>
        </w:rPr>
      </w:pPr>
      <w:r>
        <w:rPr>
          <w:rFonts w:asciiTheme="minorEastAsia" w:hAnsiTheme="minorEastAsia" w:eastAsiaTheme="minorEastAsia"/>
          <w:color w:val="auto"/>
          <w:spacing w:val="-3"/>
          <w:highlight w:val="none"/>
        </w:rPr>
        <w:t>（</w:t>
      </w:r>
      <w:r>
        <w:rPr>
          <w:rFonts w:hint="eastAsia" w:asciiTheme="minorEastAsia" w:hAnsiTheme="minorEastAsia"/>
          <w:color w:val="auto"/>
          <w:spacing w:val="-3"/>
          <w:highlight w:val="none"/>
          <w:lang w:val="en-US" w:eastAsia="zh-CN"/>
        </w:rPr>
        <w:t>项目名称</w:t>
      </w:r>
      <w:r>
        <w:rPr>
          <w:rFonts w:asciiTheme="minorEastAsia" w:hAnsiTheme="minorEastAsia" w:eastAsiaTheme="minorEastAsia"/>
          <w:color w:val="auto"/>
          <w:spacing w:val="-3"/>
          <w:highlight w:val="none"/>
        </w:rPr>
        <w:t>：</w:t>
      </w:r>
      <w:r>
        <w:rPr>
          <w:rFonts w:hint="eastAsia" w:asciiTheme="minorEastAsia" w:hAnsiTheme="minorEastAsia"/>
          <w:color w:val="auto"/>
          <w:spacing w:val="-3"/>
          <w:highlight w:val="none"/>
          <w:u w:val="single"/>
          <w:lang w:val="en-US" w:eastAsia="zh-CN"/>
        </w:rPr>
        <w:t>装备公司办公家具采购</w:t>
      </w:r>
      <w:r>
        <w:rPr>
          <w:rFonts w:asciiTheme="minorEastAsia" w:hAnsiTheme="minorEastAsia" w:eastAsiaTheme="minorEastAsia"/>
          <w:color w:val="auto"/>
          <w:spacing w:val="-3"/>
          <w:highlight w:val="none"/>
          <w:u w:val="single"/>
        </w:rPr>
        <w:tab/>
      </w:r>
      <w:r>
        <w:rPr>
          <w:rFonts w:asciiTheme="minorEastAsia" w:hAnsiTheme="minorEastAsia" w:eastAsiaTheme="minorEastAsia"/>
          <w:color w:val="auto"/>
          <w:highlight w:val="none"/>
        </w:rPr>
        <w:t>）</w:t>
      </w: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auto"/>
          <w:spacing w:val="-3"/>
          <w:highlight w:val="none"/>
        </w:rPr>
        <w:t>（采购编号：</w:t>
      </w:r>
      <w:r>
        <w:rPr>
          <w:rFonts w:hint="eastAsia" w:asciiTheme="minorEastAsia" w:hAnsiTheme="minorEastAsia" w:eastAsiaTheme="minorEastAsia"/>
          <w:color w:val="auto"/>
          <w:spacing w:val="-3"/>
          <w:highlight w:val="none"/>
          <w:u w:val="single"/>
        </w:rPr>
        <w:t>GKXJ-2024-ZB-2201</w:t>
      </w:r>
      <w:r>
        <w:rPr>
          <w:rFonts w:asciiTheme="minorEastAsia" w:hAnsiTheme="minorEastAsia" w:eastAsiaTheme="minorEastAsia"/>
          <w:color w:val="auto"/>
          <w:spacing w:val="-3"/>
          <w:highlight w:val="none"/>
          <w:u w:val="single"/>
        </w:rPr>
        <w:tab/>
      </w:r>
      <w:r>
        <w:rPr>
          <w:rFonts w:asciiTheme="minorEastAsia" w:hAnsiTheme="minorEastAsia" w:eastAsiaTheme="minorEastAsia"/>
          <w:color w:val="auto"/>
          <w:highlight w:val="none"/>
        </w:rPr>
        <w:t>）</w:t>
      </w:r>
    </w:p>
    <w:p>
      <w:pPr>
        <w:pStyle w:val="5"/>
        <w:rPr>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772"/>
        <w:textAlignment w:val="auto"/>
        <w:outlineLvl w:val="9"/>
        <w:rPr>
          <w:rFonts w:cs="宋体" w:asciiTheme="minorEastAsia" w:hAnsiTheme="minorEastAsia"/>
          <w:color w:val="000000" w:themeColor="text1"/>
          <w:sz w:val="2"/>
          <w:szCs w:val="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tabs>
          <w:tab w:val="left" w:pos="6618"/>
        </w:tabs>
        <w:kinsoku/>
        <w:wordWrap/>
        <w:overflowPunct/>
        <w:topLinePunct w:val="0"/>
        <w:autoSpaceDE/>
        <w:autoSpaceDN/>
        <w:bidi w:val="0"/>
        <w:adjustRightInd/>
        <w:snapToGrid/>
        <w:spacing w:line="360" w:lineRule="auto"/>
        <w:ind w:right="134" w:firstLine="1500" w:firstLineChars="600"/>
        <w:jc w:val="both"/>
        <w:textAlignment w:val="auto"/>
        <w:outlineLvl w:val="9"/>
        <w:rPr>
          <w:rFonts w:cs="宋体" w:asciiTheme="minorEastAsia" w:hAnsiTheme="minorEastAsia"/>
          <w:color w:val="000000" w:themeColor="text1"/>
          <w:sz w:val="28"/>
          <w:szCs w:val="28"/>
          <w:highlight w:val="none"/>
          <w:u w:val="single"/>
          <w14:textFill>
            <w14:solidFill>
              <w14:schemeClr w14:val="tx1"/>
            </w14:solidFill>
          </w14:textFill>
        </w:rPr>
      </w:pPr>
      <w:r>
        <w:rPr>
          <w:rFonts w:cs="宋体" w:asciiTheme="minorEastAsia" w:hAnsiTheme="minorEastAsia"/>
          <w:color w:val="000000" w:themeColor="text1"/>
          <w:spacing w:val="-15"/>
          <w:sz w:val="28"/>
          <w:szCs w:val="28"/>
          <w:highlight w:val="none"/>
          <w14:textFill>
            <w14:solidFill>
              <w14:schemeClr w14:val="tx1"/>
            </w14:solidFill>
          </w14:textFill>
        </w:rPr>
        <w:t>采购人：</w:t>
      </w:r>
      <w:r>
        <w:rPr>
          <w:rFonts w:hint="eastAsia" w:cs="宋体" w:asciiTheme="minorEastAsia" w:hAnsiTheme="minorEastAsia"/>
          <w:color w:val="000000" w:themeColor="text1"/>
          <w:spacing w:val="-15"/>
          <w:sz w:val="28"/>
          <w:szCs w:val="28"/>
          <w:highlight w:val="none"/>
          <w:u w:val="single"/>
          <w14:textFill>
            <w14:solidFill>
              <w14:schemeClr w14:val="tx1"/>
            </w14:solidFill>
          </w14:textFill>
        </w:rPr>
        <w:t xml:space="preserve"> </w:t>
      </w:r>
      <w:r>
        <w:rPr>
          <w:rFonts w:hint="eastAsia" w:cs="宋体" w:asciiTheme="minorEastAsia" w:hAnsiTheme="minorEastAsia"/>
          <w:spacing w:val="-15"/>
          <w:sz w:val="28"/>
          <w:szCs w:val="28"/>
          <w:highlight w:val="none"/>
          <w:u w:val="single"/>
        </w:rPr>
        <w:t>中海油能源发展股份有限公司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19"/>
          <w:szCs w:val="19"/>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2520" w:firstLineChars="900"/>
        <w:jc w:val="both"/>
        <w:textAlignment w:val="auto"/>
        <w:outlineLvl w:val="9"/>
        <w:rPr>
          <w:rFonts w:cs="宋体" w:asciiTheme="minorEastAsia" w:hAnsiTheme="minorEastAsia"/>
          <w:color w:val="000000" w:themeColor="text1"/>
          <w:sz w:val="28"/>
          <w:szCs w:val="28"/>
          <w:highlight w:val="none"/>
          <w14:textFill>
            <w14:solidFill>
              <w14:schemeClr w14:val="tx1"/>
            </w14:solidFill>
          </w14:textFill>
        </w:rPr>
      </w:pP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2024</w:t>
      </w:r>
      <w:r>
        <w:rPr>
          <w:rFonts w:cs="宋体" w:asciiTheme="minorEastAsia" w:hAnsiTheme="minorEastAsia"/>
          <w:color w:val="000000" w:themeColor="text1"/>
          <w:sz w:val="28"/>
          <w:szCs w:val="28"/>
          <w:highlight w:val="none"/>
          <w14:textFill>
            <w14:solidFill>
              <w14:schemeClr w14:val="tx1"/>
            </w14:solidFill>
          </w14:textFill>
        </w:rPr>
        <w:t>年</w:t>
      </w:r>
      <w:r>
        <w:rPr>
          <w:rFonts w:cs="Times New Roman" w:asciiTheme="minorEastAsia" w:hAnsiTheme="minorEastAsia"/>
          <w:color w:val="000000" w:themeColor="text1"/>
          <w:sz w:val="28"/>
          <w:szCs w:val="28"/>
          <w:highlight w:val="none"/>
          <w:u w:val="single" w:color="000000"/>
          <w14:textFill>
            <w14:solidFill>
              <w14:schemeClr w14:val="tx1"/>
            </w14:solidFill>
          </w14:textFill>
        </w:rPr>
        <w:t xml:space="preserve"> </w:t>
      </w: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8</w:t>
      </w:r>
      <w:r>
        <w:rPr>
          <w:rFonts w:cs="Times New Roman" w:asciiTheme="minorEastAsia" w:hAnsiTheme="minorEastAsia"/>
          <w:color w:val="000000" w:themeColor="text1"/>
          <w:sz w:val="28"/>
          <w:szCs w:val="28"/>
          <w:highlight w:val="none"/>
          <w:u w:val="single" w:color="000000"/>
          <w14:textFill>
            <w14:solidFill>
              <w14:schemeClr w14:val="tx1"/>
            </w14:solidFill>
          </w14:textFill>
        </w:rPr>
        <w:t xml:space="preserve"> </w:t>
      </w:r>
      <w:r>
        <w:rPr>
          <w:rFonts w:cs="宋体" w:asciiTheme="minorEastAsia" w:hAnsiTheme="minorEastAsia"/>
          <w:color w:val="000000" w:themeColor="text1"/>
          <w:sz w:val="28"/>
          <w:szCs w:val="28"/>
          <w:highlight w:val="none"/>
          <w14:textFill>
            <w14:solidFill>
              <w14:schemeClr w14:val="tx1"/>
            </w14:solidFill>
          </w14:textFill>
        </w:rPr>
        <w:t>月</w:t>
      </w:r>
      <w:r>
        <w:rPr>
          <w:rFonts w:hint="eastAsia" w:cs="宋体" w:asciiTheme="minorEastAsia" w:hAnsiTheme="minorEastAsia"/>
          <w:color w:val="000000" w:themeColor="text1"/>
          <w:sz w:val="28"/>
          <w:szCs w:val="28"/>
          <w:highlight w:val="none"/>
          <w:lang w:val="en-US" w:eastAsia="zh-CN"/>
          <w14:textFill>
            <w14:solidFill>
              <w14:schemeClr w14:val="tx1"/>
            </w14:solidFill>
          </w14:textFill>
        </w:rPr>
        <w:t xml:space="preserve"> </w:t>
      </w:r>
      <w:r>
        <w:rPr>
          <w:rFonts w:hint="eastAsia" w:cs="宋体" w:asciiTheme="minorEastAsia" w:hAnsiTheme="minorEastAsia"/>
          <w:color w:val="000000" w:themeColor="text1"/>
          <w:sz w:val="28"/>
          <w:szCs w:val="28"/>
          <w:highlight w:val="none"/>
          <w:u w:val="single"/>
          <w:lang w:val="en-US" w:eastAsia="zh-CN"/>
          <w14:textFill>
            <w14:solidFill>
              <w14:schemeClr w14:val="tx1"/>
            </w14:solidFill>
          </w14:textFill>
        </w:rPr>
        <w:t>23</w:t>
      </w:r>
      <w:r>
        <w:rPr>
          <w:rFonts w:cs="宋体" w:asciiTheme="minorEastAsia" w:hAnsiTheme="minorEastAsia"/>
          <w:color w:val="000000" w:themeColor="text1"/>
          <w:sz w:val="28"/>
          <w:szCs w:val="28"/>
          <w:highlight w:val="none"/>
          <w14:textFill>
            <w14:solidFill>
              <w14:schemeClr w14:val="tx1"/>
            </w14:solidFill>
          </w14:textFill>
        </w:rPr>
        <w:t>日</w:t>
      </w: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rPr>
          <w:rFonts w:hint="eastAsia" w:asciiTheme="minorEastAsia" w:hAnsiTheme="minorEastAsia" w:cstheme="minorEastAsia"/>
          <w:b/>
          <w:bCs/>
          <w:color w:val="000000" w:themeColor="text1"/>
          <w:sz w:val="40"/>
          <w:szCs w:val="40"/>
          <w:highlight w:val="none"/>
          <w14:textFill>
            <w14:solidFill>
              <w14:schemeClr w14:val="tx1"/>
            </w14:solidFill>
          </w14:textFill>
        </w:rPr>
      </w:pPr>
      <w:r>
        <w:rPr>
          <w:rFonts w:hint="eastAsia" w:asciiTheme="minorEastAsia" w:hAnsiTheme="minorEastAsia" w:cstheme="minorEastAsia"/>
          <w:b/>
          <w:bCs/>
          <w:color w:val="000000" w:themeColor="text1"/>
          <w:sz w:val="40"/>
          <w:szCs w:val="40"/>
          <w:highlight w:val="none"/>
          <w14:textFill>
            <w14:solidFill>
              <w14:schemeClr w14:val="tx1"/>
            </w14:solidFill>
          </w14:textFill>
        </w:rPr>
        <w:br w:type="page"/>
      </w:r>
    </w:p>
    <w:p>
      <w:pPr>
        <w:pStyle w:val="3"/>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spacing w:line="360" w:lineRule="auto"/>
        <w:jc w:val="center"/>
        <w:outlineLvl w:val="0"/>
        <w:rPr>
          <w:rFonts w:ascii="黑体" w:hAnsi="黑体" w:eastAsia="黑体"/>
          <w:b/>
          <w:color w:val="000000" w:themeColor="text1"/>
          <w:sz w:val="30"/>
          <w:szCs w:val="30"/>
          <w:highlight w:val="none"/>
          <w14:textFill>
            <w14:solidFill>
              <w14:schemeClr w14:val="tx1"/>
            </w14:solidFill>
          </w14:textFill>
        </w:rPr>
      </w:pPr>
      <w:r>
        <w:rPr>
          <w:rFonts w:hint="eastAsia" w:ascii="黑体" w:hAnsi="黑体" w:eastAsia="黑体"/>
          <w:b/>
          <w:color w:val="000000" w:themeColor="text1"/>
          <w:sz w:val="30"/>
          <w:szCs w:val="30"/>
          <w:highlight w:val="none"/>
          <w14:textFill>
            <w14:solidFill>
              <w14:schemeClr w14:val="tx1"/>
            </w14:solidFill>
          </w14:textFill>
        </w:rPr>
        <w:t>询价文件</w:t>
      </w:r>
    </w:p>
    <w:p>
      <w:pPr>
        <w:spacing w:line="360" w:lineRule="auto"/>
        <w:jc w:val="center"/>
        <w:rPr>
          <w:rFonts w:asciiTheme="minorEastAsia" w:hAnsiTheme="minorEastAsia"/>
          <w:color w:val="000000" w:themeColor="text1"/>
          <w:sz w:val="24"/>
          <w:szCs w:val="24"/>
          <w:highlight w:val="none"/>
          <w14:textFill>
            <w14:solidFill>
              <w14:schemeClr w14:val="tx1"/>
            </w14:solidFill>
          </w14:textFill>
        </w:rPr>
      </w:pPr>
    </w:p>
    <w:p>
      <w:pPr>
        <w:spacing w:line="360" w:lineRule="auto"/>
        <w:ind w:firstLine="420" w:firstLineChars="20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海油发展采办共享中心对</w:t>
      </w:r>
      <w:r>
        <w:rPr>
          <w:rFonts w:hint="eastAsia" w:asciiTheme="minorEastAsia" w:hAnsiTheme="minorEastAsia"/>
          <w:color w:val="000000" w:themeColor="text1"/>
          <w:sz w:val="21"/>
          <w:szCs w:val="21"/>
          <w:highlight w:val="none"/>
          <w:u w:val="single"/>
          <w14:textFill>
            <w14:solidFill>
              <w14:schemeClr w14:val="tx1"/>
            </w14:solidFill>
          </w14:textFill>
        </w:rPr>
        <w:t xml:space="preserve"> 装备公司</w:t>
      </w:r>
      <w:r>
        <w:rPr>
          <w:rFonts w:hint="eastAsia" w:asciiTheme="minorEastAsia" w:hAnsiTheme="minorEastAsia"/>
          <w:color w:val="000000" w:themeColor="text1"/>
          <w:sz w:val="21"/>
          <w:szCs w:val="21"/>
          <w:highlight w:val="none"/>
          <w:u w:val="single"/>
          <w:lang w:eastAsia="zh-CN"/>
          <w14:textFill>
            <w14:solidFill>
              <w14:schemeClr w14:val="tx1"/>
            </w14:solidFill>
          </w14:textFill>
        </w:rPr>
        <w:t>办公家具</w:t>
      </w:r>
      <w:r>
        <w:rPr>
          <w:rFonts w:hint="eastAsia" w:asciiTheme="minorEastAsia" w:hAnsiTheme="minorEastAsia"/>
          <w:color w:val="000000" w:themeColor="text1"/>
          <w:sz w:val="21"/>
          <w:szCs w:val="21"/>
          <w:highlight w:val="none"/>
          <w:u w:val="single"/>
          <w14:textFill>
            <w14:solidFill>
              <w14:schemeClr w14:val="tx1"/>
            </w14:solidFill>
          </w14:textFill>
        </w:rPr>
        <w:t>采购</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项目进行</w:t>
      </w:r>
      <w:r>
        <w:rPr>
          <w:rFonts w:hint="eastAsia" w:asciiTheme="minorEastAsia" w:hAnsiTheme="minorEastAsia"/>
          <w:color w:val="000000" w:themeColor="text1"/>
          <w:sz w:val="21"/>
          <w:szCs w:val="21"/>
          <w:highlight w:val="none"/>
          <w:lang w:val="en-US" w:eastAsia="zh-CN"/>
          <w14:textFill>
            <w14:solidFill>
              <w14:schemeClr w14:val="tx1"/>
            </w14:solidFill>
          </w14:textFill>
        </w:rPr>
        <w:t>公开</w:t>
      </w:r>
      <w:r>
        <w:rPr>
          <w:rFonts w:hint="eastAsia" w:asciiTheme="minorEastAsia" w:hAnsiTheme="minorEastAsia"/>
          <w:color w:val="000000" w:themeColor="text1"/>
          <w:sz w:val="21"/>
          <w:szCs w:val="21"/>
          <w:highlight w:val="none"/>
          <w:lang w:eastAsia="zh-CN"/>
          <w14:textFill>
            <w14:solidFill>
              <w14:schemeClr w14:val="tx1"/>
            </w14:solidFill>
          </w14:textFill>
        </w:rPr>
        <w:t>询价</w:t>
      </w:r>
      <w:r>
        <w:rPr>
          <w:rFonts w:hint="eastAsia" w:asciiTheme="minorEastAsia" w:hAnsiTheme="minorEastAsia"/>
          <w:color w:val="000000" w:themeColor="text1"/>
          <w:sz w:val="21"/>
          <w:szCs w:val="21"/>
          <w:highlight w:val="none"/>
          <w14:textFill>
            <w14:solidFill>
              <w14:schemeClr w14:val="tx1"/>
            </w14:solidFill>
          </w14:textFill>
        </w:rPr>
        <w:t>采购，欢迎供应商参加。现将有关事项明确如下：</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1"/>
        <w:rPr>
          <w:rFonts w:asciiTheme="minorEastAsia" w:hAnsiTheme="minorEastAsia"/>
          <w:b/>
          <w:color w:val="000000" w:themeColor="text1"/>
          <w:sz w:val="21"/>
          <w:szCs w:val="21"/>
          <w:highlight w:val="none"/>
          <w14:textFill>
            <w14:solidFill>
              <w14:schemeClr w14:val="tx1"/>
            </w14:solidFill>
          </w14:textFill>
        </w:rPr>
      </w:pPr>
      <w:r>
        <w:rPr>
          <w:rFonts w:hint="eastAsia" w:asciiTheme="minorEastAsia" w:hAnsiTheme="minorEastAsia"/>
          <w:b/>
          <w:color w:val="000000" w:themeColor="text1"/>
          <w:sz w:val="21"/>
          <w:szCs w:val="21"/>
          <w:highlight w:val="none"/>
          <w14:textFill>
            <w14:solidFill>
              <w14:schemeClr w14:val="tx1"/>
            </w14:solidFill>
          </w14:textFill>
        </w:rPr>
        <w:t>总则</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1</w:t>
      </w:r>
      <w:r>
        <w:rPr>
          <w:rFonts w:hint="eastAsia" w:asciiTheme="minorEastAsia" w:hAnsiTheme="minorEastAsia"/>
          <w:color w:val="000000" w:themeColor="text1"/>
          <w:sz w:val="21"/>
          <w:szCs w:val="21"/>
          <w:highlight w:val="none"/>
          <w14:textFill>
            <w14:solidFill>
              <w14:schemeClr w14:val="tx1"/>
            </w14:solidFill>
          </w14:textFill>
        </w:rPr>
        <w:t>.合格的</w:t>
      </w:r>
      <w:r>
        <w:rPr>
          <w:rFonts w:hint="eastAsia" w:asciiTheme="minorEastAsia" w:hAnsiTheme="minorEastAsia"/>
          <w:color w:val="000000" w:themeColor="text1"/>
          <w:sz w:val="21"/>
          <w:szCs w:val="21"/>
          <w:highlight w:val="none"/>
          <w:lang w:eastAsia="zh-CN"/>
          <w14:textFill>
            <w14:solidFill>
              <w14:schemeClr w14:val="tx1"/>
            </w14:solidFill>
          </w14:textFill>
        </w:rPr>
        <w:t>应答人</w:t>
      </w:r>
      <w:r>
        <w:rPr>
          <w:rFonts w:hint="eastAsia" w:asciiTheme="minorEastAsia" w:hAnsiTheme="minorEastAsia"/>
          <w:color w:val="000000" w:themeColor="text1"/>
          <w:sz w:val="21"/>
          <w:szCs w:val="21"/>
          <w:highlight w:val="none"/>
          <w14:textFill>
            <w14:solidFill>
              <w14:schemeClr w14:val="tx1"/>
            </w14:solidFill>
          </w14:textFill>
        </w:rPr>
        <w:t>：符合询价公告的供应商资格条件。</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2.采购内容、技术参数及要求：见本询价文件附件</w:t>
      </w:r>
      <w:r>
        <w:rPr>
          <w:rFonts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14:textFill>
            <w14:solidFill>
              <w14:schemeClr w14:val="tx1"/>
            </w14:solidFill>
          </w14:textFill>
        </w:rPr>
        <w:t>。</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3</w:t>
      </w:r>
      <w:r>
        <w:rPr>
          <w:rFonts w:hint="eastAsia" w:asciiTheme="minorEastAsia" w:hAnsiTheme="minorEastAsia"/>
          <w:color w:val="000000" w:themeColor="text1"/>
          <w:sz w:val="21"/>
          <w:szCs w:val="21"/>
          <w:highlight w:val="none"/>
          <w14:textFill>
            <w14:solidFill>
              <w14:schemeClr w14:val="tx1"/>
            </w14:solidFill>
          </w14:textFill>
        </w:rPr>
        <w:t>.公告时间：自</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8</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23</w:t>
      </w:r>
      <w:r>
        <w:rPr>
          <w:rFonts w:hint="eastAsia" w:asciiTheme="minorEastAsia" w:hAnsiTheme="minorEastAsia"/>
          <w:color w:val="000000" w:themeColor="text1"/>
          <w:sz w:val="21"/>
          <w:szCs w:val="21"/>
          <w:highlight w:val="none"/>
          <w14:textFill>
            <w14:solidFill>
              <w14:schemeClr w14:val="tx1"/>
            </w14:solidFill>
          </w14:textFill>
        </w:rPr>
        <w:t>日起至</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8</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30</w:t>
      </w:r>
      <w:r>
        <w:rPr>
          <w:rFonts w:hint="eastAsia" w:asciiTheme="minorEastAsia" w:hAnsiTheme="minorEastAsia"/>
          <w:color w:val="000000" w:themeColor="text1"/>
          <w:sz w:val="21"/>
          <w:szCs w:val="21"/>
          <w:highlight w:val="none"/>
          <w14:textFill>
            <w14:solidFill>
              <w14:schemeClr w14:val="tx1"/>
            </w14:solidFill>
          </w14:textFill>
        </w:rPr>
        <w:t>日止。</w:t>
      </w:r>
    </w:p>
    <w:p>
      <w:pPr>
        <w:spacing w:line="360" w:lineRule="auto"/>
        <w:ind w:firstLine="630" w:firstLineChars="300"/>
        <w:jc w:val="left"/>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lang w:eastAsia="zh-CN"/>
          <w14:textFill>
            <w14:solidFill>
              <w14:schemeClr w14:val="tx1"/>
            </w14:solidFill>
          </w14:textFill>
        </w:rPr>
        <w:t>采购人</w:t>
      </w:r>
      <w:r>
        <w:rPr>
          <w:rFonts w:asciiTheme="minorEastAsia" w:hAnsiTheme="minorEastAsia"/>
          <w:color w:val="000000" w:themeColor="text1"/>
          <w:sz w:val="21"/>
          <w:szCs w:val="21"/>
          <w:highlight w:val="none"/>
          <w14:textFill>
            <w14:solidFill>
              <w14:schemeClr w14:val="tx1"/>
            </w14:solidFill>
          </w14:textFill>
        </w:rPr>
        <w:t>于</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 xml:space="preserve">8 </w:t>
      </w:r>
      <w:r>
        <w:rPr>
          <w:rFonts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23</w:t>
      </w:r>
      <w:r>
        <w:rPr>
          <w:rFonts w:asciiTheme="minorEastAsia" w:hAnsiTheme="minorEastAsia"/>
          <w:color w:val="000000" w:themeColor="text1"/>
          <w:sz w:val="21"/>
          <w:szCs w:val="21"/>
          <w:highlight w:val="none"/>
          <w14:textFill>
            <w14:solidFill>
              <w14:schemeClr w14:val="tx1"/>
            </w14:solidFill>
          </w14:textFill>
        </w:rPr>
        <w:t>日（北京时间</w:t>
      </w:r>
      <w:r>
        <w:rPr>
          <w:rFonts w:hint="eastAsia" w:asciiTheme="minorEastAsia" w:hAnsiTheme="minorEastAsia"/>
          <w:color w:val="000000" w:themeColor="text1"/>
          <w:sz w:val="21"/>
          <w:szCs w:val="21"/>
          <w:highlight w:val="none"/>
          <w14:textFill>
            <w14:solidFill>
              <w14:schemeClr w14:val="tx1"/>
            </w14:solidFill>
          </w14:textFill>
        </w:rPr>
        <w:t>）将询价文件发布至中国海洋石油集团有限公司《中国海油供应链数字化平台》（以下简称“系统”）https://bid.cnooc.com.cn/，请登陆并下载。</w:t>
      </w:r>
    </w:p>
    <w:p>
      <w:pPr>
        <w:numPr>
          <w:ilvl w:val="0"/>
          <w:numId w:val="1"/>
        </w:num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4.递交响应文件的截止时间及地点：递交</w:t>
      </w:r>
      <w:r>
        <w:rPr>
          <w:rFonts w:hint="eastAsia" w:asciiTheme="minorEastAsia" w:hAnsiTheme="minorEastAsia"/>
          <w:color w:val="000000" w:themeColor="text1"/>
          <w:sz w:val="21"/>
          <w:szCs w:val="21"/>
          <w:highlight w:val="none"/>
          <w14:textFill>
            <w14:solidFill>
              <w14:schemeClr w14:val="tx1"/>
            </w14:solidFill>
          </w14:textFill>
        </w:rPr>
        <w:t>报价</w:t>
      </w:r>
      <w:r>
        <w:rPr>
          <w:rFonts w:asciiTheme="minorEastAsia" w:hAnsiTheme="minorEastAsia"/>
          <w:color w:val="000000" w:themeColor="text1"/>
          <w:sz w:val="21"/>
          <w:szCs w:val="21"/>
          <w:highlight w:val="none"/>
          <w14:textFill>
            <w14:solidFill>
              <w14:schemeClr w14:val="tx1"/>
            </w14:solidFill>
          </w14:textFill>
        </w:rPr>
        <w:t>文件的截止时间为</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8</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30</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日</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10</w:t>
      </w:r>
      <w:r>
        <w:rPr>
          <w:rFonts w:asciiTheme="minorEastAsia" w:hAnsiTheme="minorEastAsia"/>
          <w:color w:val="000000" w:themeColor="text1"/>
          <w:sz w:val="21"/>
          <w:szCs w:val="21"/>
          <w:highlight w:val="none"/>
          <w14:textFill>
            <w14:solidFill>
              <w14:schemeClr w14:val="tx1"/>
            </w14:solidFill>
          </w14:textFill>
        </w:rPr>
        <w:t>时，</w:t>
      </w:r>
      <w:r>
        <w:rPr>
          <w:rFonts w:hint="eastAsia" w:asciiTheme="minorEastAsia" w:hAnsiTheme="minorEastAsia"/>
          <w:color w:val="000000" w:themeColor="text1"/>
          <w:sz w:val="21"/>
          <w:szCs w:val="21"/>
          <w:highlight w:val="none"/>
          <w14:textFill>
            <w14:solidFill>
              <w14:schemeClr w14:val="tx1"/>
            </w14:solidFill>
          </w14:textFill>
        </w:rPr>
        <w:t>请在规定报价截止时间前通过系统报价及挂接</w:t>
      </w:r>
      <w:r>
        <w:rPr>
          <w:rFonts w:hint="eastAsia" w:asciiTheme="minorEastAsia" w:hAnsiTheme="minorEastAsia"/>
          <w:color w:val="000000" w:themeColor="text1"/>
          <w:sz w:val="21"/>
          <w:szCs w:val="21"/>
          <w:highlight w:val="none"/>
          <w:lang w:val="en-US" w:eastAsia="zh-CN"/>
          <w14:textFill>
            <w14:solidFill>
              <w14:schemeClr w14:val="tx1"/>
            </w14:solidFill>
          </w14:textFill>
        </w:rPr>
        <w:t>价格明细文件</w:t>
      </w:r>
      <w:r>
        <w:rPr>
          <w:rFonts w:hint="eastAsia" w:asciiTheme="minorEastAsia" w:hAnsiTheme="minorEastAsia"/>
          <w:color w:val="000000" w:themeColor="text1"/>
          <w:sz w:val="21"/>
          <w:szCs w:val="21"/>
          <w:highlight w:val="none"/>
          <w14:textFill>
            <w14:solidFill>
              <w14:schemeClr w14:val="tx1"/>
            </w14:solidFill>
          </w14:textFill>
        </w:rPr>
        <w:t>。</w:t>
      </w:r>
    </w:p>
    <w:p>
      <w:pPr>
        <w:widowControl/>
        <w:snapToGrid w:val="0"/>
        <w:spacing w:line="460" w:lineRule="exact"/>
        <w:ind w:firstLine="420" w:firstLineChars="2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应答人须知</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）凡参加的</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均视作认同本次询价的各项约定事宜(包括供应商资格、技术参数、相关日期</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注册、准入</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等)</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不得以各类约定事宜提出质疑。</w:t>
      </w:r>
    </w:p>
    <w:p>
      <w:pPr>
        <w:pStyle w:val="3"/>
        <w:spacing w:line="360" w:lineRule="auto"/>
        <w:rPr>
          <w:rFonts w:hint="eastAsia"/>
          <w:highlight w:val="none"/>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应答人在《中国海油供应链数字化平台》填报供应商注册信息，并在注册审核通过后，方可具备参与采购业务的基本资格，未通过注册审核的应答人应答均视为无效。</w:t>
      </w:r>
    </w:p>
    <w:p>
      <w:pPr>
        <w:pStyle w:val="14"/>
        <w:numPr>
          <w:ilvl w:val="-1"/>
          <w:numId w:val="0"/>
        </w:numPr>
        <w:spacing w:line="360" w:lineRule="auto"/>
        <w:ind w:firstLine="420" w:firstLineChars="200"/>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（3）应答人（非海油发展供应商资源库供应商）应于收到中标通知书后 2 日内按照纳入海油发展供应商资源库的资料提报要求完成资料准备和上传工作。如应答人超时效未完成上传工作，有可能影响其中标资格，因此造成的损失，由供应商自行承担。</w:t>
      </w:r>
    </w:p>
    <w:p>
      <w:pPr>
        <w:pStyle w:val="3"/>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（4）应答人成交后申请供应商资源库准入阶段，采购人有权对供应商进行考察工作，具体考察工作以项目经办人通知为准。如考察结果与应答文件要求不符，采购人有权取消其成交资格。</w:t>
      </w:r>
    </w:p>
    <w:p>
      <w:pPr>
        <w:pStyle w:val="3"/>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（5）供应商履约异常处理标准，详见附件4。</w:t>
      </w:r>
    </w:p>
    <w:p>
      <w:pPr>
        <w:pStyle w:val="3"/>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6）应答人如发现询价文件及其评审办法中存在含糊不清、相互矛盾、多种含义以及歧视性不公正条款或违法违规内容时，请在报价截止日到期前一天书面形式反映，未对询价文件提出异议或要求澄清的，将视为完全理解并默认询价文件所有条款，并同意放弃对询价文件有不明或误解而询问、质疑、投诉的权利。</w:t>
      </w:r>
    </w:p>
    <w:p>
      <w:pPr>
        <w:pStyle w:val="3"/>
        <w:spacing w:line="360" w:lineRule="auto"/>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（7）</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其他：</w:t>
      </w:r>
    </w:p>
    <w:p>
      <w:pPr>
        <w:pStyle w:val="3"/>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《招标投标法实施条例》第四十条　串通投标的认定</w:t>
      </w:r>
    </w:p>
    <w:p>
      <w:pPr>
        <w:pStyle w:val="3"/>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,1)</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有下列情形之一的，视为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w:t>
      </w:r>
    </w:p>
    <w:p>
      <w:pPr>
        <w:pStyle w:val="3"/>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a</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的投标文件由同一单位或者个人编制；</w:t>
      </w:r>
    </w:p>
    <w:p>
      <w:pPr>
        <w:pStyle w:val="3"/>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b</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委托同一单位或者个人办理投标事宜；</w:t>
      </w:r>
    </w:p>
    <w:p>
      <w:pPr>
        <w:pStyle w:val="3"/>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c</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的投标文件载明的项目管理成员为同一人；</w:t>
      </w:r>
    </w:p>
    <w:p>
      <w:pPr>
        <w:pStyle w:val="3"/>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d</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的投标文件异常一致或者投标报价呈规律性差异；</w:t>
      </w:r>
    </w:p>
    <w:p>
      <w:pPr>
        <w:pStyle w:val="3"/>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e</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的投标文件相互混装；</w:t>
      </w:r>
    </w:p>
    <w:p>
      <w:pPr>
        <w:pStyle w:val="3"/>
        <w:spacing w:line="360" w:lineRule="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,2)</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报价文件特征码：若发现不同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在采办信息系统上“报价文件特征码”环节里“文件制作机器码、文件创建标识码和MAC地址”中的任何一类内容一致时，视为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相互串通投标，否决所有涉及</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评审原则：</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本次采用响应询价文件要求且</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最低原则。如</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存在两家应答人一致的情形，可按照付款条件、交货期、质保期、注册资金等优先顺序确定成交供应商</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7.联系方式：</w:t>
      </w:r>
    </w:p>
    <w:p>
      <w:pPr>
        <w:pStyle w:val="5"/>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采购人</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商务代表联系人与联系方式如下：</w:t>
      </w:r>
    </w:p>
    <w:p>
      <w:pPr>
        <w:pStyle w:val="5"/>
        <w:ind w:left="415" w:leftChars="135" w:right="10" w:hanging="132" w:hangingChars="63"/>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1）、我方技术代表联系人与联系方式如下：</w:t>
      </w:r>
    </w:p>
    <w:p>
      <w:pPr>
        <w:pStyle w:val="5"/>
        <w:ind w:left="415" w:leftChars="135" w:right="10" w:hanging="132" w:hangingChars="63"/>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联系单位：装备技术公司.</w:t>
      </w:r>
      <w:r>
        <w:rPr>
          <w:rFonts w:hint="eastAsia" w:cs="宋体"/>
          <w:b w:val="0"/>
          <w:bCs w:val="0"/>
          <w:strike w:val="0"/>
          <w:dstrike w:val="0"/>
          <w:color w:val="0000FF"/>
          <w:kern w:val="0"/>
          <w:sz w:val="21"/>
          <w:szCs w:val="21"/>
          <w:highlight w:val="none"/>
          <w:lang w:val="en-US" w:eastAsia="zh-CN" w:bidi="ar-SA"/>
        </w:rPr>
        <w:t>工防</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服务中心</w:t>
      </w:r>
    </w:p>
    <w:p>
      <w:pPr>
        <w:pStyle w:val="5"/>
        <w:ind w:left="415" w:leftChars="135" w:right="10" w:hanging="132" w:hangingChars="63"/>
        <w:rPr>
          <w:rFonts w:hint="default"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联系人：刘磊</w:t>
      </w:r>
    </w:p>
    <w:p>
      <w:pPr>
        <w:pStyle w:val="5"/>
        <w:ind w:left="415" w:leftChars="135" w:right="10" w:hanging="132" w:hangingChars="63"/>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联系电话：15900222312</w:t>
      </w:r>
    </w:p>
    <w:p>
      <w:pPr>
        <w:pStyle w:val="5"/>
        <w:ind w:left="415" w:leftChars="135" w:right="10" w:hanging="132" w:hangingChars="63"/>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邮  箱：</w:t>
      </w:r>
      <w:r>
        <w:rPr>
          <w:rFonts w:hint="eastAsia" w:cs="宋体"/>
          <w:color w:val="000000" w:themeColor="text1"/>
          <w:highlight w:val="none"/>
          <w:lang w:eastAsia="zh-CN"/>
          <w14:textFill>
            <w14:solidFill>
              <w14:schemeClr w14:val="tx1"/>
            </w14:solidFill>
          </w14:textFill>
        </w:rPr>
        <w:t>ex_liulei2@cnooc.com.cn</w:t>
      </w:r>
    </w:p>
    <w:p>
      <w:pPr>
        <w:pStyle w:val="5"/>
        <w:ind w:left="415" w:leftChars="135" w:right="10" w:hanging="132" w:hangingChars="63"/>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2）、我方商务代表联系人与联系方式如下：</w:t>
      </w:r>
    </w:p>
    <w:p>
      <w:pPr>
        <w:pStyle w:val="5"/>
        <w:ind w:left="415" w:leftChars="135" w:right="10" w:hanging="132" w:hangingChars="63"/>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联系单位：中海油能源发展装备技术有限公司</w:t>
      </w:r>
    </w:p>
    <w:p>
      <w:pPr>
        <w:pStyle w:val="5"/>
        <w:ind w:left="415" w:leftChars="135" w:right="10" w:hanging="132" w:hangingChars="63"/>
        <w:rPr>
          <w:rFonts w:hint="default"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联系人：刘娜</w:t>
      </w:r>
    </w:p>
    <w:p>
      <w:pPr>
        <w:pStyle w:val="5"/>
        <w:ind w:left="415" w:leftChars="135" w:right="10" w:hanging="132" w:hangingChars="63"/>
        <w:rPr>
          <w:rFonts w:hint="default"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联系电话：022-66919032</w:t>
      </w:r>
    </w:p>
    <w:p>
      <w:pPr>
        <w:ind w:firstLine="298" w:firstLineChars="142"/>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邮  箱：</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liuna@cnooc.com.cn</w:t>
      </w:r>
    </w:p>
    <w:p>
      <w:pPr>
        <w:rPr>
          <w:rFonts w:hint="eastAsia"/>
          <w:highlight w:val="none"/>
          <w:lang w:val="en-US" w:eastAsia="zh-CN"/>
        </w:rPr>
      </w:pPr>
    </w:p>
    <w:p>
      <w:pPr>
        <w:widowControl/>
        <w:snapToGrid w:val="0"/>
        <w:spacing w:line="240" w:lineRule="auto"/>
        <w:ind w:firstLine="210" w:firstLineChars="1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附件</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pStyle w:val="3"/>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附件1：询价评议内容</w:t>
      </w:r>
    </w:p>
    <w:p>
      <w:pPr>
        <w:pStyle w:val="3"/>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附件2：采购内容及技术要求</w:t>
      </w:r>
    </w:p>
    <w:p>
      <w:pPr>
        <w:pStyle w:val="3"/>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附件3：合同文本</w:t>
      </w:r>
    </w:p>
    <w:p>
      <w:pPr>
        <w:pStyle w:val="3"/>
        <w:keepNext w:val="0"/>
        <w:keepLines w:val="0"/>
        <w:pageBreakBefore w:val="0"/>
        <w:kinsoku/>
        <w:wordWrap/>
        <w:overflowPunct/>
        <w:topLinePunct w:val="0"/>
        <w:autoSpaceDE/>
        <w:autoSpaceDN/>
        <w:bidi w:val="0"/>
        <w:adjustRightInd/>
        <w:spacing w:line="240" w:lineRule="auto"/>
        <w:ind w:firstLine="210" w:firstLineChars="100"/>
        <w:textAlignment w:val="auto"/>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附件</w:t>
      </w:r>
      <w:r>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t>4</w:t>
      </w: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：供应商履约异常处罚方式</w:t>
      </w:r>
    </w:p>
    <w:p>
      <w:pPr>
        <w:pStyle w:val="3"/>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附件5：商务文件</w:t>
      </w:r>
    </w:p>
    <w:p>
      <w:pPr>
        <w:pStyle w:val="3"/>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附件6: 技术文件</w:t>
      </w:r>
    </w:p>
    <w:p>
      <w:pPr>
        <w:spacing w:line="240" w:lineRule="auto"/>
        <w:ind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附件7: 报价文件</w:t>
      </w:r>
    </w:p>
    <w:p>
      <w:pP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br w:type="page"/>
      </w:r>
    </w:p>
    <w:p>
      <w:pPr>
        <w:outlineLvl w:val="0"/>
        <w:rPr>
          <w:rFonts w:ascii="黑体" w:hAnsi="黑体" w:eastAsia="黑体"/>
          <w:color w:val="auto"/>
          <w:sz w:val="24"/>
          <w:szCs w:val="24"/>
          <w:highlight w:val="none"/>
        </w:rPr>
      </w:pPr>
      <w:r>
        <w:rPr>
          <w:rFonts w:hint="eastAsia" w:ascii="黑体" w:hAnsi="黑体" w:eastAsia="黑体"/>
          <w:b/>
          <w:bCs/>
          <w:color w:val="auto"/>
          <w:sz w:val="24"/>
          <w:szCs w:val="24"/>
          <w:highlight w:val="none"/>
        </w:rPr>
        <w:t>附件1</w:t>
      </w:r>
      <w:r>
        <w:rPr>
          <w:rFonts w:hint="eastAsia" w:ascii="黑体" w:hAnsi="黑体" w:eastAsia="黑体"/>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询价</w:t>
      </w:r>
      <w:r>
        <w:rPr>
          <w:rFonts w:hint="eastAsia" w:asciiTheme="minorEastAsia" w:hAnsiTheme="minorEastAsia" w:cstheme="minorEastAsia"/>
          <w:b/>
          <w:bCs/>
          <w:color w:val="auto"/>
          <w:sz w:val="24"/>
          <w:szCs w:val="24"/>
          <w:highlight w:val="none"/>
          <w:lang w:val="en-US" w:eastAsia="zh-CN"/>
        </w:rPr>
        <w:t>评议内容</w:t>
      </w:r>
      <w:r>
        <w:rPr>
          <w:rFonts w:hint="eastAsia" w:ascii="黑体" w:hAnsi="黑体" w:eastAsia="黑体"/>
          <w:b/>
          <w:bCs/>
          <w:color w:val="auto"/>
          <w:sz w:val="24"/>
          <w:szCs w:val="24"/>
          <w:highlight w:val="none"/>
        </w:rPr>
        <w:t xml:space="preserve"> </w:t>
      </w:r>
      <w:r>
        <w:rPr>
          <w:rFonts w:ascii="黑体" w:hAnsi="黑体" w:eastAsia="黑体"/>
          <w:b/>
          <w:bCs/>
          <w:color w:val="auto"/>
          <w:sz w:val="24"/>
          <w:szCs w:val="24"/>
          <w:highlight w:val="none"/>
        </w:rPr>
        <w:t xml:space="preserve"> </w:t>
      </w:r>
      <w:r>
        <w:rPr>
          <w:rFonts w:ascii="黑体" w:hAnsi="黑体" w:eastAsia="黑体"/>
          <w:color w:val="auto"/>
          <w:sz w:val="24"/>
          <w:szCs w:val="24"/>
          <w:highlight w:val="none"/>
        </w:rPr>
        <w:t xml:space="preserve">                    </w:t>
      </w:r>
    </w:p>
    <w:p>
      <w:pPr>
        <w:ind w:firstLine="281" w:firstLineChars="100"/>
        <w:jc w:val="center"/>
        <w:rPr>
          <w:rFonts w:hint="default" w:ascii="仿宋" w:hAnsi="仿宋" w:eastAsia="仿宋" w:cs="Calibri"/>
          <w:b/>
          <w:bCs/>
          <w:color w:val="auto"/>
          <w:sz w:val="28"/>
          <w:szCs w:val="28"/>
          <w:highlight w:val="none"/>
          <w:lang w:val="en-US" w:eastAsia="zh-CN"/>
        </w:rPr>
      </w:pPr>
      <w:r>
        <w:rPr>
          <w:rFonts w:hint="eastAsia" w:ascii="仿宋" w:hAnsi="仿宋" w:eastAsia="仿宋" w:cs="Calibri"/>
          <w:b/>
          <w:bCs/>
          <w:color w:val="auto"/>
          <w:sz w:val="28"/>
          <w:szCs w:val="28"/>
          <w:highlight w:val="none"/>
          <w:lang w:val="en-US" w:eastAsia="zh-CN"/>
        </w:rPr>
        <w:t>评议要求</w:t>
      </w:r>
    </w:p>
    <w:tbl>
      <w:tblPr>
        <w:tblStyle w:val="11"/>
        <w:tblW w:w="5601" w:type="pct"/>
        <w:jc w:val="center"/>
        <w:tblLayout w:type="autofit"/>
        <w:tblCellMar>
          <w:top w:w="0" w:type="dxa"/>
          <w:left w:w="0" w:type="dxa"/>
          <w:bottom w:w="0" w:type="dxa"/>
          <w:right w:w="0" w:type="dxa"/>
        </w:tblCellMar>
      </w:tblPr>
      <w:tblGrid>
        <w:gridCol w:w="615"/>
        <w:gridCol w:w="535"/>
        <w:gridCol w:w="2293"/>
        <w:gridCol w:w="5873"/>
      </w:tblGrid>
      <w:tr>
        <w:tblPrEx>
          <w:tblCellMar>
            <w:top w:w="0" w:type="dxa"/>
            <w:left w:w="0" w:type="dxa"/>
            <w:bottom w:w="0" w:type="dxa"/>
            <w:right w:w="0" w:type="dxa"/>
          </w:tblCellMar>
        </w:tblPrEx>
        <w:trPr>
          <w:trHeight w:val="454" w:hRule="atLeast"/>
          <w:jc w:val="center"/>
        </w:trPr>
        <w:tc>
          <w:tcPr>
            <w:tcW w:w="617" w:type="pct"/>
            <w:gridSpan w:val="2"/>
            <w:tcBorders>
              <w:top w:val="single" w:color="000000" w:sz="4" w:space="0"/>
              <w:left w:val="single" w:color="000000" w:sz="4" w:space="0"/>
              <w:bottom w:val="single" w:color="000000" w:sz="4" w:space="0"/>
              <w:right w:val="single" w:color="000000" w:sz="4" w:space="0"/>
            </w:tcBorders>
            <w:vAlign w:val="center"/>
          </w:tcPr>
          <w:p>
            <w:pPr>
              <w:pStyle w:val="14"/>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eastAsia="zh-CN"/>
              </w:rPr>
              <w:t>序号</w:t>
            </w:r>
          </w:p>
        </w:tc>
        <w:tc>
          <w:tcPr>
            <w:tcW w:w="1230" w:type="pct"/>
            <w:tcBorders>
              <w:top w:val="single" w:color="000000" w:sz="4" w:space="0"/>
              <w:left w:val="nil"/>
              <w:bottom w:val="single" w:color="000000" w:sz="4" w:space="0"/>
              <w:right w:val="single" w:color="000000" w:sz="4" w:space="0"/>
            </w:tcBorders>
            <w:vAlign w:val="center"/>
          </w:tcPr>
          <w:p>
            <w:pPr>
              <w:pStyle w:val="14"/>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内容</w:t>
            </w:r>
          </w:p>
        </w:tc>
        <w:tc>
          <w:tcPr>
            <w:tcW w:w="3151" w:type="pct"/>
            <w:tcBorders>
              <w:top w:val="single" w:color="000000" w:sz="4" w:space="0"/>
              <w:left w:val="nil"/>
              <w:bottom w:val="single" w:color="000000" w:sz="4" w:space="0"/>
              <w:right w:val="single" w:color="000000" w:sz="4" w:space="0"/>
            </w:tcBorders>
            <w:vAlign w:val="center"/>
          </w:tcPr>
          <w:p>
            <w:pPr>
              <w:pStyle w:val="14"/>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标准</w:t>
            </w:r>
          </w:p>
        </w:tc>
      </w:tr>
      <w:tr>
        <w:tblPrEx>
          <w:tblCellMar>
            <w:top w:w="0" w:type="dxa"/>
            <w:left w:w="0" w:type="dxa"/>
            <w:bottom w:w="0" w:type="dxa"/>
            <w:right w:w="0" w:type="dxa"/>
          </w:tblCellMar>
        </w:tblPrEx>
        <w:trPr>
          <w:trHeight w:val="454" w:hRule="atLeast"/>
          <w:jc w:val="center"/>
        </w:trPr>
        <w:tc>
          <w:tcPr>
            <w:tcW w:w="330" w:type="pct"/>
            <w:vMerge w:val="restart"/>
            <w:tcBorders>
              <w:top w:val="nil"/>
              <w:left w:val="single" w:color="000000" w:sz="6" w:space="0"/>
              <w:right w:val="single" w:color="000000" w:sz="6" w:space="0"/>
            </w:tcBorders>
            <w:vAlign w:val="center"/>
          </w:tcPr>
          <w:p>
            <w:pPr>
              <w:pStyle w:val="14"/>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1</w:t>
            </w:r>
          </w:p>
          <w:p>
            <w:pPr>
              <w:spacing w:line="300" w:lineRule="exact"/>
              <w:jc w:val="center"/>
              <w:rPr>
                <w:rFonts w:hint="eastAsia" w:ascii="仿宋" w:hAnsi="仿宋" w:eastAsia="仿宋" w:cs="仿宋"/>
                <w:bCs/>
                <w:color w:val="auto"/>
                <w:sz w:val="21"/>
                <w:szCs w:val="21"/>
                <w:highlight w:val="none"/>
              </w:rPr>
            </w:pPr>
          </w:p>
        </w:tc>
        <w:tc>
          <w:tcPr>
            <w:tcW w:w="286" w:type="pct"/>
            <w:vMerge w:val="restart"/>
            <w:tcBorders>
              <w:top w:val="nil"/>
              <w:left w:val="nil"/>
              <w:right w:val="single" w:color="000000" w:sz="6" w:space="0"/>
            </w:tcBorders>
            <w:textDirection w:val="tbRlV"/>
            <w:vAlign w:val="center"/>
          </w:tcPr>
          <w:p>
            <w:pPr>
              <w:pStyle w:val="14"/>
              <w:spacing w:line="300" w:lineRule="exact"/>
              <w:ind w:left="113" w:right="113"/>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商务标准</w:t>
            </w:r>
          </w:p>
        </w:tc>
        <w:tc>
          <w:tcPr>
            <w:tcW w:w="1230" w:type="pct"/>
            <w:tcBorders>
              <w:top w:val="single" w:color="000000" w:sz="4" w:space="0"/>
              <w:left w:val="nil"/>
              <w:bottom w:val="single" w:color="000000" w:sz="4" w:space="0"/>
              <w:right w:val="single" w:color="000000" w:sz="4" w:space="0"/>
            </w:tcBorders>
            <w:vAlign w:val="center"/>
          </w:tcPr>
          <w:p>
            <w:pPr>
              <w:pStyle w:val="14"/>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应答人名称</w:t>
            </w:r>
          </w:p>
        </w:tc>
        <w:tc>
          <w:tcPr>
            <w:tcW w:w="3151" w:type="pct"/>
            <w:tcBorders>
              <w:top w:val="single" w:color="000000" w:sz="4" w:space="0"/>
              <w:left w:val="nil"/>
              <w:bottom w:val="single" w:color="000000" w:sz="4" w:space="0"/>
              <w:right w:val="single" w:color="000000" w:sz="4" w:space="0"/>
            </w:tcBorders>
            <w:vAlign w:val="center"/>
          </w:tcPr>
          <w:p>
            <w:pPr>
              <w:pStyle w:val="14"/>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与营业执照、资质证书（</w:t>
            </w:r>
            <w:r>
              <w:rPr>
                <w:rFonts w:hint="eastAsia" w:ascii="仿宋" w:hAnsi="仿宋" w:eastAsia="仿宋" w:cs="仿宋"/>
                <w:bCs/>
                <w:color w:val="auto"/>
                <w:sz w:val="21"/>
                <w:szCs w:val="21"/>
                <w:highlight w:val="none"/>
                <w:lang w:val="en-US" w:eastAsia="zh-CN"/>
              </w:rPr>
              <w:t>如涉及</w:t>
            </w:r>
            <w:r>
              <w:rPr>
                <w:rFonts w:hint="eastAsia" w:ascii="仿宋" w:hAnsi="仿宋" w:eastAsia="仿宋" w:cs="仿宋"/>
                <w:bCs/>
                <w:color w:val="auto"/>
                <w:sz w:val="21"/>
                <w:szCs w:val="21"/>
                <w:highlight w:val="none"/>
                <w:lang w:eastAsia="zh-CN"/>
              </w:rPr>
              <w:t>）一致；</w:t>
            </w:r>
          </w:p>
        </w:tc>
      </w:tr>
      <w:tr>
        <w:tblPrEx>
          <w:tblCellMar>
            <w:top w:w="0" w:type="dxa"/>
            <w:left w:w="0" w:type="dxa"/>
            <w:bottom w:w="0" w:type="dxa"/>
            <w:right w:w="0" w:type="dxa"/>
          </w:tblCellMar>
        </w:tblPrEx>
        <w:trPr>
          <w:trHeight w:val="454" w:hRule="atLeast"/>
          <w:jc w:val="center"/>
        </w:trPr>
        <w:tc>
          <w:tcPr>
            <w:tcW w:w="330"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6"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30" w:type="pct"/>
            <w:tcBorders>
              <w:top w:val="single" w:color="000000" w:sz="4" w:space="0"/>
              <w:left w:val="nil"/>
              <w:bottom w:val="nil"/>
              <w:right w:val="single" w:color="000000" w:sz="4" w:space="0"/>
            </w:tcBorders>
            <w:vAlign w:val="center"/>
          </w:tcPr>
          <w:p>
            <w:pPr>
              <w:pStyle w:val="14"/>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报价文件签字盖章</w:t>
            </w:r>
          </w:p>
        </w:tc>
        <w:tc>
          <w:tcPr>
            <w:tcW w:w="3151" w:type="pct"/>
            <w:tcBorders>
              <w:top w:val="single" w:color="000000" w:sz="4" w:space="0"/>
              <w:left w:val="nil"/>
              <w:bottom w:val="nil"/>
              <w:right w:val="single" w:color="000000" w:sz="4" w:space="0"/>
            </w:tcBorders>
            <w:vAlign w:val="center"/>
          </w:tcPr>
          <w:p>
            <w:pPr>
              <w:pStyle w:val="14"/>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val="en-US" w:eastAsia="zh-CN"/>
              </w:rPr>
              <w:t>由</w:t>
            </w:r>
            <w:r>
              <w:rPr>
                <w:rFonts w:hint="eastAsia" w:ascii="仿宋" w:hAnsi="仿宋" w:eastAsia="仿宋" w:cs="仿宋"/>
                <w:bCs/>
                <w:color w:val="auto"/>
                <w:sz w:val="21"/>
                <w:szCs w:val="21"/>
                <w:highlight w:val="none"/>
                <w:lang w:eastAsia="zh-CN"/>
              </w:rPr>
              <w:t>法定代表人（单位负责人）或其委托代理人签字并加盖单位章。由法定代表人（单位负责人）签字的，应附法定代表人（单位负责人）身份证明，由代理人签字的，应</w:t>
            </w:r>
            <w:r>
              <w:rPr>
                <w:rFonts w:hint="eastAsia" w:ascii="仿宋" w:hAnsi="仿宋" w:eastAsia="仿宋" w:cs="仿宋"/>
                <w:bCs/>
                <w:color w:val="auto"/>
                <w:sz w:val="21"/>
                <w:szCs w:val="21"/>
                <w:highlight w:val="none"/>
                <w:lang w:val="en-US" w:eastAsia="zh-CN"/>
              </w:rPr>
              <w:t>在提供</w:t>
            </w:r>
            <w:r>
              <w:rPr>
                <w:rFonts w:hint="eastAsia" w:ascii="仿宋" w:hAnsi="仿宋" w:eastAsia="仿宋" w:cs="仿宋"/>
                <w:bCs/>
                <w:color w:val="auto"/>
                <w:sz w:val="21"/>
                <w:szCs w:val="21"/>
                <w:highlight w:val="none"/>
                <w:lang w:eastAsia="zh-CN"/>
              </w:rPr>
              <w:t>法定代表人（单位负责人）身份证明</w:t>
            </w:r>
            <w:r>
              <w:rPr>
                <w:rFonts w:hint="eastAsia" w:ascii="仿宋" w:hAnsi="仿宋" w:eastAsia="仿宋" w:cs="仿宋"/>
                <w:bCs/>
                <w:color w:val="auto"/>
                <w:sz w:val="21"/>
                <w:szCs w:val="21"/>
                <w:highlight w:val="none"/>
                <w:lang w:val="en-US" w:eastAsia="zh-CN"/>
              </w:rPr>
              <w:t>基础上，补充提供</w:t>
            </w:r>
            <w:r>
              <w:rPr>
                <w:rFonts w:hint="eastAsia" w:ascii="仿宋" w:hAnsi="仿宋" w:eastAsia="仿宋" w:cs="仿宋"/>
                <w:bCs/>
                <w:color w:val="auto"/>
                <w:sz w:val="21"/>
                <w:szCs w:val="21"/>
                <w:highlight w:val="none"/>
                <w:lang w:eastAsia="zh-CN"/>
              </w:rPr>
              <w:t>授权委托书；缺少签字或盖章的，可以澄清补充，补充后满足上述要求的视为合格。</w:t>
            </w:r>
          </w:p>
        </w:tc>
      </w:tr>
      <w:tr>
        <w:tblPrEx>
          <w:tblCellMar>
            <w:top w:w="0" w:type="dxa"/>
            <w:left w:w="0" w:type="dxa"/>
            <w:bottom w:w="0" w:type="dxa"/>
            <w:right w:w="0" w:type="dxa"/>
          </w:tblCellMar>
        </w:tblPrEx>
        <w:trPr>
          <w:trHeight w:val="454" w:hRule="atLeast"/>
          <w:jc w:val="center"/>
        </w:trPr>
        <w:tc>
          <w:tcPr>
            <w:tcW w:w="330"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6"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30" w:type="pct"/>
            <w:tcBorders>
              <w:top w:val="single" w:color="000000" w:sz="4" w:space="0"/>
              <w:left w:val="nil"/>
              <w:bottom w:val="single" w:color="000000" w:sz="4" w:space="0"/>
              <w:right w:val="single" w:color="000000" w:sz="4" w:space="0"/>
            </w:tcBorders>
            <w:vAlign w:val="center"/>
          </w:tcPr>
          <w:p>
            <w:pPr>
              <w:pStyle w:val="14"/>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报价文件格式</w:t>
            </w:r>
          </w:p>
        </w:tc>
        <w:tc>
          <w:tcPr>
            <w:tcW w:w="3151" w:type="pct"/>
            <w:tcBorders>
              <w:top w:val="single" w:color="000000" w:sz="4" w:space="0"/>
              <w:left w:val="nil"/>
              <w:bottom w:val="single" w:color="000000" w:sz="4" w:space="0"/>
              <w:right w:val="single" w:color="000000" w:sz="4" w:space="0"/>
            </w:tcBorders>
            <w:vAlign w:val="center"/>
          </w:tcPr>
          <w:p>
            <w:pPr>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符合附件3：报价单格式的规定；</w:t>
            </w:r>
          </w:p>
        </w:tc>
      </w:tr>
      <w:tr>
        <w:tblPrEx>
          <w:tblCellMar>
            <w:top w:w="0" w:type="dxa"/>
            <w:left w:w="0" w:type="dxa"/>
            <w:bottom w:w="0" w:type="dxa"/>
            <w:right w:w="0" w:type="dxa"/>
          </w:tblCellMar>
        </w:tblPrEx>
        <w:trPr>
          <w:trHeight w:val="454" w:hRule="atLeast"/>
          <w:jc w:val="center"/>
        </w:trPr>
        <w:tc>
          <w:tcPr>
            <w:tcW w:w="330"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6"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30" w:type="pct"/>
            <w:tcBorders>
              <w:top w:val="single" w:color="000000" w:sz="4" w:space="0"/>
              <w:left w:val="nil"/>
              <w:bottom w:val="single" w:color="000000" w:sz="4" w:space="0"/>
              <w:right w:val="single" w:color="000000" w:sz="4" w:space="0"/>
            </w:tcBorders>
            <w:vAlign w:val="center"/>
          </w:tcPr>
          <w:p>
            <w:pPr>
              <w:pStyle w:val="14"/>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报价有效期</w:t>
            </w:r>
          </w:p>
        </w:tc>
        <w:tc>
          <w:tcPr>
            <w:tcW w:w="3151" w:type="pct"/>
            <w:tcBorders>
              <w:top w:val="single" w:color="000000" w:sz="4" w:space="0"/>
              <w:left w:val="nil"/>
              <w:bottom w:val="single" w:color="000000" w:sz="4" w:space="0"/>
              <w:right w:val="single" w:color="000000" w:sz="4" w:space="0"/>
            </w:tcBorders>
            <w:vAlign w:val="center"/>
          </w:tcPr>
          <w:p>
            <w:pPr>
              <w:pStyle w:val="14"/>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 xml:space="preserve">报价截止之日起【 </w:t>
            </w:r>
            <w:r>
              <w:rPr>
                <w:rFonts w:hint="eastAsia" w:ascii="仿宋" w:hAnsi="仿宋" w:eastAsia="仿宋" w:cs="仿宋"/>
                <w:bCs/>
                <w:color w:val="auto"/>
                <w:sz w:val="21"/>
                <w:szCs w:val="21"/>
                <w:highlight w:val="none"/>
                <w:lang w:val="en-US" w:eastAsia="zh-CN"/>
              </w:rPr>
              <w:t>120</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lang w:val="en-US" w:eastAsia="zh-CN"/>
              </w:rPr>
              <w:t>日历日</w:t>
            </w:r>
            <w:r>
              <w:rPr>
                <w:rFonts w:hint="eastAsia" w:ascii="仿宋" w:hAnsi="仿宋" w:eastAsia="仿宋" w:cs="仿宋"/>
                <w:bCs/>
                <w:color w:val="auto"/>
                <w:sz w:val="21"/>
                <w:szCs w:val="21"/>
                <w:highlight w:val="none"/>
                <w:lang w:eastAsia="zh-CN"/>
              </w:rPr>
              <w:t>内保持有效；</w:t>
            </w:r>
          </w:p>
        </w:tc>
      </w:tr>
      <w:tr>
        <w:tblPrEx>
          <w:tblCellMar>
            <w:top w:w="0" w:type="dxa"/>
            <w:left w:w="0" w:type="dxa"/>
            <w:bottom w:w="0" w:type="dxa"/>
            <w:right w:w="0" w:type="dxa"/>
          </w:tblCellMar>
        </w:tblPrEx>
        <w:trPr>
          <w:trHeight w:val="2036" w:hRule="atLeast"/>
          <w:jc w:val="center"/>
        </w:trPr>
        <w:tc>
          <w:tcPr>
            <w:tcW w:w="330"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6" w:type="pct"/>
            <w:vMerge w:val="continue"/>
            <w:tcBorders>
              <w:left w:val="single" w:color="000000" w:sz="6" w:space="0"/>
              <w:right w:val="single" w:color="000000" w:sz="6" w:space="0"/>
            </w:tcBorders>
            <w:vAlign w:val="center"/>
          </w:tcPr>
          <w:p>
            <w:pPr>
              <w:pStyle w:val="14"/>
              <w:spacing w:line="300" w:lineRule="exact"/>
              <w:jc w:val="center"/>
              <w:rPr>
                <w:rFonts w:hint="eastAsia" w:ascii="仿宋" w:hAnsi="仿宋" w:eastAsia="仿宋" w:cs="仿宋"/>
                <w:bCs/>
                <w:color w:val="auto"/>
                <w:sz w:val="21"/>
                <w:szCs w:val="21"/>
                <w:highlight w:val="none"/>
                <w:lang w:eastAsia="zh-CN"/>
              </w:rPr>
            </w:pPr>
          </w:p>
        </w:tc>
        <w:tc>
          <w:tcPr>
            <w:tcW w:w="1230" w:type="pct"/>
            <w:tcBorders>
              <w:top w:val="single" w:color="000000" w:sz="4" w:space="0"/>
              <w:left w:val="single" w:color="000000" w:sz="6" w:space="0"/>
              <w:bottom w:val="single" w:color="auto" w:sz="4" w:space="0"/>
              <w:right w:val="single" w:color="000000" w:sz="4" w:space="0"/>
            </w:tcBorders>
            <w:vAlign w:val="center"/>
          </w:tcPr>
          <w:p>
            <w:pPr>
              <w:pStyle w:val="14"/>
              <w:spacing w:line="300" w:lineRule="exact"/>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★商务资格</w:t>
            </w:r>
          </w:p>
        </w:tc>
        <w:tc>
          <w:tcPr>
            <w:tcW w:w="3151" w:type="pct"/>
            <w:tcBorders>
              <w:top w:val="single" w:color="000000" w:sz="4" w:space="0"/>
              <w:left w:val="nil"/>
              <w:bottom w:val="single" w:color="auto"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1.营业执照：应答人具有合法有效的企业法人营业执照、税务登记证及组织机构代码证 或证照合一的营业执照，投标时需提供原件扫描件（原件备查）。 应答人为事业单位的，应具有合法有效的事业单位法人证书，投标时需提供原件扫描件（原件备查）。应答人为分公司的，应具有合法有效的营业执照和上级法人单位授权书，分 公司与上级法人单位只可一家参与投标，同时参与投标的，投标均无效。</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2.法定代表人（单位负责人）身份证明</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3.法定代表人授权委托书（如涉及）</w:t>
            </w:r>
          </w:p>
        </w:tc>
      </w:tr>
      <w:tr>
        <w:tblPrEx>
          <w:tblCellMar>
            <w:top w:w="0" w:type="dxa"/>
            <w:left w:w="0" w:type="dxa"/>
            <w:bottom w:w="0" w:type="dxa"/>
            <w:right w:w="0" w:type="dxa"/>
          </w:tblCellMar>
        </w:tblPrEx>
        <w:trPr>
          <w:trHeight w:val="696" w:hRule="atLeast"/>
          <w:jc w:val="center"/>
        </w:trPr>
        <w:tc>
          <w:tcPr>
            <w:tcW w:w="330"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6" w:type="pct"/>
            <w:vMerge w:val="continue"/>
            <w:tcBorders>
              <w:left w:val="single" w:color="000000" w:sz="6" w:space="0"/>
              <w:right w:val="single" w:color="000000" w:sz="6" w:space="0"/>
            </w:tcBorders>
            <w:vAlign w:val="center"/>
          </w:tcPr>
          <w:p>
            <w:pPr>
              <w:pStyle w:val="14"/>
              <w:spacing w:line="300" w:lineRule="exact"/>
              <w:jc w:val="center"/>
              <w:rPr>
                <w:rFonts w:hint="eastAsia" w:ascii="仿宋" w:hAnsi="仿宋" w:eastAsia="仿宋" w:cs="仿宋"/>
                <w:bCs/>
                <w:color w:val="auto"/>
                <w:sz w:val="21"/>
                <w:szCs w:val="21"/>
                <w:highlight w:val="none"/>
                <w:lang w:eastAsia="zh-CN"/>
              </w:rPr>
            </w:pPr>
          </w:p>
        </w:tc>
        <w:tc>
          <w:tcPr>
            <w:tcW w:w="1230" w:type="pct"/>
            <w:tcBorders>
              <w:top w:val="single" w:color="000000" w:sz="4" w:space="0"/>
              <w:left w:val="single" w:color="000000" w:sz="6" w:space="0"/>
              <w:bottom w:val="single" w:color="auto" w:sz="4" w:space="0"/>
              <w:right w:val="single" w:color="000000" w:sz="4" w:space="0"/>
            </w:tcBorders>
            <w:vAlign w:val="center"/>
          </w:tcPr>
          <w:p>
            <w:pPr>
              <w:pStyle w:val="14"/>
              <w:spacing w:line="300" w:lineRule="exact"/>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★专业资质（如涉及）</w:t>
            </w:r>
          </w:p>
        </w:tc>
        <w:tc>
          <w:tcPr>
            <w:tcW w:w="3151" w:type="pct"/>
            <w:tcBorders>
              <w:top w:val="single" w:color="000000" w:sz="4" w:space="0"/>
              <w:left w:val="nil"/>
              <w:bottom w:val="single" w:color="auto"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不涉及。</w:t>
            </w:r>
          </w:p>
        </w:tc>
      </w:tr>
      <w:tr>
        <w:tblPrEx>
          <w:tblCellMar>
            <w:top w:w="0" w:type="dxa"/>
            <w:left w:w="0" w:type="dxa"/>
            <w:bottom w:w="0" w:type="dxa"/>
            <w:right w:w="0" w:type="dxa"/>
          </w:tblCellMar>
        </w:tblPrEx>
        <w:trPr>
          <w:trHeight w:val="696" w:hRule="atLeast"/>
          <w:jc w:val="center"/>
        </w:trPr>
        <w:tc>
          <w:tcPr>
            <w:tcW w:w="330"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6" w:type="pct"/>
            <w:vMerge w:val="continue"/>
            <w:tcBorders>
              <w:left w:val="single" w:color="000000" w:sz="6" w:space="0"/>
              <w:right w:val="single" w:color="000000" w:sz="6" w:space="0"/>
            </w:tcBorders>
            <w:vAlign w:val="center"/>
          </w:tcPr>
          <w:p>
            <w:pPr>
              <w:pStyle w:val="14"/>
              <w:spacing w:line="300" w:lineRule="exact"/>
              <w:jc w:val="center"/>
              <w:rPr>
                <w:rFonts w:hint="eastAsia" w:ascii="仿宋" w:hAnsi="仿宋" w:eastAsia="仿宋" w:cs="仿宋"/>
                <w:bCs/>
                <w:color w:val="auto"/>
                <w:sz w:val="21"/>
                <w:szCs w:val="21"/>
                <w:highlight w:val="none"/>
                <w:lang w:eastAsia="zh-CN"/>
              </w:rPr>
            </w:pPr>
          </w:p>
        </w:tc>
        <w:tc>
          <w:tcPr>
            <w:tcW w:w="1230" w:type="pct"/>
            <w:tcBorders>
              <w:top w:val="single" w:color="000000" w:sz="4" w:space="0"/>
              <w:left w:val="single" w:color="000000" w:sz="6" w:space="0"/>
              <w:bottom w:val="single" w:color="auto" w:sz="4" w:space="0"/>
              <w:right w:val="single" w:color="000000" w:sz="4" w:space="0"/>
            </w:tcBorders>
            <w:vAlign w:val="center"/>
          </w:tcPr>
          <w:p>
            <w:pPr>
              <w:pStyle w:val="14"/>
              <w:spacing w:line="3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体系认证</w:t>
            </w:r>
          </w:p>
          <w:p>
            <w:pPr>
              <w:pStyle w:val="14"/>
              <w:spacing w:line="300" w:lineRule="exact"/>
              <w:jc w:val="center"/>
              <w:rPr>
                <w:rFonts w:hint="default" w:ascii="仿宋" w:hAnsi="仿宋" w:eastAsia="仿宋" w:cs="仿宋"/>
                <w:color w:val="auto"/>
                <w:kern w:val="2"/>
                <w:sz w:val="21"/>
                <w:szCs w:val="21"/>
                <w:highlight w:val="none"/>
                <w:lang w:val="en-US" w:eastAsia="zh-CN" w:bidi="ar-SA"/>
              </w:rPr>
            </w:pPr>
          </w:p>
        </w:tc>
        <w:tc>
          <w:tcPr>
            <w:tcW w:w="3151" w:type="pct"/>
            <w:tcBorders>
              <w:top w:val="single" w:color="000000" w:sz="4" w:space="0"/>
              <w:left w:val="nil"/>
              <w:bottom w:val="single" w:color="auto" w:sz="4" w:space="0"/>
              <w:right w:val="single" w:color="000000" w:sz="4" w:space="0"/>
            </w:tcBorders>
            <w:vAlign w:val="center"/>
          </w:tcPr>
          <w:p>
            <w:pPr>
              <w:pStyle w:val="14"/>
              <w:jc w:val="both"/>
              <w:rPr>
                <w:rFonts w:hint="eastAsia"/>
                <w:highlight w:val="none"/>
                <w:lang w:val="en-US" w:eastAsia="zh-CN"/>
              </w:rPr>
            </w:pPr>
            <w:r>
              <w:rPr>
                <w:rFonts w:hint="eastAsia" w:ascii="仿宋" w:hAnsi="仿宋" w:eastAsia="仿宋" w:cs="仿宋"/>
                <w:color w:val="auto"/>
                <w:kern w:val="2"/>
                <w:sz w:val="21"/>
                <w:szCs w:val="21"/>
                <w:highlight w:val="none"/>
                <w:lang w:val="en-US" w:eastAsia="zh-CN"/>
              </w:rPr>
              <w:t>如涉及，</w:t>
            </w:r>
            <w:r>
              <w:rPr>
                <w:rFonts w:hint="eastAsia" w:ascii="仿宋" w:hAnsi="仿宋" w:eastAsia="仿宋" w:cs="仿宋"/>
                <w:color w:val="auto"/>
                <w:kern w:val="2"/>
                <w:sz w:val="21"/>
                <w:szCs w:val="21"/>
                <w:highlight w:val="none"/>
                <w:lang w:eastAsia="zh-CN"/>
              </w:rPr>
              <w:t>投标人应具备并提供有效期内的</w:t>
            </w:r>
            <w:r>
              <w:rPr>
                <w:rFonts w:hint="eastAsia" w:ascii="仿宋" w:hAnsi="仿宋" w:eastAsia="仿宋" w:cs="宋体"/>
                <w:color w:val="auto"/>
                <w:kern w:val="0"/>
                <w:sz w:val="21"/>
                <w:szCs w:val="21"/>
                <w:highlight w:val="none"/>
                <w:lang w:val="en-US" w:eastAsia="zh-CN" w:bidi="ar-SA"/>
              </w:rPr>
              <w:t>体系要求：ISO9001 质量体系认证证书、ISO14001 环境管理体系认证证书、ISO45001 职业健康安全安全管理体系认证证书，且证书应在中国国家认证认可监督管理委员会网站(http://www.cnca.gov.cn)核实。</w:t>
            </w:r>
          </w:p>
        </w:tc>
      </w:tr>
      <w:tr>
        <w:tblPrEx>
          <w:tblCellMar>
            <w:top w:w="0" w:type="dxa"/>
            <w:left w:w="0" w:type="dxa"/>
            <w:bottom w:w="0" w:type="dxa"/>
            <w:right w:w="0" w:type="dxa"/>
          </w:tblCellMar>
        </w:tblPrEx>
        <w:trPr>
          <w:trHeight w:val="1427" w:hRule="atLeast"/>
          <w:jc w:val="center"/>
        </w:trPr>
        <w:tc>
          <w:tcPr>
            <w:tcW w:w="330"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left w:val="single" w:color="000000" w:sz="6" w:space="0"/>
              <w:right w:val="single" w:color="000000" w:sz="6" w:space="0"/>
            </w:tcBorders>
            <w:vAlign w:val="center"/>
          </w:tcPr>
          <w:p>
            <w:pPr>
              <w:pStyle w:val="14"/>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000000" w:sz="6" w:space="0"/>
              <w:bottom w:val="single" w:color="000000" w:sz="4" w:space="0"/>
              <w:right w:val="single" w:color="000000" w:sz="4" w:space="0"/>
            </w:tcBorders>
            <w:vAlign w:val="center"/>
          </w:tcPr>
          <w:p>
            <w:pPr>
              <w:pStyle w:val="14"/>
              <w:spacing w:line="30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auto"/>
                <w:sz w:val="21"/>
                <w:szCs w:val="21"/>
                <w:highlight w:val="none"/>
                <w:lang w:eastAsia="zh-CN"/>
              </w:rPr>
              <w:t>信誉要求</w:t>
            </w:r>
          </w:p>
        </w:tc>
        <w:tc>
          <w:tcPr>
            <w:tcW w:w="3151" w:type="pct"/>
            <w:tcBorders>
              <w:top w:val="single" w:color="auto" w:sz="4" w:space="0"/>
              <w:left w:val="nil"/>
              <w:bottom w:val="single" w:color="000000" w:sz="4" w:space="0"/>
              <w:right w:val="single" w:color="000000" w:sz="4" w:space="0"/>
            </w:tcBorders>
            <w:vAlign w:val="center"/>
          </w:tcPr>
          <w:p>
            <w:pPr>
              <w:numPr>
                <w:ilvl w:val="0"/>
                <w:numId w:val="0"/>
              </w:numPr>
              <w:rPr>
                <w:rFonts w:hint="default"/>
                <w:strike w:val="0"/>
                <w:dstrike w:val="0"/>
                <w:color w:val="auto"/>
                <w:highlight w:val="none"/>
                <w:lang w:val="en-US"/>
              </w:rPr>
            </w:pPr>
            <w:r>
              <w:rPr>
                <w:rFonts w:hint="eastAsia" w:ascii="仿宋" w:hAnsi="仿宋" w:eastAsia="仿宋" w:cs="仿宋"/>
                <w:bCs/>
                <w:strike w:val="0"/>
                <w:dstrike w:val="0"/>
                <w:color w:val="auto"/>
                <w:kern w:val="0"/>
                <w:sz w:val="21"/>
                <w:szCs w:val="21"/>
                <w:highlight w:val="none"/>
                <w:lang w:val="en-US" w:eastAsia="zh-CN" w:bidi="ar-SA"/>
              </w:rPr>
              <w:t>1.应答</w:t>
            </w:r>
            <w:r>
              <w:rPr>
                <w:rFonts w:hint="eastAsia" w:ascii="仿宋" w:hAnsi="仿宋" w:eastAsia="仿宋" w:cs="仿宋"/>
                <w:strike w:val="0"/>
                <w:dstrike w:val="0"/>
                <w:color w:val="auto"/>
                <w:kern w:val="2"/>
                <w:sz w:val="21"/>
                <w:szCs w:val="21"/>
                <w:highlight w:val="none"/>
                <w:lang w:eastAsia="zh-CN"/>
              </w:rPr>
              <w:t>人不得是最高人民法院在“信用中国”网站（</w:t>
            </w:r>
            <w:r>
              <w:rPr>
                <w:rFonts w:hint="eastAsia" w:ascii="仿宋" w:hAnsi="仿宋" w:eastAsia="仿宋" w:cs="仿宋"/>
                <w:strike w:val="0"/>
                <w:dstrike w:val="0"/>
                <w:color w:val="auto"/>
                <w:sz w:val="21"/>
                <w:szCs w:val="21"/>
                <w:highlight w:val="none"/>
              </w:rPr>
              <w:fldChar w:fldCharType="begin"/>
            </w:r>
            <w:r>
              <w:rPr>
                <w:rFonts w:hint="eastAsia" w:ascii="仿宋" w:hAnsi="仿宋" w:eastAsia="仿宋" w:cs="仿宋"/>
                <w:strike w:val="0"/>
                <w:dstrike w:val="0"/>
                <w:color w:val="auto"/>
                <w:sz w:val="21"/>
                <w:szCs w:val="21"/>
                <w:highlight w:val="none"/>
              </w:rPr>
              <w:instrText xml:space="preserve"> HYPERLINK "http://www.creditchina.gov.cn）或" </w:instrText>
            </w:r>
            <w:r>
              <w:rPr>
                <w:rFonts w:hint="eastAsia" w:ascii="仿宋" w:hAnsi="仿宋" w:eastAsia="仿宋" w:cs="仿宋"/>
                <w:strike w:val="0"/>
                <w:dstrike w:val="0"/>
                <w:color w:val="auto"/>
                <w:sz w:val="21"/>
                <w:szCs w:val="21"/>
                <w:highlight w:val="none"/>
              </w:rPr>
              <w:fldChar w:fldCharType="separate"/>
            </w:r>
            <w:r>
              <w:rPr>
                <w:rFonts w:hint="eastAsia" w:ascii="仿宋" w:hAnsi="仿宋" w:eastAsia="仿宋" w:cs="仿宋"/>
                <w:strike w:val="0"/>
                <w:dstrike w:val="0"/>
                <w:color w:val="auto"/>
                <w:kern w:val="2"/>
                <w:sz w:val="21"/>
                <w:szCs w:val="21"/>
                <w:highlight w:val="none"/>
                <w:lang w:eastAsia="zh-CN"/>
              </w:rPr>
              <w:t>www.creditchina.gov.cn）</w:t>
            </w:r>
            <w:r>
              <w:rPr>
                <w:rFonts w:hint="eastAsia" w:ascii="仿宋" w:hAnsi="仿宋" w:eastAsia="仿宋" w:cs="仿宋"/>
                <w:b w:val="0"/>
                <w:bCs w:val="0"/>
                <w:strike w:val="0"/>
                <w:dstrike w:val="0"/>
                <w:color w:val="auto"/>
                <w:kern w:val="2"/>
                <w:sz w:val="21"/>
                <w:szCs w:val="21"/>
                <w:highlight w:val="none"/>
                <w:lang w:val="en-US" w:eastAsia="zh-CN"/>
              </w:rPr>
              <w:t>或</w:t>
            </w:r>
          </w:p>
          <w:p>
            <w:pPr>
              <w:numPr>
                <w:ilvl w:val="0"/>
                <w:numId w:val="0"/>
              </w:numPr>
              <w:jc w:val="both"/>
              <w:rPr>
                <w:rFonts w:hint="eastAsia" w:ascii="仿宋" w:hAnsi="仿宋" w:eastAsia="仿宋" w:cs="仿宋"/>
                <w:strike w:val="0"/>
                <w:dstrike w:val="0"/>
                <w:color w:val="auto"/>
                <w:kern w:val="2"/>
                <w:sz w:val="21"/>
                <w:szCs w:val="21"/>
                <w:highlight w:val="none"/>
                <w:lang w:eastAsia="zh-CN"/>
              </w:rPr>
            </w:pPr>
            <w:r>
              <w:rPr>
                <w:rFonts w:hint="eastAsia" w:ascii="仿宋" w:hAnsi="仿宋" w:eastAsia="仿宋" w:cs="仿宋"/>
                <w:strike w:val="0"/>
                <w:dstrike w:val="0"/>
                <w:color w:val="auto"/>
                <w:kern w:val="2"/>
                <w:sz w:val="21"/>
                <w:szCs w:val="21"/>
                <w:highlight w:val="none"/>
                <w:lang w:eastAsia="zh-CN"/>
              </w:rPr>
              <w:t>“中国执行信息公开网</w:t>
            </w:r>
            <w:r>
              <w:rPr>
                <w:rFonts w:hint="eastAsia" w:ascii="仿宋" w:hAnsi="仿宋" w:eastAsia="仿宋" w:cs="仿宋"/>
                <w:strike w:val="0"/>
                <w:dstrike w:val="0"/>
                <w:color w:val="auto"/>
                <w:kern w:val="2"/>
                <w:sz w:val="21"/>
                <w:szCs w:val="21"/>
                <w:highlight w:val="none"/>
                <w:lang w:eastAsia="zh-CN"/>
              </w:rPr>
              <w:fldChar w:fldCharType="end"/>
            </w:r>
            <w:r>
              <w:rPr>
                <w:rFonts w:hint="eastAsia" w:ascii="仿宋" w:hAnsi="仿宋" w:eastAsia="仿宋" w:cs="仿宋"/>
                <w:strike w:val="0"/>
                <w:dstrike w:val="0"/>
                <w:color w:val="auto"/>
                <w:kern w:val="2"/>
                <w:sz w:val="21"/>
                <w:szCs w:val="21"/>
                <w:highlight w:val="none"/>
                <w:lang w:eastAsia="zh-CN"/>
              </w:rPr>
              <w:t>”（</w:t>
            </w:r>
            <w:r>
              <w:rPr>
                <w:rFonts w:hint="eastAsia" w:ascii="仿宋" w:hAnsi="仿宋" w:eastAsia="仿宋" w:cs="仿宋"/>
                <w:strike w:val="0"/>
                <w:dstrike w:val="0"/>
                <w:color w:val="auto"/>
                <w:sz w:val="21"/>
                <w:szCs w:val="21"/>
                <w:highlight w:val="none"/>
              </w:rPr>
              <w:fldChar w:fldCharType="begin"/>
            </w:r>
            <w:r>
              <w:rPr>
                <w:rFonts w:hint="eastAsia" w:ascii="仿宋" w:hAnsi="仿宋" w:eastAsia="仿宋" w:cs="仿宋"/>
                <w:strike w:val="0"/>
                <w:dstrike w:val="0"/>
                <w:color w:val="auto"/>
                <w:sz w:val="21"/>
                <w:szCs w:val="21"/>
                <w:highlight w:val="none"/>
              </w:rPr>
              <w:instrText xml:space="preserve"> HYPERLINK "http://zxgk.court.gov.cn/）列入失信被执行人名单（应附查询结果复印件并加盖单位章" </w:instrText>
            </w:r>
            <w:r>
              <w:rPr>
                <w:rFonts w:hint="eastAsia" w:ascii="仿宋" w:hAnsi="仿宋" w:eastAsia="仿宋" w:cs="仿宋"/>
                <w:strike w:val="0"/>
                <w:dstrike w:val="0"/>
                <w:color w:val="auto"/>
                <w:sz w:val="21"/>
                <w:szCs w:val="21"/>
                <w:highlight w:val="none"/>
              </w:rPr>
              <w:fldChar w:fldCharType="separate"/>
            </w:r>
            <w:r>
              <w:rPr>
                <w:rFonts w:hint="eastAsia" w:ascii="仿宋" w:hAnsi="仿宋" w:eastAsia="仿宋" w:cs="仿宋"/>
                <w:strike w:val="0"/>
                <w:dstrike w:val="0"/>
                <w:color w:val="auto"/>
                <w:kern w:val="2"/>
                <w:sz w:val="21"/>
                <w:szCs w:val="21"/>
                <w:highlight w:val="none"/>
                <w:lang w:eastAsia="zh-CN"/>
              </w:rPr>
              <w:t>http://zxgk.court.gov.cn/）列入失信被执行人名单</w:t>
            </w:r>
            <w:r>
              <w:rPr>
                <w:rFonts w:hint="eastAsia" w:ascii="仿宋" w:hAnsi="仿宋" w:eastAsia="仿宋" w:cs="仿宋"/>
                <w:strike w:val="0"/>
                <w:dstrike w:val="0"/>
                <w:color w:val="auto"/>
                <w:kern w:val="2"/>
                <w:sz w:val="21"/>
                <w:szCs w:val="21"/>
                <w:highlight w:val="none"/>
                <w:lang w:eastAsia="zh-CN"/>
              </w:rPr>
              <w:fldChar w:fldCharType="end"/>
            </w:r>
            <w:r>
              <w:rPr>
                <w:rFonts w:hint="eastAsia" w:ascii="仿宋" w:hAnsi="仿宋" w:eastAsia="仿宋" w:cs="仿宋"/>
                <w:strike w:val="0"/>
                <w:dstrike w:val="0"/>
                <w:color w:val="auto"/>
                <w:sz w:val="21"/>
                <w:szCs w:val="21"/>
                <w:highlight w:val="none"/>
                <w:lang w:eastAsia="zh-CN"/>
              </w:rPr>
              <w:t>；</w:t>
            </w:r>
          </w:p>
          <w:p>
            <w:pPr>
              <w:numPr>
                <w:ilvl w:val="0"/>
                <w:numId w:val="0"/>
              </w:numPr>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2.</w:t>
            </w:r>
            <w:r>
              <w:rPr>
                <w:rFonts w:hint="eastAsia" w:ascii="仿宋" w:hAnsi="仿宋" w:eastAsia="仿宋" w:cs="仿宋"/>
                <w:strike w:val="0"/>
                <w:dstrike w:val="0"/>
                <w:color w:val="auto"/>
                <w:sz w:val="21"/>
                <w:szCs w:val="21"/>
                <w:highlight w:val="none"/>
                <w:lang w:eastAsia="zh-CN"/>
              </w:rPr>
              <w:t>近</w:t>
            </w:r>
            <w:r>
              <w:rPr>
                <w:rFonts w:hint="eastAsia" w:ascii="仿宋" w:hAnsi="仿宋" w:eastAsia="仿宋" w:cs="仿宋"/>
                <w:strike w:val="0"/>
                <w:dstrike w:val="0"/>
                <w:color w:val="auto"/>
                <w:sz w:val="21"/>
                <w:szCs w:val="21"/>
                <w:highlight w:val="none"/>
                <w:lang w:val="en-US" w:eastAsia="zh-CN"/>
              </w:rPr>
              <w:t>XX</w:t>
            </w:r>
            <w:r>
              <w:rPr>
                <w:rFonts w:hint="eastAsia" w:ascii="仿宋" w:hAnsi="仿宋" w:eastAsia="仿宋" w:cs="仿宋"/>
                <w:strike w:val="0"/>
                <w:dstrike w:val="0"/>
                <w:color w:val="auto"/>
                <w:sz w:val="21"/>
                <w:szCs w:val="21"/>
                <w:highlight w:val="none"/>
                <w:lang w:eastAsia="zh-CN"/>
              </w:rPr>
              <w:t>年（20**年*月*日-报价截止日前）内应答人或其法定代</w:t>
            </w:r>
            <w:r>
              <w:rPr>
                <w:rFonts w:hint="eastAsia" w:ascii="仿宋" w:hAnsi="仿宋" w:eastAsia="仿宋" w:cs="仿宋"/>
                <w:b w:val="0"/>
                <w:bCs w:val="0"/>
                <w:strike w:val="0"/>
                <w:dstrike w:val="0"/>
                <w:color w:val="auto"/>
                <w:sz w:val="21"/>
                <w:szCs w:val="21"/>
                <w:highlight w:val="none"/>
                <w:lang w:eastAsia="zh-CN"/>
              </w:rPr>
              <w:t>表人、拟委任的项目负责人不得有行贿犯罪行为，查询网站为“中国裁判文书网”http://wenshu.court.gov.cn）；</w:t>
            </w:r>
          </w:p>
          <w:p>
            <w:pPr>
              <w:jc w:val="both"/>
              <w:rPr>
                <w:rFonts w:hint="eastAsia" w:ascii="仿宋" w:hAnsi="仿宋" w:eastAsia="仿宋" w:cs="仿宋"/>
                <w:b w:val="0"/>
                <w:bCs w:val="0"/>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3.</w:t>
            </w:r>
            <w:r>
              <w:rPr>
                <w:rFonts w:hint="eastAsia" w:ascii="仿宋" w:hAnsi="仿宋" w:eastAsia="仿宋" w:cs="仿宋"/>
                <w:strike w:val="0"/>
                <w:dstrike w:val="0"/>
                <w:color w:val="auto"/>
                <w:sz w:val="21"/>
                <w:szCs w:val="21"/>
                <w:highlight w:val="none"/>
                <w:lang w:eastAsia="zh-CN"/>
              </w:rPr>
              <w:t>应答人不得被工商行政管理机关在全国企业信用信息公示系统（http://www.gsxt.gov.cn）中列入严重违法失信企业名单</w:t>
            </w:r>
            <w:r>
              <w:rPr>
                <w:rFonts w:hint="eastAsia" w:ascii="仿宋" w:hAnsi="仿宋" w:eastAsia="仿宋" w:cs="仿宋"/>
                <w:b w:val="0"/>
                <w:bCs w:val="0"/>
                <w:strike w:val="0"/>
                <w:dstrike w:val="0"/>
                <w:color w:val="auto"/>
                <w:sz w:val="21"/>
                <w:szCs w:val="21"/>
                <w:highlight w:val="none"/>
                <w:lang w:eastAsia="zh-CN"/>
              </w:rPr>
              <w:t>。事业单位、大学除外。</w:t>
            </w:r>
          </w:p>
          <w:p>
            <w:pPr>
              <w:numPr>
                <w:ilvl w:val="0"/>
                <w:numId w:val="0"/>
              </w:numPr>
              <w:spacing w:line="240" w:lineRule="auto"/>
              <w:jc w:val="left"/>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4.应答人</w:t>
            </w:r>
            <w:r>
              <w:rPr>
                <w:rFonts w:hint="eastAsia" w:ascii="仿宋" w:hAnsi="仿宋" w:eastAsia="仿宋" w:cs="仿宋"/>
                <w:strike w:val="0"/>
                <w:dstrike w:val="0"/>
                <w:color w:val="auto"/>
                <w:sz w:val="21"/>
                <w:szCs w:val="21"/>
                <w:highlight w:val="none"/>
                <w:lang w:eastAsia="zh-CN"/>
              </w:rPr>
              <w:t>与本采购项目其他应答人不得存在控股关系或管理关系、单位负责人为同一人的情形。</w:t>
            </w:r>
            <w:r>
              <w:rPr>
                <w:rFonts w:hint="eastAsia" w:ascii="仿宋" w:hAnsi="仿宋" w:eastAsia="仿宋" w:cs="仿宋"/>
                <w:strike w:val="0"/>
                <w:dstrike w:val="0"/>
                <w:color w:val="auto"/>
                <w:szCs w:val="21"/>
                <w:highlight w:val="none"/>
                <w:lang w:eastAsia="zh-CN"/>
              </w:rPr>
              <w:t>在非公开采购项目中，严禁存在控股关系或管理关系、单位负责人为同一人、同一自然人同时持有两家公司非公开上市股份</w:t>
            </w:r>
            <w:r>
              <w:rPr>
                <w:rFonts w:hint="eastAsia" w:ascii="仿宋" w:hAnsi="仿宋" w:eastAsia="仿宋" w:cs="仿宋"/>
                <w:strike w:val="0"/>
                <w:dstrike w:val="0"/>
                <w:color w:val="auto"/>
                <w:szCs w:val="21"/>
                <w:highlight w:val="none"/>
                <w:lang w:val="en-US" w:eastAsia="zh-CN"/>
              </w:rPr>
              <w:t>的</w:t>
            </w:r>
            <w:r>
              <w:rPr>
                <w:rFonts w:hint="eastAsia" w:ascii="仿宋" w:hAnsi="仿宋" w:eastAsia="仿宋" w:cs="仿宋"/>
                <w:strike w:val="0"/>
                <w:dstrike w:val="0"/>
                <w:color w:val="auto"/>
                <w:szCs w:val="21"/>
                <w:highlight w:val="none"/>
                <w:lang w:eastAsia="zh-CN"/>
              </w:rPr>
              <w:t>情形。</w:t>
            </w:r>
          </w:p>
          <w:p>
            <w:pPr>
              <w:numPr>
                <w:ilvl w:val="0"/>
                <w:numId w:val="0"/>
              </w:numPr>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5.</w:t>
            </w:r>
            <w:r>
              <w:rPr>
                <w:rFonts w:hint="eastAsia" w:ascii="仿宋" w:hAnsi="仿宋" w:eastAsia="仿宋" w:cs="仿宋"/>
                <w:strike w:val="0"/>
                <w:dstrike w:val="0"/>
                <w:color w:val="auto"/>
                <w:sz w:val="21"/>
                <w:szCs w:val="21"/>
                <w:highlight w:val="none"/>
                <w:lang w:eastAsia="zh-CN"/>
              </w:rPr>
              <w:t>应答人应在应答文件中提供其公司章程或其他能够体现出资人、股东信息的法定文件，作为评标/评审时的依据。</w:t>
            </w:r>
          </w:p>
          <w:p>
            <w:pPr>
              <w:numPr>
                <w:ilvl w:val="0"/>
                <w:numId w:val="0"/>
              </w:numP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lang w:eastAsia="zh-CN"/>
              </w:rPr>
              <w:t>应答人承诺：中国海油在职员工（不含正式派出的）未有在应答人单位担任股东、法人代表、董事、监事和其他任职人员的情形。</w:t>
            </w:r>
          </w:p>
          <w:p>
            <w:pPr>
              <w:numPr>
                <w:ilvl w:val="0"/>
                <w:numId w:val="0"/>
              </w:numPr>
              <w:rPr>
                <w:rFonts w:hint="default" w:ascii="仿宋" w:hAnsi="仿宋" w:eastAsia="仿宋" w:cs="仿宋"/>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上述要求应答人应提供供应商承诺书。</w:t>
            </w:r>
          </w:p>
        </w:tc>
      </w:tr>
      <w:tr>
        <w:tblPrEx>
          <w:tblCellMar>
            <w:top w:w="0" w:type="dxa"/>
            <w:left w:w="0" w:type="dxa"/>
            <w:bottom w:w="0" w:type="dxa"/>
            <w:right w:w="0" w:type="dxa"/>
          </w:tblCellMar>
        </w:tblPrEx>
        <w:trPr>
          <w:trHeight w:val="454" w:hRule="atLeast"/>
          <w:jc w:val="center"/>
        </w:trPr>
        <w:tc>
          <w:tcPr>
            <w:tcW w:w="330"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left w:val="single" w:color="000000" w:sz="6" w:space="0"/>
              <w:right w:val="single" w:color="000000" w:sz="6" w:space="0"/>
            </w:tcBorders>
            <w:vAlign w:val="center"/>
          </w:tcPr>
          <w:p>
            <w:pPr>
              <w:pStyle w:val="14"/>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000000" w:sz="4" w:space="0"/>
              <w:left w:val="single" w:color="000000" w:sz="6" w:space="0"/>
              <w:bottom w:val="single" w:color="000000" w:sz="4" w:space="0"/>
              <w:right w:val="single" w:color="000000" w:sz="4" w:space="0"/>
            </w:tcBorders>
            <w:vAlign w:val="center"/>
          </w:tcPr>
          <w:p>
            <w:pPr>
              <w:pStyle w:val="14"/>
              <w:numPr>
                <w:ilvl w:val="-1"/>
                <w:numId w:val="0"/>
              </w:numPr>
              <w:jc w:val="both"/>
              <w:rPr>
                <w:rFonts w:hint="eastAsia" w:ascii="仿宋" w:hAnsi="仿宋" w:eastAsia="仿宋" w:cs="仿宋"/>
                <w:color w:val="C00000"/>
                <w:kern w:val="2"/>
                <w:sz w:val="21"/>
                <w:szCs w:val="21"/>
                <w:highlight w:val="none"/>
                <w:lang w:eastAsia="zh-CN"/>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应答人或应答人所提供的第三方不得存在的其他情形</w:t>
            </w:r>
          </w:p>
          <w:p>
            <w:pPr>
              <w:pStyle w:val="14"/>
              <w:jc w:val="center"/>
              <w:rPr>
                <w:rFonts w:hint="eastAsia" w:ascii="仿宋" w:hAnsi="仿宋" w:eastAsia="仿宋" w:cs="仿宋"/>
                <w:color w:val="000000" w:themeColor="text1"/>
                <w:sz w:val="21"/>
                <w:szCs w:val="21"/>
                <w:highlight w:val="none"/>
                <w:lang w:eastAsia="zh-CN"/>
                <w14:textFill>
                  <w14:solidFill>
                    <w14:schemeClr w14:val="tx1"/>
                  </w14:solidFill>
                </w14:textFill>
              </w:rPr>
            </w:pPr>
          </w:p>
        </w:tc>
        <w:tc>
          <w:tcPr>
            <w:tcW w:w="3151" w:type="pct"/>
            <w:tcBorders>
              <w:top w:val="single" w:color="000000" w:sz="4" w:space="0"/>
              <w:left w:val="nil"/>
              <w:bottom w:val="single" w:color="000000" w:sz="4" w:space="0"/>
              <w:right w:val="single" w:color="000000" w:sz="4" w:space="0"/>
            </w:tcBorders>
            <w:vAlign w:val="center"/>
          </w:tcPr>
          <w:p>
            <w:pPr>
              <w:pStyle w:val="14"/>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被中国海洋石油集团有限公司在集团范围内进行风险提示，且在中国海洋石油集团有限公司《中国海油供应链数字化平台》中被采购冻结，进入调查程序的；</w:t>
            </w:r>
          </w:p>
          <w:p>
            <w:pPr>
              <w:pStyle w:val="14"/>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被中国海洋石油集团有限公司处以“取消投标资格”及以上处罚，且仍在处罚期内或处罚期满但在系统中的供应商档案中的“档案状态”为“采购冻结”、“业务状态”为“冻结”的；</w:t>
            </w:r>
          </w:p>
          <w:p>
            <w:pPr>
              <w:pStyle w:val="14"/>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lang w:eastAsia="zh-CN"/>
                <w14:textFill>
                  <w14:solidFill>
                    <w14:schemeClr w14:val="tx1"/>
                  </w14:solidFill>
                </w14:textFill>
              </w:rPr>
              <w:t>被</w:t>
            </w:r>
            <w:r>
              <w:rPr>
                <w:rFonts w:hint="eastAsia" w:ascii="仿宋" w:hAnsi="仿宋" w:eastAsia="仿宋" w:cs="仿宋"/>
                <w:color w:val="000000" w:themeColor="text1"/>
                <w:sz w:val="21"/>
                <w:szCs w:val="21"/>
                <w:highlight w:val="none"/>
                <w:lang w:val="en-US" w:eastAsia="zh-CN"/>
                <w14:textFill>
                  <w14:solidFill>
                    <w14:schemeClr w14:val="tx1"/>
                  </w14:solidFill>
                </w14:textFill>
              </w:rPr>
              <w:t>采购</w:t>
            </w:r>
            <w:r>
              <w:rPr>
                <w:rFonts w:hint="eastAsia" w:ascii="仿宋" w:hAnsi="仿宋" w:eastAsia="仿宋" w:cs="仿宋"/>
                <w:color w:val="000000" w:themeColor="text1"/>
                <w:sz w:val="21"/>
                <w:szCs w:val="21"/>
                <w:highlight w:val="none"/>
                <w:lang w:eastAsia="zh-CN"/>
                <w14:textFill>
                  <w14:solidFill>
                    <w14:schemeClr w14:val="tx1"/>
                  </w14:solidFill>
                </w14:textFill>
              </w:rPr>
              <w:t>人所属单位处以“取消投标资格”及以上处罚，且仍在处罚期内或处罚期满但在系统中的供应商档案中的“业务状态”为冻结的；</w:t>
            </w:r>
          </w:p>
        </w:tc>
      </w:tr>
      <w:tr>
        <w:tblPrEx>
          <w:tblCellMar>
            <w:top w:w="0" w:type="dxa"/>
            <w:left w:w="0" w:type="dxa"/>
            <w:bottom w:w="0" w:type="dxa"/>
            <w:right w:w="0" w:type="dxa"/>
          </w:tblCellMar>
        </w:tblPrEx>
        <w:trPr>
          <w:trHeight w:val="479" w:hRule="atLeast"/>
          <w:jc w:val="center"/>
        </w:trPr>
        <w:tc>
          <w:tcPr>
            <w:tcW w:w="330" w:type="pct"/>
            <w:vMerge w:val="continue"/>
            <w:tcBorders>
              <w:left w:val="single" w:color="000000" w:sz="6" w:space="0"/>
              <w:right w:val="single" w:color="000000" w:sz="6" w:space="0"/>
            </w:tcBorders>
            <w:vAlign w:val="center"/>
          </w:tcPr>
          <w:p/>
        </w:tc>
        <w:tc>
          <w:tcPr>
            <w:tcW w:w="286" w:type="pct"/>
            <w:vMerge w:val="continue"/>
            <w:tcBorders>
              <w:left w:val="single" w:color="000000" w:sz="6" w:space="0"/>
              <w:right w:val="single" w:color="000000" w:sz="6" w:space="0"/>
            </w:tcBorders>
            <w:vAlign w:val="center"/>
          </w:tcPr>
          <w:p/>
        </w:tc>
        <w:tc>
          <w:tcPr>
            <w:tcW w:w="1230" w:type="pct"/>
            <w:tcBorders>
              <w:top w:val="single" w:color="000000" w:sz="4" w:space="0"/>
              <w:left w:val="single" w:color="000000" w:sz="6" w:space="0"/>
              <w:right w:val="single" w:color="000000" w:sz="4" w:space="0"/>
            </w:tcBorders>
            <w:vAlign w:val="center"/>
          </w:tcPr>
          <w:p>
            <w:pPr>
              <w:pStyle w:val="5"/>
              <w:tabs>
                <w:tab w:val="left" w:pos="770"/>
              </w:tabs>
              <w:ind w:left="0" w:leftChars="0" w:right="134" w:rightChars="0"/>
              <w:jc w:val="left"/>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制造商要求</w:t>
            </w:r>
          </w:p>
        </w:tc>
        <w:tc>
          <w:tcPr>
            <w:tcW w:w="3151" w:type="pct"/>
            <w:tcBorders>
              <w:top w:val="single" w:color="000000" w:sz="4" w:space="0"/>
              <w:left w:val="nil"/>
              <w:bottom w:val="single" w:color="000000" w:sz="4" w:space="0"/>
              <w:right w:val="single" w:color="000000" w:sz="4" w:space="0"/>
            </w:tcBorders>
            <w:vAlign w:val="center"/>
          </w:tcPr>
          <w:p>
            <w:pPr>
              <w:ind w:firstLine="0" w:firstLineChars="0"/>
            </w:pPr>
            <w:r>
              <w:rPr>
                <w:rFonts w:hint="eastAsia" w:ascii="仿宋" w:hAnsi="仿宋" w:eastAsia="仿宋" w:cs="仿宋"/>
                <w:color w:val="auto"/>
                <w:szCs w:val="21"/>
                <w:highlight w:val="none"/>
                <w:lang w:val="en-US" w:eastAsia="zh-CN"/>
              </w:rPr>
              <w:t>无具体要求。</w:t>
            </w:r>
          </w:p>
        </w:tc>
      </w:tr>
      <w:tr>
        <w:tblPrEx>
          <w:tblCellMar>
            <w:top w:w="0" w:type="dxa"/>
            <w:left w:w="0" w:type="dxa"/>
            <w:bottom w:w="0" w:type="dxa"/>
            <w:right w:w="0" w:type="dxa"/>
          </w:tblCellMar>
        </w:tblPrEx>
        <w:trPr>
          <w:trHeight w:val="1548" w:hRule="atLeast"/>
          <w:jc w:val="center"/>
        </w:trPr>
        <w:tc>
          <w:tcPr>
            <w:tcW w:w="330"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left w:val="single" w:color="000000" w:sz="6" w:space="0"/>
              <w:right w:val="single" w:color="000000" w:sz="6" w:space="0"/>
            </w:tcBorders>
            <w:vAlign w:val="center"/>
          </w:tcPr>
          <w:p>
            <w:pPr>
              <w:pStyle w:val="14"/>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000000" w:sz="4" w:space="0"/>
              <w:left w:val="single" w:color="000000" w:sz="6" w:space="0"/>
              <w:bottom w:val="single" w:color="000000" w:sz="4" w:space="0"/>
              <w:right w:val="single" w:color="000000" w:sz="4" w:space="0"/>
            </w:tcBorders>
            <w:vAlign w:val="center"/>
          </w:tcPr>
          <w:p>
            <w:pP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业绩要求（</w:t>
            </w:r>
            <w:r>
              <w:rPr>
                <w:rFonts w:hint="eastAsia" w:ascii="仿宋" w:hAnsi="仿宋" w:eastAsia="仿宋" w:cs="仿宋"/>
                <w:b w:val="0"/>
                <w:bCs/>
                <w:color w:val="000000" w:themeColor="text1"/>
                <w:sz w:val="21"/>
                <w:szCs w:val="21"/>
                <w:highlight w:val="none"/>
                <w14:textFill>
                  <w14:solidFill>
                    <w14:schemeClr w14:val="tx1"/>
                  </w14:solidFill>
                </w14:textFill>
              </w:rPr>
              <w:t>（提示：提供的证明材料必须完全涵盖</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要求的</w:t>
            </w:r>
            <w:r>
              <w:rPr>
                <w:rFonts w:hint="eastAsia" w:ascii="仿宋" w:hAnsi="仿宋" w:eastAsia="仿宋" w:cs="仿宋"/>
                <w:b w:val="0"/>
                <w:bCs/>
                <w:color w:val="000000" w:themeColor="text1"/>
                <w:sz w:val="21"/>
                <w:szCs w:val="21"/>
                <w:highlight w:val="none"/>
                <w14:textFill>
                  <w14:solidFill>
                    <w14:schemeClr w14:val="tx1"/>
                  </w14:solidFill>
                </w14:textFill>
              </w:rPr>
              <w:t>内容，否则视为无效业绩，缺少任何1项都将影响评审结果）</w:t>
            </w:r>
          </w:p>
        </w:tc>
        <w:tc>
          <w:tcPr>
            <w:tcW w:w="3151" w:type="pct"/>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1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auto"/>
                <w:szCs w:val="21"/>
                <w:highlight w:val="none"/>
                <w:lang w:val="en-US" w:eastAsia="zh-CN"/>
              </w:rPr>
              <w:t>无具体要求。</w:t>
            </w:r>
          </w:p>
        </w:tc>
      </w:tr>
      <w:tr>
        <w:tblPrEx>
          <w:tblCellMar>
            <w:top w:w="0" w:type="dxa"/>
            <w:left w:w="0" w:type="dxa"/>
            <w:bottom w:w="0" w:type="dxa"/>
            <w:right w:w="0" w:type="dxa"/>
          </w:tblCellMar>
        </w:tblPrEx>
        <w:trPr>
          <w:trHeight w:val="454" w:hRule="atLeast"/>
          <w:jc w:val="center"/>
        </w:trPr>
        <w:tc>
          <w:tcPr>
            <w:tcW w:w="330"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30" w:type="pct"/>
            <w:tcBorders>
              <w:top w:val="single" w:color="auto" w:sz="4" w:space="0"/>
              <w:left w:val="single" w:color="000000" w:sz="6" w:space="0"/>
              <w:bottom w:val="nil"/>
              <w:right w:val="single" w:color="000000" w:sz="4" w:space="0"/>
            </w:tcBorders>
            <w:vAlign w:val="center"/>
          </w:tcPr>
          <w:p>
            <w:pPr>
              <w:pStyle w:val="14"/>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付款条款</w:t>
            </w:r>
          </w:p>
        </w:tc>
        <w:tc>
          <w:tcPr>
            <w:tcW w:w="3151" w:type="pct"/>
            <w:tcBorders>
              <w:top w:val="single" w:color="auto" w:sz="4" w:space="0"/>
              <w:left w:val="nil"/>
              <w:bottom w:val="nil"/>
              <w:right w:val="single" w:color="000000" w:sz="4" w:space="0"/>
            </w:tcBorders>
            <w:vAlign w:val="center"/>
          </w:tcPr>
          <w:p>
            <w:pPr>
              <w:pStyle w:val="4"/>
              <w:ind w:right="11"/>
              <w:rPr>
                <w:rFonts w:hint="eastAsia" w:ascii="仿宋" w:hAnsi="仿宋" w:eastAsia="仿宋" w:cs="仿宋"/>
                <w:bCs/>
                <w:color w:val="000000" w:themeColor="text1"/>
                <w:kern w:val="0"/>
                <w:sz w:val="21"/>
                <w:szCs w:val="21"/>
                <w:highlight w:val="none"/>
                <w:lang w:eastAsia="zh-CN"/>
                <w14:textFill>
                  <w14:solidFill>
                    <w14:schemeClr w14:val="tx1"/>
                  </w14:solidFill>
                </w14:textFill>
              </w:rPr>
            </w:pPr>
            <w:r>
              <w:rPr>
                <w:rFonts w:hint="eastAsia" w:ascii="仿宋" w:hAnsi="仿宋" w:eastAsia="仿宋" w:cs="宋体"/>
                <w:color w:val="auto"/>
                <w:kern w:val="0"/>
                <w:szCs w:val="21"/>
                <w:highlight w:val="none"/>
                <w:lang w:val="en-US" w:eastAsia="zh-CN"/>
              </w:rPr>
              <w:t>按照交货批次付款。卖方在每批次实际交付货物并经买方执行方验收合格之日起，卖方在接到买方通知后向买方执行方提供有效增值税专用发票及相关支持文件，买方执行方在接到发票及相关支持文件后45日内支付订单价款。如付款到期日为非银行工作日，则付款到期日顺延至下一个银行工作日。</w:t>
            </w:r>
          </w:p>
        </w:tc>
      </w:tr>
      <w:tr>
        <w:tblPrEx>
          <w:tblCellMar>
            <w:top w:w="0" w:type="dxa"/>
            <w:left w:w="0" w:type="dxa"/>
            <w:bottom w:w="0" w:type="dxa"/>
            <w:right w:w="0" w:type="dxa"/>
          </w:tblCellMar>
        </w:tblPrEx>
        <w:trPr>
          <w:trHeight w:val="454" w:hRule="atLeast"/>
          <w:jc w:val="center"/>
        </w:trPr>
        <w:tc>
          <w:tcPr>
            <w:tcW w:w="330"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30" w:type="pct"/>
            <w:tcBorders>
              <w:top w:val="single" w:color="auto" w:sz="4" w:space="0"/>
              <w:left w:val="single" w:color="000000" w:sz="6" w:space="0"/>
              <w:bottom w:val="nil"/>
              <w:right w:val="single" w:color="000000" w:sz="4" w:space="0"/>
            </w:tcBorders>
            <w:vAlign w:val="center"/>
          </w:tcPr>
          <w:p>
            <w:pPr>
              <w:pStyle w:val="14"/>
              <w:spacing w:line="300" w:lineRule="exact"/>
              <w:jc w:val="center"/>
              <w:rPr>
                <w:rFonts w:hint="default"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财务条件</w:t>
            </w:r>
          </w:p>
        </w:tc>
        <w:tc>
          <w:tcPr>
            <w:tcW w:w="3151" w:type="pct"/>
            <w:tcBorders>
              <w:top w:val="single" w:color="auto" w:sz="4" w:space="0"/>
              <w:left w:val="nil"/>
              <w:bottom w:val="nil"/>
              <w:right w:val="single" w:color="000000" w:sz="4" w:space="0"/>
            </w:tcBorders>
            <w:vAlign w:val="center"/>
          </w:tcPr>
          <w:p>
            <w:pPr>
              <w:pStyle w:val="4"/>
              <w:ind w:right="11"/>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color w:val="auto"/>
                <w:szCs w:val="21"/>
                <w:highlight w:val="none"/>
                <w:lang w:val="en-US" w:eastAsia="zh-CN"/>
              </w:rPr>
              <w:t>无具体要求</w:t>
            </w:r>
            <w:r>
              <w:rPr>
                <w:rFonts w:hint="eastAsia" w:ascii="仿宋" w:hAnsi="仿宋" w:eastAsia="仿宋" w:cs="仿宋"/>
                <w:bCs/>
                <w:color w:val="000000" w:themeColor="text1"/>
                <w:kern w:val="0"/>
                <w:szCs w:val="21"/>
                <w:highlight w:val="none"/>
                <w14:textFill>
                  <w14:solidFill>
                    <w14:schemeClr w14:val="tx1"/>
                  </w14:solidFill>
                </w14:textFill>
              </w:rPr>
              <w:t>。</w:t>
            </w:r>
          </w:p>
        </w:tc>
      </w:tr>
      <w:tr>
        <w:tblPrEx>
          <w:tblCellMar>
            <w:top w:w="0" w:type="dxa"/>
            <w:left w:w="0" w:type="dxa"/>
            <w:bottom w:w="0" w:type="dxa"/>
            <w:right w:w="0" w:type="dxa"/>
          </w:tblCellMar>
        </w:tblPrEx>
        <w:trPr>
          <w:trHeight w:val="454" w:hRule="atLeast"/>
          <w:jc w:val="center"/>
        </w:trPr>
        <w:tc>
          <w:tcPr>
            <w:tcW w:w="330" w:type="pct"/>
            <w:vMerge w:val="continue"/>
            <w:tcBorders>
              <w:left w:val="single" w:color="000000" w:sz="6" w:space="0"/>
              <w:right w:val="single" w:color="000000" w:sz="6" w:space="0"/>
            </w:tcBorders>
            <w:vAlign w:val="center"/>
          </w:tcPr>
          <w:p>
            <w:pPr>
              <w:rPr>
                <w:highlight w:val="none"/>
              </w:rPr>
            </w:pPr>
          </w:p>
        </w:tc>
        <w:tc>
          <w:tcPr>
            <w:tcW w:w="286" w:type="pct"/>
            <w:vMerge w:val="continue"/>
            <w:tcBorders>
              <w:left w:val="single" w:color="000000" w:sz="6" w:space="0"/>
              <w:right w:val="single" w:color="000000" w:sz="6" w:space="0"/>
            </w:tcBorders>
            <w:vAlign w:val="center"/>
          </w:tcPr>
          <w:p>
            <w:pPr>
              <w:rPr>
                <w:highlight w:val="none"/>
              </w:rPr>
            </w:pPr>
          </w:p>
        </w:tc>
        <w:tc>
          <w:tcPr>
            <w:tcW w:w="1230" w:type="pct"/>
            <w:tcBorders>
              <w:top w:val="single" w:color="000000" w:sz="4" w:space="0"/>
              <w:left w:val="single" w:color="000000" w:sz="6" w:space="0"/>
              <w:bottom w:val="single" w:color="000000" w:sz="4" w:space="0"/>
              <w:right w:val="single" w:color="000000" w:sz="4" w:space="0"/>
            </w:tcBorders>
            <w:vAlign w:val="center"/>
          </w:tcPr>
          <w:p>
            <w:pPr>
              <w:jc w:val="center"/>
              <w:rPr>
                <w:rFonts w:hint="default" w:ascii="仿宋" w:hAnsi="仿宋" w:eastAsia="仿宋" w:cs="宋体"/>
                <w:color w:val="0000FF"/>
                <w:kern w:val="0"/>
                <w:sz w:val="21"/>
                <w:szCs w:val="21"/>
                <w:highlight w:val="none"/>
                <w:lang w:val="en-US" w:eastAsia="zh-CN" w:bidi="ar-SA"/>
              </w:rPr>
            </w:pPr>
            <w:r>
              <w:rPr>
                <w:rFonts w:hint="eastAsia" w:ascii="仿宋" w:hAnsi="仿宋" w:eastAsia="仿宋" w:cs="宋体"/>
                <w:color w:val="0000FF"/>
                <w:kern w:val="0"/>
                <w:sz w:val="21"/>
                <w:szCs w:val="21"/>
                <w:highlight w:val="none"/>
                <w:lang w:val="en-US" w:eastAsia="zh-CN" w:bidi="ar-SA"/>
              </w:rPr>
              <w:t>送货地址</w:t>
            </w:r>
          </w:p>
        </w:tc>
        <w:tc>
          <w:tcPr>
            <w:tcW w:w="3151" w:type="pct"/>
            <w:tcBorders>
              <w:top w:val="single" w:color="000000" w:sz="4" w:space="0"/>
              <w:left w:val="nil"/>
              <w:bottom w:val="single" w:color="000000" w:sz="4" w:space="0"/>
              <w:right w:val="single" w:color="000000" w:sz="4" w:space="0"/>
            </w:tcBorders>
            <w:vAlign w:val="center"/>
          </w:tcPr>
          <w:p>
            <w:pPr>
              <w:pStyle w:val="15"/>
              <w:numPr>
                <w:ilvl w:val="0"/>
                <w:numId w:val="2"/>
              </w:numPr>
              <w:spacing w:before="120" w:after="120"/>
              <w:outlineLvl w:val="0"/>
              <w:rPr>
                <w:rFonts w:hint="eastAsia" w:ascii="仿宋" w:hAnsi="仿宋" w:eastAsia="仿宋" w:cs="宋体"/>
                <w:color w:val="0000FF"/>
                <w:kern w:val="0"/>
                <w:sz w:val="21"/>
                <w:szCs w:val="21"/>
                <w:highlight w:val="none"/>
                <w:lang w:val="en-US" w:eastAsia="zh-CN" w:bidi="ar-SA"/>
              </w:rPr>
            </w:pPr>
            <w:r>
              <w:rPr>
                <w:rFonts w:hint="eastAsia" w:ascii="仿宋" w:hAnsi="仿宋" w:eastAsia="仿宋" w:cs="宋体"/>
                <w:color w:val="0000FF"/>
                <w:kern w:val="0"/>
                <w:sz w:val="21"/>
                <w:szCs w:val="21"/>
                <w:highlight w:val="none"/>
                <w:lang w:val="en-US" w:eastAsia="zh-CN" w:bidi="ar-SA"/>
              </w:rPr>
              <w:t>工业防护中心库房，详见技术要求书。</w:t>
            </w:r>
          </w:p>
        </w:tc>
      </w:tr>
      <w:tr>
        <w:tblPrEx>
          <w:tblCellMar>
            <w:top w:w="0" w:type="dxa"/>
            <w:left w:w="0" w:type="dxa"/>
            <w:bottom w:w="0" w:type="dxa"/>
            <w:right w:w="0" w:type="dxa"/>
          </w:tblCellMar>
        </w:tblPrEx>
        <w:trPr>
          <w:trHeight w:val="454" w:hRule="atLeast"/>
          <w:jc w:val="center"/>
        </w:trPr>
        <w:tc>
          <w:tcPr>
            <w:tcW w:w="330"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30" w:type="pct"/>
            <w:tcBorders>
              <w:top w:val="single" w:color="000000" w:sz="4" w:space="0"/>
              <w:left w:val="single" w:color="000000" w:sz="6" w:space="0"/>
              <w:bottom w:val="single" w:color="000000" w:sz="4" w:space="0"/>
              <w:right w:val="single" w:color="000000" w:sz="4" w:space="0"/>
            </w:tcBorders>
            <w:vAlign w:val="center"/>
          </w:tcPr>
          <w:p>
            <w:pPr>
              <w:pStyle w:val="14"/>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★商务偏离要求</w:t>
            </w:r>
          </w:p>
        </w:tc>
        <w:tc>
          <w:tcPr>
            <w:tcW w:w="3151" w:type="pct"/>
            <w:tcBorders>
              <w:top w:val="single" w:color="000000" w:sz="4" w:space="0"/>
              <w:left w:val="nil"/>
              <w:bottom w:val="single" w:color="000000" w:sz="4" w:space="0"/>
              <w:right w:val="single" w:color="000000" w:sz="4" w:space="0"/>
            </w:tcBorders>
            <w:vAlign w:val="center"/>
          </w:tcPr>
          <w:p>
            <w:pPr>
              <w:pStyle w:val="14"/>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1.一般商务指标偏离超过2项，则评议不合格。</w:t>
            </w:r>
          </w:p>
          <w:p>
            <w:pPr>
              <w:pStyle w:val="14"/>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2.标注“★”号的条款为关键条款，对这些关键条款的任何偏离将导致应答文件被拒绝。</w:t>
            </w:r>
          </w:p>
          <w:p>
            <w:pPr>
              <w:pStyle w:val="14"/>
              <w:jc w:val="both"/>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3.商务偏离表，不提供视为无偏离。</w:t>
            </w:r>
          </w:p>
        </w:tc>
      </w:tr>
      <w:tr>
        <w:tblPrEx>
          <w:tblCellMar>
            <w:top w:w="0" w:type="dxa"/>
            <w:left w:w="0" w:type="dxa"/>
            <w:bottom w:w="0" w:type="dxa"/>
            <w:right w:w="0" w:type="dxa"/>
          </w:tblCellMar>
        </w:tblPrEx>
        <w:trPr>
          <w:trHeight w:val="454" w:hRule="atLeast"/>
          <w:jc w:val="center"/>
        </w:trPr>
        <w:tc>
          <w:tcPr>
            <w:tcW w:w="330" w:type="pct"/>
            <w:vMerge w:val="restart"/>
            <w:tcBorders>
              <w:top w:val="single" w:color="auto" w:sz="4" w:space="0"/>
              <w:left w:val="single" w:color="auto" w:sz="4" w:space="0"/>
              <w:bottom w:val="single" w:color="auto" w:sz="4" w:space="0"/>
              <w:right w:val="single" w:color="auto" w:sz="4" w:space="0"/>
            </w:tcBorders>
            <w:vAlign w:val="center"/>
          </w:tcPr>
          <w:p>
            <w:pPr>
              <w:pStyle w:val="14"/>
              <w:spacing w:line="300" w:lineRule="exact"/>
              <w:jc w:val="center"/>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2</w:t>
            </w:r>
          </w:p>
        </w:tc>
        <w:tc>
          <w:tcPr>
            <w:tcW w:w="286" w:type="pct"/>
            <w:vMerge w:val="restart"/>
            <w:tcBorders>
              <w:top w:val="single" w:color="auto" w:sz="4" w:space="0"/>
              <w:left w:val="single" w:color="auto" w:sz="4" w:space="0"/>
              <w:bottom w:val="single" w:color="auto" w:sz="4" w:space="0"/>
              <w:right w:val="single" w:color="auto" w:sz="4" w:space="0"/>
            </w:tcBorders>
            <w:textDirection w:val="tbRlV"/>
            <w:vAlign w:val="center"/>
          </w:tcPr>
          <w:p>
            <w:pPr>
              <w:pStyle w:val="14"/>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技术标准</w:t>
            </w: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default"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认证证书</w:t>
            </w:r>
          </w:p>
        </w:tc>
        <w:tc>
          <w:tcPr>
            <w:tcW w:w="3151" w:type="pct"/>
            <w:tcBorders>
              <w:top w:val="single" w:color="000000" w:sz="4" w:space="0"/>
              <w:left w:val="single" w:color="auto" w:sz="4" w:space="0"/>
              <w:bottom w:val="single" w:color="000000" w:sz="4" w:space="0"/>
              <w:right w:val="single" w:color="000000" w:sz="4" w:space="0"/>
            </w:tcBorders>
            <w:vAlign w:val="center"/>
          </w:tcPr>
          <w:p>
            <w:pPr>
              <w:ind w:left="105" w:leftChars="50"/>
              <w:jc w:val="both"/>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lang w:val="en-US" w:eastAsia="zh-CN"/>
                <w14:textFill>
                  <w14:solidFill>
                    <w14:schemeClr w14:val="tx1"/>
                  </w14:solidFill>
                </w14:textFill>
              </w:rPr>
              <w:t>如涉及，投标人承诺，格式自拟，在中标后供货时提供货物认证证书</w:t>
            </w:r>
            <w:r>
              <w:rPr>
                <w:rFonts w:hint="eastAsia" w:ascii="仿宋" w:hAnsi="仿宋" w:eastAsia="仿宋" w:cs="仿宋"/>
                <w:bCs/>
                <w:color w:val="000000" w:themeColor="text1"/>
                <w:kern w:val="0"/>
                <w:szCs w:val="21"/>
                <w:highlight w:val="none"/>
                <w14:textFill>
                  <w14:solidFill>
                    <w14:schemeClr w14:val="tx1"/>
                  </w14:solidFill>
                </w14:textFill>
              </w:rPr>
              <w:t>。</w:t>
            </w:r>
          </w:p>
        </w:tc>
      </w:tr>
      <w:tr>
        <w:tblPrEx>
          <w:tblCellMar>
            <w:top w:w="0" w:type="dxa"/>
            <w:left w:w="0" w:type="dxa"/>
            <w:bottom w:w="0" w:type="dxa"/>
            <w:right w:w="0" w:type="dxa"/>
          </w:tblCellMar>
        </w:tblPrEx>
        <w:trPr>
          <w:trHeight w:val="454" w:hRule="atLeast"/>
          <w:jc w:val="center"/>
        </w:trPr>
        <w:tc>
          <w:tcPr>
            <w:tcW w:w="330"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top w:val="single" w:color="auto" w:sz="4" w:space="0"/>
              <w:left w:val="single" w:color="auto" w:sz="4" w:space="0"/>
              <w:bottom w:val="single" w:color="auto" w:sz="4" w:space="0"/>
              <w:right w:val="single" w:color="auto" w:sz="4" w:space="0"/>
            </w:tcBorders>
            <w:vAlign w:val="center"/>
          </w:tcPr>
          <w:p>
            <w:pPr>
              <w:pStyle w:val="14"/>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交货期</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/服务期</w:t>
            </w:r>
          </w:p>
        </w:tc>
        <w:tc>
          <w:tcPr>
            <w:tcW w:w="3151" w:type="pct"/>
            <w:tcBorders>
              <w:top w:val="single" w:color="000000" w:sz="4" w:space="0"/>
              <w:left w:val="single" w:color="auto" w:sz="4" w:space="0"/>
              <w:bottom w:val="single" w:color="000000" w:sz="4" w:space="0"/>
              <w:right w:val="single" w:color="000000" w:sz="4" w:space="0"/>
            </w:tcBorders>
            <w:vAlign w:val="center"/>
          </w:tcPr>
          <w:p>
            <w:pPr>
              <w:ind w:left="105" w:leftChars="50"/>
              <w:jc w:val="both"/>
              <w:rPr>
                <w:rFonts w:hint="default"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i w:val="0"/>
                <w:iCs w:val="0"/>
                <w:color w:val="FF0000"/>
                <w:kern w:val="0"/>
                <w:sz w:val="21"/>
                <w:szCs w:val="21"/>
                <w:highlight w:val="none"/>
                <w:u w:val="none"/>
                <w:lang w:val="en-US" w:eastAsia="zh-CN" w:bidi="ar"/>
              </w:rPr>
              <w:t>2024年10月10日内</w:t>
            </w:r>
            <w:bookmarkStart w:id="110" w:name="_GoBack"/>
            <w:bookmarkEnd w:id="110"/>
            <w:r>
              <w:rPr>
                <w:rFonts w:hint="eastAsia" w:ascii="仿宋" w:hAnsi="仿宋" w:eastAsia="仿宋" w:cs="仿宋"/>
                <w:bCs/>
                <w:i w:val="0"/>
                <w:iCs w:val="0"/>
                <w:color w:val="FF0000"/>
                <w:kern w:val="0"/>
                <w:sz w:val="21"/>
                <w:szCs w:val="21"/>
                <w:highlight w:val="none"/>
                <w:u w:val="none"/>
                <w:lang w:val="en-US" w:eastAsia="zh-CN" w:bidi="ar"/>
              </w:rPr>
              <w:t>。</w:t>
            </w:r>
          </w:p>
        </w:tc>
      </w:tr>
      <w:tr>
        <w:tblPrEx>
          <w:tblCellMar>
            <w:top w:w="0" w:type="dxa"/>
            <w:left w:w="0" w:type="dxa"/>
            <w:bottom w:w="0" w:type="dxa"/>
            <w:right w:w="0" w:type="dxa"/>
          </w:tblCellMar>
        </w:tblPrEx>
        <w:trPr>
          <w:trHeight w:val="454" w:hRule="atLeast"/>
          <w:jc w:val="center"/>
        </w:trPr>
        <w:tc>
          <w:tcPr>
            <w:tcW w:w="330"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top w:val="single" w:color="auto" w:sz="4" w:space="0"/>
              <w:left w:val="single" w:color="auto" w:sz="4" w:space="0"/>
              <w:bottom w:val="single" w:color="auto" w:sz="4" w:space="0"/>
              <w:right w:val="single" w:color="auto" w:sz="4" w:space="0"/>
            </w:tcBorders>
            <w:vAlign w:val="center"/>
          </w:tcPr>
          <w:p>
            <w:pPr>
              <w:pStyle w:val="14"/>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技术调试人员</w:t>
            </w:r>
          </w:p>
        </w:tc>
        <w:tc>
          <w:tcPr>
            <w:tcW w:w="3151" w:type="pct"/>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spacing w:line="360" w:lineRule="auto"/>
              <w:ind w:left="0" w:leftChars="0" w:firstLine="0" w:firstLineChars="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不涉及。</w:t>
            </w:r>
          </w:p>
        </w:tc>
      </w:tr>
      <w:tr>
        <w:tblPrEx>
          <w:tblCellMar>
            <w:top w:w="0" w:type="dxa"/>
            <w:left w:w="0" w:type="dxa"/>
            <w:bottom w:w="0" w:type="dxa"/>
            <w:right w:w="0" w:type="dxa"/>
          </w:tblCellMar>
        </w:tblPrEx>
        <w:trPr>
          <w:trHeight w:val="454" w:hRule="atLeast"/>
          <w:jc w:val="center"/>
        </w:trPr>
        <w:tc>
          <w:tcPr>
            <w:tcW w:w="330"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top w:val="single" w:color="auto" w:sz="4" w:space="0"/>
              <w:left w:val="single" w:color="auto" w:sz="4" w:space="0"/>
              <w:bottom w:val="single" w:color="auto" w:sz="4" w:space="0"/>
              <w:right w:val="single" w:color="auto" w:sz="4" w:space="0"/>
            </w:tcBorders>
            <w:vAlign w:val="center"/>
          </w:tcPr>
          <w:p>
            <w:pPr>
              <w:pStyle w:val="14"/>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质保期</w:t>
            </w:r>
          </w:p>
        </w:tc>
        <w:tc>
          <w:tcPr>
            <w:tcW w:w="3151" w:type="pct"/>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spacing w:line="360" w:lineRule="auto"/>
              <w:ind w:left="0" w:leftChars="0" w:firstLine="0" w:firstLineChars="0"/>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不涉及。</w:t>
            </w:r>
          </w:p>
        </w:tc>
      </w:tr>
      <w:tr>
        <w:tblPrEx>
          <w:tblCellMar>
            <w:top w:w="0" w:type="dxa"/>
            <w:left w:w="0" w:type="dxa"/>
            <w:bottom w:w="0" w:type="dxa"/>
            <w:right w:w="0" w:type="dxa"/>
          </w:tblCellMar>
        </w:tblPrEx>
        <w:trPr>
          <w:trHeight w:val="454" w:hRule="atLeast"/>
          <w:jc w:val="center"/>
        </w:trPr>
        <w:tc>
          <w:tcPr>
            <w:tcW w:w="330"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top w:val="single" w:color="auto" w:sz="4" w:space="0"/>
              <w:left w:val="single" w:color="auto" w:sz="4" w:space="0"/>
              <w:bottom w:val="single" w:color="auto" w:sz="4" w:space="0"/>
              <w:right w:val="single" w:color="auto" w:sz="4" w:space="0"/>
            </w:tcBorders>
            <w:vAlign w:val="center"/>
          </w:tcPr>
          <w:p>
            <w:pPr>
              <w:pStyle w:val="14"/>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技术偏离要求</w:t>
            </w:r>
          </w:p>
        </w:tc>
        <w:tc>
          <w:tcPr>
            <w:tcW w:w="3151" w:type="pct"/>
            <w:tcBorders>
              <w:top w:val="single" w:color="000000" w:sz="4" w:space="0"/>
              <w:left w:val="single" w:color="auto" w:sz="4" w:space="0"/>
              <w:bottom w:val="single" w:color="000000" w:sz="4" w:space="0"/>
              <w:right w:val="single" w:color="000000" w:sz="4" w:space="0"/>
            </w:tcBorders>
            <w:vAlign w:val="center"/>
          </w:tcPr>
          <w:p>
            <w:pPr>
              <w:pStyle w:val="14"/>
              <w:jc w:val="left"/>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1、一般技术指标偏离超过2项，则评议不合格。</w:t>
            </w:r>
          </w:p>
          <w:p>
            <w:pPr>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2、标注“★”号的条款为关键条款，对这些关键条款的任何偏离将导致应答文件被拒绝。</w:t>
            </w:r>
          </w:p>
          <w:p>
            <w:pPr>
              <w:pStyle w:val="3"/>
              <w:ind w:left="0" w:leftChars="0" w:firstLine="0" w:firstLineChars="0"/>
              <w:rPr>
                <w:rFonts w:hint="default"/>
                <w:highlight w:val="none"/>
                <w:lang w:val="en-US"/>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3.技术偏离表，不提供视为无偏离。</w:t>
            </w:r>
          </w:p>
        </w:tc>
      </w:tr>
      <w:tr>
        <w:tblPrEx>
          <w:tblCellMar>
            <w:top w:w="0" w:type="dxa"/>
            <w:left w:w="0" w:type="dxa"/>
            <w:bottom w:w="0" w:type="dxa"/>
            <w:right w:w="0" w:type="dxa"/>
          </w:tblCellMar>
        </w:tblPrEx>
        <w:trPr>
          <w:trHeight w:val="2401" w:hRule="atLeast"/>
          <w:jc w:val="center"/>
        </w:trPr>
        <w:tc>
          <w:tcPr>
            <w:tcW w:w="330" w:type="pct"/>
            <w:tcBorders>
              <w:top w:val="single" w:color="auto" w:sz="4" w:space="0"/>
              <w:left w:val="single" w:color="auto" w:sz="4" w:space="0"/>
              <w:bottom w:val="single" w:color="auto" w:sz="4" w:space="0"/>
              <w:right w:val="single" w:color="auto" w:sz="4" w:space="0"/>
            </w:tcBorders>
            <w:vAlign w:val="center"/>
          </w:tcPr>
          <w:p>
            <w:pPr>
              <w:pStyle w:val="14"/>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3</w:t>
            </w:r>
          </w:p>
        </w:tc>
        <w:tc>
          <w:tcPr>
            <w:tcW w:w="286" w:type="pct"/>
            <w:tcBorders>
              <w:top w:val="single" w:color="auto" w:sz="4" w:space="0"/>
              <w:left w:val="single" w:color="auto" w:sz="4" w:space="0"/>
              <w:bottom w:val="single" w:color="auto" w:sz="4" w:space="0"/>
              <w:right w:val="single" w:color="auto" w:sz="4" w:space="0"/>
            </w:tcBorders>
            <w:vAlign w:val="center"/>
          </w:tcPr>
          <w:p>
            <w:pPr>
              <w:pStyle w:val="14"/>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价</w:t>
            </w:r>
          </w:p>
          <w:p>
            <w:pPr>
              <w:pStyle w:val="14"/>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格</w:t>
            </w:r>
          </w:p>
          <w:p>
            <w:pPr>
              <w:pStyle w:val="14"/>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标</w:t>
            </w:r>
          </w:p>
          <w:p>
            <w:pPr>
              <w:pStyle w:val="14"/>
              <w:spacing w:line="300" w:lineRule="exact"/>
              <w:jc w:val="center"/>
              <w:rPr>
                <w:rFonts w:hint="default"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准</w:t>
            </w: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kern w:val="0"/>
                <w:sz w:val="21"/>
                <w:szCs w:val="21"/>
                <w:highlight w:val="none"/>
                <w:lang w:val="en-US" w:eastAsia="zh-CN"/>
              </w:rPr>
              <w:t>价格评议（结合2.0）</w:t>
            </w:r>
          </w:p>
        </w:tc>
        <w:tc>
          <w:tcPr>
            <w:tcW w:w="3151" w:type="pct"/>
            <w:tcBorders>
              <w:top w:val="single" w:color="000000" w:sz="4" w:space="0"/>
              <w:left w:val="single" w:color="auto" w:sz="4" w:space="0"/>
              <w:bottom w:val="single" w:color="000000" w:sz="4" w:space="0"/>
              <w:right w:val="single" w:color="000000" w:sz="4" w:space="0"/>
            </w:tcBorders>
            <w:vAlign w:val="center"/>
          </w:tcPr>
          <w:p>
            <w:pPr>
              <w:jc w:val="left"/>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b/>
                <w:bCs/>
                <w:color w:val="auto"/>
                <w:kern w:val="2"/>
                <w:sz w:val="21"/>
                <w:szCs w:val="21"/>
                <w:highlight w:val="none"/>
                <w:lang w:eastAsia="zh-CN" w:bidi="ar"/>
              </w:rPr>
              <w:t>经评审的价格（不含税）计算方法：经评审的价格（不含税）=</w:t>
            </w:r>
            <w:r>
              <w:rPr>
                <w:rFonts w:hint="eastAsia" w:ascii="仿宋" w:hAnsi="仿宋" w:eastAsia="仿宋" w:cs="仿宋"/>
                <w:b/>
                <w:bCs/>
                <w:color w:val="auto"/>
                <w:kern w:val="2"/>
                <w:sz w:val="21"/>
                <w:szCs w:val="21"/>
                <w:highlight w:val="none"/>
                <w:lang w:val="en-US" w:eastAsia="zh-CN" w:bidi="ar"/>
              </w:rPr>
              <w:t>应答人</w:t>
            </w:r>
            <w:r>
              <w:rPr>
                <w:rFonts w:hint="eastAsia" w:ascii="仿宋" w:hAnsi="仿宋" w:eastAsia="仿宋" w:cs="仿宋"/>
                <w:b/>
                <w:bCs/>
                <w:color w:val="auto"/>
                <w:kern w:val="2"/>
                <w:sz w:val="21"/>
                <w:szCs w:val="21"/>
                <w:highlight w:val="none"/>
                <w:lang w:eastAsia="zh-CN" w:bidi="ar"/>
              </w:rPr>
              <w:t>报价（不含税）+报价算术修正；</w:t>
            </w:r>
          </w:p>
          <w:p>
            <w:pPr>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
              </w:rPr>
              <w:t>（1）系统中报价与系统中挂接</w:t>
            </w:r>
            <w:r>
              <w:rPr>
                <w:rFonts w:hint="eastAsia" w:ascii="仿宋" w:hAnsi="仿宋" w:eastAsia="仿宋" w:cs="仿宋"/>
                <w:b/>
                <w:bCs/>
                <w:color w:val="auto"/>
                <w:kern w:val="2"/>
                <w:sz w:val="21"/>
                <w:szCs w:val="21"/>
                <w:highlight w:val="none"/>
                <w:lang w:val="en-US" w:eastAsia="zh-CN" w:bidi="ar"/>
              </w:rPr>
              <w:t>价格明细文件</w:t>
            </w:r>
            <w:r>
              <w:rPr>
                <w:rFonts w:hint="eastAsia" w:ascii="仿宋" w:hAnsi="仿宋" w:eastAsia="仿宋" w:cs="仿宋"/>
                <w:color w:val="auto"/>
                <w:kern w:val="2"/>
                <w:sz w:val="21"/>
                <w:szCs w:val="21"/>
                <w:highlight w:val="none"/>
                <w:lang w:val="en-US" w:eastAsia="zh-CN" w:bidi="ar"/>
              </w:rPr>
              <w:t>应保持一致；当系统报价与挂接价格明细文件不一致的，以“系统中挂接的价格明细文件”为准，如该文件出现计算错误，按如下算术修正方式修正</w:t>
            </w:r>
            <w:r>
              <w:rPr>
                <w:rFonts w:hint="eastAsia" w:ascii="仿宋" w:hAnsi="仿宋" w:eastAsia="仿宋" w:cs="仿宋"/>
                <w:color w:val="auto"/>
                <w:kern w:val="2"/>
                <w:sz w:val="21"/>
                <w:szCs w:val="21"/>
                <w:highlight w:val="none"/>
                <w:lang w:val="en-US" w:eastAsia="zh-CN" w:bidi="ar-SA"/>
              </w:rPr>
              <w:t>。</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1)大写金额和小写金额不一致的，以大写金额为准；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2)单价金额小数点或者百分比有明显错位的，修改单价；</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3)总价金额与按单价汇总金额不一致的，以单价金额计算结果为准。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同时出现两种以上不一致的，按照前款规定的顺序修正，即按照上述1）至3）项的顺序，逐项进行修正。询价评审小组应请应答人澄清确认修正后的报价,应答人不确认、否认或不回复的,其报价文件无效。</w:t>
            </w:r>
          </w:p>
          <w:p>
            <w:pPr>
              <w:rPr>
                <w:rFonts w:hint="eastAsia" w:ascii="仿宋" w:hAnsi="仿宋" w:eastAsia="仿宋" w:cs="仿宋"/>
                <w:color w:val="auto"/>
                <w:kern w:val="2"/>
                <w:szCs w:val="21"/>
                <w:highlight w:val="none"/>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2"/>
                <w:szCs w:val="21"/>
                <w:highlight w:val="none"/>
              </w:rPr>
              <w:t>对于总价合同，“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报价中存在缺漏项的，则视为缺漏项价格已包含在其投标报价之中，并要求</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人书面澄清确认，</w:t>
            </w:r>
            <w:r>
              <w:rPr>
                <w:rFonts w:hint="eastAsia" w:ascii="仿宋" w:hAnsi="仿宋" w:eastAsia="仿宋" w:cs="仿宋"/>
                <w:color w:val="auto"/>
                <w:kern w:val="2"/>
                <w:szCs w:val="21"/>
                <w:highlight w:val="none"/>
                <w:lang w:eastAsia="zh-CN"/>
              </w:rPr>
              <w:t>应答人</w:t>
            </w:r>
            <w:r>
              <w:rPr>
                <w:rFonts w:hint="eastAsia" w:ascii="仿宋" w:hAnsi="仿宋" w:eastAsia="仿宋" w:cs="仿宋"/>
                <w:color w:val="auto"/>
                <w:kern w:val="2"/>
                <w:szCs w:val="21"/>
                <w:highlight w:val="none"/>
              </w:rPr>
              <w:t>不按规定回复澄清确认或确认缺漏项价格不包含在</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报价中的，</w:t>
            </w:r>
            <w:r>
              <w:rPr>
                <w:rFonts w:hint="eastAsia" w:ascii="仿宋" w:hAnsi="仿宋" w:eastAsia="仿宋" w:cs="仿宋"/>
                <w:color w:val="auto"/>
                <w:kern w:val="2"/>
                <w:szCs w:val="21"/>
                <w:highlight w:val="none"/>
                <w:lang w:val="en-US" w:eastAsia="zh-CN"/>
              </w:rPr>
              <w:t>询价评审小组</w:t>
            </w:r>
            <w:r>
              <w:rPr>
                <w:rFonts w:hint="eastAsia" w:ascii="仿宋" w:hAnsi="仿宋" w:eastAsia="仿宋" w:cs="仿宋"/>
                <w:color w:val="auto"/>
                <w:kern w:val="2"/>
                <w:szCs w:val="21"/>
                <w:highlight w:val="none"/>
              </w:rPr>
              <w:t>应当否决其</w:t>
            </w:r>
            <w:r>
              <w:rPr>
                <w:rFonts w:hint="eastAsia" w:ascii="仿宋" w:hAnsi="仿宋" w:eastAsia="仿宋" w:cs="仿宋"/>
                <w:color w:val="auto"/>
                <w:kern w:val="2"/>
                <w:szCs w:val="21"/>
                <w:highlight w:val="none"/>
                <w:lang w:val="en-US" w:eastAsia="zh-CN"/>
              </w:rPr>
              <w:t>应答文件</w:t>
            </w:r>
            <w:r>
              <w:rPr>
                <w:rFonts w:hint="eastAsia" w:ascii="仿宋" w:hAnsi="仿宋" w:eastAsia="仿宋" w:cs="仿宋"/>
                <w:color w:val="auto"/>
                <w:kern w:val="2"/>
                <w:szCs w:val="21"/>
                <w:highlight w:val="none"/>
              </w:rPr>
              <w:t>”；</w:t>
            </w:r>
          </w:p>
          <w:p>
            <w:pPr>
              <w:ind w:left="0" w:leftChars="0"/>
              <w:jc w:val="both"/>
              <w:rPr>
                <w:rFonts w:hint="eastAsia" w:ascii="仿宋" w:hAnsi="仿宋" w:eastAsia="仿宋" w:cs="仿宋"/>
                <w:bCs/>
                <w:color w:val="auto"/>
                <w:kern w:val="0"/>
                <w:sz w:val="21"/>
                <w:szCs w:val="21"/>
                <w:highlight w:val="none"/>
              </w:rPr>
            </w:pPr>
            <w:r>
              <w:rPr>
                <w:rFonts w:hint="eastAsia" w:ascii="仿宋" w:hAnsi="仿宋" w:eastAsia="仿宋" w:cs="仿宋"/>
                <w:color w:val="auto"/>
                <w:kern w:val="2"/>
                <w:szCs w:val="21"/>
                <w:highlight w:val="none"/>
              </w:rPr>
              <w:t>对于协议类合同，“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报价不允许缺漏项，否则将导致</w:t>
            </w:r>
            <w:r>
              <w:rPr>
                <w:rFonts w:hint="eastAsia" w:ascii="仿宋" w:hAnsi="仿宋" w:eastAsia="仿宋" w:cs="仿宋"/>
                <w:color w:val="auto"/>
                <w:kern w:val="2"/>
                <w:szCs w:val="21"/>
                <w:highlight w:val="none"/>
                <w:lang w:val="en-US" w:eastAsia="zh-CN"/>
              </w:rPr>
              <w:t>应答报价</w:t>
            </w:r>
            <w:r>
              <w:rPr>
                <w:rFonts w:hint="eastAsia" w:ascii="仿宋" w:hAnsi="仿宋" w:eastAsia="仿宋" w:cs="仿宋"/>
                <w:color w:val="auto"/>
                <w:kern w:val="2"/>
                <w:szCs w:val="21"/>
                <w:highlight w:val="none"/>
              </w:rPr>
              <w:t>被否决”</w:t>
            </w:r>
          </w:p>
        </w:tc>
      </w:tr>
      <w:tr>
        <w:tblPrEx>
          <w:tblCellMar>
            <w:top w:w="0" w:type="dxa"/>
            <w:left w:w="0" w:type="dxa"/>
            <w:bottom w:w="0" w:type="dxa"/>
            <w:right w:w="0" w:type="dxa"/>
          </w:tblCellMar>
        </w:tblPrEx>
        <w:trPr>
          <w:trHeight w:val="454" w:hRule="atLeast"/>
          <w:jc w:val="center"/>
        </w:trPr>
        <w:tc>
          <w:tcPr>
            <w:tcW w:w="330"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Cs/>
                <w:color w:val="000000" w:themeColor="text1"/>
                <w:kern w:val="0"/>
                <w:sz w:val="21"/>
                <w:szCs w:val="21"/>
                <w:highlight w:val="none"/>
                <w:lang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4</w:t>
            </w:r>
          </w:p>
        </w:tc>
        <w:tc>
          <w:tcPr>
            <w:tcW w:w="1517" w:type="pct"/>
            <w:gridSpan w:val="2"/>
            <w:tcBorders>
              <w:top w:val="single" w:color="auto" w:sz="4" w:space="0"/>
              <w:left w:val="single" w:color="auto" w:sz="4" w:space="0"/>
              <w:bottom w:val="single" w:color="auto" w:sz="4" w:space="0"/>
              <w:right w:val="single" w:color="000000" w:sz="4" w:space="0"/>
            </w:tcBorders>
            <w:vAlign w:val="center"/>
          </w:tcPr>
          <w:p>
            <w:pPr>
              <w:pStyle w:val="14"/>
              <w:numPr>
                <w:ilvl w:val="-1"/>
                <w:numId w:val="0"/>
              </w:numPr>
              <w:jc w:val="center"/>
              <w:rPr>
                <w:rFonts w:hint="eastAsia" w:ascii="仿宋" w:hAnsi="仿宋" w:eastAsia="仿宋" w:cs="仿宋"/>
                <w:color w:val="C00000"/>
                <w:kern w:val="2"/>
                <w:sz w:val="21"/>
                <w:szCs w:val="21"/>
                <w:highlight w:val="none"/>
                <w:lang w:val="en-US" w:eastAsia="zh-CN" w:bidi="ar-SA"/>
              </w:rPr>
            </w:pPr>
          </w:p>
          <w:p>
            <w:pPr>
              <w:pStyle w:val="14"/>
              <w:numPr>
                <w:ilvl w:val="-1"/>
                <w:numId w:val="0"/>
              </w:numPr>
              <w:jc w:val="center"/>
              <w:rPr>
                <w:rFonts w:hint="eastAsia" w:ascii="仿宋" w:hAnsi="仿宋" w:eastAsia="仿宋" w:cs="仿宋"/>
                <w:color w:val="C00000"/>
                <w:kern w:val="2"/>
                <w:sz w:val="21"/>
                <w:szCs w:val="21"/>
                <w:highlight w:val="none"/>
                <w:lang w:eastAsia="zh-CN"/>
              </w:rPr>
            </w:pPr>
            <w:r>
              <w:rPr>
                <w:rFonts w:hint="eastAsia" w:ascii="仿宋" w:hAnsi="仿宋" w:eastAsia="仿宋" w:cs="仿宋"/>
                <w:bCs/>
                <w:color w:val="000000" w:themeColor="text1"/>
                <w:kern w:val="0"/>
                <w:sz w:val="21"/>
                <w:szCs w:val="21"/>
                <w:highlight w:val="none"/>
                <w14:textFill>
                  <w14:solidFill>
                    <w14:schemeClr w14:val="tx1"/>
                  </w14:solidFill>
                </w14:textFill>
              </w:rPr>
              <w:t>其他补充要求</w:t>
            </w:r>
          </w:p>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3151" w:type="pct"/>
            <w:tcBorders>
              <w:top w:val="single" w:color="000000" w:sz="4" w:space="0"/>
              <w:left w:val="nil"/>
              <w:bottom w:val="single" w:color="000000" w:sz="4" w:space="0"/>
              <w:right w:val="single" w:color="000000" w:sz="4" w:space="0"/>
            </w:tcBorders>
            <w:vAlign w:val="center"/>
          </w:tcPr>
          <w:p>
            <w:pPr>
              <w:pStyle w:val="4"/>
              <w:ind w:right="11" w:firstLine="420"/>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无</w:t>
            </w:r>
          </w:p>
        </w:tc>
      </w:tr>
    </w:tbl>
    <w:p>
      <w:pPr>
        <w:rPr>
          <w:highlight w:val="none"/>
        </w:rPr>
      </w:pPr>
    </w:p>
    <w:p>
      <w:pPr>
        <w:pStyle w:val="3"/>
        <w:rPr>
          <w:highlight w:val="none"/>
        </w:rPr>
      </w:pPr>
    </w:p>
    <w:p>
      <w:pPr>
        <w:rPr>
          <w:highlight w:val="none"/>
        </w:rPr>
      </w:pPr>
    </w:p>
    <w:p>
      <w:pPr>
        <w:pStyle w:val="3"/>
        <w:rPr>
          <w:highlight w:val="none"/>
        </w:rPr>
      </w:pPr>
    </w:p>
    <w:p>
      <w:pPr>
        <w:pStyle w:val="3"/>
        <w:ind w:firstLine="0" w:firstLineChars="0"/>
        <w:rPr>
          <w:highlight w:val="none"/>
          <w:lang w:val="en-US" w:eastAsia="zh-CN"/>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ascii="黑体" w:hAnsi="黑体" w:eastAsia="黑体"/>
          <w:b/>
          <w:bCs/>
          <w:color w:val="000000" w:themeColor="text1"/>
          <w:sz w:val="24"/>
          <w:szCs w:val="24"/>
          <w:highlight w:val="none"/>
          <w14:textFill>
            <w14:solidFill>
              <w14:schemeClr w14:val="tx1"/>
            </w14:solidFill>
          </w14:textFill>
        </w:rPr>
        <w:t>2</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 ：</w:t>
      </w:r>
      <w:r>
        <w:rPr>
          <w:rFonts w:ascii="黑体" w:hAnsi="黑体" w:eastAsia="黑体"/>
          <w:b/>
          <w:bCs/>
          <w:color w:val="000000" w:themeColor="text1"/>
          <w:sz w:val="24"/>
          <w:szCs w:val="24"/>
          <w:highlight w:val="none"/>
          <w14:textFill>
            <w14:solidFill>
              <w14:schemeClr w14:val="tx1"/>
            </w14:solidFill>
          </w14:textFill>
        </w:rPr>
        <w:t>采</w:t>
      </w:r>
      <w:r>
        <w:rPr>
          <w:rFonts w:hint="eastAsia" w:ascii="黑体" w:hAnsi="黑体" w:eastAsia="黑体"/>
          <w:b/>
          <w:bCs/>
          <w:color w:val="000000" w:themeColor="text1"/>
          <w:sz w:val="24"/>
          <w:szCs w:val="24"/>
          <w:highlight w:val="none"/>
          <w:lang w:val="en-US" w:eastAsia="zh-CN"/>
          <w14:textFill>
            <w14:solidFill>
              <w14:schemeClr w14:val="tx1"/>
            </w14:solidFill>
          </w14:textFill>
        </w:rPr>
        <w:t>购</w:t>
      </w:r>
      <w:r>
        <w:rPr>
          <w:rFonts w:hint="eastAsia" w:ascii="黑体" w:hAnsi="黑体" w:eastAsia="黑体"/>
          <w:b/>
          <w:bCs/>
          <w:color w:val="000000" w:themeColor="text1"/>
          <w:sz w:val="24"/>
          <w:szCs w:val="24"/>
          <w:highlight w:val="none"/>
          <w14:textFill>
            <w14:solidFill>
              <w14:schemeClr w14:val="tx1"/>
            </w14:solidFill>
          </w14:textFill>
        </w:rPr>
        <w:t>内容及</w:t>
      </w:r>
      <w:r>
        <w:rPr>
          <w:rFonts w:ascii="黑体" w:hAnsi="黑体" w:eastAsia="黑体"/>
          <w:b/>
          <w:bCs/>
          <w:color w:val="000000" w:themeColor="text1"/>
          <w:sz w:val="24"/>
          <w:szCs w:val="24"/>
          <w:highlight w:val="none"/>
          <w14:textFill>
            <w14:solidFill>
              <w14:schemeClr w14:val="tx1"/>
            </w14:solidFill>
          </w14:textFill>
        </w:rPr>
        <w:t>技术要求</w:t>
      </w:r>
    </w:p>
    <w:p>
      <w:pPr>
        <w:rPr>
          <w:rFonts w:ascii="黑体" w:hAnsi="黑体" w:eastAsia="黑体"/>
          <w:color w:val="000000" w:themeColor="text1"/>
          <w:sz w:val="24"/>
          <w:szCs w:val="24"/>
          <w:highlight w:val="none"/>
          <w14:textFill>
            <w14:solidFill>
              <w14:schemeClr w14:val="tx1"/>
            </w14:solidFill>
          </w14:textFill>
        </w:rPr>
      </w:pPr>
    </w:p>
    <w:p>
      <w:pPr>
        <w:pStyle w:val="2"/>
        <w:spacing w:line="240" w:lineRule="auto"/>
        <w:rPr>
          <w:rFonts w:hint="eastAsia" w:ascii="宋体" w:hAnsi="宋体" w:eastAsia="宋体" w:cs="宋体"/>
          <w:sz w:val="21"/>
          <w:szCs w:val="21"/>
        </w:rPr>
      </w:pPr>
      <w:r>
        <w:rPr>
          <w:rFonts w:hint="eastAsia" w:ascii="宋体" w:hAnsi="宋体" w:eastAsia="宋体" w:cs="宋体"/>
          <w:sz w:val="21"/>
          <w:szCs w:val="21"/>
        </w:rPr>
        <w:t>一、项目概况及总体要求</w:t>
      </w:r>
      <w:bookmarkStart w:id="0" w:name="_Toc13249325"/>
      <w:bookmarkStart w:id="1" w:name="_Toc13248928"/>
    </w:p>
    <w:p>
      <w:pPr>
        <w:keepNext w:val="0"/>
        <w:keepLines w:val="0"/>
        <w:widowControl/>
        <w:suppressLineNumbers w:val="0"/>
        <w:spacing w:before="0" w:beforeAutospacing="1" w:after="0" w:afterAutospacing="1"/>
        <w:ind w:left="0" w:right="0"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业防护工程中心是装备技术公司下属一家专业的工业防护技术服务公司，主营业务包括设施设备腐蚀防护、腐蚀治理、工业清洗和设施设备延期服役等。目前为了提升中心在防护业务方面的核心竞争力，同时也是为了合规运营， 根据装备技术公司1234发展战略和设备设施预知性防治一体化平台规划，工业防护中心以腐蚀防护产品集成测试车间为载体，掌握智能腐蚀防护产品的设计、制造、集成和运维技术，形成中心自有产品制造能力和自主知识产权的技术能力。为此需要申请购置一批办公家具。</w:t>
      </w:r>
    </w:p>
    <w:p>
      <w:pPr>
        <w:pStyle w:val="2"/>
        <w:spacing w:line="240" w:lineRule="auto"/>
        <w:rPr>
          <w:rFonts w:hint="eastAsia" w:ascii="宋体" w:hAnsi="宋体" w:eastAsia="宋体" w:cs="宋体"/>
          <w:sz w:val="21"/>
          <w:szCs w:val="21"/>
        </w:rPr>
      </w:pPr>
      <w:r>
        <w:rPr>
          <w:rFonts w:hint="eastAsia" w:ascii="宋体" w:hAnsi="宋体" w:eastAsia="宋体" w:cs="宋体"/>
          <w:sz w:val="21"/>
          <w:szCs w:val="21"/>
        </w:rPr>
        <w:t>二、</w:t>
      </w:r>
      <w:bookmarkEnd w:id="0"/>
      <w:bookmarkEnd w:id="1"/>
      <w:r>
        <w:rPr>
          <w:rFonts w:hint="eastAsia" w:ascii="宋体" w:hAnsi="宋体" w:eastAsia="宋体" w:cs="宋体"/>
          <w:sz w:val="21"/>
          <w:szCs w:val="21"/>
        </w:rPr>
        <w:t>采购明细</w:t>
      </w:r>
    </w:p>
    <w:tbl>
      <w:tblPr>
        <w:tblStyle w:val="11"/>
        <w:tblpPr w:leftFromText="180" w:rightFromText="180" w:vertAnchor="text" w:horzAnchor="margin" w:tblpXSpec="center" w:tblpY="224"/>
        <w:tblOverlap w:val="never"/>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1"/>
        <w:gridCol w:w="2156"/>
        <w:gridCol w:w="3068"/>
        <w:gridCol w:w="1408"/>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121" w:type="dxa"/>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2156" w:type="dxa"/>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名称</w:t>
            </w:r>
          </w:p>
        </w:tc>
        <w:tc>
          <w:tcPr>
            <w:tcW w:w="3068" w:type="dxa"/>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规格</w:t>
            </w:r>
          </w:p>
        </w:tc>
        <w:tc>
          <w:tcPr>
            <w:tcW w:w="1408" w:type="dxa"/>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数量</w:t>
            </w:r>
          </w:p>
        </w:tc>
        <w:tc>
          <w:tcPr>
            <w:tcW w:w="1492" w:type="dxa"/>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1"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215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2"/>
                <w:sz w:val="21"/>
                <w:szCs w:val="21"/>
                <w:u w:val="none"/>
                <w:lang w:val="en-US" w:eastAsia="zh-CN" w:bidi="ar-SA"/>
              </w:rPr>
              <w:t>隔断</w:t>
            </w:r>
          </w:p>
        </w:tc>
        <w:tc>
          <w:tcPr>
            <w:tcW w:w="3068"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2"/>
                <w:sz w:val="21"/>
                <w:szCs w:val="21"/>
                <w:u w:val="none"/>
                <w:lang w:val="en-US" w:eastAsia="zh-CN" w:bidi="ar-SA"/>
              </w:rPr>
              <w:t>1200mm×3000mm×85mm</w:t>
            </w:r>
          </w:p>
        </w:tc>
        <w:tc>
          <w:tcPr>
            <w:tcW w:w="1408" w:type="dxa"/>
            <w:vAlign w:val="center"/>
          </w:tcPr>
          <w:p>
            <w:pPr>
              <w:keepNext w:val="0"/>
              <w:keepLines w:val="0"/>
              <w:widowControl/>
              <w:suppressLineNumbers w:val="0"/>
              <w:jc w:val="center"/>
              <w:textAlignment w:val="center"/>
              <w:rPr>
                <w:rFonts w:hint="eastAsia" w:ascii="宋体" w:hAnsi="宋体" w:eastAsia="宋体" w:cs="宋体"/>
                <w:sz w:val="21"/>
                <w:szCs w:val="21"/>
                <w:lang w:val="en-US"/>
              </w:rPr>
            </w:pPr>
            <w:r>
              <w:rPr>
                <w:rFonts w:hint="eastAsia" w:ascii="宋体" w:hAnsi="宋体" w:eastAsia="宋体" w:cs="宋体"/>
                <w:i w:val="0"/>
                <w:iCs w:val="0"/>
                <w:color w:val="000000"/>
                <w:kern w:val="0"/>
                <w:sz w:val="21"/>
                <w:szCs w:val="21"/>
                <w:u w:val="none"/>
                <w:lang w:val="en-US" w:eastAsia="zh-CN" w:bidi="ar"/>
              </w:rPr>
              <w:t>380</w:t>
            </w:r>
          </w:p>
        </w:tc>
        <w:tc>
          <w:tcPr>
            <w:tcW w:w="1492"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121"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215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2"/>
                <w:sz w:val="21"/>
                <w:szCs w:val="21"/>
                <w:u w:val="none"/>
                <w:lang w:val="en-US" w:eastAsia="zh-CN" w:bidi="ar-SA"/>
              </w:rPr>
              <w:t>办公桌</w:t>
            </w:r>
          </w:p>
        </w:tc>
        <w:tc>
          <w:tcPr>
            <w:tcW w:w="3068"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2"/>
                <w:sz w:val="21"/>
                <w:szCs w:val="21"/>
                <w:u w:val="none"/>
                <w:lang w:val="en-US" w:eastAsia="zh-CN" w:bidi="ar-SA"/>
              </w:rPr>
              <w:t>7800mm×750mm×850mm</w:t>
            </w:r>
          </w:p>
        </w:tc>
        <w:tc>
          <w:tcPr>
            <w:tcW w:w="1408"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30</w:t>
            </w:r>
          </w:p>
        </w:tc>
        <w:tc>
          <w:tcPr>
            <w:tcW w:w="1492"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121"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215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2"/>
                <w:sz w:val="21"/>
                <w:szCs w:val="21"/>
                <w:u w:val="none"/>
                <w:lang w:val="en-US" w:eastAsia="zh-CN" w:bidi="ar-SA"/>
              </w:rPr>
              <w:t>工位</w:t>
            </w:r>
          </w:p>
        </w:tc>
        <w:tc>
          <w:tcPr>
            <w:tcW w:w="3068" w:type="dxa"/>
            <w:vAlign w:val="center"/>
          </w:tcPr>
          <w:p>
            <w:pPr>
              <w:keepNext w:val="0"/>
              <w:keepLines w:val="0"/>
              <w:widowControl/>
              <w:suppressLineNumbers w:val="0"/>
              <w:jc w:val="center"/>
              <w:textAlignment w:val="center"/>
              <w:rPr>
                <w:rFonts w:hint="eastAsia" w:ascii="宋体" w:hAnsi="宋体" w:eastAsia="宋体" w:cs="宋体"/>
                <w:sz w:val="21"/>
                <w:szCs w:val="21"/>
                <w:lang w:eastAsia="zh-CN"/>
              </w:rPr>
            </w:pPr>
            <w:r>
              <w:rPr>
                <w:rFonts w:hint="eastAsia" w:ascii="宋体" w:hAnsi="宋体" w:eastAsia="宋体" w:cs="宋体"/>
                <w:i w:val="0"/>
                <w:iCs w:val="0"/>
                <w:color w:val="000000"/>
                <w:kern w:val="2"/>
                <w:sz w:val="21"/>
                <w:szCs w:val="21"/>
                <w:u w:val="none"/>
                <w:lang w:val="en-US" w:eastAsia="zh-CN" w:bidi="ar-SA"/>
              </w:rPr>
              <w:t>2000mm×1800mm×1200mm</w:t>
            </w:r>
          </w:p>
        </w:tc>
        <w:tc>
          <w:tcPr>
            <w:tcW w:w="1408"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w:t>
            </w:r>
          </w:p>
        </w:tc>
        <w:tc>
          <w:tcPr>
            <w:tcW w:w="1492"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121"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4</w:t>
            </w:r>
          </w:p>
        </w:tc>
        <w:tc>
          <w:tcPr>
            <w:tcW w:w="215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2"/>
                <w:sz w:val="21"/>
                <w:szCs w:val="21"/>
                <w:u w:val="none"/>
                <w:lang w:val="en-US" w:eastAsia="zh-CN" w:bidi="ar-SA"/>
              </w:rPr>
              <w:t>文件柜</w:t>
            </w:r>
          </w:p>
        </w:tc>
        <w:tc>
          <w:tcPr>
            <w:tcW w:w="3068"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2"/>
                <w:sz w:val="21"/>
                <w:szCs w:val="21"/>
                <w:u w:val="none"/>
                <w:lang w:val="en-US" w:eastAsia="zh-CN" w:bidi="ar-SA"/>
              </w:rPr>
              <w:t>1200mm×500mm×1820mm</w:t>
            </w:r>
          </w:p>
        </w:tc>
        <w:tc>
          <w:tcPr>
            <w:tcW w:w="1408"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w:t>
            </w:r>
          </w:p>
        </w:tc>
        <w:tc>
          <w:tcPr>
            <w:tcW w:w="1492"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121"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5</w:t>
            </w:r>
          </w:p>
        </w:tc>
        <w:tc>
          <w:tcPr>
            <w:tcW w:w="215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2"/>
                <w:sz w:val="21"/>
                <w:szCs w:val="21"/>
                <w:u w:val="none"/>
                <w:lang w:val="en-US" w:eastAsia="zh-CN" w:bidi="ar-SA"/>
              </w:rPr>
              <w:t>办公椅</w:t>
            </w:r>
          </w:p>
        </w:tc>
        <w:tc>
          <w:tcPr>
            <w:tcW w:w="3068"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2"/>
                <w:sz w:val="21"/>
                <w:szCs w:val="21"/>
                <w:u w:val="none"/>
                <w:lang w:val="en-US" w:eastAsia="zh-CN" w:bidi="ar-SA"/>
              </w:rPr>
              <w:t>630mm×610mm×1220mm</w:t>
            </w:r>
          </w:p>
        </w:tc>
        <w:tc>
          <w:tcPr>
            <w:tcW w:w="1408"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w:t>
            </w:r>
          </w:p>
        </w:tc>
        <w:tc>
          <w:tcPr>
            <w:tcW w:w="1492" w:type="dxa"/>
            <w:vAlign w:val="center"/>
          </w:tcPr>
          <w:p>
            <w:pPr>
              <w:jc w:val="center"/>
              <w:rPr>
                <w:rFonts w:hint="eastAsia" w:ascii="宋体" w:hAnsi="宋体" w:eastAsia="宋体" w:cs="宋体"/>
                <w:sz w:val="21"/>
                <w:szCs w:val="21"/>
              </w:rPr>
            </w:pPr>
          </w:p>
        </w:tc>
      </w:tr>
    </w:tbl>
    <w:p>
      <w:pPr>
        <w:rPr>
          <w:rFonts w:hint="eastAsia" w:ascii="宋体" w:hAnsi="宋体" w:eastAsia="宋体" w:cs="宋体"/>
          <w:sz w:val="21"/>
          <w:szCs w:val="21"/>
          <w:lang w:eastAsia="zh-CN"/>
        </w:rPr>
      </w:pPr>
    </w:p>
    <w:p>
      <w:pPr>
        <w:pStyle w:val="2"/>
        <w:spacing w:line="240" w:lineRule="auto"/>
        <w:rPr>
          <w:rFonts w:hint="eastAsia" w:ascii="宋体" w:hAnsi="宋体" w:eastAsia="宋体" w:cs="宋体"/>
          <w:b/>
          <w:bCs/>
          <w:sz w:val="21"/>
          <w:szCs w:val="21"/>
        </w:rPr>
      </w:pPr>
      <w:bookmarkStart w:id="2" w:name="_Toc13248929"/>
      <w:bookmarkStart w:id="3" w:name="_Toc13249326"/>
      <w:r>
        <w:rPr>
          <w:rFonts w:hint="eastAsia" w:ascii="宋体" w:hAnsi="宋体" w:eastAsia="宋体" w:cs="宋体"/>
          <w:b/>
          <w:bCs/>
          <w:sz w:val="21"/>
          <w:szCs w:val="21"/>
        </w:rPr>
        <w:t>三、技术要求</w:t>
      </w:r>
    </w:p>
    <w:tbl>
      <w:tblPr>
        <w:tblStyle w:val="11"/>
        <w:tblpPr w:leftFromText="180" w:rightFromText="180" w:vertAnchor="text" w:horzAnchor="page" w:tblpXSpec="center" w:tblpY="371"/>
        <w:tblOverlap w:val="never"/>
        <w:tblW w:w="54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692"/>
        <w:gridCol w:w="663"/>
        <w:gridCol w:w="6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365" w:type="pct"/>
            <w:noWrap/>
            <w:vAlign w:val="center"/>
          </w:tcPr>
          <w:p>
            <w:pPr>
              <w:ind w:right="11"/>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904" w:type="pct"/>
            <w:vAlign w:val="center"/>
          </w:tcPr>
          <w:p>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名称规格</w:t>
            </w:r>
          </w:p>
        </w:tc>
        <w:tc>
          <w:tcPr>
            <w:tcW w:w="354" w:type="pct"/>
            <w:noWrap/>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单位</w:t>
            </w:r>
          </w:p>
        </w:tc>
        <w:tc>
          <w:tcPr>
            <w:tcW w:w="3376" w:type="pct"/>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365" w:type="pct"/>
            <w:noWrap/>
            <w:vAlign w:val="center"/>
          </w:tcPr>
          <w:p>
            <w:pPr>
              <w:pStyle w:val="18"/>
              <w:numPr>
                <w:ilvl w:val="0"/>
                <w:numId w:val="0"/>
              </w:numPr>
              <w:ind w:leftChars="0" w:right="11"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692" w:type="dxa"/>
            <w:vAlign w:val="center"/>
          </w:tcPr>
          <w:p>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2"/>
                <w:sz w:val="21"/>
                <w:szCs w:val="21"/>
                <w:u w:val="none"/>
                <w:lang w:val="en-US" w:eastAsia="zh-CN" w:bidi="ar-SA"/>
              </w:rPr>
              <w:t>隔断\1200mm×3000mm×85mm</w:t>
            </w:r>
          </w:p>
        </w:tc>
        <w:tc>
          <w:tcPr>
            <w:tcW w:w="354" w:type="pct"/>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平米</w:t>
            </w:r>
          </w:p>
        </w:tc>
        <w:tc>
          <w:tcPr>
            <w:tcW w:w="3376"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【品类】 透光隔断墙;双面玻璃内置百叶　　【规格】 标准最大模块(宽×高×厚); (1200W×3000H×85)(玻璃百叶帘到顶)　　【内部结构】全铝合金结构。外部框架：由高精级铝合金型材装配而型成。铝材采用阳极碱性氧化表面处理。　　【材质】 双层5mm钢化安全玻璃，铝框两侧各使用一层 5mm厚钢化安全玻璃，玻璃四边嵌插在铝合金部件内被扣紧完成。　　【金属百叶帘】 外置旋钮，片式、针孔式叶片。　　【百叶颜色】白色　【铝材颜色】 白色　　【金属百叶帘片宽度】16mm　　【耐火等级】60min以上　　【隔音指数】45-52dB　</w:t>
            </w:r>
            <w:r>
              <w:rPr>
                <w:rFonts w:hint="eastAsia" w:ascii="宋体" w:hAnsi="宋体" w:eastAsia="宋体" w:cs="宋体"/>
                <w:i w:val="0"/>
                <w:iCs w:val="0"/>
                <w:color w:val="000000"/>
                <w:kern w:val="2"/>
                <w:sz w:val="21"/>
                <w:szCs w:val="21"/>
                <w:u w:val="none"/>
                <w:lang w:val="en-US" w:eastAsia="zh-CN" w:bidi="ar-SA"/>
              </w:rPr>
              <w:br w:type="textWrapping"/>
            </w:r>
            <w:r>
              <w:rPr>
                <w:rFonts w:hint="eastAsia" w:ascii="宋体" w:hAnsi="宋体" w:eastAsia="宋体" w:cs="宋体"/>
                <w:i w:val="0"/>
                <w:iCs w:val="0"/>
                <w:color w:val="000000"/>
                <w:kern w:val="2"/>
                <w:sz w:val="21"/>
                <w:szCs w:val="21"/>
                <w:u w:val="none"/>
                <w:lang w:val="en-US" w:eastAsia="zh-CN" w:bidi="ar-SA"/>
              </w:rPr>
              <w:t xml:space="preserve">脚轮：采用增强尼龙万向脚轮，可溶性重金属可溶性铅（Pb）≤8mg/kg、可溶性汞(Hg)≤2mg/kg、可溶性铬(Cr)≤3mg/kg、可溶性镉(Cd)≤2mg/kg，移动杂音小，耐磨性大。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365" w:type="pct"/>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w:t>
            </w:r>
          </w:p>
        </w:tc>
        <w:tc>
          <w:tcPr>
            <w:tcW w:w="1692" w:type="dxa"/>
            <w:vAlign w:val="center"/>
          </w:tcPr>
          <w:p>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2"/>
                <w:sz w:val="21"/>
                <w:szCs w:val="21"/>
                <w:u w:val="none"/>
                <w:lang w:val="en-US" w:eastAsia="zh-CN" w:bidi="ar-SA"/>
              </w:rPr>
              <w:t>办公桌\7800mm×750mm×850mm</w:t>
            </w:r>
          </w:p>
        </w:tc>
        <w:tc>
          <w:tcPr>
            <w:tcW w:w="354" w:type="pct"/>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个</w:t>
            </w:r>
          </w:p>
        </w:tc>
        <w:tc>
          <w:tcPr>
            <w:tcW w:w="3376"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采用全钢落地式结构，规格：7800*750*850</w:t>
            </w:r>
          </w:p>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1.台面：选用12.7mm厚实心理化板，边缘双层加厚，并做滴水沿设计，边缘总厚度为25.4mm。</w:t>
            </w:r>
          </w:p>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2.柜体材质及制作要求：</w:t>
            </w:r>
          </w:p>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A、钢板：柜体采用1.0mm厚、抽屉侧板采用0.8mm厚优质冷轧镀锌钢板。</w:t>
            </w:r>
          </w:p>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B、表面喷涂：环氧树脂粉末静电喷涂，喷涂均匀，厚度不低于75um(±5%)。</w:t>
            </w:r>
          </w:p>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C、层板：层板可调节，每个柜内层板≥1块。抽屉：抽屉内外部钢板表面须经环氧树脂粉末静电喷涂。</w:t>
            </w:r>
          </w:p>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D、门板：门片均为双层隔音设计，门片内外部的钢板表面须经环氧树脂粉末静电喷涂。</w:t>
            </w:r>
          </w:p>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E、加工工艺：以上所有钢制产品，严格按照要求制作。采用精密数控机床一体折弯成型，工艺精细，无焊接点外露。</w:t>
            </w:r>
          </w:p>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F、五金电料配件</w:t>
            </w:r>
          </w:p>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柜门采用：合页开合次数≥10万次。</w:t>
            </w:r>
          </w:p>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滑轨：采用1.5+1.2+1.2mm厚45型挂插式三节滚珠滑轨，表面经静电喷涂处理，防滑出设计，滑轮抽出时平滑顺畅且低噪音，耐磨滑轮。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365" w:type="pct"/>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w:t>
            </w:r>
          </w:p>
        </w:tc>
        <w:tc>
          <w:tcPr>
            <w:tcW w:w="1692" w:type="dxa"/>
            <w:vAlign w:val="center"/>
          </w:tcPr>
          <w:p>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2"/>
                <w:sz w:val="21"/>
                <w:szCs w:val="21"/>
                <w:u w:val="none"/>
                <w:lang w:val="en-US" w:eastAsia="zh-CN" w:bidi="ar-SA"/>
              </w:rPr>
              <w:t>工位\2000mm×1800mm×1200mm</w:t>
            </w:r>
          </w:p>
        </w:tc>
        <w:tc>
          <w:tcPr>
            <w:tcW w:w="354" w:type="pct"/>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个</w:t>
            </w:r>
          </w:p>
        </w:tc>
        <w:tc>
          <w:tcPr>
            <w:tcW w:w="3376"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2000*1800*1200</w:t>
            </w:r>
          </w:p>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1、钢木结合，钢制屏风+环保防火板桌面</w:t>
            </w:r>
          </w:p>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2、钢制扣板屏风60mm×40mm，外形简单大气，具有上线功能，颜色可选</w:t>
            </w:r>
          </w:p>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3、钢制休息床</w:t>
            </w:r>
          </w:p>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4、走线合理，固定柜预留走线孔，插座孔，柜内走线美观方便。</w:t>
            </w:r>
          </w:p>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5、台面环保防火板，造型美观，细致工艺尽显品质。</w:t>
            </w:r>
          </w:p>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6：落地柜：0.8 mm上海宝钢的一级冷轧钢板经除油、清洗、去绣、磷化清洗、预处理、清洗、钝化等九道工序及两道静电喷涂，不生锈不脱漆。</w:t>
            </w:r>
          </w:p>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 xml:space="preserve">7.每套工位内包含1个更衣柜，一个三抽柜，一个空格柜，一个床柜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365" w:type="pct"/>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w:t>
            </w:r>
          </w:p>
        </w:tc>
        <w:tc>
          <w:tcPr>
            <w:tcW w:w="1692" w:type="dxa"/>
            <w:vAlign w:val="center"/>
          </w:tcPr>
          <w:p>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2"/>
                <w:sz w:val="21"/>
                <w:szCs w:val="21"/>
                <w:u w:val="none"/>
                <w:lang w:val="en-US" w:eastAsia="zh-CN" w:bidi="ar-SA"/>
              </w:rPr>
              <w:t>文件柜\1200mm×500mm×1820mm</w:t>
            </w:r>
          </w:p>
        </w:tc>
        <w:tc>
          <w:tcPr>
            <w:tcW w:w="354" w:type="pct"/>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个</w:t>
            </w:r>
          </w:p>
        </w:tc>
        <w:tc>
          <w:tcPr>
            <w:tcW w:w="3376"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1200*500*1820</w:t>
            </w:r>
          </w:p>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 xml:space="preserve">0.8 mm一级冷轧钢板经除油、清洗、去绣、磷化清洗、预处理、清洗、钝化等九道工序及两道静电喷涂，不生锈不脱漆。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365" w:type="pct"/>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5</w:t>
            </w:r>
          </w:p>
        </w:tc>
        <w:tc>
          <w:tcPr>
            <w:tcW w:w="1692" w:type="dxa"/>
            <w:vAlign w:val="center"/>
          </w:tcPr>
          <w:p>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2"/>
                <w:sz w:val="21"/>
                <w:szCs w:val="21"/>
                <w:u w:val="none"/>
                <w:lang w:val="en-US" w:eastAsia="zh-CN" w:bidi="ar-SA"/>
              </w:rPr>
              <w:t>办公椅\630mm×610mm×1220mm</w:t>
            </w:r>
          </w:p>
        </w:tc>
        <w:tc>
          <w:tcPr>
            <w:tcW w:w="354" w:type="pct"/>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把</w:t>
            </w:r>
          </w:p>
        </w:tc>
        <w:tc>
          <w:tcPr>
            <w:tcW w:w="3376"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63mm×61mm×122mm</w:t>
            </w:r>
          </w:p>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(1)面材: 网布，通过3M检测标准。基 材：高弹性成型泡棉,密度高于40kg/m3,类似天然乳胶,回弹性能好，不变形。 内板：为双层15mm多层曲木板齿接热压成型。</w:t>
            </w:r>
          </w:p>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(2) 气压棒：进口品牌上下伸缩30万次不漏气，保持特有的柔和升降功能，承受压力250kg，气动行程60-100mm；</w:t>
            </w:r>
          </w:p>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(3) 合金金属星盘，脚轮：尼龙含量90%纤维含量10%，可承重静压力1200kg。</w:t>
            </w:r>
          </w:p>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（4）椅背可调节高度。</w:t>
            </w:r>
          </w:p>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（5）具有倾仰锁定功能。</w:t>
            </w:r>
          </w:p>
        </w:tc>
      </w:tr>
    </w:tbl>
    <w:p>
      <w:pPr>
        <w:adjustRightInd w:val="0"/>
        <w:snapToGrid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w:t>
      </w:r>
      <w:r>
        <w:rPr>
          <w:rFonts w:hint="eastAsia" w:ascii="宋体" w:hAnsi="宋体" w:eastAsia="宋体" w:cs="宋体"/>
          <w:color w:val="auto"/>
          <w:sz w:val="21"/>
          <w:szCs w:val="21"/>
          <w:lang w:val="en-US" w:eastAsia="zh-CN"/>
        </w:rPr>
        <w:t>技术评审时，需提供样品（工位\2000mm×1800mm×1200mm）进行评审</w:t>
      </w:r>
      <w:r>
        <w:rPr>
          <w:rFonts w:hint="eastAsia" w:ascii="宋体" w:hAnsi="宋体" w:eastAsia="宋体" w:cs="宋体"/>
          <w:sz w:val="21"/>
          <w:szCs w:val="21"/>
          <w:lang w:val="en-US" w:eastAsia="zh-CN"/>
        </w:rPr>
        <w:t>。</w:t>
      </w:r>
    </w:p>
    <w:p>
      <w:pPr>
        <w:pStyle w:val="2"/>
        <w:spacing w:line="240" w:lineRule="auto"/>
        <w:rPr>
          <w:rFonts w:hint="eastAsia" w:ascii="宋体" w:hAnsi="宋体" w:eastAsia="宋体" w:cs="宋体"/>
          <w:b/>
          <w:bCs/>
          <w:sz w:val="21"/>
          <w:szCs w:val="21"/>
        </w:rPr>
      </w:pPr>
      <w:r>
        <w:rPr>
          <w:rFonts w:hint="eastAsia" w:ascii="宋体" w:hAnsi="宋体" w:eastAsia="宋体" w:cs="宋体"/>
          <w:b/>
          <w:bCs/>
          <w:sz w:val="21"/>
          <w:szCs w:val="21"/>
        </w:rPr>
        <w:t xml:space="preserve">四、质量要求 </w:t>
      </w:r>
    </w:p>
    <w:p>
      <w:pPr>
        <w:adjustRightInd w:val="0"/>
        <w:snapToGrid w:val="0"/>
        <w:ind w:firstLine="211" w:firstLineChars="100"/>
        <w:rPr>
          <w:rFonts w:hint="eastAsia" w:ascii="宋体" w:hAnsi="宋体" w:eastAsia="宋体" w:cs="宋体"/>
          <w:b/>
          <w:bCs/>
          <w:color w:val="000000"/>
          <w:sz w:val="21"/>
          <w:szCs w:val="21"/>
        </w:rPr>
      </w:pPr>
      <w:r>
        <w:rPr>
          <w:rFonts w:hint="eastAsia" w:ascii="宋体" w:hAnsi="宋体" w:eastAsia="宋体" w:cs="宋体"/>
          <w:b/>
          <w:bCs/>
          <w:sz w:val="21"/>
          <w:szCs w:val="21"/>
          <w:lang w:eastAsia="zh-CN"/>
        </w:rPr>
        <w:t>1、家具生产要求</w:t>
      </w:r>
    </w:p>
    <w:p>
      <w:pPr>
        <w:pStyle w:val="8"/>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实木油漆类</w:t>
      </w:r>
    </w:p>
    <w:p>
      <w:pPr>
        <w:pStyle w:val="8"/>
        <w:ind w:firstLine="420"/>
        <w:rPr>
          <w:rFonts w:hint="eastAsia" w:ascii="宋体" w:hAnsi="宋体" w:eastAsia="宋体" w:cs="宋体"/>
          <w:sz w:val="21"/>
          <w:szCs w:val="21"/>
        </w:rPr>
      </w:pPr>
      <w:r>
        <w:rPr>
          <w:rFonts w:hint="eastAsia" w:ascii="宋体" w:hAnsi="宋体" w:eastAsia="宋体" w:cs="宋体"/>
          <w:sz w:val="21"/>
          <w:szCs w:val="21"/>
        </w:rPr>
        <w:t>基材：采用E1级优质人造板，加厚优质胡桃/樱桃木皮覆面。</w:t>
      </w:r>
    </w:p>
    <w:p>
      <w:pPr>
        <w:pStyle w:val="8"/>
        <w:ind w:firstLine="420"/>
        <w:rPr>
          <w:rFonts w:hint="eastAsia" w:ascii="宋体" w:hAnsi="宋体" w:eastAsia="宋体" w:cs="宋体"/>
          <w:sz w:val="21"/>
          <w:szCs w:val="21"/>
        </w:rPr>
      </w:pPr>
      <w:r>
        <w:rPr>
          <w:rFonts w:hint="eastAsia" w:ascii="宋体" w:hAnsi="宋体" w:eastAsia="宋体" w:cs="宋体"/>
          <w:sz w:val="21"/>
          <w:szCs w:val="21"/>
        </w:rPr>
        <w:t>封边：实木封边；优质环保涂料饰面。经过防虫、防腐等化学处理，持久不变形。</w:t>
      </w:r>
    </w:p>
    <w:p>
      <w:pPr>
        <w:pStyle w:val="8"/>
        <w:rPr>
          <w:rFonts w:hint="eastAsia" w:ascii="宋体" w:hAnsi="宋体" w:eastAsia="宋体" w:cs="宋体"/>
          <w:sz w:val="21"/>
          <w:szCs w:val="21"/>
        </w:rPr>
      </w:pPr>
      <w:r>
        <w:rPr>
          <w:rFonts w:hint="eastAsia" w:ascii="宋体" w:hAnsi="宋体" w:eastAsia="宋体" w:cs="宋体"/>
          <w:sz w:val="21"/>
          <w:szCs w:val="21"/>
          <w:lang w:val="en-US" w:eastAsia="zh-CN"/>
        </w:rPr>
        <w:t>1.2</w:t>
      </w:r>
      <w:r>
        <w:rPr>
          <w:rFonts w:hint="eastAsia" w:ascii="宋体" w:hAnsi="宋体" w:eastAsia="宋体" w:cs="宋体"/>
          <w:sz w:val="21"/>
          <w:szCs w:val="21"/>
        </w:rPr>
        <w:t xml:space="preserve">板式类家具 </w:t>
      </w:r>
    </w:p>
    <w:p>
      <w:pPr>
        <w:pStyle w:val="8"/>
        <w:ind w:firstLine="420"/>
        <w:rPr>
          <w:rFonts w:hint="eastAsia" w:ascii="宋体" w:hAnsi="宋体" w:eastAsia="宋体" w:cs="宋体"/>
          <w:sz w:val="21"/>
          <w:szCs w:val="21"/>
        </w:rPr>
      </w:pPr>
      <w:r>
        <w:rPr>
          <w:rFonts w:hint="eastAsia" w:ascii="宋体" w:hAnsi="宋体" w:eastAsia="宋体" w:cs="宋体"/>
          <w:sz w:val="21"/>
          <w:szCs w:val="21"/>
        </w:rPr>
        <w:t>基材：采用E1级环保刨花板，经过防虫、防腐等化学处理，持久不变形。</w:t>
      </w:r>
    </w:p>
    <w:p>
      <w:pPr>
        <w:pStyle w:val="8"/>
        <w:ind w:firstLine="420"/>
        <w:rPr>
          <w:rFonts w:hint="eastAsia" w:ascii="宋体" w:hAnsi="宋体" w:eastAsia="宋体" w:cs="宋体"/>
          <w:sz w:val="21"/>
          <w:szCs w:val="21"/>
        </w:rPr>
      </w:pPr>
      <w:r>
        <w:rPr>
          <w:rFonts w:hint="eastAsia" w:ascii="宋体" w:hAnsi="宋体" w:eastAsia="宋体" w:cs="宋体"/>
          <w:sz w:val="21"/>
          <w:szCs w:val="21"/>
        </w:rPr>
        <w:t>面材：优质防火耐磨成型板；</w:t>
      </w:r>
    </w:p>
    <w:p>
      <w:pPr>
        <w:pStyle w:val="8"/>
        <w:ind w:firstLine="420"/>
        <w:rPr>
          <w:rFonts w:hint="eastAsia" w:ascii="宋体" w:hAnsi="宋体" w:eastAsia="宋体" w:cs="宋体"/>
          <w:sz w:val="21"/>
          <w:szCs w:val="21"/>
        </w:rPr>
      </w:pPr>
      <w:r>
        <w:rPr>
          <w:rFonts w:hint="eastAsia" w:ascii="宋体" w:hAnsi="宋体" w:eastAsia="宋体" w:cs="宋体"/>
          <w:sz w:val="21"/>
          <w:szCs w:val="21"/>
        </w:rPr>
        <w:t>配件：采用优质五金连接件</w:t>
      </w:r>
    </w:p>
    <w:p>
      <w:pPr>
        <w:pStyle w:val="8"/>
        <w:ind w:firstLine="420"/>
        <w:rPr>
          <w:rFonts w:hint="eastAsia" w:ascii="宋体" w:hAnsi="宋体" w:eastAsia="宋体" w:cs="宋体"/>
          <w:sz w:val="21"/>
          <w:szCs w:val="21"/>
        </w:rPr>
      </w:pPr>
      <w:r>
        <w:rPr>
          <w:rFonts w:hint="eastAsia" w:ascii="宋体" w:hAnsi="宋体" w:eastAsia="宋体" w:cs="宋体"/>
          <w:sz w:val="21"/>
          <w:szCs w:val="21"/>
        </w:rPr>
        <w:t>封边：PVC厚封边条，热溶胶封边。</w:t>
      </w:r>
    </w:p>
    <w:p>
      <w:pPr>
        <w:pStyle w:val="8"/>
        <w:rPr>
          <w:rFonts w:hint="eastAsia" w:ascii="宋体" w:hAnsi="宋体" w:eastAsia="宋体" w:cs="宋体"/>
          <w:sz w:val="21"/>
          <w:szCs w:val="21"/>
        </w:rPr>
      </w:pPr>
      <w:r>
        <w:rPr>
          <w:rFonts w:hint="eastAsia" w:ascii="宋体" w:hAnsi="宋体" w:eastAsia="宋体" w:cs="宋体"/>
          <w:sz w:val="21"/>
          <w:szCs w:val="21"/>
          <w:lang w:val="en-US" w:eastAsia="zh-CN"/>
        </w:rPr>
        <w:t>1.3</w:t>
      </w:r>
      <w:r>
        <w:rPr>
          <w:rFonts w:hint="eastAsia" w:ascii="宋体" w:hAnsi="宋体" w:eastAsia="宋体" w:cs="宋体"/>
          <w:sz w:val="21"/>
          <w:szCs w:val="21"/>
        </w:rPr>
        <w:t>椅子类家具：</w:t>
      </w:r>
    </w:p>
    <w:p>
      <w:pPr>
        <w:pStyle w:val="8"/>
        <w:ind w:firstLine="420"/>
        <w:rPr>
          <w:rFonts w:hint="eastAsia" w:ascii="宋体" w:hAnsi="宋体" w:eastAsia="宋体" w:cs="宋体"/>
          <w:sz w:val="21"/>
          <w:szCs w:val="21"/>
        </w:rPr>
      </w:pPr>
      <w:r>
        <w:rPr>
          <w:rFonts w:hint="eastAsia" w:ascii="宋体" w:hAnsi="宋体" w:eastAsia="宋体" w:cs="宋体"/>
          <w:sz w:val="21"/>
          <w:szCs w:val="21"/>
        </w:rPr>
        <w:t>面料：优质真皮/弹力网背/座垫。</w:t>
      </w:r>
    </w:p>
    <w:p>
      <w:pPr>
        <w:pStyle w:val="8"/>
        <w:ind w:firstLine="420"/>
        <w:rPr>
          <w:rFonts w:hint="eastAsia" w:ascii="宋体" w:hAnsi="宋体" w:eastAsia="宋体" w:cs="宋体"/>
          <w:sz w:val="21"/>
          <w:szCs w:val="21"/>
        </w:rPr>
      </w:pPr>
      <w:r>
        <w:rPr>
          <w:rFonts w:hint="eastAsia" w:ascii="宋体" w:hAnsi="宋体" w:eastAsia="宋体" w:cs="宋体"/>
          <w:sz w:val="21"/>
          <w:szCs w:val="21"/>
        </w:rPr>
        <w:t xml:space="preserve">泡绵：内衬优质、环保、低燃高回弹定型PU泡棉，座密度≥35kg/m3，背密度≥25kg/m3。软硬适中，回弹好，不变形； </w:t>
      </w:r>
    </w:p>
    <w:p>
      <w:pPr>
        <w:pStyle w:val="8"/>
        <w:ind w:firstLine="420"/>
        <w:rPr>
          <w:rFonts w:hint="eastAsia" w:ascii="宋体" w:hAnsi="宋体" w:eastAsia="宋体" w:cs="宋体"/>
          <w:sz w:val="21"/>
          <w:szCs w:val="21"/>
        </w:rPr>
      </w:pPr>
      <w:r>
        <w:rPr>
          <w:rFonts w:hint="eastAsia" w:ascii="宋体" w:hAnsi="宋体" w:eastAsia="宋体" w:cs="宋体"/>
          <w:sz w:val="21"/>
          <w:szCs w:val="21"/>
        </w:rPr>
        <w:t>曲木板：环保型热压成型多层弯曲木胶合板，厚度15m。</w:t>
      </w:r>
    </w:p>
    <w:p>
      <w:pPr>
        <w:pStyle w:val="8"/>
        <w:ind w:firstLine="420"/>
        <w:rPr>
          <w:rFonts w:hint="eastAsia" w:ascii="宋体" w:hAnsi="宋体" w:eastAsia="宋体" w:cs="宋体"/>
          <w:sz w:val="21"/>
          <w:szCs w:val="21"/>
        </w:rPr>
      </w:pPr>
      <w:r>
        <w:rPr>
          <w:rFonts w:hint="eastAsia" w:ascii="宋体" w:hAnsi="宋体" w:eastAsia="宋体" w:cs="宋体"/>
          <w:sz w:val="21"/>
          <w:szCs w:val="21"/>
        </w:rPr>
        <w:t xml:space="preserve">机  构：采用同步倾仰锁定机构，具备锁定、倾仰、升降功能。 </w:t>
      </w:r>
    </w:p>
    <w:p>
      <w:pPr>
        <w:pStyle w:val="8"/>
        <w:ind w:firstLine="420"/>
        <w:rPr>
          <w:rFonts w:hint="eastAsia" w:ascii="宋体" w:hAnsi="宋体" w:eastAsia="宋体" w:cs="宋体"/>
          <w:sz w:val="21"/>
          <w:szCs w:val="21"/>
        </w:rPr>
      </w:pPr>
      <w:r>
        <w:rPr>
          <w:rFonts w:hint="eastAsia" w:ascii="宋体" w:hAnsi="宋体" w:eastAsia="宋体" w:cs="宋体"/>
          <w:sz w:val="21"/>
          <w:szCs w:val="21"/>
        </w:rPr>
        <w:t>气压棒：采用优质气压棒,升降行程100MM。。</w:t>
      </w:r>
    </w:p>
    <w:p>
      <w:pPr>
        <w:pStyle w:val="8"/>
        <w:ind w:firstLine="420"/>
        <w:rPr>
          <w:rFonts w:hint="eastAsia" w:ascii="宋体" w:hAnsi="宋体" w:eastAsia="宋体" w:cs="宋体"/>
          <w:sz w:val="21"/>
          <w:szCs w:val="21"/>
        </w:rPr>
      </w:pPr>
      <w:r>
        <w:rPr>
          <w:rFonts w:hint="eastAsia" w:ascii="宋体" w:hAnsi="宋体" w:eastAsia="宋体" w:cs="宋体"/>
          <w:sz w:val="21"/>
          <w:szCs w:val="21"/>
        </w:rPr>
        <w:t>五星脚：塑胶尼龙合成五星脚，坚固耐用。半径≥350mm,优质尼龙纤维合成脚轮。</w:t>
      </w:r>
    </w:p>
    <w:p>
      <w:pPr>
        <w:pStyle w:val="8"/>
        <w:rPr>
          <w:rFonts w:hint="eastAsia" w:ascii="宋体" w:hAnsi="宋体" w:eastAsia="宋体" w:cs="宋体"/>
          <w:sz w:val="21"/>
          <w:szCs w:val="21"/>
        </w:rPr>
      </w:pPr>
      <w:r>
        <w:rPr>
          <w:rFonts w:hint="eastAsia" w:ascii="宋体" w:hAnsi="宋体" w:eastAsia="宋体" w:cs="宋体"/>
          <w:sz w:val="21"/>
          <w:szCs w:val="21"/>
          <w:lang w:val="en-US" w:eastAsia="zh-CN"/>
        </w:rPr>
        <w:t>1.4</w:t>
      </w:r>
      <w:r>
        <w:rPr>
          <w:rFonts w:hint="eastAsia" w:ascii="宋体" w:hAnsi="宋体" w:eastAsia="宋体" w:cs="宋体"/>
          <w:sz w:val="21"/>
          <w:szCs w:val="21"/>
        </w:rPr>
        <w:t>钢柜类家具</w:t>
      </w:r>
    </w:p>
    <w:p>
      <w:pPr>
        <w:pStyle w:val="8"/>
        <w:ind w:firstLine="420"/>
        <w:rPr>
          <w:rFonts w:hint="eastAsia" w:ascii="宋体" w:hAnsi="宋体" w:eastAsia="宋体" w:cs="宋体"/>
          <w:sz w:val="21"/>
          <w:szCs w:val="21"/>
        </w:rPr>
      </w:pPr>
      <w:r>
        <w:rPr>
          <w:rFonts w:hint="eastAsia" w:ascii="宋体" w:hAnsi="宋体" w:eastAsia="宋体" w:cs="宋体"/>
          <w:sz w:val="21"/>
          <w:szCs w:val="21"/>
        </w:rPr>
        <w:t xml:space="preserve">基材：一级冷轧钢板，柜体钢板厚度为0.8MM </w:t>
      </w:r>
    </w:p>
    <w:p>
      <w:pPr>
        <w:pStyle w:val="8"/>
        <w:ind w:firstLine="420"/>
        <w:rPr>
          <w:rFonts w:hint="eastAsia" w:ascii="宋体" w:hAnsi="宋体" w:eastAsia="宋体" w:cs="宋体"/>
          <w:sz w:val="21"/>
          <w:szCs w:val="21"/>
        </w:rPr>
      </w:pPr>
      <w:r>
        <w:rPr>
          <w:rFonts w:hint="eastAsia" w:ascii="宋体" w:hAnsi="宋体" w:eastAsia="宋体" w:cs="宋体"/>
          <w:sz w:val="21"/>
          <w:szCs w:val="21"/>
        </w:rPr>
        <w:t>涂饰：静电粉沫喷涂，经高温流平、固化等工序，使喷塑涂层耐腐蚀、耐冲击性能高于国家标准，涂层附着力达到2级以上。</w:t>
      </w:r>
    </w:p>
    <w:p>
      <w:pPr>
        <w:pStyle w:val="8"/>
        <w:ind w:firstLine="420"/>
        <w:rPr>
          <w:rFonts w:hint="eastAsia" w:ascii="宋体" w:hAnsi="宋体" w:eastAsia="宋体" w:cs="宋体"/>
          <w:sz w:val="21"/>
          <w:szCs w:val="21"/>
        </w:rPr>
      </w:pPr>
      <w:r>
        <w:rPr>
          <w:rFonts w:hint="eastAsia" w:ascii="宋体" w:hAnsi="宋体" w:eastAsia="宋体" w:cs="宋体"/>
          <w:sz w:val="21"/>
          <w:szCs w:val="21"/>
        </w:rPr>
        <w:t>工艺：部件或半成品采用全自动数控设备进行剪裁、冲切、数控折弯等工艺后再进行无痕点焊机焊接成型。</w:t>
      </w:r>
    </w:p>
    <w:p>
      <w:pPr>
        <w:pStyle w:val="5"/>
        <w:ind w:right="115" w:rightChars="55" w:firstLine="211" w:firstLineChars="10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2、交货要求及安装要求：</w:t>
      </w:r>
    </w:p>
    <w:p>
      <w:pPr>
        <w:pStyle w:val="8"/>
        <w:ind w:firstLine="420"/>
        <w:rPr>
          <w:rFonts w:hint="eastAsia" w:ascii="宋体" w:hAnsi="宋体" w:eastAsia="宋体" w:cs="宋体"/>
          <w:sz w:val="21"/>
          <w:szCs w:val="21"/>
        </w:rPr>
      </w:pPr>
      <w:r>
        <w:rPr>
          <w:rFonts w:hint="eastAsia" w:ascii="宋体" w:hAnsi="宋体" w:eastAsia="宋体" w:cs="宋体"/>
          <w:sz w:val="21"/>
          <w:szCs w:val="21"/>
        </w:rPr>
        <w:t>2.1 柜体安装方正平稳，门板安装高度、间隔均一致。安装后，所有同层隔板高度偏差应不大于 2mm。</w:t>
      </w:r>
    </w:p>
    <w:p>
      <w:pPr>
        <w:pStyle w:val="8"/>
        <w:ind w:firstLine="420"/>
        <w:rPr>
          <w:rFonts w:hint="eastAsia" w:ascii="宋体" w:hAnsi="宋体" w:eastAsia="宋体" w:cs="宋体"/>
          <w:sz w:val="21"/>
          <w:szCs w:val="21"/>
        </w:rPr>
      </w:pPr>
      <w:r>
        <w:rPr>
          <w:rFonts w:hint="eastAsia" w:ascii="宋体" w:hAnsi="宋体" w:eastAsia="宋体" w:cs="宋体"/>
          <w:sz w:val="21"/>
          <w:szCs w:val="21"/>
        </w:rPr>
        <w:t>施工过程中</w:t>
      </w:r>
      <w:r>
        <w:rPr>
          <w:rFonts w:hint="eastAsia" w:ascii="宋体" w:hAnsi="宋体" w:eastAsia="宋体" w:cs="宋体"/>
          <w:sz w:val="21"/>
          <w:szCs w:val="21"/>
          <w:lang w:val="en-US" w:eastAsia="zh-CN"/>
        </w:rPr>
        <w:t>乙</w:t>
      </w:r>
      <w:r>
        <w:rPr>
          <w:rFonts w:hint="eastAsia" w:ascii="宋体" w:hAnsi="宋体" w:eastAsia="宋体" w:cs="宋体"/>
          <w:sz w:val="21"/>
          <w:szCs w:val="21"/>
        </w:rPr>
        <w:t>方不得破坏办公室地面及装修。如在装卸、服务过程中对其他邻近管线、设施等造成损坏，应由投标方负责修复原状及承担一切费用。</w:t>
      </w:r>
    </w:p>
    <w:p>
      <w:pPr>
        <w:pStyle w:val="5"/>
        <w:numPr>
          <w:ilvl w:val="0"/>
          <w:numId w:val="3"/>
        </w:numPr>
        <w:ind w:right="115" w:rightChars="55" w:firstLine="211" w:firstLineChars="10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质量及技术标准</w:t>
      </w:r>
    </w:p>
    <w:p>
      <w:pPr>
        <w:pStyle w:val="5"/>
        <w:numPr>
          <w:ilvl w:val="0"/>
          <w:numId w:val="0"/>
        </w:numPr>
        <w:ind w:right="115" w:rightChars="55"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 xml:space="preserve">3.1 </w:t>
      </w:r>
      <w:r>
        <w:rPr>
          <w:rFonts w:hint="eastAsia" w:ascii="宋体" w:hAnsi="宋体" w:eastAsia="宋体" w:cs="宋体"/>
          <w:color w:val="000000"/>
          <w:sz w:val="21"/>
          <w:szCs w:val="21"/>
        </w:rPr>
        <w:t>本次招标项目适用中华人民共和国现行有效的国家规范、规程和标准。对于涉及新技术、新工艺和新材料的产品，其使用说明或操作说明等内容，或适用国外同类标准的内容，也是本招标文件技术规范的组成部分。</w:t>
      </w:r>
    </w:p>
    <w:p>
      <w:pPr>
        <w:numPr>
          <w:ilvl w:val="0"/>
          <w:numId w:val="0"/>
        </w:numPr>
        <w:spacing w:line="500" w:lineRule="exact"/>
        <w:ind w:leftChars="0" w:right="11" w:rightChars="0"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3.2 乙方</w:t>
      </w:r>
      <w:r>
        <w:rPr>
          <w:rFonts w:hint="eastAsia" w:ascii="宋体" w:hAnsi="宋体" w:eastAsia="宋体" w:cs="宋体"/>
          <w:color w:val="000000"/>
          <w:sz w:val="21"/>
          <w:szCs w:val="21"/>
        </w:rPr>
        <w:t>提供的所有家具均应符合以下标准：</w:t>
      </w:r>
    </w:p>
    <w:p>
      <w:pPr>
        <w:numPr>
          <w:ilvl w:val="0"/>
          <w:numId w:val="4"/>
        </w:numPr>
        <w:tabs>
          <w:tab w:val="left" w:pos="648"/>
        </w:tabs>
        <w:spacing w:line="500" w:lineRule="exact"/>
        <w:ind w:left="0" w:right="11"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强制性标准</w:t>
      </w:r>
    </w:p>
    <w:p>
      <w:pPr>
        <w:pStyle w:val="25"/>
        <w:tabs>
          <w:tab w:val="left" w:pos="420"/>
        </w:tabs>
        <w:spacing w:line="336" w:lineRule="auto"/>
        <w:ind w:right="220" w:firstLine="420" w:firstLineChars="200"/>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GB 18580-2001   室内装饰装修材料   人造板及其制品中甲醛释放限量</w:t>
      </w:r>
    </w:p>
    <w:p>
      <w:pPr>
        <w:pStyle w:val="25"/>
        <w:tabs>
          <w:tab w:val="left" w:pos="420"/>
        </w:tabs>
        <w:spacing w:line="336" w:lineRule="auto"/>
        <w:ind w:right="220" w:firstLine="420" w:firstLineChars="200"/>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GB 18581-2001   室内装饰装修材料   溶剂型木器涂料中有害物质限量</w:t>
      </w:r>
    </w:p>
    <w:p>
      <w:pPr>
        <w:pStyle w:val="25"/>
        <w:tabs>
          <w:tab w:val="left" w:pos="420"/>
        </w:tabs>
        <w:spacing w:line="336" w:lineRule="auto"/>
        <w:ind w:right="220" w:firstLine="420" w:firstLineChars="200"/>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 xml:space="preserve">GB 18583-2008   室内装饰装修材料   胶粘剂中有害物质限量  </w:t>
      </w:r>
    </w:p>
    <w:p>
      <w:pPr>
        <w:pStyle w:val="25"/>
        <w:tabs>
          <w:tab w:val="left" w:pos="420"/>
        </w:tabs>
        <w:spacing w:line="336" w:lineRule="auto"/>
        <w:ind w:right="220" w:firstLine="420" w:firstLineChars="200"/>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 xml:space="preserve">GB 18584-2001   室内装饰装修材料   木家具中有害物质限量  </w:t>
      </w:r>
    </w:p>
    <w:p>
      <w:pPr>
        <w:pStyle w:val="25"/>
        <w:tabs>
          <w:tab w:val="left" w:pos="420"/>
        </w:tabs>
        <w:spacing w:line="336" w:lineRule="auto"/>
        <w:ind w:right="220" w:firstLine="420" w:firstLineChars="200"/>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 xml:space="preserve">GB 5296.6-2004  消费品使用说明  </w:t>
      </w:r>
    </w:p>
    <w:p>
      <w:pPr>
        <w:pStyle w:val="25"/>
        <w:tabs>
          <w:tab w:val="left" w:pos="420"/>
        </w:tabs>
        <w:spacing w:line="336" w:lineRule="auto"/>
        <w:ind w:right="220" w:firstLine="420" w:firstLineChars="200"/>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GB 24430.1-2009 家用双层床标准</w:t>
      </w:r>
    </w:p>
    <w:p>
      <w:pPr>
        <w:numPr>
          <w:ilvl w:val="0"/>
          <w:numId w:val="4"/>
        </w:numPr>
        <w:tabs>
          <w:tab w:val="left" w:pos="648"/>
        </w:tabs>
        <w:spacing w:line="336" w:lineRule="auto"/>
        <w:ind w:left="0" w:right="11" w:firstLine="420" w:firstLineChars="200"/>
        <w:rPr>
          <w:rFonts w:hint="eastAsia" w:ascii="宋体" w:hAnsi="宋体" w:eastAsia="宋体" w:cs="宋体"/>
          <w:color w:val="000000"/>
          <w:sz w:val="21"/>
          <w:szCs w:val="21"/>
        </w:rPr>
      </w:pPr>
      <w:bookmarkStart w:id="4" w:name="_Toc159041201"/>
      <w:bookmarkStart w:id="5" w:name="_Toc158104199"/>
      <w:bookmarkStart w:id="6" w:name="_Toc159301724"/>
      <w:bookmarkStart w:id="7" w:name="_Toc159142435"/>
      <w:bookmarkStart w:id="8" w:name="_Toc159301780"/>
      <w:r>
        <w:rPr>
          <w:rFonts w:hint="eastAsia" w:ascii="宋体" w:hAnsi="宋体" w:eastAsia="宋体" w:cs="宋体"/>
          <w:color w:val="000000"/>
          <w:sz w:val="21"/>
          <w:szCs w:val="21"/>
        </w:rPr>
        <w:t>质量及技术标准</w:t>
      </w:r>
      <w:bookmarkEnd w:id="4"/>
      <w:bookmarkEnd w:id="5"/>
      <w:bookmarkEnd w:id="6"/>
      <w:bookmarkEnd w:id="7"/>
      <w:bookmarkEnd w:id="8"/>
    </w:p>
    <w:p>
      <w:pPr>
        <w:pStyle w:val="25"/>
        <w:tabs>
          <w:tab w:val="left" w:pos="420"/>
        </w:tabs>
        <w:spacing w:line="336" w:lineRule="auto"/>
        <w:ind w:right="220" w:firstLine="420" w:firstLineChars="200"/>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GB/T 3324-2008     木家具通用技术条件</w:t>
      </w:r>
    </w:p>
    <w:p>
      <w:pPr>
        <w:pStyle w:val="25"/>
        <w:tabs>
          <w:tab w:val="left" w:pos="420"/>
        </w:tabs>
        <w:spacing w:line="336" w:lineRule="auto"/>
        <w:ind w:right="220" w:firstLine="420" w:firstLineChars="200"/>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GB/T 3325-2008     金属家具通用技术条件</w:t>
      </w:r>
    </w:p>
    <w:p>
      <w:pPr>
        <w:pStyle w:val="25"/>
        <w:tabs>
          <w:tab w:val="left" w:pos="420"/>
        </w:tabs>
        <w:spacing w:line="336" w:lineRule="auto"/>
        <w:ind w:right="220" w:firstLine="420" w:firstLineChars="200"/>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 xml:space="preserve">GB/T 3326-1997     家具  桌、椅、凳类主要尺寸 </w:t>
      </w:r>
    </w:p>
    <w:p>
      <w:pPr>
        <w:pStyle w:val="25"/>
        <w:tabs>
          <w:tab w:val="left" w:pos="420"/>
        </w:tabs>
        <w:spacing w:line="336" w:lineRule="auto"/>
        <w:ind w:right="220" w:firstLine="420" w:firstLineChars="200"/>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GB/T 3327-1997     家具  柜类主要尺寸</w:t>
      </w:r>
    </w:p>
    <w:p>
      <w:pPr>
        <w:pStyle w:val="25"/>
        <w:tabs>
          <w:tab w:val="left" w:pos="420"/>
        </w:tabs>
        <w:spacing w:line="336" w:lineRule="auto"/>
        <w:ind w:right="220" w:firstLine="420" w:firstLineChars="200"/>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QB/T 2384-2010     木制写字桌</w:t>
      </w:r>
    </w:p>
    <w:p>
      <w:pPr>
        <w:pStyle w:val="25"/>
        <w:tabs>
          <w:tab w:val="left" w:pos="420"/>
        </w:tabs>
        <w:spacing w:line="336" w:lineRule="auto"/>
        <w:ind w:right="220" w:firstLine="420" w:firstLineChars="200"/>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QB/T 2530-2011     木制柜</w:t>
      </w:r>
    </w:p>
    <w:p>
      <w:pPr>
        <w:pStyle w:val="25"/>
        <w:tabs>
          <w:tab w:val="left" w:pos="420"/>
        </w:tabs>
        <w:spacing w:line="336" w:lineRule="auto"/>
        <w:ind w:right="220" w:firstLine="420" w:firstLineChars="200"/>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QB/T 2280-2007     办公椅</w:t>
      </w:r>
    </w:p>
    <w:p>
      <w:pPr>
        <w:pStyle w:val="25"/>
        <w:tabs>
          <w:tab w:val="left" w:pos="420"/>
        </w:tabs>
        <w:spacing w:line="336" w:lineRule="auto"/>
        <w:ind w:right="220" w:firstLine="420" w:firstLineChars="200"/>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 xml:space="preserve">GB/T 4897-2003     刨花板 </w:t>
      </w:r>
    </w:p>
    <w:p>
      <w:pPr>
        <w:pStyle w:val="25"/>
        <w:tabs>
          <w:tab w:val="left" w:pos="420"/>
        </w:tabs>
        <w:spacing w:line="336" w:lineRule="auto"/>
        <w:ind w:right="220" w:firstLine="420" w:firstLineChars="200"/>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 xml:space="preserve">GB/T 11718-2009    中密度纤维板 </w:t>
      </w:r>
    </w:p>
    <w:p>
      <w:pPr>
        <w:pStyle w:val="25"/>
        <w:tabs>
          <w:tab w:val="left" w:pos="420"/>
        </w:tabs>
        <w:spacing w:line="336" w:lineRule="auto"/>
        <w:ind w:right="220" w:firstLine="420" w:firstLineChars="200"/>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 xml:space="preserve">GB/T 9846-2015     普通胶合板 </w:t>
      </w:r>
    </w:p>
    <w:p>
      <w:pPr>
        <w:pStyle w:val="25"/>
        <w:tabs>
          <w:tab w:val="left" w:pos="420"/>
        </w:tabs>
        <w:spacing w:line="336" w:lineRule="auto"/>
        <w:ind w:right="220" w:firstLine="420" w:firstLineChars="200"/>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GB/T5849—1999     细木工板</w:t>
      </w:r>
    </w:p>
    <w:p>
      <w:pPr>
        <w:pStyle w:val="25"/>
        <w:tabs>
          <w:tab w:val="left" w:pos="420"/>
        </w:tabs>
        <w:spacing w:line="336" w:lineRule="auto"/>
        <w:ind w:right="220" w:firstLine="420" w:firstLineChars="200"/>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GB/T 15102-2006    浸渍胶膜纸饰面人造板</w:t>
      </w:r>
    </w:p>
    <w:p>
      <w:pPr>
        <w:pStyle w:val="25"/>
        <w:tabs>
          <w:tab w:val="left" w:pos="420"/>
        </w:tabs>
        <w:spacing w:line="336" w:lineRule="auto"/>
        <w:ind w:right="220" w:firstLine="420" w:firstLineChars="200"/>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QB/T1951.1—1994   木家具质量检验及质量评定</w:t>
      </w:r>
    </w:p>
    <w:p>
      <w:pPr>
        <w:pStyle w:val="25"/>
        <w:tabs>
          <w:tab w:val="left" w:pos="420"/>
        </w:tabs>
        <w:spacing w:line="336" w:lineRule="auto"/>
        <w:ind w:right="220" w:firstLine="420" w:firstLineChars="200"/>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JB/T14732-1993     环保胶粘</w:t>
      </w:r>
    </w:p>
    <w:p>
      <w:pPr>
        <w:pStyle w:val="15"/>
        <w:numPr>
          <w:ilvl w:val="0"/>
          <w:numId w:val="5"/>
        </w:numPr>
        <w:spacing w:before="120" w:after="120"/>
        <w:outlineLvl w:val="0"/>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交货时间及交货地点</w:t>
      </w:r>
    </w:p>
    <w:p>
      <w:pPr>
        <w:pStyle w:val="15"/>
        <w:numPr>
          <w:ilvl w:val="0"/>
          <w:numId w:val="2"/>
        </w:numPr>
        <w:spacing w:before="120" w:after="120"/>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交货时间：</w:t>
      </w:r>
      <w:r>
        <w:rPr>
          <w:rFonts w:hint="eastAsia" w:ascii="宋体" w:hAnsi="宋体" w:eastAsia="宋体" w:cs="宋体"/>
          <w:color w:val="0000FF"/>
          <w:sz w:val="21"/>
          <w:szCs w:val="21"/>
          <w:lang w:val="en-US" w:eastAsia="zh-CN"/>
        </w:rPr>
        <w:t>2024年</w:t>
      </w:r>
      <w:r>
        <w:rPr>
          <w:rFonts w:hint="eastAsia" w:hAnsi="宋体" w:cs="宋体"/>
          <w:color w:val="0000FF"/>
          <w:sz w:val="21"/>
          <w:szCs w:val="21"/>
          <w:lang w:val="en-US" w:eastAsia="zh-CN"/>
        </w:rPr>
        <w:t>10</w:t>
      </w:r>
      <w:r>
        <w:rPr>
          <w:rFonts w:hint="eastAsia" w:ascii="宋体" w:hAnsi="宋体" w:eastAsia="宋体" w:cs="宋体"/>
          <w:color w:val="0000FF"/>
          <w:sz w:val="21"/>
          <w:szCs w:val="21"/>
          <w:lang w:val="en-US" w:eastAsia="zh-CN"/>
        </w:rPr>
        <w:t>月</w:t>
      </w:r>
      <w:r>
        <w:rPr>
          <w:rFonts w:hint="eastAsia" w:hAnsi="宋体" w:cs="宋体"/>
          <w:color w:val="0000FF"/>
          <w:sz w:val="21"/>
          <w:szCs w:val="21"/>
          <w:lang w:val="en-US" w:eastAsia="zh-CN"/>
        </w:rPr>
        <w:t>10</w:t>
      </w:r>
      <w:r>
        <w:rPr>
          <w:rFonts w:hint="eastAsia" w:ascii="宋体" w:hAnsi="宋体" w:eastAsia="宋体" w:cs="宋体"/>
          <w:color w:val="0000FF"/>
          <w:sz w:val="21"/>
          <w:szCs w:val="21"/>
          <w:lang w:val="en-US" w:eastAsia="zh-CN"/>
        </w:rPr>
        <w:t>日</w:t>
      </w:r>
      <w:r>
        <w:rPr>
          <w:rFonts w:hint="eastAsia" w:hAnsi="宋体" w:cs="宋体"/>
          <w:color w:val="0000FF"/>
          <w:sz w:val="21"/>
          <w:szCs w:val="21"/>
          <w:lang w:val="en-US" w:eastAsia="zh-CN"/>
        </w:rPr>
        <w:t>内，</w:t>
      </w:r>
      <w:r>
        <w:rPr>
          <w:rFonts w:hint="eastAsia" w:ascii="宋体" w:hAnsi="宋体" w:eastAsia="宋体" w:cs="宋体"/>
          <w:sz w:val="21"/>
          <w:szCs w:val="21"/>
          <w:lang w:val="en-US" w:eastAsia="zh-CN"/>
        </w:rPr>
        <w:t>交货地点：工业防护中心库房</w:t>
      </w:r>
    </w:p>
    <w:p>
      <w:pPr>
        <w:pStyle w:val="15"/>
        <w:spacing w:before="120" w:after="120"/>
        <w:outlineLvl w:val="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六、</w:t>
      </w:r>
      <w:r>
        <w:rPr>
          <w:rFonts w:hint="eastAsia" w:ascii="宋体" w:hAnsi="宋体" w:eastAsia="宋体" w:cs="宋体"/>
          <w:b/>
          <w:bCs w:val="0"/>
          <w:color w:val="auto"/>
          <w:sz w:val="21"/>
          <w:szCs w:val="21"/>
        </w:rPr>
        <w:t>其他要求</w:t>
      </w:r>
      <w:bookmarkEnd w:id="2"/>
      <w:bookmarkEnd w:id="3"/>
    </w:p>
    <w:p>
      <w:pPr>
        <w:pStyle w:val="15"/>
        <w:numPr>
          <w:ilvl w:val="0"/>
          <w:numId w:val="0"/>
        </w:numPr>
        <w:spacing w:before="120" w:after="120"/>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作业部技术联系人：吕江涛       手机：  17622722963</w:t>
      </w:r>
    </w:p>
    <w:p>
      <w:pPr>
        <w:pStyle w:val="5"/>
        <w:widowControl w:val="0"/>
        <w:numPr>
          <w:ilvl w:val="0"/>
          <w:numId w:val="0"/>
        </w:numPr>
        <w:spacing w:line="257" w:lineRule="auto"/>
        <w:ind w:right="122" w:rightChars="0"/>
        <w:jc w:val="both"/>
        <w:rPr>
          <w:rFonts w:hint="default" w:ascii="微软雅黑" w:hAnsi="微软雅黑" w:eastAsia="微软雅黑"/>
          <w:color w:val="auto"/>
          <w:lang w:val="en-US" w:eastAsia="zh-CN"/>
        </w:rPr>
      </w:pPr>
    </w:p>
    <w:p>
      <w:pPr>
        <w:rPr>
          <w:rFonts w:hint="default"/>
          <w:color w:val="auto"/>
          <w:highlight w:val="none"/>
          <w:lang w:val="en-US" w:eastAsia="zh-CN"/>
        </w:rPr>
      </w:pPr>
    </w:p>
    <w:p>
      <w:pPr>
        <w:pStyle w:val="3"/>
        <w:rPr>
          <w:rFonts w:hint="eastAsia" w:ascii="微软雅黑" w:hAnsi="微软雅黑" w:eastAsia="微软雅黑" w:cs="微软雅黑"/>
          <w:sz w:val="21"/>
          <w:szCs w:val="21"/>
          <w:lang w:eastAsia="zh-CN"/>
        </w:rPr>
      </w:pPr>
    </w:p>
    <w:p>
      <w:pPr>
        <w:rPr>
          <w:rFonts w:hint="eastAsia" w:ascii="微软雅黑" w:hAnsi="微软雅黑" w:eastAsia="微软雅黑" w:cs="微软雅黑"/>
          <w:sz w:val="21"/>
          <w:szCs w:val="21"/>
          <w:lang w:eastAsia="zh-CN"/>
        </w:rPr>
      </w:pPr>
    </w:p>
    <w:p>
      <w:pPr>
        <w:rPr>
          <w:rFonts w:hint="eastAsia" w:ascii="微软雅黑" w:hAnsi="微软雅黑" w:eastAsia="微软雅黑" w:cs="微软雅黑"/>
          <w:sz w:val="21"/>
          <w:szCs w:val="21"/>
          <w:lang w:eastAsia="zh-CN"/>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pStyle w:val="2"/>
        <w:rPr>
          <w:rFonts w:hint="eastAsia"/>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3： </w:t>
      </w:r>
      <w:r>
        <w:rPr>
          <w:rFonts w:hint="eastAsia" w:ascii="黑体" w:hAnsi="黑体" w:eastAsia="黑体"/>
          <w:b/>
          <w:bCs/>
          <w:color w:val="000000" w:themeColor="text1"/>
          <w:sz w:val="24"/>
          <w:szCs w:val="24"/>
          <w:highlight w:val="none"/>
          <w14:textFill>
            <w14:solidFill>
              <w14:schemeClr w14:val="tx1"/>
            </w14:solidFill>
          </w14:textFill>
        </w:rPr>
        <w:t>合同</w:t>
      </w:r>
      <w:r>
        <w:rPr>
          <w:rFonts w:ascii="黑体" w:hAnsi="黑体" w:eastAsia="黑体"/>
          <w:b/>
          <w:bCs/>
          <w:color w:val="000000" w:themeColor="text1"/>
          <w:sz w:val="24"/>
          <w:szCs w:val="24"/>
          <w:highlight w:val="none"/>
          <w14:textFill>
            <w14:solidFill>
              <w14:schemeClr w14:val="tx1"/>
            </w14:solidFill>
          </w14:textFill>
        </w:rPr>
        <w:t>文本</w:t>
      </w:r>
    </w:p>
    <w:p>
      <w:pPr>
        <w:spacing w:before="72" w:beforeLines="30" w:after="72" w:afterLines="30"/>
        <w:jc w:val="center"/>
        <w:rPr>
          <w:rFonts w:hAnsi="宋体"/>
          <w:b/>
          <w:bCs/>
          <w:sz w:val="36"/>
          <w:szCs w:val="36"/>
          <w:highlight w:val="none"/>
        </w:rPr>
      </w:pPr>
      <w:r>
        <w:rPr>
          <w:szCs w:val="21"/>
          <w:highlight w:val="none"/>
          <w:u w:val="single"/>
        </w:rPr>
        <w:t xml:space="preserve">           </w:t>
      </w:r>
      <w:r>
        <w:rPr>
          <w:rFonts w:hint="eastAsia" w:hAnsi="宋体"/>
          <w:b/>
          <w:bCs/>
          <w:sz w:val="36"/>
          <w:szCs w:val="36"/>
          <w:highlight w:val="none"/>
        </w:rPr>
        <w:t>货物买卖合同</w:t>
      </w:r>
    </w:p>
    <w:p>
      <w:pPr>
        <w:spacing w:after="100" w:afterAutospacing="1"/>
        <w:jc w:val="center"/>
        <w:rPr>
          <w:rFonts w:hAnsi="宋体"/>
          <w:bCs/>
          <w:szCs w:val="21"/>
          <w:highlight w:val="none"/>
          <w:u w:val="single"/>
        </w:rPr>
      </w:pPr>
      <w:r>
        <w:rPr>
          <w:rFonts w:hint="eastAsia" w:hAnsi="宋体"/>
          <w:bCs/>
          <w:sz w:val="24"/>
          <w:highlight w:val="none"/>
        </w:rPr>
        <w:t xml:space="preserve">                                      </w:t>
      </w:r>
      <w:r>
        <w:rPr>
          <w:rFonts w:hint="eastAsia" w:hAnsi="宋体"/>
          <w:bCs/>
          <w:szCs w:val="21"/>
          <w:highlight w:val="none"/>
        </w:rPr>
        <w:t>合同编号：</w:t>
      </w:r>
      <w:r>
        <w:rPr>
          <w:szCs w:val="21"/>
          <w:highlight w:val="none"/>
          <w:u w:val="single"/>
        </w:rPr>
        <w:t xml:space="preserve">                           </w:t>
      </w:r>
      <w:r>
        <w:rPr>
          <w:rFonts w:hint="eastAsia" w:hAnsi="宋体"/>
          <w:bCs/>
          <w:szCs w:val="21"/>
          <w:highlight w:val="none"/>
          <w:u w:val="single"/>
        </w:rPr>
        <w:t xml:space="preserve">         </w:t>
      </w:r>
    </w:p>
    <w:p>
      <w:pPr>
        <w:pStyle w:val="7"/>
        <w:spacing w:before="72" w:beforeLines="30" w:after="72" w:afterLines="30"/>
        <w:rPr>
          <w:sz w:val="24"/>
          <w:highlight w:val="none"/>
        </w:rPr>
      </w:pPr>
      <w:r>
        <w:rPr>
          <w:rFonts w:hint="eastAsia"/>
          <w:sz w:val="24"/>
          <w:highlight w:val="none"/>
        </w:rPr>
        <w:t>本货物买卖合同（以下称“合同”或“本合同”）由以下双方于【</w:t>
      </w:r>
      <w:r>
        <w:rPr>
          <w:rFonts w:hint="eastAsia"/>
          <w:i/>
          <w:sz w:val="24"/>
          <w:highlight w:val="none"/>
        </w:rPr>
        <w:t>填入签订日期</w:t>
      </w:r>
      <w:r>
        <w:rPr>
          <w:rFonts w:hint="eastAsia"/>
          <w:sz w:val="24"/>
          <w:highlight w:val="none"/>
        </w:rPr>
        <w:t>】在【</w:t>
      </w:r>
      <w:r>
        <w:rPr>
          <w:rFonts w:hint="eastAsia"/>
          <w:i/>
          <w:sz w:val="24"/>
          <w:highlight w:val="none"/>
        </w:rPr>
        <w:t>填入签订地点</w:t>
      </w:r>
      <w:r>
        <w:rPr>
          <w:rFonts w:hint="eastAsia"/>
          <w:sz w:val="24"/>
          <w:highlight w:val="none"/>
        </w:rPr>
        <w:t>】签署。</w:t>
      </w:r>
    </w:p>
    <w:p>
      <w:pPr>
        <w:tabs>
          <w:tab w:val="left" w:pos="3060"/>
        </w:tabs>
        <w:spacing w:before="72" w:beforeLines="30" w:after="72" w:afterLines="30" w:line="360" w:lineRule="auto"/>
        <w:ind w:firstLine="426" w:firstLineChars="177"/>
        <w:rPr>
          <w:sz w:val="24"/>
          <w:highlight w:val="none"/>
        </w:rPr>
      </w:pPr>
      <w:r>
        <w:rPr>
          <w:rFonts w:hint="eastAsia"/>
          <w:b/>
          <w:sz w:val="24"/>
          <w:highlight w:val="none"/>
        </w:rPr>
        <w:t>买</w:t>
      </w:r>
      <w:r>
        <w:rPr>
          <w:b/>
          <w:sz w:val="24"/>
          <w:highlight w:val="none"/>
        </w:rPr>
        <w:t xml:space="preserve">  </w:t>
      </w:r>
      <w:r>
        <w:rPr>
          <w:rFonts w:hint="eastAsia"/>
          <w:b/>
          <w:sz w:val="24"/>
          <w:highlight w:val="none"/>
        </w:rPr>
        <w:t>方：</w:t>
      </w:r>
      <w:r>
        <w:rPr>
          <w:sz w:val="24"/>
          <w:highlight w:val="none"/>
          <w:u w:val="single"/>
        </w:rPr>
        <w:t xml:space="preserve">                         </w:t>
      </w:r>
      <w:r>
        <w:rPr>
          <w:rFonts w:hint="eastAsia"/>
          <w:sz w:val="24"/>
          <w:highlight w:val="none"/>
        </w:rPr>
        <w:t xml:space="preserve">   </w:t>
      </w:r>
      <w:r>
        <w:rPr>
          <w:rFonts w:hint="eastAsia"/>
          <w:b/>
          <w:sz w:val="24"/>
          <w:highlight w:val="none"/>
        </w:rPr>
        <w:t>卖</w:t>
      </w:r>
      <w:r>
        <w:rPr>
          <w:b/>
          <w:sz w:val="24"/>
          <w:highlight w:val="none"/>
        </w:rPr>
        <w:t xml:space="preserve">  </w:t>
      </w:r>
      <w:r>
        <w:rPr>
          <w:rFonts w:hint="eastAsia"/>
          <w:b/>
          <w:sz w:val="24"/>
          <w:highlight w:val="none"/>
        </w:rPr>
        <w:t>方：</w:t>
      </w:r>
      <w:bookmarkStart w:id="9" w:name="OLE_LINK1"/>
      <w:bookmarkStart w:id="10" w:name="OLE_LINK2"/>
      <w:r>
        <w:rPr>
          <w:sz w:val="24"/>
          <w:highlight w:val="none"/>
          <w:u w:val="single"/>
        </w:rPr>
        <w:t xml:space="preserve">                           </w:t>
      </w:r>
      <w:bookmarkEnd w:id="9"/>
      <w:bookmarkEnd w:id="10"/>
    </w:p>
    <w:p>
      <w:pPr>
        <w:tabs>
          <w:tab w:val="left" w:pos="3060"/>
        </w:tabs>
        <w:spacing w:before="72" w:beforeLines="30" w:after="72" w:afterLines="30" w:line="360" w:lineRule="auto"/>
        <w:ind w:firstLine="422" w:firstLineChars="176"/>
        <w:rPr>
          <w:sz w:val="24"/>
          <w:highlight w:val="none"/>
          <w:u w:val="single"/>
        </w:rPr>
      </w:pPr>
      <w:r>
        <w:rPr>
          <w:rFonts w:hint="eastAsia"/>
          <w:sz w:val="24"/>
          <w:highlight w:val="none"/>
        </w:rPr>
        <w:t>注册地址：</w:t>
      </w:r>
      <w:r>
        <w:rPr>
          <w:rFonts w:hint="eastAsia"/>
          <w:sz w:val="24"/>
          <w:highlight w:val="none"/>
          <w:u w:val="single"/>
        </w:rPr>
        <w:t xml:space="preserve">                       </w:t>
      </w:r>
      <w:r>
        <w:rPr>
          <w:rFonts w:hint="eastAsia"/>
          <w:sz w:val="24"/>
          <w:highlight w:val="none"/>
        </w:rPr>
        <w:t xml:space="preserve">   注册地址：</w:t>
      </w:r>
      <w:r>
        <w:rPr>
          <w:sz w:val="24"/>
          <w:highlight w:val="none"/>
          <w:u w:val="single"/>
        </w:rPr>
        <w:t xml:space="preserve">                         </w:t>
      </w:r>
    </w:p>
    <w:p>
      <w:pPr>
        <w:pStyle w:val="7"/>
        <w:spacing w:before="72" w:beforeLines="30" w:after="72" w:afterLines="30"/>
        <w:rPr>
          <w:sz w:val="24"/>
          <w:highlight w:val="none"/>
        </w:rPr>
      </w:pPr>
      <w:r>
        <w:rPr>
          <w:rFonts w:hint="eastAsia" w:hAnsi="宋体"/>
          <w:sz w:val="24"/>
          <w:highlight w:val="none"/>
        </w:rPr>
        <w:t>根据《中华人民共和国民法典》及相关法律法规的规定，</w:t>
      </w:r>
      <w:r>
        <w:rPr>
          <w:rFonts w:hAnsi="宋体"/>
          <w:sz w:val="24"/>
          <w:highlight w:val="none"/>
        </w:rPr>
        <w:t>就</w:t>
      </w:r>
      <w:r>
        <w:rPr>
          <w:rFonts w:hint="eastAsia"/>
          <w:sz w:val="24"/>
          <w:highlight w:val="none"/>
        </w:rPr>
        <w:t>【</w:t>
      </w:r>
      <w:r>
        <w:rPr>
          <w:rFonts w:hint="eastAsia"/>
          <w:i/>
          <w:sz w:val="24"/>
          <w:highlight w:val="none"/>
        </w:rPr>
        <w:t>填入货物名称</w:t>
      </w:r>
      <w:r>
        <w:rPr>
          <w:rFonts w:hint="eastAsia"/>
          <w:sz w:val="24"/>
          <w:highlight w:val="none"/>
        </w:rPr>
        <w:t>】</w:t>
      </w:r>
      <w:r>
        <w:rPr>
          <w:rFonts w:hint="eastAsia" w:hAnsi="宋体"/>
          <w:sz w:val="24"/>
          <w:highlight w:val="none"/>
        </w:rPr>
        <w:t>的采购和销售及</w:t>
      </w:r>
      <w:r>
        <w:rPr>
          <w:rFonts w:hAnsi="宋体"/>
          <w:sz w:val="24"/>
          <w:highlight w:val="none"/>
        </w:rPr>
        <w:t>相关事宜，</w:t>
      </w:r>
      <w:r>
        <w:rPr>
          <w:rFonts w:hint="eastAsia" w:hAnsi="宋体"/>
          <w:sz w:val="24"/>
          <w:highlight w:val="none"/>
        </w:rPr>
        <w:t>经协商一致，双方</w:t>
      </w:r>
      <w:r>
        <w:rPr>
          <w:rFonts w:hAnsi="宋体"/>
          <w:sz w:val="24"/>
          <w:highlight w:val="none"/>
        </w:rPr>
        <w:t>达成如下</w:t>
      </w:r>
      <w:r>
        <w:rPr>
          <w:rFonts w:hint="eastAsia" w:hAnsi="宋体"/>
          <w:sz w:val="24"/>
          <w:highlight w:val="none"/>
        </w:rPr>
        <w:t>合同条款，以兹共同遵守。</w:t>
      </w:r>
    </w:p>
    <w:p>
      <w:pPr>
        <w:pStyle w:val="9"/>
        <w:numPr>
          <w:ilvl w:val="0"/>
          <w:numId w:val="6"/>
        </w:numPr>
        <w:spacing w:before="72" w:beforeLines="30" w:after="72" w:afterLines="30" w:line="360" w:lineRule="auto"/>
        <w:ind w:left="851" w:hanging="851"/>
        <w:jc w:val="left"/>
        <w:rPr>
          <w:sz w:val="24"/>
          <w:highlight w:val="none"/>
        </w:rPr>
      </w:pPr>
      <w:bookmarkStart w:id="11" w:name="_Toc306354308"/>
      <w:r>
        <w:rPr>
          <w:sz w:val="24"/>
          <w:szCs w:val="24"/>
          <w:highlight w:val="none"/>
        </w:rPr>
        <w:t>合同标的</w:t>
      </w:r>
      <w:bookmarkEnd w:id="11"/>
    </w:p>
    <w:p>
      <w:pPr>
        <w:numPr>
          <w:ilvl w:val="0"/>
          <w:numId w:val="7"/>
        </w:numPr>
        <w:tabs>
          <w:tab w:val="left" w:pos="567"/>
          <w:tab w:val="clear" w:pos="2278"/>
        </w:tabs>
        <w:spacing w:before="72" w:beforeLines="30" w:after="72" w:afterLines="30" w:line="360" w:lineRule="auto"/>
        <w:ind w:left="567" w:hanging="567"/>
        <w:rPr>
          <w:rFonts w:hAnsi="宋体"/>
          <w:sz w:val="24"/>
          <w:highlight w:val="none"/>
        </w:rPr>
      </w:pPr>
      <w:bookmarkStart w:id="12" w:name="OLE_LINK10"/>
      <w:bookmarkStart w:id="13" w:name="OLE_LINK18"/>
      <w:bookmarkStart w:id="14" w:name="OLE_LINK26"/>
      <w:bookmarkStart w:id="15" w:name="OLE_LINK23"/>
      <w:bookmarkStart w:id="16" w:name="OLE_LINK9"/>
      <w:bookmarkStart w:id="17" w:name="OLE_LINK25"/>
      <w:bookmarkStart w:id="18" w:name="OLE_LINK14"/>
      <w:bookmarkStart w:id="19" w:name="OLE_LINK24"/>
      <w:bookmarkStart w:id="20" w:name="OLE_LINK15"/>
      <w:bookmarkStart w:id="21" w:name="OLE_LINK19"/>
      <w:bookmarkStart w:id="22" w:name="OLE_LINK13"/>
      <w:bookmarkStart w:id="23" w:name="OLE_LINK21"/>
      <w:bookmarkStart w:id="24" w:name="OLE_LINK20"/>
      <w:bookmarkStart w:id="25" w:name="OLE_LINK22"/>
      <w:bookmarkStart w:id="26" w:name="OLE_LINK16"/>
      <w:bookmarkStart w:id="27" w:name="OLE_LINK17"/>
      <w:r>
        <w:rPr>
          <w:rFonts w:hint="eastAsia"/>
          <w:sz w:val="24"/>
          <w:highlight w:val="none"/>
        </w:rPr>
        <w:t>卖方向买方供应的货物的名称、数量、型号、规格</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hint="eastAsia"/>
          <w:sz w:val="24"/>
          <w:highlight w:val="none"/>
        </w:rPr>
        <w:t>、单价、原产地等如下：</w:t>
      </w:r>
    </w:p>
    <w:tbl>
      <w:tblPr>
        <w:tblStyle w:val="11"/>
        <w:tblW w:w="10490" w:type="dxa"/>
        <w:tblInd w:w="-714" w:type="dxa"/>
        <w:tblLayout w:type="fixed"/>
        <w:tblCellMar>
          <w:top w:w="0" w:type="dxa"/>
          <w:left w:w="108" w:type="dxa"/>
          <w:bottom w:w="0" w:type="dxa"/>
          <w:right w:w="108" w:type="dxa"/>
        </w:tblCellMar>
      </w:tblPr>
      <w:tblGrid>
        <w:gridCol w:w="709"/>
        <w:gridCol w:w="2523"/>
        <w:gridCol w:w="1872"/>
        <w:gridCol w:w="850"/>
        <w:gridCol w:w="709"/>
        <w:gridCol w:w="709"/>
        <w:gridCol w:w="850"/>
        <w:gridCol w:w="1418"/>
        <w:gridCol w:w="850"/>
      </w:tblGrid>
      <w:tr>
        <w:tblPrEx>
          <w:tblCellMar>
            <w:top w:w="0" w:type="dxa"/>
            <w:left w:w="108" w:type="dxa"/>
            <w:bottom w:w="0" w:type="dxa"/>
            <w:right w:w="108" w:type="dxa"/>
          </w:tblCellMar>
        </w:tblPrEx>
        <w:trPr>
          <w:trHeight w:val="835" w:hRule="atLeast"/>
        </w:trPr>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序号</w:t>
            </w:r>
          </w:p>
        </w:tc>
        <w:tc>
          <w:tcPr>
            <w:tcW w:w="25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物资名称</w:t>
            </w:r>
          </w:p>
        </w:tc>
        <w:tc>
          <w:tcPr>
            <w:tcW w:w="1872" w:type="dxa"/>
            <w:tcBorders>
              <w:top w:val="single" w:color="auto" w:sz="4" w:space="0"/>
              <w:left w:val="nil"/>
              <w:bottom w:val="single" w:color="auto" w:sz="4" w:space="0"/>
              <w:right w:val="single" w:color="auto" w:sz="4" w:space="0"/>
            </w:tcBorders>
            <w:vAlign w:val="center"/>
          </w:tcPr>
          <w:p>
            <w:pPr>
              <w:widowControl/>
              <w:spacing w:line="360" w:lineRule="auto"/>
              <w:rPr>
                <w:rFonts w:ascii="宋体" w:hAnsi="宋体" w:cs="宋体"/>
                <w:kern w:val="0"/>
                <w:sz w:val="24"/>
                <w:highlight w:val="none"/>
              </w:rPr>
            </w:pPr>
            <w:r>
              <w:rPr>
                <w:rFonts w:hint="eastAsia" w:ascii="宋体" w:hAnsi="宋体" w:cs="宋体"/>
                <w:kern w:val="0"/>
                <w:sz w:val="24"/>
                <w:highlight w:val="none"/>
              </w:rPr>
              <w:t>品牌规格型号</w:t>
            </w:r>
          </w:p>
        </w:tc>
        <w:tc>
          <w:tcPr>
            <w:tcW w:w="850" w:type="dxa"/>
            <w:tcBorders>
              <w:top w:val="single" w:color="auto" w:sz="4" w:space="0"/>
              <w:left w:val="nil"/>
              <w:bottom w:val="single" w:color="auto" w:sz="4" w:space="0"/>
              <w:right w:val="single" w:color="auto" w:sz="4" w:space="0"/>
            </w:tcBorders>
            <w:vAlign w:val="center"/>
          </w:tcPr>
          <w:p>
            <w:pPr>
              <w:widowControl/>
              <w:spacing w:line="360" w:lineRule="auto"/>
              <w:rPr>
                <w:rFonts w:ascii="宋体" w:hAnsi="宋体" w:cs="宋体"/>
                <w:kern w:val="0"/>
                <w:sz w:val="24"/>
                <w:highlight w:val="none"/>
              </w:rPr>
            </w:pPr>
            <w:r>
              <w:rPr>
                <w:rFonts w:ascii="宋体" w:hAnsi="宋体" w:cs="宋体"/>
                <w:kern w:val="0"/>
                <w:sz w:val="24"/>
                <w:highlight w:val="none"/>
              </w:rPr>
              <w:t>原产地</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单位</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数量</w:t>
            </w:r>
          </w:p>
        </w:tc>
        <w:tc>
          <w:tcPr>
            <w:tcW w:w="85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单价</w:t>
            </w:r>
          </w:p>
        </w:tc>
        <w:tc>
          <w:tcPr>
            <w:tcW w:w="141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金额</w:t>
            </w:r>
          </w:p>
        </w:tc>
        <w:tc>
          <w:tcPr>
            <w:tcW w:w="85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备注</w:t>
            </w:r>
          </w:p>
        </w:tc>
      </w:tr>
      <w:tr>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1</w:t>
            </w:r>
          </w:p>
        </w:tc>
        <w:tc>
          <w:tcPr>
            <w:tcW w:w="2523" w:type="dxa"/>
            <w:tcBorders>
              <w:top w:val="nil"/>
              <w:left w:val="nil"/>
              <w:bottom w:val="single" w:color="auto" w:sz="4" w:space="0"/>
              <w:right w:val="single" w:color="auto" w:sz="4" w:space="0"/>
            </w:tcBorders>
            <w:vAlign w:val="bottom"/>
          </w:tcPr>
          <w:p>
            <w:pPr>
              <w:widowControl/>
              <w:tabs>
                <w:tab w:val="center" w:pos="1124"/>
                <w:tab w:val="right" w:pos="2129"/>
              </w:tabs>
              <w:spacing w:line="360" w:lineRule="auto"/>
              <w:jc w:val="left"/>
              <w:textAlignment w:val="bottom"/>
              <w:rPr>
                <w:rFonts w:ascii="宋体" w:hAnsi="宋体" w:cs="宋体"/>
                <w:kern w:val="0"/>
                <w:sz w:val="24"/>
                <w:highlight w:val="none"/>
              </w:rPr>
            </w:pPr>
          </w:p>
        </w:tc>
        <w:tc>
          <w:tcPr>
            <w:tcW w:w="1872" w:type="dxa"/>
            <w:tcBorders>
              <w:top w:val="nil"/>
              <w:left w:val="nil"/>
              <w:bottom w:val="single" w:color="auto" w:sz="4" w:space="0"/>
              <w:right w:val="single" w:color="auto" w:sz="4" w:space="0"/>
            </w:tcBorders>
            <w:vAlign w:val="center"/>
          </w:tcPr>
          <w:p>
            <w:pPr>
              <w:spacing w:line="360" w:lineRule="auto"/>
              <w:rPr>
                <w:rFonts w:ascii="宋体" w:hAnsi="宋体" w:cs="宋体"/>
                <w:kern w:val="0"/>
                <w:sz w:val="24"/>
                <w:highlight w:val="none"/>
              </w:rPr>
            </w:pPr>
          </w:p>
        </w:tc>
        <w:tc>
          <w:tcPr>
            <w:tcW w:w="850" w:type="dxa"/>
            <w:tcBorders>
              <w:top w:val="nil"/>
              <w:left w:val="nil"/>
              <w:bottom w:val="single" w:color="auto" w:sz="4" w:space="0"/>
              <w:right w:val="single" w:color="auto" w:sz="4" w:space="0"/>
            </w:tcBorders>
            <w:vAlign w:val="center"/>
          </w:tcPr>
          <w:p>
            <w:pPr>
              <w:spacing w:line="360" w:lineRule="auto"/>
              <w:rPr>
                <w:rFonts w:ascii="宋体" w:hAnsi="宋体" w:cs="宋体"/>
                <w:kern w:val="0"/>
                <w:sz w:val="24"/>
                <w:highlight w:val="none"/>
              </w:rPr>
            </w:pPr>
          </w:p>
        </w:tc>
        <w:tc>
          <w:tcPr>
            <w:tcW w:w="70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highlight w:val="none"/>
              </w:rPr>
            </w:pPr>
          </w:p>
        </w:tc>
        <w:tc>
          <w:tcPr>
            <w:tcW w:w="70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highlight w:val="none"/>
              </w:rPr>
            </w:pPr>
          </w:p>
        </w:tc>
        <w:tc>
          <w:tcPr>
            <w:tcW w:w="850" w:type="dxa"/>
            <w:tcBorders>
              <w:top w:val="nil"/>
              <w:left w:val="nil"/>
              <w:bottom w:val="single" w:color="auto" w:sz="4" w:space="0"/>
              <w:right w:val="single" w:color="auto" w:sz="4" w:space="0"/>
            </w:tcBorders>
            <w:vAlign w:val="center"/>
          </w:tcPr>
          <w:p>
            <w:pPr>
              <w:widowControl/>
              <w:spacing w:line="360" w:lineRule="auto"/>
              <w:textAlignment w:val="center"/>
              <w:rPr>
                <w:rFonts w:ascii="宋体" w:hAnsi="宋体" w:cs="仿宋"/>
                <w:kern w:val="0"/>
                <w:sz w:val="24"/>
                <w:highlight w:val="none"/>
              </w:rPr>
            </w:pPr>
          </w:p>
        </w:tc>
        <w:tc>
          <w:tcPr>
            <w:tcW w:w="1418" w:type="dxa"/>
            <w:tcBorders>
              <w:top w:val="nil"/>
              <w:left w:val="nil"/>
              <w:bottom w:val="single" w:color="auto" w:sz="4" w:space="0"/>
              <w:right w:val="single" w:color="auto" w:sz="4" w:space="0"/>
            </w:tcBorders>
            <w:vAlign w:val="center"/>
          </w:tcPr>
          <w:p>
            <w:pPr>
              <w:widowControl/>
              <w:spacing w:line="360" w:lineRule="auto"/>
              <w:textAlignment w:val="center"/>
              <w:rPr>
                <w:rFonts w:ascii="宋体" w:hAnsi="宋体" w:cs="仿宋"/>
                <w:kern w:val="0"/>
                <w:sz w:val="24"/>
                <w:highlight w:val="none"/>
              </w:rPr>
            </w:pPr>
          </w:p>
        </w:tc>
        <w:tc>
          <w:tcPr>
            <w:tcW w:w="850" w:type="dxa"/>
            <w:tcBorders>
              <w:top w:val="nil"/>
              <w:left w:val="nil"/>
              <w:bottom w:val="single" w:color="auto" w:sz="4" w:space="0"/>
              <w:right w:val="single" w:color="auto" w:sz="4" w:space="0"/>
            </w:tcBorders>
            <w:vAlign w:val="center"/>
          </w:tcPr>
          <w:p>
            <w:pPr>
              <w:widowControl/>
              <w:spacing w:line="360" w:lineRule="auto"/>
              <w:ind w:right="120"/>
              <w:rPr>
                <w:rFonts w:ascii="宋体" w:hAnsi="宋体" w:cs="宋体"/>
                <w:kern w:val="0"/>
                <w:sz w:val="24"/>
                <w:highlight w:val="none"/>
              </w:rPr>
            </w:pPr>
          </w:p>
        </w:tc>
      </w:tr>
      <w:tr>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2</w:t>
            </w:r>
          </w:p>
        </w:tc>
        <w:tc>
          <w:tcPr>
            <w:tcW w:w="2523" w:type="dxa"/>
            <w:tcBorders>
              <w:top w:val="nil"/>
              <w:left w:val="nil"/>
              <w:bottom w:val="single" w:color="auto" w:sz="4" w:space="0"/>
              <w:right w:val="single" w:color="auto" w:sz="4" w:space="0"/>
            </w:tcBorders>
            <w:vAlign w:val="bottom"/>
          </w:tcPr>
          <w:p>
            <w:pPr>
              <w:widowControl/>
              <w:spacing w:line="360" w:lineRule="auto"/>
              <w:textAlignment w:val="bottom"/>
              <w:rPr>
                <w:rFonts w:ascii="宋体" w:hAnsi="宋体" w:cs="宋体"/>
                <w:kern w:val="0"/>
                <w:sz w:val="24"/>
                <w:highlight w:val="none"/>
              </w:rPr>
            </w:pPr>
          </w:p>
        </w:tc>
        <w:tc>
          <w:tcPr>
            <w:tcW w:w="1872" w:type="dxa"/>
            <w:tcBorders>
              <w:top w:val="nil"/>
              <w:left w:val="nil"/>
              <w:bottom w:val="single" w:color="auto" w:sz="4" w:space="0"/>
              <w:right w:val="single" w:color="auto" w:sz="4" w:space="0"/>
            </w:tcBorders>
            <w:vAlign w:val="center"/>
          </w:tcPr>
          <w:p>
            <w:pPr>
              <w:spacing w:line="360" w:lineRule="auto"/>
              <w:rPr>
                <w:rFonts w:ascii="宋体" w:hAnsi="宋体" w:cs="宋体"/>
                <w:kern w:val="0"/>
                <w:sz w:val="24"/>
                <w:highlight w:val="none"/>
              </w:rPr>
            </w:pPr>
          </w:p>
        </w:tc>
        <w:tc>
          <w:tcPr>
            <w:tcW w:w="850" w:type="dxa"/>
            <w:tcBorders>
              <w:top w:val="nil"/>
              <w:left w:val="nil"/>
              <w:bottom w:val="single" w:color="auto" w:sz="4" w:space="0"/>
              <w:right w:val="single" w:color="auto" w:sz="4" w:space="0"/>
            </w:tcBorders>
            <w:vAlign w:val="center"/>
          </w:tcPr>
          <w:p>
            <w:pPr>
              <w:spacing w:line="360" w:lineRule="auto"/>
              <w:rPr>
                <w:rFonts w:ascii="宋体" w:hAnsi="宋体" w:cs="宋体"/>
                <w:kern w:val="0"/>
                <w:sz w:val="24"/>
                <w:highlight w:val="none"/>
              </w:rPr>
            </w:pPr>
          </w:p>
        </w:tc>
        <w:tc>
          <w:tcPr>
            <w:tcW w:w="70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highlight w:val="none"/>
              </w:rPr>
            </w:pPr>
          </w:p>
        </w:tc>
        <w:tc>
          <w:tcPr>
            <w:tcW w:w="70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highlight w:val="none"/>
              </w:rPr>
            </w:pPr>
          </w:p>
        </w:tc>
        <w:tc>
          <w:tcPr>
            <w:tcW w:w="850" w:type="dxa"/>
            <w:tcBorders>
              <w:top w:val="nil"/>
              <w:left w:val="nil"/>
              <w:bottom w:val="single" w:color="auto" w:sz="4" w:space="0"/>
              <w:right w:val="single" w:color="auto" w:sz="4" w:space="0"/>
            </w:tcBorders>
            <w:vAlign w:val="center"/>
          </w:tcPr>
          <w:p>
            <w:pPr>
              <w:widowControl/>
              <w:spacing w:line="360" w:lineRule="auto"/>
              <w:textAlignment w:val="center"/>
              <w:rPr>
                <w:rFonts w:ascii="宋体" w:hAnsi="宋体" w:cs="仿宋"/>
                <w:kern w:val="0"/>
                <w:sz w:val="24"/>
                <w:highlight w:val="none"/>
              </w:rPr>
            </w:pPr>
          </w:p>
        </w:tc>
        <w:tc>
          <w:tcPr>
            <w:tcW w:w="1418" w:type="dxa"/>
            <w:tcBorders>
              <w:top w:val="nil"/>
              <w:left w:val="nil"/>
              <w:bottom w:val="single" w:color="auto" w:sz="4" w:space="0"/>
              <w:right w:val="single" w:color="auto" w:sz="4" w:space="0"/>
            </w:tcBorders>
            <w:vAlign w:val="center"/>
          </w:tcPr>
          <w:p>
            <w:pPr>
              <w:widowControl/>
              <w:spacing w:line="360" w:lineRule="auto"/>
              <w:textAlignment w:val="center"/>
              <w:rPr>
                <w:rFonts w:ascii="宋体" w:hAnsi="宋体" w:cs="仿宋"/>
                <w:kern w:val="0"/>
                <w:sz w:val="24"/>
                <w:highlight w:val="none"/>
              </w:rPr>
            </w:pPr>
          </w:p>
        </w:tc>
        <w:tc>
          <w:tcPr>
            <w:tcW w:w="850" w:type="dxa"/>
            <w:tcBorders>
              <w:top w:val="nil"/>
              <w:left w:val="nil"/>
              <w:bottom w:val="single" w:color="auto" w:sz="4" w:space="0"/>
              <w:right w:val="single" w:color="auto" w:sz="4" w:space="0"/>
            </w:tcBorders>
            <w:vAlign w:val="center"/>
          </w:tcPr>
          <w:p>
            <w:pPr>
              <w:widowControl/>
              <w:spacing w:line="360" w:lineRule="auto"/>
              <w:ind w:right="120"/>
              <w:rPr>
                <w:rFonts w:ascii="宋体" w:hAnsi="宋体" w:cs="宋体"/>
                <w:kern w:val="0"/>
                <w:sz w:val="24"/>
                <w:highlight w:val="none"/>
              </w:rPr>
            </w:pPr>
          </w:p>
        </w:tc>
      </w:tr>
      <w:tr>
        <w:tblPrEx>
          <w:tblCellMar>
            <w:top w:w="0" w:type="dxa"/>
            <w:left w:w="108" w:type="dxa"/>
            <w:bottom w:w="0" w:type="dxa"/>
            <w:right w:w="108" w:type="dxa"/>
          </w:tblCellMar>
        </w:tblPrEx>
        <w:trPr>
          <w:trHeight w:val="285" w:hRule="atLeast"/>
        </w:trPr>
        <w:tc>
          <w:tcPr>
            <w:tcW w:w="3232" w:type="dxa"/>
            <w:gridSpan w:val="2"/>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合计（元）</w:t>
            </w:r>
          </w:p>
        </w:tc>
        <w:tc>
          <w:tcPr>
            <w:tcW w:w="7258" w:type="dxa"/>
            <w:gridSpan w:val="7"/>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p>
        </w:tc>
      </w:tr>
      <w:tr>
        <w:tblPrEx>
          <w:tblCellMar>
            <w:top w:w="0" w:type="dxa"/>
            <w:left w:w="108" w:type="dxa"/>
            <w:bottom w:w="0" w:type="dxa"/>
            <w:right w:w="108" w:type="dxa"/>
          </w:tblCellMar>
        </w:tblPrEx>
        <w:trPr>
          <w:trHeight w:val="285" w:hRule="atLeast"/>
        </w:trPr>
        <w:tc>
          <w:tcPr>
            <w:tcW w:w="10490" w:type="dxa"/>
            <w:gridSpan w:val="9"/>
            <w:tcBorders>
              <w:top w:val="single" w:color="auto" w:sz="4" w:space="0"/>
              <w:left w:val="single" w:color="auto" w:sz="4" w:space="0"/>
              <w:bottom w:val="single" w:color="auto" w:sz="4" w:space="0"/>
              <w:right w:val="single" w:color="000000" w:sz="4" w:space="0"/>
            </w:tcBorders>
            <w:vAlign w:val="center"/>
          </w:tcPr>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合计人民币（大写）：</w:t>
            </w:r>
            <w:r>
              <w:rPr>
                <w:rFonts w:ascii="宋体" w:hAnsi="宋体" w:cs="宋体"/>
                <w:kern w:val="0"/>
                <w:sz w:val="24"/>
                <w:highlight w:val="none"/>
              </w:rPr>
              <w:t xml:space="preserve"> </w:t>
            </w:r>
          </w:p>
        </w:tc>
      </w:tr>
    </w:tbl>
    <w:p>
      <w:pPr>
        <w:tabs>
          <w:tab w:val="left" w:pos="567"/>
        </w:tabs>
        <w:spacing w:before="72" w:beforeLines="30" w:after="72" w:afterLines="30" w:line="360" w:lineRule="auto"/>
        <w:ind w:left="567"/>
        <w:rPr>
          <w:rFonts w:hAnsi="宋体"/>
          <w:sz w:val="24"/>
          <w:highlight w:val="none"/>
        </w:rPr>
      </w:pPr>
    </w:p>
    <w:p>
      <w:pPr>
        <w:numPr>
          <w:ilvl w:val="0"/>
          <w:numId w:val="7"/>
        </w:numPr>
        <w:tabs>
          <w:tab w:val="left" w:pos="567"/>
          <w:tab w:val="clear" w:pos="2278"/>
        </w:tabs>
        <w:spacing w:before="72" w:beforeLines="30" w:after="72" w:afterLines="30" w:line="360" w:lineRule="auto"/>
        <w:ind w:left="567" w:hanging="567"/>
        <w:rPr>
          <w:rFonts w:hAnsi="宋体"/>
          <w:sz w:val="24"/>
          <w:highlight w:val="none"/>
        </w:rPr>
      </w:pPr>
      <w:r>
        <w:rPr>
          <w:rFonts w:hint="eastAsia" w:hAnsi="宋体"/>
          <w:sz w:val="24"/>
          <w:highlight w:val="none"/>
        </w:rPr>
        <w:t>买方应根据本合同的规定向卖方购买货物，并支付合同总价，卖方应根据本合同的规定向买方出售、交付货物并提供与货物使用和安装相关的技术资料和技术服务。</w:t>
      </w:r>
    </w:p>
    <w:p>
      <w:pPr>
        <w:numPr>
          <w:ilvl w:val="0"/>
          <w:numId w:val="7"/>
        </w:numPr>
        <w:tabs>
          <w:tab w:val="left" w:pos="567"/>
          <w:tab w:val="clear" w:pos="2278"/>
        </w:tabs>
        <w:spacing w:before="72" w:beforeLines="30" w:after="72" w:afterLines="30" w:line="360" w:lineRule="auto"/>
        <w:ind w:left="567" w:hanging="567"/>
        <w:rPr>
          <w:rFonts w:hAnsi="宋体"/>
          <w:sz w:val="24"/>
          <w:highlight w:val="none"/>
        </w:rPr>
      </w:pPr>
      <w:r>
        <w:rPr>
          <w:rFonts w:hint="eastAsia" w:hAnsi="宋体"/>
          <w:sz w:val="24"/>
          <w:highlight w:val="none"/>
        </w:rPr>
        <w:t>货物</w:t>
      </w:r>
      <w:r>
        <w:rPr>
          <w:rFonts w:hAnsi="宋体"/>
          <w:sz w:val="24"/>
          <w:highlight w:val="none"/>
        </w:rPr>
        <w:t>将用于</w:t>
      </w:r>
      <w:r>
        <w:rPr>
          <w:rFonts w:hint="eastAsia" w:hAnsi="宋体"/>
          <w:sz w:val="24"/>
          <w:highlight w:val="none"/>
        </w:rPr>
        <w:t>【</w:t>
      </w:r>
      <w:r>
        <w:rPr>
          <w:rFonts w:hint="eastAsia" w:hAnsi="宋体"/>
          <w:i/>
          <w:sz w:val="24"/>
          <w:highlight w:val="none"/>
        </w:rPr>
        <w:t>填入具体的</w:t>
      </w:r>
      <w:r>
        <w:rPr>
          <w:rFonts w:hAnsi="宋体"/>
          <w:i/>
          <w:sz w:val="24"/>
          <w:highlight w:val="none"/>
        </w:rPr>
        <w:t>项目</w:t>
      </w:r>
      <w:r>
        <w:rPr>
          <w:rFonts w:hint="eastAsia" w:hAnsi="宋体"/>
          <w:i/>
          <w:sz w:val="24"/>
          <w:highlight w:val="none"/>
        </w:rPr>
        <w:t>或</w:t>
      </w:r>
      <w:r>
        <w:rPr>
          <w:rFonts w:hAnsi="宋体"/>
          <w:i/>
          <w:sz w:val="24"/>
          <w:highlight w:val="none"/>
        </w:rPr>
        <w:t>工程</w:t>
      </w:r>
      <w:r>
        <w:rPr>
          <w:rFonts w:hint="eastAsia" w:hAnsi="宋体"/>
          <w:sz w:val="24"/>
          <w:highlight w:val="none"/>
        </w:rPr>
        <w:t>】</w:t>
      </w:r>
      <w:r>
        <w:rPr>
          <w:rFonts w:hAnsi="宋体"/>
          <w:sz w:val="24"/>
          <w:highlight w:val="none"/>
        </w:rPr>
        <w:t>。</w:t>
      </w:r>
    </w:p>
    <w:p>
      <w:pPr>
        <w:pStyle w:val="9"/>
        <w:numPr>
          <w:ilvl w:val="0"/>
          <w:numId w:val="6"/>
        </w:numPr>
        <w:spacing w:before="72" w:beforeLines="30" w:after="72" w:afterLines="30" w:line="360" w:lineRule="auto"/>
        <w:ind w:left="851" w:hanging="851"/>
        <w:jc w:val="left"/>
        <w:rPr>
          <w:sz w:val="24"/>
          <w:szCs w:val="24"/>
          <w:highlight w:val="none"/>
        </w:rPr>
      </w:pPr>
      <w:bookmarkStart w:id="28" w:name="_Toc306354309"/>
      <w:r>
        <w:rPr>
          <w:sz w:val="24"/>
          <w:szCs w:val="24"/>
          <w:highlight w:val="none"/>
        </w:rPr>
        <w:t>合同</w:t>
      </w:r>
      <w:r>
        <w:rPr>
          <w:rFonts w:hint="eastAsia"/>
          <w:sz w:val="24"/>
          <w:szCs w:val="24"/>
          <w:highlight w:val="none"/>
        </w:rPr>
        <w:t>总价</w:t>
      </w:r>
      <w:bookmarkEnd w:id="28"/>
    </w:p>
    <w:p>
      <w:pPr>
        <w:numPr>
          <w:ilvl w:val="0"/>
          <w:numId w:val="8"/>
        </w:numPr>
        <w:tabs>
          <w:tab w:val="left" w:pos="567"/>
          <w:tab w:val="clear" w:pos="840"/>
        </w:tabs>
        <w:spacing w:before="72" w:beforeLines="30" w:after="72" w:afterLines="30" w:line="360" w:lineRule="auto"/>
        <w:ind w:left="567" w:hanging="567"/>
        <w:rPr>
          <w:sz w:val="24"/>
          <w:highlight w:val="none"/>
        </w:rPr>
      </w:pPr>
      <w:r>
        <w:rPr>
          <w:rFonts w:hint="eastAsia"/>
          <w:sz w:val="24"/>
          <w:highlight w:val="none"/>
        </w:rPr>
        <w:t>双方经协商一致，最终确定合同总价为</w:t>
      </w:r>
      <w:r>
        <w:rPr>
          <w:sz w:val="24"/>
          <w:highlight w:val="none"/>
        </w:rPr>
        <w:t>【</w:t>
      </w:r>
      <w:r>
        <w:rPr>
          <w:rFonts w:hint="eastAsia"/>
          <w:i/>
          <w:sz w:val="24"/>
          <w:highlight w:val="none"/>
        </w:rPr>
        <w:t>填入币种英文简写，如RMB</w:t>
      </w:r>
      <w:r>
        <w:rPr>
          <w:sz w:val="24"/>
          <w:highlight w:val="none"/>
        </w:rPr>
        <w:t>】</w:t>
      </w:r>
      <w:r>
        <w:rPr>
          <w:rFonts w:hint="eastAsia"/>
          <w:sz w:val="24"/>
          <w:highlight w:val="none"/>
        </w:rPr>
        <w:t>【</w:t>
      </w:r>
      <w:r>
        <w:rPr>
          <w:rFonts w:hint="eastAsia"/>
          <w:i/>
          <w:sz w:val="24"/>
          <w:highlight w:val="none"/>
        </w:rPr>
        <w:t>填入小写金额</w:t>
      </w:r>
      <w:r>
        <w:rPr>
          <w:rFonts w:hint="eastAsia"/>
          <w:sz w:val="24"/>
          <w:highlight w:val="none"/>
        </w:rPr>
        <w:t>】</w:t>
      </w:r>
      <w:r>
        <w:rPr>
          <w:sz w:val="24"/>
          <w:highlight w:val="none"/>
        </w:rPr>
        <w:t>（大写：【</w:t>
      </w:r>
      <w:r>
        <w:rPr>
          <w:rFonts w:hint="eastAsia"/>
          <w:i/>
          <w:sz w:val="24"/>
          <w:highlight w:val="none"/>
        </w:rPr>
        <w:t>填入币种名称，如人民币</w:t>
      </w:r>
      <w:r>
        <w:rPr>
          <w:sz w:val="24"/>
          <w:highlight w:val="none"/>
        </w:rPr>
        <w:t>】</w:t>
      </w:r>
      <w:r>
        <w:rPr>
          <w:rFonts w:hint="eastAsia"/>
          <w:sz w:val="24"/>
          <w:highlight w:val="none"/>
        </w:rPr>
        <w:t>【</w:t>
      </w:r>
      <w:r>
        <w:rPr>
          <w:rFonts w:hint="eastAsia"/>
          <w:i/>
          <w:sz w:val="24"/>
          <w:highlight w:val="none"/>
        </w:rPr>
        <w:t>填入大写金额</w:t>
      </w:r>
      <w:r>
        <w:rPr>
          <w:rFonts w:hint="eastAsia"/>
          <w:sz w:val="24"/>
          <w:highlight w:val="none"/>
        </w:rPr>
        <w:t>】）。</w:t>
      </w:r>
      <w:bookmarkStart w:id="29" w:name="_Hlk41394068"/>
      <w:r>
        <w:rPr>
          <w:rFonts w:hint="eastAsia"/>
          <w:sz w:val="24"/>
          <w:highlight w:val="none"/>
        </w:rPr>
        <w:t>合同总价为含税（包括增值税）总金额。</w:t>
      </w:r>
      <w:r>
        <w:rPr>
          <w:rFonts w:hint="eastAsia" w:hAnsi="Garamond" w:cs="新宋体-18030"/>
          <w:sz w:val="24"/>
          <w:highlight w:val="none"/>
        </w:rPr>
        <w:t>其中，</w:t>
      </w:r>
      <w:r>
        <w:rPr>
          <w:rFonts w:hint="eastAsia"/>
          <w:sz w:val="24"/>
          <w:highlight w:val="none"/>
        </w:rPr>
        <w:t>不含增值税合同价款为</w:t>
      </w:r>
      <w:r>
        <w:rPr>
          <w:rFonts w:hint="eastAsia" w:hAnsi="宋体"/>
          <w:sz w:val="24"/>
          <w:highlight w:val="none"/>
        </w:rPr>
        <w:t>【</w:t>
      </w:r>
      <w:r>
        <w:rPr>
          <w:rFonts w:hint="eastAsia" w:hAnsi="宋体"/>
          <w:i/>
          <w:sz w:val="24"/>
          <w:highlight w:val="none"/>
        </w:rPr>
        <w:t>填入币种英文简写，如</w:t>
      </w:r>
      <w:r>
        <w:rPr>
          <w:rFonts w:hAnsi="宋体"/>
          <w:i/>
          <w:sz w:val="24"/>
          <w:highlight w:val="none"/>
        </w:rPr>
        <w:t>RMB</w:t>
      </w:r>
      <w:r>
        <w:rPr>
          <w:rFonts w:hint="eastAsia" w:hAnsi="宋体"/>
          <w:sz w:val="24"/>
          <w:highlight w:val="none"/>
        </w:rPr>
        <w:t>】</w:t>
      </w:r>
      <w:r>
        <w:rPr>
          <w:rFonts w:hint="eastAsia"/>
          <w:sz w:val="24"/>
          <w:highlight w:val="none"/>
        </w:rPr>
        <w:t>【</w:t>
      </w:r>
      <w:r>
        <w:rPr>
          <w:rFonts w:hint="eastAsia"/>
          <w:i/>
          <w:sz w:val="24"/>
          <w:highlight w:val="none"/>
        </w:rPr>
        <w:t>填入小写金额</w:t>
      </w:r>
      <w:r>
        <w:rPr>
          <w:rFonts w:hint="eastAsia"/>
          <w:sz w:val="24"/>
          <w:highlight w:val="none"/>
        </w:rPr>
        <w:t>】</w:t>
      </w:r>
      <w:r>
        <w:rPr>
          <w:rFonts w:hint="eastAsia" w:hAnsi="宋体"/>
          <w:sz w:val="24"/>
          <w:highlight w:val="none"/>
        </w:rPr>
        <w:t>（大写：【</w:t>
      </w:r>
      <w:r>
        <w:rPr>
          <w:rFonts w:hint="eastAsia" w:hAnsi="宋体"/>
          <w:i/>
          <w:sz w:val="24"/>
          <w:highlight w:val="none"/>
        </w:rPr>
        <w:t>填入币种名称，如人民币</w:t>
      </w:r>
      <w:r>
        <w:rPr>
          <w:rFonts w:hint="eastAsia" w:hAnsi="宋体"/>
          <w:sz w:val="24"/>
          <w:highlight w:val="none"/>
        </w:rPr>
        <w:t>】【</w:t>
      </w:r>
      <w:r>
        <w:rPr>
          <w:rFonts w:hint="eastAsia" w:hAnsi="宋体"/>
          <w:i/>
          <w:sz w:val="24"/>
          <w:highlight w:val="none"/>
        </w:rPr>
        <w:t>填入大写金额</w:t>
      </w:r>
      <w:r>
        <w:rPr>
          <w:rFonts w:hint="eastAsia" w:hAnsi="宋体"/>
          <w:sz w:val="24"/>
          <w:highlight w:val="none"/>
        </w:rPr>
        <w:t>】），</w:t>
      </w:r>
      <w:r>
        <w:rPr>
          <w:rFonts w:hint="eastAsia"/>
          <w:sz w:val="24"/>
          <w:highlight w:val="none"/>
        </w:rPr>
        <w:t>增值税税率为【</w:t>
      </w:r>
      <w:r>
        <w:rPr>
          <w:rFonts w:hint="eastAsia"/>
          <w:i/>
          <w:sz w:val="24"/>
          <w:highlight w:val="none"/>
        </w:rPr>
        <w:t>填入增值税税率</w:t>
      </w:r>
      <w:r>
        <w:rPr>
          <w:rFonts w:hint="eastAsia"/>
          <w:sz w:val="24"/>
          <w:highlight w:val="none"/>
        </w:rPr>
        <w:t>】</w:t>
      </w:r>
      <w:r>
        <w:rPr>
          <w:sz w:val="24"/>
          <w:highlight w:val="none"/>
        </w:rPr>
        <w:t>%</w:t>
      </w:r>
      <w:r>
        <w:rPr>
          <w:rFonts w:hint="eastAsia" w:hAnsi="宋体"/>
          <w:sz w:val="24"/>
          <w:highlight w:val="none"/>
        </w:rPr>
        <w:t>。</w:t>
      </w:r>
      <w:bookmarkEnd w:id="29"/>
      <w:r>
        <w:rPr>
          <w:rFonts w:hint="eastAsia"/>
          <w:sz w:val="24"/>
          <w:highlight w:val="none"/>
        </w:rPr>
        <w:t>合同总价的各分项价格和组成为：</w:t>
      </w:r>
      <w:bookmarkStart w:id="30" w:name="OLE_LINK66"/>
      <w:bookmarkStart w:id="31" w:name="OLE_LINK36"/>
      <w:bookmarkStart w:id="32" w:name="OLE_LINK40"/>
      <w:bookmarkStart w:id="33" w:name="OLE_LINK67"/>
      <w:bookmarkStart w:id="34" w:name="OLE_LINK37"/>
      <w:bookmarkStart w:id="35" w:name="OLE_LINK39"/>
    </w:p>
    <w:p>
      <w:pPr>
        <w:tabs>
          <w:tab w:val="left" w:pos="567"/>
        </w:tabs>
        <w:spacing w:before="72" w:beforeLines="30" w:after="72" w:afterLines="30" w:line="360" w:lineRule="auto"/>
        <w:ind w:left="567"/>
        <w:rPr>
          <w:i/>
          <w:sz w:val="24"/>
          <w:highlight w:val="none"/>
          <w:u w:val="single"/>
        </w:rPr>
      </w:pPr>
      <w:r>
        <w:rPr>
          <w:rFonts w:hint="eastAsia"/>
          <w:i/>
          <w:sz w:val="24"/>
          <w:highlight w:val="none"/>
          <w:u w:val="single"/>
        </w:rPr>
        <w:t>请从下列选项中选择一项，并删除不适用的选项：</w:t>
      </w:r>
    </w:p>
    <w:p>
      <w:pPr>
        <w:widowControl/>
        <w:tabs>
          <w:tab w:val="left" w:pos="993"/>
          <w:tab w:val="left" w:pos="1800"/>
        </w:tabs>
        <w:autoSpaceDE w:val="0"/>
        <w:autoSpaceDN w:val="0"/>
        <w:adjustRightInd w:val="0"/>
        <w:spacing w:before="72" w:beforeLines="30" w:after="72" w:afterLines="30" w:line="360" w:lineRule="auto"/>
        <w:ind w:firstLine="648" w:firstLineChars="270"/>
        <w:textAlignment w:val="bottom"/>
        <w:rPr>
          <w:sz w:val="24"/>
          <w:highlight w:val="none"/>
        </w:rPr>
      </w:pPr>
      <w:r>
        <w:rPr>
          <w:rFonts w:hint="eastAsia"/>
          <w:i/>
          <w:sz w:val="24"/>
          <w:highlight w:val="none"/>
          <w:u w:val="single"/>
        </w:rPr>
        <w:t>选项一：</w:t>
      </w:r>
      <w:bookmarkEnd w:id="30"/>
      <w:bookmarkEnd w:id="31"/>
      <w:bookmarkEnd w:id="32"/>
      <w:bookmarkEnd w:id="33"/>
      <w:bookmarkEnd w:id="34"/>
      <w:bookmarkEnd w:id="35"/>
      <w:bookmarkStart w:id="36" w:name="OLE_LINK38"/>
      <w:r>
        <w:rPr>
          <w:rFonts w:hint="eastAsia"/>
          <w:i/>
          <w:sz w:val="24"/>
          <w:highlight w:val="none"/>
          <w:u w:val="single"/>
        </w:rPr>
        <w:t>直接填入</w:t>
      </w:r>
    </w:p>
    <w:p>
      <w:pPr>
        <w:widowControl/>
        <w:tabs>
          <w:tab w:val="left" w:pos="993"/>
          <w:tab w:val="left" w:pos="1800"/>
        </w:tabs>
        <w:autoSpaceDE w:val="0"/>
        <w:autoSpaceDN w:val="0"/>
        <w:adjustRightInd w:val="0"/>
        <w:spacing w:before="72" w:beforeLines="30" w:after="72" w:afterLines="30" w:line="360" w:lineRule="auto"/>
        <w:ind w:firstLine="648" w:firstLineChars="270"/>
        <w:textAlignment w:val="bottom"/>
        <w:rPr>
          <w:sz w:val="24"/>
          <w:highlight w:val="none"/>
        </w:rPr>
      </w:pPr>
      <w:r>
        <w:rPr>
          <w:rFonts w:hint="eastAsia"/>
          <w:sz w:val="24"/>
          <w:highlight w:val="none"/>
        </w:rPr>
        <w:t>合同总价的各分项价格和组成</w:t>
      </w:r>
      <w:bookmarkEnd w:id="36"/>
      <w:r>
        <w:rPr>
          <w:rFonts w:hint="eastAsia"/>
          <w:sz w:val="24"/>
          <w:highlight w:val="none"/>
        </w:rPr>
        <w:t>为：</w:t>
      </w:r>
      <w:r>
        <w:rPr>
          <w:rFonts w:hint="eastAsia" w:hAnsi="宋体"/>
          <w:sz w:val="24"/>
          <w:highlight w:val="none"/>
        </w:rPr>
        <w:t>【</w:t>
      </w:r>
      <w:r>
        <w:rPr>
          <w:rFonts w:hint="eastAsia" w:hAnsi="宋体"/>
          <w:i/>
          <w:sz w:val="24"/>
          <w:highlight w:val="none"/>
        </w:rPr>
        <w:t>请填入</w:t>
      </w:r>
      <w:r>
        <w:rPr>
          <w:rFonts w:hint="eastAsia"/>
          <w:i/>
          <w:sz w:val="24"/>
          <w:highlight w:val="none"/>
        </w:rPr>
        <w:t>各分项价格和组成</w:t>
      </w:r>
      <w:r>
        <w:rPr>
          <w:rFonts w:hint="eastAsia" w:hAnsi="宋体"/>
          <w:sz w:val="24"/>
          <w:highlight w:val="none"/>
        </w:rPr>
        <w:t>】</w:t>
      </w:r>
      <w:r>
        <w:rPr>
          <w:rFonts w:hint="eastAsia"/>
          <w:sz w:val="24"/>
          <w:highlight w:val="none"/>
        </w:rPr>
        <w:t>。</w:t>
      </w:r>
    </w:p>
    <w:p>
      <w:pPr>
        <w:widowControl/>
        <w:tabs>
          <w:tab w:val="left" w:pos="993"/>
          <w:tab w:val="left" w:pos="1800"/>
        </w:tabs>
        <w:autoSpaceDE w:val="0"/>
        <w:autoSpaceDN w:val="0"/>
        <w:adjustRightInd w:val="0"/>
        <w:spacing w:before="72" w:beforeLines="30" w:after="72" w:afterLines="30" w:line="360" w:lineRule="auto"/>
        <w:ind w:firstLine="648" w:firstLineChars="270"/>
        <w:textAlignment w:val="bottom"/>
        <w:rPr>
          <w:i/>
          <w:sz w:val="24"/>
          <w:highlight w:val="none"/>
          <w:u w:val="single"/>
        </w:rPr>
      </w:pPr>
      <w:r>
        <w:rPr>
          <w:rFonts w:hint="eastAsia"/>
          <w:i/>
          <w:sz w:val="24"/>
          <w:highlight w:val="none"/>
          <w:u w:val="single"/>
        </w:rPr>
        <w:t>选项二：附件中列明</w:t>
      </w:r>
    </w:p>
    <w:p>
      <w:pPr>
        <w:widowControl/>
        <w:tabs>
          <w:tab w:val="left" w:pos="567"/>
          <w:tab w:val="left" w:pos="1800"/>
        </w:tabs>
        <w:autoSpaceDE w:val="0"/>
        <w:autoSpaceDN w:val="0"/>
        <w:adjustRightInd w:val="0"/>
        <w:spacing w:before="72" w:beforeLines="30" w:after="72" w:afterLines="30" w:line="360" w:lineRule="auto"/>
        <w:ind w:left="567"/>
        <w:textAlignment w:val="bottom"/>
        <w:rPr>
          <w:sz w:val="24"/>
          <w:highlight w:val="none"/>
        </w:rPr>
      </w:pPr>
      <w:r>
        <w:rPr>
          <w:rFonts w:hint="eastAsia"/>
          <w:sz w:val="24"/>
          <w:highlight w:val="none"/>
        </w:rPr>
        <w:t>合同总价的各分项价格和组成：【</w:t>
      </w:r>
      <w:r>
        <w:rPr>
          <w:rFonts w:hint="eastAsia"/>
          <w:i/>
          <w:sz w:val="24"/>
          <w:highlight w:val="none"/>
        </w:rPr>
        <w:t>详见本合同附件一</w:t>
      </w:r>
      <w:r>
        <w:rPr>
          <w:rFonts w:hint="eastAsia"/>
          <w:sz w:val="24"/>
          <w:highlight w:val="none"/>
        </w:rPr>
        <w:t>】。</w:t>
      </w:r>
    </w:p>
    <w:p>
      <w:pPr>
        <w:numPr>
          <w:ilvl w:val="0"/>
          <w:numId w:val="8"/>
        </w:numPr>
        <w:tabs>
          <w:tab w:val="left" w:pos="567"/>
          <w:tab w:val="clear" w:pos="840"/>
        </w:tabs>
        <w:spacing w:before="72" w:beforeLines="30" w:after="72" w:afterLines="30" w:line="360" w:lineRule="auto"/>
        <w:ind w:left="567" w:hanging="567"/>
        <w:rPr>
          <w:rFonts w:ascii="Arial" w:hAnsi="Arial" w:cs="Arial"/>
          <w:sz w:val="24"/>
          <w:highlight w:val="none"/>
        </w:rPr>
      </w:pPr>
      <w:r>
        <w:rPr>
          <w:rFonts w:hint="eastAsia"/>
          <w:sz w:val="24"/>
          <w:highlight w:val="none"/>
        </w:rPr>
        <w:t>合同总价系卖方交付全部货物，完成全部工作，完整履行本合同，买方应当支付的全部金额。合同总价为无条件最终封顶价格。除根据本合同规定因工作变更或国家增值税税率调整引起合同总价调整外，不受通货膨胀、利率、汇率、税费、成本及市场等因素变化的影响。合同总价包括货物成本、货物资料的费用；税费（包括关税、增值税等）；运输、储存、包装、维修、搬运、交付费用；管理费和利润；直接成本、间接成本、人力成本；技术服务费用；质保期费用；或有费用及合同没有列明但系为实现合同目的所必需的工作和服务的费用；</w:t>
      </w:r>
      <w:r>
        <w:rPr>
          <w:rFonts w:hint="eastAsia" w:ascii="Arial" w:hAnsi="Arial" w:cs="Arial"/>
          <w:sz w:val="24"/>
          <w:highlight w:val="none"/>
        </w:rPr>
        <w:t>卖方所有的风险、义务和责任，以及合同中明确说明由卖方承担的成本与费用</w:t>
      </w:r>
      <w:r>
        <w:rPr>
          <w:rFonts w:hint="eastAsia"/>
          <w:sz w:val="24"/>
          <w:highlight w:val="none"/>
        </w:rPr>
        <w:t>等。除买方同意某项费用属于额外的工作项目需另行支付费用外，买方不向卖方支付任何超出合同总价的</w:t>
      </w:r>
      <w:r>
        <w:rPr>
          <w:rFonts w:hint="eastAsia" w:ascii="Arial" w:hAnsi="Arial" w:cs="Arial"/>
          <w:sz w:val="24"/>
          <w:highlight w:val="none"/>
        </w:rPr>
        <w:t>款项。</w:t>
      </w:r>
      <w:r>
        <w:rPr>
          <w:rFonts w:hint="eastAsia"/>
          <w:sz w:val="24"/>
          <w:highlight w:val="none"/>
        </w:rPr>
        <w:t>为免疑义，如果增值税税率因国家增值税税率调整而发生变化，合同总价自动调整，但不含增值税的合同价款保持不变。</w:t>
      </w:r>
    </w:p>
    <w:p>
      <w:pPr>
        <w:numPr>
          <w:ilvl w:val="0"/>
          <w:numId w:val="8"/>
        </w:numPr>
        <w:tabs>
          <w:tab w:val="left" w:pos="567"/>
          <w:tab w:val="clear" w:pos="840"/>
        </w:tabs>
        <w:spacing w:before="72" w:beforeLines="30" w:after="72" w:afterLines="30" w:line="360" w:lineRule="auto"/>
        <w:ind w:left="567" w:hanging="567"/>
        <w:rPr>
          <w:sz w:val="24"/>
          <w:highlight w:val="none"/>
        </w:rPr>
      </w:pPr>
      <w:r>
        <w:rPr>
          <w:rFonts w:hint="eastAsia" w:ascii="Arial" w:hAnsi="Arial" w:cs="Arial"/>
          <w:sz w:val="24"/>
          <w:highlight w:val="none"/>
        </w:rPr>
        <w:t>双方应根据法律法规各自承担其应承担的与本合同有关的所有税费。</w:t>
      </w:r>
      <w:r>
        <w:rPr>
          <w:rFonts w:hint="eastAsia"/>
          <w:sz w:val="24"/>
          <w:highlight w:val="none"/>
        </w:rPr>
        <w:t>买方有权根据法律法规和本合同的规定从应支付给卖方的合同总价中扣除应由买方代扣、代缴的卖方应付税费，但应向卖方提供完税证明。</w:t>
      </w:r>
    </w:p>
    <w:p>
      <w:pPr>
        <w:pStyle w:val="9"/>
        <w:numPr>
          <w:ilvl w:val="0"/>
          <w:numId w:val="6"/>
        </w:numPr>
        <w:spacing w:before="72" w:beforeLines="30" w:after="72" w:afterLines="30" w:line="360" w:lineRule="auto"/>
        <w:ind w:left="709" w:hanging="709"/>
        <w:jc w:val="left"/>
        <w:rPr>
          <w:sz w:val="24"/>
          <w:szCs w:val="24"/>
          <w:highlight w:val="none"/>
        </w:rPr>
      </w:pPr>
      <w:r>
        <w:rPr>
          <w:rFonts w:hint="eastAsia"/>
          <w:sz w:val="24"/>
          <w:szCs w:val="24"/>
          <w:highlight w:val="none"/>
        </w:rPr>
        <w:t>付款</w:t>
      </w:r>
    </w:p>
    <w:p>
      <w:pPr>
        <w:pStyle w:val="18"/>
        <w:numPr>
          <w:ilvl w:val="0"/>
          <w:numId w:val="9"/>
        </w:numPr>
        <w:tabs>
          <w:tab w:val="left" w:pos="851"/>
        </w:tabs>
        <w:adjustRightInd w:val="0"/>
        <w:spacing w:line="360" w:lineRule="auto"/>
        <w:ind w:firstLineChars="0"/>
        <w:contextualSpacing/>
        <w:rPr>
          <w:rFonts w:ascii="宋体" w:hAnsi="宋体"/>
          <w:sz w:val="24"/>
          <w:highlight w:val="none"/>
        </w:rPr>
      </w:pPr>
      <w:r>
        <w:rPr>
          <w:rFonts w:hint="eastAsia" w:ascii="宋体" w:hAnsi="宋体"/>
          <w:sz w:val="24"/>
          <w:highlight w:val="none"/>
        </w:rPr>
        <w:t xml:space="preserve"> </w:t>
      </w:r>
      <w:r>
        <w:rPr>
          <w:rFonts w:ascii="宋体" w:hAnsi="宋体"/>
          <w:sz w:val="24"/>
          <w:highlight w:val="none"/>
        </w:rPr>
        <w:t xml:space="preserve"> </w:t>
      </w:r>
      <w:r>
        <w:rPr>
          <w:rFonts w:hint="eastAsia" w:ascii="宋体" w:hAnsi="宋体"/>
          <w:sz w:val="24"/>
          <w:highlight w:val="none"/>
        </w:rPr>
        <w:t>支付货币：</w:t>
      </w:r>
    </w:p>
    <w:p>
      <w:pPr>
        <w:pStyle w:val="18"/>
        <w:tabs>
          <w:tab w:val="left" w:pos="567"/>
        </w:tabs>
        <w:adjustRightInd w:val="0"/>
        <w:spacing w:line="360" w:lineRule="auto"/>
        <w:ind w:left="849" w:leftChars="320" w:hanging="177" w:hangingChars="74"/>
        <w:contextualSpacing/>
        <w:rPr>
          <w:rFonts w:ascii="宋体" w:hAnsi="宋体"/>
          <w:sz w:val="24"/>
          <w:highlight w:val="none"/>
        </w:rPr>
      </w:pPr>
      <w:r>
        <w:rPr>
          <w:rFonts w:hint="eastAsia" w:ascii="宋体" w:hAnsi="宋体"/>
          <w:bCs/>
          <w:i/>
          <w:kern w:val="0"/>
          <w:sz w:val="24"/>
          <w:highlight w:val="none"/>
          <w:u w:val="single"/>
        </w:rPr>
        <w:t>请根据实际情况从下列选项中选择其中一项，并将不适用的删除</w:t>
      </w:r>
    </w:p>
    <w:p>
      <w:pPr>
        <w:widowControl/>
        <w:tabs>
          <w:tab w:val="left" w:pos="567"/>
        </w:tabs>
        <w:adjustRightInd w:val="0"/>
        <w:spacing w:line="360" w:lineRule="auto"/>
        <w:ind w:left="672" w:leftChars="320" w:firstLine="36" w:firstLineChars="15"/>
        <w:contextualSpacing/>
        <w:jc w:val="left"/>
        <w:rPr>
          <w:color w:val="000000"/>
          <w:sz w:val="24"/>
          <w:highlight w:val="none"/>
        </w:rPr>
      </w:pPr>
      <w:r>
        <w:rPr>
          <w:rFonts w:hint="eastAsia"/>
          <w:color w:val="000000"/>
          <w:sz w:val="24"/>
          <w:highlight w:val="none"/>
        </w:rPr>
        <w:t>选项一：</w:t>
      </w:r>
      <w:r>
        <w:rPr>
          <w:color w:val="000000"/>
          <w:sz w:val="24"/>
          <w:highlight w:val="none"/>
        </w:rPr>
        <w:t xml:space="preserve"> </w:t>
      </w:r>
    </w:p>
    <w:p>
      <w:pPr>
        <w:pStyle w:val="18"/>
        <w:widowControl/>
        <w:tabs>
          <w:tab w:val="left" w:pos="567"/>
        </w:tabs>
        <w:adjustRightInd w:val="0"/>
        <w:spacing w:line="360" w:lineRule="auto"/>
        <w:ind w:left="672" w:leftChars="320" w:firstLine="36" w:firstLineChars="15"/>
        <w:contextualSpacing/>
        <w:jc w:val="left"/>
        <w:rPr>
          <w:rFonts w:ascii="宋体" w:hAnsi="宋体" w:cs="Arial"/>
          <w:bCs/>
          <w:color w:val="44546A"/>
          <w:kern w:val="0"/>
          <w:sz w:val="24"/>
          <w:highlight w:val="none"/>
        </w:rPr>
      </w:pPr>
      <w:r>
        <w:rPr>
          <w:rFonts w:hint="eastAsia"/>
          <w:sz w:val="24"/>
          <w:highlight w:val="none"/>
        </w:rPr>
        <w:t>本合同项下的所有应付款项均应以</w:t>
      </w:r>
      <w:r>
        <w:rPr>
          <w:rFonts w:hint="eastAsia" w:ascii="宋体" w:hAnsi="宋体" w:cs="Arial"/>
          <w:color w:val="44546A"/>
          <w:kern w:val="0"/>
          <w:sz w:val="24"/>
          <w:highlight w:val="none"/>
        </w:rPr>
        <w:t>【</w:t>
      </w:r>
      <w:r>
        <w:rPr>
          <w:rFonts w:hint="eastAsia" w:ascii="宋体" w:hAnsi="宋体" w:cs="Arial"/>
          <w:i/>
          <w:iCs/>
          <w:color w:val="44546A"/>
          <w:kern w:val="0"/>
          <w:sz w:val="24"/>
          <w:highlight w:val="none"/>
        </w:rPr>
        <w:t>人民币</w:t>
      </w:r>
      <w:r>
        <w:rPr>
          <w:rFonts w:hint="eastAsia" w:ascii="宋体" w:hAnsi="宋体" w:cs="Arial"/>
          <w:color w:val="44546A"/>
          <w:kern w:val="0"/>
          <w:sz w:val="24"/>
          <w:highlight w:val="none"/>
        </w:rPr>
        <w:t>】</w:t>
      </w:r>
      <w:r>
        <w:rPr>
          <w:rFonts w:hint="eastAsia"/>
          <w:sz w:val="24"/>
          <w:highlight w:val="none"/>
        </w:rPr>
        <w:t>支付。</w:t>
      </w:r>
    </w:p>
    <w:p>
      <w:pPr>
        <w:widowControl/>
        <w:tabs>
          <w:tab w:val="left" w:pos="567"/>
        </w:tabs>
        <w:adjustRightInd w:val="0"/>
        <w:spacing w:line="360" w:lineRule="auto"/>
        <w:ind w:left="672" w:leftChars="320" w:firstLine="36" w:firstLineChars="15"/>
        <w:contextualSpacing/>
        <w:jc w:val="left"/>
        <w:rPr>
          <w:color w:val="000000"/>
          <w:sz w:val="24"/>
          <w:highlight w:val="none"/>
        </w:rPr>
      </w:pPr>
      <w:r>
        <w:rPr>
          <w:rFonts w:hint="eastAsia"/>
          <w:color w:val="000000"/>
          <w:sz w:val="24"/>
          <w:highlight w:val="none"/>
        </w:rPr>
        <w:t>选项二：</w:t>
      </w:r>
      <w:r>
        <w:rPr>
          <w:color w:val="000000"/>
          <w:sz w:val="24"/>
          <w:highlight w:val="none"/>
        </w:rPr>
        <w:t xml:space="preserve"> </w:t>
      </w:r>
    </w:p>
    <w:p>
      <w:pPr>
        <w:widowControl/>
        <w:tabs>
          <w:tab w:val="left" w:pos="567"/>
        </w:tabs>
        <w:adjustRightInd w:val="0"/>
        <w:spacing w:line="360" w:lineRule="auto"/>
        <w:ind w:left="672" w:leftChars="320"/>
        <w:contextualSpacing/>
        <w:jc w:val="left"/>
        <w:rPr>
          <w:rFonts w:ascii="宋体" w:hAnsi="宋体" w:cs="Arial"/>
          <w:bCs/>
          <w:color w:val="44546A"/>
          <w:kern w:val="0"/>
          <w:sz w:val="24"/>
          <w:highlight w:val="none"/>
        </w:rPr>
      </w:pPr>
      <w:r>
        <w:rPr>
          <w:rFonts w:hint="eastAsia"/>
          <w:sz w:val="24"/>
          <w:highlight w:val="none"/>
        </w:rPr>
        <w:t>本合同项下的所有应付款项均应以美元支付，前提是如任何付款的一方受适用的法律限制而无法支付美元，则其有权以等值的</w:t>
      </w:r>
      <w:r>
        <w:rPr>
          <w:rFonts w:hint="eastAsia" w:ascii="宋体" w:hAnsi="宋体" w:cs="Arial"/>
          <w:color w:val="44546A"/>
          <w:kern w:val="0"/>
          <w:sz w:val="24"/>
          <w:highlight w:val="none"/>
        </w:rPr>
        <w:t>【</w:t>
      </w:r>
      <w:r>
        <w:rPr>
          <w:rFonts w:hint="eastAsia" w:ascii="宋体" w:hAnsi="宋体" w:cs="Arial"/>
          <w:i/>
          <w:iCs/>
          <w:color w:val="44546A"/>
          <w:kern w:val="0"/>
          <w:sz w:val="24"/>
          <w:highlight w:val="none"/>
        </w:rPr>
        <w:t>人民币</w:t>
      </w:r>
      <w:r>
        <w:rPr>
          <w:rFonts w:hint="eastAsia" w:ascii="宋体" w:hAnsi="宋体" w:cs="Arial"/>
          <w:color w:val="44546A"/>
          <w:kern w:val="0"/>
          <w:sz w:val="24"/>
          <w:highlight w:val="none"/>
        </w:rPr>
        <w:t>】</w:t>
      </w:r>
      <w:r>
        <w:rPr>
          <w:rFonts w:hint="eastAsia"/>
          <w:sz w:val="24"/>
          <w:highlight w:val="none"/>
        </w:rPr>
        <w:t>进行支付。</w:t>
      </w:r>
    </w:p>
    <w:p>
      <w:pPr>
        <w:numPr>
          <w:ilvl w:val="0"/>
          <w:numId w:val="9"/>
        </w:numPr>
        <w:tabs>
          <w:tab w:val="left" w:pos="709"/>
        </w:tabs>
        <w:spacing w:before="72" w:beforeLines="30" w:after="72" w:afterLines="30" w:line="360" w:lineRule="auto"/>
        <w:rPr>
          <w:sz w:val="24"/>
          <w:highlight w:val="none"/>
        </w:rPr>
      </w:pPr>
      <w:r>
        <w:rPr>
          <w:rFonts w:hint="eastAsia"/>
          <w:sz w:val="24"/>
          <w:highlight w:val="none"/>
        </w:rPr>
        <w:t>本合同项下的</w:t>
      </w:r>
      <w:r>
        <w:rPr>
          <w:color w:val="000000"/>
          <w:sz w:val="24"/>
          <w:highlight w:val="none"/>
        </w:rPr>
        <w:t>付款方式</w:t>
      </w:r>
      <w:r>
        <w:rPr>
          <w:rFonts w:hint="eastAsia"/>
          <w:color w:val="000000"/>
          <w:sz w:val="24"/>
          <w:highlight w:val="none"/>
        </w:rPr>
        <w:t>为</w:t>
      </w:r>
      <w:r>
        <w:rPr>
          <w:color w:val="000000"/>
          <w:sz w:val="24"/>
          <w:highlight w:val="none"/>
        </w:rPr>
        <w:t>：</w:t>
      </w:r>
      <w:r>
        <w:rPr>
          <w:rFonts w:hint="eastAsia"/>
          <w:color w:val="000000"/>
          <w:sz w:val="24"/>
          <w:highlight w:val="none"/>
        </w:rPr>
        <w:t>【□</w:t>
      </w:r>
      <w:r>
        <w:rPr>
          <w:color w:val="000000"/>
          <w:sz w:val="24"/>
          <w:highlight w:val="none"/>
        </w:rPr>
        <w:t>银行电汇；</w:t>
      </w:r>
      <w:r>
        <w:rPr>
          <w:rFonts w:hint="eastAsia"/>
          <w:color w:val="000000"/>
          <w:sz w:val="24"/>
          <w:highlight w:val="none"/>
        </w:rPr>
        <w:t>□其他</w:t>
      </w:r>
      <w:r>
        <w:rPr>
          <w:rFonts w:hint="eastAsia"/>
          <w:color w:val="000000"/>
          <w:sz w:val="24"/>
          <w:highlight w:val="none"/>
          <w:u w:val="single"/>
        </w:rPr>
        <w:t xml:space="preserve">    </w:t>
      </w:r>
      <w:r>
        <w:rPr>
          <w:rFonts w:hint="eastAsia"/>
          <w:color w:val="000000"/>
          <w:sz w:val="24"/>
          <w:highlight w:val="none"/>
        </w:rPr>
        <w:t>】。</w:t>
      </w:r>
    </w:p>
    <w:p>
      <w:pPr>
        <w:numPr>
          <w:ilvl w:val="0"/>
          <w:numId w:val="9"/>
        </w:numPr>
        <w:tabs>
          <w:tab w:val="left" w:pos="709"/>
        </w:tabs>
        <w:spacing w:before="72" w:beforeLines="30" w:after="72" w:afterLines="30" w:line="360" w:lineRule="auto"/>
        <w:rPr>
          <w:color w:val="000000"/>
          <w:sz w:val="24"/>
          <w:highlight w:val="none"/>
        </w:rPr>
      </w:pPr>
      <w:r>
        <w:rPr>
          <w:rFonts w:hint="eastAsia"/>
          <w:color w:val="000000"/>
          <w:sz w:val="24"/>
          <w:highlight w:val="none"/>
        </w:rPr>
        <w:t>付款进度</w:t>
      </w:r>
    </w:p>
    <w:p>
      <w:pPr>
        <w:tabs>
          <w:tab w:val="left" w:pos="567"/>
        </w:tabs>
        <w:spacing w:before="72" w:beforeLines="30" w:after="72" w:afterLines="30" w:line="360" w:lineRule="auto"/>
        <w:ind w:left="567"/>
        <w:rPr>
          <w:rFonts w:asciiTheme="minorEastAsia" w:hAnsiTheme="minorEastAsia" w:eastAsiaTheme="minorEastAsia"/>
          <w:i/>
          <w:color w:val="000000"/>
          <w:sz w:val="24"/>
          <w:highlight w:val="none"/>
          <w:u w:val="single"/>
        </w:rPr>
      </w:pPr>
      <w:r>
        <w:rPr>
          <w:rFonts w:hint="eastAsia" w:asciiTheme="minorEastAsia" w:hAnsiTheme="minorEastAsia" w:eastAsiaTheme="minorEastAsia"/>
          <w:i/>
          <w:color w:val="000000"/>
          <w:sz w:val="24"/>
          <w:highlight w:val="none"/>
          <w:u w:val="single"/>
        </w:rPr>
        <w:t>选项一：直接填入付款进度</w:t>
      </w:r>
    </w:p>
    <w:p>
      <w:pPr>
        <w:tabs>
          <w:tab w:val="left" w:pos="567"/>
        </w:tabs>
        <w:spacing w:before="72" w:beforeLines="30" w:after="72" w:afterLines="30" w:line="360" w:lineRule="auto"/>
        <w:ind w:left="567"/>
        <w:rPr>
          <w:color w:val="000000"/>
          <w:sz w:val="24"/>
          <w:highlight w:val="none"/>
        </w:rPr>
      </w:pPr>
      <w:r>
        <w:rPr>
          <w:rFonts w:hint="eastAsia"/>
          <w:color w:val="000000"/>
          <w:sz w:val="24"/>
          <w:highlight w:val="none"/>
        </w:rPr>
        <w:t>付款进度为：【</w:t>
      </w:r>
      <w:r>
        <w:rPr>
          <w:rFonts w:hint="eastAsia"/>
          <w:i/>
          <w:color w:val="000000"/>
          <w:sz w:val="24"/>
          <w:highlight w:val="none"/>
          <w:u w:val="single"/>
        </w:rPr>
        <w:t xml:space="preserve"> </w:t>
      </w:r>
      <w:r>
        <w:rPr>
          <w:i/>
          <w:color w:val="000000"/>
          <w:sz w:val="24"/>
          <w:highlight w:val="none"/>
          <w:u w:val="single"/>
        </w:rPr>
        <w:t xml:space="preserve">             </w:t>
      </w:r>
      <w:r>
        <w:rPr>
          <w:rFonts w:hint="eastAsia"/>
          <w:color w:val="000000"/>
          <w:sz w:val="24"/>
          <w:highlight w:val="none"/>
        </w:rPr>
        <w:t>】</w:t>
      </w:r>
    </w:p>
    <w:p>
      <w:pPr>
        <w:tabs>
          <w:tab w:val="left" w:pos="567"/>
        </w:tabs>
        <w:spacing w:before="72" w:beforeLines="30" w:after="72" w:afterLines="30" w:line="360" w:lineRule="auto"/>
        <w:ind w:left="567"/>
        <w:rPr>
          <w:color w:val="000000"/>
          <w:sz w:val="24"/>
          <w:highlight w:val="none"/>
        </w:rPr>
      </w:pPr>
      <w:r>
        <w:rPr>
          <w:rFonts w:hint="eastAsia"/>
          <w:color w:val="000000"/>
          <w:sz w:val="24"/>
          <w:highlight w:val="none"/>
        </w:rPr>
        <w:t xml:space="preserve"> </w:t>
      </w:r>
      <w:r>
        <w:rPr>
          <w:color w:val="000000"/>
          <w:sz w:val="24"/>
          <w:highlight w:val="none"/>
        </w:rPr>
        <w:t xml:space="preserve">          </w:t>
      </w:r>
      <w:r>
        <w:rPr>
          <w:rFonts w:hint="eastAsia"/>
          <w:color w:val="000000"/>
          <w:sz w:val="24"/>
          <w:highlight w:val="none"/>
        </w:rPr>
        <w:t>【</w:t>
      </w:r>
      <w:r>
        <w:rPr>
          <w:rFonts w:hint="eastAsia"/>
          <w:i/>
          <w:color w:val="000000"/>
          <w:sz w:val="24"/>
          <w:highlight w:val="none"/>
          <w:u w:val="single"/>
        </w:rPr>
        <w:t xml:space="preserve"> </w:t>
      </w:r>
      <w:r>
        <w:rPr>
          <w:i/>
          <w:color w:val="000000"/>
          <w:sz w:val="24"/>
          <w:highlight w:val="none"/>
          <w:u w:val="single"/>
        </w:rPr>
        <w:t xml:space="preserve">             </w:t>
      </w:r>
      <w:r>
        <w:rPr>
          <w:rFonts w:hint="eastAsia"/>
          <w:color w:val="000000"/>
          <w:sz w:val="24"/>
          <w:highlight w:val="none"/>
        </w:rPr>
        <w:t>】</w:t>
      </w:r>
    </w:p>
    <w:p>
      <w:pPr>
        <w:tabs>
          <w:tab w:val="left" w:pos="567"/>
        </w:tabs>
        <w:spacing w:before="72" w:beforeLines="30" w:after="72" w:afterLines="30" w:line="360" w:lineRule="auto"/>
        <w:ind w:left="567"/>
        <w:rPr>
          <w:color w:val="000000"/>
          <w:sz w:val="24"/>
          <w:highlight w:val="none"/>
        </w:rPr>
      </w:pPr>
      <w:r>
        <w:rPr>
          <w:rFonts w:hint="eastAsia"/>
          <w:color w:val="000000"/>
          <w:sz w:val="24"/>
          <w:highlight w:val="none"/>
        </w:rPr>
        <w:t xml:space="preserve"> </w:t>
      </w:r>
      <w:r>
        <w:rPr>
          <w:color w:val="000000"/>
          <w:sz w:val="24"/>
          <w:highlight w:val="none"/>
        </w:rPr>
        <w:t xml:space="preserve">          </w:t>
      </w:r>
      <w:r>
        <w:rPr>
          <w:rFonts w:hint="eastAsia"/>
          <w:color w:val="000000"/>
          <w:sz w:val="24"/>
          <w:highlight w:val="none"/>
        </w:rPr>
        <w:t>【</w:t>
      </w:r>
      <w:r>
        <w:rPr>
          <w:rFonts w:hint="eastAsia"/>
          <w:i/>
          <w:color w:val="000000"/>
          <w:sz w:val="24"/>
          <w:highlight w:val="none"/>
          <w:u w:val="single"/>
        </w:rPr>
        <w:t xml:space="preserve"> </w:t>
      </w:r>
      <w:r>
        <w:rPr>
          <w:i/>
          <w:color w:val="000000"/>
          <w:sz w:val="24"/>
          <w:highlight w:val="none"/>
          <w:u w:val="single"/>
        </w:rPr>
        <w:t xml:space="preserve">             </w:t>
      </w:r>
      <w:r>
        <w:rPr>
          <w:rFonts w:hint="eastAsia"/>
          <w:color w:val="000000"/>
          <w:sz w:val="24"/>
          <w:highlight w:val="none"/>
        </w:rPr>
        <w:t>】</w:t>
      </w:r>
    </w:p>
    <w:p>
      <w:pPr>
        <w:tabs>
          <w:tab w:val="left" w:pos="567"/>
        </w:tabs>
        <w:spacing w:before="72" w:beforeLines="30" w:after="72" w:afterLines="30" w:line="360" w:lineRule="auto"/>
        <w:ind w:left="567"/>
        <w:rPr>
          <w:rFonts w:asciiTheme="minorEastAsia" w:hAnsiTheme="minorEastAsia" w:eastAsiaTheme="minorEastAsia"/>
          <w:i/>
          <w:color w:val="000000"/>
          <w:sz w:val="24"/>
          <w:highlight w:val="none"/>
          <w:u w:val="single"/>
        </w:rPr>
      </w:pPr>
      <w:r>
        <w:rPr>
          <w:rFonts w:hint="eastAsia" w:asciiTheme="minorEastAsia" w:hAnsiTheme="minorEastAsia" w:eastAsiaTheme="minorEastAsia"/>
          <w:i/>
          <w:color w:val="000000"/>
          <w:sz w:val="24"/>
          <w:highlight w:val="none"/>
          <w:u w:val="single"/>
        </w:rPr>
        <w:t>选项二：到货验收付款+质保金</w:t>
      </w:r>
    </w:p>
    <w:p>
      <w:pPr>
        <w:pStyle w:val="18"/>
        <w:numPr>
          <w:ilvl w:val="0"/>
          <w:numId w:val="10"/>
        </w:numPr>
        <w:tabs>
          <w:tab w:val="left" w:pos="567"/>
        </w:tabs>
        <w:spacing w:before="72" w:beforeLines="30" w:after="72" w:afterLines="30" w:line="360" w:lineRule="auto"/>
        <w:ind w:firstLineChars="0"/>
        <w:rPr>
          <w:sz w:val="24"/>
          <w:highlight w:val="none"/>
        </w:rPr>
      </w:pPr>
      <w:r>
        <w:rPr>
          <w:rFonts w:hint="eastAsia" w:asciiTheme="minorEastAsia" w:hAnsiTheme="minorEastAsia" w:eastAsiaTheme="minorEastAsia"/>
          <w:sz w:val="24"/>
          <w:highlight w:val="none"/>
        </w:rPr>
        <w:t>卖方在合同规定的期限内将货物运至交货地点，买方在收到货物并签发验收证明后</w:t>
      </w:r>
      <w:r>
        <w:rPr>
          <w:rFonts w:hint="eastAsia"/>
          <w:sz w:val="24"/>
          <w:highlight w:val="none"/>
        </w:rPr>
        <w:t>【</w:t>
      </w:r>
      <w:r>
        <w:rPr>
          <w:rFonts w:hint="eastAsia"/>
          <w:i/>
          <w:sz w:val="24"/>
          <w:highlight w:val="none"/>
        </w:rPr>
        <w:t>填入天数</w:t>
      </w:r>
      <w:r>
        <w:rPr>
          <w:rFonts w:hint="eastAsia"/>
          <w:sz w:val="24"/>
          <w:highlight w:val="none"/>
        </w:rPr>
        <w:t>】</w:t>
      </w:r>
      <w:r>
        <w:rPr>
          <w:rFonts w:hAnsi="宋体"/>
          <w:sz w:val="24"/>
          <w:highlight w:val="none"/>
        </w:rPr>
        <w:t>日内</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买方</w:t>
      </w:r>
      <w:r>
        <w:rPr>
          <w:rFonts w:asciiTheme="minorEastAsia" w:hAnsiTheme="minorEastAsia" w:eastAsiaTheme="minorEastAsia"/>
          <w:sz w:val="24"/>
          <w:highlight w:val="none"/>
        </w:rPr>
        <w:t>支付</w:t>
      </w:r>
      <w:r>
        <w:rPr>
          <w:rFonts w:hint="eastAsia" w:asciiTheme="minorEastAsia" w:hAnsiTheme="minorEastAsia" w:eastAsiaTheme="minorEastAsia"/>
          <w:sz w:val="24"/>
          <w:highlight w:val="none"/>
        </w:rPr>
        <w:t>合同</w:t>
      </w:r>
      <w:r>
        <w:rPr>
          <w:rFonts w:asciiTheme="minorEastAsia" w:hAnsiTheme="minorEastAsia" w:eastAsiaTheme="minorEastAsia"/>
          <w:sz w:val="24"/>
          <w:highlight w:val="none"/>
        </w:rPr>
        <w:t>总价的</w:t>
      </w:r>
      <w:r>
        <w:rPr>
          <w:rFonts w:hint="eastAsia"/>
          <w:sz w:val="24"/>
          <w:highlight w:val="none"/>
        </w:rPr>
        <w:t>【</w:t>
      </w:r>
      <w:r>
        <w:rPr>
          <w:rFonts w:hint="eastAsia"/>
          <w:i/>
          <w:sz w:val="24"/>
          <w:highlight w:val="none"/>
        </w:rPr>
        <w:t>填入百分比</w:t>
      </w:r>
      <w:r>
        <w:rPr>
          <w:rFonts w:hint="eastAsia"/>
          <w:sz w:val="24"/>
          <w:highlight w:val="none"/>
        </w:rPr>
        <w:t>】</w:t>
      </w:r>
      <w:r>
        <w:rPr>
          <w:rFonts w:hAnsi="宋体"/>
          <w:sz w:val="24"/>
          <w:highlight w:val="none"/>
        </w:rPr>
        <w:t>，即</w:t>
      </w:r>
      <w:r>
        <w:rPr>
          <w:rFonts w:hint="eastAsia"/>
          <w:sz w:val="24"/>
          <w:highlight w:val="none"/>
        </w:rPr>
        <w:t>【</w:t>
      </w:r>
      <w:r>
        <w:rPr>
          <w:rFonts w:hint="eastAsia"/>
          <w:i/>
          <w:sz w:val="24"/>
          <w:highlight w:val="none"/>
        </w:rPr>
        <w:t>填入币种英文简写，如</w:t>
      </w:r>
      <w:r>
        <w:rPr>
          <w:i/>
          <w:sz w:val="24"/>
          <w:highlight w:val="none"/>
        </w:rPr>
        <w:t>RMB</w:t>
      </w:r>
      <w:r>
        <w:rPr>
          <w:rFonts w:hint="eastAsia"/>
          <w:sz w:val="24"/>
          <w:highlight w:val="none"/>
        </w:rPr>
        <w:t>】【</w:t>
      </w:r>
      <w:r>
        <w:rPr>
          <w:rFonts w:hint="eastAsia"/>
          <w:i/>
          <w:sz w:val="24"/>
          <w:highlight w:val="none"/>
        </w:rPr>
        <w:t>填入小写金额</w:t>
      </w:r>
      <w:r>
        <w:rPr>
          <w:rFonts w:hint="eastAsia"/>
          <w:sz w:val="24"/>
          <w:highlight w:val="none"/>
        </w:rPr>
        <w:t>】（大写：【</w:t>
      </w:r>
      <w:r>
        <w:rPr>
          <w:rFonts w:hint="eastAsia"/>
          <w:i/>
          <w:sz w:val="24"/>
          <w:highlight w:val="none"/>
        </w:rPr>
        <w:t>填入币种名称，如人民币</w:t>
      </w:r>
      <w:r>
        <w:rPr>
          <w:rFonts w:hint="eastAsia"/>
          <w:sz w:val="24"/>
          <w:highlight w:val="none"/>
        </w:rPr>
        <w:t>】【</w:t>
      </w:r>
      <w:r>
        <w:rPr>
          <w:rFonts w:hint="eastAsia"/>
          <w:i/>
          <w:sz w:val="24"/>
          <w:highlight w:val="none"/>
        </w:rPr>
        <w:t>填入大写金额</w:t>
      </w:r>
      <w:r>
        <w:rPr>
          <w:rFonts w:hint="eastAsia"/>
          <w:sz w:val="24"/>
          <w:highlight w:val="none"/>
        </w:rPr>
        <w:t>】）</w:t>
      </w:r>
      <w:r>
        <w:rPr>
          <w:rFonts w:hAnsi="宋体"/>
          <w:sz w:val="24"/>
          <w:highlight w:val="none"/>
        </w:rPr>
        <w:t>。</w:t>
      </w:r>
    </w:p>
    <w:p>
      <w:pPr>
        <w:pStyle w:val="18"/>
        <w:numPr>
          <w:ilvl w:val="0"/>
          <w:numId w:val="10"/>
        </w:numPr>
        <w:tabs>
          <w:tab w:val="left" w:pos="567"/>
        </w:tabs>
        <w:spacing w:before="72" w:beforeLines="30" w:after="72" w:afterLines="30" w:line="360" w:lineRule="auto"/>
        <w:ind w:firstLineChars="0"/>
        <w:rPr>
          <w:i/>
          <w:sz w:val="24"/>
          <w:highlight w:val="none"/>
        </w:rPr>
      </w:pPr>
      <w:r>
        <w:rPr>
          <w:sz w:val="24"/>
          <w:highlight w:val="none"/>
        </w:rPr>
        <w:t>合同总价的</w:t>
      </w:r>
      <w:r>
        <w:rPr>
          <w:rFonts w:hint="eastAsia"/>
          <w:sz w:val="24"/>
          <w:highlight w:val="none"/>
        </w:rPr>
        <w:t>【</w:t>
      </w:r>
      <w:r>
        <w:rPr>
          <w:rFonts w:hint="eastAsia"/>
          <w:i/>
          <w:sz w:val="24"/>
          <w:highlight w:val="none"/>
        </w:rPr>
        <w:t>填入百分比</w:t>
      </w:r>
      <w:r>
        <w:rPr>
          <w:rFonts w:hint="eastAsia"/>
          <w:sz w:val="24"/>
          <w:highlight w:val="none"/>
        </w:rPr>
        <w:t>】，</w:t>
      </w:r>
      <w:r>
        <w:rPr>
          <w:sz w:val="24"/>
          <w:highlight w:val="none"/>
        </w:rPr>
        <w:t>即</w:t>
      </w:r>
      <w:r>
        <w:rPr>
          <w:rFonts w:hint="eastAsia"/>
          <w:sz w:val="24"/>
          <w:highlight w:val="none"/>
        </w:rPr>
        <w:t>【</w:t>
      </w:r>
      <w:r>
        <w:rPr>
          <w:rFonts w:hint="eastAsia"/>
          <w:i/>
          <w:sz w:val="24"/>
          <w:highlight w:val="none"/>
        </w:rPr>
        <w:t>填入币种英文简写，如</w:t>
      </w:r>
      <w:r>
        <w:rPr>
          <w:i/>
          <w:sz w:val="24"/>
          <w:highlight w:val="none"/>
        </w:rPr>
        <w:t>RMB</w:t>
      </w:r>
      <w:r>
        <w:rPr>
          <w:rFonts w:hint="eastAsia"/>
          <w:sz w:val="24"/>
          <w:highlight w:val="none"/>
        </w:rPr>
        <w:t>】【</w:t>
      </w:r>
      <w:r>
        <w:rPr>
          <w:rFonts w:hint="eastAsia"/>
          <w:i/>
          <w:sz w:val="24"/>
          <w:highlight w:val="none"/>
        </w:rPr>
        <w:t>填入小写金额</w:t>
      </w:r>
      <w:r>
        <w:rPr>
          <w:rFonts w:hint="eastAsia"/>
          <w:sz w:val="24"/>
          <w:highlight w:val="none"/>
        </w:rPr>
        <w:t>】（大写：【</w:t>
      </w:r>
      <w:r>
        <w:rPr>
          <w:rFonts w:hint="eastAsia"/>
          <w:i/>
          <w:sz w:val="24"/>
          <w:highlight w:val="none"/>
        </w:rPr>
        <w:t>填入币种名称，如人民币</w:t>
      </w:r>
      <w:r>
        <w:rPr>
          <w:rFonts w:hint="eastAsia"/>
          <w:sz w:val="24"/>
          <w:highlight w:val="none"/>
        </w:rPr>
        <w:t>】【</w:t>
      </w:r>
      <w:r>
        <w:rPr>
          <w:rFonts w:hint="eastAsia"/>
          <w:i/>
          <w:sz w:val="24"/>
          <w:highlight w:val="none"/>
        </w:rPr>
        <w:t>填入大写金额</w:t>
      </w:r>
      <w:r>
        <w:rPr>
          <w:rFonts w:hint="eastAsia"/>
          <w:sz w:val="24"/>
          <w:highlight w:val="none"/>
        </w:rPr>
        <w:t>】）</w:t>
      </w:r>
      <w:r>
        <w:rPr>
          <w:sz w:val="24"/>
          <w:highlight w:val="none"/>
        </w:rPr>
        <w:t>作为质保金</w:t>
      </w:r>
      <w:r>
        <w:rPr>
          <w:rFonts w:hint="eastAsia"/>
          <w:sz w:val="24"/>
          <w:highlight w:val="none"/>
        </w:rPr>
        <w:t>。货物质保期结束且卖方收到买方签发的货物最终接受证书后【</w:t>
      </w:r>
      <w:r>
        <w:rPr>
          <w:rFonts w:hint="eastAsia"/>
          <w:i/>
          <w:sz w:val="24"/>
          <w:highlight w:val="none"/>
        </w:rPr>
        <w:t>填入天数</w:t>
      </w:r>
      <w:r>
        <w:rPr>
          <w:rFonts w:hint="eastAsia"/>
          <w:sz w:val="24"/>
          <w:highlight w:val="none"/>
        </w:rPr>
        <w:t>】日内，买方支付该等质保金。</w:t>
      </w:r>
    </w:p>
    <w:p>
      <w:pPr>
        <w:tabs>
          <w:tab w:val="left" w:pos="567"/>
        </w:tabs>
        <w:spacing w:before="72" w:beforeLines="30" w:after="72" w:afterLines="30" w:line="360" w:lineRule="auto"/>
        <w:ind w:left="567"/>
        <w:rPr>
          <w:i/>
          <w:color w:val="000000"/>
          <w:sz w:val="24"/>
          <w:highlight w:val="none"/>
          <w:u w:val="single"/>
        </w:rPr>
      </w:pPr>
      <w:r>
        <w:rPr>
          <w:rFonts w:hint="eastAsia"/>
          <w:i/>
          <w:color w:val="000000"/>
          <w:sz w:val="24"/>
          <w:highlight w:val="none"/>
          <w:u w:val="single"/>
        </w:rPr>
        <w:t>选项三：到货验收后一次性付清款项</w:t>
      </w:r>
    </w:p>
    <w:p>
      <w:pPr>
        <w:tabs>
          <w:tab w:val="left" w:pos="567"/>
        </w:tabs>
        <w:spacing w:before="72" w:beforeLines="30" w:after="72" w:afterLines="30" w:line="360" w:lineRule="auto"/>
        <w:ind w:left="567"/>
        <w:rPr>
          <w:rFonts w:asciiTheme="minorEastAsia" w:hAnsiTheme="minorEastAsia" w:eastAsiaTheme="minorEastAsia"/>
          <w:color w:val="000000"/>
          <w:sz w:val="24"/>
          <w:highlight w:val="none"/>
        </w:rPr>
      </w:pPr>
      <w:r>
        <w:rPr>
          <w:rFonts w:hint="eastAsia" w:asciiTheme="minorEastAsia" w:hAnsiTheme="minorEastAsia" w:eastAsiaTheme="minorEastAsia"/>
          <w:sz w:val="24"/>
          <w:highlight w:val="none"/>
        </w:rPr>
        <w:t>卖方在合同规定的期限内将货物运至交货地点，买方在收到货物并签发验收证明后</w:t>
      </w:r>
      <w:r>
        <w:rPr>
          <w:rFonts w:hint="eastAsia"/>
          <w:sz w:val="24"/>
          <w:highlight w:val="none"/>
        </w:rPr>
        <w:t>【</w:t>
      </w:r>
      <w:r>
        <w:rPr>
          <w:rFonts w:hint="eastAsia"/>
          <w:i/>
          <w:sz w:val="24"/>
          <w:highlight w:val="none"/>
        </w:rPr>
        <w:t>填入天数</w:t>
      </w:r>
      <w:r>
        <w:rPr>
          <w:rFonts w:hint="eastAsia"/>
          <w:sz w:val="24"/>
          <w:highlight w:val="none"/>
        </w:rPr>
        <w:t>】</w:t>
      </w:r>
      <w:r>
        <w:rPr>
          <w:rFonts w:hAnsi="宋体"/>
          <w:sz w:val="24"/>
          <w:highlight w:val="none"/>
        </w:rPr>
        <w:t>日内</w:t>
      </w:r>
      <w:r>
        <w:rPr>
          <w:rFonts w:hint="eastAsia" w:asciiTheme="minorEastAsia" w:hAnsiTheme="minorEastAsia" w:eastAsiaTheme="minorEastAsia"/>
          <w:color w:val="000000"/>
          <w:sz w:val="24"/>
          <w:highlight w:val="none"/>
        </w:rPr>
        <w:t>，买方一次性付清全部合同价款。</w:t>
      </w:r>
    </w:p>
    <w:p>
      <w:pPr>
        <w:numPr>
          <w:ilvl w:val="0"/>
          <w:numId w:val="9"/>
        </w:numPr>
        <w:tabs>
          <w:tab w:val="left" w:pos="567"/>
        </w:tabs>
        <w:spacing w:before="72" w:beforeLines="30" w:after="72" w:afterLines="30" w:line="360" w:lineRule="auto"/>
        <w:rPr>
          <w:color w:val="000000"/>
          <w:sz w:val="24"/>
          <w:highlight w:val="none"/>
        </w:rPr>
      </w:pPr>
      <w:bookmarkStart w:id="37" w:name="OLE_LINK92"/>
      <w:bookmarkStart w:id="38" w:name="OLE_LINK91"/>
      <w:r>
        <w:rPr>
          <w:rFonts w:hint="eastAsia"/>
          <w:color w:val="000000"/>
          <w:sz w:val="24"/>
          <w:highlight w:val="none"/>
        </w:rPr>
        <w:t>卖方应根据合同规定的付款条件和进度，提前向买方开具符合中国法律法规要求的发票并提供相关支持文件。</w:t>
      </w:r>
      <w:r>
        <w:rPr>
          <w:rFonts w:hint="eastAsia"/>
          <w:sz w:val="24"/>
          <w:highlight w:val="none"/>
        </w:rPr>
        <w:t>如乙方提供的服务属于增值税应税范围，乙方应为甲方开具增值税专用发票。</w:t>
      </w:r>
      <w:r>
        <w:rPr>
          <w:rFonts w:hint="eastAsia" w:cs="新宋体-18030"/>
          <w:sz w:val="24"/>
          <w:highlight w:val="none"/>
        </w:rPr>
        <w:t>发票</w:t>
      </w:r>
      <w:r>
        <w:rPr>
          <w:rFonts w:hint="eastAsia"/>
          <w:sz w:val="24"/>
          <w:highlight w:val="none"/>
        </w:rPr>
        <w:t>应注明合同编号且抬头应为：【</w:t>
      </w:r>
      <w:r>
        <w:rPr>
          <w:rFonts w:hint="eastAsia"/>
          <w:i/>
          <w:sz w:val="24"/>
          <w:highlight w:val="none"/>
        </w:rPr>
        <w:t>填入发票编号及抬头</w:t>
      </w:r>
      <w:r>
        <w:rPr>
          <w:rFonts w:hint="eastAsia"/>
          <w:sz w:val="24"/>
          <w:highlight w:val="none"/>
        </w:rPr>
        <w:t>】。</w:t>
      </w:r>
      <w:r>
        <w:rPr>
          <w:rFonts w:hint="eastAsia"/>
          <w:color w:val="000000"/>
          <w:sz w:val="24"/>
          <w:highlight w:val="none"/>
        </w:rPr>
        <w:t>如卖方未开具上述发票并提供相关支持文件，买方有权拒付相关合同价款。如果买方对卖方出具的该等发票和提供的相关支持文件无异议，应于收到该等发票和相关支持文件之日起【</w:t>
      </w:r>
      <w:r>
        <w:rPr>
          <w:rFonts w:hint="eastAsia"/>
          <w:i/>
          <w:color w:val="000000"/>
          <w:sz w:val="24"/>
          <w:highlight w:val="none"/>
        </w:rPr>
        <w:t>填入天数</w:t>
      </w:r>
      <w:r>
        <w:rPr>
          <w:rFonts w:hint="eastAsia"/>
          <w:color w:val="000000"/>
          <w:sz w:val="24"/>
          <w:highlight w:val="none"/>
        </w:rPr>
        <w:t>】日内向卖方付款。</w:t>
      </w:r>
      <w:bookmarkEnd w:id="37"/>
      <w:bookmarkEnd w:id="38"/>
      <w:r>
        <w:rPr>
          <w:rFonts w:hint="eastAsia"/>
          <w:sz w:val="24"/>
          <w:highlight w:val="none"/>
        </w:rPr>
        <w:t>如甲方对乙方开具的该等发票和相关支持文件有异议，应于收到发票及相关支持文件后【</w:t>
      </w:r>
      <w:r>
        <w:rPr>
          <w:rFonts w:hint="eastAsia"/>
          <w:i/>
          <w:sz w:val="24"/>
          <w:highlight w:val="none"/>
        </w:rPr>
        <w:t>填入日期，如十（10）</w:t>
      </w:r>
      <w:r>
        <w:rPr>
          <w:rFonts w:hint="eastAsia"/>
          <w:sz w:val="24"/>
          <w:highlight w:val="none"/>
        </w:rPr>
        <w:t>】日内通知乙方，乙方应重新开具发票和相关支持文件，买方应于收到卖方重新开具的发票和相关支持文件之日起</w:t>
      </w:r>
      <w:r>
        <w:rPr>
          <w:rFonts w:hint="eastAsia"/>
          <w:color w:val="000000"/>
          <w:sz w:val="24"/>
          <w:highlight w:val="none"/>
        </w:rPr>
        <w:t>【</w:t>
      </w:r>
      <w:r>
        <w:rPr>
          <w:rFonts w:hint="eastAsia"/>
          <w:i/>
          <w:color w:val="000000"/>
          <w:sz w:val="24"/>
          <w:highlight w:val="none"/>
        </w:rPr>
        <w:t>填入天数</w:t>
      </w:r>
      <w:r>
        <w:rPr>
          <w:rFonts w:hint="eastAsia"/>
          <w:color w:val="000000"/>
          <w:sz w:val="24"/>
          <w:highlight w:val="none"/>
        </w:rPr>
        <w:t>】日内向卖方付款。</w:t>
      </w:r>
    </w:p>
    <w:p>
      <w:pPr>
        <w:numPr>
          <w:ilvl w:val="0"/>
          <w:numId w:val="9"/>
        </w:numPr>
        <w:tabs>
          <w:tab w:val="left" w:pos="567"/>
        </w:tabs>
        <w:spacing w:before="72" w:beforeLines="30" w:after="72" w:afterLines="30" w:line="360" w:lineRule="auto"/>
        <w:rPr>
          <w:sz w:val="24"/>
          <w:highlight w:val="none"/>
        </w:rPr>
      </w:pPr>
      <w:r>
        <w:rPr>
          <w:rFonts w:hint="eastAsia" w:hAnsi="宋体"/>
          <w:sz w:val="24"/>
          <w:highlight w:val="none"/>
        </w:rPr>
        <w:t>卖方</w:t>
      </w:r>
      <w:r>
        <w:rPr>
          <w:rFonts w:hAnsi="宋体"/>
          <w:sz w:val="24"/>
          <w:highlight w:val="none"/>
        </w:rPr>
        <w:t>账户</w:t>
      </w:r>
    </w:p>
    <w:p>
      <w:pPr>
        <w:tabs>
          <w:tab w:val="left" w:pos="567"/>
          <w:tab w:val="left" w:pos="1418"/>
        </w:tabs>
        <w:spacing w:before="72" w:beforeLines="30" w:after="72" w:afterLines="30" w:line="360" w:lineRule="auto"/>
        <w:ind w:left="565" w:leftChars="269"/>
        <w:rPr>
          <w:sz w:val="24"/>
          <w:highlight w:val="none"/>
        </w:rPr>
      </w:pPr>
      <w:r>
        <w:rPr>
          <w:sz w:val="24"/>
          <w:highlight w:val="none"/>
        </w:rPr>
        <w:t>卖方应通过如下账户收取合同总价及其它款项，并通过该账户向买方支付与合同有关的任何款项：</w:t>
      </w:r>
    </w:p>
    <w:p>
      <w:pPr>
        <w:tabs>
          <w:tab w:val="left" w:pos="567"/>
          <w:tab w:val="left" w:pos="1418"/>
        </w:tabs>
        <w:spacing w:before="72" w:beforeLines="30" w:after="72" w:afterLines="30" w:line="360" w:lineRule="auto"/>
        <w:ind w:left="565" w:leftChars="269" w:right="3916" w:rightChars="1865"/>
        <w:rPr>
          <w:sz w:val="24"/>
          <w:highlight w:val="none"/>
        </w:rPr>
      </w:pPr>
      <w:r>
        <w:rPr>
          <w:sz w:val="24"/>
          <w:highlight w:val="none"/>
        </w:rPr>
        <w:t>卖方名称：</w:t>
      </w:r>
      <w:r>
        <w:rPr>
          <w:rFonts w:hint="eastAsia"/>
          <w:sz w:val="24"/>
          <w:highlight w:val="none"/>
          <w:u w:val="single"/>
        </w:rPr>
        <w:t xml:space="preserve">                            </w:t>
      </w:r>
      <w:r>
        <w:rPr>
          <w:sz w:val="24"/>
          <w:highlight w:val="none"/>
        </w:rPr>
        <w:t xml:space="preserve"> </w:t>
      </w:r>
    </w:p>
    <w:p>
      <w:pPr>
        <w:tabs>
          <w:tab w:val="left" w:pos="567"/>
          <w:tab w:val="left" w:pos="1418"/>
        </w:tabs>
        <w:spacing w:before="72" w:beforeLines="30" w:after="72" w:afterLines="30" w:line="360" w:lineRule="auto"/>
        <w:ind w:left="565" w:leftChars="269" w:right="3916" w:rightChars="1865"/>
        <w:rPr>
          <w:sz w:val="24"/>
          <w:highlight w:val="none"/>
        </w:rPr>
      </w:pPr>
      <w:r>
        <w:rPr>
          <w:sz w:val="24"/>
          <w:highlight w:val="none"/>
        </w:rPr>
        <w:t>账号：</w:t>
      </w:r>
      <w:r>
        <w:rPr>
          <w:rFonts w:hint="eastAsia"/>
          <w:sz w:val="24"/>
          <w:highlight w:val="none"/>
          <w:u w:val="single"/>
        </w:rPr>
        <w:t xml:space="preserve">                                </w:t>
      </w:r>
    </w:p>
    <w:p>
      <w:pPr>
        <w:tabs>
          <w:tab w:val="left" w:pos="567"/>
          <w:tab w:val="left" w:pos="1418"/>
        </w:tabs>
        <w:spacing w:before="72" w:beforeLines="30" w:after="72" w:afterLines="30" w:line="360" w:lineRule="auto"/>
        <w:ind w:left="565" w:leftChars="269" w:right="3916" w:rightChars="1865"/>
        <w:rPr>
          <w:sz w:val="24"/>
          <w:highlight w:val="none"/>
        </w:rPr>
      </w:pPr>
      <w:r>
        <w:rPr>
          <w:sz w:val="24"/>
          <w:highlight w:val="none"/>
        </w:rPr>
        <w:t>开户行名称：</w:t>
      </w:r>
      <w:r>
        <w:rPr>
          <w:rFonts w:hint="eastAsia"/>
          <w:sz w:val="24"/>
          <w:highlight w:val="none"/>
          <w:u w:val="single"/>
        </w:rPr>
        <w:t xml:space="preserve">                          </w:t>
      </w:r>
      <w:r>
        <w:rPr>
          <w:sz w:val="24"/>
          <w:highlight w:val="none"/>
        </w:rPr>
        <w:t xml:space="preserve"> </w:t>
      </w:r>
    </w:p>
    <w:p>
      <w:pPr>
        <w:tabs>
          <w:tab w:val="left" w:pos="567"/>
          <w:tab w:val="left" w:pos="1418"/>
        </w:tabs>
        <w:spacing w:before="72" w:beforeLines="30" w:after="72" w:afterLines="30" w:line="360" w:lineRule="auto"/>
        <w:ind w:left="565" w:leftChars="269" w:right="3916" w:rightChars="1865"/>
        <w:rPr>
          <w:sz w:val="24"/>
          <w:highlight w:val="none"/>
        </w:rPr>
      </w:pPr>
      <w:r>
        <w:rPr>
          <w:sz w:val="24"/>
          <w:highlight w:val="none"/>
        </w:rPr>
        <w:t>开户行地址：</w:t>
      </w:r>
      <w:bookmarkStart w:id="39" w:name="OLE_LINK45"/>
      <w:bookmarkStart w:id="40" w:name="OLE_LINK46"/>
      <w:r>
        <w:rPr>
          <w:rFonts w:hint="eastAsia"/>
          <w:sz w:val="24"/>
          <w:highlight w:val="none"/>
          <w:u w:val="single"/>
        </w:rPr>
        <w:t xml:space="preserve">                          </w:t>
      </w:r>
      <w:r>
        <w:rPr>
          <w:sz w:val="24"/>
          <w:highlight w:val="none"/>
        </w:rPr>
        <w:t xml:space="preserve"> </w:t>
      </w:r>
      <w:bookmarkEnd w:id="39"/>
      <w:bookmarkEnd w:id="40"/>
    </w:p>
    <w:p>
      <w:pPr>
        <w:tabs>
          <w:tab w:val="left" w:pos="567"/>
          <w:tab w:val="left" w:pos="1418"/>
        </w:tabs>
        <w:spacing w:before="72" w:beforeLines="30" w:after="72" w:afterLines="30" w:line="360" w:lineRule="auto"/>
        <w:ind w:left="565" w:leftChars="269" w:right="3916" w:rightChars="1865"/>
        <w:rPr>
          <w:sz w:val="24"/>
          <w:highlight w:val="none"/>
        </w:rPr>
      </w:pPr>
      <w:r>
        <w:rPr>
          <w:sz w:val="24"/>
          <w:highlight w:val="none"/>
        </w:rPr>
        <w:t>邮政编码：</w:t>
      </w:r>
      <w:bookmarkStart w:id="41" w:name="OLE_LINK53"/>
      <w:bookmarkStart w:id="42" w:name="OLE_LINK52"/>
      <w:r>
        <w:rPr>
          <w:sz w:val="24"/>
          <w:highlight w:val="none"/>
          <w:u w:val="single"/>
        </w:rPr>
        <w:t xml:space="preserve">                          </w:t>
      </w:r>
      <w:bookmarkEnd w:id="41"/>
      <w:bookmarkEnd w:id="42"/>
      <w:r>
        <w:rPr>
          <w:sz w:val="24"/>
          <w:highlight w:val="none"/>
        </w:rPr>
        <w:t xml:space="preserve"> </w:t>
      </w:r>
    </w:p>
    <w:p>
      <w:pPr>
        <w:pStyle w:val="9"/>
        <w:numPr>
          <w:ilvl w:val="0"/>
          <w:numId w:val="6"/>
        </w:numPr>
        <w:spacing w:before="72" w:beforeLines="30" w:after="72" w:afterLines="30" w:line="360" w:lineRule="auto"/>
        <w:ind w:left="851" w:hanging="851"/>
        <w:jc w:val="left"/>
        <w:rPr>
          <w:sz w:val="24"/>
          <w:szCs w:val="24"/>
          <w:highlight w:val="none"/>
        </w:rPr>
      </w:pPr>
      <w:bookmarkStart w:id="43" w:name="_Toc306354310"/>
      <w:r>
        <w:rPr>
          <w:rFonts w:hint="eastAsia"/>
          <w:sz w:val="24"/>
          <w:szCs w:val="24"/>
          <w:highlight w:val="none"/>
        </w:rPr>
        <w:t>货物交付</w:t>
      </w:r>
      <w:bookmarkEnd w:id="43"/>
    </w:p>
    <w:p>
      <w:pPr>
        <w:numPr>
          <w:ilvl w:val="0"/>
          <w:numId w:val="11"/>
        </w:numPr>
        <w:tabs>
          <w:tab w:val="left" w:pos="567"/>
          <w:tab w:val="clear" w:pos="562"/>
        </w:tabs>
        <w:spacing w:before="72" w:beforeLines="30" w:after="72" w:afterLines="30" w:line="360" w:lineRule="auto"/>
        <w:ind w:left="567" w:hanging="567"/>
        <w:outlineLvl w:val="0"/>
        <w:rPr>
          <w:b/>
          <w:sz w:val="24"/>
          <w:highlight w:val="none"/>
        </w:rPr>
      </w:pPr>
      <w:r>
        <w:rPr>
          <w:rFonts w:hAnsi="宋体"/>
          <w:b/>
          <w:sz w:val="24"/>
          <w:highlight w:val="none"/>
        </w:rPr>
        <w:t>交货日期</w:t>
      </w:r>
    </w:p>
    <w:p>
      <w:pPr>
        <w:numPr>
          <w:ilvl w:val="0"/>
          <w:numId w:val="12"/>
        </w:numPr>
        <w:tabs>
          <w:tab w:val="left" w:pos="993"/>
        </w:tabs>
        <w:spacing w:before="72" w:beforeLines="30" w:after="72" w:afterLines="30" w:line="360" w:lineRule="auto"/>
        <w:ind w:left="1047" w:leftChars="268" w:hanging="484" w:hangingChars="202"/>
        <w:outlineLvl w:val="0"/>
        <w:rPr>
          <w:sz w:val="24"/>
          <w:highlight w:val="none"/>
        </w:rPr>
      </w:pPr>
      <w:r>
        <w:rPr>
          <w:rFonts w:hAnsi="宋体"/>
          <w:sz w:val="24"/>
          <w:highlight w:val="none"/>
        </w:rPr>
        <w:t>卖方应在</w:t>
      </w:r>
      <w:r>
        <w:rPr>
          <w:rFonts w:hint="eastAsia"/>
          <w:sz w:val="24"/>
          <w:highlight w:val="none"/>
        </w:rPr>
        <w:t>【</w:t>
      </w:r>
      <w:r>
        <w:rPr>
          <w:rFonts w:hint="eastAsia"/>
          <w:i/>
          <w:sz w:val="24"/>
          <w:highlight w:val="none"/>
        </w:rPr>
        <w:t>填入交货日期</w:t>
      </w:r>
      <w:r>
        <w:rPr>
          <w:rFonts w:hint="eastAsia"/>
          <w:sz w:val="24"/>
          <w:highlight w:val="none"/>
        </w:rPr>
        <w:t>】</w:t>
      </w:r>
      <w:r>
        <w:rPr>
          <w:rFonts w:ascii="宋体" w:hAnsi="宋体"/>
          <w:sz w:val="24"/>
          <w:highlight w:val="none"/>
        </w:rPr>
        <w:t>（“交货日期”）</w:t>
      </w:r>
      <w:r>
        <w:rPr>
          <w:rFonts w:hAnsi="宋体"/>
          <w:sz w:val="24"/>
          <w:highlight w:val="none"/>
        </w:rPr>
        <w:t>前完成货物的交付。</w:t>
      </w:r>
    </w:p>
    <w:p>
      <w:pPr>
        <w:numPr>
          <w:ilvl w:val="0"/>
          <w:numId w:val="12"/>
        </w:numPr>
        <w:tabs>
          <w:tab w:val="left" w:pos="993"/>
        </w:tabs>
        <w:spacing w:before="72" w:beforeLines="30" w:after="72" w:afterLines="30" w:line="360" w:lineRule="auto"/>
        <w:ind w:left="1047" w:leftChars="268" w:hanging="484" w:hangingChars="202"/>
        <w:outlineLvl w:val="0"/>
        <w:rPr>
          <w:sz w:val="24"/>
          <w:highlight w:val="none"/>
        </w:rPr>
      </w:pPr>
      <w:r>
        <w:rPr>
          <w:rFonts w:hAnsi="宋体"/>
          <w:sz w:val="24"/>
          <w:highlight w:val="none"/>
        </w:rPr>
        <w:t>买方</w:t>
      </w:r>
      <w:r>
        <w:rPr>
          <w:rFonts w:hint="eastAsia" w:hAnsi="宋体"/>
          <w:sz w:val="24"/>
          <w:highlight w:val="none"/>
        </w:rPr>
        <w:t>有权根据自身</w:t>
      </w:r>
      <w:r>
        <w:rPr>
          <w:rFonts w:hAnsi="宋体"/>
          <w:sz w:val="24"/>
          <w:highlight w:val="none"/>
        </w:rPr>
        <w:t>情况</w:t>
      </w:r>
      <w:r>
        <w:rPr>
          <w:rFonts w:hint="eastAsia" w:hAnsi="宋体"/>
          <w:sz w:val="24"/>
          <w:highlight w:val="none"/>
        </w:rPr>
        <w:t>要求卖方延期交付货物，但买方应在交付日期前</w:t>
      </w:r>
      <w:bookmarkStart w:id="44" w:name="OLE_LINK56"/>
      <w:bookmarkStart w:id="45" w:name="OLE_LINK57"/>
      <w:r>
        <w:rPr>
          <w:rFonts w:hint="eastAsia" w:hAnsi="宋体"/>
          <w:sz w:val="24"/>
          <w:highlight w:val="none"/>
        </w:rPr>
        <w:t>【</w:t>
      </w:r>
      <w:r>
        <w:rPr>
          <w:rFonts w:hint="eastAsia" w:hAnsi="宋体"/>
          <w:i/>
          <w:sz w:val="24"/>
          <w:highlight w:val="none"/>
        </w:rPr>
        <w:t>填入天数</w:t>
      </w:r>
      <w:r>
        <w:rPr>
          <w:rFonts w:hint="eastAsia" w:hAnsi="宋体"/>
          <w:sz w:val="24"/>
          <w:highlight w:val="none"/>
        </w:rPr>
        <w:t>】</w:t>
      </w:r>
      <w:bookmarkEnd w:id="44"/>
      <w:bookmarkEnd w:id="45"/>
      <w:r>
        <w:rPr>
          <w:rFonts w:hint="eastAsia" w:hAnsi="宋体"/>
          <w:sz w:val="24"/>
          <w:highlight w:val="none"/>
        </w:rPr>
        <w:t>日以书面方式</w:t>
      </w:r>
      <w:r>
        <w:rPr>
          <w:rFonts w:hAnsi="宋体"/>
          <w:sz w:val="24"/>
          <w:highlight w:val="none"/>
        </w:rPr>
        <w:t>通知卖方。</w:t>
      </w:r>
      <w:r>
        <w:rPr>
          <w:sz w:val="24"/>
          <w:highlight w:val="none"/>
        </w:rPr>
        <w:t>除非买方调整交货日期</w:t>
      </w:r>
      <w:r>
        <w:rPr>
          <w:rFonts w:hint="eastAsia"/>
          <w:sz w:val="24"/>
          <w:highlight w:val="none"/>
        </w:rPr>
        <w:t>实质性</w:t>
      </w:r>
      <w:r>
        <w:rPr>
          <w:sz w:val="24"/>
          <w:highlight w:val="none"/>
        </w:rPr>
        <w:t>加重卖方义务，否则卖方不得另行向买方主张增加费用。</w:t>
      </w:r>
    </w:p>
    <w:p>
      <w:pPr>
        <w:numPr>
          <w:ilvl w:val="0"/>
          <w:numId w:val="11"/>
        </w:numPr>
        <w:tabs>
          <w:tab w:val="left" w:pos="567"/>
          <w:tab w:val="left" w:pos="709"/>
          <w:tab w:val="clear" w:pos="562"/>
        </w:tabs>
        <w:spacing w:before="72" w:beforeLines="30" w:after="72" w:afterLines="30" w:line="360" w:lineRule="auto"/>
        <w:ind w:left="567" w:hanging="567"/>
        <w:outlineLvl w:val="0"/>
        <w:rPr>
          <w:sz w:val="24"/>
          <w:highlight w:val="none"/>
        </w:rPr>
      </w:pPr>
      <w:r>
        <w:rPr>
          <w:rFonts w:hAnsi="宋体"/>
          <w:b/>
          <w:sz w:val="24"/>
          <w:highlight w:val="none"/>
        </w:rPr>
        <w:t>交货地点</w:t>
      </w:r>
      <w:r>
        <w:rPr>
          <w:rFonts w:hint="eastAsia" w:hAnsi="宋体"/>
          <w:sz w:val="24"/>
          <w:highlight w:val="none"/>
        </w:rPr>
        <w:t>：</w:t>
      </w:r>
      <w:bookmarkStart w:id="46" w:name="OLE_LINK58"/>
      <w:bookmarkStart w:id="47" w:name="OLE_LINK61"/>
      <w:bookmarkStart w:id="48" w:name="OLE_LINK60"/>
      <w:bookmarkStart w:id="49" w:name="OLE_LINK59"/>
      <w:r>
        <w:rPr>
          <w:rFonts w:hint="eastAsia" w:hAnsi="宋体"/>
          <w:sz w:val="24"/>
          <w:highlight w:val="none"/>
        </w:rPr>
        <w:t>【</w:t>
      </w:r>
      <w:r>
        <w:rPr>
          <w:rFonts w:hint="eastAsia" w:hAnsi="宋体"/>
          <w:i/>
          <w:sz w:val="24"/>
          <w:highlight w:val="none"/>
        </w:rPr>
        <w:t>填入交货地点</w:t>
      </w:r>
      <w:r>
        <w:rPr>
          <w:rFonts w:hint="eastAsia" w:hAnsi="宋体"/>
          <w:sz w:val="24"/>
          <w:highlight w:val="none"/>
        </w:rPr>
        <w:t>】</w:t>
      </w:r>
      <w:bookmarkEnd w:id="46"/>
      <w:bookmarkEnd w:id="47"/>
      <w:bookmarkEnd w:id="48"/>
      <w:bookmarkEnd w:id="49"/>
      <w:r>
        <w:rPr>
          <w:rFonts w:hint="eastAsia"/>
          <w:sz w:val="24"/>
          <w:highlight w:val="none"/>
        </w:rPr>
        <w:t>。</w:t>
      </w:r>
    </w:p>
    <w:p>
      <w:pPr>
        <w:numPr>
          <w:ilvl w:val="0"/>
          <w:numId w:val="11"/>
        </w:numPr>
        <w:tabs>
          <w:tab w:val="left" w:pos="709"/>
        </w:tabs>
        <w:spacing w:before="72" w:beforeLines="30" w:after="72" w:afterLines="30" w:line="360" w:lineRule="auto"/>
        <w:ind w:left="567" w:hanging="567"/>
        <w:outlineLvl w:val="0"/>
        <w:rPr>
          <w:highlight w:val="none"/>
        </w:rPr>
      </w:pPr>
      <w:r>
        <w:rPr>
          <w:rFonts w:hAnsi="宋体"/>
          <w:sz w:val="24"/>
          <w:highlight w:val="none"/>
        </w:rPr>
        <w:t>每批</w:t>
      </w:r>
      <w:r>
        <w:rPr>
          <w:rFonts w:hint="eastAsia" w:hAnsi="宋体"/>
          <w:sz w:val="24"/>
          <w:highlight w:val="none"/>
        </w:rPr>
        <w:t>货</w:t>
      </w:r>
      <w:r>
        <w:rPr>
          <w:rFonts w:hint="eastAsia"/>
          <w:sz w:val="24"/>
          <w:highlight w:val="none"/>
        </w:rPr>
        <w:t>物</w:t>
      </w:r>
      <w:r>
        <w:rPr>
          <w:sz w:val="24"/>
          <w:highlight w:val="none"/>
        </w:rPr>
        <w:t>交付运输后</w:t>
      </w:r>
      <w:r>
        <w:rPr>
          <w:rFonts w:hint="eastAsia"/>
          <w:sz w:val="24"/>
          <w:highlight w:val="none"/>
        </w:rPr>
        <w:t>【</w:t>
      </w:r>
      <w:r>
        <w:rPr>
          <w:rFonts w:hint="eastAsia"/>
          <w:i/>
          <w:sz w:val="24"/>
          <w:highlight w:val="none"/>
        </w:rPr>
        <w:t>填入小时数</w:t>
      </w:r>
      <w:r>
        <w:rPr>
          <w:rFonts w:hint="eastAsia"/>
          <w:sz w:val="24"/>
          <w:highlight w:val="none"/>
        </w:rPr>
        <w:t>】</w:t>
      </w:r>
      <w:r>
        <w:rPr>
          <w:sz w:val="24"/>
          <w:highlight w:val="none"/>
        </w:rPr>
        <w:t>小时内，卖方应通过将下列</w:t>
      </w:r>
      <w:r>
        <w:rPr>
          <w:rFonts w:hint="eastAsia"/>
          <w:sz w:val="24"/>
          <w:highlight w:val="none"/>
        </w:rPr>
        <w:t>材料、</w:t>
      </w:r>
      <w:r>
        <w:rPr>
          <w:sz w:val="24"/>
          <w:highlight w:val="none"/>
        </w:rPr>
        <w:t>信息通知买方</w:t>
      </w:r>
      <w:r>
        <w:rPr>
          <w:rFonts w:hint="eastAsia"/>
          <w:sz w:val="24"/>
          <w:highlight w:val="none"/>
        </w:rPr>
        <w:t>：</w:t>
      </w:r>
      <w:r>
        <w:rPr>
          <w:sz w:val="24"/>
          <w:highlight w:val="none"/>
        </w:rPr>
        <w:t>合同号</w:t>
      </w:r>
      <w:r>
        <w:rPr>
          <w:rFonts w:hint="eastAsia"/>
          <w:sz w:val="24"/>
          <w:highlight w:val="none"/>
        </w:rPr>
        <w:t>、</w:t>
      </w:r>
      <w:r>
        <w:rPr>
          <w:sz w:val="24"/>
          <w:highlight w:val="none"/>
        </w:rPr>
        <w:t>货物名称及编号</w:t>
      </w:r>
      <w:r>
        <w:rPr>
          <w:rFonts w:hint="eastAsia"/>
          <w:sz w:val="24"/>
          <w:highlight w:val="none"/>
        </w:rPr>
        <w:t>、货物数量、</w:t>
      </w:r>
      <w:r>
        <w:rPr>
          <w:sz w:val="24"/>
          <w:highlight w:val="none"/>
        </w:rPr>
        <w:t>货物总重量</w:t>
      </w:r>
      <w:r>
        <w:rPr>
          <w:rFonts w:hint="eastAsia"/>
          <w:sz w:val="24"/>
          <w:highlight w:val="none"/>
        </w:rPr>
        <w:t>和【</w:t>
      </w:r>
      <w:r>
        <w:rPr>
          <w:rFonts w:hint="eastAsia"/>
          <w:i/>
          <w:sz w:val="24"/>
          <w:highlight w:val="none"/>
        </w:rPr>
        <w:t>填入其它材料或信息</w:t>
      </w:r>
      <w:r>
        <w:rPr>
          <w:rFonts w:hint="eastAsia"/>
          <w:sz w:val="24"/>
          <w:highlight w:val="none"/>
        </w:rPr>
        <w:t>】。</w:t>
      </w:r>
    </w:p>
    <w:p>
      <w:pPr>
        <w:numPr>
          <w:ilvl w:val="0"/>
          <w:numId w:val="11"/>
        </w:numPr>
        <w:tabs>
          <w:tab w:val="left" w:pos="567"/>
          <w:tab w:val="left" w:pos="709"/>
          <w:tab w:val="clear" w:pos="562"/>
        </w:tabs>
        <w:spacing w:before="72" w:beforeLines="30" w:after="72" w:afterLines="30" w:line="360" w:lineRule="auto"/>
        <w:ind w:left="567" w:hanging="567"/>
        <w:outlineLvl w:val="0"/>
        <w:rPr>
          <w:b/>
          <w:sz w:val="24"/>
          <w:highlight w:val="none"/>
        </w:rPr>
      </w:pPr>
      <w:r>
        <w:rPr>
          <w:rFonts w:hint="eastAsia"/>
          <w:b/>
          <w:sz w:val="24"/>
          <w:highlight w:val="none"/>
        </w:rPr>
        <w:t>包装</w:t>
      </w:r>
    </w:p>
    <w:p>
      <w:pPr>
        <w:pStyle w:val="18"/>
        <w:spacing w:line="360" w:lineRule="auto"/>
        <w:ind w:left="567" w:leftChars="270" w:firstLine="0" w:firstLineChars="0"/>
        <w:rPr>
          <w:rFonts w:hAnsi="宋体"/>
          <w:sz w:val="24"/>
          <w:highlight w:val="none"/>
        </w:rPr>
      </w:pPr>
      <w:r>
        <w:rPr>
          <w:rFonts w:hAnsi="宋体"/>
          <w:sz w:val="24"/>
          <w:highlight w:val="none"/>
        </w:rPr>
        <w:t>卖方应提供将货物</w:t>
      </w:r>
      <w:r>
        <w:rPr>
          <w:rFonts w:hint="eastAsia" w:hAnsi="宋体"/>
          <w:sz w:val="24"/>
          <w:highlight w:val="none"/>
        </w:rPr>
        <w:t>、货物资料</w:t>
      </w:r>
      <w:r>
        <w:rPr>
          <w:rFonts w:hAnsi="宋体"/>
          <w:sz w:val="24"/>
          <w:highlight w:val="none"/>
        </w:rPr>
        <w:t>运至</w:t>
      </w:r>
      <w:r>
        <w:rPr>
          <w:rFonts w:hint="eastAsia" w:hAnsi="宋体"/>
          <w:sz w:val="24"/>
          <w:highlight w:val="none"/>
        </w:rPr>
        <w:t>交货</w:t>
      </w:r>
      <w:r>
        <w:rPr>
          <w:rFonts w:hAnsi="宋体"/>
          <w:sz w:val="24"/>
          <w:highlight w:val="none"/>
        </w:rPr>
        <w:t>地点所需要的包装，以防止货物</w:t>
      </w:r>
      <w:r>
        <w:rPr>
          <w:rFonts w:hint="eastAsia" w:hAnsi="宋体"/>
          <w:sz w:val="24"/>
          <w:highlight w:val="none"/>
        </w:rPr>
        <w:t>、货物资料</w:t>
      </w:r>
      <w:r>
        <w:rPr>
          <w:rFonts w:hAnsi="宋体"/>
          <w:sz w:val="24"/>
          <w:highlight w:val="none"/>
        </w:rPr>
        <w:t>在运输中损坏或变质。货物</w:t>
      </w:r>
      <w:r>
        <w:rPr>
          <w:rFonts w:hint="eastAsia" w:hAnsi="宋体"/>
          <w:sz w:val="24"/>
          <w:highlight w:val="none"/>
        </w:rPr>
        <w:t>、货物资料</w:t>
      </w:r>
      <w:r>
        <w:rPr>
          <w:rFonts w:hAnsi="宋体"/>
          <w:sz w:val="24"/>
          <w:highlight w:val="none"/>
        </w:rPr>
        <w:t>的包装应采用防潮、防晒、防锈、防腐蚀、防震动、防野蛮装卸及防止其它损坏的必要保护措施，保护货物</w:t>
      </w:r>
      <w:r>
        <w:rPr>
          <w:rFonts w:hint="eastAsia" w:hAnsi="宋体"/>
          <w:sz w:val="24"/>
          <w:highlight w:val="none"/>
        </w:rPr>
        <w:t>、货物资料</w:t>
      </w:r>
      <w:r>
        <w:rPr>
          <w:rFonts w:hAnsi="宋体"/>
          <w:sz w:val="24"/>
          <w:highlight w:val="none"/>
        </w:rPr>
        <w:t>能够经受多次搬运、装卸及远洋和内陆长途运输。</w:t>
      </w:r>
    </w:p>
    <w:p>
      <w:pPr>
        <w:numPr>
          <w:ilvl w:val="0"/>
          <w:numId w:val="11"/>
        </w:numPr>
        <w:tabs>
          <w:tab w:val="left" w:pos="567"/>
          <w:tab w:val="left" w:pos="709"/>
          <w:tab w:val="clear" w:pos="562"/>
        </w:tabs>
        <w:spacing w:before="72" w:beforeLines="30" w:after="72" w:afterLines="30" w:line="360" w:lineRule="auto"/>
        <w:ind w:left="567" w:hanging="567"/>
        <w:outlineLvl w:val="0"/>
        <w:rPr>
          <w:b/>
          <w:sz w:val="24"/>
          <w:highlight w:val="none"/>
        </w:rPr>
      </w:pPr>
      <w:r>
        <w:rPr>
          <w:rFonts w:hint="eastAsia"/>
          <w:b/>
          <w:sz w:val="24"/>
          <w:highlight w:val="none"/>
        </w:rPr>
        <w:t>货物资料的交付</w:t>
      </w:r>
    </w:p>
    <w:p>
      <w:pPr>
        <w:pStyle w:val="18"/>
        <w:numPr>
          <w:ilvl w:val="0"/>
          <w:numId w:val="13"/>
        </w:numPr>
        <w:tabs>
          <w:tab w:val="left" w:pos="709"/>
        </w:tabs>
        <w:spacing w:before="72" w:beforeLines="30" w:after="72" w:afterLines="30" w:line="360" w:lineRule="auto"/>
        <w:ind w:firstLineChars="0"/>
        <w:outlineLvl w:val="0"/>
        <w:rPr>
          <w:sz w:val="24"/>
          <w:highlight w:val="none"/>
        </w:rPr>
      </w:pPr>
      <w:r>
        <w:rPr>
          <w:rFonts w:hint="eastAsia"/>
          <w:sz w:val="24"/>
          <w:highlight w:val="none"/>
        </w:rPr>
        <w:t>卖方应根据如下规定向买方交付与货物有关的资料。卖方交付的货物资料应当完整、正确、整洁、书写明确、质量完好，符合行业标准或惯例，并能满足买方正常使用与维护货物之需要。 卖方向买方交付货物、买方验收货物以卖方在交货日将全部货物资料交付买方为前提条件。</w:t>
      </w:r>
      <w:r>
        <w:rPr>
          <w:sz w:val="24"/>
          <w:highlight w:val="none"/>
        </w:rPr>
        <w:t>如买方发现货物资料存在任何</w:t>
      </w:r>
      <w:r>
        <w:rPr>
          <w:rFonts w:hint="eastAsia"/>
          <w:sz w:val="24"/>
          <w:highlight w:val="none"/>
        </w:rPr>
        <w:t>错漏、</w:t>
      </w:r>
      <w:r>
        <w:rPr>
          <w:sz w:val="24"/>
          <w:highlight w:val="none"/>
        </w:rPr>
        <w:t>短缺、损坏、遗失，买方应于收到之日起</w:t>
      </w:r>
      <w:r>
        <w:rPr>
          <w:rFonts w:hint="eastAsia" w:hAnsi="宋体"/>
          <w:sz w:val="24"/>
          <w:highlight w:val="none"/>
        </w:rPr>
        <w:t>合理期限</w:t>
      </w:r>
      <w:r>
        <w:rPr>
          <w:sz w:val="24"/>
          <w:highlight w:val="none"/>
        </w:rPr>
        <w:t>内通知卖方；卖方收到通知后</w:t>
      </w:r>
      <w:r>
        <w:rPr>
          <w:rFonts w:hint="eastAsia" w:hAnsi="宋体"/>
          <w:sz w:val="24"/>
          <w:highlight w:val="none"/>
        </w:rPr>
        <w:t>【</w:t>
      </w:r>
      <w:r>
        <w:rPr>
          <w:rFonts w:hint="eastAsia" w:hAnsi="宋体"/>
          <w:i/>
          <w:sz w:val="24"/>
          <w:highlight w:val="none"/>
        </w:rPr>
        <w:t>填入天数</w:t>
      </w:r>
      <w:r>
        <w:rPr>
          <w:rFonts w:hint="eastAsia" w:hAnsi="宋体"/>
          <w:sz w:val="24"/>
          <w:highlight w:val="none"/>
        </w:rPr>
        <w:t>】</w:t>
      </w:r>
      <w:r>
        <w:rPr>
          <w:sz w:val="24"/>
          <w:highlight w:val="none"/>
        </w:rPr>
        <w:t>日内应</w:t>
      </w:r>
      <w:r>
        <w:rPr>
          <w:rFonts w:hint="eastAsia"/>
          <w:sz w:val="24"/>
          <w:highlight w:val="none"/>
        </w:rPr>
        <w:t>自行承担费用</w:t>
      </w:r>
      <w:r>
        <w:rPr>
          <w:sz w:val="24"/>
          <w:highlight w:val="none"/>
        </w:rPr>
        <w:t>将补充或替换的货物资料送达买方，</w:t>
      </w:r>
      <w:r>
        <w:rPr>
          <w:rFonts w:hint="eastAsia"/>
          <w:sz w:val="24"/>
          <w:highlight w:val="none"/>
        </w:rPr>
        <w:t>并</w:t>
      </w:r>
      <w:r>
        <w:rPr>
          <w:sz w:val="24"/>
          <w:highlight w:val="none"/>
        </w:rPr>
        <w:t>不得因此影响交货进度</w:t>
      </w:r>
      <w:r>
        <w:rPr>
          <w:rFonts w:hint="eastAsia"/>
          <w:sz w:val="24"/>
          <w:highlight w:val="none"/>
        </w:rPr>
        <w:t>。</w:t>
      </w:r>
    </w:p>
    <w:p>
      <w:pPr>
        <w:pStyle w:val="18"/>
        <w:numPr>
          <w:ilvl w:val="0"/>
          <w:numId w:val="13"/>
        </w:numPr>
        <w:tabs>
          <w:tab w:val="left" w:pos="709"/>
        </w:tabs>
        <w:spacing w:before="72" w:beforeLines="30" w:after="72" w:afterLines="30" w:line="360" w:lineRule="auto"/>
        <w:ind w:firstLineChars="0"/>
        <w:outlineLvl w:val="0"/>
        <w:rPr>
          <w:highlight w:val="none"/>
        </w:rPr>
      </w:pPr>
      <w:r>
        <w:rPr>
          <w:rFonts w:hint="eastAsia"/>
          <w:sz w:val="24"/>
          <w:highlight w:val="none"/>
        </w:rPr>
        <w:t>货物资料的名称、数量及交付时间为：</w:t>
      </w:r>
      <w:r>
        <w:rPr>
          <w:rFonts w:hint="eastAsia" w:hAnsi="宋体"/>
          <w:sz w:val="24"/>
          <w:highlight w:val="none"/>
        </w:rPr>
        <w:t>【</w:t>
      </w:r>
      <w:r>
        <w:rPr>
          <w:rFonts w:hint="eastAsia" w:hAnsi="宋体"/>
          <w:i/>
          <w:sz w:val="24"/>
          <w:highlight w:val="none"/>
        </w:rPr>
        <w:t>填入货物资料的交付信息</w:t>
      </w:r>
      <w:r>
        <w:rPr>
          <w:rFonts w:hint="eastAsia" w:hAnsi="宋体"/>
          <w:sz w:val="24"/>
          <w:highlight w:val="none"/>
        </w:rPr>
        <w:t>】</w:t>
      </w:r>
      <w:r>
        <w:rPr>
          <w:rFonts w:hint="eastAsia"/>
          <w:sz w:val="24"/>
          <w:highlight w:val="none"/>
        </w:rPr>
        <w:t>。</w:t>
      </w:r>
    </w:p>
    <w:p>
      <w:pPr>
        <w:pStyle w:val="9"/>
        <w:numPr>
          <w:ilvl w:val="0"/>
          <w:numId w:val="6"/>
        </w:numPr>
        <w:tabs>
          <w:tab w:val="left" w:pos="567"/>
        </w:tabs>
        <w:spacing w:before="72" w:beforeLines="30" w:after="72" w:afterLines="30" w:line="360" w:lineRule="auto"/>
        <w:ind w:left="567" w:hanging="567"/>
        <w:jc w:val="left"/>
        <w:rPr>
          <w:sz w:val="24"/>
          <w:szCs w:val="24"/>
          <w:highlight w:val="none"/>
        </w:rPr>
      </w:pPr>
      <w:bookmarkStart w:id="50" w:name="_Toc306354315"/>
      <w:r>
        <w:rPr>
          <w:rFonts w:hint="eastAsia"/>
          <w:sz w:val="24"/>
          <w:szCs w:val="24"/>
          <w:highlight w:val="none"/>
        </w:rPr>
        <w:t>货物要求</w:t>
      </w:r>
    </w:p>
    <w:p>
      <w:pPr>
        <w:pStyle w:val="18"/>
        <w:numPr>
          <w:ilvl w:val="0"/>
          <w:numId w:val="14"/>
        </w:numPr>
        <w:spacing w:before="72" w:beforeLines="30" w:after="72" w:afterLines="30" w:line="360" w:lineRule="auto"/>
        <w:ind w:left="567" w:hanging="567" w:firstLineChars="0"/>
        <w:outlineLvl w:val="0"/>
        <w:rPr>
          <w:rFonts w:hAnsi="宋体"/>
          <w:sz w:val="24"/>
          <w:highlight w:val="none"/>
        </w:rPr>
      </w:pPr>
      <w:r>
        <w:rPr>
          <w:rFonts w:hAnsi="宋体"/>
          <w:sz w:val="24"/>
          <w:highlight w:val="none"/>
        </w:rPr>
        <w:t>卖方应根据合同规定</w:t>
      </w:r>
      <w:r>
        <w:rPr>
          <w:rFonts w:hint="eastAsia" w:hAnsi="宋体"/>
          <w:sz w:val="24"/>
          <w:highlight w:val="none"/>
        </w:rPr>
        <w:t>提供</w:t>
      </w:r>
      <w:r>
        <w:rPr>
          <w:rFonts w:hAnsi="宋体"/>
          <w:sz w:val="24"/>
          <w:highlight w:val="none"/>
        </w:rPr>
        <w:t>货物，其提供的货物应符合合同规定的质量、规格及其它要求。如合同未就货物相关环节的质量、规格等予以明确规定，则应符合国家标准。如无国家标准，则应符合行业标准；如无行业标准，应</w:t>
      </w:r>
      <w:r>
        <w:rPr>
          <w:rFonts w:hint="eastAsia" w:hAnsi="宋体"/>
          <w:sz w:val="24"/>
          <w:highlight w:val="none"/>
        </w:rPr>
        <w:t>适用</w:t>
      </w:r>
      <w:r>
        <w:rPr>
          <w:rFonts w:hAnsi="宋体"/>
          <w:sz w:val="24"/>
          <w:highlight w:val="none"/>
        </w:rPr>
        <w:t>符合本合同目的的标准。</w:t>
      </w:r>
    </w:p>
    <w:p>
      <w:pPr>
        <w:pStyle w:val="18"/>
        <w:numPr>
          <w:ilvl w:val="0"/>
          <w:numId w:val="14"/>
        </w:numPr>
        <w:spacing w:before="72" w:beforeLines="30" w:after="72" w:afterLines="30" w:line="360" w:lineRule="auto"/>
        <w:ind w:left="567" w:hanging="567" w:firstLineChars="0"/>
        <w:outlineLvl w:val="0"/>
        <w:rPr>
          <w:rFonts w:hAnsi="宋体"/>
          <w:sz w:val="24"/>
          <w:highlight w:val="none"/>
        </w:rPr>
      </w:pPr>
      <w:r>
        <w:rPr>
          <w:rFonts w:hAnsi="宋体"/>
          <w:sz w:val="24"/>
          <w:highlight w:val="none"/>
        </w:rPr>
        <w:t>在履行合同过程中，买方接受卖方的有关货物的建议和要求或买方的任何批准、认可不得免除卖方</w:t>
      </w:r>
      <w:r>
        <w:rPr>
          <w:rFonts w:hint="eastAsia" w:hAnsi="宋体"/>
          <w:sz w:val="24"/>
          <w:highlight w:val="none"/>
        </w:rPr>
        <w:t>在本合同项下的任何</w:t>
      </w:r>
      <w:r>
        <w:rPr>
          <w:rFonts w:hAnsi="宋体"/>
          <w:sz w:val="24"/>
          <w:highlight w:val="none"/>
        </w:rPr>
        <w:t>义务（包括卖方对货物应符合本合同</w:t>
      </w:r>
      <w:r>
        <w:rPr>
          <w:rFonts w:hint="eastAsia" w:hAnsi="宋体"/>
          <w:sz w:val="24"/>
          <w:highlight w:val="none"/>
        </w:rPr>
        <w:t>规定的</w:t>
      </w:r>
      <w:r>
        <w:rPr>
          <w:rFonts w:hAnsi="宋体"/>
          <w:sz w:val="24"/>
          <w:highlight w:val="none"/>
        </w:rPr>
        <w:t>质量和规格</w:t>
      </w:r>
      <w:r>
        <w:rPr>
          <w:rFonts w:hint="eastAsia" w:hAnsi="宋体"/>
          <w:sz w:val="24"/>
          <w:highlight w:val="none"/>
        </w:rPr>
        <w:t>等</w:t>
      </w:r>
      <w:r>
        <w:rPr>
          <w:rFonts w:hAnsi="宋体"/>
          <w:sz w:val="24"/>
          <w:highlight w:val="none"/>
        </w:rPr>
        <w:t>要求应承担的责任）。</w:t>
      </w:r>
    </w:p>
    <w:p>
      <w:pPr>
        <w:pStyle w:val="9"/>
        <w:numPr>
          <w:ilvl w:val="0"/>
          <w:numId w:val="6"/>
        </w:numPr>
        <w:tabs>
          <w:tab w:val="left" w:pos="567"/>
        </w:tabs>
        <w:spacing w:before="72" w:beforeLines="30" w:after="72" w:afterLines="30" w:line="360" w:lineRule="auto"/>
        <w:ind w:left="567" w:hanging="567"/>
        <w:jc w:val="left"/>
        <w:rPr>
          <w:sz w:val="24"/>
          <w:szCs w:val="24"/>
          <w:highlight w:val="none"/>
        </w:rPr>
      </w:pPr>
      <w:r>
        <w:rPr>
          <w:rFonts w:hint="eastAsia"/>
          <w:sz w:val="24"/>
          <w:szCs w:val="24"/>
          <w:highlight w:val="none"/>
        </w:rPr>
        <w:t>运输和保险</w:t>
      </w:r>
    </w:p>
    <w:p>
      <w:pPr>
        <w:pStyle w:val="18"/>
        <w:numPr>
          <w:ilvl w:val="0"/>
          <w:numId w:val="15"/>
        </w:numPr>
        <w:spacing w:before="72" w:beforeLines="30" w:after="72" w:afterLines="30" w:line="360" w:lineRule="auto"/>
        <w:ind w:left="567" w:hanging="567" w:firstLineChars="0"/>
        <w:outlineLvl w:val="0"/>
        <w:rPr>
          <w:sz w:val="24"/>
          <w:highlight w:val="none"/>
        </w:rPr>
      </w:pPr>
      <w:r>
        <w:rPr>
          <w:sz w:val="24"/>
          <w:highlight w:val="none"/>
        </w:rPr>
        <w:t>运输</w:t>
      </w:r>
      <w:r>
        <w:rPr>
          <w:rFonts w:hint="eastAsia"/>
          <w:sz w:val="24"/>
          <w:highlight w:val="none"/>
        </w:rPr>
        <w:t>方式：</w:t>
      </w:r>
      <w:r>
        <w:rPr>
          <w:rFonts w:hint="eastAsia" w:hAnsi="宋体"/>
          <w:sz w:val="24"/>
          <w:highlight w:val="none"/>
        </w:rPr>
        <w:t>【</w:t>
      </w:r>
      <w:r>
        <w:rPr>
          <w:rFonts w:hint="eastAsia" w:hAnsi="宋体"/>
          <w:i/>
          <w:sz w:val="24"/>
          <w:highlight w:val="none"/>
        </w:rPr>
        <w:t>填入运输方式</w:t>
      </w:r>
      <w:r>
        <w:rPr>
          <w:rFonts w:hint="eastAsia" w:hAnsi="宋体"/>
          <w:sz w:val="24"/>
          <w:highlight w:val="none"/>
        </w:rPr>
        <w:t>】</w:t>
      </w:r>
      <w:r>
        <w:rPr>
          <w:rFonts w:hint="eastAsia"/>
          <w:sz w:val="24"/>
          <w:highlight w:val="none"/>
        </w:rPr>
        <w:t>。</w:t>
      </w:r>
    </w:p>
    <w:p>
      <w:pPr>
        <w:pStyle w:val="18"/>
        <w:numPr>
          <w:ilvl w:val="0"/>
          <w:numId w:val="15"/>
        </w:numPr>
        <w:spacing w:before="72" w:beforeLines="30" w:after="72" w:afterLines="30" w:line="360" w:lineRule="auto"/>
        <w:ind w:left="567" w:hanging="567" w:firstLineChars="0"/>
        <w:outlineLvl w:val="0"/>
        <w:rPr>
          <w:rFonts w:hAnsi="宋体"/>
          <w:sz w:val="24"/>
          <w:highlight w:val="none"/>
        </w:rPr>
      </w:pPr>
      <w:r>
        <w:rPr>
          <w:rFonts w:hint="eastAsia"/>
          <w:sz w:val="24"/>
          <w:highlight w:val="none"/>
        </w:rPr>
        <w:t>除非本合同另有明确规定，</w:t>
      </w:r>
      <w:r>
        <w:rPr>
          <w:rFonts w:hAnsi="宋体"/>
          <w:sz w:val="24"/>
          <w:highlight w:val="none"/>
        </w:rPr>
        <w:t>卖方负责将货物</w:t>
      </w:r>
      <w:r>
        <w:rPr>
          <w:rFonts w:hint="eastAsia" w:hAnsi="宋体"/>
          <w:sz w:val="24"/>
          <w:highlight w:val="none"/>
        </w:rPr>
        <w:t>及配套软件、货物资料</w:t>
      </w:r>
      <w:r>
        <w:rPr>
          <w:rFonts w:hAnsi="宋体"/>
          <w:sz w:val="24"/>
          <w:highlight w:val="none"/>
        </w:rPr>
        <w:t>运至交货地点，运输费用全部包含于合同总价中。如卖方需改变本合同规定的运输方式，卖方应提前</w:t>
      </w:r>
      <w:r>
        <w:rPr>
          <w:rFonts w:hint="eastAsia" w:hAnsi="宋体"/>
          <w:sz w:val="24"/>
          <w:highlight w:val="none"/>
        </w:rPr>
        <w:t>【</w:t>
      </w:r>
      <w:r>
        <w:rPr>
          <w:rFonts w:hint="eastAsia" w:hAnsi="宋体"/>
          <w:i/>
          <w:sz w:val="24"/>
          <w:highlight w:val="none"/>
        </w:rPr>
        <w:t>填入天数</w:t>
      </w:r>
      <w:r>
        <w:rPr>
          <w:rFonts w:hint="eastAsia" w:hAnsi="宋体"/>
          <w:sz w:val="24"/>
          <w:highlight w:val="none"/>
        </w:rPr>
        <w:t>】</w:t>
      </w:r>
      <w:r>
        <w:rPr>
          <w:rFonts w:hAnsi="宋体"/>
          <w:sz w:val="24"/>
          <w:highlight w:val="none"/>
        </w:rPr>
        <w:t>通知买方，并获得买方的书面认可</w:t>
      </w:r>
      <w:r>
        <w:rPr>
          <w:rFonts w:hint="eastAsia" w:hAnsi="宋体"/>
          <w:sz w:val="24"/>
          <w:highlight w:val="none"/>
        </w:rPr>
        <w:t>。</w:t>
      </w:r>
    </w:p>
    <w:p>
      <w:pPr>
        <w:pStyle w:val="18"/>
        <w:numPr>
          <w:ilvl w:val="0"/>
          <w:numId w:val="15"/>
        </w:numPr>
        <w:spacing w:before="72" w:beforeLines="30" w:after="72" w:afterLines="30" w:line="360" w:lineRule="auto"/>
        <w:ind w:left="567" w:hanging="567" w:firstLineChars="0"/>
        <w:outlineLvl w:val="0"/>
        <w:rPr>
          <w:rFonts w:hAnsi="宋体"/>
          <w:sz w:val="24"/>
          <w:highlight w:val="none"/>
        </w:rPr>
      </w:pPr>
      <w:r>
        <w:rPr>
          <w:rFonts w:hAnsi="宋体"/>
          <w:sz w:val="24"/>
          <w:highlight w:val="none"/>
        </w:rPr>
        <w:t>货物在交货地点的卸货由卖方负责，卸货费用由卖方承担，卖方应在买方指定的地点卸货，且遵守买方有关卸货的指示</w:t>
      </w:r>
      <w:r>
        <w:rPr>
          <w:rFonts w:hint="eastAsia" w:hAnsi="宋体"/>
          <w:sz w:val="24"/>
          <w:highlight w:val="none"/>
        </w:rPr>
        <w:t>。</w:t>
      </w:r>
    </w:p>
    <w:p>
      <w:pPr>
        <w:pStyle w:val="18"/>
        <w:numPr>
          <w:ilvl w:val="0"/>
          <w:numId w:val="15"/>
        </w:numPr>
        <w:spacing w:before="72" w:beforeLines="30" w:after="72" w:afterLines="30" w:line="360" w:lineRule="auto"/>
        <w:ind w:left="567" w:hanging="567" w:firstLineChars="0"/>
        <w:outlineLvl w:val="0"/>
        <w:rPr>
          <w:rFonts w:hAnsi="宋体"/>
          <w:sz w:val="24"/>
          <w:highlight w:val="none"/>
        </w:rPr>
      </w:pPr>
      <w:r>
        <w:rPr>
          <w:rFonts w:hAnsi="宋体"/>
          <w:sz w:val="24"/>
          <w:highlight w:val="none"/>
        </w:rPr>
        <w:t>卖方承担与货物</w:t>
      </w:r>
      <w:r>
        <w:rPr>
          <w:rFonts w:hint="eastAsia" w:hAnsi="宋体"/>
          <w:sz w:val="24"/>
          <w:highlight w:val="none"/>
        </w:rPr>
        <w:t>和货物资料</w:t>
      </w:r>
      <w:r>
        <w:rPr>
          <w:rFonts w:hAnsi="宋体"/>
          <w:sz w:val="24"/>
          <w:highlight w:val="none"/>
        </w:rPr>
        <w:t>运输相关的全部费用，该等费用已包含于合同总价中。</w:t>
      </w:r>
    </w:p>
    <w:p>
      <w:pPr>
        <w:pStyle w:val="18"/>
        <w:numPr>
          <w:ilvl w:val="0"/>
          <w:numId w:val="15"/>
        </w:numPr>
        <w:spacing w:line="360" w:lineRule="auto"/>
        <w:ind w:left="567" w:hanging="567" w:firstLineChars="0"/>
        <w:rPr>
          <w:sz w:val="24"/>
          <w:highlight w:val="none"/>
        </w:rPr>
      </w:pPr>
      <w:r>
        <w:rPr>
          <w:rFonts w:hint="eastAsia"/>
          <w:sz w:val="24"/>
          <w:highlight w:val="none"/>
        </w:rPr>
        <w:t>运输保险</w:t>
      </w:r>
    </w:p>
    <w:p>
      <w:pPr>
        <w:pStyle w:val="18"/>
        <w:spacing w:line="360" w:lineRule="auto"/>
        <w:ind w:left="567" w:firstLine="0" w:firstLineChars="0"/>
        <w:rPr>
          <w:rFonts w:hAnsi="宋体"/>
          <w:bCs/>
          <w:sz w:val="24"/>
          <w:highlight w:val="none"/>
        </w:rPr>
      </w:pPr>
      <w:r>
        <w:rPr>
          <w:rFonts w:hAnsi="宋体"/>
          <w:sz w:val="24"/>
          <w:highlight w:val="none"/>
        </w:rPr>
        <w:t>卖方应</w:t>
      </w:r>
      <w:r>
        <w:rPr>
          <w:rFonts w:hAnsi="宋体"/>
          <w:bCs/>
          <w:sz w:val="24"/>
          <w:highlight w:val="none"/>
        </w:rPr>
        <w:t>根据运输方式，向</w:t>
      </w:r>
      <w:r>
        <w:rPr>
          <w:rFonts w:hint="eastAsia" w:hAnsi="宋体"/>
          <w:bCs/>
          <w:sz w:val="24"/>
          <w:highlight w:val="none"/>
        </w:rPr>
        <w:t>买方认可的、拥有合法资质的著名保险公司投保货物运输一切险或综合险，保险</w:t>
      </w:r>
      <w:r>
        <w:rPr>
          <w:rFonts w:hAnsi="宋体"/>
          <w:bCs/>
          <w:sz w:val="24"/>
          <w:highlight w:val="none"/>
        </w:rPr>
        <w:t>金额不低于合同总价，</w:t>
      </w:r>
      <w:r>
        <w:rPr>
          <w:rFonts w:hint="eastAsia" w:hAnsi="宋体"/>
          <w:bCs/>
          <w:sz w:val="24"/>
          <w:highlight w:val="none"/>
        </w:rPr>
        <w:t>并将买方列为共同被保险人或受益人。保障</w:t>
      </w:r>
      <w:r>
        <w:rPr>
          <w:rFonts w:hAnsi="宋体"/>
          <w:bCs/>
          <w:sz w:val="24"/>
          <w:highlight w:val="none"/>
        </w:rPr>
        <w:t>区段为卖方制造厂存储货物的仓库到项目现场用于存储货物的仓库，</w:t>
      </w:r>
      <w:r>
        <w:rPr>
          <w:rFonts w:hint="eastAsia" w:hAnsi="宋体"/>
          <w:bCs/>
          <w:sz w:val="24"/>
          <w:highlight w:val="none"/>
        </w:rPr>
        <w:t>保险期限</w:t>
      </w:r>
      <w:r>
        <w:rPr>
          <w:rFonts w:hAnsi="宋体"/>
          <w:bCs/>
          <w:sz w:val="24"/>
          <w:highlight w:val="none"/>
        </w:rPr>
        <w:t>始于装货（含装货）止于</w:t>
      </w:r>
      <w:r>
        <w:rPr>
          <w:rFonts w:hint="eastAsia" w:hAnsi="宋体"/>
          <w:bCs/>
          <w:sz w:val="24"/>
          <w:highlight w:val="none"/>
        </w:rPr>
        <w:t>【</w:t>
      </w:r>
      <w:r>
        <w:rPr>
          <w:rFonts w:hint="eastAsia" w:hAnsi="宋体"/>
          <w:bCs/>
          <w:i/>
          <w:sz w:val="24"/>
          <w:highlight w:val="none"/>
        </w:rPr>
        <w:t>填入保险期限截止日期，如</w:t>
      </w:r>
      <w:r>
        <w:rPr>
          <w:rFonts w:hAnsi="宋体"/>
          <w:bCs/>
          <w:i/>
          <w:sz w:val="24"/>
          <w:highlight w:val="none"/>
        </w:rPr>
        <w:t>卸货后</w:t>
      </w:r>
      <w:r>
        <w:rPr>
          <w:rFonts w:hint="eastAsia" w:hAnsi="宋体"/>
          <w:bCs/>
          <w:i/>
          <w:sz w:val="24"/>
          <w:highlight w:val="none"/>
        </w:rPr>
        <w:t>十五（15）</w:t>
      </w:r>
      <w:r>
        <w:rPr>
          <w:rFonts w:hint="eastAsia" w:hAnsi="宋体"/>
          <w:bCs/>
          <w:sz w:val="24"/>
          <w:highlight w:val="none"/>
        </w:rPr>
        <w:t>】</w:t>
      </w:r>
      <w:r>
        <w:rPr>
          <w:rFonts w:hAnsi="宋体"/>
          <w:bCs/>
          <w:sz w:val="24"/>
          <w:highlight w:val="none"/>
        </w:rPr>
        <w:t>日。</w:t>
      </w:r>
    </w:p>
    <w:p>
      <w:pPr>
        <w:pStyle w:val="18"/>
        <w:numPr>
          <w:ilvl w:val="0"/>
          <w:numId w:val="15"/>
        </w:numPr>
        <w:spacing w:line="360" w:lineRule="auto"/>
        <w:ind w:firstLineChars="0"/>
        <w:rPr>
          <w:sz w:val="24"/>
          <w:highlight w:val="none"/>
        </w:rPr>
      </w:pPr>
      <w:r>
        <w:rPr>
          <w:rFonts w:hint="eastAsia"/>
          <w:highlight w:val="none"/>
        </w:rPr>
        <w:t xml:space="preserve"> </w:t>
      </w:r>
      <w:r>
        <w:rPr>
          <w:rFonts w:hint="eastAsia"/>
          <w:sz w:val="24"/>
          <w:highlight w:val="none"/>
        </w:rPr>
        <w:t>关于运输、卸货等内容的特别约定：【</w:t>
      </w:r>
      <w:r>
        <w:rPr>
          <w:rFonts w:hint="eastAsia"/>
          <w:i/>
          <w:sz w:val="24"/>
          <w:highlight w:val="none"/>
        </w:rPr>
        <w:t>如果双方对于运输、卸货等内容有特别约定，请在此处进行约定，同时，如果本条款的约定与本合同中其它条款的约定不一致，应相应进行调整和修改以保持一致</w:t>
      </w:r>
      <w:r>
        <w:rPr>
          <w:rFonts w:hint="eastAsia"/>
          <w:sz w:val="24"/>
          <w:highlight w:val="none"/>
        </w:rPr>
        <w:t>】</w:t>
      </w:r>
    </w:p>
    <w:p>
      <w:pPr>
        <w:pStyle w:val="9"/>
        <w:numPr>
          <w:ilvl w:val="0"/>
          <w:numId w:val="6"/>
        </w:numPr>
        <w:tabs>
          <w:tab w:val="left" w:pos="567"/>
        </w:tabs>
        <w:spacing w:before="72" w:beforeLines="30" w:after="72" w:afterLines="30" w:line="360" w:lineRule="auto"/>
        <w:ind w:left="567" w:hanging="567"/>
        <w:jc w:val="left"/>
        <w:rPr>
          <w:sz w:val="24"/>
          <w:szCs w:val="24"/>
          <w:highlight w:val="none"/>
        </w:rPr>
      </w:pPr>
      <w:r>
        <w:rPr>
          <w:rFonts w:hint="eastAsia"/>
          <w:sz w:val="24"/>
          <w:szCs w:val="24"/>
          <w:highlight w:val="none"/>
        </w:rPr>
        <w:t>验收</w:t>
      </w:r>
      <w:bookmarkEnd w:id="50"/>
    </w:p>
    <w:p>
      <w:pPr>
        <w:numPr>
          <w:ilvl w:val="0"/>
          <w:numId w:val="16"/>
        </w:numPr>
        <w:tabs>
          <w:tab w:val="left" w:pos="567"/>
          <w:tab w:val="left" w:pos="709"/>
          <w:tab w:val="clear" w:pos="1860"/>
        </w:tabs>
        <w:snapToGrid w:val="0"/>
        <w:spacing w:before="72" w:beforeLines="30" w:after="72" w:afterLines="30" w:line="360" w:lineRule="auto"/>
        <w:ind w:left="567" w:hanging="567"/>
        <w:rPr>
          <w:b/>
          <w:sz w:val="24"/>
          <w:highlight w:val="none"/>
        </w:rPr>
      </w:pPr>
      <w:r>
        <w:rPr>
          <w:rFonts w:hint="eastAsia"/>
          <w:sz w:val="24"/>
          <w:highlight w:val="none"/>
        </w:rPr>
        <w:t>合同货物交付前，卖方应对其进行全面检验，并在交付货物时向买方提交货物的质量合格证书。</w:t>
      </w:r>
    </w:p>
    <w:p>
      <w:pPr>
        <w:numPr>
          <w:ilvl w:val="0"/>
          <w:numId w:val="16"/>
        </w:numPr>
        <w:tabs>
          <w:tab w:val="left" w:pos="567"/>
          <w:tab w:val="left" w:pos="709"/>
          <w:tab w:val="clear" w:pos="1860"/>
        </w:tabs>
        <w:snapToGrid w:val="0"/>
        <w:spacing w:before="72" w:beforeLines="30" w:after="72" w:afterLines="30" w:line="360" w:lineRule="auto"/>
        <w:ind w:left="567" w:hanging="567"/>
        <w:rPr>
          <w:b/>
          <w:sz w:val="24"/>
          <w:highlight w:val="none"/>
        </w:rPr>
      </w:pPr>
      <w:r>
        <w:rPr>
          <w:rFonts w:hint="eastAsia" w:hAnsi="宋体"/>
          <w:sz w:val="24"/>
          <w:highlight w:val="none"/>
        </w:rPr>
        <w:t>货物运抵交货地点时，双方应共同对货物进行验收。如果货物通过验收，买方向卖方签发验收证明。如货物不符合本合同的规定，买方有权拒绝接受货物。</w:t>
      </w:r>
    </w:p>
    <w:p>
      <w:pPr>
        <w:numPr>
          <w:ilvl w:val="0"/>
          <w:numId w:val="16"/>
        </w:numPr>
        <w:tabs>
          <w:tab w:val="left" w:pos="567"/>
          <w:tab w:val="left" w:pos="709"/>
          <w:tab w:val="clear" w:pos="1860"/>
        </w:tabs>
        <w:snapToGrid w:val="0"/>
        <w:spacing w:before="72" w:beforeLines="30" w:after="72" w:afterLines="30" w:line="360" w:lineRule="auto"/>
        <w:ind w:left="567" w:hanging="567"/>
        <w:rPr>
          <w:sz w:val="24"/>
          <w:highlight w:val="none"/>
        </w:rPr>
      </w:pPr>
      <w:r>
        <w:rPr>
          <w:rFonts w:hint="eastAsia" w:hAnsi="宋体"/>
          <w:sz w:val="24"/>
          <w:highlight w:val="none"/>
        </w:rPr>
        <w:t>买方验收货物不减少、免除卖方在本合同项下的任何义务（包括卖方对货物应符合本合同质量、规格要求应承担的责任）。</w:t>
      </w:r>
    </w:p>
    <w:p>
      <w:pPr>
        <w:pStyle w:val="9"/>
        <w:numPr>
          <w:ilvl w:val="0"/>
          <w:numId w:val="6"/>
        </w:numPr>
        <w:tabs>
          <w:tab w:val="left" w:pos="567"/>
        </w:tabs>
        <w:spacing w:before="72" w:beforeLines="30" w:after="72" w:afterLines="30" w:line="360" w:lineRule="auto"/>
        <w:ind w:left="567" w:hanging="567"/>
        <w:jc w:val="left"/>
        <w:rPr>
          <w:rFonts w:ascii="Times New Roman" w:hAnsi="Times New Roman"/>
          <w:sz w:val="24"/>
          <w:szCs w:val="24"/>
          <w:highlight w:val="none"/>
        </w:rPr>
      </w:pPr>
      <w:bookmarkStart w:id="51" w:name="_Toc273451799"/>
      <w:bookmarkStart w:id="52" w:name="_Toc274669181"/>
      <w:bookmarkStart w:id="53" w:name="_Toc274075980"/>
      <w:bookmarkStart w:id="54" w:name="_Toc298158366"/>
      <w:bookmarkStart w:id="55" w:name="_Toc273458613"/>
      <w:bookmarkStart w:id="56" w:name="_Toc278875415"/>
      <w:bookmarkStart w:id="57" w:name="_Toc274343583"/>
      <w:bookmarkStart w:id="58" w:name="_Toc274668240"/>
      <w:bookmarkStart w:id="59" w:name="_Toc274403515"/>
      <w:bookmarkStart w:id="60" w:name="_Toc273388613"/>
      <w:bookmarkStart w:id="61" w:name="_Toc274344115"/>
      <w:bookmarkStart w:id="62" w:name="_Toc306354316"/>
      <w:bookmarkStart w:id="63" w:name="_Toc274754050"/>
      <w:bookmarkStart w:id="64" w:name="_Toc273388514"/>
      <w:r>
        <w:rPr>
          <w:rFonts w:ascii="Times New Roman" w:hAnsi="Times New Roman"/>
          <w:sz w:val="24"/>
          <w:szCs w:val="24"/>
          <w:highlight w:val="none"/>
        </w:rPr>
        <w:t>风险和</w:t>
      </w:r>
      <w:r>
        <w:rPr>
          <w:rFonts w:hint="eastAsia" w:ascii="Times New Roman" w:hAnsi="Times New Roman"/>
          <w:sz w:val="24"/>
          <w:szCs w:val="24"/>
          <w:highlight w:val="none"/>
        </w:rPr>
        <w:t>所有</w:t>
      </w:r>
      <w:r>
        <w:rPr>
          <w:rFonts w:ascii="Times New Roman" w:hAnsi="Times New Roman"/>
          <w:sz w:val="24"/>
          <w:szCs w:val="24"/>
          <w:highlight w:val="none"/>
        </w:rPr>
        <w:t>权的转移</w:t>
      </w:r>
      <w:bookmarkEnd w:id="51"/>
      <w:bookmarkEnd w:id="52"/>
      <w:bookmarkEnd w:id="53"/>
      <w:bookmarkEnd w:id="54"/>
      <w:bookmarkEnd w:id="55"/>
      <w:bookmarkEnd w:id="56"/>
      <w:bookmarkEnd w:id="57"/>
      <w:bookmarkEnd w:id="58"/>
      <w:bookmarkEnd w:id="59"/>
      <w:bookmarkEnd w:id="60"/>
      <w:bookmarkEnd w:id="61"/>
      <w:bookmarkEnd w:id="62"/>
      <w:bookmarkEnd w:id="63"/>
      <w:bookmarkEnd w:id="64"/>
    </w:p>
    <w:p>
      <w:pPr>
        <w:numPr>
          <w:ilvl w:val="0"/>
          <w:numId w:val="17"/>
        </w:numPr>
        <w:tabs>
          <w:tab w:val="left" w:pos="567"/>
          <w:tab w:val="left" w:pos="709"/>
          <w:tab w:val="left" w:pos="3060"/>
        </w:tabs>
        <w:spacing w:before="72" w:beforeLines="30" w:after="72" w:afterLines="30" w:line="360" w:lineRule="auto"/>
        <w:ind w:left="567" w:hanging="567"/>
        <w:rPr>
          <w:sz w:val="24"/>
          <w:highlight w:val="none"/>
        </w:rPr>
      </w:pPr>
      <w:r>
        <w:rPr>
          <w:sz w:val="24"/>
          <w:highlight w:val="none"/>
        </w:rPr>
        <w:t>除非本合同另有明确规定，</w:t>
      </w:r>
      <w:r>
        <w:rPr>
          <w:rFonts w:hint="eastAsia"/>
          <w:sz w:val="24"/>
          <w:highlight w:val="none"/>
        </w:rPr>
        <w:t>卖方</w:t>
      </w:r>
      <w:r>
        <w:rPr>
          <w:sz w:val="24"/>
          <w:highlight w:val="none"/>
        </w:rPr>
        <w:t>在指定交货地点</w:t>
      </w:r>
      <w:r>
        <w:rPr>
          <w:rFonts w:hint="eastAsia"/>
          <w:sz w:val="24"/>
          <w:highlight w:val="none"/>
        </w:rPr>
        <w:t>将货物交付给买方且买方签收货物之</w:t>
      </w:r>
      <w:r>
        <w:rPr>
          <w:sz w:val="24"/>
          <w:highlight w:val="none"/>
        </w:rPr>
        <w:t>前</w:t>
      </w:r>
      <w:r>
        <w:rPr>
          <w:rFonts w:hint="eastAsia"/>
          <w:sz w:val="24"/>
          <w:highlight w:val="none"/>
        </w:rPr>
        <w:t>，货物的一切</w:t>
      </w:r>
      <w:r>
        <w:rPr>
          <w:sz w:val="24"/>
          <w:highlight w:val="none"/>
        </w:rPr>
        <w:t>风险</w:t>
      </w:r>
      <w:r>
        <w:rPr>
          <w:rFonts w:hint="eastAsia"/>
          <w:sz w:val="24"/>
          <w:highlight w:val="none"/>
        </w:rPr>
        <w:t>（</w:t>
      </w:r>
      <w:r>
        <w:rPr>
          <w:sz w:val="24"/>
          <w:highlight w:val="none"/>
        </w:rPr>
        <w:t>包括</w:t>
      </w:r>
      <w:r>
        <w:rPr>
          <w:rFonts w:hint="eastAsia"/>
          <w:sz w:val="24"/>
          <w:highlight w:val="none"/>
        </w:rPr>
        <w:t>货物</w:t>
      </w:r>
      <w:r>
        <w:rPr>
          <w:sz w:val="24"/>
          <w:highlight w:val="none"/>
        </w:rPr>
        <w:t>在制造、储存和</w:t>
      </w:r>
      <w:r>
        <w:rPr>
          <w:rFonts w:hint="eastAsia"/>
          <w:sz w:val="24"/>
          <w:highlight w:val="none"/>
        </w:rPr>
        <w:t>自</w:t>
      </w:r>
      <w:r>
        <w:rPr>
          <w:sz w:val="24"/>
          <w:highlight w:val="none"/>
        </w:rPr>
        <w:t>发货地点至指定</w:t>
      </w:r>
      <w:r>
        <w:rPr>
          <w:rFonts w:hint="eastAsia"/>
          <w:sz w:val="24"/>
          <w:highlight w:val="none"/>
        </w:rPr>
        <w:t>交</w:t>
      </w:r>
      <w:r>
        <w:rPr>
          <w:sz w:val="24"/>
          <w:highlight w:val="none"/>
        </w:rPr>
        <w:t>货地点运输</w:t>
      </w:r>
      <w:r>
        <w:rPr>
          <w:rFonts w:hint="eastAsia"/>
          <w:sz w:val="24"/>
          <w:highlight w:val="none"/>
        </w:rPr>
        <w:t>及装卸货</w:t>
      </w:r>
      <w:r>
        <w:rPr>
          <w:sz w:val="24"/>
          <w:highlight w:val="none"/>
        </w:rPr>
        <w:t>过程中</w:t>
      </w:r>
      <w:r>
        <w:rPr>
          <w:rFonts w:hint="eastAsia"/>
          <w:sz w:val="24"/>
          <w:highlight w:val="none"/>
        </w:rPr>
        <w:t>毁损、灭失的</w:t>
      </w:r>
      <w:r>
        <w:rPr>
          <w:sz w:val="24"/>
          <w:highlight w:val="none"/>
        </w:rPr>
        <w:t>风险</w:t>
      </w:r>
      <w:r>
        <w:rPr>
          <w:rFonts w:hint="eastAsia"/>
          <w:sz w:val="24"/>
          <w:highlight w:val="none"/>
        </w:rPr>
        <w:t>）由卖方承担。卖方在指定交货地点将货物交付给买方且买方签收货物之后，货物</w:t>
      </w:r>
      <w:r>
        <w:rPr>
          <w:sz w:val="24"/>
          <w:highlight w:val="none"/>
        </w:rPr>
        <w:t>的</w:t>
      </w:r>
      <w:r>
        <w:rPr>
          <w:rFonts w:hint="eastAsia"/>
          <w:sz w:val="24"/>
          <w:highlight w:val="none"/>
        </w:rPr>
        <w:t>一切</w:t>
      </w:r>
      <w:r>
        <w:rPr>
          <w:sz w:val="24"/>
          <w:highlight w:val="none"/>
        </w:rPr>
        <w:t>风险</w:t>
      </w:r>
      <w:r>
        <w:rPr>
          <w:rFonts w:hint="eastAsia"/>
          <w:sz w:val="24"/>
          <w:highlight w:val="none"/>
        </w:rPr>
        <w:t>由买</w:t>
      </w:r>
      <w:r>
        <w:rPr>
          <w:sz w:val="24"/>
          <w:highlight w:val="none"/>
        </w:rPr>
        <w:t>方</w:t>
      </w:r>
      <w:r>
        <w:rPr>
          <w:rFonts w:hint="eastAsia"/>
          <w:sz w:val="24"/>
          <w:highlight w:val="none"/>
        </w:rPr>
        <w:t>承担</w:t>
      </w:r>
      <w:r>
        <w:rPr>
          <w:sz w:val="24"/>
          <w:highlight w:val="none"/>
        </w:rPr>
        <w:t>。</w:t>
      </w:r>
    </w:p>
    <w:p>
      <w:pPr>
        <w:numPr>
          <w:ilvl w:val="0"/>
          <w:numId w:val="17"/>
        </w:numPr>
        <w:tabs>
          <w:tab w:val="left" w:pos="567"/>
          <w:tab w:val="left" w:pos="709"/>
          <w:tab w:val="left" w:pos="3060"/>
        </w:tabs>
        <w:spacing w:before="72" w:beforeLines="30" w:after="72" w:afterLines="30" w:line="360" w:lineRule="auto"/>
        <w:ind w:left="567" w:hanging="567"/>
        <w:rPr>
          <w:sz w:val="24"/>
          <w:highlight w:val="none"/>
        </w:rPr>
      </w:pPr>
      <w:r>
        <w:rPr>
          <w:rFonts w:hint="eastAsia"/>
          <w:sz w:val="24"/>
          <w:highlight w:val="none"/>
        </w:rPr>
        <w:t>未经买方同意，卖方将货物留置或自行处置，不得视为货物合法、有效地交付买方。未经合法、有效交付，货物的风险仍由卖方承担。</w:t>
      </w:r>
    </w:p>
    <w:p>
      <w:pPr>
        <w:numPr>
          <w:ilvl w:val="0"/>
          <w:numId w:val="17"/>
        </w:numPr>
        <w:tabs>
          <w:tab w:val="left" w:pos="567"/>
          <w:tab w:val="left" w:pos="709"/>
          <w:tab w:val="left" w:pos="3060"/>
        </w:tabs>
        <w:spacing w:before="72" w:beforeLines="30" w:after="72" w:afterLines="30" w:line="360" w:lineRule="auto"/>
        <w:ind w:left="567" w:hanging="567"/>
        <w:rPr>
          <w:sz w:val="24"/>
          <w:highlight w:val="none"/>
        </w:rPr>
      </w:pPr>
      <w:r>
        <w:rPr>
          <w:rFonts w:hint="eastAsia"/>
          <w:sz w:val="24"/>
          <w:highlight w:val="none"/>
        </w:rPr>
        <w:t>虽然有前述规定，但是，如果货物的风险系因卖方违反合同规定、卖方的过错或者其它可归咎于卖方的原因造成的，货物的风险由卖方承担。</w:t>
      </w:r>
    </w:p>
    <w:p>
      <w:pPr>
        <w:numPr>
          <w:ilvl w:val="0"/>
          <w:numId w:val="17"/>
        </w:numPr>
        <w:tabs>
          <w:tab w:val="left" w:pos="567"/>
          <w:tab w:val="left" w:pos="709"/>
          <w:tab w:val="left" w:pos="3060"/>
        </w:tabs>
        <w:spacing w:before="72" w:beforeLines="30" w:after="72" w:afterLines="30" w:line="360" w:lineRule="auto"/>
        <w:ind w:left="567" w:hanging="567"/>
        <w:rPr>
          <w:sz w:val="24"/>
          <w:highlight w:val="none"/>
        </w:rPr>
      </w:pPr>
      <w:r>
        <w:rPr>
          <w:sz w:val="24"/>
          <w:highlight w:val="none"/>
        </w:rPr>
        <w:t>卖方在</w:t>
      </w:r>
      <w:r>
        <w:rPr>
          <w:rFonts w:hint="eastAsia"/>
          <w:sz w:val="24"/>
          <w:highlight w:val="none"/>
        </w:rPr>
        <w:t>约定</w:t>
      </w:r>
      <w:r>
        <w:rPr>
          <w:sz w:val="24"/>
          <w:highlight w:val="none"/>
        </w:rPr>
        <w:t>交货地点交货后，</w:t>
      </w:r>
      <w:r>
        <w:rPr>
          <w:rFonts w:hint="eastAsia"/>
          <w:sz w:val="24"/>
          <w:highlight w:val="none"/>
        </w:rPr>
        <w:t>货物</w:t>
      </w:r>
      <w:r>
        <w:rPr>
          <w:sz w:val="24"/>
          <w:highlight w:val="none"/>
        </w:rPr>
        <w:t>的</w:t>
      </w:r>
      <w:r>
        <w:rPr>
          <w:rFonts w:hint="eastAsia"/>
          <w:sz w:val="24"/>
          <w:highlight w:val="none"/>
        </w:rPr>
        <w:t>所有</w:t>
      </w:r>
      <w:r>
        <w:rPr>
          <w:sz w:val="24"/>
          <w:highlight w:val="none"/>
        </w:rPr>
        <w:t>权转移</w:t>
      </w:r>
      <w:r>
        <w:rPr>
          <w:rFonts w:hint="eastAsia"/>
          <w:sz w:val="24"/>
          <w:highlight w:val="none"/>
        </w:rPr>
        <w:t>至</w:t>
      </w:r>
      <w:r>
        <w:rPr>
          <w:sz w:val="24"/>
          <w:highlight w:val="none"/>
        </w:rPr>
        <w:t>买方。</w:t>
      </w:r>
    </w:p>
    <w:p>
      <w:pPr>
        <w:tabs>
          <w:tab w:val="left" w:pos="709"/>
          <w:tab w:val="left" w:pos="3060"/>
        </w:tabs>
        <w:spacing w:before="72" w:beforeLines="30" w:after="72" w:afterLines="30" w:line="360" w:lineRule="auto"/>
        <w:rPr>
          <w:i/>
          <w:sz w:val="24"/>
          <w:highlight w:val="none"/>
          <w:u w:val="single"/>
        </w:rPr>
      </w:pPr>
      <w:r>
        <w:rPr>
          <w:rFonts w:hint="eastAsia"/>
          <w:i/>
          <w:sz w:val="24"/>
          <w:highlight w:val="none"/>
          <w:u w:val="single"/>
        </w:rPr>
        <w:t>可选择条款—第九条技术服务条款，如不适用请删除</w:t>
      </w:r>
    </w:p>
    <w:p>
      <w:pPr>
        <w:pStyle w:val="9"/>
        <w:numPr>
          <w:ilvl w:val="0"/>
          <w:numId w:val="6"/>
        </w:numPr>
        <w:tabs>
          <w:tab w:val="left" w:pos="993"/>
        </w:tabs>
        <w:spacing w:before="72" w:beforeLines="30" w:after="72" w:afterLines="30" w:line="360" w:lineRule="auto"/>
        <w:ind w:left="567" w:hanging="567"/>
        <w:jc w:val="left"/>
        <w:rPr>
          <w:rFonts w:ascii="Times New Roman" w:hAnsi="Times New Roman"/>
          <w:sz w:val="24"/>
          <w:szCs w:val="24"/>
          <w:highlight w:val="none"/>
        </w:rPr>
      </w:pPr>
      <w:bookmarkStart w:id="65" w:name="_Toc306354317"/>
      <w:r>
        <w:rPr>
          <w:rFonts w:hint="eastAsia" w:ascii="Times New Roman" w:hAnsi="Times New Roman"/>
          <w:sz w:val="24"/>
          <w:szCs w:val="24"/>
          <w:highlight w:val="none"/>
        </w:rPr>
        <w:t>技术服务</w:t>
      </w:r>
    </w:p>
    <w:p>
      <w:pPr>
        <w:numPr>
          <w:ilvl w:val="0"/>
          <w:numId w:val="18"/>
        </w:numPr>
        <w:tabs>
          <w:tab w:val="left" w:pos="567"/>
          <w:tab w:val="clear" w:pos="1860"/>
        </w:tabs>
        <w:snapToGrid w:val="0"/>
        <w:spacing w:before="72" w:beforeLines="30" w:after="72" w:afterLines="30" w:line="360" w:lineRule="auto"/>
        <w:ind w:left="567" w:hanging="567"/>
        <w:rPr>
          <w:rFonts w:hAnsi="宋体"/>
          <w:sz w:val="24"/>
          <w:highlight w:val="none"/>
        </w:rPr>
      </w:pPr>
      <w:r>
        <w:rPr>
          <w:rFonts w:hint="eastAsia" w:hAnsi="宋体"/>
          <w:sz w:val="24"/>
          <w:highlight w:val="none"/>
        </w:rPr>
        <w:t>卖方应根据本合同的规定提供技术服务。相关费用已经包含在合同总价中，技术服务的内容和具体要求【</w:t>
      </w:r>
      <w:r>
        <w:rPr>
          <w:rFonts w:hint="eastAsia" w:hAnsi="宋体"/>
          <w:i/>
          <w:sz w:val="24"/>
          <w:highlight w:val="none"/>
        </w:rPr>
        <w:t>详见本合同附件二</w:t>
      </w:r>
      <w:r>
        <w:rPr>
          <w:rFonts w:hint="eastAsia" w:hAnsi="宋体"/>
          <w:sz w:val="24"/>
          <w:highlight w:val="none"/>
        </w:rPr>
        <w:t>】。</w:t>
      </w:r>
    </w:p>
    <w:p>
      <w:pPr>
        <w:numPr>
          <w:ilvl w:val="0"/>
          <w:numId w:val="18"/>
        </w:numPr>
        <w:tabs>
          <w:tab w:val="left" w:pos="567"/>
        </w:tabs>
        <w:snapToGrid w:val="0"/>
        <w:spacing w:before="72" w:beforeLines="30" w:after="72" w:afterLines="30" w:line="360" w:lineRule="auto"/>
        <w:ind w:left="567" w:hanging="567"/>
        <w:rPr>
          <w:rFonts w:hAnsi="宋体"/>
          <w:sz w:val="24"/>
          <w:highlight w:val="none"/>
        </w:rPr>
      </w:pPr>
      <w:r>
        <w:rPr>
          <w:rFonts w:hint="eastAsia" w:hAnsi="宋体"/>
          <w:sz w:val="24"/>
          <w:highlight w:val="none"/>
        </w:rPr>
        <w:t>卖方应根据买方要求，指派服务人员到项目现场或买方指定的其它地点提供技术服务。</w:t>
      </w:r>
    </w:p>
    <w:p>
      <w:pPr>
        <w:numPr>
          <w:ilvl w:val="0"/>
          <w:numId w:val="18"/>
        </w:numPr>
        <w:tabs>
          <w:tab w:val="left" w:pos="567"/>
        </w:tabs>
        <w:snapToGrid w:val="0"/>
        <w:spacing w:before="72" w:beforeLines="30" w:after="72" w:afterLines="30" w:line="360" w:lineRule="auto"/>
        <w:ind w:left="567" w:hanging="567"/>
        <w:rPr>
          <w:sz w:val="24"/>
          <w:highlight w:val="none"/>
        </w:rPr>
      </w:pPr>
      <w:bookmarkStart w:id="66" w:name="_DV_C687"/>
      <w:r>
        <w:rPr>
          <w:rFonts w:hint="eastAsia" w:hAnsi="宋体"/>
          <w:sz w:val="24"/>
          <w:highlight w:val="none"/>
        </w:rPr>
        <w:t>如果买方认为卖方指派的服务人员提供的技术服务无法满足本合同的要求，卖方应更换服务人员并负担由此产生的全部费用。</w:t>
      </w:r>
      <w:bookmarkEnd w:id="66"/>
    </w:p>
    <w:p>
      <w:pPr>
        <w:numPr>
          <w:ilvl w:val="0"/>
          <w:numId w:val="18"/>
        </w:numPr>
        <w:tabs>
          <w:tab w:val="left" w:pos="567"/>
        </w:tabs>
        <w:snapToGrid w:val="0"/>
        <w:spacing w:before="72" w:beforeLines="30" w:after="72" w:afterLines="30" w:line="360" w:lineRule="auto"/>
        <w:ind w:left="567" w:hanging="567"/>
        <w:rPr>
          <w:sz w:val="24"/>
          <w:highlight w:val="none"/>
        </w:rPr>
      </w:pPr>
      <w:r>
        <w:rPr>
          <w:rFonts w:hint="eastAsia"/>
          <w:sz w:val="24"/>
          <w:highlight w:val="none"/>
        </w:rPr>
        <w:t>卖方指派的服务人员在为买方提供技术服务期间所遭受的人身和财产损失由卖方自行承担，除非该人身损害系因买方造成或该财产损失系因买方重大过失造成。</w:t>
      </w:r>
    </w:p>
    <w:p>
      <w:pPr>
        <w:pStyle w:val="9"/>
        <w:numPr>
          <w:ilvl w:val="0"/>
          <w:numId w:val="6"/>
        </w:numPr>
        <w:tabs>
          <w:tab w:val="left" w:pos="993"/>
        </w:tabs>
        <w:spacing w:before="72" w:beforeLines="30" w:after="72" w:afterLines="30" w:line="360" w:lineRule="auto"/>
        <w:ind w:left="567" w:hanging="567"/>
        <w:jc w:val="left"/>
        <w:rPr>
          <w:sz w:val="24"/>
          <w:szCs w:val="24"/>
          <w:highlight w:val="none"/>
        </w:rPr>
      </w:pPr>
      <w:r>
        <w:rPr>
          <w:rFonts w:hint="eastAsia"/>
          <w:sz w:val="24"/>
          <w:szCs w:val="24"/>
          <w:highlight w:val="none"/>
        </w:rPr>
        <w:t>权利保证</w:t>
      </w:r>
      <w:bookmarkEnd w:id="65"/>
    </w:p>
    <w:p>
      <w:pPr>
        <w:widowControl/>
        <w:numPr>
          <w:ilvl w:val="0"/>
          <w:numId w:val="19"/>
        </w:numPr>
        <w:tabs>
          <w:tab w:val="left" w:pos="567"/>
          <w:tab w:val="left" w:pos="709"/>
        </w:tabs>
        <w:spacing w:before="72" w:beforeLines="30" w:after="72" w:afterLines="30" w:line="360" w:lineRule="auto"/>
        <w:ind w:left="567" w:hanging="567"/>
        <w:rPr>
          <w:sz w:val="24"/>
          <w:highlight w:val="none"/>
        </w:rPr>
      </w:pPr>
      <w:r>
        <w:rPr>
          <w:sz w:val="24"/>
          <w:highlight w:val="none"/>
        </w:rPr>
        <w:t>卖方保证，</w:t>
      </w:r>
      <w:r>
        <w:rPr>
          <w:rFonts w:hint="eastAsia"/>
          <w:sz w:val="24"/>
          <w:highlight w:val="none"/>
        </w:rPr>
        <w:t>货物未</w:t>
      </w:r>
      <w:r>
        <w:rPr>
          <w:sz w:val="24"/>
          <w:highlight w:val="none"/>
        </w:rPr>
        <w:t>侵犯任何第三方的专利权、商标权</w:t>
      </w:r>
      <w:r>
        <w:rPr>
          <w:rFonts w:hint="eastAsia"/>
          <w:sz w:val="24"/>
          <w:highlight w:val="none"/>
        </w:rPr>
        <w:t>或其它知识产</w:t>
      </w:r>
      <w:r>
        <w:rPr>
          <w:sz w:val="24"/>
          <w:highlight w:val="none"/>
        </w:rPr>
        <w:t>权</w:t>
      </w:r>
      <w:r>
        <w:rPr>
          <w:rFonts w:hint="eastAsia"/>
          <w:sz w:val="24"/>
          <w:highlight w:val="none"/>
        </w:rPr>
        <w:t>，货物</w:t>
      </w:r>
      <w:r>
        <w:rPr>
          <w:sz w:val="24"/>
          <w:highlight w:val="none"/>
        </w:rPr>
        <w:t>包含的全部专利、商标</w:t>
      </w:r>
      <w:r>
        <w:rPr>
          <w:rFonts w:hint="eastAsia"/>
          <w:sz w:val="24"/>
          <w:highlight w:val="none"/>
        </w:rPr>
        <w:t>及其它知识产权</w:t>
      </w:r>
      <w:r>
        <w:rPr>
          <w:sz w:val="24"/>
          <w:highlight w:val="none"/>
        </w:rPr>
        <w:t>均为卖方</w:t>
      </w:r>
      <w:r>
        <w:rPr>
          <w:rFonts w:hint="eastAsia"/>
          <w:sz w:val="24"/>
          <w:highlight w:val="none"/>
        </w:rPr>
        <w:t>合法</w:t>
      </w:r>
      <w:r>
        <w:rPr>
          <w:sz w:val="24"/>
          <w:highlight w:val="none"/>
        </w:rPr>
        <w:t>拥有或已获得</w:t>
      </w:r>
      <w:r>
        <w:rPr>
          <w:rFonts w:hint="eastAsia"/>
          <w:sz w:val="24"/>
          <w:highlight w:val="none"/>
        </w:rPr>
        <w:t>第三方</w:t>
      </w:r>
      <w:r>
        <w:rPr>
          <w:sz w:val="24"/>
          <w:highlight w:val="none"/>
        </w:rPr>
        <w:t>的</w:t>
      </w:r>
      <w:r>
        <w:rPr>
          <w:rFonts w:hint="eastAsia"/>
          <w:sz w:val="24"/>
          <w:highlight w:val="none"/>
        </w:rPr>
        <w:t>有效</w:t>
      </w:r>
      <w:r>
        <w:rPr>
          <w:sz w:val="24"/>
          <w:highlight w:val="none"/>
        </w:rPr>
        <w:t>授权。</w:t>
      </w:r>
    </w:p>
    <w:p>
      <w:pPr>
        <w:widowControl/>
        <w:numPr>
          <w:ilvl w:val="0"/>
          <w:numId w:val="19"/>
        </w:numPr>
        <w:tabs>
          <w:tab w:val="left" w:pos="567"/>
          <w:tab w:val="left" w:pos="709"/>
        </w:tabs>
        <w:spacing w:before="72" w:beforeLines="30" w:after="72" w:afterLines="30" w:line="360" w:lineRule="auto"/>
        <w:ind w:left="567" w:hanging="567"/>
        <w:rPr>
          <w:sz w:val="24"/>
          <w:highlight w:val="none"/>
        </w:rPr>
      </w:pPr>
      <w:r>
        <w:rPr>
          <w:sz w:val="24"/>
          <w:highlight w:val="none"/>
        </w:rPr>
        <w:t>卖方保证，</w:t>
      </w:r>
      <w:r>
        <w:rPr>
          <w:rFonts w:hint="eastAsia"/>
          <w:sz w:val="24"/>
          <w:highlight w:val="none"/>
        </w:rPr>
        <w:t>货物交付前，</w:t>
      </w:r>
      <w:r>
        <w:rPr>
          <w:sz w:val="24"/>
          <w:highlight w:val="none"/>
        </w:rPr>
        <w:t>卖方</w:t>
      </w:r>
      <w:r>
        <w:rPr>
          <w:rFonts w:hint="eastAsia"/>
          <w:sz w:val="24"/>
          <w:highlight w:val="none"/>
        </w:rPr>
        <w:t>对其货物享有完整的所有权，且货物上不存在任何形式的担保物权及其它任何权利负担，亦未</w:t>
      </w:r>
      <w:r>
        <w:rPr>
          <w:sz w:val="24"/>
          <w:highlight w:val="none"/>
        </w:rPr>
        <w:t>侵犯任何第三方的</w:t>
      </w:r>
      <w:r>
        <w:rPr>
          <w:rFonts w:hint="eastAsia"/>
          <w:sz w:val="24"/>
          <w:highlight w:val="none"/>
        </w:rPr>
        <w:t>权利。</w:t>
      </w:r>
    </w:p>
    <w:p>
      <w:pPr>
        <w:widowControl/>
        <w:numPr>
          <w:ilvl w:val="0"/>
          <w:numId w:val="19"/>
        </w:numPr>
        <w:tabs>
          <w:tab w:val="left" w:pos="567"/>
          <w:tab w:val="left" w:pos="709"/>
        </w:tabs>
        <w:spacing w:before="72" w:beforeLines="30" w:after="72" w:afterLines="30" w:line="360" w:lineRule="auto"/>
        <w:ind w:left="567" w:hanging="567"/>
        <w:rPr>
          <w:sz w:val="24"/>
          <w:highlight w:val="none"/>
        </w:rPr>
      </w:pPr>
      <w:r>
        <w:rPr>
          <w:rFonts w:hint="eastAsia"/>
          <w:sz w:val="24"/>
          <w:highlight w:val="none"/>
        </w:rPr>
        <w:t>如货物侵犯任何第三方的权利（包括</w:t>
      </w:r>
      <w:r>
        <w:rPr>
          <w:sz w:val="24"/>
          <w:highlight w:val="none"/>
        </w:rPr>
        <w:t>知识产权</w:t>
      </w:r>
      <w:r>
        <w:rPr>
          <w:rFonts w:hint="eastAsia"/>
          <w:sz w:val="24"/>
          <w:highlight w:val="none"/>
        </w:rPr>
        <w:t>）</w:t>
      </w:r>
      <w:r>
        <w:rPr>
          <w:sz w:val="24"/>
          <w:highlight w:val="none"/>
        </w:rPr>
        <w:t>，卖方应根据买方</w:t>
      </w:r>
      <w:r>
        <w:rPr>
          <w:rFonts w:hint="eastAsia"/>
          <w:sz w:val="24"/>
          <w:highlight w:val="none"/>
        </w:rPr>
        <w:t>的</w:t>
      </w:r>
      <w:r>
        <w:rPr>
          <w:sz w:val="24"/>
          <w:highlight w:val="none"/>
        </w:rPr>
        <w:t>要求</w:t>
      </w:r>
      <w:r>
        <w:rPr>
          <w:rFonts w:hint="eastAsia"/>
          <w:sz w:val="24"/>
          <w:highlight w:val="none"/>
        </w:rPr>
        <w:t>自行承担费用</w:t>
      </w:r>
      <w:r>
        <w:rPr>
          <w:sz w:val="24"/>
          <w:highlight w:val="none"/>
        </w:rPr>
        <w:t>采取一切措施确保买方继续获得</w:t>
      </w:r>
      <w:r>
        <w:rPr>
          <w:rFonts w:hint="eastAsia"/>
          <w:sz w:val="24"/>
          <w:highlight w:val="none"/>
        </w:rPr>
        <w:t>货物</w:t>
      </w:r>
      <w:r>
        <w:rPr>
          <w:sz w:val="24"/>
          <w:highlight w:val="none"/>
        </w:rPr>
        <w:t>的权利，包括为买方</w:t>
      </w:r>
      <w:r>
        <w:rPr>
          <w:rFonts w:hint="eastAsia"/>
          <w:sz w:val="24"/>
          <w:highlight w:val="none"/>
        </w:rPr>
        <w:t>的利益</w:t>
      </w:r>
      <w:r>
        <w:rPr>
          <w:sz w:val="24"/>
          <w:highlight w:val="none"/>
        </w:rPr>
        <w:t>购买</w:t>
      </w:r>
      <w:r>
        <w:rPr>
          <w:rFonts w:hint="eastAsia"/>
          <w:sz w:val="24"/>
          <w:highlight w:val="none"/>
        </w:rPr>
        <w:t>货物的全部权益（包括但不限于知识产权），或采用</w:t>
      </w:r>
      <w:r>
        <w:rPr>
          <w:sz w:val="24"/>
          <w:highlight w:val="none"/>
        </w:rPr>
        <w:t>不侵权的材料、零部件、设计、技术、工艺、方法对</w:t>
      </w:r>
      <w:r>
        <w:rPr>
          <w:rFonts w:hint="eastAsia"/>
          <w:sz w:val="24"/>
          <w:highlight w:val="none"/>
        </w:rPr>
        <w:t>货物</w:t>
      </w:r>
      <w:r>
        <w:rPr>
          <w:sz w:val="24"/>
          <w:highlight w:val="none"/>
        </w:rPr>
        <w:t>进行变更，变更后</w:t>
      </w:r>
      <w:r>
        <w:rPr>
          <w:rFonts w:hint="eastAsia"/>
          <w:sz w:val="24"/>
          <w:highlight w:val="none"/>
        </w:rPr>
        <w:t>货物</w:t>
      </w:r>
      <w:r>
        <w:rPr>
          <w:sz w:val="24"/>
          <w:highlight w:val="none"/>
        </w:rPr>
        <w:t>的功能、品质和水平应符合本合同的</w:t>
      </w:r>
      <w:r>
        <w:rPr>
          <w:rFonts w:hint="eastAsia"/>
          <w:sz w:val="24"/>
          <w:highlight w:val="none"/>
        </w:rPr>
        <w:t>规定，且</w:t>
      </w:r>
      <w:r>
        <w:rPr>
          <w:sz w:val="24"/>
          <w:highlight w:val="none"/>
        </w:rPr>
        <w:t>不低于变更前的</w:t>
      </w:r>
      <w:r>
        <w:rPr>
          <w:rFonts w:hint="eastAsia"/>
          <w:sz w:val="24"/>
          <w:highlight w:val="none"/>
        </w:rPr>
        <w:t>货物</w:t>
      </w:r>
      <w:r>
        <w:rPr>
          <w:sz w:val="24"/>
          <w:highlight w:val="none"/>
        </w:rPr>
        <w:t>。</w:t>
      </w:r>
    </w:p>
    <w:p>
      <w:pPr>
        <w:widowControl/>
        <w:numPr>
          <w:ilvl w:val="0"/>
          <w:numId w:val="19"/>
        </w:numPr>
        <w:tabs>
          <w:tab w:val="left" w:pos="567"/>
          <w:tab w:val="left" w:pos="709"/>
        </w:tabs>
        <w:spacing w:before="72" w:beforeLines="30" w:after="72" w:afterLines="30" w:line="360" w:lineRule="auto"/>
        <w:ind w:left="567" w:hanging="567"/>
        <w:rPr>
          <w:sz w:val="24"/>
          <w:highlight w:val="none"/>
        </w:rPr>
      </w:pPr>
      <w:r>
        <w:rPr>
          <w:rFonts w:hint="eastAsia"/>
          <w:sz w:val="24"/>
          <w:highlight w:val="none"/>
        </w:rPr>
        <w:t>双方同意，除非本合同另有约定，货物交付且买方按照本合同约定支付合同价款之后，买方</w:t>
      </w:r>
      <w:r>
        <w:rPr>
          <w:rFonts w:hint="eastAsia"/>
          <w:color w:val="000000"/>
          <w:sz w:val="24"/>
          <w:highlight w:val="none"/>
        </w:rPr>
        <w:t>不自动获得并拥有货物自身附有的相关知识产权，但</w:t>
      </w:r>
      <w:r>
        <w:rPr>
          <w:rFonts w:hint="eastAsia"/>
          <w:sz w:val="24"/>
          <w:highlight w:val="none"/>
        </w:rPr>
        <w:t>卖方同意无偿许可买方使用与货物有关的所有知识产权。</w:t>
      </w:r>
    </w:p>
    <w:p>
      <w:pPr>
        <w:pStyle w:val="9"/>
        <w:numPr>
          <w:ilvl w:val="0"/>
          <w:numId w:val="6"/>
        </w:numPr>
        <w:tabs>
          <w:tab w:val="left" w:pos="993"/>
        </w:tabs>
        <w:spacing w:before="72" w:beforeLines="30" w:after="72" w:afterLines="30" w:line="360" w:lineRule="auto"/>
        <w:ind w:left="567" w:hanging="567"/>
        <w:jc w:val="left"/>
        <w:rPr>
          <w:sz w:val="24"/>
          <w:szCs w:val="24"/>
          <w:highlight w:val="none"/>
        </w:rPr>
      </w:pPr>
      <w:bookmarkStart w:id="67" w:name="_Toc306354318"/>
      <w:r>
        <w:rPr>
          <w:rFonts w:hint="eastAsia"/>
          <w:sz w:val="24"/>
          <w:szCs w:val="24"/>
          <w:highlight w:val="none"/>
        </w:rPr>
        <w:t xml:space="preserve"> </w:t>
      </w:r>
      <w:r>
        <w:rPr>
          <w:sz w:val="24"/>
          <w:szCs w:val="24"/>
          <w:highlight w:val="none"/>
        </w:rPr>
        <w:t>质量保证</w:t>
      </w:r>
      <w:bookmarkEnd w:id="67"/>
    </w:p>
    <w:p>
      <w:pPr>
        <w:numPr>
          <w:ilvl w:val="0"/>
          <w:numId w:val="20"/>
        </w:numPr>
        <w:tabs>
          <w:tab w:val="left" w:pos="567"/>
          <w:tab w:val="left" w:pos="709"/>
          <w:tab w:val="clear" w:pos="1860"/>
        </w:tabs>
        <w:autoSpaceDE w:val="0"/>
        <w:autoSpaceDN w:val="0"/>
        <w:adjustRightInd w:val="0"/>
        <w:spacing w:before="72" w:beforeLines="30" w:after="72" w:afterLines="30" w:line="360" w:lineRule="auto"/>
        <w:ind w:left="567" w:hanging="567"/>
        <w:jc w:val="left"/>
        <w:rPr>
          <w:sz w:val="24"/>
          <w:highlight w:val="none"/>
        </w:rPr>
      </w:pPr>
      <w:r>
        <w:rPr>
          <w:sz w:val="24"/>
          <w:highlight w:val="none"/>
        </w:rPr>
        <w:t>卖方特此保证提供的货物</w:t>
      </w:r>
      <w:r>
        <w:rPr>
          <w:rFonts w:hint="eastAsia"/>
          <w:sz w:val="24"/>
          <w:highlight w:val="none"/>
        </w:rPr>
        <w:t>是崭新、从未使用过的，采用先进技术制造，具备优良的制造工艺和水平，符合本合同规定的要求，不存在任何缺陷。</w:t>
      </w:r>
    </w:p>
    <w:p>
      <w:pPr>
        <w:numPr>
          <w:ilvl w:val="0"/>
          <w:numId w:val="20"/>
        </w:numPr>
        <w:tabs>
          <w:tab w:val="left" w:pos="567"/>
          <w:tab w:val="left" w:pos="709"/>
          <w:tab w:val="clear" w:pos="1860"/>
        </w:tabs>
        <w:autoSpaceDE w:val="0"/>
        <w:autoSpaceDN w:val="0"/>
        <w:adjustRightInd w:val="0"/>
        <w:spacing w:before="72" w:beforeLines="30" w:after="72" w:afterLines="30" w:line="360" w:lineRule="auto"/>
        <w:ind w:left="567" w:hanging="567"/>
        <w:jc w:val="left"/>
        <w:rPr>
          <w:color w:val="000000"/>
          <w:sz w:val="24"/>
          <w:highlight w:val="none"/>
        </w:rPr>
      </w:pPr>
      <w:r>
        <w:rPr>
          <w:rFonts w:hint="eastAsia"/>
          <w:sz w:val="24"/>
          <w:highlight w:val="none"/>
        </w:rPr>
        <w:t>货物的质保期为货物到货验收合格后</w:t>
      </w:r>
      <w:r>
        <w:rPr>
          <w:rFonts w:hint="eastAsia"/>
          <w:color w:val="000000"/>
          <w:sz w:val="24"/>
          <w:highlight w:val="none"/>
        </w:rPr>
        <w:t>【</w:t>
      </w:r>
      <w:r>
        <w:rPr>
          <w:rFonts w:hint="eastAsia"/>
          <w:i/>
          <w:color w:val="000000"/>
          <w:sz w:val="24"/>
          <w:highlight w:val="none"/>
        </w:rPr>
        <w:t>填入月数</w:t>
      </w:r>
      <w:r>
        <w:rPr>
          <w:rFonts w:hint="eastAsia"/>
          <w:color w:val="000000"/>
          <w:sz w:val="24"/>
          <w:highlight w:val="none"/>
        </w:rPr>
        <w:t>】个月。</w:t>
      </w:r>
    </w:p>
    <w:p>
      <w:pPr>
        <w:numPr>
          <w:ilvl w:val="0"/>
          <w:numId w:val="20"/>
        </w:numPr>
        <w:tabs>
          <w:tab w:val="left" w:pos="567"/>
          <w:tab w:val="left" w:pos="709"/>
          <w:tab w:val="clear" w:pos="1860"/>
        </w:tabs>
        <w:autoSpaceDE w:val="0"/>
        <w:autoSpaceDN w:val="0"/>
        <w:adjustRightInd w:val="0"/>
        <w:spacing w:before="72" w:beforeLines="30" w:after="72" w:afterLines="30" w:line="360" w:lineRule="auto"/>
        <w:ind w:left="567" w:hanging="567"/>
        <w:jc w:val="left"/>
        <w:rPr>
          <w:sz w:val="24"/>
          <w:highlight w:val="none"/>
        </w:rPr>
      </w:pPr>
      <w:r>
        <w:rPr>
          <w:rFonts w:hint="eastAsia"/>
          <w:sz w:val="24"/>
          <w:highlight w:val="none"/>
        </w:rPr>
        <w:t>质保期内，如发现货物违反本合同项下的任何保证，买方有权选择且卖方应采取下列补救措施：</w:t>
      </w:r>
    </w:p>
    <w:p>
      <w:pPr>
        <w:tabs>
          <w:tab w:val="left" w:pos="1860"/>
        </w:tabs>
        <w:autoSpaceDE w:val="0"/>
        <w:autoSpaceDN w:val="0"/>
        <w:adjustRightInd w:val="0"/>
        <w:spacing w:before="72" w:beforeLines="30" w:after="72" w:afterLines="30" w:line="360" w:lineRule="auto"/>
        <w:ind w:left="567"/>
        <w:jc w:val="left"/>
        <w:rPr>
          <w:sz w:val="24"/>
          <w:highlight w:val="none"/>
        </w:rPr>
      </w:pPr>
      <w:r>
        <w:rPr>
          <w:rFonts w:hint="eastAsia"/>
          <w:sz w:val="24"/>
          <w:highlight w:val="none"/>
        </w:rPr>
        <w:t>（1）卖方对货物进行修复使货物符合本合同项下的保证和本合同的约定。卖方承担由此产生的费用。</w:t>
      </w:r>
    </w:p>
    <w:p>
      <w:pPr>
        <w:tabs>
          <w:tab w:val="left" w:pos="1860"/>
        </w:tabs>
        <w:autoSpaceDE w:val="0"/>
        <w:autoSpaceDN w:val="0"/>
        <w:adjustRightInd w:val="0"/>
        <w:spacing w:before="72" w:beforeLines="30" w:after="72" w:afterLines="30" w:line="360" w:lineRule="auto"/>
        <w:ind w:left="567"/>
        <w:jc w:val="left"/>
        <w:rPr>
          <w:sz w:val="24"/>
          <w:highlight w:val="none"/>
        </w:rPr>
      </w:pPr>
      <w:r>
        <w:rPr>
          <w:rFonts w:hint="eastAsia"/>
          <w:sz w:val="24"/>
          <w:highlight w:val="none"/>
        </w:rPr>
        <w:t>（2）卖方对货物进行更换使货物符合本合同项下的保证和本合同的约定。卖方承担由此产生的费用。</w:t>
      </w:r>
    </w:p>
    <w:p>
      <w:pPr>
        <w:tabs>
          <w:tab w:val="left" w:pos="1860"/>
        </w:tabs>
        <w:autoSpaceDE w:val="0"/>
        <w:autoSpaceDN w:val="0"/>
        <w:adjustRightInd w:val="0"/>
        <w:spacing w:before="72" w:beforeLines="30" w:after="72" w:afterLines="30" w:line="360" w:lineRule="auto"/>
        <w:ind w:left="567"/>
        <w:jc w:val="left"/>
        <w:rPr>
          <w:sz w:val="24"/>
          <w:highlight w:val="none"/>
        </w:rPr>
      </w:pPr>
      <w:r>
        <w:rPr>
          <w:rFonts w:hint="eastAsia"/>
          <w:sz w:val="24"/>
          <w:highlight w:val="none"/>
        </w:rPr>
        <w:t>（3）退货。卖方承担由此产生的费用。</w:t>
      </w:r>
    </w:p>
    <w:p>
      <w:pPr>
        <w:numPr>
          <w:ilvl w:val="0"/>
          <w:numId w:val="20"/>
        </w:numPr>
        <w:tabs>
          <w:tab w:val="left" w:pos="567"/>
          <w:tab w:val="left" w:pos="709"/>
          <w:tab w:val="clear" w:pos="1860"/>
        </w:tabs>
        <w:autoSpaceDE w:val="0"/>
        <w:autoSpaceDN w:val="0"/>
        <w:adjustRightInd w:val="0"/>
        <w:spacing w:before="72" w:beforeLines="30" w:after="72" w:afterLines="30" w:line="360" w:lineRule="auto"/>
        <w:ind w:left="567" w:hanging="567"/>
        <w:jc w:val="left"/>
        <w:rPr>
          <w:sz w:val="24"/>
          <w:highlight w:val="none"/>
        </w:rPr>
      </w:pPr>
      <w:r>
        <w:rPr>
          <w:rFonts w:hAnsi="宋体"/>
          <w:sz w:val="24"/>
          <w:highlight w:val="none"/>
        </w:rPr>
        <w:t>对于任何修复或更换，卖方应在收到</w:t>
      </w:r>
      <w:r>
        <w:rPr>
          <w:rFonts w:hint="eastAsia" w:hAnsi="宋体"/>
          <w:sz w:val="24"/>
          <w:highlight w:val="none"/>
        </w:rPr>
        <w:t>买方发出的</w:t>
      </w:r>
      <w:r>
        <w:rPr>
          <w:rFonts w:hAnsi="宋体"/>
          <w:sz w:val="24"/>
          <w:highlight w:val="none"/>
        </w:rPr>
        <w:t>货物缺陷通知后</w:t>
      </w:r>
      <w:r>
        <w:rPr>
          <w:rFonts w:hint="eastAsia"/>
          <w:color w:val="000000"/>
          <w:sz w:val="24"/>
          <w:highlight w:val="none"/>
        </w:rPr>
        <w:t>【</w:t>
      </w:r>
      <w:r>
        <w:rPr>
          <w:rFonts w:hint="eastAsia"/>
          <w:i/>
          <w:color w:val="000000"/>
          <w:sz w:val="24"/>
          <w:highlight w:val="none"/>
        </w:rPr>
        <w:t>填入天数</w:t>
      </w:r>
      <w:r>
        <w:rPr>
          <w:rFonts w:hint="eastAsia"/>
          <w:color w:val="000000"/>
          <w:sz w:val="24"/>
          <w:highlight w:val="none"/>
        </w:rPr>
        <w:t>】</w:t>
      </w:r>
      <w:r>
        <w:rPr>
          <w:rFonts w:hint="eastAsia" w:hAnsi="宋体"/>
          <w:sz w:val="24"/>
          <w:highlight w:val="none"/>
        </w:rPr>
        <w:t>日</w:t>
      </w:r>
      <w:r>
        <w:rPr>
          <w:rFonts w:hAnsi="宋体"/>
          <w:sz w:val="24"/>
          <w:highlight w:val="none"/>
        </w:rPr>
        <w:t>内完成。</w:t>
      </w:r>
      <w:r>
        <w:rPr>
          <w:rFonts w:hint="eastAsia" w:hAnsi="宋体"/>
          <w:sz w:val="24"/>
          <w:highlight w:val="none"/>
        </w:rPr>
        <w:t>若卖方到通知后未在规定的时间内及时维修、重作、更换以弥补缺陷，卖方可采取必要的补救措施，但其风险和费用将由买方承担，买方根据合同规定对买方行使的其他权利不受影响。</w:t>
      </w:r>
      <w:r>
        <w:rPr>
          <w:rFonts w:hAnsi="宋体"/>
          <w:sz w:val="24"/>
          <w:highlight w:val="none"/>
        </w:rPr>
        <w:t>如经修复、更换仍无法消除该等缺陷，买方有权要求退货。卖方应赔偿买方因货物存在前述缺陷遭受的全部损失。</w:t>
      </w:r>
    </w:p>
    <w:p>
      <w:pPr>
        <w:numPr>
          <w:ilvl w:val="0"/>
          <w:numId w:val="20"/>
        </w:numPr>
        <w:tabs>
          <w:tab w:val="left" w:pos="567"/>
          <w:tab w:val="left" w:pos="709"/>
          <w:tab w:val="clear" w:pos="1860"/>
        </w:tabs>
        <w:autoSpaceDE w:val="0"/>
        <w:autoSpaceDN w:val="0"/>
        <w:adjustRightInd w:val="0"/>
        <w:spacing w:before="72" w:beforeLines="30" w:after="72" w:afterLines="30" w:line="360" w:lineRule="auto"/>
        <w:ind w:left="567" w:hanging="567"/>
        <w:jc w:val="left"/>
        <w:rPr>
          <w:sz w:val="24"/>
          <w:highlight w:val="none"/>
        </w:rPr>
      </w:pPr>
      <w:r>
        <w:rPr>
          <w:rFonts w:hAnsi="宋体"/>
          <w:sz w:val="24"/>
          <w:highlight w:val="none"/>
        </w:rPr>
        <w:t>如在质保期内发生</w:t>
      </w:r>
      <w:r>
        <w:rPr>
          <w:rFonts w:hint="eastAsia" w:hAnsi="宋体"/>
          <w:sz w:val="24"/>
          <w:highlight w:val="none"/>
        </w:rPr>
        <w:t>维修、重作、更换以弥补缺陷事件，</w:t>
      </w:r>
      <w:r>
        <w:rPr>
          <w:rFonts w:hAnsi="宋体"/>
          <w:sz w:val="24"/>
          <w:highlight w:val="none"/>
        </w:rPr>
        <w:t>则相应的质保期应重新计算</w:t>
      </w:r>
      <w:r>
        <w:rPr>
          <w:rFonts w:hint="eastAsia" w:hAnsi="宋体"/>
          <w:sz w:val="24"/>
          <w:highlight w:val="none"/>
        </w:rPr>
        <w:t>。</w:t>
      </w:r>
    </w:p>
    <w:p>
      <w:pPr>
        <w:numPr>
          <w:ilvl w:val="0"/>
          <w:numId w:val="20"/>
        </w:numPr>
        <w:tabs>
          <w:tab w:val="left" w:pos="567"/>
          <w:tab w:val="left" w:pos="709"/>
          <w:tab w:val="clear" w:pos="1860"/>
        </w:tabs>
        <w:autoSpaceDE w:val="0"/>
        <w:autoSpaceDN w:val="0"/>
        <w:adjustRightInd w:val="0"/>
        <w:spacing w:before="72" w:beforeLines="30" w:after="72" w:afterLines="30" w:line="360" w:lineRule="auto"/>
        <w:ind w:left="567" w:hanging="567"/>
        <w:jc w:val="left"/>
        <w:rPr>
          <w:sz w:val="24"/>
          <w:highlight w:val="none"/>
        </w:rPr>
      </w:pPr>
      <w:r>
        <w:rPr>
          <w:rFonts w:hint="eastAsia" w:hAnsi="宋体"/>
          <w:sz w:val="24"/>
          <w:highlight w:val="none"/>
        </w:rPr>
        <w:t>质保期结束，买方向卖方签发货物最终接收证书。买方签发最终接收证书不减少、免除卖方在本合同项下的任何义务（包括卖方对货物应符合本合同质量、规格要求应承担的责任）。</w:t>
      </w:r>
    </w:p>
    <w:p>
      <w:pPr>
        <w:pStyle w:val="9"/>
        <w:numPr>
          <w:ilvl w:val="0"/>
          <w:numId w:val="6"/>
        </w:numPr>
        <w:tabs>
          <w:tab w:val="left" w:pos="993"/>
        </w:tabs>
        <w:spacing w:before="72" w:beforeLines="30" w:after="72" w:afterLines="30" w:line="360" w:lineRule="auto"/>
        <w:ind w:left="567" w:hanging="567"/>
        <w:jc w:val="left"/>
        <w:rPr>
          <w:rFonts w:ascii="Times New Roman" w:hAnsi="Times New Roman"/>
          <w:sz w:val="24"/>
          <w:szCs w:val="24"/>
          <w:highlight w:val="none"/>
        </w:rPr>
      </w:pPr>
      <w:bookmarkStart w:id="68" w:name="_Toc298158368"/>
      <w:bookmarkStart w:id="69" w:name="_Toc306354320"/>
      <w:bookmarkStart w:id="70" w:name="_Toc274075964"/>
      <w:bookmarkStart w:id="71" w:name="_Toc278875417"/>
      <w:bookmarkStart w:id="72" w:name="_Toc274669182"/>
      <w:bookmarkStart w:id="73" w:name="_Toc274668241"/>
      <w:bookmarkStart w:id="74" w:name="_Toc273451839"/>
      <w:bookmarkStart w:id="75" w:name="_Toc274403516"/>
      <w:bookmarkStart w:id="76" w:name="_Toc274344116"/>
      <w:bookmarkStart w:id="77" w:name="_Toc274076152"/>
      <w:bookmarkStart w:id="78" w:name="_Toc274343584"/>
      <w:bookmarkStart w:id="79" w:name="_Toc273451906"/>
      <w:bookmarkStart w:id="80" w:name="_Toc274754051"/>
      <w:bookmarkStart w:id="81" w:name="_Toc273451804"/>
      <w:bookmarkStart w:id="82" w:name="_Toc273458618"/>
      <w:bookmarkStart w:id="83" w:name="_Toc273388519"/>
      <w:bookmarkStart w:id="84" w:name="_Toc273388618"/>
      <w:bookmarkStart w:id="85" w:name="_Toc274075986"/>
      <w:r>
        <w:rPr>
          <w:rFonts w:hint="eastAsia" w:ascii="Times New Roman" w:hAnsi="Times New Roman"/>
          <w:sz w:val="24"/>
          <w:szCs w:val="24"/>
          <w:highlight w:val="none"/>
        </w:rPr>
        <w:t xml:space="preserve"> </w:t>
      </w:r>
      <w:r>
        <w:rPr>
          <w:rFonts w:ascii="Times New Roman" w:hAnsi="Times New Roman"/>
          <w:sz w:val="24"/>
          <w:szCs w:val="24"/>
          <w:highlight w:val="none"/>
        </w:rPr>
        <w:t>违约责任</w:t>
      </w:r>
      <w:bookmarkEnd w:id="68"/>
      <w:bookmarkEnd w:id="69"/>
      <w:bookmarkEnd w:id="70"/>
      <w:bookmarkEnd w:id="71"/>
      <w:bookmarkEnd w:id="72"/>
      <w:bookmarkEnd w:id="73"/>
      <w:bookmarkEnd w:id="74"/>
      <w:bookmarkEnd w:id="75"/>
      <w:bookmarkEnd w:id="76"/>
      <w:bookmarkEnd w:id="77"/>
      <w:bookmarkEnd w:id="78"/>
      <w:bookmarkEnd w:id="79"/>
      <w:bookmarkEnd w:id="80"/>
    </w:p>
    <w:p>
      <w:pPr>
        <w:numPr>
          <w:ilvl w:val="0"/>
          <w:numId w:val="21"/>
        </w:numPr>
        <w:tabs>
          <w:tab w:val="left" w:pos="567"/>
          <w:tab w:val="left" w:pos="709"/>
          <w:tab w:val="left" w:pos="3060"/>
        </w:tabs>
        <w:spacing w:before="72" w:beforeLines="30" w:after="72" w:afterLines="30" w:line="360" w:lineRule="auto"/>
        <w:ind w:left="567" w:hanging="567"/>
        <w:rPr>
          <w:sz w:val="24"/>
          <w:highlight w:val="none"/>
        </w:rPr>
      </w:pPr>
      <w:r>
        <w:rPr>
          <w:rFonts w:hint="eastAsia"/>
          <w:sz w:val="24"/>
          <w:highlight w:val="none"/>
        </w:rPr>
        <w:t>卖方发生下列任一违约行为时，应向买方支付合同总价</w:t>
      </w:r>
      <w:bookmarkStart w:id="86" w:name="OLE_LINK64"/>
      <w:bookmarkStart w:id="87" w:name="OLE_LINK65"/>
      <w:r>
        <w:rPr>
          <w:rFonts w:hint="eastAsia"/>
          <w:sz w:val="24"/>
          <w:highlight w:val="none"/>
        </w:rPr>
        <w:t>【</w:t>
      </w:r>
      <w:r>
        <w:rPr>
          <w:rFonts w:hint="eastAsia"/>
          <w:i/>
          <w:sz w:val="24"/>
          <w:highlight w:val="none"/>
        </w:rPr>
        <w:t>填入百分比</w:t>
      </w:r>
      <w:r>
        <w:rPr>
          <w:rFonts w:hint="eastAsia"/>
          <w:sz w:val="24"/>
          <w:highlight w:val="none"/>
        </w:rPr>
        <w:t>】</w:t>
      </w:r>
      <w:bookmarkEnd w:id="86"/>
      <w:bookmarkEnd w:id="87"/>
      <w:r>
        <w:rPr>
          <w:rFonts w:hint="eastAsia"/>
          <w:sz w:val="24"/>
          <w:highlight w:val="none"/>
        </w:rPr>
        <w:t>的违约金，并赔偿买方因此遭受的</w:t>
      </w:r>
      <w:r>
        <w:rPr>
          <w:rFonts w:hint="eastAsia"/>
          <w:bCs/>
          <w:sz w:val="24"/>
          <w:highlight w:val="none"/>
        </w:rPr>
        <w:t>超出违约金数额的</w:t>
      </w:r>
      <w:r>
        <w:rPr>
          <w:rFonts w:hint="eastAsia"/>
          <w:sz w:val="24"/>
          <w:highlight w:val="none"/>
        </w:rPr>
        <w:t>全部损失：</w:t>
      </w:r>
    </w:p>
    <w:p>
      <w:pPr>
        <w:numPr>
          <w:ilvl w:val="1"/>
          <w:numId w:val="22"/>
        </w:numPr>
        <w:tabs>
          <w:tab w:val="left" w:pos="567"/>
          <w:tab w:val="left" w:pos="993"/>
        </w:tabs>
        <w:snapToGrid w:val="0"/>
        <w:spacing w:before="72" w:beforeLines="30" w:after="72" w:afterLines="30" w:line="360" w:lineRule="auto"/>
        <w:ind w:left="567" w:firstLine="0"/>
        <w:rPr>
          <w:sz w:val="24"/>
          <w:highlight w:val="none"/>
        </w:rPr>
      </w:pPr>
      <w:r>
        <w:rPr>
          <w:rFonts w:hint="eastAsia"/>
          <w:sz w:val="24"/>
          <w:highlight w:val="none"/>
        </w:rPr>
        <w:t>卖方未按照合同的规定提供货物和相关服务；</w:t>
      </w:r>
    </w:p>
    <w:p>
      <w:pPr>
        <w:numPr>
          <w:ilvl w:val="1"/>
          <w:numId w:val="22"/>
        </w:numPr>
        <w:tabs>
          <w:tab w:val="left" w:pos="567"/>
          <w:tab w:val="left" w:pos="993"/>
        </w:tabs>
        <w:snapToGrid w:val="0"/>
        <w:spacing w:before="72" w:beforeLines="30" w:after="72" w:afterLines="30" w:line="360" w:lineRule="auto"/>
        <w:ind w:left="567" w:firstLine="0"/>
        <w:rPr>
          <w:sz w:val="24"/>
          <w:highlight w:val="none"/>
        </w:rPr>
      </w:pPr>
      <w:r>
        <w:rPr>
          <w:rFonts w:hint="eastAsia"/>
          <w:sz w:val="24"/>
          <w:highlight w:val="none"/>
        </w:rPr>
        <w:t>卖方提供的货物不合格，且卖方未根据合同规定及时更换为合格产品；</w:t>
      </w:r>
    </w:p>
    <w:p>
      <w:pPr>
        <w:numPr>
          <w:ilvl w:val="1"/>
          <w:numId w:val="22"/>
        </w:numPr>
        <w:tabs>
          <w:tab w:val="left" w:pos="567"/>
          <w:tab w:val="left" w:pos="993"/>
        </w:tabs>
        <w:snapToGrid w:val="0"/>
        <w:spacing w:before="72" w:beforeLines="30" w:after="72" w:afterLines="30" w:line="360" w:lineRule="auto"/>
        <w:ind w:left="567" w:firstLine="0"/>
        <w:rPr>
          <w:sz w:val="24"/>
          <w:highlight w:val="none"/>
        </w:rPr>
      </w:pPr>
      <w:r>
        <w:rPr>
          <w:rFonts w:hint="eastAsia"/>
          <w:sz w:val="24"/>
          <w:highlight w:val="none"/>
        </w:rPr>
        <w:t>卖方违反本合同规定的承诺、保证或其它义务。</w:t>
      </w:r>
    </w:p>
    <w:p>
      <w:pPr>
        <w:numPr>
          <w:ilvl w:val="0"/>
          <w:numId w:val="21"/>
        </w:numPr>
        <w:tabs>
          <w:tab w:val="left" w:pos="567"/>
          <w:tab w:val="left" w:pos="709"/>
          <w:tab w:val="left" w:pos="3060"/>
        </w:tabs>
        <w:spacing w:before="72" w:beforeLines="30" w:after="72" w:afterLines="30" w:line="360" w:lineRule="auto"/>
        <w:ind w:left="567" w:hanging="567"/>
        <w:rPr>
          <w:sz w:val="24"/>
          <w:highlight w:val="none"/>
        </w:rPr>
      </w:pPr>
      <w:r>
        <w:rPr>
          <w:sz w:val="24"/>
          <w:highlight w:val="none"/>
        </w:rPr>
        <w:t>就卖方的上述违约行为</w:t>
      </w:r>
      <w:r>
        <w:rPr>
          <w:rFonts w:hint="eastAsia"/>
          <w:sz w:val="24"/>
          <w:highlight w:val="none"/>
        </w:rPr>
        <w:t>，买方除有权依据本合同第12.1款要求卖方承担违约责任外，有权</w:t>
      </w:r>
      <w:r>
        <w:rPr>
          <w:sz w:val="24"/>
          <w:highlight w:val="none"/>
        </w:rPr>
        <w:t>向卖方出具书面通知，要求卖方进行更正或整改</w:t>
      </w:r>
      <w:r>
        <w:rPr>
          <w:rFonts w:hint="eastAsia"/>
          <w:sz w:val="24"/>
          <w:highlight w:val="none"/>
        </w:rPr>
        <w:t>。如</w:t>
      </w:r>
      <w:r>
        <w:rPr>
          <w:sz w:val="24"/>
          <w:highlight w:val="none"/>
        </w:rPr>
        <w:t>卖方</w:t>
      </w:r>
      <w:r>
        <w:rPr>
          <w:rFonts w:hint="eastAsia"/>
          <w:sz w:val="24"/>
          <w:highlight w:val="none"/>
        </w:rPr>
        <w:t>收到该等通知后【</w:t>
      </w:r>
      <w:r>
        <w:rPr>
          <w:rFonts w:hint="eastAsia"/>
          <w:i/>
          <w:sz w:val="24"/>
          <w:highlight w:val="none"/>
        </w:rPr>
        <w:t>填入工作日数，如十（</w:t>
      </w:r>
      <w:r>
        <w:rPr>
          <w:i/>
          <w:sz w:val="24"/>
          <w:highlight w:val="none"/>
        </w:rPr>
        <w:t>10</w:t>
      </w:r>
      <w:r>
        <w:rPr>
          <w:rFonts w:hint="eastAsia"/>
          <w:i/>
          <w:sz w:val="24"/>
          <w:highlight w:val="none"/>
        </w:rPr>
        <w:t>）</w:t>
      </w:r>
      <w:r>
        <w:rPr>
          <w:rFonts w:hint="eastAsia"/>
          <w:sz w:val="24"/>
          <w:highlight w:val="none"/>
        </w:rPr>
        <w:t>】</w:t>
      </w:r>
      <w:r>
        <w:rPr>
          <w:sz w:val="24"/>
          <w:highlight w:val="none"/>
        </w:rPr>
        <w:t>个工作日内未按照买方要求</w:t>
      </w:r>
      <w:r>
        <w:rPr>
          <w:rFonts w:hint="eastAsia"/>
          <w:sz w:val="24"/>
          <w:highlight w:val="none"/>
        </w:rPr>
        <w:t>作出</w:t>
      </w:r>
      <w:r>
        <w:rPr>
          <w:sz w:val="24"/>
          <w:highlight w:val="none"/>
        </w:rPr>
        <w:t>更正或进行整改的，买方有权立即</w:t>
      </w:r>
      <w:r>
        <w:rPr>
          <w:rFonts w:hint="eastAsia"/>
          <w:sz w:val="24"/>
          <w:highlight w:val="none"/>
        </w:rPr>
        <w:t>解除</w:t>
      </w:r>
      <w:r>
        <w:rPr>
          <w:sz w:val="24"/>
          <w:highlight w:val="none"/>
        </w:rPr>
        <w:t>本合同，卖方应赔偿买方</w:t>
      </w:r>
      <w:r>
        <w:rPr>
          <w:rFonts w:hint="eastAsia"/>
          <w:sz w:val="24"/>
          <w:highlight w:val="none"/>
        </w:rPr>
        <w:t>因此</w:t>
      </w:r>
      <w:r>
        <w:rPr>
          <w:sz w:val="24"/>
          <w:highlight w:val="none"/>
        </w:rPr>
        <w:t>而遭受的</w:t>
      </w:r>
      <w:r>
        <w:rPr>
          <w:rFonts w:hint="eastAsia"/>
          <w:bCs/>
          <w:sz w:val="24"/>
          <w:highlight w:val="none"/>
        </w:rPr>
        <w:t>超出违约金数额的</w:t>
      </w:r>
      <w:r>
        <w:rPr>
          <w:sz w:val="24"/>
          <w:highlight w:val="none"/>
        </w:rPr>
        <w:t>全部损失。</w:t>
      </w:r>
    </w:p>
    <w:p>
      <w:pPr>
        <w:numPr>
          <w:ilvl w:val="0"/>
          <w:numId w:val="21"/>
        </w:numPr>
        <w:tabs>
          <w:tab w:val="left" w:pos="567"/>
          <w:tab w:val="left" w:pos="709"/>
          <w:tab w:val="left" w:pos="3060"/>
        </w:tabs>
        <w:spacing w:before="72" w:beforeLines="30" w:after="72" w:afterLines="30" w:line="360" w:lineRule="auto"/>
        <w:ind w:left="567" w:hanging="567"/>
        <w:rPr>
          <w:rFonts w:hAnsi="宋体"/>
          <w:bCs/>
          <w:sz w:val="24"/>
          <w:highlight w:val="none"/>
        </w:rPr>
      </w:pPr>
      <w:r>
        <w:rPr>
          <w:rFonts w:hint="eastAsia"/>
          <w:sz w:val="24"/>
          <w:highlight w:val="none"/>
        </w:rPr>
        <w:t>如卖方未能在交付日期交付货物，每延期交付一日，卖方应向买方支付合同总价的【</w:t>
      </w:r>
      <w:r>
        <w:rPr>
          <w:rFonts w:hint="eastAsia"/>
          <w:i/>
          <w:sz w:val="24"/>
          <w:highlight w:val="none"/>
        </w:rPr>
        <w:t>填入百分比</w:t>
      </w:r>
      <w:r>
        <w:rPr>
          <w:rFonts w:hint="eastAsia"/>
          <w:sz w:val="24"/>
          <w:highlight w:val="none"/>
        </w:rPr>
        <w:t>】作为延期违约金，但是，该等延期违约金最高不得超过合同总价的【</w:t>
      </w:r>
      <w:r>
        <w:rPr>
          <w:rFonts w:hint="eastAsia"/>
          <w:i/>
          <w:sz w:val="24"/>
          <w:highlight w:val="none"/>
        </w:rPr>
        <w:t>填入百分比</w:t>
      </w:r>
      <w:r>
        <w:rPr>
          <w:rFonts w:hint="eastAsia"/>
          <w:sz w:val="24"/>
          <w:highlight w:val="none"/>
        </w:rPr>
        <w:t>】。</w:t>
      </w:r>
      <w:r>
        <w:rPr>
          <w:rFonts w:hint="eastAsia" w:hAnsi="宋体"/>
          <w:bCs/>
          <w:sz w:val="24"/>
          <w:highlight w:val="none"/>
        </w:rPr>
        <w:t>如延期超过</w:t>
      </w:r>
      <w:r>
        <w:rPr>
          <w:rFonts w:hAnsi="宋体"/>
          <w:bCs/>
          <w:sz w:val="24"/>
          <w:highlight w:val="none"/>
        </w:rPr>
        <w:t>【</w:t>
      </w:r>
      <w:r>
        <w:rPr>
          <w:rFonts w:hint="eastAsia" w:hAnsi="宋体"/>
          <w:bCs/>
          <w:i/>
          <w:sz w:val="24"/>
          <w:highlight w:val="none"/>
        </w:rPr>
        <w:t>填入天数</w:t>
      </w:r>
      <w:r>
        <w:rPr>
          <w:rFonts w:hAnsi="宋体"/>
          <w:bCs/>
          <w:sz w:val="24"/>
          <w:highlight w:val="none"/>
        </w:rPr>
        <w:t>】</w:t>
      </w:r>
      <w:r>
        <w:rPr>
          <w:rFonts w:hint="eastAsia" w:hAnsi="宋体"/>
          <w:bCs/>
          <w:sz w:val="24"/>
          <w:highlight w:val="none"/>
        </w:rPr>
        <w:t>日，除要求卖方支付违约金外，买方有权解除本合同，并有权要求卖方赔偿买方因此遭受的</w:t>
      </w:r>
      <w:r>
        <w:rPr>
          <w:rFonts w:hint="eastAsia"/>
          <w:bCs/>
          <w:sz w:val="24"/>
          <w:highlight w:val="none"/>
        </w:rPr>
        <w:t>超出违约金数额的</w:t>
      </w:r>
      <w:r>
        <w:rPr>
          <w:rFonts w:hint="eastAsia" w:hAnsi="宋体"/>
          <w:bCs/>
          <w:sz w:val="24"/>
          <w:highlight w:val="none"/>
        </w:rPr>
        <w:t>全部损失。</w:t>
      </w:r>
    </w:p>
    <w:p>
      <w:pPr>
        <w:numPr>
          <w:ilvl w:val="0"/>
          <w:numId w:val="21"/>
        </w:numPr>
        <w:tabs>
          <w:tab w:val="left" w:pos="567"/>
          <w:tab w:val="left" w:pos="709"/>
          <w:tab w:val="left" w:pos="3060"/>
        </w:tabs>
        <w:spacing w:before="72" w:beforeLines="30" w:after="72" w:afterLines="30" w:line="360" w:lineRule="auto"/>
        <w:ind w:left="567" w:hanging="567"/>
        <w:rPr>
          <w:sz w:val="24"/>
          <w:highlight w:val="none"/>
        </w:rPr>
      </w:pPr>
      <w:r>
        <w:rPr>
          <w:rFonts w:hint="eastAsia"/>
          <w:sz w:val="24"/>
          <w:highlight w:val="none"/>
        </w:rPr>
        <w:t>如仅因买方原因，买方逾期向卖方付款，卖方应向买方发出书面催款通知，买方应在收到该等通知后【填入天数】日内付款，否则，即应自该等【填入天数】日期间结束之日起，按合同订立时1年期贷款市场报价利率计算并支付应付未付合同价款的利息，最高不超过相关应付未付合同价款的【填入百分比】。双方同意，该等利息的支付是买方就未能如期支付相关合同价款所需承担的全部责任。</w:t>
      </w:r>
    </w:p>
    <w:p>
      <w:pPr>
        <w:numPr>
          <w:ilvl w:val="0"/>
          <w:numId w:val="21"/>
        </w:numPr>
        <w:tabs>
          <w:tab w:val="left" w:pos="567"/>
          <w:tab w:val="left" w:pos="709"/>
          <w:tab w:val="left" w:pos="3060"/>
        </w:tabs>
        <w:spacing w:before="72" w:beforeLines="30" w:after="72" w:afterLines="30" w:line="360" w:lineRule="auto"/>
        <w:ind w:left="567" w:hanging="567"/>
        <w:rPr>
          <w:sz w:val="24"/>
          <w:highlight w:val="none"/>
        </w:rPr>
      </w:pPr>
      <w:r>
        <w:rPr>
          <w:sz w:val="24"/>
          <w:highlight w:val="none"/>
        </w:rPr>
        <w:t>卖方根据本合同的规定应承担违约金或赔偿责任的，买方有权从合同总价余额</w:t>
      </w:r>
      <w:r>
        <w:rPr>
          <w:rFonts w:hint="eastAsia"/>
          <w:sz w:val="24"/>
          <w:highlight w:val="none"/>
        </w:rPr>
        <w:t>中直接扣除</w:t>
      </w:r>
      <w:r>
        <w:rPr>
          <w:sz w:val="24"/>
          <w:highlight w:val="none"/>
        </w:rPr>
        <w:t>。</w:t>
      </w:r>
    </w:p>
    <w:p>
      <w:pPr>
        <w:pStyle w:val="9"/>
        <w:numPr>
          <w:ilvl w:val="0"/>
          <w:numId w:val="6"/>
        </w:numPr>
        <w:tabs>
          <w:tab w:val="left" w:pos="993"/>
        </w:tabs>
        <w:spacing w:before="72" w:beforeLines="30" w:after="72" w:afterLines="30" w:line="360" w:lineRule="auto"/>
        <w:ind w:left="567" w:hanging="567"/>
        <w:jc w:val="left"/>
        <w:rPr>
          <w:sz w:val="24"/>
          <w:szCs w:val="24"/>
          <w:highlight w:val="none"/>
        </w:rPr>
      </w:pPr>
      <w:r>
        <w:rPr>
          <w:rFonts w:hint="eastAsia"/>
          <w:sz w:val="24"/>
          <w:highlight w:val="none"/>
        </w:rPr>
        <w:t xml:space="preserve"> </w:t>
      </w:r>
      <w:bookmarkStart w:id="88" w:name="_Toc306354321"/>
      <w:r>
        <w:rPr>
          <w:rFonts w:hint="eastAsia" w:ascii="Times New Roman" w:hAnsi="Times New Roman"/>
          <w:sz w:val="24"/>
          <w:szCs w:val="24"/>
          <w:highlight w:val="none"/>
        </w:rPr>
        <w:t>合同的解除和</w:t>
      </w:r>
      <w:r>
        <w:rPr>
          <w:sz w:val="24"/>
          <w:szCs w:val="24"/>
          <w:highlight w:val="none"/>
        </w:rPr>
        <w:t>终止</w:t>
      </w:r>
      <w:bookmarkEnd w:id="88"/>
    </w:p>
    <w:p>
      <w:pPr>
        <w:numPr>
          <w:ilvl w:val="0"/>
          <w:numId w:val="23"/>
        </w:numPr>
        <w:tabs>
          <w:tab w:val="left" w:pos="567"/>
          <w:tab w:val="left" w:pos="709"/>
        </w:tabs>
        <w:spacing w:before="72" w:beforeLines="30" w:after="72" w:afterLines="30" w:line="360" w:lineRule="auto"/>
        <w:ind w:left="567" w:hanging="567"/>
        <w:rPr>
          <w:rFonts w:hAnsi="宋体"/>
          <w:color w:val="000000"/>
          <w:sz w:val="24"/>
          <w:highlight w:val="none"/>
        </w:rPr>
      </w:pPr>
      <w:r>
        <w:rPr>
          <w:rFonts w:hint="eastAsia" w:hAnsi="宋体"/>
          <w:color w:val="000000"/>
          <w:sz w:val="24"/>
          <w:highlight w:val="none"/>
        </w:rPr>
        <w:t>如</w:t>
      </w:r>
      <w:r>
        <w:rPr>
          <w:rFonts w:hAnsi="宋体"/>
          <w:color w:val="000000"/>
          <w:sz w:val="24"/>
          <w:highlight w:val="none"/>
        </w:rPr>
        <w:t>发生以下任</w:t>
      </w:r>
      <w:r>
        <w:rPr>
          <w:rFonts w:hint="eastAsia" w:hAnsi="宋体"/>
          <w:color w:val="000000"/>
          <w:sz w:val="24"/>
          <w:highlight w:val="none"/>
        </w:rPr>
        <w:t>一情形，经书面通知卖方，</w:t>
      </w:r>
      <w:r>
        <w:rPr>
          <w:rFonts w:hAnsi="宋体"/>
          <w:color w:val="000000"/>
          <w:sz w:val="24"/>
          <w:highlight w:val="none"/>
        </w:rPr>
        <w:t>买方</w:t>
      </w:r>
      <w:r>
        <w:rPr>
          <w:rFonts w:hint="eastAsia" w:hAnsi="宋体"/>
          <w:color w:val="000000"/>
          <w:sz w:val="24"/>
          <w:highlight w:val="none"/>
        </w:rPr>
        <w:t>有权解除本</w:t>
      </w:r>
      <w:r>
        <w:rPr>
          <w:rFonts w:hAnsi="宋体"/>
          <w:color w:val="000000"/>
          <w:sz w:val="24"/>
          <w:highlight w:val="none"/>
        </w:rPr>
        <w:t>合同：</w:t>
      </w:r>
      <w:r>
        <w:rPr>
          <w:rFonts w:hint="eastAsia" w:hAnsi="宋体"/>
          <w:color w:val="000000"/>
          <w:sz w:val="24"/>
          <w:highlight w:val="none"/>
        </w:rPr>
        <w:t xml:space="preserve"> </w:t>
      </w:r>
    </w:p>
    <w:p>
      <w:pPr>
        <w:widowControl/>
        <w:numPr>
          <w:ilvl w:val="0"/>
          <w:numId w:val="24"/>
        </w:numPr>
        <w:tabs>
          <w:tab w:val="left" w:pos="993"/>
          <w:tab w:val="clear" w:pos="840"/>
        </w:tabs>
        <w:spacing w:before="72" w:beforeLines="30" w:after="72" w:afterLines="30" w:line="360" w:lineRule="auto"/>
        <w:ind w:left="1378" w:leftChars="270" w:hanging="811" w:hangingChars="338"/>
        <w:jc w:val="left"/>
        <w:rPr>
          <w:sz w:val="24"/>
          <w:highlight w:val="none"/>
        </w:rPr>
      </w:pPr>
      <w:r>
        <w:rPr>
          <w:rFonts w:hint="eastAsia"/>
          <w:sz w:val="24"/>
          <w:highlight w:val="none"/>
        </w:rPr>
        <w:t>本合同明确规定买方有权解除合同的情形；</w:t>
      </w:r>
    </w:p>
    <w:p>
      <w:pPr>
        <w:widowControl/>
        <w:numPr>
          <w:ilvl w:val="0"/>
          <w:numId w:val="24"/>
        </w:numPr>
        <w:tabs>
          <w:tab w:val="left" w:pos="993"/>
          <w:tab w:val="clear" w:pos="840"/>
        </w:tabs>
        <w:spacing w:before="72" w:beforeLines="30" w:after="72" w:afterLines="30" w:line="360" w:lineRule="auto"/>
        <w:ind w:left="1378" w:leftChars="270" w:hanging="811" w:hangingChars="338"/>
        <w:jc w:val="left"/>
        <w:rPr>
          <w:sz w:val="24"/>
          <w:highlight w:val="none"/>
        </w:rPr>
      </w:pPr>
      <w:r>
        <w:rPr>
          <w:sz w:val="24"/>
          <w:highlight w:val="none"/>
        </w:rPr>
        <w:t>卖方破产、资不抵债、停业清理、解散、被兼并、被查封</w:t>
      </w:r>
      <w:r>
        <w:rPr>
          <w:rFonts w:hint="eastAsia"/>
          <w:sz w:val="24"/>
          <w:highlight w:val="none"/>
        </w:rPr>
        <w:t>；</w:t>
      </w:r>
    </w:p>
    <w:p>
      <w:pPr>
        <w:widowControl/>
        <w:numPr>
          <w:ilvl w:val="0"/>
          <w:numId w:val="24"/>
        </w:numPr>
        <w:tabs>
          <w:tab w:val="left" w:pos="993"/>
          <w:tab w:val="clear" w:pos="840"/>
        </w:tabs>
        <w:spacing w:before="72" w:beforeLines="30" w:after="72" w:afterLines="30" w:line="360" w:lineRule="auto"/>
        <w:ind w:left="1378" w:leftChars="270" w:hanging="811" w:hangingChars="338"/>
        <w:jc w:val="left"/>
        <w:rPr>
          <w:sz w:val="24"/>
          <w:highlight w:val="none"/>
        </w:rPr>
      </w:pPr>
      <w:r>
        <w:rPr>
          <w:sz w:val="24"/>
          <w:highlight w:val="none"/>
        </w:rPr>
        <w:t>卖方</w:t>
      </w:r>
      <w:r>
        <w:rPr>
          <w:rFonts w:hint="eastAsia"/>
          <w:sz w:val="24"/>
          <w:highlight w:val="none"/>
        </w:rPr>
        <w:t>发生其它严重违约</w:t>
      </w:r>
      <w:r>
        <w:rPr>
          <w:sz w:val="24"/>
          <w:highlight w:val="none"/>
        </w:rPr>
        <w:t>，</w:t>
      </w:r>
      <w:r>
        <w:rPr>
          <w:rFonts w:hint="eastAsia"/>
          <w:sz w:val="24"/>
          <w:highlight w:val="none"/>
        </w:rPr>
        <w:t>且未在买方要求的合理期限内纠正；</w:t>
      </w:r>
    </w:p>
    <w:p>
      <w:pPr>
        <w:widowControl/>
        <w:numPr>
          <w:ilvl w:val="0"/>
          <w:numId w:val="24"/>
        </w:numPr>
        <w:tabs>
          <w:tab w:val="left" w:pos="993"/>
          <w:tab w:val="clear" w:pos="840"/>
        </w:tabs>
        <w:spacing w:before="72" w:beforeLines="30" w:after="72" w:afterLines="30" w:line="360" w:lineRule="auto"/>
        <w:ind w:left="1378" w:leftChars="270" w:hanging="811" w:hangingChars="338"/>
        <w:jc w:val="left"/>
        <w:rPr>
          <w:sz w:val="24"/>
          <w:highlight w:val="none"/>
        </w:rPr>
      </w:pPr>
      <w:r>
        <w:rPr>
          <w:rFonts w:hint="eastAsia"/>
          <w:sz w:val="24"/>
          <w:highlight w:val="none"/>
        </w:rPr>
        <w:t>不可抗力</w:t>
      </w:r>
      <w:r>
        <w:rPr>
          <w:sz w:val="24"/>
          <w:highlight w:val="none"/>
        </w:rPr>
        <w:t>持续超过【</w:t>
      </w:r>
      <w:r>
        <w:rPr>
          <w:rFonts w:hint="eastAsia"/>
          <w:i/>
          <w:sz w:val="24"/>
          <w:highlight w:val="none"/>
        </w:rPr>
        <w:t>填入天数，如六十（60）</w:t>
      </w:r>
      <w:r>
        <w:rPr>
          <w:sz w:val="24"/>
          <w:highlight w:val="none"/>
        </w:rPr>
        <w:t>】</w:t>
      </w:r>
      <w:r>
        <w:rPr>
          <w:rFonts w:hint="eastAsia"/>
          <w:sz w:val="24"/>
          <w:highlight w:val="none"/>
        </w:rPr>
        <w:t>日。</w:t>
      </w:r>
    </w:p>
    <w:p>
      <w:pPr>
        <w:numPr>
          <w:ilvl w:val="0"/>
          <w:numId w:val="23"/>
        </w:numPr>
        <w:tabs>
          <w:tab w:val="left" w:pos="567"/>
          <w:tab w:val="left" w:pos="709"/>
        </w:tabs>
        <w:spacing w:before="72" w:beforeLines="30" w:after="72" w:afterLines="30" w:line="360" w:lineRule="auto"/>
        <w:ind w:left="567" w:hanging="567"/>
        <w:rPr>
          <w:rFonts w:hAnsi="宋体"/>
          <w:color w:val="000000"/>
          <w:sz w:val="24"/>
          <w:highlight w:val="none"/>
        </w:rPr>
      </w:pPr>
      <w:r>
        <w:rPr>
          <w:rFonts w:hint="eastAsia" w:hAnsi="宋体"/>
          <w:color w:val="000000"/>
          <w:sz w:val="24"/>
          <w:highlight w:val="none"/>
        </w:rPr>
        <w:t>如因卖方违约买方解除本合同，</w:t>
      </w:r>
      <w:r>
        <w:rPr>
          <w:rFonts w:hAnsi="宋体"/>
          <w:color w:val="000000"/>
          <w:sz w:val="24"/>
          <w:highlight w:val="none"/>
        </w:rPr>
        <w:t>卖方应退回买方已经支付的</w:t>
      </w:r>
      <w:r>
        <w:rPr>
          <w:rFonts w:hint="eastAsia" w:hAnsi="宋体"/>
          <w:color w:val="000000"/>
          <w:sz w:val="24"/>
          <w:highlight w:val="none"/>
        </w:rPr>
        <w:t>全部款项，并根据本合同规定支付违约金，并且买方有权要求卖方赔偿其因此遭受的</w:t>
      </w:r>
      <w:r>
        <w:rPr>
          <w:rFonts w:hint="eastAsia"/>
          <w:bCs/>
          <w:sz w:val="24"/>
          <w:highlight w:val="none"/>
        </w:rPr>
        <w:t>超出违约金数额的</w:t>
      </w:r>
      <w:r>
        <w:rPr>
          <w:rFonts w:hint="eastAsia" w:hAnsi="宋体"/>
          <w:color w:val="000000"/>
          <w:sz w:val="24"/>
          <w:highlight w:val="none"/>
        </w:rPr>
        <w:t>全部损失。</w:t>
      </w:r>
      <w:r>
        <w:rPr>
          <w:rFonts w:hAnsi="宋体"/>
          <w:color w:val="000000"/>
          <w:sz w:val="24"/>
          <w:highlight w:val="none"/>
        </w:rPr>
        <w:t>买方</w:t>
      </w:r>
      <w:r>
        <w:rPr>
          <w:rFonts w:hint="eastAsia" w:hAnsi="宋体"/>
          <w:color w:val="000000"/>
          <w:sz w:val="24"/>
          <w:highlight w:val="none"/>
        </w:rPr>
        <w:t>有权以</w:t>
      </w:r>
      <w:r>
        <w:rPr>
          <w:rFonts w:hAnsi="宋体"/>
          <w:color w:val="000000"/>
          <w:sz w:val="24"/>
          <w:highlight w:val="none"/>
        </w:rPr>
        <w:t>适当的条件和方式</w:t>
      </w:r>
      <w:r>
        <w:rPr>
          <w:rFonts w:hint="eastAsia" w:hAnsi="宋体"/>
          <w:color w:val="000000"/>
          <w:sz w:val="24"/>
          <w:highlight w:val="none"/>
        </w:rPr>
        <w:t>购买同等货物</w:t>
      </w:r>
      <w:r>
        <w:rPr>
          <w:rFonts w:hAnsi="宋体"/>
          <w:color w:val="000000"/>
          <w:sz w:val="24"/>
          <w:highlight w:val="none"/>
        </w:rPr>
        <w:t>，卖方应</w:t>
      </w:r>
      <w:r>
        <w:rPr>
          <w:rFonts w:hint="eastAsia" w:hAnsi="宋体"/>
          <w:color w:val="000000"/>
          <w:sz w:val="24"/>
          <w:highlight w:val="none"/>
        </w:rPr>
        <w:t>承</w:t>
      </w:r>
      <w:r>
        <w:rPr>
          <w:rFonts w:hAnsi="宋体"/>
          <w:color w:val="000000"/>
          <w:sz w:val="24"/>
          <w:highlight w:val="none"/>
        </w:rPr>
        <w:t>担</w:t>
      </w:r>
      <w:r>
        <w:rPr>
          <w:rFonts w:hint="eastAsia" w:hAnsi="宋体"/>
          <w:color w:val="000000"/>
          <w:sz w:val="24"/>
          <w:highlight w:val="none"/>
        </w:rPr>
        <w:t>买方</w:t>
      </w:r>
      <w:r>
        <w:rPr>
          <w:rFonts w:hAnsi="宋体"/>
          <w:color w:val="000000"/>
          <w:sz w:val="24"/>
          <w:highlight w:val="none"/>
        </w:rPr>
        <w:t>购买</w:t>
      </w:r>
      <w:r>
        <w:rPr>
          <w:rFonts w:hint="eastAsia" w:hAnsi="宋体"/>
          <w:color w:val="000000"/>
          <w:sz w:val="24"/>
          <w:highlight w:val="none"/>
        </w:rPr>
        <w:t>同等货物的差额费用</w:t>
      </w:r>
      <w:r>
        <w:rPr>
          <w:rFonts w:hAnsi="宋体"/>
          <w:color w:val="000000"/>
          <w:sz w:val="24"/>
          <w:highlight w:val="none"/>
        </w:rPr>
        <w:t>。</w:t>
      </w:r>
    </w:p>
    <w:p>
      <w:pPr>
        <w:numPr>
          <w:ilvl w:val="0"/>
          <w:numId w:val="23"/>
        </w:numPr>
        <w:tabs>
          <w:tab w:val="left" w:pos="567"/>
          <w:tab w:val="left" w:pos="709"/>
        </w:tabs>
        <w:spacing w:before="72" w:beforeLines="30" w:after="72" w:afterLines="30" w:line="360" w:lineRule="auto"/>
        <w:ind w:left="567" w:hanging="567"/>
        <w:rPr>
          <w:rFonts w:hAnsi="宋体"/>
          <w:color w:val="000000"/>
          <w:sz w:val="24"/>
          <w:highlight w:val="none"/>
        </w:rPr>
      </w:pPr>
      <w:r>
        <w:rPr>
          <w:rFonts w:hint="eastAsia" w:hAnsi="宋体"/>
          <w:color w:val="000000"/>
          <w:sz w:val="24"/>
          <w:highlight w:val="none"/>
        </w:rPr>
        <w:t>无论基于何种原因，经</w:t>
      </w:r>
      <w:r>
        <w:rPr>
          <w:rFonts w:hAnsi="宋体"/>
          <w:color w:val="000000"/>
          <w:sz w:val="24"/>
          <w:highlight w:val="none"/>
        </w:rPr>
        <w:t>提前【</w:t>
      </w:r>
      <w:r>
        <w:rPr>
          <w:rFonts w:hint="eastAsia" w:hAnsi="宋体"/>
          <w:i/>
          <w:color w:val="000000"/>
          <w:sz w:val="24"/>
          <w:highlight w:val="none"/>
        </w:rPr>
        <w:t>填入天数，如十五（15）</w:t>
      </w:r>
      <w:r>
        <w:rPr>
          <w:rFonts w:hAnsi="宋体"/>
          <w:color w:val="000000"/>
          <w:sz w:val="24"/>
          <w:highlight w:val="none"/>
        </w:rPr>
        <w:t>】</w:t>
      </w:r>
      <w:r>
        <w:rPr>
          <w:rFonts w:hint="eastAsia" w:hAnsi="宋体"/>
          <w:color w:val="000000"/>
          <w:sz w:val="24"/>
          <w:highlight w:val="none"/>
        </w:rPr>
        <w:t>日</w:t>
      </w:r>
      <w:r>
        <w:rPr>
          <w:rFonts w:hAnsi="宋体"/>
          <w:color w:val="000000"/>
          <w:sz w:val="24"/>
          <w:highlight w:val="none"/>
        </w:rPr>
        <w:t>书面通知</w:t>
      </w:r>
      <w:r>
        <w:rPr>
          <w:rFonts w:hint="eastAsia" w:hAnsi="宋体"/>
          <w:color w:val="000000"/>
          <w:sz w:val="24"/>
          <w:highlight w:val="none"/>
        </w:rPr>
        <w:t>卖方</w:t>
      </w:r>
      <w:r>
        <w:rPr>
          <w:rFonts w:hAnsi="宋体"/>
          <w:color w:val="000000"/>
          <w:sz w:val="24"/>
          <w:highlight w:val="none"/>
        </w:rPr>
        <w:t>，买方有权随时</w:t>
      </w:r>
      <w:r>
        <w:rPr>
          <w:rFonts w:hint="eastAsia" w:hAnsi="宋体"/>
          <w:color w:val="000000"/>
          <w:sz w:val="24"/>
          <w:highlight w:val="none"/>
        </w:rPr>
        <w:t>终止</w:t>
      </w:r>
      <w:r>
        <w:rPr>
          <w:rFonts w:hAnsi="宋体"/>
          <w:color w:val="000000"/>
          <w:sz w:val="24"/>
          <w:highlight w:val="none"/>
        </w:rPr>
        <w:t>合同。卖方</w:t>
      </w:r>
      <w:r>
        <w:rPr>
          <w:rFonts w:hint="eastAsia" w:hAnsi="宋体"/>
          <w:color w:val="000000"/>
          <w:sz w:val="24"/>
          <w:highlight w:val="none"/>
        </w:rPr>
        <w:t>收到</w:t>
      </w:r>
      <w:r>
        <w:rPr>
          <w:rFonts w:hAnsi="宋体"/>
          <w:color w:val="000000"/>
          <w:sz w:val="24"/>
          <w:highlight w:val="none"/>
        </w:rPr>
        <w:t>买方</w:t>
      </w:r>
      <w:r>
        <w:rPr>
          <w:rFonts w:hint="eastAsia" w:hAnsi="宋体"/>
          <w:color w:val="000000"/>
          <w:sz w:val="24"/>
          <w:highlight w:val="none"/>
        </w:rPr>
        <w:t>终止</w:t>
      </w:r>
      <w:r>
        <w:rPr>
          <w:rFonts w:hAnsi="宋体"/>
          <w:color w:val="000000"/>
          <w:sz w:val="24"/>
          <w:highlight w:val="none"/>
        </w:rPr>
        <w:t>合同的</w:t>
      </w:r>
      <w:r>
        <w:rPr>
          <w:rFonts w:hint="eastAsia" w:hAnsi="宋体"/>
          <w:color w:val="000000"/>
          <w:sz w:val="24"/>
          <w:highlight w:val="none"/>
        </w:rPr>
        <w:t>书面</w:t>
      </w:r>
      <w:r>
        <w:rPr>
          <w:rFonts w:hAnsi="宋体"/>
          <w:color w:val="000000"/>
          <w:sz w:val="24"/>
          <w:highlight w:val="none"/>
        </w:rPr>
        <w:t>通知</w:t>
      </w:r>
      <w:r>
        <w:rPr>
          <w:rFonts w:hint="eastAsia" w:hAnsi="宋体"/>
          <w:color w:val="000000"/>
          <w:sz w:val="24"/>
          <w:highlight w:val="none"/>
        </w:rPr>
        <w:t>后，</w:t>
      </w:r>
      <w:r>
        <w:rPr>
          <w:rFonts w:hAnsi="宋体"/>
          <w:color w:val="000000"/>
          <w:sz w:val="24"/>
          <w:highlight w:val="none"/>
        </w:rPr>
        <w:t>应立即停止</w:t>
      </w:r>
      <w:r>
        <w:rPr>
          <w:rFonts w:hint="eastAsia" w:hAnsi="宋体"/>
          <w:color w:val="000000"/>
          <w:sz w:val="24"/>
          <w:highlight w:val="none"/>
        </w:rPr>
        <w:t>实施与</w:t>
      </w:r>
      <w:r>
        <w:rPr>
          <w:rFonts w:hAnsi="宋体"/>
          <w:color w:val="000000"/>
          <w:sz w:val="24"/>
          <w:highlight w:val="none"/>
        </w:rPr>
        <w:t>本合同</w:t>
      </w:r>
      <w:r>
        <w:rPr>
          <w:rFonts w:hint="eastAsia" w:hAnsi="宋体"/>
          <w:color w:val="000000"/>
          <w:sz w:val="24"/>
          <w:highlight w:val="none"/>
        </w:rPr>
        <w:t>有</w:t>
      </w:r>
      <w:r>
        <w:rPr>
          <w:rFonts w:hAnsi="宋体"/>
          <w:color w:val="000000"/>
          <w:sz w:val="24"/>
          <w:highlight w:val="none"/>
        </w:rPr>
        <w:t>关的工作并对</w:t>
      </w:r>
      <w:r>
        <w:rPr>
          <w:rFonts w:hint="eastAsia" w:hAnsi="宋体"/>
          <w:color w:val="000000"/>
          <w:sz w:val="24"/>
          <w:highlight w:val="none"/>
        </w:rPr>
        <w:t>已履行</w:t>
      </w:r>
      <w:r>
        <w:rPr>
          <w:rFonts w:hAnsi="宋体"/>
          <w:color w:val="000000"/>
          <w:sz w:val="24"/>
          <w:highlight w:val="none"/>
        </w:rPr>
        <w:t>的</w:t>
      </w:r>
      <w:r>
        <w:rPr>
          <w:rFonts w:hint="eastAsia" w:hAnsi="宋体"/>
          <w:color w:val="000000"/>
          <w:sz w:val="24"/>
          <w:highlight w:val="none"/>
        </w:rPr>
        <w:t>部分</w:t>
      </w:r>
      <w:r>
        <w:rPr>
          <w:rFonts w:hAnsi="宋体"/>
          <w:color w:val="000000"/>
          <w:sz w:val="24"/>
          <w:highlight w:val="none"/>
        </w:rPr>
        <w:t>进行结算。买方收到卖方的结算</w:t>
      </w:r>
      <w:r>
        <w:rPr>
          <w:rFonts w:hint="eastAsia" w:hAnsi="宋体"/>
          <w:color w:val="000000"/>
          <w:sz w:val="24"/>
          <w:highlight w:val="none"/>
        </w:rPr>
        <w:t>要求</w:t>
      </w:r>
      <w:r>
        <w:rPr>
          <w:rFonts w:hAnsi="宋体"/>
          <w:color w:val="000000"/>
          <w:sz w:val="24"/>
          <w:highlight w:val="none"/>
        </w:rPr>
        <w:t>后，</w:t>
      </w:r>
      <w:r>
        <w:rPr>
          <w:rFonts w:hint="eastAsia" w:hAnsi="宋体"/>
          <w:color w:val="000000"/>
          <w:sz w:val="24"/>
          <w:highlight w:val="none"/>
        </w:rPr>
        <w:t>应</w:t>
      </w:r>
      <w:r>
        <w:rPr>
          <w:rFonts w:hAnsi="宋体"/>
          <w:color w:val="000000"/>
          <w:sz w:val="24"/>
          <w:highlight w:val="none"/>
        </w:rPr>
        <w:t>与卖方协商结算</w:t>
      </w:r>
      <w:r>
        <w:rPr>
          <w:rFonts w:hint="eastAsia" w:hAnsi="宋体"/>
          <w:color w:val="000000"/>
          <w:sz w:val="24"/>
          <w:highlight w:val="none"/>
        </w:rPr>
        <w:t>数额、</w:t>
      </w:r>
      <w:r>
        <w:rPr>
          <w:rFonts w:hAnsi="宋体"/>
          <w:color w:val="000000"/>
          <w:sz w:val="24"/>
          <w:highlight w:val="none"/>
        </w:rPr>
        <w:t>因买方终止合同</w:t>
      </w:r>
      <w:r>
        <w:rPr>
          <w:rFonts w:hint="eastAsia" w:hAnsi="宋体"/>
          <w:color w:val="000000"/>
          <w:sz w:val="24"/>
          <w:highlight w:val="none"/>
        </w:rPr>
        <w:t>需向</w:t>
      </w:r>
      <w:r>
        <w:rPr>
          <w:rFonts w:hAnsi="宋体"/>
          <w:color w:val="000000"/>
          <w:sz w:val="24"/>
          <w:highlight w:val="none"/>
        </w:rPr>
        <w:t>卖方</w:t>
      </w:r>
      <w:r>
        <w:rPr>
          <w:rFonts w:hint="eastAsia" w:hAnsi="宋体"/>
          <w:color w:val="000000"/>
          <w:sz w:val="24"/>
          <w:highlight w:val="none"/>
        </w:rPr>
        <w:t>支付</w:t>
      </w:r>
      <w:r>
        <w:rPr>
          <w:rFonts w:hAnsi="宋体"/>
          <w:color w:val="000000"/>
          <w:sz w:val="24"/>
          <w:highlight w:val="none"/>
        </w:rPr>
        <w:t>的补偿</w:t>
      </w:r>
      <w:r>
        <w:rPr>
          <w:rFonts w:hint="eastAsia" w:hAnsi="宋体"/>
          <w:color w:val="000000"/>
          <w:sz w:val="24"/>
          <w:highlight w:val="none"/>
        </w:rPr>
        <w:t>款等事项</w:t>
      </w:r>
      <w:r>
        <w:rPr>
          <w:rFonts w:hAnsi="宋体"/>
          <w:color w:val="000000"/>
          <w:sz w:val="24"/>
          <w:highlight w:val="none"/>
        </w:rPr>
        <w:t>。</w:t>
      </w:r>
      <w:r>
        <w:rPr>
          <w:rFonts w:hint="eastAsia" w:hAnsi="宋体"/>
          <w:color w:val="000000"/>
          <w:sz w:val="24"/>
          <w:highlight w:val="none"/>
        </w:rPr>
        <w:t>买方因终止合同向</w:t>
      </w:r>
      <w:r>
        <w:rPr>
          <w:rFonts w:hAnsi="宋体"/>
          <w:color w:val="000000"/>
          <w:sz w:val="24"/>
          <w:highlight w:val="none"/>
        </w:rPr>
        <w:t>卖方</w:t>
      </w:r>
      <w:r>
        <w:rPr>
          <w:rFonts w:hint="eastAsia" w:hAnsi="宋体"/>
          <w:color w:val="000000"/>
          <w:sz w:val="24"/>
          <w:highlight w:val="none"/>
        </w:rPr>
        <w:t>支付的补偿款以卖方为</w:t>
      </w:r>
      <w:r>
        <w:rPr>
          <w:rFonts w:hAnsi="宋体"/>
          <w:color w:val="000000"/>
          <w:sz w:val="24"/>
          <w:highlight w:val="none"/>
        </w:rPr>
        <w:t>履行合同已</w:t>
      </w:r>
      <w:r>
        <w:rPr>
          <w:rFonts w:hint="eastAsia" w:hAnsi="宋体"/>
          <w:color w:val="000000"/>
          <w:sz w:val="24"/>
          <w:highlight w:val="none"/>
        </w:rPr>
        <w:t>实际</w:t>
      </w:r>
      <w:r>
        <w:rPr>
          <w:rFonts w:hAnsi="宋体"/>
          <w:color w:val="000000"/>
          <w:sz w:val="24"/>
          <w:highlight w:val="none"/>
        </w:rPr>
        <w:t>发生</w:t>
      </w:r>
      <w:r>
        <w:rPr>
          <w:rFonts w:hint="eastAsia" w:hAnsi="宋体"/>
          <w:color w:val="000000"/>
          <w:sz w:val="24"/>
          <w:highlight w:val="none"/>
        </w:rPr>
        <w:t>的</w:t>
      </w:r>
      <w:r>
        <w:rPr>
          <w:rFonts w:hAnsi="宋体"/>
          <w:color w:val="000000"/>
          <w:sz w:val="24"/>
          <w:highlight w:val="none"/>
        </w:rPr>
        <w:t>直接、合理费用</w:t>
      </w:r>
      <w:r>
        <w:rPr>
          <w:rFonts w:hint="eastAsia" w:hAnsi="宋体"/>
          <w:color w:val="000000"/>
          <w:sz w:val="24"/>
          <w:highlight w:val="none"/>
        </w:rPr>
        <w:t>为限。</w:t>
      </w:r>
      <w:r>
        <w:rPr>
          <w:rFonts w:hAnsi="宋体"/>
          <w:color w:val="000000"/>
          <w:sz w:val="24"/>
          <w:highlight w:val="none"/>
        </w:rPr>
        <w:t>买方向卖方支付的</w:t>
      </w:r>
      <w:r>
        <w:rPr>
          <w:rFonts w:hint="eastAsia" w:hAnsi="宋体"/>
          <w:color w:val="000000"/>
          <w:sz w:val="24"/>
          <w:highlight w:val="none"/>
        </w:rPr>
        <w:t>该等补偿款</w:t>
      </w:r>
      <w:r>
        <w:rPr>
          <w:rFonts w:hAnsi="宋体"/>
          <w:color w:val="000000"/>
          <w:sz w:val="24"/>
          <w:highlight w:val="none"/>
        </w:rPr>
        <w:t>系买方</w:t>
      </w:r>
      <w:r>
        <w:rPr>
          <w:rFonts w:hint="eastAsia" w:hAnsi="宋体"/>
          <w:color w:val="000000"/>
          <w:sz w:val="24"/>
          <w:highlight w:val="none"/>
        </w:rPr>
        <w:t>根据本款规定</w:t>
      </w:r>
      <w:r>
        <w:rPr>
          <w:rFonts w:hAnsi="宋体"/>
          <w:color w:val="000000"/>
          <w:sz w:val="24"/>
          <w:highlight w:val="none"/>
        </w:rPr>
        <w:t>终止合同时</w:t>
      </w:r>
      <w:r>
        <w:rPr>
          <w:rFonts w:hint="eastAsia" w:hAnsi="宋体"/>
          <w:color w:val="000000"/>
          <w:sz w:val="24"/>
          <w:highlight w:val="none"/>
        </w:rPr>
        <w:t>，</w:t>
      </w:r>
      <w:r>
        <w:rPr>
          <w:rFonts w:hAnsi="宋体"/>
          <w:color w:val="000000"/>
          <w:sz w:val="24"/>
          <w:highlight w:val="none"/>
        </w:rPr>
        <w:t>卖方可获得的</w:t>
      </w:r>
      <w:r>
        <w:rPr>
          <w:rFonts w:hint="eastAsia" w:hAnsi="宋体"/>
          <w:color w:val="000000"/>
          <w:sz w:val="24"/>
          <w:highlight w:val="none"/>
        </w:rPr>
        <w:t>全部赔偿。任何时候卖方均无权要求买方赔偿因合同终止引起的预期利润的损失或损害。</w:t>
      </w:r>
    </w:p>
    <w:p>
      <w:pPr>
        <w:numPr>
          <w:ilvl w:val="0"/>
          <w:numId w:val="23"/>
        </w:numPr>
        <w:tabs>
          <w:tab w:val="left" w:pos="567"/>
          <w:tab w:val="left" w:pos="709"/>
        </w:tabs>
        <w:spacing w:before="72" w:beforeLines="30" w:after="72" w:afterLines="30" w:line="360" w:lineRule="auto"/>
        <w:ind w:left="567" w:hanging="567"/>
        <w:rPr>
          <w:rFonts w:hAnsi="宋体"/>
          <w:color w:val="000000"/>
          <w:sz w:val="24"/>
          <w:highlight w:val="none"/>
        </w:rPr>
      </w:pPr>
      <w:bookmarkStart w:id="89" w:name="_DV_C932"/>
      <w:r>
        <w:rPr>
          <w:rFonts w:hint="eastAsia" w:hAnsi="宋体"/>
          <w:color w:val="000000"/>
          <w:sz w:val="24"/>
          <w:highlight w:val="none"/>
        </w:rPr>
        <w:t>如果本合同根据本条第13</w:t>
      </w:r>
      <w:r>
        <w:rPr>
          <w:rFonts w:hAnsi="宋体"/>
          <w:color w:val="000000"/>
          <w:sz w:val="24"/>
          <w:highlight w:val="none"/>
        </w:rPr>
        <w:t>.3款</w:t>
      </w:r>
      <w:r>
        <w:rPr>
          <w:rFonts w:hint="eastAsia" w:hAnsi="宋体"/>
          <w:color w:val="000000"/>
          <w:sz w:val="24"/>
          <w:highlight w:val="none"/>
        </w:rPr>
        <w:t>终止，对于合同终止前买方已经支付合同价款或提供补偿费用的货物，卖方应立即移交给买方，买方拥有相关货物的全部权益。</w:t>
      </w:r>
      <w:bookmarkEnd w:id="89"/>
    </w:p>
    <w:p>
      <w:pPr>
        <w:pStyle w:val="9"/>
        <w:numPr>
          <w:ilvl w:val="0"/>
          <w:numId w:val="6"/>
        </w:numPr>
        <w:tabs>
          <w:tab w:val="left" w:pos="993"/>
        </w:tabs>
        <w:spacing w:before="72" w:beforeLines="30" w:after="72" w:afterLines="30" w:line="360" w:lineRule="auto"/>
        <w:ind w:left="567" w:hanging="567"/>
        <w:jc w:val="left"/>
        <w:rPr>
          <w:sz w:val="24"/>
          <w:szCs w:val="24"/>
          <w:highlight w:val="none"/>
        </w:rPr>
      </w:pPr>
      <w:bookmarkStart w:id="90" w:name="_Toc306354322"/>
      <w:r>
        <w:rPr>
          <w:rFonts w:hint="eastAsia"/>
          <w:sz w:val="24"/>
          <w:szCs w:val="24"/>
          <w:highlight w:val="none"/>
        </w:rPr>
        <w:t xml:space="preserve"> 健康、安全和环保</w:t>
      </w:r>
      <w:bookmarkEnd w:id="90"/>
    </w:p>
    <w:p>
      <w:pPr>
        <w:numPr>
          <w:ilvl w:val="0"/>
          <w:numId w:val="25"/>
        </w:numPr>
        <w:tabs>
          <w:tab w:val="left" w:pos="567"/>
          <w:tab w:val="left" w:pos="709"/>
          <w:tab w:val="left" w:pos="3060"/>
        </w:tabs>
        <w:spacing w:before="72" w:beforeLines="30" w:after="72" w:afterLines="30" w:line="360" w:lineRule="auto"/>
        <w:ind w:left="567" w:hanging="567"/>
        <w:rPr>
          <w:sz w:val="24"/>
          <w:highlight w:val="none"/>
        </w:rPr>
      </w:pPr>
      <w:r>
        <w:rPr>
          <w:sz w:val="24"/>
          <w:highlight w:val="none"/>
        </w:rPr>
        <w:t>卖方应确保在货物制造过程中使用的材料和制作工艺符合国家标准</w:t>
      </w:r>
      <w:r>
        <w:rPr>
          <w:rFonts w:hint="eastAsia"/>
          <w:sz w:val="24"/>
          <w:highlight w:val="none"/>
        </w:rPr>
        <w:t>，保证货物制造现场符合法律法规的要求</w:t>
      </w:r>
      <w:r>
        <w:rPr>
          <w:sz w:val="24"/>
          <w:highlight w:val="none"/>
        </w:rPr>
        <w:t>。</w:t>
      </w:r>
    </w:p>
    <w:p>
      <w:pPr>
        <w:numPr>
          <w:ilvl w:val="0"/>
          <w:numId w:val="25"/>
        </w:numPr>
        <w:tabs>
          <w:tab w:val="left" w:pos="567"/>
          <w:tab w:val="left" w:pos="709"/>
          <w:tab w:val="left" w:pos="3060"/>
        </w:tabs>
        <w:spacing w:before="72" w:beforeLines="30" w:after="72" w:afterLines="30" w:line="360" w:lineRule="auto"/>
        <w:ind w:left="567" w:hanging="567"/>
        <w:rPr>
          <w:sz w:val="24"/>
          <w:highlight w:val="none"/>
        </w:rPr>
      </w:pPr>
      <w:r>
        <w:rPr>
          <w:sz w:val="24"/>
          <w:highlight w:val="none"/>
        </w:rPr>
        <w:t>卖方向买方提供的货物必须符合</w:t>
      </w:r>
      <w:r>
        <w:rPr>
          <w:rFonts w:hint="eastAsia"/>
          <w:sz w:val="24"/>
          <w:highlight w:val="none"/>
        </w:rPr>
        <w:t>中国</w:t>
      </w:r>
      <w:r>
        <w:rPr>
          <w:sz w:val="24"/>
          <w:highlight w:val="none"/>
        </w:rPr>
        <w:t>有关健康、安全、环保法律法规的规定。对</w:t>
      </w:r>
      <w:r>
        <w:rPr>
          <w:rFonts w:hint="eastAsia"/>
          <w:sz w:val="24"/>
          <w:highlight w:val="none"/>
        </w:rPr>
        <w:t>于</w:t>
      </w:r>
      <w:r>
        <w:rPr>
          <w:sz w:val="24"/>
          <w:highlight w:val="none"/>
        </w:rPr>
        <w:t>根据有关法律法规必须持证生产或经营的</w:t>
      </w:r>
      <w:r>
        <w:rPr>
          <w:rFonts w:hint="eastAsia"/>
          <w:sz w:val="24"/>
          <w:highlight w:val="none"/>
        </w:rPr>
        <w:t>货物</w:t>
      </w:r>
      <w:r>
        <w:rPr>
          <w:sz w:val="24"/>
          <w:highlight w:val="none"/>
        </w:rPr>
        <w:t>，卖方在生产或经营时应持有全套有效的生产许可证或经营许可证。</w:t>
      </w:r>
    </w:p>
    <w:p>
      <w:pPr>
        <w:pStyle w:val="9"/>
        <w:numPr>
          <w:ilvl w:val="0"/>
          <w:numId w:val="6"/>
        </w:numPr>
        <w:tabs>
          <w:tab w:val="left" w:pos="993"/>
        </w:tabs>
        <w:spacing w:before="72" w:beforeLines="30" w:after="72" w:afterLines="30" w:line="360" w:lineRule="auto"/>
        <w:ind w:left="567" w:hanging="567"/>
        <w:jc w:val="left"/>
        <w:rPr>
          <w:sz w:val="24"/>
          <w:szCs w:val="24"/>
          <w:highlight w:val="none"/>
        </w:rPr>
      </w:pPr>
      <w:bookmarkStart w:id="91" w:name="_Toc306354323"/>
      <w:r>
        <w:rPr>
          <w:rFonts w:hint="eastAsia" w:ascii="Times New Roman" w:hAnsi="Times New Roman"/>
          <w:sz w:val="24"/>
          <w:szCs w:val="24"/>
          <w:highlight w:val="none"/>
        </w:rPr>
        <w:t xml:space="preserve"> 转让</w:t>
      </w:r>
      <w:r>
        <w:rPr>
          <w:rFonts w:hint="eastAsia"/>
          <w:sz w:val="24"/>
          <w:szCs w:val="24"/>
          <w:highlight w:val="none"/>
        </w:rPr>
        <w:t>和分包</w:t>
      </w:r>
      <w:bookmarkEnd w:id="91"/>
    </w:p>
    <w:p>
      <w:pPr>
        <w:widowControl/>
        <w:numPr>
          <w:ilvl w:val="0"/>
          <w:numId w:val="26"/>
        </w:numPr>
        <w:tabs>
          <w:tab w:val="left" w:pos="567"/>
          <w:tab w:val="left" w:pos="709"/>
        </w:tabs>
        <w:spacing w:before="72" w:beforeLines="30" w:after="72" w:afterLines="30" w:line="360" w:lineRule="auto"/>
        <w:ind w:left="567" w:hanging="567"/>
        <w:rPr>
          <w:sz w:val="24"/>
          <w:highlight w:val="none"/>
        </w:rPr>
      </w:pPr>
      <w:r>
        <w:rPr>
          <w:sz w:val="24"/>
          <w:highlight w:val="none"/>
        </w:rPr>
        <w:t>未经买方</w:t>
      </w:r>
      <w:r>
        <w:rPr>
          <w:rFonts w:hint="eastAsia"/>
          <w:sz w:val="24"/>
          <w:highlight w:val="none"/>
        </w:rPr>
        <w:t>事先</w:t>
      </w:r>
      <w:r>
        <w:rPr>
          <w:sz w:val="24"/>
          <w:highlight w:val="none"/>
        </w:rPr>
        <w:t>书面同意，卖方不得</w:t>
      </w:r>
      <w:r>
        <w:rPr>
          <w:rFonts w:hint="eastAsia"/>
          <w:sz w:val="24"/>
          <w:highlight w:val="none"/>
        </w:rPr>
        <w:t>将</w:t>
      </w:r>
      <w:r>
        <w:rPr>
          <w:sz w:val="24"/>
          <w:highlight w:val="none"/>
        </w:rPr>
        <w:t>其</w:t>
      </w:r>
      <w:r>
        <w:rPr>
          <w:rFonts w:hint="eastAsia"/>
          <w:sz w:val="24"/>
          <w:highlight w:val="none"/>
        </w:rPr>
        <w:t>在本</w:t>
      </w:r>
      <w:r>
        <w:rPr>
          <w:sz w:val="24"/>
          <w:highlight w:val="none"/>
        </w:rPr>
        <w:t>合同</w:t>
      </w:r>
      <w:r>
        <w:rPr>
          <w:rFonts w:hint="eastAsia"/>
          <w:sz w:val="24"/>
          <w:highlight w:val="none"/>
        </w:rPr>
        <w:t>项下</w:t>
      </w:r>
      <w:r>
        <w:rPr>
          <w:sz w:val="24"/>
          <w:highlight w:val="none"/>
        </w:rPr>
        <w:t>的</w:t>
      </w:r>
      <w:r>
        <w:rPr>
          <w:rFonts w:hint="eastAsia"/>
          <w:sz w:val="24"/>
          <w:highlight w:val="none"/>
        </w:rPr>
        <w:t>任何权利和</w:t>
      </w:r>
      <w:r>
        <w:rPr>
          <w:sz w:val="24"/>
          <w:highlight w:val="none"/>
        </w:rPr>
        <w:t>义务</w:t>
      </w:r>
      <w:r>
        <w:rPr>
          <w:rFonts w:hint="eastAsia"/>
          <w:sz w:val="24"/>
          <w:highlight w:val="none"/>
        </w:rPr>
        <w:t>全部或部分转让给任何第三方，包括卖方的关联企业</w:t>
      </w:r>
      <w:r>
        <w:rPr>
          <w:sz w:val="24"/>
          <w:highlight w:val="none"/>
        </w:rPr>
        <w:t>。</w:t>
      </w:r>
      <w:r>
        <w:rPr>
          <w:rFonts w:hint="eastAsia"/>
          <w:sz w:val="24"/>
          <w:highlight w:val="none"/>
        </w:rPr>
        <w:t>买方</w:t>
      </w:r>
      <w:r>
        <w:rPr>
          <w:sz w:val="24"/>
          <w:highlight w:val="none"/>
        </w:rPr>
        <w:t>可以</w:t>
      </w:r>
      <w:r>
        <w:rPr>
          <w:rFonts w:hint="eastAsia"/>
          <w:sz w:val="24"/>
          <w:highlight w:val="none"/>
        </w:rPr>
        <w:t>将其在</w:t>
      </w:r>
      <w:r>
        <w:rPr>
          <w:sz w:val="24"/>
          <w:highlight w:val="none"/>
        </w:rPr>
        <w:t>本合同</w:t>
      </w:r>
      <w:r>
        <w:rPr>
          <w:rFonts w:hint="eastAsia"/>
          <w:sz w:val="24"/>
          <w:highlight w:val="none"/>
        </w:rPr>
        <w:t>项下的</w:t>
      </w:r>
      <w:r>
        <w:rPr>
          <w:sz w:val="24"/>
          <w:highlight w:val="none"/>
        </w:rPr>
        <w:t>权利和义务</w:t>
      </w:r>
      <w:r>
        <w:rPr>
          <w:rFonts w:hint="eastAsia"/>
          <w:sz w:val="24"/>
          <w:highlight w:val="none"/>
        </w:rPr>
        <w:t>全部或部分</w:t>
      </w:r>
      <w:r>
        <w:rPr>
          <w:sz w:val="24"/>
          <w:highlight w:val="none"/>
        </w:rPr>
        <w:t>转让给</w:t>
      </w:r>
      <w:r>
        <w:rPr>
          <w:rFonts w:hint="eastAsia"/>
          <w:sz w:val="24"/>
          <w:highlight w:val="none"/>
        </w:rPr>
        <w:t>其关联企业</w:t>
      </w:r>
      <w:r>
        <w:rPr>
          <w:sz w:val="24"/>
          <w:highlight w:val="none"/>
        </w:rPr>
        <w:t>，</w:t>
      </w:r>
      <w:r>
        <w:rPr>
          <w:rFonts w:hint="eastAsia"/>
          <w:sz w:val="24"/>
          <w:highlight w:val="none"/>
        </w:rPr>
        <w:t>且无需</w:t>
      </w:r>
      <w:r>
        <w:rPr>
          <w:sz w:val="24"/>
          <w:highlight w:val="none"/>
        </w:rPr>
        <w:t>事先征得</w:t>
      </w:r>
      <w:r>
        <w:rPr>
          <w:rFonts w:hint="eastAsia"/>
          <w:sz w:val="24"/>
          <w:highlight w:val="none"/>
        </w:rPr>
        <w:t>卖方</w:t>
      </w:r>
      <w:r>
        <w:rPr>
          <w:sz w:val="24"/>
          <w:highlight w:val="none"/>
        </w:rPr>
        <w:t>的同意，但应书面通知</w:t>
      </w:r>
      <w:r>
        <w:rPr>
          <w:rFonts w:hint="eastAsia"/>
          <w:sz w:val="24"/>
          <w:highlight w:val="none"/>
        </w:rPr>
        <w:t>卖方</w:t>
      </w:r>
      <w:r>
        <w:rPr>
          <w:sz w:val="24"/>
          <w:highlight w:val="none"/>
        </w:rPr>
        <w:t>。</w:t>
      </w:r>
    </w:p>
    <w:p>
      <w:pPr>
        <w:widowControl/>
        <w:numPr>
          <w:ilvl w:val="0"/>
          <w:numId w:val="26"/>
        </w:numPr>
        <w:tabs>
          <w:tab w:val="left" w:pos="567"/>
          <w:tab w:val="left" w:pos="709"/>
        </w:tabs>
        <w:spacing w:before="72" w:beforeLines="30" w:after="72" w:afterLines="30" w:line="360" w:lineRule="auto"/>
        <w:ind w:left="567" w:hanging="567"/>
        <w:rPr>
          <w:sz w:val="24"/>
          <w:highlight w:val="none"/>
        </w:rPr>
      </w:pPr>
      <w:r>
        <w:rPr>
          <w:rFonts w:hint="eastAsia"/>
          <w:sz w:val="24"/>
          <w:highlight w:val="none"/>
        </w:rPr>
        <w:t>未经买方事先书面同意，卖方不得将其在本合同项下的任何义务分包给任何第三方，包括卖方的关联企业。</w:t>
      </w:r>
      <w:bookmarkStart w:id="92" w:name="_DV_C867"/>
      <w:r>
        <w:rPr>
          <w:rFonts w:hint="eastAsia"/>
          <w:sz w:val="24"/>
          <w:highlight w:val="none"/>
        </w:rPr>
        <w:t>卖方不得将本合同转包给任何第三方，包括其关联企业。</w:t>
      </w:r>
      <w:bookmarkEnd w:id="92"/>
    </w:p>
    <w:bookmarkEnd w:id="81"/>
    <w:bookmarkEnd w:id="82"/>
    <w:bookmarkEnd w:id="83"/>
    <w:bookmarkEnd w:id="84"/>
    <w:bookmarkEnd w:id="85"/>
    <w:p>
      <w:pPr>
        <w:pStyle w:val="9"/>
        <w:numPr>
          <w:ilvl w:val="0"/>
          <w:numId w:val="6"/>
        </w:numPr>
        <w:tabs>
          <w:tab w:val="left" w:pos="993"/>
        </w:tabs>
        <w:spacing w:before="72" w:beforeLines="30" w:after="72" w:afterLines="30" w:line="360" w:lineRule="auto"/>
        <w:ind w:left="567" w:hanging="567"/>
        <w:jc w:val="left"/>
        <w:rPr>
          <w:rFonts w:hAnsi="宋体"/>
          <w:color w:val="000000"/>
          <w:sz w:val="24"/>
          <w:szCs w:val="24"/>
          <w:highlight w:val="none"/>
        </w:rPr>
      </w:pPr>
      <w:bookmarkStart w:id="93" w:name="_Toc306354324"/>
      <w:r>
        <w:rPr>
          <w:rFonts w:hint="eastAsia" w:hAnsi="宋体"/>
          <w:color w:val="000000"/>
          <w:sz w:val="24"/>
          <w:szCs w:val="24"/>
          <w:highlight w:val="none"/>
        </w:rPr>
        <w:t xml:space="preserve"> 不可抗力</w:t>
      </w:r>
      <w:bookmarkEnd w:id="93"/>
    </w:p>
    <w:p>
      <w:pPr>
        <w:pStyle w:val="5"/>
        <w:widowControl/>
        <w:numPr>
          <w:ilvl w:val="0"/>
          <w:numId w:val="27"/>
        </w:numPr>
        <w:tabs>
          <w:tab w:val="left" w:pos="567"/>
        </w:tabs>
        <w:spacing w:before="72" w:beforeLines="30" w:after="72" w:afterLines="30" w:line="360" w:lineRule="auto"/>
        <w:ind w:left="567" w:hanging="567"/>
        <w:rPr>
          <w:sz w:val="24"/>
          <w:highlight w:val="none"/>
        </w:rPr>
      </w:pPr>
      <w:r>
        <w:rPr>
          <w:rFonts w:hint="eastAsia"/>
          <w:sz w:val="24"/>
          <w:highlight w:val="none"/>
        </w:rPr>
        <w:t>不可抗力系指本合同的履行过程中，任何一方经合理努力仍不可预见、不可避免并不能克服的客观情况。</w:t>
      </w:r>
      <w:r>
        <w:rPr>
          <w:sz w:val="24"/>
          <w:highlight w:val="none"/>
        </w:rPr>
        <w:t>任何一方因不可抗力不能或延迟履行本合同，不承担违约责任。</w:t>
      </w:r>
    </w:p>
    <w:p>
      <w:pPr>
        <w:pStyle w:val="5"/>
        <w:widowControl/>
        <w:numPr>
          <w:ilvl w:val="0"/>
          <w:numId w:val="27"/>
        </w:numPr>
        <w:tabs>
          <w:tab w:val="left" w:pos="567"/>
        </w:tabs>
        <w:spacing w:before="72" w:beforeLines="30" w:after="72" w:afterLines="30" w:line="360" w:lineRule="auto"/>
        <w:ind w:left="567" w:hanging="567"/>
        <w:rPr>
          <w:sz w:val="24"/>
          <w:highlight w:val="none"/>
        </w:rPr>
      </w:pPr>
      <w:r>
        <w:rPr>
          <w:sz w:val="24"/>
          <w:highlight w:val="none"/>
        </w:rPr>
        <w:t>如果一方遭受不可抗力，应立即（不迟于24小时内）通知另一方，并采取一切合理、必要的措施减少损失及不可抗力的影响，恢复合同的履行。</w:t>
      </w:r>
      <w:r>
        <w:rPr>
          <w:rFonts w:hint="eastAsia"/>
          <w:sz w:val="24"/>
          <w:highlight w:val="none"/>
        </w:rPr>
        <w:t>不可抗力结束后</w:t>
      </w:r>
      <w:r>
        <w:rPr>
          <w:sz w:val="24"/>
          <w:highlight w:val="none"/>
        </w:rPr>
        <w:t>48</w:t>
      </w:r>
      <w:r>
        <w:rPr>
          <w:rFonts w:hint="eastAsia"/>
          <w:sz w:val="24"/>
          <w:highlight w:val="none"/>
        </w:rPr>
        <w:t>小时内，遭受不可抗力的一方应向另一方通报不可抗力的情况，包括不可抗力造成的损害、延续时间、合同设备受影响的范围、补救措施等，如不可抗力持续发生，遭受不可抗力的一方应及时更新该等信息。</w:t>
      </w:r>
    </w:p>
    <w:p>
      <w:pPr>
        <w:pStyle w:val="5"/>
        <w:widowControl/>
        <w:numPr>
          <w:ilvl w:val="0"/>
          <w:numId w:val="27"/>
        </w:numPr>
        <w:tabs>
          <w:tab w:val="left" w:pos="567"/>
        </w:tabs>
        <w:spacing w:before="72" w:beforeLines="30" w:after="72" w:afterLines="30" w:line="360" w:lineRule="auto"/>
        <w:ind w:left="567" w:hanging="567"/>
        <w:rPr>
          <w:sz w:val="24"/>
          <w:highlight w:val="none"/>
        </w:rPr>
      </w:pPr>
      <w:r>
        <w:rPr>
          <w:rFonts w:hint="eastAsia"/>
          <w:sz w:val="24"/>
          <w:highlight w:val="none"/>
        </w:rPr>
        <w:t>如发生不可抗力，双方各自承担其人员和财产损失。一旦不可抗力停止或者影响消除，双方应立即履行其义务，合同的期限应该相应顺延。如果不可抗力的影响持续超过【</w:t>
      </w:r>
      <w:r>
        <w:rPr>
          <w:rFonts w:hint="eastAsia"/>
          <w:i/>
          <w:sz w:val="24"/>
          <w:highlight w:val="none"/>
        </w:rPr>
        <w:t>填入天数</w:t>
      </w:r>
      <w:r>
        <w:rPr>
          <w:rFonts w:hint="eastAsia"/>
          <w:sz w:val="24"/>
          <w:highlight w:val="none"/>
        </w:rPr>
        <w:t>】日，双方应该共同商议应对措施。</w:t>
      </w:r>
    </w:p>
    <w:p>
      <w:pPr>
        <w:pStyle w:val="5"/>
        <w:widowControl/>
        <w:numPr>
          <w:ilvl w:val="0"/>
          <w:numId w:val="27"/>
        </w:numPr>
        <w:tabs>
          <w:tab w:val="left" w:pos="567"/>
        </w:tabs>
        <w:spacing w:before="72" w:beforeLines="30" w:after="72" w:afterLines="30" w:line="360" w:lineRule="auto"/>
        <w:ind w:left="567" w:hanging="567"/>
        <w:rPr>
          <w:sz w:val="24"/>
          <w:highlight w:val="none"/>
        </w:rPr>
      </w:pPr>
      <w:r>
        <w:rPr>
          <w:rFonts w:hint="eastAsia"/>
          <w:sz w:val="24"/>
          <w:highlight w:val="none"/>
        </w:rPr>
        <w:t>任何一方迟延履行合同后遭受不可抗力的，不得减少、免除该方在本合同项下的任何义务和责任。</w:t>
      </w:r>
    </w:p>
    <w:p>
      <w:pPr>
        <w:pStyle w:val="9"/>
        <w:numPr>
          <w:ilvl w:val="0"/>
          <w:numId w:val="6"/>
        </w:numPr>
        <w:tabs>
          <w:tab w:val="left" w:pos="993"/>
        </w:tabs>
        <w:spacing w:before="72" w:beforeLines="30" w:after="72" w:afterLines="30" w:line="360" w:lineRule="auto"/>
        <w:ind w:left="567" w:hanging="567"/>
        <w:jc w:val="left"/>
        <w:rPr>
          <w:sz w:val="24"/>
          <w:szCs w:val="24"/>
          <w:highlight w:val="none"/>
        </w:rPr>
      </w:pPr>
      <w:bookmarkStart w:id="94" w:name="_Toc298158360"/>
      <w:bookmarkStart w:id="95" w:name="_Toc306354326"/>
      <w:r>
        <w:rPr>
          <w:rFonts w:hint="eastAsia"/>
          <w:sz w:val="24"/>
          <w:szCs w:val="24"/>
          <w:highlight w:val="none"/>
        </w:rPr>
        <w:t xml:space="preserve"> 保密</w:t>
      </w:r>
      <w:bookmarkEnd w:id="94"/>
      <w:bookmarkEnd w:id="95"/>
    </w:p>
    <w:p>
      <w:pPr>
        <w:numPr>
          <w:ilvl w:val="0"/>
          <w:numId w:val="28"/>
        </w:numPr>
        <w:tabs>
          <w:tab w:val="left" w:pos="567"/>
          <w:tab w:val="left" w:pos="709"/>
        </w:tabs>
        <w:spacing w:before="72" w:beforeLines="30" w:after="72" w:afterLines="30" w:line="360" w:lineRule="auto"/>
        <w:ind w:left="567" w:hanging="567"/>
        <w:rPr>
          <w:sz w:val="24"/>
          <w:highlight w:val="none"/>
        </w:rPr>
      </w:pPr>
      <w:r>
        <w:rPr>
          <w:sz w:val="24"/>
          <w:highlight w:val="none"/>
        </w:rPr>
        <w:t>除非法律法规、政府机关另行强制要求，未经</w:t>
      </w:r>
      <w:r>
        <w:rPr>
          <w:rFonts w:hint="eastAsia"/>
          <w:sz w:val="24"/>
          <w:highlight w:val="none"/>
        </w:rPr>
        <w:t>买方</w:t>
      </w:r>
      <w:r>
        <w:rPr>
          <w:sz w:val="24"/>
          <w:highlight w:val="none"/>
        </w:rPr>
        <w:t>同意，</w:t>
      </w:r>
      <w:r>
        <w:rPr>
          <w:rFonts w:hint="eastAsia"/>
          <w:sz w:val="24"/>
          <w:highlight w:val="none"/>
        </w:rPr>
        <w:t>卖方</w:t>
      </w:r>
      <w:r>
        <w:rPr>
          <w:sz w:val="24"/>
          <w:highlight w:val="none"/>
        </w:rPr>
        <w:t>不得将</w:t>
      </w:r>
      <w:r>
        <w:rPr>
          <w:rFonts w:hint="eastAsia"/>
          <w:sz w:val="24"/>
          <w:highlight w:val="none"/>
        </w:rPr>
        <w:t>买</w:t>
      </w:r>
      <w:r>
        <w:rPr>
          <w:sz w:val="24"/>
          <w:highlight w:val="none"/>
        </w:rPr>
        <w:t>方保密信息披露给任何第三方（包括与合同无关的</w:t>
      </w:r>
      <w:r>
        <w:rPr>
          <w:rFonts w:hint="eastAsia"/>
          <w:sz w:val="24"/>
          <w:highlight w:val="none"/>
        </w:rPr>
        <w:t>卖</w:t>
      </w:r>
      <w:r>
        <w:rPr>
          <w:sz w:val="24"/>
          <w:highlight w:val="none"/>
        </w:rPr>
        <w:t>方员工和政府部门），亦不得将该等信息用于与本合同无关的用途。保密信息包括但不限于：合同内容；</w:t>
      </w:r>
      <w:r>
        <w:rPr>
          <w:rFonts w:hint="eastAsia"/>
          <w:sz w:val="24"/>
          <w:highlight w:val="none"/>
        </w:rPr>
        <w:t>买方提供的</w:t>
      </w:r>
      <w:r>
        <w:rPr>
          <w:sz w:val="24"/>
          <w:highlight w:val="none"/>
        </w:rPr>
        <w:t>与本合同有关的任何技术信息、图纸、样本、资料等；</w:t>
      </w:r>
      <w:r>
        <w:rPr>
          <w:rFonts w:hint="eastAsia"/>
          <w:sz w:val="24"/>
          <w:highlight w:val="none"/>
        </w:rPr>
        <w:t>买方</w:t>
      </w:r>
      <w:r>
        <w:rPr>
          <w:sz w:val="24"/>
          <w:highlight w:val="none"/>
        </w:rPr>
        <w:t>提供的或</w:t>
      </w:r>
      <w:r>
        <w:rPr>
          <w:rFonts w:hint="eastAsia"/>
          <w:sz w:val="24"/>
          <w:highlight w:val="none"/>
        </w:rPr>
        <w:t>卖方</w:t>
      </w:r>
      <w:r>
        <w:rPr>
          <w:sz w:val="24"/>
          <w:highlight w:val="none"/>
        </w:rPr>
        <w:t>获得的与项目或买方有关的任何技术和商务信息。</w:t>
      </w:r>
    </w:p>
    <w:p>
      <w:pPr>
        <w:pStyle w:val="9"/>
        <w:numPr>
          <w:ilvl w:val="0"/>
          <w:numId w:val="6"/>
        </w:numPr>
        <w:tabs>
          <w:tab w:val="left" w:pos="993"/>
        </w:tabs>
        <w:spacing w:before="72" w:beforeLines="30" w:after="72" w:afterLines="30" w:line="360" w:lineRule="auto"/>
        <w:ind w:left="567" w:hanging="567"/>
        <w:jc w:val="left"/>
        <w:rPr>
          <w:sz w:val="24"/>
          <w:szCs w:val="24"/>
          <w:highlight w:val="none"/>
        </w:rPr>
      </w:pPr>
      <w:bookmarkStart w:id="96" w:name="_Toc306354328"/>
      <w:r>
        <w:rPr>
          <w:rFonts w:hint="eastAsia"/>
          <w:sz w:val="24"/>
          <w:szCs w:val="24"/>
          <w:highlight w:val="none"/>
        </w:rPr>
        <w:t xml:space="preserve"> 审计、禁止商业贿赂和反腐败</w:t>
      </w:r>
    </w:p>
    <w:p>
      <w:pPr>
        <w:pStyle w:val="18"/>
        <w:numPr>
          <w:ilvl w:val="0"/>
          <w:numId w:val="29"/>
        </w:numPr>
        <w:adjustRightInd w:val="0"/>
        <w:snapToGrid w:val="0"/>
        <w:spacing w:before="72" w:beforeLines="30" w:after="72" w:afterLines="30" w:line="360" w:lineRule="auto"/>
        <w:ind w:left="567" w:hanging="567" w:firstLineChars="0"/>
        <w:rPr>
          <w:rFonts w:asciiTheme="minorEastAsia" w:hAnsiTheme="minorEastAsia" w:eastAsiaTheme="minorEastAsia"/>
          <w:sz w:val="24"/>
          <w:highlight w:val="none"/>
        </w:rPr>
      </w:pPr>
      <w:r>
        <w:rPr>
          <w:rFonts w:hint="eastAsia" w:asciiTheme="minorEastAsia" w:hAnsiTheme="minorEastAsia" w:eastAsiaTheme="minorEastAsia"/>
          <w:kern w:val="0"/>
          <w:sz w:val="24"/>
          <w:highlight w:val="none"/>
        </w:rPr>
        <w:t>卖方应根据买方要求，接受和配合买方或买方委</w:t>
      </w:r>
      <w:r>
        <w:rPr>
          <w:rFonts w:hint="eastAsia" w:asciiTheme="minorEastAsia" w:hAnsiTheme="minorEastAsia" w:eastAsiaTheme="minorEastAsia"/>
          <w:sz w:val="24"/>
          <w:highlight w:val="none"/>
        </w:rPr>
        <w:t>托的会计师事务所进行的与本合同相关的审计。</w:t>
      </w:r>
    </w:p>
    <w:p>
      <w:pPr>
        <w:pStyle w:val="18"/>
        <w:numPr>
          <w:ilvl w:val="0"/>
          <w:numId w:val="29"/>
        </w:numPr>
        <w:adjustRightInd w:val="0"/>
        <w:snapToGrid w:val="0"/>
        <w:spacing w:before="72" w:beforeLines="30" w:after="72" w:afterLines="30" w:line="360" w:lineRule="auto"/>
        <w:ind w:left="567" w:hanging="567" w:firstLineChars="0"/>
        <w:rPr>
          <w:rFonts w:asciiTheme="minorEastAsia" w:hAnsiTheme="minorEastAsia" w:eastAsiaTheme="minorEastAsia"/>
          <w:sz w:val="24"/>
          <w:highlight w:val="none"/>
        </w:rPr>
      </w:pPr>
      <w:r>
        <w:rPr>
          <w:rFonts w:hint="eastAsia" w:asciiTheme="minorEastAsia" w:hAnsiTheme="minorEastAsia" w:eastAsiaTheme="minorEastAsia"/>
          <w:kern w:val="0"/>
          <w:sz w:val="24"/>
          <w:highlight w:val="none"/>
        </w:rPr>
        <w:t>卖方应保存与本合同相关的记录和账目，保存期限为本合同终止后【</w:t>
      </w:r>
      <w:r>
        <w:rPr>
          <w:rFonts w:hint="eastAsia" w:asciiTheme="minorEastAsia" w:hAnsiTheme="minorEastAsia" w:eastAsiaTheme="minorEastAsia"/>
          <w:i/>
          <w:kern w:val="0"/>
          <w:sz w:val="24"/>
          <w:highlight w:val="none"/>
        </w:rPr>
        <w:t>填入年数，如十（</w:t>
      </w:r>
      <w:r>
        <w:rPr>
          <w:rFonts w:asciiTheme="minorEastAsia" w:hAnsiTheme="minorEastAsia" w:eastAsiaTheme="minorEastAsia"/>
          <w:i/>
          <w:kern w:val="0"/>
          <w:sz w:val="24"/>
          <w:highlight w:val="none"/>
        </w:rPr>
        <w:t>10</w:t>
      </w:r>
      <w:r>
        <w:rPr>
          <w:rFonts w:hint="eastAsia" w:asciiTheme="minorEastAsia" w:hAnsiTheme="minorEastAsia" w:eastAsiaTheme="minorEastAsia"/>
          <w:i/>
          <w:kern w:val="0"/>
          <w:sz w:val="24"/>
          <w:highlight w:val="none"/>
        </w:rPr>
        <w:t>）</w:t>
      </w:r>
      <w:r>
        <w:rPr>
          <w:rFonts w:hint="eastAsia" w:asciiTheme="minorEastAsia" w:hAnsiTheme="minorEastAsia" w:eastAsiaTheme="minorEastAsia"/>
          <w:kern w:val="0"/>
          <w:sz w:val="24"/>
          <w:highlight w:val="none"/>
        </w:rPr>
        <w:t>】年或遵从所在国相关规定。经提前通知，买方或买方委托的会计师事务所有权检查并复制该等记录和账目。</w:t>
      </w:r>
    </w:p>
    <w:p>
      <w:pPr>
        <w:pStyle w:val="18"/>
        <w:numPr>
          <w:ilvl w:val="0"/>
          <w:numId w:val="29"/>
        </w:numPr>
        <w:spacing w:line="360" w:lineRule="auto"/>
        <w:ind w:left="567" w:hanging="567" w:firstLineChars="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双方确认并承诺，双方熟悉并了解合同签订地和履行地关于禁止商业贿赂和反腐败的法律、法规及商业政策，双方承诺双方的高级职员、员工、授权代表或者代理商将会严格遵守前述禁止商业贿赂和反腐败的法律、法规及商业政策。卖方应在其分包合同（如有）中要求分包商遵守相同的禁止商业贿赂及反腐败要求。违反禁止商业贿赂和反腐败法律、法规及商业政策的一方将承担相应的法律责任及所有不利后果，且守约方有权因此随时终止本合同。</w:t>
      </w:r>
    </w:p>
    <w:p>
      <w:pPr>
        <w:pStyle w:val="9"/>
        <w:numPr>
          <w:ilvl w:val="0"/>
          <w:numId w:val="6"/>
        </w:numPr>
        <w:tabs>
          <w:tab w:val="left" w:pos="993"/>
        </w:tabs>
        <w:spacing w:before="72" w:beforeLines="30" w:after="72" w:afterLines="30" w:line="360" w:lineRule="auto"/>
        <w:ind w:left="567" w:hanging="567"/>
        <w:jc w:val="left"/>
        <w:rPr>
          <w:sz w:val="24"/>
          <w:szCs w:val="24"/>
          <w:highlight w:val="none"/>
        </w:rPr>
      </w:pPr>
      <w:r>
        <w:rPr>
          <w:rFonts w:hint="eastAsia"/>
          <w:sz w:val="24"/>
          <w:szCs w:val="24"/>
          <w:highlight w:val="none"/>
        </w:rPr>
        <w:t xml:space="preserve"> 通知</w:t>
      </w:r>
      <w:bookmarkEnd w:id="96"/>
    </w:p>
    <w:p>
      <w:pPr>
        <w:widowControl/>
        <w:numPr>
          <w:ilvl w:val="0"/>
          <w:numId w:val="30"/>
        </w:numPr>
        <w:tabs>
          <w:tab w:val="left" w:pos="567"/>
          <w:tab w:val="left" w:pos="709"/>
        </w:tabs>
        <w:autoSpaceDE w:val="0"/>
        <w:autoSpaceDN w:val="0"/>
        <w:spacing w:before="72" w:beforeLines="30" w:after="72" w:afterLines="30" w:line="360" w:lineRule="auto"/>
        <w:ind w:left="567" w:hanging="567"/>
        <w:jc w:val="left"/>
        <w:textAlignment w:val="bottom"/>
        <w:rPr>
          <w:sz w:val="24"/>
          <w:highlight w:val="none"/>
        </w:rPr>
      </w:pPr>
      <w:r>
        <w:rPr>
          <w:rFonts w:hint="eastAsia"/>
          <w:sz w:val="24"/>
          <w:highlight w:val="none"/>
        </w:rPr>
        <w:t>通知应根据本合同规定以亲自递送、特快专递、传真等方式送达。</w:t>
      </w:r>
      <w:r>
        <w:rPr>
          <w:sz w:val="24"/>
          <w:highlight w:val="none"/>
        </w:rPr>
        <w:t>通知在下列情况视为</w:t>
      </w:r>
      <w:r>
        <w:rPr>
          <w:rFonts w:hint="eastAsia"/>
          <w:sz w:val="24"/>
          <w:highlight w:val="none"/>
        </w:rPr>
        <w:t>送达</w:t>
      </w:r>
      <w:r>
        <w:rPr>
          <w:sz w:val="24"/>
          <w:highlight w:val="none"/>
        </w:rPr>
        <w:t>：</w:t>
      </w:r>
    </w:p>
    <w:p>
      <w:pPr>
        <w:widowControl/>
        <w:numPr>
          <w:ilvl w:val="1"/>
          <w:numId w:val="31"/>
        </w:numPr>
        <w:tabs>
          <w:tab w:val="left" w:pos="567"/>
          <w:tab w:val="left" w:pos="993"/>
        </w:tabs>
        <w:spacing w:before="72" w:beforeLines="30" w:after="72" w:afterLines="30" w:line="360" w:lineRule="auto"/>
        <w:ind w:left="567" w:firstLine="0"/>
        <w:jc w:val="left"/>
        <w:rPr>
          <w:sz w:val="24"/>
          <w:highlight w:val="none"/>
        </w:rPr>
      </w:pPr>
      <w:r>
        <w:rPr>
          <w:sz w:val="24"/>
          <w:highlight w:val="none"/>
        </w:rPr>
        <w:t>如采</w:t>
      </w:r>
      <w:r>
        <w:rPr>
          <w:rFonts w:hint="eastAsia"/>
          <w:sz w:val="24"/>
          <w:highlight w:val="none"/>
        </w:rPr>
        <w:t>用</w:t>
      </w:r>
      <w:r>
        <w:rPr>
          <w:sz w:val="24"/>
          <w:highlight w:val="none"/>
        </w:rPr>
        <w:t>亲自递送方式，于</w:t>
      </w:r>
      <w:r>
        <w:rPr>
          <w:rFonts w:hint="eastAsia"/>
          <w:sz w:val="24"/>
          <w:highlight w:val="none"/>
        </w:rPr>
        <w:t>签收确认</w:t>
      </w:r>
      <w:r>
        <w:rPr>
          <w:sz w:val="24"/>
          <w:highlight w:val="none"/>
        </w:rPr>
        <w:t>之时；</w:t>
      </w:r>
    </w:p>
    <w:p>
      <w:pPr>
        <w:widowControl/>
        <w:numPr>
          <w:ilvl w:val="1"/>
          <w:numId w:val="31"/>
        </w:numPr>
        <w:tabs>
          <w:tab w:val="left" w:pos="567"/>
          <w:tab w:val="left" w:pos="993"/>
        </w:tabs>
        <w:spacing w:before="72" w:beforeLines="30" w:after="72" w:afterLines="30" w:line="360" w:lineRule="auto"/>
        <w:ind w:left="567" w:firstLine="0"/>
        <w:jc w:val="left"/>
        <w:rPr>
          <w:sz w:val="24"/>
          <w:highlight w:val="none"/>
        </w:rPr>
      </w:pPr>
      <w:r>
        <w:rPr>
          <w:sz w:val="24"/>
          <w:highlight w:val="none"/>
        </w:rPr>
        <w:t>如采</w:t>
      </w:r>
      <w:r>
        <w:rPr>
          <w:rFonts w:hint="eastAsia"/>
          <w:sz w:val="24"/>
          <w:highlight w:val="none"/>
        </w:rPr>
        <w:t>用特快专递</w:t>
      </w:r>
      <w:r>
        <w:rPr>
          <w:sz w:val="24"/>
          <w:highlight w:val="none"/>
        </w:rPr>
        <w:t>方式，于</w:t>
      </w:r>
      <w:r>
        <w:rPr>
          <w:rFonts w:hint="eastAsia"/>
          <w:sz w:val="24"/>
          <w:highlight w:val="none"/>
        </w:rPr>
        <w:t>收件人签收</w:t>
      </w:r>
      <w:r>
        <w:rPr>
          <w:sz w:val="24"/>
          <w:highlight w:val="none"/>
        </w:rPr>
        <w:t>之时</w:t>
      </w:r>
      <w:r>
        <w:rPr>
          <w:rFonts w:hint="eastAsia"/>
          <w:sz w:val="24"/>
          <w:highlight w:val="none"/>
        </w:rPr>
        <w:t>；</w:t>
      </w:r>
    </w:p>
    <w:p>
      <w:pPr>
        <w:widowControl/>
        <w:numPr>
          <w:ilvl w:val="1"/>
          <w:numId w:val="31"/>
        </w:numPr>
        <w:tabs>
          <w:tab w:val="left" w:pos="567"/>
          <w:tab w:val="left" w:pos="993"/>
        </w:tabs>
        <w:spacing w:before="72" w:beforeLines="30" w:after="72" w:afterLines="30" w:line="360" w:lineRule="auto"/>
        <w:ind w:left="567" w:firstLine="0"/>
        <w:jc w:val="left"/>
        <w:rPr>
          <w:sz w:val="24"/>
          <w:highlight w:val="none"/>
        </w:rPr>
      </w:pPr>
      <w:r>
        <w:rPr>
          <w:sz w:val="24"/>
          <w:highlight w:val="none"/>
        </w:rPr>
        <w:t>如采</w:t>
      </w:r>
      <w:r>
        <w:rPr>
          <w:rFonts w:hint="eastAsia"/>
          <w:sz w:val="24"/>
          <w:highlight w:val="none"/>
        </w:rPr>
        <w:t>用</w:t>
      </w:r>
      <w:r>
        <w:rPr>
          <w:sz w:val="24"/>
          <w:highlight w:val="none"/>
        </w:rPr>
        <w:t>传真方式，于确认传输之时</w:t>
      </w:r>
      <w:r>
        <w:rPr>
          <w:rFonts w:hint="eastAsia"/>
          <w:sz w:val="24"/>
          <w:highlight w:val="none"/>
        </w:rPr>
        <w:t>。</w:t>
      </w:r>
    </w:p>
    <w:p>
      <w:pPr>
        <w:widowControl/>
        <w:numPr>
          <w:ilvl w:val="0"/>
          <w:numId w:val="30"/>
        </w:numPr>
        <w:tabs>
          <w:tab w:val="left" w:pos="567"/>
          <w:tab w:val="left" w:pos="709"/>
        </w:tabs>
        <w:autoSpaceDE w:val="0"/>
        <w:autoSpaceDN w:val="0"/>
        <w:spacing w:before="72" w:beforeLines="30" w:after="72" w:afterLines="30" w:line="360" w:lineRule="auto"/>
        <w:ind w:left="567" w:hanging="567"/>
        <w:jc w:val="left"/>
        <w:textAlignment w:val="bottom"/>
        <w:rPr>
          <w:sz w:val="24"/>
          <w:highlight w:val="none"/>
        </w:rPr>
      </w:pPr>
      <w:r>
        <w:rPr>
          <w:rFonts w:ascii="宋体" w:hAnsi="宋体"/>
          <w:sz w:val="24"/>
          <w:highlight w:val="none"/>
        </w:rPr>
        <w:t>除非一方另行</w:t>
      </w:r>
      <w:r>
        <w:rPr>
          <w:rFonts w:hint="eastAsia" w:ascii="宋体" w:hAnsi="宋体"/>
          <w:sz w:val="24"/>
          <w:highlight w:val="none"/>
        </w:rPr>
        <w:t>明确</w:t>
      </w:r>
      <w:r>
        <w:rPr>
          <w:rFonts w:ascii="宋体" w:hAnsi="宋体"/>
          <w:sz w:val="24"/>
          <w:highlight w:val="none"/>
        </w:rPr>
        <w:t>要求，双方可通过互联网电子邮件进行通讯联系或传送文件。因不能合理控制的原因导致任何互联网电子邮件遗失、延误、被截取、破坏或修改的，</w:t>
      </w:r>
      <w:r>
        <w:rPr>
          <w:rFonts w:hint="eastAsia" w:ascii="宋体" w:hAnsi="宋体"/>
          <w:sz w:val="24"/>
          <w:highlight w:val="none"/>
        </w:rPr>
        <w:t>通知发出方不承担</w:t>
      </w:r>
      <w:r>
        <w:rPr>
          <w:rFonts w:ascii="宋体" w:hAnsi="宋体"/>
          <w:sz w:val="24"/>
          <w:highlight w:val="none"/>
        </w:rPr>
        <w:t>因此造成的任何损失、损害、费用、伤害或不便。</w:t>
      </w:r>
    </w:p>
    <w:p>
      <w:pPr>
        <w:numPr>
          <w:ilvl w:val="0"/>
          <w:numId w:val="30"/>
        </w:numPr>
        <w:adjustRightInd w:val="0"/>
        <w:snapToGrid w:val="0"/>
        <w:spacing w:line="360" w:lineRule="auto"/>
        <w:ind w:left="567" w:hanging="567"/>
        <w:jc w:val="left"/>
        <w:textAlignment w:val="baseline"/>
        <w:outlineLvl w:val="3"/>
        <w:rPr>
          <w:sz w:val="24"/>
          <w:highlight w:val="none"/>
        </w:rPr>
      </w:pPr>
      <w:r>
        <w:rPr>
          <w:rFonts w:hint="eastAsia" w:hAnsi="宋体"/>
          <w:bCs/>
          <w:kern w:val="0"/>
          <w:sz w:val="24"/>
          <w:highlight w:val="none"/>
        </w:rPr>
        <w:t>本合同送达地址适用范围包括就本合同发生争议时相关文件和法律文书的 送达（包括在争议进入仲裁、民事诉讼程序后的一审、二审、再审和执行程序）。</w:t>
      </w:r>
    </w:p>
    <w:p>
      <w:pPr>
        <w:pStyle w:val="9"/>
        <w:numPr>
          <w:ilvl w:val="0"/>
          <w:numId w:val="6"/>
        </w:numPr>
        <w:tabs>
          <w:tab w:val="left" w:pos="567"/>
        </w:tabs>
        <w:spacing w:before="72" w:beforeLines="30" w:after="72" w:afterLines="30" w:line="360" w:lineRule="auto"/>
        <w:ind w:left="567" w:hanging="567"/>
        <w:jc w:val="left"/>
        <w:rPr>
          <w:sz w:val="24"/>
          <w:szCs w:val="24"/>
          <w:highlight w:val="none"/>
        </w:rPr>
      </w:pPr>
      <w:bookmarkStart w:id="97" w:name="_Toc306354329"/>
      <w:r>
        <w:rPr>
          <w:sz w:val="24"/>
          <w:szCs w:val="24"/>
          <w:highlight w:val="none"/>
        </w:rPr>
        <w:t>法律适用</w:t>
      </w:r>
      <w:r>
        <w:rPr>
          <w:rFonts w:hint="eastAsia"/>
          <w:sz w:val="24"/>
          <w:szCs w:val="24"/>
          <w:highlight w:val="none"/>
        </w:rPr>
        <w:t>和</w:t>
      </w:r>
      <w:r>
        <w:rPr>
          <w:sz w:val="24"/>
          <w:szCs w:val="24"/>
          <w:highlight w:val="none"/>
        </w:rPr>
        <w:t>争议解决</w:t>
      </w:r>
      <w:bookmarkEnd w:id="97"/>
    </w:p>
    <w:p>
      <w:pPr>
        <w:numPr>
          <w:ilvl w:val="1"/>
          <w:numId w:val="32"/>
        </w:numPr>
        <w:tabs>
          <w:tab w:val="left" w:pos="567"/>
        </w:tabs>
        <w:spacing w:before="72" w:beforeLines="30" w:after="72" w:afterLines="30" w:line="360" w:lineRule="auto"/>
        <w:ind w:left="567" w:hanging="567"/>
        <w:rPr>
          <w:rFonts w:ascii="宋体" w:hAnsi="宋体"/>
          <w:sz w:val="24"/>
          <w:highlight w:val="none"/>
        </w:rPr>
      </w:pPr>
      <w:bookmarkStart w:id="98" w:name="_Toc296955884"/>
      <w:bookmarkStart w:id="99" w:name="_Toc296959346"/>
      <w:r>
        <w:rPr>
          <w:rFonts w:hint="eastAsia" w:ascii="宋体" w:hAnsi="宋体"/>
          <w:sz w:val="24"/>
          <w:highlight w:val="none"/>
        </w:rPr>
        <w:t>本合同适用中华人民共和国（不含香港特别行政区、澳门特别行政区和台湾地区）法律。</w:t>
      </w:r>
    </w:p>
    <w:p>
      <w:pPr>
        <w:numPr>
          <w:ilvl w:val="1"/>
          <w:numId w:val="32"/>
        </w:numPr>
        <w:tabs>
          <w:tab w:val="left" w:pos="567"/>
        </w:tabs>
        <w:spacing w:before="72" w:beforeLines="30" w:after="72" w:afterLines="30" w:line="360" w:lineRule="auto"/>
        <w:ind w:left="567" w:hanging="567"/>
        <w:rPr>
          <w:rFonts w:ascii="宋体" w:hAnsi="宋体"/>
          <w:sz w:val="24"/>
          <w:highlight w:val="none"/>
        </w:rPr>
      </w:pPr>
      <w:r>
        <w:rPr>
          <w:rFonts w:ascii="宋体" w:hAnsi="宋体"/>
          <w:sz w:val="24"/>
          <w:highlight w:val="none"/>
        </w:rPr>
        <w:t>因履行</w:t>
      </w:r>
      <w:r>
        <w:rPr>
          <w:rFonts w:hint="eastAsia" w:ascii="宋体" w:hAnsi="宋体"/>
          <w:sz w:val="24"/>
          <w:highlight w:val="none"/>
        </w:rPr>
        <w:t>本</w:t>
      </w:r>
      <w:r>
        <w:rPr>
          <w:rFonts w:ascii="宋体" w:hAnsi="宋体"/>
          <w:sz w:val="24"/>
          <w:highlight w:val="none"/>
        </w:rPr>
        <w:t>合同发生的或与本合同有关的一切争议，双方</w:t>
      </w:r>
      <w:r>
        <w:rPr>
          <w:rFonts w:hint="eastAsia" w:ascii="宋体" w:hAnsi="宋体"/>
          <w:sz w:val="24"/>
          <w:highlight w:val="none"/>
        </w:rPr>
        <w:t>首先应</w:t>
      </w:r>
      <w:r>
        <w:rPr>
          <w:rFonts w:ascii="宋体" w:hAnsi="宋体"/>
          <w:sz w:val="24"/>
          <w:highlight w:val="none"/>
        </w:rPr>
        <w:t>友好协商解决，</w:t>
      </w:r>
      <w:r>
        <w:rPr>
          <w:rFonts w:hint="eastAsia" w:ascii="宋体" w:hAnsi="宋体"/>
          <w:sz w:val="24"/>
          <w:highlight w:val="none"/>
        </w:rPr>
        <w:t>如</w:t>
      </w:r>
      <w:r>
        <w:rPr>
          <w:rFonts w:ascii="宋体" w:hAnsi="宋体"/>
          <w:sz w:val="24"/>
          <w:highlight w:val="none"/>
        </w:rPr>
        <w:t>经协商</w:t>
      </w:r>
      <w:r>
        <w:rPr>
          <w:rFonts w:hint="eastAsia" w:ascii="宋体" w:hAnsi="宋体"/>
          <w:sz w:val="24"/>
          <w:highlight w:val="none"/>
        </w:rPr>
        <w:t>【</w:t>
      </w:r>
      <w:r>
        <w:rPr>
          <w:rFonts w:hint="eastAsia" w:ascii="宋体" w:hAnsi="宋体"/>
          <w:i/>
          <w:sz w:val="24"/>
          <w:highlight w:val="none"/>
        </w:rPr>
        <w:t>填入天数，如</w:t>
      </w:r>
      <w:r>
        <w:rPr>
          <w:rFonts w:hAnsi="宋体"/>
          <w:i/>
          <w:sz w:val="24"/>
          <w:highlight w:val="none"/>
        </w:rPr>
        <w:t>六十（</w:t>
      </w:r>
      <w:r>
        <w:rPr>
          <w:i/>
          <w:sz w:val="24"/>
          <w:highlight w:val="none"/>
        </w:rPr>
        <w:t>60</w:t>
      </w:r>
      <w:r>
        <w:rPr>
          <w:rFonts w:hAnsi="宋体"/>
          <w:i/>
          <w:sz w:val="24"/>
          <w:highlight w:val="none"/>
        </w:rPr>
        <w:t>）</w:t>
      </w:r>
      <w:r>
        <w:rPr>
          <w:rFonts w:hint="eastAsia" w:ascii="宋体" w:hAnsi="宋体"/>
          <w:sz w:val="24"/>
          <w:highlight w:val="none"/>
        </w:rPr>
        <w:t>】日内</w:t>
      </w:r>
      <w:r>
        <w:rPr>
          <w:rFonts w:ascii="宋体" w:hAnsi="宋体"/>
          <w:sz w:val="24"/>
          <w:highlight w:val="none"/>
        </w:rPr>
        <w:t>仍不能解决</w:t>
      </w:r>
      <w:r>
        <w:rPr>
          <w:rFonts w:hint="eastAsia" w:ascii="宋体" w:hAnsi="宋体"/>
          <w:sz w:val="24"/>
          <w:highlight w:val="none"/>
        </w:rPr>
        <w:t>，</w:t>
      </w:r>
      <w:r>
        <w:rPr>
          <w:rFonts w:ascii="宋体" w:hAnsi="宋体"/>
          <w:sz w:val="24"/>
          <w:highlight w:val="none"/>
        </w:rPr>
        <w:t>双方同意：</w:t>
      </w:r>
    </w:p>
    <w:p>
      <w:pPr>
        <w:spacing w:before="72" w:beforeLines="30" w:after="72" w:afterLines="30" w:line="360" w:lineRule="auto"/>
        <w:ind w:left="567"/>
        <w:rPr>
          <w:bCs/>
          <w:i/>
          <w:kern w:val="0"/>
          <w:sz w:val="24"/>
          <w:highlight w:val="none"/>
          <w:u w:val="single"/>
        </w:rPr>
      </w:pPr>
      <w:r>
        <w:rPr>
          <w:rFonts w:hint="eastAsia"/>
          <w:bCs/>
          <w:i/>
          <w:kern w:val="0"/>
          <w:sz w:val="24"/>
          <w:highlight w:val="none"/>
          <w:u w:val="single"/>
        </w:rPr>
        <w:t>请根据实际情况从下列选项中选择其中一项，并将不适用的删除</w:t>
      </w:r>
    </w:p>
    <w:p>
      <w:pPr>
        <w:spacing w:before="72" w:beforeLines="30" w:after="72" w:afterLines="30" w:line="360" w:lineRule="auto"/>
        <w:ind w:left="567"/>
        <w:rPr>
          <w:rFonts w:ascii="宋体" w:hAnsi="宋体"/>
          <w:i/>
          <w:sz w:val="24"/>
          <w:highlight w:val="none"/>
          <w:u w:val="single"/>
        </w:rPr>
      </w:pPr>
      <w:r>
        <w:rPr>
          <w:rFonts w:hint="eastAsia" w:ascii="宋体" w:hAnsi="宋体"/>
          <w:i/>
          <w:sz w:val="24"/>
          <w:highlight w:val="none"/>
          <w:u w:val="single"/>
        </w:rPr>
        <w:t>选项一:诉讼</w:t>
      </w:r>
    </w:p>
    <w:p>
      <w:pPr>
        <w:spacing w:before="72" w:beforeLines="30" w:after="72" w:afterLines="30" w:line="360" w:lineRule="auto"/>
        <w:ind w:left="567"/>
        <w:rPr>
          <w:rFonts w:ascii="宋体" w:hAnsi="宋体"/>
          <w:sz w:val="24"/>
          <w:highlight w:val="none"/>
        </w:rPr>
      </w:pPr>
      <w:r>
        <w:rPr>
          <w:rFonts w:ascii="宋体" w:hAnsi="宋体"/>
          <w:sz w:val="24"/>
          <w:highlight w:val="none"/>
        </w:rPr>
        <w:t>向买方所在地人民法院起诉。</w:t>
      </w:r>
    </w:p>
    <w:p>
      <w:pPr>
        <w:spacing w:before="72" w:beforeLines="30" w:after="72" w:afterLines="30" w:line="360" w:lineRule="auto"/>
        <w:ind w:left="567"/>
        <w:rPr>
          <w:rFonts w:ascii="宋体" w:hAnsi="宋体"/>
          <w:i/>
          <w:sz w:val="24"/>
          <w:highlight w:val="none"/>
          <w:u w:val="single"/>
        </w:rPr>
      </w:pPr>
      <w:r>
        <w:rPr>
          <w:rFonts w:hint="eastAsia" w:ascii="宋体" w:hAnsi="宋体"/>
          <w:i/>
          <w:sz w:val="24"/>
          <w:highlight w:val="none"/>
          <w:u w:val="single"/>
        </w:rPr>
        <w:t>选项二：仲裁</w:t>
      </w:r>
    </w:p>
    <w:p>
      <w:pPr>
        <w:spacing w:before="72" w:beforeLines="30" w:after="72" w:afterLines="30" w:line="360" w:lineRule="auto"/>
        <w:ind w:left="567"/>
        <w:rPr>
          <w:sz w:val="24"/>
          <w:highlight w:val="none"/>
        </w:rPr>
      </w:pPr>
      <w:r>
        <w:rPr>
          <w:rFonts w:ascii="宋体" w:hAnsi="宋体"/>
          <w:sz w:val="24"/>
          <w:highlight w:val="none"/>
        </w:rPr>
        <w:t>提交</w:t>
      </w:r>
      <w:r>
        <w:rPr>
          <w:rFonts w:hint="eastAsia" w:ascii="宋体" w:hAnsi="宋体"/>
          <w:sz w:val="24"/>
          <w:highlight w:val="none"/>
        </w:rPr>
        <w:t>【□中国国际经济贸易仲裁委员会；□北京仲裁委员会；□天津仲裁委员会】</w:t>
      </w:r>
      <w:r>
        <w:rPr>
          <w:rFonts w:ascii="宋体" w:hAnsi="宋体"/>
          <w:sz w:val="24"/>
          <w:highlight w:val="none"/>
        </w:rPr>
        <w:t>进行仲裁。</w:t>
      </w:r>
      <w:r>
        <w:rPr>
          <w:rFonts w:hint="eastAsia"/>
          <w:bCs/>
          <w:sz w:val="24"/>
          <w:highlight w:val="none"/>
        </w:rPr>
        <w:t>仲裁应根据申请仲裁时该仲裁委员会现行有效的仲裁规则进行。仲裁员人数为【</w:t>
      </w:r>
      <w:r>
        <w:rPr>
          <w:rFonts w:hint="eastAsia"/>
          <w:bCs/>
          <w:i/>
          <w:sz w:val="24"/>
          <w:highlight w:val="none"/>
        </w:rPr>
        <w:t>请根据选择的仲裁机构现行有效的规定填写，简单合同可选择独任仲裁员</w:t>
      </w:r>
      <w:r>
        <w:rPr>
          <w:rFonts w:hint="eastAsia"/>
          <w:bCs/>
          <w:sz w:val="24"/>
          <w:highlight w:val="none"/>
        </w:rPr>
        <w:t>】名。庭审地为【</w:t>
      </w:r>
      <w:r>
        <w:rPr>
          <w:rFonts w:hint="eastAsia"/>
          <w:bCs/>
          <w:i/>
          <w:sz w:val="24"/>
          <w:highlight w:val="none"/>
        </w:rPr>
        <w:t>根据委托方所在地，从委托方便利的角度填入庭审地</w:t>
      </w:r>
      <w:r>
        <w:rPr>
          <w:rFonts w:hint="eastAsia"/>
          <w:bCs/>
          <w:sz w:val="24"/>
          <w:highlight w:val="none"/>
        </w:rPr>
        <w:t>】。仲裁裁决是终局的，对双方均有约束力。</w:t>
      </w:r>
    </w:p>
    <w:p>
      <w:pPr>
        <w:numPr>
          <w:ilvl w:val="1"/>
          <w:numId w:val="32"/>
        </w:numPr>
        <w:tabs>
          <w:tab w:val="left" w:pos="567"/>
        </w:tabs>
        <w:spacing w:before="72" w:beforeLines="30" w:after="72" w:afterLines="30" w:line="360" w:lineRule="auto"/>
        <w:ind w:left="567" w:hanging="567"/>
        <w:rPr>
          <w:b/>
          <w:sz w:val="24"/>
          <w:highlight w:val="none"/>
        </w:rPr>
      </w:pPr>
      <w:r>
        <w:rPr>
          <w:rFonts w:hint="eastAsia" w:ascii="宋体" w:hAnsi="宋体"/>
          <w:sz w:val="24"/>
          <w:highlight w:val="none"/>
        </w:rPr>
        <w:t>争议解决期间</w:t>
      </w:r>
      <w:r>
        <w:rPr>
          <w:rFonts w:ascii="宋体" w:hAnsi="宋体"/>
          <w:sz w:val="24"/>
          <w:highlight w:val="none"/>
        </w:rPr>
        <w:t>，除争议事项外，双方应继续履行本合同。</w:t>
      </w:r>
    </w:p>
    <w:bookmarkEnd w:id="98"/>
    <w:bookmarkEnd w:id="99"/>
    <w:p>
      <w:pPr>
        <w:pStyle w:val="9"/>
        <w:numPr>
          <w:ilvl w:val="0"/>
          <w:numId w:val="6"/>
        </w:numPr>
        <w:tabs>
          <w:tab w:val="left" w:pos="567"/>
        </w:tabs>
        <w:spacing w:before="72" w:beforeLines="30" w:after="72" w:afterLines="30" w:line="360" w:lineRule="auto"/>
        <w:ind w:left="567" w:hanging="567"/>
        <w:jc w:val="left"/>
        <w:rPr>
          <w:sz w:val="24"/>
          <w:szCs w:val="24"/>
          <w:highlight w:val="none"/>
        </w:rPr>
      </w:pPr>
      <w:bookmarkStart w:id="100" w:name="_Toc306354330"/>
      <w:r>
        <w:rPr>
          <w:rFonts w:hint="eastAsia"/>
          <w:sz w:val="24"/>
          <w:szCs w:val="24"/>
          <w:highlight w:val="none"/>
        </w:rPr>
        <w:t xml:space="preserve"> </w:t>
      </w:r>
      <w:r>
        <w:rPr>
          <w:sz w:val="24"/>
          <w:szCs w:val="24"/>
          <w:highlight w:val="none"/>
        </w:rPr>
        <w:t>其它</w:t>
      </w:r>
      <w:bookmarkEnd w:id="100"/>
    </w:p>
    <w:p>
      <w:pPr>
        <w:numPr>
          <w:ilvl w:val="1"/>
          <w:numId w:val="33"/>
        </w:numPr>
        <w:tabs>
          <w:tab w:val="left" w:pos="567"/>
        </w:tabs>
        <w:spacing w:before="72" w:beforeLines="30" w:after="72" w:afterLines="30" w:line="360" w:lineRule="auto"/>
        <w:ind w:left="567" w:hanging="567"/>
        <w:rPr>
          <w:sz w:val="24"/>
          <w:highlight w:val="none"/>
        </w:rPr>
      </w:pPr>
      <w:r>
        <w:rPr>
          <w:rFonts w:hint="eastAsia"/>
          <w:sz w:val="24"/>
          <w:highlight w:val="none"/>
        </w:rPr>
        <w:t>在本合同签订时如卖方属于《保障中小企业款项支付条例》（“条例”）规定的中小企业，本合同所约定的付款期限、方式、条件和违约责任等交易条件应遵守该条例的规定。如本合同约定的任何交易条件违反该条例，买方应按照符合该条例规定的交易条件履行合同，并应按照条例的规定与卖方协商变更本合同的该等交易条件，以保障卖方享有条例规定的合法权益。</w:t>
      </w:r>
    </w:p>
    <w:p>
      <w:pPr>
        <w:numPr>
          <w:ilvl w:val="1"/>
          <w:numId w:val="33"/>
        </w:numPr>
        <w:tabs>
          <w:tab w:val="left" w:pos="567"/>
        </w:tabs>
        <w:spacing w:before="72" w:beforeLines="30" w:after="72" w:afterLines="30" w:line="360" w:lineRule="auto"/>
        <w:ind w:left="567" w:hanging="567"/>
        <w:rPr>
          <w:sz w:val="24"/>
          <w:highlight w:val="none"/>
        </w:rPr>
      </w:pPr>
      <w:r>
        <w:rPr>
          <w:sz w:val="24"/>
          <w:highlight w:val="none"/>
        </w:rPr>
        <w:t>本合同自买卖双方</w:t>
      </w:r>
      <w:r>
        <w:rPr>
          <w:rFonts w:hint="eastAsia"/>
          <w:sz w:val="24"/>
          <w:highlight w:val="none"/>
        </w:rPr>
        <w:t>法定代表人或授权代表</w:t>
      </w:r>
      <w:r>
        <w:rPr>
          <w:sz w:val="24"/>
          <w:highlight w:val="none"/>
        </w:rPr>
        <w:t>签</w:t>
      </w:r>
      <w:r>
        <w:rPr>
          <w:rFonts w:hint="eastAsia"/>
          <w:sz w:val="24"/>
          <w:highlight w:val="none"/>
        </w:rPr>
        <w:t>字并盖章</w:t>
      </w:r>
      <w:r>
        <w:rPr>
          <w:sz w:val="24"/>
          <w:highlight w:val="none"/>
        </w:rPr>
        <w:t>之日起生效</w:t>
      </w:r>
      <w:r>
        <w:rPr>
          <w:rFonts w:hint="eastAsia"/>
          <w:sz w:val="24"/>
          <w:highlight w:val="none"/>
        </w:rPr>
        <w:t>，</w:t>
      </w:r>
      <w:bookmarkStart w:id="101" w:name="OLE_LINK11"/>
      <w:bookmarkStart w:id="102" w:name="OLE_LINK12"/>
      <w:r>
        <w:rPr>
          <w:rFonts w:hint="eastAsia" w:ascii="宋体" w:hAnsi="宋体"/>
          <w:sz w:val="24"/>
          <w:highlight w:val="none"/>
        </w:rPr>
        <w:t>自双方履行完本合同项下全部权利和义务后终止</w:t>
      </w:r>
      <w:bookmarkEnd w:id="101"/>
      <w:bookmarkEnd w:id="102"/>
      <w:r>
        <w:rPr>
          <w:sz w:val="24"/>
          <w:highlight w:val="none"/>
        </w:rPr>
        <w:t>。</w:t>
      </w:r>
    </w:p>
    <w:p>
      <w:pPr>
        <w:numPr>
          <w:ilvl w:val="1"/>
          <w:numId w:val="33"/>
        </w:numPr>
        <w:tabs>
          <w:tab w:val="left" w:pos="567"/>
        </w:tabs>
        <w:spacing w:before="72" w:beforeLines="30" w:after="72" w:afterLines="30" w:line="360" w:lineRule="auto"/>
        <w:ind w:left="567" w:hanging="567"/>
        <w:rPr>
          <w:sz w:val="24"/>
          <w:highlight w:val="none"/>
        </w:rPr>
      </w:pPr>
      <w:r>
        <w:rPr>
          <w:rFonts w:hint="eastAsia"/>
          <w:sz w:val="24"/>
          <w:highlight w:val="none"/>
        </w:rPr>
        <w:t>本合同签署以前双方就本合同约定的货物买卖及</w:t>
      </w:r>
      <w:r>
        <w:rPr>
          <w:sz w:val="24"/>
          <w:highlight w:val="none"/>
        </w:rPr>
        <w:t>相关事宜</w:t>
      </w:r>
      <w:r>
        <w:rPr>
          <w:rFonts w:hint="eastAsia"/>
          <w:sz w:val="24"/>
          <w:highlight w:val="none"/>
        </w:rPr>
        <w:t>达成的所有口头和</w:t>
      </w:r>
      <w:r>
        <w:rPr>
          <w:sz w:val="24"/>
          <w:highlight w:val="none"/>
        </w:rPr>
        <w:t>/</w:t>
      </w:r>
      <w:r>
        <w:rPr>
          <w:rFonts w:hint="eastAsia"/>
          <w:sz w:val="24"/>
          <w:highlight w:val="none"/>
        </w:rPr>
        <w:t>或书面的声明、文件、信件及双方其它形式的通信在本合同生效后自动失效。</w:t>
      </w:r>
    </w:p>
    <w:p>
      <w:pPr>
        <w:numPr>
          <w:ilvl w:val="1"/>
          <w:numId w:val="33"/>
        </w:numPr>
        <w:tabs>
          <w:tab w:val="left" w:pos="567"/>
        </w:tabs>
        <w:spacing w:before="72" w:beforeLines="30" w:after="72" w:afterLines="30" w:line="360" w:lineRule="auto"/>
        <w:ind w:left="567" w:hanging="567"/>
        <w:rPr>
          <w:rFonts w:ascii="宋体" w:hAnsi="宋体"/>
          <w:sz w:val="24"/>
          <w:highlight w:val="none"/>
        </w:rPr>
      </w:pPr>
      <w:r>
        <w:rPr>
          <w:rFonts w:ascii="宋体" w:hAnsi="宋体"/>
          <w:sz w:val="24"/>
          <w:highlight w:val="none"/>
        </w:rPr>
        <w:t>未经另一方事先书面同意，任何一方不得以任何方式使用另一方的名称、商品商标、服务商标、企业标志、商号或品牌。</w:t>
      </w:r>
    </w:p>
    <w:p>
      <w:pPr>
        <w:numPr>
          <w:ilvl w:val="1"/>
          <w:numId w:val="33"/>
        </w:numPr>
        <w:tabs>
          <w:tab w:val="left" w:pos="567"/>
        </w:tabs>
        <w:spacing w:before="72" w:beforeLines="30" w:after="72" w:afterLines="30" w:line="360" w:lineRule="auto"/>
        <w:ind w:left="567" w:hanging="567"/>
        <w:rPr>
          <w:sz w:val="24"/>
          <w:highlight w:val="none"/>
        </w:rPr>
      </w:pPr>
      <w:r>
        <w:rPr>
          <w:sz w:val="24"/>
          <w:highlight w:val="none"/>
        </w:rPr>
        <w:t>如</w:t>
      </w:r>
      <w:r>
        <w:rPr>
          <w:rFonts w:hint="eastAsia"/>
          <w:sz w:val="24"/>
          <w:highlight w:val="none"/>
        </w:rPr>
        <w:t>果</w:t>
      </w:r>
      <w:r>
        <w:rPr>
          <w:sz w:val="24"/>
          <w:highlight w:val="none"/>
        </w:rPr>
        <w:t>本合同</w:t>
      </w:r>
      <w:r>
        <w:rPr>
          <w:rFonts w:hint="eastAsia"/>
          <w:sz w:val="24"/>
          <w:highlight w:val="none"/>
        </w:rPr>
        <w:t>的</w:t>
      </w:r>
      <w:r>
        <w:rPr>
          <w:sz w:val="24"/>
          <w:highlight w:val="none"/>
        </w:rPr>
        <w:t>任何条款</w:t>
      </w:r>
      <w:r>
        <w:rPr>
          <w:rFonts w:hint="eastAsia"/>
          <w:sz w:val="24"/>
          <w:highlight w:val="none"/>
        </w:rPr>
        <w:t>或规定</w:t>
      </w:r>
      <w:r>
        <w:rPr>
          <w:sz w:val="24"/>
          <w:highlight w:val="none"/>
        </w:rPr>
        <w:t>被裁定</w:t>
      </w:r>
      <w:r>
        <w:rPr>
          <w:rFonts w:hint="eastAsia"/>
          <w:sz w:val="24"/>
          <w:highlight w:val="none"/>
        </w:rPr>
        <w:t>为</w:t>
      </w:r>
      <w:r>
        <w:rPr>
          <w:sz w:val="24"/>
          <w:highlight w:val="none"/>
        </w:rPr>
        <w:t>无效、不合法或不可</w:t>
      </w:r>
      <w:r>
        <w:rPr>
          <w:rFonts w:hint="eastAsia"/>
          <w:sz w:val="24"/>
          <w:highlight w:val="none"/>
        </w:rPr>
        <w:t>强制</w:t>
      </w:r>
      <w:r>
        <w:rPr>
          <w:sz w:val="24"/>
          <w:highlight w:val="none"/>
        </w:rPr>
        <w:t>执行，</w:t>
      </w:r>
      <w:r>
        <w:rPr>
          <w:rFonts w:hint="eastAsia"/>
          <w:sz w:val="24"/>
          <w:highlight w:val="none"/>
        </w:rPr>
        <w:t>该条款或规定应视为被删除，本合同</w:t>
      </w:r>
      <w:r>
        <w:rPr>
          <w:sz w:val="24"/>
          <w:highlight w:val="none"/>
        </w:rPr>
        <w:t>其它条款</w:t>
      </w:r>
      <w:r>
        <w:rPr>
          <w:rFonts w:hint="eastAsia"/>
          <w:sz w:val="24"/>
          <w:highlight w:val="none"/>
        </w:rPr>
        <w:t>不受影响，</w:t>
      </w:r>
      <w:r>
        <w:rPr>
          <w:sz w:val="24"/>
          <w:highlight w:val="none"/>
        </w:rPr>
        <w:t>仍</w:t>
      </w:r>
      <w:r>
        <w:rPr>
          <w:rFonts w:hint="eastAsia"/>
          <w:sz w:val="24"/>
          <w:highlight w:val="none"/>
        </w:rPr>
        <w:t>继续</w:t>
      </w:r>
      <w:r>
        <w:rPr>
          <w:sz w:val="24"/>
          <w:highlight w:val="none"/>
        </w:rPr>
        <w:t>有效。</w:t>
      </w:r>
    </w:p>
    <w:p>
      <w:pPr>
        <w:numPr>
          <w:ilvl w:val="1"/>
          <w:numId w:val="33"/>
        </w:numPr>
        <w:tabs>
          <w:tab w:val="left" w:pos="567"/>
        </w:tabs>
        <w:spacing w:before="72" w:beforeLines="30" w:after="72" w:afterLines="30" w:line="360" w:lineRule="auto"/>
        <w:ind w:left="567" w:hanging="567"/>
        <w:rPr>
          <w:sz w:val="24"/>
          <w:highlight w:val="none"/>
        </w:rPr>
      </w:pPr>
      <w:r>
        <w:rPr>
          <w:sz w:val="24"/>
          <w:highlight w:val="none"/>
        </w:rPr>
        <w:t>本合同履行过程中，</w:t>
      </w:r>
      <w:r>
        <w:rPr>
          <w:rFonts w:hint="eastAsia"/>
          <w:sz w:val="24"/>
          <w:highlight w:val="none"/>
        </w:rPr>
        <w:t>如</w:t>
      </w:r>
      <w:r>
        <w:rPr>
          <w:sz w:val="24"/>
          <w:highlight w:val="none"/>
        </w:rPr>
        <w:t>卖方</w:t>
      </w:r>
      <w:r>
        <w:rPr>
          <w:rFonts w:hint="eastAsia"/>
          <w:sz w:val="24"/>
          <w:highlight w:val="none"/>
        </w:rPr>
        <w:t>发生重组、</w:t>
      </w:r>
      <w:r>
        <w:rPr>
          <w:sz w:val="24"/>
          <w:highlight w:val="none"/>
        </w:rPr>
        <w:t>合并、</w:t>
      </w:r>
      <w:r>
        <w:rPr>
          <w:rFonts w:hint="eastAsia"/>
          <w:sz w:val="24"/>
          <w:highlight w:val="none"/>
        </w:rPr>
        <w:t>分立、重大股权或资产转让，应及时通知买方。经买方事先书面同意，卖方应安排具有相应资质的主体继续履行本合同，否则卖方不得执行前述重组、合并、分立或转让。卖方应根据买方的要求，为继续履行本合同的主体安排履约担保。</w:t>
      </w:r>
    </w:p>
    <w:p>
      <w:pPr>
        <w:numPr>
          <w:ilvl w:val="1"/>
          <w:numId w:val="33"/>
        </w:numPr>
        <w:tabs>
          <w:tab w:val="left" w:pos="567"/>
        </w:tabs>
        <w:spacing w:before="72" w:beforeLines="30" w:after="72" w:afterLines="30" w:line="360" w:lineRule="auto"/>
        <w:ind w:left="567" w:hanging="567"/>
        <w:rPr>
          <w:sz w:val="24"/>
          <w:highlight w:val="none"/>
        </w:rPr>
      </w:pPr>
      <w:r>
        <w:rPr>
          <w:sz w:val="24"/>
          <w:highlight w:val="none"/>
        </w:rPr>
        <w:t>本合同</w:t>
      </w:r>
      <w:r>
        <w:rPr>
          <w:rFonts w:hint="eastAsia"/>
          <w:sz w:val="24"/>
          <w:highlight w:val="none"/>
        </w:rPr>
        <w:t>解除或终止</w:t>
      </w:r>
      <w:r>
        <w:rPr>
          <w:sz w:val="24"/>
          <w:highlight w:val="none"/>
        </w:rPr>
        <w:t>后</w:t>
      </w:r>
      <w:r>
        <w:rPr>
          <w:rFonts w:hint="eastAsia"/>
          <w:sz w:val="24"/>
          <w:highlight w:val="none"/>
        </w:rPr>
        <w:t>，本合同项下关于知识产权、保密、保证、责任、法律适用、争议解决和其它具有持续性效力的条款继续</w:t>
      </w:r>
      <w:r>
        <w:rPr>
          <w:sz w:val="24"/>
          <w:highlight w:val="none"/>
        </w:rPr>
        <w:t>有效。</w:t>
      </w:r>
    </w:p>
    <w:p>
      <w:pPr>
        <w:numPr>
          <w:ilvl w:val="1"/>
          <w:numId w:val="33"/>
        </w:numPr>
        <w:tabs>
          <w:tab w:val="left" w:pos="567"/>
        </w:tabs>
        <w:spacing w:before="72" w:beforeLines="30" w:after="72" w:afterLines="30" w:line="360" w:lineRule="auto"/>
        <w:ind w:left="567" w:hanging="567"/>
        <w:rPr>
          <w:sz w:val="24"/>
          <w:highlight w:val="none"/>
        </w:rPr>
      </w:pPr>
      <w:r>
        <w:rPr>
          <w:rFonts w:hint="eastAsia"/>
          <w:sz w:val="24"/>
          <w:highlight w:val="none"/>
        </w:rPr>
        <w:t>本</w:t>
      </w:r>
      <w:r>
        <w:rPr>
          <w:sz w:val="24"/>
          <w:highlight w:val="none"/>
        </w:rPr>
        <w:t>合同未尽事宜，应由双方协商</w:t>
      </w:r>
      <w:r>
        <w:rPr>
          <w:rFonts w:hint="eastAsia"/>
          <w:sz w:val="24"/>
          <w:highlight w:val="none"/>
        </w:rPr>
        <w:t>确定</w:t>
      </w:r>
      <w:r>
        <w:rPr>
          <w:sz w:val="24"/>
          <w:highlight w:val="none"/>
        </w:rPr>
        <w:t>，并签订补充协议，补充协议与本合同具有同等法律效力。</w:t>
      </w:r>
    </w:p>
    <w:p>
      <w:pPr>
        <w:numPr>
          <w:ilvl w:val="1"/>
          <w:numId w:val="33"/>
        </w:numPr>
        <w:tabs>
          <w:tab w:val="left" w:pos="567"/>
        </w:tabs>
        <w:spacing w:before="72" w:beforeLines="30" w:after="72" w:afterLines="30" w:line="360" w:lineRule="auto"/>
        <w:ind w:left="567" w:hanging="567"/>
        <w:rPr>
          <w:sz w:val="24"/>
          <w:highlight w:val="none"/>
        </w:rPr>
      </w:pPr>
      <w:r>
        <w:rPr>
          <w:sz w:val="24"/>
          <w:highlight w:val="none"/>
        </w:rPr>
        <w:t>本合同的任何变更、修改或增减，须经双方协商</w:t>
      </w:r>
      <w:r>
        <w:rPr>
          <w:rFonts w:hint="eastAsia"/>
          <w:sz w:val="24"/>
          <w:highlight w:val="none"/>
        </w:rPr>
        <w:t>一致、法定代表人或</w:t>
      </w:r>
      <w:r>
        <w:rPr>
          <w:sz w:val="24"/>
          <w:highlight w:val="none"/>
        </w:rPr>
        <w:t>授权代表签署书面文件</w:t>
      </w:r>
      <w:r>
        <w:rPr>
          <w:rFonts w:hint="eastAsia"/>
          <w:sz w:val="24"/>
          <w:highlight w:val="none"/>
        </w:rPr>
        <w:t>并盖章</w:t>
      </w:r>
      <w:r>
        <w:rPr>
          <w:sz w:val="24"/>
          <w:highlight w:val="none"/>
        </w:rPr>
        <w:t>后</w:t>
      </w:r>
      <w:r>
        <w:rPr>
          <w:rFonts w:hint="eastAsia"/>
          <w:sz w:val="24"/>
          <w:highlight w:val="none"/>
        </w:rPr>
        <w:t>生</w:t>
      </w:r>
      <w:r>
        <w:rPr>
          <w:sz w:val="24"/>
          <w:highlight w:val="none"/>
        </w:rPr>
        <w:t>效。</w:t>
      </w:r>
    </w:p>
    <w:p>
      <w:pPr>
        <w:numPr>
          <w:ilvl w:val="1"/>
          <w:numId w:val="33"/>
        </w:numPr>
        <w:tabs>
          <w:tab w:val="left" w:pos="567"/>
        </w:tabs>
        <w:spacing w:before="72" w:beforeLines="30" w:after="72" w:afterLines="30" w:line="360" w:lineRule="auto"/>
        <w:ind w:left="567" w:hanging="567"/>
        <w:rPr>
          <w:sz w:val="24"/>
          <w:highlight w:val="none"/>
        </w:rPr>
      </w:pPr>
      <w:r>
        <w:rPr>
          <w:rFonts w:hint="eastAsia"/>
          <w:sz w:val="24"/>
          <w:highlight w:val="none"/>
        </w:rPr>
        <w:t>任何一方未行使或延迟行使本合同项下的任何权利，不视为该方对该等权利的放弃。任何一方部分行使其在本合同项下的任何权利不妨碍其将来进一步行使该等权利或合同约定的其它权利。</w:t>
      </w:r>
    </w:p>
    <w:p>
      <w:pPr>
        <w:numPr>
          <w:ilvl w:val="1"/>
          <w:numId w:val="33"/>
        </w:numPr>
        <w:tabs>
          <w:tab w:val="left" w:pos="567"/>
        </w:tabs>
        <w:spacing w:before="72" w:beforeLines="30" w:after="72" w:afterLines="30" w:line="360" w:lineRule="auto"/>
        <w:ind w:left="567" w:hanging="567"/>
        <w:rPr>
          <w:sz w:val="24"/>
          <w:highlight w:val="none"/>
        </w:rPr>
      </w:pPr>
      <w:r>
        <w:rPr>
          <w:rFonts w:hint="eastAsia"/>
          <w:sz w:val="24"/>
          <w:highlight w:val="none"/>
        </w:rPr>
        <w:t>本合同系双方协商、讨论的结果，合同内容非一方当事人单方拟定。本合同不属于格式合同，条款内容不属于格式条款。</w:t>
      </w:r>
    </w:p>
    <w:p>
      <w:pPr>
        <w:numPr>
          <w:ilvl w:val="1"/>
          <w:numId w:val="33"/>
        </w:numPr>
        <w:tabs>
          <w:tab w:val="left" w:pos="567"/>
        </w:tabs>
        <w:spacing w:before="72" w:beforeLines="30" w:after="72" w:afterLines="30" w:line="360" w:lineRule="auto"/>
        <w:ind w:left="567" w:hanging="567"/>
        <w:rPr>
          <w:sz w:val="24"/>
          <w:highlight w:val="none"/>
        </w:rPr>
      </w:pPr>
      <w:r>
        <w:rPr>
          <w:rFonts w:hint="eastAsia"/>
          <w:sz w:val="24"/>
          <w:highlight w:val="none"/>
        </w:rPr>
        <w:t>本合同正文、附件及其后的修改文件和补充文件均应采用中文书写。附件及其后的修改文件和补充文件作为本合同不可分割的组成部分，与本合同正文具有同等法律效力。</w:t>
      </w:r>
    </w:p>
    <w:p>
      <w:pPr>
        <w:widowControl/>
        <w:numPr>
          <w:ilvl w:val="1"/>
          <w:numId w:val="33"/>
        </w:numPr>
        <w:tabs>
          <w:tab w:val="left" w:pos="567"/>
        </w:tabs>
        <w:spacing w:before="72" w:beforeLines="30" w:after="72" w:afterLines="30" w:line="360" w:lineRule="auto"/>
        <w:ind w:left="567" w:hanging="567"/>
        <w:jc w:val="left"/>
        <w:rPr>
          <w:sz w:val="24"/>
          <w:highlight w:val="none"/>
        </w:rPr>
      </w:pPr>
      <w:r>
        <w:rPr>
          <w:sz w:val="24"/>
          <w:highlight w:val="none"/>
        </w:rPr>
        <w:t>本合同一式</w:t>
      </w:r>
      <w:r>
        <w:rPr>
          <w:rFonts w:hint="eastAsia"/>
          <w:sz w:val="24"/>
          <w:highlight w:val="none"/>
        </w:rPr>
        <w:t>【</w:t>
      </w:r>
      <w:r>
        <w:rPr>
          <w:rFonts w:hint="eastAsia"/>
          <w:i/>
          <w:sz w:val="24"/>
          <w:highlight w:val="none"/>
        </w:rPr>
        <w:t>填入合同份数</w:t>
      </w:r>
      <w:r>
        <w:rPr>
          <w:rFonts w:hint="eastAsia"/>
          <w:sz w:val="24"/>
          <w:highlight w:val="none"/>
        </w:rPr>
        <w:t>】</w:t>
      </w:r>
      <w:r>
        <w:rPr>
          <w:sz w:val="24"/>
          <w:highlight w:val="none"/>
        </w:rPr>
        <w:t>份，</w:t>
      </w:r>
      <w:r>
        <w:rPr>
          <w:rFonts w:hint="eastAsia"/>
          <w:sz w:val="24"/>
          <w:highlight w:val="none"/>
        </w:rPr>
        <w:t>买卖双方各持【</w:t>
      </w:r>
      <w:r>
        <w:rPr>
          <w:rFonts w:hint="eastAsia"/>
          <w:i/>
          <w:sz w:val="24"/>
          <w:highlight w:val="none"/>
        </w:rPr>
        <w:t>填入合同份数</w:t>
      </w:r>
      <w:r>
        <w:rPr>
          <w:rFonts w:hint="eastAsia"/>
          <w:sz w:val="24"/>
          <w:highlight w:val="none"/>
        </w:rPr>
        <w:t>】份</w:t>
      </w:r>
      <w:r>
        <w:rPr>
          <w:sz w:val="24"/>
          <w:highlight w:val="none"/>
        </w:rPr>
        <w:t>，具有同等效力。</w:t>
      </w:r>
    </w:p>
    <w:p>
      <w:pPr>
        <w:widowControl/>
        <w:spacing w:before="72" w:beforeLines="30" w:after="72" w:afterLines="30" w:line="360" w:lineRule="auto"/>
        <w:jc w:val="left"/>
        <w:rPr>
          <w:sz w:val="24"/>
          <w:highlight w:val="none"/>
        </w:rPr>
      </w:pPr>
      <w:r>
        <w:rPr>
          <w:sz w:val="24"/>
          <w:highlight w:val="none"/>
        </w:rPr>
        <w:br w:type="page"/>
      </w:r>
    </w:p>
    <w:p>
      <w:pPr>
        <w:tabs>
          <w:tab w:val="left" w:pos="850"/>
        </w:tabs>
        <w:autoSpaceDE w:val="0"/>
        <w:autoSpaceDN w:val="0"/>
        <w:spacing w:before="72" w:beforeLines="30" w:after="72" w:afterLines="30" w:line="360" w:lineRule="auto"/>
        <w:jc w:val="center"/>
        <w:textAlignment w:val="bottom"/>
        <w:rPr>
          <w:b/>
          <w:sz w:val="24"/>
          <w:highlight w:val="none"/>
        </w:rPr>
      </w:pPr>
      <w:r>
        <w:rPr>
          <w:rFonts w:hint="eastAsia"/>
          <w:b/>
          <w:sz w:val="24"/>
          <w:highlight w:val="none"/>
        </w:rPr>
        <w:t>（本页无正文，为签章页）</w:t>
      </w:r>
    </w:p>
    <w:p>
      <w:pPr>
        <w:tabs>
          <w:tab w:val="left" w:pos="850"/>
        </w:tabs>
        <w:autoSpaceDE w:val="0"/>
        <w:autoSpaceDN w:val="0"/>
        <w:spacing w:before="72" w:beforeLines="30" w:after="72" w:afterLines="30" w:line="360" w:lineRule="auto"/>
        <w:ind w:firstLine="600"/>
        <w:textAlignment w:val="bottom"/>
        <w:rPr>
          <w:sz w:val="24"/>
          <w:highlight w:val="none"/>
        </w:rPr>
      </w:pPr>
    </w:p>
    <w:tbl>
      <w:tblPr>
        <w:tblStyle w:val="11"/>
        <w:tblW w:w="5000" w:type="pct"/>
        <w:tblInd w:w="0" w:type="dxa"/>
        <w:tblLayout w:type="autofit"/>
        <w:tblCellMar>
          <w:top w:w="0" w:type="dxa"/>
          <w:left w:w="108" w:type="dxa"/>
          <w:bottom w:w="0" w:type="dxa"/>
          <w:right w:w="108" w:type="dxa"/>
        </w:tblCellMar>
      </w:tblPr>
      <w:tblGrid>
        <w:gridCol w:w="4437"/>
        <w:gridCol w:w="4085"/>
      </w:tblGrid>
      <w:tr>
        <w:tblPrEx>
          <w:tblCellMar>
            <w:top w:w="0" w:type="dxa"/>
            <w:left w:w="108" w:type="dxa"/>
            <w:bottom w:w="0" w:type="dxa"/>
            <w:right w:w="108" w:type="dxa"/>
          </w:tblCellMar>
        </w:tblPrEx>
        <w:trPr>
          <w:trHeight w:val="2653" w:hRule="atLeast"/>
        </w:trPr>
        <w:tc>
          <w:tcPr>
            <w:tcW w:w="2603" w:type="pct"/>
          </w:tcPr>
          <w:p>
            <w:pPr>
              <w:tabs>
                <w:tab w:val="left" w:pos="850"/>
              </w:tabs>
              <w:autoSpaceDE w:val="0"/>
              <w:autoSpaceDN w:val="0"/>
              <w:spacing w:before="72" w:beforeLines="30" w:after="72" w:afterLines="30" w:line="360" w:lineRule="auto"/>
              <w:textAlignment w:val="bottom"/>
              <w:rPr>
                <w:sz w:val="24"/>
                <w:highlight w:val="none"/>
              </w:rPr>
            </w:pPr>
          </w:p>
          <w:p>
            <w:pPr>
              <w:tabs>
                <w:tab w:val="left" w:pos="850"/>
              </w:tabs>
              <w:autoSpaceDE w:val="0"/>
              <w:autoSpaceDN w:val="0"/>
              <w:spacing w:before="72" w:beforeLines="30" w:after="72" w:afterLines="30" w:line="360" w:lineRule="auto"/>
              <w:textAlignment w:val="bottom"/>
              <w:rPr>
                <w:sz w:val="24"/>
                <w:highlight w:val="none"/>
              </w:rPr>
            </w:pPr>
          </w:p>
          <w:p>
            <w:pPr>
              <w:tabs>
                <w:tab w:val="left" w:pos="850"/>
              </w:tabs>
              <w:autoSpaceDE w:val="0"/>
              <w:autoSpaceDN w:val="0"/>
              <w:spacing w:before="72" w:beforeLines="30" w:after="72" w:afterLines="30" w:line="360" w:lineRule="auto"/>
              <w:textAlignment w:val="bottom"/>
              <w:rPr>
                <w:sz w:val="24"/>
                <w:highlight w:val="none"/>
              </w:rPr>
            </w:pPr>
            <w:r>
              <w:rPr>
                <w:sz w:val="24"/>
                <w:highlight w:val="none"/>
              </w:rPr>
              <w:t>买方</w:t>
            </w:r>
            <w:r>
              <w:rPr>
                <w:rFonts w:hint="eastAsia"/>
                <w:sz w:val="24"/>
                <w:highlight w:val="none"/>
              </w:rPr>
              <w:t>（盖章）</w:t>
            </w:r>
          </w:p>
        </w:tc>
        <w:tc>
          <w:tcPr>
            <w:tcW w:w="2397" w:type="pct"/>
          </w:tcPr>
          <w:p>
            <w:pPr>
              <w:tabs>
                <w:tab w:val="left" w:pos="850"/>
              </w:tabs>
              <w:autoSpaceDE w:val="0"/>
              <w:autoSpaceDN w:val="0"/>
              <w:spacing w:before="72" w:beforeLines="30" w:after="72" w:afterLines="30" w:line="360" w:lineRule="auto"/>
              <w:textAlignment w:val="bottom"/>
              <w:rPr>
                <w:sz w:val="24"/>
                <w:highlight w:val="none"/>
              </w:rPr>
            </w:pPr>
          </w:p>
          <w:p>
            <w:pPr>
              <w:tabs>
                <w:tab w:val="left" w:pos="850"/>
              </w:tabs>
              <w:autoSpaceDE w:val="0"/>
              <w:autoSpaceDN w:val="0"/>
              <w:spacing w:before="72" w:beforeLines="30" w:after="72" w:afterLines="30" w:line="360" w:lineRule="auto"/>
              <w:textAlignment w:val="bottom"/>
              <w:rPr>
                <w:sz w:val="24"/>
                <w:highlight w:val="none"/>
              </w:rPr>
            </w:pPr>
          </w:p>
          <w:p>
            <w:pPr>
              <w:tabs>
                <w:tab w:val="left" w:pos="850"/>
              </w:tabs>
              <w:autoSpaceDE w:val="0"/>
              <w:autoSpaceDN w:val="0"/>
              <w:spacing w:before="72" w:beforeLines="30" w:after="72" w:afterLines="30" w:line="360" w:lineRule="auto"/>
              <w:textAlignment w:val="bottom"/>
              <w:rPr>
                <w:sz w:val="24"/>
                <w:highlight w:val="none"/>
              </w:rPr>
            </w:pPr>
            <w:r>
              <w:rPr>
                <w:sz w:val="24"/>
                <w:highlight w:val="none"/>
              </w:rPr>
              <w:t>卖方</w:t>
            </w:r>
            <w:r>
              <w:rPr>
                <w:rFonts w:hint="eastAsia"/>
                <w:sz w:val="24"/>
                <w:highlight w:val="none"/>
              </w:rPr>
              <w:t>（盖章）</w:t>
            </w:r>
          </w:p>
          <w:p>
            <w:pPr>
              <w:tabs>
                <w:tab w:val="left" w:pos="850"/>
              </w:tabs>
              <w:autoSpaceDE w:val="0"/>
              <w:autoSpaceDN w:val="0"/>
              <w:spacing w:before="72" w:beforeLines="30" w:after="72" w:afterLines="30" w:line="360" w:lineRule="auto"/>
              <w:textAlignment w:val="bottom"/>
              <w:rPr>
                <w:sz w:val="24"/>
                <w:highlight w:val="none"/>
              </w:rPr>
            </w:pPr>
          </w:p>
        </w:tc>
      </w:tr>
      <w:tr>
        <w:tblPrEx>
          <w:tblCellMar>
            <w:top w:w="0" w:type="dxa"/>
            <w:left w:w="108" w:type="dxa"/>
            <w:bottom w:w="0" w:type="dxa"/>
            <w:right w:w="108" w:type="dxa"/>
          </w:tblCellMar>
        </w:tblPrEx>
        <w:trPr>
          <w:trHeight w:val="1084" w:hRule="atLeast"/>
        </w:trPr>
        <w:tc>
          <w:tcPr>
            <w:tcW w:w="2603" w:type="pct"/>
            <w:vAlign w:val="center"/>
          </w:tcPr>
          <w:p>
            <w:pPr>
              <w:tabs>
                <w:tab w:val="left" w:pos="850"/>
              </w:tabs>
              <w:autoSpaceDE w:val="0"/>
              <w:autoSpaceDN w:val="0"/>
              <w:spacing w:before="72" w:beforeLines="30" w:after="72" w:afterLines="30" w:line="360" w:lineRule="auto"/>
              <w:textAlignment w:val="bottom"/>
              <w:rPr>
                <w:sz w:val="24"/>
                <w:highlight w:val="none"/>
              </w:rPr>
            </w:pPr>
            <w:r>
              <w:rPr>
                <w:sz w:val="24"/>
                <w:highlight w:val="none"/>
              </w:rPr>
              <w:t>法定代表人或授权代表签字：</w:t>
            </w:r>
          </w:p>
          <w:p>
            <w:pPr>
              <w:tabs>
                <w:tab w:val="left" w:pos="850"/>
              </w:tabs>
              <w:autoSpaceDE w:val="0"/>
              <w:autoSpaceDN w:val="0"/>
              <w:spacing w:before="72" w:beforeLines="30" w:after="72" w:afterLines="30" w:line="360" w:lineRule="auto"/>
              <w:textAlignment w:val="bottom"/>
              <w:rPr>
                <w:sz w:val="24"/>
                <w:highlight w:val="none"/>
              </w:rPr>
            </w:pPr>
          </w:p>
          <w:p>
            <w:pPr>
              <w:tabs>
                <w:tab w:val="left" w:pos="850"/>
              </w:tabs>
              <w:autoSpaceDE w:val="0"/>
              <w:autoSpaceDN w:val="0"/>
              <w:spacing w:before="72" w:beforeLines="30" w:after="72" w:afterLines="30" w:line="360" w:lineRule="auto"/>
              <w:textAlignment w:val="bottom"/>
              <w:rPr>
                <w:sz w:val="24"/>
                <w:highlight w:val="none"/>
              </w:rPr>
            </w:pPr>
          </w:p>
          <w:p>
            <w:pPr>
              <w:tabs>
                <w:tab w:val="left" w:pos="850"/>
              </w:tabs>
              <w:autoSpaceDE w:val="0"/>
              <w:autoSpaceDN w:val="0"/>
              <w:spacing w:before="72" w:beforeLines="30" w:after="72" w:afterLines="30" w:line="360" w:lineRule="auto"/>
              <w:textAlignment w:val="bottom"/>
              <w:rPr>
                <w:sz w:val="24"/>
                <w:highlight w:val="none"/>
              </w:rPr>
            </w:pPr>
          </w:p>
          <w:p>
            <w:pPr>
              <w:tabs>
                <w:tab w:val="left" w:pos="850"/>
              </w:tabs>
              <w:autoSpaceDE w:val="0"/>
              <w:autoSpaceDN w:val="0"/>
              <w:spacing w:before="72" w:beforeLines="30" w:after="72" w:afterLines="30" w:line="360" w:lineRule="auto"/>
              <w:textAlignment w:val="bottom"/>
              <w:rPr>
                <w:sz w:val="24"/>
                <w:highlight w:val="none"/>
              </w:rPr>
            </w:pPr>
            <w:r>
              <w:rPr>
                <w:sz w:val="24"/>
                <w:highlight w:val="none"/>
                <w:u w:val="single"/>
              </w:rPr>
              <w:t xml:space="preserve">         </w:t>
            </w:r>
            <w:r>
              <w:rPr>
                <w:rFonts w:hint="eastAsia"/>
                <w:sz w:val="24"/>
                <w:highlight w:val="none"/>
                <w:u w:val="single"/>
              </w:rPr>
              <w:t xml:space="preserve">                     </w:t>
            </w:r>
            <w:r>
              <w:rPr>
                <w:sz w:val="24"/>
                <w:highlight w:val="none"/>
                <w:u w:val="single"/>
              </w:rPr>
              <w:t xml:space="preserve">    </w:t>
            </w:r>
          </w:p>
        </w:tc>
        <w:tc>
          <w:tcPr>
            <w:tcW w:w="2397" w:type="pct"/>
            <w:vAlign w:val="center"/>
          </w:tcPr>
          <w:p>
            <w:pPr>
              <w:tabs>
                <w:tab w:val="left" w:pos="850"/>
              </w:tabs>
              <w:autoSpaceDE w:val="0"/>
              <w:autoSpaceDN w:val="0"/>
              <w:spacing w:before="72" w:beforeLines="30" w:after="72" w:afterLines="30" w:line="360" w:lineRule="auto"/>
              <w:textAlignment w:val="bottom"/>
              <w:rPr>
                <w:sz w:val="24"/>
                <w:highlight w:val="none"/>
              </w:rPr>
            </w:pPr>
            <w:r>
              <w:rPr>
                <w:sz w:val="24"/>
                <w:highlight w:val="none"/>
              </w:rPr>
              <w:t>法定代表人或授权代表签字：</w:t>
            </w:r>
          </w:p>
          <w:p>
            <w:pPr>
              <w:tabs>
                <w:tab w:val="left" w:pos="850"/>
              </w:tabs>
              <w:autoSpaceDE w:val="0"/>
              <w:autoSpaceDN w:val="0"/>
              <w:spacing w:before="72" w:beforeLines="30" w:after="72" w:afterLines="30" w:line="360" w:lineRule="auto"/>
              <w:textAlignment w:val="bottom"/>
              <w:rPr>
                <w:sz w:val="24"/>
                <w:highlight w:val="none"/>
              </w:rPr>
            </w:pPr>
          </w:p>
          <w:p>
            <w:pPr>
              <w:tabs>
                <w:tab w:val="left" w:pos="850"/>
              </w:tabs>
              <w:autoSpaceDE w:val="0"/>
              <w:autoSpaceDN w:val="0"/>
              <w:spacing w:before="72" w:beforeLines="30" w:after="72" w:afterLines="30" w:line="360" w:lineRule="auto"/>
              <w:textAlignment w:val="bottom"/>
              <w:rPr>
                <w:sz w:val="24"/>
                <w:highlight w:val="none"/>
              </w:rPr>
            </w:pPr>
          </w:p>
          <w:p>
            <w:pPr>
              <w:tabs>
                <w:tab w:val="left" w:pos="850"/>
              </w:tabs>
              <w:autoSpaceDE w:val="0"/>
              <w:autoSpaceDN w:val="0"/>
              <w:spacing w:before="72" w:beforeLines="30" w:after="72" w:afterLines="30" w:line="360" w:lineRule="auto"/>
              <w:textAlignment w:val="bottom"/>
              <w:rPr>
                <w:sz w:val="24"/>
                <w:highlight w:val="none"/>
              </w:rPr>
            </w:pPr>
          </w:p>
          <w:p>
            <w:pPr>
              <w:tabs>
                <w:tab w:val="left" w:pos="850"/>
              </w:tabs>
              <w:autoSpaceDE w:val="0"/>
              <w:autoSpaceDN w:val="0"/>
              <w:spacing w:before="72" w:beforeLines="30" w:after="72" w:afterLines="30" w:line="360" w:lineRule="auto"/>
              <w:textAlignment w:val="bottom"/>
              <w:rPr>
                <w:sz w:val="24"/>
                <w:highlight w:val="none"/>
              </w:rPr>
            </w:pPr>
            <w:r>
              <w:rPr>
                <w:sz w:val="24"/>
                <w:highlight w:val="none"/>
                <w:u w:val="single"/>
              </w:rPr>
              <w:t xml:space="preserve">            </w:t>
            </w:r>
            <w:r>
              <w:rPr>
                <w:rFonts w:hint="eastAsia"/>
                <w:sz w:val="24"/>
                <w:highlight w:val="none"/>
                <w:u w:val="single"/>
              </w:rPr>
              <w:t xml:space="preserve">                 </w:t>
            </w:r>
            <w:r>
              <w:rPr>
                <w:sz w:val="24"/>
                <w:highlight w:val="none"/>
                <w:u w:val="single"/>
              </w:rPr>
              <w:t xml:space="preserve">   </w:t>
            </w:r>
          </w:p>
        </w:tc>
      </w:tr>
    </w:tbl>
    <w:p>
      <w:pPr>
        <w:spacing w:before="72" w:beforeLines="30" w:after="72" w:afterLines="30" w:line="360" w:lineRule="auto"/>
        <w:rPr>
          <w:sz w:val="24"/>
          <w:highlight w:val="none"/>
        </w:rPr>
      </w:pPr>
      <w:r>
        <w:rPr>
          <w:rFonts w:hint="eastAsia"/>
          <w:sz w:val="24"/>
          <w:highlight w:val="none"/>
        </w:rPr>
        <w:t>姓名：</w:t>
      </w:r>
      <w:r>
        <w:rPr>
          <w:rFonts w:hint="eastAsia"/>
          <w:sz w:val="24"/>
          <w:highlight w:val="none"/>
          <w:u w:val="single"/>
        </w:rPr>
        <w:t xml:space="preserve">                     </w:t>
      </w:r>
      <w:r>
        <w:rPr>
          <w:rFonts w:hint="eastAsia"/>
          <w:sz w:val="24"/>
          <w:highlight w:val="none"/>
        </w:rPr>
        <w:tab/>
      </w:r>
      <w:r>
        <w:rPr>
          <w:rFonts w:hint="eastAsia"/>
          <w:sz w:val="24"/>
          <w:highlight w:val="none"/>
        </w:rPr>
        <w:tab/>
      </w:r>
      <w:r>
        <w:rPr>
          <w:rFonts w:hint="eastAsia"/>
          <w:sz w:val="24"/>
          <w:highlight w:val="none"/>
        </w:rPr>
        <w:t xml:space="preserve">          姓名：</w:t>
      </w:r>
      <w:r>
        <w:rPr>
          <w:rFonts w:hint="eastAsia"/>
          <w:sz w:val="24"/>
          <w:highlight w:val="none"/>
          <w:u w:val="single"/>
        </w:rPr>
        <w:t xml:space="preserve">                       </w:t>
      </w:r>
    </w:p>
    <w:p>
      <w:pPr>
        <w:spacing w:before="72" w:beforeLines="30" w:after="72" w:afterLines="30" w:line="360" w:lineRule="auto"/>
        <w:rPr>
          <w:sz w:val="24"/>
          <w:highlight w:val="none"/>
        </w:rPr>
      </w:pPr>
      <w:r>
        <w:rPr>
          <w:rFonts w:hint="eastAsia"/>
          <w:sz w:val="24"/>
          <w:highlight w:val="none"/>
        </w:rPr>
        <w:t>职务：</w:t>
      </w:r>
      <w:r>
        <w:rPr>
          <w:rFonts w:hint="eastAsia"/>
          <w:sz w:val="24"/>
          <w:highlight w:val="none"/>
          <w:u w:val="single"/>
        </w:rPr>
        <w:t xml:space="preserve">                     </w:t>
      </w:r>
      <w:r>
        <w:rPr>
          <w:rFonts w:hint="eastAsia"/>
          <w:sz w:val="24"/>
          <w:highlight w:val="none"/>
        </w:rPr>
        <w:tab/>
      </w:r>
      <w:r>
        <w:rPr>
          <w:rFonts w:hint="eastAsia"/>
          <w:sz w:val="24"/>
          <w:highlight w:val="none"/>
        </w:rPr>
        <w:tab/>
      </w:r>
      <w:r>
        <w:rPr>
          <w:rFonts w:hint="eastAsia"/>
          <w:sz w:val="24"/>
          <w:highlight w:val="none"/>
        </w:rPr>
        <w:t xml:space="preserve">          职务：</w:t>
      </w:r>
      <w:r>
        <w:rPr>
          <w:rFonts w:hint="eastAsia"/>
          <w:sz w:val="24"/>
          <w:highlight w:val="none"/>
          <w:u w:val="single"/>
        </w:rPr>
        <w:t xml:space="preserve">                       </w:t>
      </w: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b/>
          <w:bCs/>
          <w:iCs/>
          <w:kern w:val="0"/>
          <w:sz w:val="24"/>
          <w:highlight w:val="none"/>
        </w:rPr>
      </w:pPr>
      <w:bookmarkStart w:id="103" w:name="_Toc291435885"/>
      <w:bookmarkStart w:id="104" w:name="_Toc366251493"/>
      <w:bookmarkStart w:id="105" w:name="_Toc300670376"/>
      <w:bookmarkStart w:id="106" w:name="_Toc296955897"/>
      <w:bookmarkStart w:id="107" w:name="_Toc291435952"/>
      <w:bookmarkStart w:id="108" w:name="_Toc300670448"/>
      <w:bookmarkStart w:id="109" w:name="_Toc358987523"/>
      <w:r>
        <w:rPr>
          <w:rFonts w:hint="eastAsia"/>
          <w:b/>
          <w:bCs/>
          <w:iCs/>
          <w:kern w:val="0"/>
          <w:sz w:val="24"/>
          <w:highlight w:val="none"/>
        </w:rPr>
        <w:t>附件一：</w:t>
      </w:r>
      <w:bookmarkEnd w:id="103"/>
      <w:bookmarkEnd w:id="104"/>
      <w:bookmarkEnd w:id="105"/>
      <w:bookmarkEnd w:id="106"/>
      <w:bookmarkEnd w:id="107"/>
      <w:bookmarkEnd w:id="108"/>
      <w:bookmarkEnd w:id="109"/>
      <w:r>
        <w:rPr>
          <w:rFonts w:hint="eastAsia"/>
          <w:b/>
          <w:bCs/>
          <w:iCs/>
          <w:kern w:val="0"/>
          <w:sz w:val="24"/>
          <w:highlight w:val="none"/>
        </w:rPr>
        <w:t>价格表</w:t>
      </w:r>
    </w:p>
    <w:p>
      <w:pPr>
        <w:widowControl/>
        <w:spacing w:before="72" w:beforeLines="30" w:after="72" w:afterLines="30" w:line="360" w:lineRule="auto"/>
        <w:jc w:val="left"/>
        <w:rPr>
          <w:sz w:val="24"/>
          <w:highlight w:val="none"/>
        </w:rPr>
      </w:pPr>
      <w:r>
        <w:rPr>
          <w:rFonts w:hint="eastAsia"/>
          <w:b/>
          <w:bCs/>
          <w:iCs/>
          <w:kern w:val="0"/>
          <w:sz w:val="24"/>
          <w:highlight w:val="none"/>
        </w:rPr>
        <w:t>附件二：技术服务</w:t>
      </w:r>
    </w:p>
    <w:p>
      <w:pPr>
        <w:rPr>
          <w:highlight w:val="none"/>
          <w:lang w:val="en-US" w:eastAsia="zh-CN"/>
        </w:rPr>
      </w:pPr>
      <w:r>
        <w:rPr>
          <w:rFonts w:hint="eastAsia"/>
          <w:b/>
          <w:bCs/>
          <w:iCs/>
          <w:kern w:val="0"/>
          <w:sz w:val="24"/>
          <w:highlight w:val="none"/>
        </w:rPr>
        <w:t>附件三：付款进度</w:t>
      </w:r>
    </w:p>
    <w:p>
      <w:pPr>
        <w:pStyle w:val="3"/>
        <w:rPr>
          <w:highlight w:val="none"/>
          <w:lang w:val="en-US" w:eastAsia="zh-CN"/>
        </w:rPr>
      </w:pPr>
    </w:p>
    <w:p>
      <w:pPr>
        <w:rPr>
          <w:highlight w:val="none"/>
          <w:lang w:val="en-US" w:eastAsia="zh-CN"/>
        </w:rPr>
      </w:pPr>
    </w:p>
    <w:p>
      <w:pPr>
        <w:pStyle w:val="3"/>
        <w:rPr>
          <w:highlight w:val="none"/>
          <w:lang w:val="en-US" w:eastAsia="zh-CN"/>
        </w:rPr>
      </w:pPr>
    </w:p>
    <w:p>
      <w:pPr>
        <w:pStyle w:val="3"/>
        <w:rPr>
          <w:highlight w:val="none"/>
          <w:lang w:val="en-US" w:eastAsia="zh-CN"/>
        </w:rPr>
      </w:pPr>
    </w:p>
    <w:p>
      <w:pPr>
        <w:rPr>
          <w:rFonts w:hint="eastAsia"/>
          <w:b/>
          <w:strike w:val="0"/>
          <w:dstrike w:val="0"/>
          <w:sz w:val="24"/>
          <w:highlight w:val="none"/>
          <w:lang w:val="en-US" w:eastAsia="zh-CN"/>
        </w:rPr>
      </w:pPr>
      <w:r>
        <w:rPr>
          <w:rFonts w:hint="eastAsia"/>
          <w:b/>
          <w:strike w:val="0"/>
          <w:dstrike w:val="0"/>
          <w:sz w:val="24"/>
          <w:highlight w:val="none"/>
          <w:lang w:val="en-US" w:eastAsia="zh-CN"/>
        </w:rPr>
        <w:br w:type="page"/>
      </w:r>
    </w:p>
    <w:p>
      <w:pPr>
        <w:pStyle w:val="18"/>
        <w:keepNext w:val="0"/>
        <w:keepLines w:val="0"/>
        <w:pageBreakBefore w:val="0"/>
        <w:widowControl/>
        <w:kinsoku/>
        <w:wordWrap/>
        <w:overflowPunct/>
        <w:topLinePunct w:val="0"/>
        <w:autoSpaceDE/>
        <w:autoSpaceDN/>
        <w:bidi w:val="0"/>
        <w:adjustRightInd/>
        <w:snapToGrid/>
        <w:spacing w:before="240" w:after="240" w:line="360" w:lineRule="auto"/>
        <w:jc w:val="left"/>
        <w:textAlignment w:val="auto"/>
        <w:outlineLvl w:val="0"/>
        <w:rPr>
          <w:rFonts w:hint="eastAsia"/>
          <w:b/>
          <w:strike w:val="0"/>
          <w:dstrike w:val="0"/>
          <w:sz w:val="24"/>
          <w:highlight w:val="none"/>
        </w:rPr>
      </w:pPr>
      <w:r>
        <w:rPr>
          <w:rFonts w:hint="eastAsia"/>
          <w:b/>
          <w:strike w:val="0"/>
          <w:dstrike w:val="0"/>
          <w:sz w:val="24"/>
          <w:highlight w:val="none"/>
          <w:lang w:val="en-US" w:eastAsia="zh-CN"/>
        </w:rPr>
        <w:t xml:space="preserve">附件4： </w:t>
      </w:r>
      <w:r>
        <w:rPr>
          <w:rFonts w:hint="eastAsia"/>
          <w:b/>
          <w:strike w:val="0"/>
          <w:dstrike w:val="0"/>
          <w:sz w:val="24"/>
          <w:highlight w:val="none"/>
        </w:rPr>
        <w:t>供应商履约异常处罚方式</w:t>
      </w:r>
    </w:p>
    <w:p>
      <w:pPr>
        <w:keepNext w:val="0"/>
        <w:keepLines w:val="0"/>
        <w:pageBreakBefore w:val="0"/>
        <w:widowControl/>
        <w:kinsoku/>
        <w:wordWrap/>
        <w:overflowPunct/>
        <w:topLinePunct w:val="0"/>
        <w:autoSpaceDE/>
        <w:autoSpaceDN/>
        <w:bidi w:val="0"/>
        <w:adjustRightInd/>
        <w:snapToGrid/>
        <w:spacing w:before="0" w:after="0" w:line="240" w:lineRule="auto"/>
        <w:jc w:val="left"/>
        <w:textAlignment w:val="auto"/>
        <w:outlineLvl w:val="1"/>
        <w:rPr>
          <w:rFonts w:hint="eastAsia" w:eastAsia="宋体"/>
          <w:b/>
          <w:strike w:val="0"/>
          <w:dstrike w:val="0"/>
          <w:sz w:val="24"/>
          <w:highlight w:val="none"/>
          <w:lang w:eastAsia="zh-CN"/>
        </w:rPr>
      </w:pPr>
      <w:r>
        <w:rPr>
          <w:rFonts w:hint="eastAsia"/>
          <w:b/>
          <w:strike w:val="0"/>
          <w:dstrike w:val="0"/>
          <w:sz w:val="24"/>
          <w:highlight w:val="none"/>
          <w:lang w:val="en-US" w:eastAsia="zh-CN"/>
        </w:rPr>
        <w:t>4.1海油发展供应商处理情形和处理标准</w:t>
      </w:r>
    </w:p>
    <w:tbl>
      <w:tblPr>
        <w:tblStyle w:val="11"/>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66"/>
        <w:gridCol w:w="5484"/>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8" w:type="dxa"/>
            <w:shd w:val="clear" w:color="auto" w:fill="auto"/>
            <w:vAlign w:val="center"/>
          </w:tcPr>
          <w:p>
            <w:pPr>
              <w:jc w:val="center"/>
              <w:textAlignment w:val="center"/>
              <w:rPr>
                <w:b/>
                <w:bCs/>
                <w:color w:val="000000"/>
                <w:sz w:val="22"/>
                <w:szCs w:val="22"/>
                <w:highlight w:val="none"/>
              </w:rPr>
            </w:pPr>
            <w:r>
              <w:rPr>
                <w:rFonts w:hint="eastAsia"/>
                <w:b/>
                <w:bCs/>
                <w:color w:val="000000"/>
                <w:sz w:val="22"/>
                <w:szCs w:val="22"/>
                <w:highlight w:val="none"/>
                <w:lang w:bidi="ar"/>
              </w:rPr>
              <w:t>序号</w:t>
            </w:r>
          </w:p>
        </w:tc>
        <w:tc>
          <w:tcPr>
            <w:tcW w:w="1266" w:type="dxa"/>
            <w:shd w:val="clear" w:color="auto" w:fill="auto"/>
            <w:vAlign w:val="center"/>
          </w:tcPr>
          <w:p>
            <w:pPr>
              <w:jc w:val="center"/>
              <w:textAlignment w:val="center"/>
              <w:rPr>
                <w:b/>
                <w:bCs/>
                <w:color w:val="000000"/>
                <w:sz w:val="22"/>
                <w:szCs w:val="22"/>
                <w:highlight w:val="none"/>
              </w:rPr>
            </w:pPr>
            <w:r>
              <w:rPr>
                <w:rFonts w:hint="eastAsia"/>
                <w:b/>
                <w:bCs/>
                <w:color w:val="000000"/>
                <w:sz w:val="22"/>
                <w:szCs w:val="22"/>
                <w:highlight w:val="none"/>
                <w:lang w:bidi="ar"/>
              </w:rPr>
              <w:t>违规类型</w:t>
            </w:r>
          </w:p>
        </w:tc>
        <w:tc>
          <w:tcPr>
            <w:tcW w:w="5484" w:type="dxa"/>
            <w:shd w:val="clear" w:color="auto" w:fill="auto"/>
            <w:vAlign w:val="center"/>
          </w:tcPr>
          <w:p>
            <w:pPr>
              <w:jc w:val="center"/>
              <w:textAlignment w:val="center"/>
              <w:rPr>
                <w:b/>
                <w:bCs/>
                <w:color w:val="000000"/>
                <w:sz w:val="22"/>
                <w:szCs w:val="22"/>
                <w:highlight w:val="none"/>
              </w:rPr>
            </w:pPr>
            <w:r>
              <w:rPr>
                <w:rFonts w:hint="eastAsia"/>
                <w:b/>
                <w:bCs/>
                <w:color w:val="000000"/>
                <w:sz w:val="22"/>
                <w:szCs w:val="22"/>
                <w:highlight w:val="none"/>
                <w:lang w:bidi="ar"/>
              </w:rPr>
              <w:t>违规情形说明</w:t>
            </w:r>
          </w:p>
        </w:tc>
        <w:tc>
          <w:tcPr>
            <w:tcW w:w="1281" w:type="dxa"/>
            <w:shd w:val="clear" w:color="auto" w:fill="auto"/>
            <w:vAlign w:val="center"/>
          </w:tcPr>
          <w:p>
            <w:pPr>
              <w:textAlignment w:val="center"/>
              <w:rPr>
                <w:b/>
                <w:bCs/>
                <w:color w:val="000000"/>
                <w:sz w:val="22"/>
                <w:szCs w:val="22"/>
                <w:highlight w:val="none"/>
              </w:rPr>
            </w:pPr>
            <w:r>
              <w:rPr>
                <w:rFonts w:hint="eastAsia"/>
                <w:b/>
                <w:bCs/>
                <w:color w:val="000000"/>
                <w:sz w:val="22"/>
                <w:szCs w:val="22"/>
                <w:highlight w:val="none"/>
                <w:lang w:bidi="ar"/>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w:t>
            </w:r>
          </w:p>
        </w:tc>
        <w:tc>
          <w:tcPr>
            <w:tcW w:w="1266" w:type="dxa"/>
            <w:vMerge w:val="restart"/>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提供虚假资料</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提供虚假材料（资质文件、业绩、财务状况、书面承诺等）进行供应商注册、准入或参与采购项目，未造成损失的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rFonts w:hint="default" w:eastAsia="宋体"/>
                <w:color w:val="000000"/>
                <w:sz w:val="20"/>
                <w:szCs w:val="20"/>
                <w:highlight w:val="none"/>
                <w:lang w:val="en-US" w:eastAsia="zh-CN"/>
              </w:rPr>
            </w:pPr>
            <w:r>
              <w:rPr>
                <w:rFonts w:hint="eastAsia"/>
                <w:b/>
                <w:bCs/>
                <w:color w:val="000000"/>
                <w:sz w:val="20"/>
                <w:szCs w:val="20"/>
                <w:highlight w:val="none"/>
                <w:lang w:bidi="ar"/>
              </w:rPr>
              <w:t>提供虚假材料</w:t>
            </w:r>
            <w:r>
              <w:rPr>
                <w:rFonts w:hint="eastAsia"/>
                <w:color w:val="000000"/>
                <w:sz w:val="20"/>
                <w:szCs w:val="20"/>
                <w:highlight w:val="none"/>
                <w:lang w:bidi="ar"/>
              </w:rPr>
              <w:t>（</w:t>
            </w:r>
            <w:r>
              <w:rPr>
                <w:rFonts w:hint="eastAsia"/>
                <w:b/>
                <w:bCs/>
                <w:color w:val="000000"/>
                <w:sz w:val="20"/>
                <w:szCs w:val="20"/>
                <w:highlight w:val="none"/>
                <w:lang w:bidi="ar"/>
              </w:rPr>
              <w:t>资质文件、业绩、财务状况、书面承诺</w:t>
            </w:r>
            <w:r>
              <w:rPr>
                <w:rFonts w:hint="eastAsia"/>
                <w:color w:val="000000"/>
                <w:sz w:val="20"/>
                <w:szCs w:val="20"/>
                <w:highlight w:val="none"/>
                <w:lang w:bidi="ar"/>
              </w:rPr>
              <w:t>等）进行供应商注册、准入或参与采购项目，造成损失的</w:t>
            </w:r>
            <w:r>
              <w:rPr>
                <w:rFonts w:hint="eastAsia"/>
                <w:color w:val="000000"/>
                <w:sz w:val="20"/>
                <w:szCs w:val="20"/>
                <w:highlight w:val="none"/>
                <w:lang w:eastAsia="zh-CN" w:bidi="ar"/>
              </w:rPr>
              <w:t>（</w:t>
            </w:r>
            <w:r>
              <w:rPr>
                <w:rFonts w:hint="eastAsia"/>
                <w:color w:val="000000"/>
                <w:sz w:val="20"/>
                <w:szCs w:val="20"/>
                <w:highlight w:val="none"/>
                <w:lang w:val="en-US" w:eastAsia="zh-CN" w:bidi="ar"/>
              </w:rPr>
              <w:t>造成损失是指已签订合同且已执行）</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w:t>
            </w:r>
          </w:p>
        </w:tc>
        <w:tc>
          <w:tcPr>
            <w:tcW w:w="1266" w:type="dxa"/>
            <w:vMerge w:val="restart"/>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恶意串通</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为达到不正当目的</w:t>
            </w:r>
            <w:r>
              <w:rPr>
                <w:rFonts w:hint="eastAsia"/>
                <w:b/>
                <w:bCs/>
                <w:color w:val="000000"/>
                <w:sz w:val="20"/>
                <w:szCs w:val="20"/>
                <w:highlight w:val="none"/>
                <w:lang w:bidi="ar"/>
              </w:rPr>
              <w:t>相互恶意串通</w:t>
            </w:r>
            <w:r>
              <w:rPr>
                <w:rFonts w:hint="eastAsia"/>
                <w:color w:val="000000"/>
                <w:sz w:val="20"/>
                <w:szCs w:val="20"/>
                <w:highlight w:val="none"/>
                <w:lang w:bidi="ar"/>
              </w:rPr>
              <w:t>，未造成损失的。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为达到不正当目的相互恶意串通，造成损失的</w:t>
            </w:r>
            <w:r>
              <w:rPr>
                <w:rFonts w:hint="eastAsia"/>
                <w:color w:val="000000"/>
                <w:sz w:val="20"/>
                <w:szCs w:val="20"/>
                <w:highlight w:val="none"/>
                <w:lang w:eastAsia="zh-CN" w:bidi="ar"/>
              </w:rPr>
              <w:t>（</w:t>
            </w:r>
            <w:r>
              <w:rPr>
                <w:rFonts w:hint="eastAsia"/>
                <w:color w:val="000000"/>
                <w:sz w:val="20"/>
                <w:szCs w:val="20"/>
                <w:highlight w:val="none"/>
                <w:lang w:val="en-US" w:eastAsia="zh-CN" w:bidi="ar"/>
              </w:rPr>
              <w:t>造成损失是指已签订合同且已执行）</w:t>
            </w:r>
            <w:r>
              <w:rPr>
                <w:rFonts w:hint="eastAsia"/>
                <w:color w:val="000000"/>
                <w:sz w:val="20"/>
                <w:szCs w:val="20"/>
                <w:highlight w:val="none"/>
                <w:lang w:bidi="ar"/>
              </w:rPr>
              <w:t>。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3"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w:t>
            </w:r>
          </w:p>
        </w:tc>
        <w:tc>
          <w:tcPr>
            <w:tcW w:w="1266" w:type="dxa"/>
            <w:vMerge w:val="restart"/>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中途撤销投标</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非公开采办方式，具有参与意向，但未投标/响应的，未对采办过程造成影响的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6</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非公开采办方式，具有参与意向，但未投标/响应的，且对采办过程造成影响的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7</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开标后在有效期内中途撤销投标的，未对采办过程造成影响的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8</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开标后在有效期内中途撤销投标的</w:t>
            </w:r>
            <w:r>
              <w:rPr>
                <w:rFonts w:hint="eastAsia"/>
                <w:color w:val="000000"/>
                <w:sz w:val="20"/>
                <w:szCs w:val="20"/>
                <w:highlight w:val="none"/>
                <w:lang w:bidi="ar"/>
              </w:rPr>
              <w:t>，且对采办过程造成影响的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9</w:t>
            </w:r>
          </w:p>
        </w:tc>
        <w:tc>
          <w:tcPr>
            <w:tcW w:w="1266" w:type="dxa"/>
            <w:vMerge w:val="restart"/>
            <w:shd w:val="clear" w:color="auto" w:fill="auto"/>
            <w:vAlign w:val="center"/>
          </w:tcPr>
          <w:p>
            <w:pPr>
              <w:jc w:val="center"/>
              <w:textAlignment w:val="center"/>
              <w:rPr>
                <w:color w:val="000000"/>
                <w:sz w:val="20"/>
                <w:szCs w:val="20"/>
                <w:highlight w:val="none"/>
              </w:rPr>
            </w:pPr>
            <w:r>
              <w:rPr>
                <w:rFonts w:hint="eastAsia"/>
                <w:b/>
                <w:bCs/>
                <w:color w:val="000000"/>
                <w:sz w:val="20"/>
                <w:szCs w:val="20"/>
                <w:highlight w:val="none"/>
                <w:lang w:bidi="ar"/>
              </w:rPr>
              <w:t>投标文件质量差</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未造成影响的。</w:t>
            </w:r>
          </w:p>
        </w:tc>
        <w:tc>
          <w:tcPr>
            <w:tcW w:w="1281" w:type="dxa"/>
            <w:shd w:val="clear" w:color="auto" w:fill="auto"/>
            <w:vAlign w:val="center"/>
          </w:tcPr>
          <w:p>
            <w:pPr>
              <w:jc w:val="both"/>
              <w:textAlignment w:val="center"/>
              <w:rPr>
                <w:color w:val="000000"/>
                <w:sz w:val="20"/>
                <w:szCs w:val="20"/>
                <w:highlight w:val="none"/>
              </w:rPr>
            </w:pPr>
            <w:r>
              <w:rPr>
                <w:rFonts w:hint="eastAsia"/>
                <w:color w:val="000000"/>
                <w:sz w:val="20"/>
                <w:szCs w:val="20"/>
                <w:highlight w:val="none"/>
                <w:lang w:bidi="ar"/>
              </w:rPr>
              <w:t>初次出现对供应商进行“约谈”，一年内出现两次给予</w:t>
            </w:r>
            <w:r>
              <w:rPr>
                <w:rFonts w:hint="eastAsia"/>
                <w:b/>
                <w:bCs/>
                <w:color w:val="000000"/>
                <w:sz w:val="20"/>
                <w:szCs w:val="20"/>
                <w:highlight w:val="none"/>
                <w:lang w:bidi="ar"/>
              </w:rPr>
              <w:t>“警告”</w:t>
            </w:r>
            <w:r>
              <w:rPr>
                <w:rFonts w:hint="eastAsia"/>
                <w:color w:val="000000"/>
                <w:sz w:val="20"/>
                <w:szCs w:val="20"/>
                <w:highlight w:val="none"/>
                <w:lang w:bidi="ar"/>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10</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造成影响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11</w:t>
            </w:r>
          </w:p>
        </w:tc>
        <w:tc>
          <w:tcPr>
            <w:tcW w:w="1266"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排挤其他供应商</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在采购结果公布之前，违法违规获得非公开评标信息，或采取不正当手段妨碍、排挤其他供应商投标或中标的，证据确凿的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12</w:t>
            </w:r>
          </w:p>
        </w:tc>
        <w:tc>
          <w:tcPr>
            <w:tcW w:w="1266"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不遵守招投标纪律</w:t>
            </w:r>
          </w:p>
        </w:tc>
        <w:tc>
          <w:tcPr>
            <w:tcW w:w="5484" w:type="dxa"/>
            <w:shd w:val="clear" w:color="auto" w:fill="auto"/>
            <w:vAlign w:val="center"/>
          </w:tcPr>
          <w:p>
            <w:pPr>
              <w:textAlignment w:val="center"/>
              <w:rPr>
                <w:color w:val="000000"/>
                <w:sz w:val="20"/>
                <w:szCs w:val="20"/>
                <w:highlight w:val="none"/>
              </w:rPr>
            </w:pPr>
            <w:r>
              <w:rPr>
                <w:rStyle w:val="19"/>
                <w:rFonts w:hint="default"/>
                <w:highlight w:val="none"/>
                <w:lang w:bidi="ar"/>
              </w:rPr>
              <w:t>不遵守招投标相关纪律：如在开标、评标现场无理取闹，违反招投标程序</w:t>
            </w:r>
            <w:r>
              <w:rPr>
                <w:rFonts w:ascii="Times New Roman" w:hAnsi="Times New Roman" w:cs="Times New Roman"/>
                <w:color w:val="000000"/>
                <w:sz w:val="20"/>
                <w:szCs w:val="20"/>
                <w:highlight w:val="none"/>
                <w:lang w:bidi="ar"/>
              </w:rPr>
              <w:t>,</w:t>
            </w:r>
            <w:r>
              <w:rPr>
                <w:rStyle w:val="19"/>
                <w:rFonts w:hint="default"/>
                <w:highlight w:val="none"/>
                <w:lang w:bidi="ar"/>
              </w:rPr>
              <w:t>破坏招投标秩序等情形的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13</w:t>
            </w:r>
          </w:p>
        </w:tc>
        <w:tc>
          <w:tcPr>
            <w:tcW w:w="1266" w:type="dxa"/>
            <w:shd w:val="clear" w:color="auto" w:fill="auto"/>
            <w:vAlign w:val="center"/>
          </w:tcPr>
          <w:p>
            <w:pPr>
              <w:jc w:val="center"/>
              <w:textAlignment w:val="center"/>
              <w:rPr>
                <w:color w:val="000000"/>
                <w:sz w:val="20"/>
                <w:szCs w:val="20"/>
                <w:highlight w:val="none"/>
              </w:rPr>
            </w:pPr>
            <w:r>
              <w:rPr>
                <w:rFonts w:hint="eastAsia"/>
                <w:b/>
                <w:bCs/>
                <w:color w:val="000000"/>
                <w:sz w:val="20"/>
                <w:szCs w:val="20"/>
                <w:highlight w:val="none"/>
                <w:lang w:bidi="ar"/>
              </w:rPr>
              <w:t>拒不签订合同</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获取中标资格或成交资格拒绝签订合同的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14</w:t>
            </w:r>
          </w:p>
        </w:tc>
        <w:tc>
          <w:tcPr>
            <w:tcW w:w="1266" w:type="dxa"/>
            <w:vMerge w:val="restart"/>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供应商对评标结果提出异议</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采取邀请招标/竞争性谈判/邀请询价采办方式，评标结束后，供应商提出异议并要求复议（如对中标供应商的投标文件提出异议），经核查后异议不实的或提出异议却无法提供证明文件的。未造成影响的。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15</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采取邀请招标/竞争性谈判/邀请询价采办方式，评标结束后，供应商提出异议并要求复议（如对中标供应商的投标文件提出异议），</w:t>
            </w:r>
            <w:r>
              <w:rPr>
                <w:rFonts w:hint="eastAsia"/>
                <w:b/>
                <w:bCs/>
                <w:color w:val="000000"/>
                <w:sz w:val="20"/>
                <w:szCs w:val="20"/>
                <w:highlight w:val="none"/>
                <w:lang w:bidi="ar"/>
              </w:rPr>
              <w:t>经核查后异议不实的或提出异议却无法提供证明文件的</w:t>
            </w:r>
            <w:r>
              <w:rPr>
                <w:rFonts w:hint="eastAsia"/>
                <w:color w:val="000000"/>
                <w:sz w:val="20"/>
                <w:szCs w:val="20"/>
                <w:highlight w:val="none"/>
                <w:lang w:bidi="ar"/>
              </w:rPr>
              <w:t>。造成影响的。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16</w:t>
            </w:r>
          </w:p>
        </w:tc>
        <w:tc>
          <w:tcPr>
            <w:tcW w:w="1266" w:type="dxa"/>
            <w:vMerge w:val="restart"/>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无事实依据对采购过程或采购结果进行乱投诉、举报的</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情节较轻的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17</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恶意投诉、举报的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18</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对伪造证据、捏造事实、诬陷招标方或供应商管理、供应商使用单位人员的，一经查证</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19</w:t>
            </w:r>
          </w:p>
        </w:tc>
        <w:tc>
          <w:tcPr>
            <w:tcW w:w="1266" w:type="dxa"/>
            <w:vMerge w:val="restart"/>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擅自变更、</w:t>
            </w:r>
            <w:r>
              <w:rPr>
                <w:rFonts w:hint="eastAsia"/>
                <w:b/>
                <w:bCs/>
                <w:color w:val="000000"/>
                <w:sz w:val="20"/>
                <w:szCs w:val="20"/>
                <w:highlight w:val="none"/>
                <w:lang w:bidi="ar"/>
              </w:rPr>
              <w:t>不按照合同规定履行或者擅自终止合同的</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损失较轻或对安全生产影响较小的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20</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损失较大或对安全生产影响较大的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21</w:t>
            </w:r>
          </w:p>
        </w:tc>
        <w:tc>
          <w:tcPr>
            <w:tcW w:w="1266" w:type="dxa"/>
            <w:vMerge w:val="restart"/>
            <w:shd w:val="clear" w:color="auto" w:fill="auto"/>
            <w:vAlign w:val="center"/>
          </w:tcPr>
          <w:p>
            <w:pPr>
              <w:jc w:val="center"/>
              <w:textAlignment w:val="center"/>
              <w:rPr>
                <w:color w:val="000000"/>
                <w:sz w:val="20"/>
                <w:szCs w:val="20"/>
                <w:highlight w:val="none"/>
              </w:rPr>
            </w:pPr>
            <w:r>
              <w:rPr>
                <w:rFonts w:hint="eastAsia"/>
                <w:b/>
                <w:bCs/>
                <w:color w:val="000000"/>
                <w:sz w:val="20"/>
                <w:szCs w:val="20"/>
                <w:highlight w:val="none"/>
                <w:lang w:bidi="ar"/>
              </w:rPr>
              <w:t>擅自降低标的功能标准或改变功能结构</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及时整改未造成影响的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22</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损失较大或对安全生产影响较大的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23</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及时整改但造成一定影响的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24</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及时整改但影响较重的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25</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拒不整改的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26</w:t>
            </w:r>
          </w:p>
        </w:tc>
        <w:tc>
          <w:tcPr>
            <w:tcW w:w="1266" w:type="dxa"/>
            <w:vMerge w:val="restart"/>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假冒其他厂家品牌，</w:t>
            </w:r>
            <w:r>
              <w:rPr>
                <w:rFonts w:hint="eastAsia"/>
                <w:b/>
                <w:bCs/>
                <w:color w:val="000000"/>
                <w:sz w:val="20"/>
                <w:szCs w:val="20"/>
                <w:highlight w:val="none"/>
                <w:lang w:bidi="ar"/>
              </w:rPr>
              <w:t>提供伪劣商品</w:t>
            </w:r>
            <w:r>
              <w:rPr>
                <w:rFonts w:hint="eastAsia"/>
                <w:color w:val="000000"/>
                <w:sz w:val="20"/>
                <w:szCs w:val="20"/>
                <w:highlight w:val="none"/>
                <w:lang w:bidi="ar"/>
              </w:rPr>
              <w:t>、以假乱真弄虚作假的</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对生产经营造成影响较小</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27</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对生产经营影响较大；或虽然对生产经营影响较小，但拒绝整改的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28</w:t>
            </w:r>
          </w:p>
        </w:tc>
        <w:tc>
          <w:tcPr>
            <w:tcW w:w="1266" w:type="dxa"/>
            <w:vMerge w:val="restart"/>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出现供给不足（即“</w:t>
            </w:r>
            <w:r>
              <w:rPr>
                <w:rFonts w:hint="eastAsia"/>
                <w:b/>
                <w:bCs/>
                <w:color w:val="000000"/>
                <w:sz w:val="20"/>
                <w:szCs w:val="20"/>
                <w:highlight w:val="none"/>
                <w:lang w:bidi="ar"/>
              </w:rPr>
              <w:t>短斤少两</w:t>
            </w:r>
            <w:r>
              <w:rPr>
                <w:rFonts w:hint="eastAsia"/>
                <w:color w:val="000000"/>
                <w:sz w:val="20"/>
                <w:szCs w:val="20"/>
                <w:highlight w:val="none"/>
                <w:lang w:bidi="ar"/>
              </w:rPr>
              <w:t>”行为）</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及时整改未产生影响的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29</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整改但产生影响的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30</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拒不更正的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31</w:t>
            </w:r>
          </w:p>
        </w:tc>
        <w:tc>
          <w:tcPr>
            <w:tcW w:w="1266" w:type="dxa"/>
            <w:vMerge w:val="restart"/>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所提供的产品</w:t>
            </w:r>
            <w:r>
              <w:rPr>
                <w:rFonts w:hint="eastAsia"/>
                <w:b/>
                <w:bCs/>
                <w:color w:val="000000"/>
                <w:sz w:val="20"/>
                <w:szCs w:val="20"/>
                <w:highlight w:val="none"/>
                <w:lang w:bidi="ar"/>
              </w:rPr>
              <w:t>存在严重质量问题</w:t>
            </w:r>
            <w:r>
              <w:rPr>
                <w:rFonts w:hint="eastAsia"/>
                <w:color w:val="000000"/>
                <w:sz w:val="20"/>
                <w:szCs w:val="20"/>
                <w:highlight w:val="none"/>
                <w:lang w:bidi="ar"/>
              </w:rPr>
              <w:t>，影响安全生产或对工程建设造成实质性影响的</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对安全生产或工程建设影响较轻的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32</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对安全生产或工程建设影响较重的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33</w:t>
            </w:r>
          </w:p>
        </w:tc>
        <w:tc>
          <w:tcPr>
            <w:tcW w:w="1266"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提供的产品/服务出现</w:t>
            </w:r>
            <w:r>
              <w:rPr>
                <w:rFonts w:hint="eastAsia"/>
                <w:b/>
                <w:bCs/>
                <w:color w:val="000000"/>
                <w:sz w:val="20"/>
                <w:szCs w:val="20"/>
                <w:highlight w:val="none"/>
                <w:lang w:bidi="ar"/>
              </w:rPr>
              <w:t>严重安全隐患</w:t>
            </w:r>
            <w:r>
              <w:rPr>
                <w:rFonts w:hint="eastAsia"/>
                <w:color w:val="000000"/>
                <w:sz w:val="20"/>
                <w:szCs w:val="20"/>
                <w:highlight w:val="none"/>
                <w:lang w:bidi="ar"/>
              </w:rPr>
              <w:t>，且拒绝整改或整改不及时、不到位的</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提供的产品/服务出现严重安全隐患，且拒绝整改或整改不及时、不到位的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34</w:t>
            </w:r>
          </w:p>
        </w:tc>
        <w:tc>
          <w:tcPr>
            <w:tcW w:w="1266" w:type="dxa"/>
            <w:vMerge w:val="restart"/>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提供虚假进度报告</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未造成实质影响的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35</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造成实质性影响的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36</w:t>
            </w:r>
          </w:p>
        </w:tc>
        <w:tc>
          <w:tcPr>
            <w:tcW w:w="1266" w:type="dxa"/>
            <w:vMerge w:val="restart"/>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在允许分包项目中，违反分包承诺进行</w:t>
            </w:r>
            <w:r>
              <w:rPr>
                <w:rFonts w:hint="eastAsia"/>
                <w:b/>
                <w:bCs/>
                <w:color w:val="000000"/>
                <w:sz w:val="20"/>
                <w:szCs w:val="20"/>
                <w:highlight w:val="none"/>
                <w:lang w:bidi="ar"/>
              </w:rPr>
              <w:t>分包</w:t>
            </w:r>
            <w:r>
              <w:rPr>
                <w:rFonts w:hint="eastAsia"/>
                <w:color w:val="000000"/>
                <w:sz w:val="20"/>
                <w:szCs w:val="20"/>
                <w:highlight w:val="none"/>
                <w:lang w:bidi="ar"/>
              </w:rPr>
              <w:t>的</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及时更正其违规行为的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37</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未及时更正其违规行为的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38</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拒绝更正其违规行为的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39</w:t>
            </w:r>
          </w:p>
        </w:tc>
        <w:tc>
          <w:tcPr>
            <w:tcW w:w="1266" w:type="dxa"/>
            <w:vMerge w:val="restart"/>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违反规定</w:t>
            </w:r>
            <w:r>
              <w:rPr>
                <w:rFonts w:hint="eastAsia"/>
                <w:b/>
                <w:bCs/>
                <w:color w:val="000000"/>
                <w:sz w:val="20"/>
                <w:szCs w:val="20"/>
                <w:highlight w:val="none"/>
                <w:lang w:bidi="ar"/>
              </w:rPr>
              <w:t>擅自把中标项目或合同转让、转包、分包</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及时更正其违规行为的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40</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未及时更正其违规行为的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41</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拒绝更正其违规行为的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42</w:t>
            </w:r>
          </w:p>
        </w:tc>
        <w:tc>
          <w:tcPr>
            <w:tcW w:w="1266" w:type="dxa"/>
            <w:vMerge w:val="restart"/>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未经同意拖延交工、交货日期，</w:t>
            </w:r>
            <w:r>
              <w:rPr>
                <w:rFonts w:hint="eastAsia"/>
                <w:b/>
                <w:bCs/>
                <w:color w:val="000000"/>
                <w:sz w:val="20"/>
                <w:szCs w:val="20"/>
                <w:highlight w:val="none"/>
                <w:lang w:bidi="ar"/>
              </w:rPr>
              <w:t>延缓执行合同的期限</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未造成严重影响且愿意协商解决或</w:t>
            </w:r>
            <w:r>
              <w:rPr>
                <w:rFonts w:hint="eastAsia"/>
                <w:b/>
                <w:bCs/>
                <w:color w:val="000000"/>
                <w:sz w:val="20"/>
                <w:szCs w:val="20"/>
                <w:highlight w:val="none"/>
                <w:lang w:bidi="ar"/>
              </w:rPr>
              <w:t>承担赔偿责任的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依据合同条款进行处理，合同条款中未做约定的，可以不予处理。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43</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造成实质影响但愿意协商解决的，根据影响程度</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对供应商给予</w:t>
            </w:r>
            <w:r>
              <w:rPr>
                <w:rFonts w:hint="eastAsia"/>
                <w:b/>
                <w:bCs/>
                <w:color w:val="000000"/>
                <w:sz w:val="20"/>
                <w:szCs w:val="20"/>
                <w:highlight w:val="none"/>
                <w:lang w:bidi="ar"/>
              </w:rPr>
              <w:t>禁用一年至禁用两年”处理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44</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造成较重或严重影响且拒绝协商解决的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45</w:t>
            </w:r>
          </w:p>
        </w:tc>
        <w:tc>
          <w:tcPr>
            <w:tcW w:w="1266"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拒绝履行售后义务</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拒绝履行售后服务义务并拒绝协商解决的情况，及其他因供应商的原因导致中国海油受损，并拒绝协商解决和赔偿责任的情况</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46</w:t>
            </w:r>
          </w:p>
        </w:tc>
        <w:tc>
          <w:tcPr>
            <w:tcW w:w="1266"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拒不配合</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拒绝中国海油管理部门的监督检查或不如实反映情况、提供材料的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47</w:t>
            </w:r>
          </w:p>
        </w:tc>
        <w:tc>
          <w:tcPr>
            <w:tcW w:w="1266"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行贿</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向采购交易所涉及的相关方或能产生实际影响的相关方行贿,行贿判定的依据为检察院或法院书面判定</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48</w:t>
            </w:r>
          </w:p>
        </w:tc>
        <w:tc>
          <w:tcPr>
            <w:tcW w:w="1266"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使用禁用供应商</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参与或承揽中国海油业务时，在已知晓或应当知晓的情况下，仍代理被中国海油禁用其他供应商的产品、服务，或将已获取的合同对其分包的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49</w:t>
            </w:r>
          </w:p>
        </w:tc>
        <w:tc>
          <w:tcPr>
            <w:tcW w:w="1266" w:type="dxa"/>
            <w:vMerge w:val="restart"/>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未经许可，对外</w:t>
            </w:r>
            <w:r>
              <w:rPr>
                <w:rFonts w:hint="eastAsia"/>
                <w:b/>
                <w:bCs/>
                <w:color w:val="000000"/>
                <w:sz w:val="20"/>
                <w:szCs w:val="20"/>
                <w:highlight w:val="none"/>
                <w:lang w:bidi="ar"/>
              </w:rPr>
              <w:t>披露中国海油商业秘密</w:t>
            </w:r>
            <w:r>
              <w:rPr>
                <w:rFonts w:hint="eastAsia"/>
                <w:color w:val="000000"/>
                <w:sz w:val="20"/>
                <w:szCs w:val="20"/>
                <w:highlight w:val="none"/>
                <w:lang w:bidi="ar"/>
              </w:rPr>
              <w:t>信息的</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未造成经济损失或名誉损失的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50</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造成经济损失或名誉损失的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51</w:t>
            </w:r>
          </w:p>
        </w:tc>
        <w:tc>
          <w:tcPr>
            <w:tcW w:w="1266"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由于供应商的过失，与</w:t>
            </w:r>
            <w:r>
              <w:rPr>
                <w:rFonts w:hint="eastAsia"/>
                <w:b/>
                <w:bCs/>
                <w:color w:val="000000"/>
                <w:sz w:val="20"/>
                <w:szCs w:val="20"/>
                <w:highlight w:val="none"/>
                <w:lang w:bidi="ar"/>
              </w:rPr>
              <w:t>中国海油及所属单位产生法律诉讼的</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由于供应商的过失，与中国海油及所属单位产生法律诉讼的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52</w:t>
            </w:r>
          </w:p>
        </w:tc>
        <w:tc>
          <w:tcPr>
            <w:tcW w:w="1266"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三年内记满10分的供应商，或连续三个合同执行过程中均发生“C级”事故</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公司安全生产部将通知采办共享中心，采办共享中心书面通知供应商，并按程序清理出公司供应商库</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对供应商给予“禁用三年”</w:t>
            </w:r>
            <w:r>
              <w:rPr>
                <w:rFonts w:hint="eastAsia"/>
                <w:color w:val="000000"/>
                <w:sz w:val="20"/>
                <w:szCs w:val="20"/>
                <w:highlight w:val="none"/>
                <w:lang w:val="en-US" w:eastAsia="zh-CN" w:bidi="ar"/>
              </w:rPr>
              <w:t>处理</w:t>
            </w:r>
            <w:r>
              <w:rPr>
                <w:rFonts w:hint="eastAsia"/>
                <w:color w:val="000000"/>
                <w:sz w:val="20"/>
                <w:szCs w:val="20"/>
                <w:highlight w:val="none"/>
                <w:lang w:bidi="ar"/>
              </w:rPr>
              <w:t>；情节严重的，</w:t>
            </w: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53</w:t>
            </w:r>
          </w:p>
        </w:tc>
        <w:tc>
          <w:tcPr>
            <w:tcW w:w="1266" w:type="dxa"/>
            <w:vMerge w:val="restart"/>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供应商在提报中国海油员工、</w:t>
            </w:r>
            <w:r>
              <w:rPr>
                <w:rFonts w:hint="eastAsia"/>
                <w:b/>
                <w:bCs/>
                <w:color w:val="000000"/>
                <w:sz w:val="20"/>
                <w:szCs w:val="20"/>
                <w:highlight w:val="none"/>
                <w:lang w:bidi="ar"/>
              </w:rPr>
              <w:t>员工亲属、离职退休的领导人员在本单位的任职</w:t>
            </w:r>
            <w:r>
              <w:rPr>
                <w:rFonts w:hint="eastAsia"/>
                <w:color w:val="000000"/>
                <w:sz w:val="20"/>
                <w:szCs w:val="20"/>
                <w:highlight w:val="none"/>
                <w:lang w:bidi="ar"/>
              </w:rPr>
              <w:t>和持股情况时</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存在瞒报相关情况的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54</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存在利用中国海油人员的职务之便牟取不正当利益情形的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55</w:t>
            </w:r>
          </w:p>
        </w:tc>
        <w:tc>
          <w:tcPr>
            <w:tcW w:w="1266"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经营状况异常</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国家机关、权威机构网站公布的严重违法失信企业，或被列入失信人名单等情形</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给予“无固定期禁用”处理，直至其经营风险被解除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56</w:t>
            </w:r>
          </w:p>
        </w:tc>
        <w:tc>
          <w:tcPr>
            <w:tcW w:w="1266" w:type="dxa"/>
            <w:vMerge w:val="restart"/>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其它违反国家、集团公司及海油发展规章制度的行为</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违反国家政策、法律法规，存在不与农民工签订合同，或</w:t>
            </w:r>
            <w:r>
              <w:rPr>
                <w:rFonts w:hint="eastAsia"/>
                <w:b/>
                <w:bCs/>
                <w:color w:val="000000"/>
                <w:sz w:val="20"/>
                <w:szCs w:val="20"/>
                <w:highlight w:val="none"/>
                <w:lang w:bidi="ar"/>
              </w:rPr>
              <w:t>存在拖欠农民工工资问题</w:t>
            </w:r>
            <w:r>
              <w:rPr>
                <w:rFonts w:hint="eastAsia"/>
                <w:color w:val="000000"/>
                <w:sz w:val="20"/>
                <w:szCs w:val="20"/>
                <w:highlight w:val="none"/>
                <w:lang w:bidi="ar"/>
              </w:rPr>
              <w:t>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57</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违反国家政策、法律法规，对破坏生态环境，</w:t>
            </w:r>
            <w:r>
              <w:rPr>
                <w:rFonts w:hint="eastAsia"/>
                <w:b/>
                <w:bCs/>
                <w:color w:val="000000"/>
                <w:sz w:val="20"/>
                <w:szCs w:val="20"/>
                <w:highlight w:val="none"/>
                <w:lang w:bidi="ar"/>
              </w:rPr>
              <w:t>对环境造成污染的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58</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违反劳动法</w:t>
            </w:r>
            <w:r>
              <w:rPr>
                <w:rFonts w:hint="eastAsia"/>
                <w:color w:val="000000"/>
                <w:sz w:val="20"/>
                <w:szCs w:val="20"/>
                <w:highlight w:val="none"/>
                <w:lang w:bidi="ar"/>
              </w:rPr>
              <w:t>等法规，引起员工仲裁并对中国海油造成不良影响的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59</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对存在其它不当行为可能给中国海油带来风险的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根据情况或问题程度，对供应商进行“约谈”或“警告”处理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60</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对存在其它不当行为已经给中国海油带来风险的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根据情况或问题程度，依据风险情形，对供应商进行“禁用一年”至“长期禁用”处理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61</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其它</w:t>
            </w:r>
            <w:r>
              <w:rPr>
                <w:rFonts w:hint="eastAsia"/>
                <w:b/>
                <w:bCs/>
                <w:color w:val="000000"/>
                <w:sz w:val="20"/>
                <w:szCs w:val="20"/>
                <w:highlight w:val="none"/>
                <w:lang w:bidi="ar"/>
              </w:rPr>
              <w:t>违反国家法律法规及集团公司规章制度</w:t>
            </w:r>
            <w:r>
              <w:rPr>
                <w:rFonts w:hint="eastAsia"/>
                <w:color w:val="000000"/>
                <w:sz w:val="20"/>
                <w:szCs w:val="20"/>
                <w:highlight w:val="none"/>
                <w:lang w:bidi="ar"/>
              </w:rPr>
              <w:t>的行为，包括国家、审计、纪检监察、巡视等函件反映问题等</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由集团公司工程与物装部或集团公司工程与物装部组织相关管理部门及所属单位，对供应商问题性质及业务实际情况判定，进行相应处理</w:t>
            </w:r>
          </w:p>
        </w:tc>
      </w:tr>
    </w:tbl>
    <w:p>
      <w:pPr>
        <w:rPr>
          <w:rFonts w:asciiTheme="minorEastAsia" w:hAnsiTheme="minorEastAsia"/>
          <w:sz w:val="24"/>
          <w:szCs w:val="24"/>
          <w:highlight w:val="none"/>
        </w:rPr>
      </w:pPr>
    </w:p>
    <w:p>
      <w:pPr>
        <w:pStyle w:val="3"/>
        <w:rPr>
          <w:rFonts w:asciiTheme="minorEastAsia" w:hAnsiTheme="minorEastAsia"/>
          <w:sz w:val="24"/>
          <w:szCs w:val="24"/>
          <w:highlight w:val="none"/>
        </w:rPr>
      </w:pPr>
    </w:p>
    <w:p>
      <w:pPr>
        <w:rPr>
          <w:rFonts w:hint="eastAsia" w:asciiTheme="minorEastAsia" w:hAnsiTheme="minorEastAsia"/>
          <w:sz w:val="24"/>
          <w:szCs w:val="24"/>
          <w:highlight w:val="none"/>
          <w:lang w:val="en-US" w:eastAsia="zh-CN"/>
        </w:rPr>
      </w:pPr>
    </w:p>
    <w:p>
      <w:pPr>
        <w:rPr>
          <w:rFonts w:hint="eastAsia" w:asciiTheme="minorEastAsia" w:hAnsiTheme="minorEastAsia"/>
          <w:sz w:val="24"/>
          <w:szCs w:val="24"/>
          <w:highlight w:val="none"/>
          <w:lang w:val="en-US" w:eastAsia="zh-CN"/>
        </w:rPr>
      </w:pPr>
    </w:p>
    <w:p>
      <w:pPr>
        <w:rPr>
          <w:rFonts w:hint="eastAsia" w:asciiTheme="minorEastAsia" w:hAnsiTheme="minorEastAsia"/>
          <w:sz w:val="24"/>
          <w:szCs w:val="24"/>
          <w:highlight w:val="none"/>
          <w:lang w:val="en-US" w:eastAsia="zh-CN"/>
        </w:rPr>
      </w:pPr>
    </w:p>
    <w:p>
      <w:pPr>
        <w:outlineLvl w:val="9"/>
        <w:rPr>
          <w:rFonts w:hint="eastAsia" w:ascii="黑体" w:hAnsi="黑体" w:eastAsia="黑体"/>
          <w:sz w:val="24"/>
          <w:szCs w:val="22"/>
          <w:highlight w:val="none"/>
          <w:lang w:val="en-US" w:eastAsia="zh-CN"/>
        </w:rPr>
      </w:pPr>
      <w:r>
        <w:rPr>
          <w:rFonts w:hint="eastAsia" w:ascii="黑体" w:hAnsi="黑体" w:eastAsia="黑体"/>
          <w:sz w:val="24"/>
          <w:szCs w:val="22"/>
          <w:highlight w:val="none"/>
          <w:lang w:val="en-US" w:eastAsia="zh-CN"/>
        </w:rPr>
        <w:br w:type="page"/>
      </w:r>
    </w:p>
    <w:p>
      <w:pPr>
        <w:outlineLvl w:val="1"/>
        <w:rPr>
          <w:rFonts w:hint="default" w:asciiTheme="minorEastAsia" w:hAnsiTheme="minorEastAsia" w:eastAsiaTheme="minorEastAsia"/>
          <w:sz w:val="24"/>
          <w:szCs w:val="24"/>
          <w:highlight w:val="none"/>
          <w:lang w:val="en-US" w:eastAsia="zh-CN"/>
        </w:rPr>
      </w:pPr>
      <w:r>
        <w:rPr>
          <w:rFonts w:hint="eastAsia" w:ascii="黑体" w:hAnsi="黑体" w:eastAsia="黑体"/>
          <w:sz w:val="24"/>
          <w:szCs w:val="22"/>
          <w:highlight w:val="none"/>
          <w:lang w:val="en-US" w:eastAsia="zh-CN"/>
        </w:rPr>
        <w:t>4.2集团公司</w:t>
      </w:r>
      <w:r>
        <w:rPr>
          <w:rFonts w:hint="eastAsia" w:ascii="黑体" w:hAnsi="黑体" w:eastAsia="黑体"/>
          <w:sz w:val="24"/>
          <w:highlight w:val="none"/>
        </w:rPr>
        <w:t>供应商处理情形和处理标准</w:t>
      </w:r>
    </w:p>
    <w:p>
      <w:pPr>
        <w:pStyle w:val="3"/>
        <w:rPr>
          <w:rFonts w:asciiTheme="minorEastAsia" w:hAnsiTheme="minorEastAsia"/>
          <w:sz w:val="24"/>
          <w:szCs w:val="24"/>
          <w:highlight w:val="none"/>
        </w:rPr>
      </w:pPr>
    </w:p>
    <w:tbl>
      <w:tblPr>
        <w:tblStyle w:val="11"/>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4015"/>
        <w:gridCol w:w="4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93" w:type="dxa"/>
            <w:shd w:val="clear" w:color="auto" w:fill="auto"/>
            <w:vAlign w:val="center"/>
          </w:tcPr>
          <w:p>
            <w:pPr>
              <w:widowControl/>
              <w:jc w:val="center"/>
              <w:rPr>
                <w:rFonts w:hint="eastAsia" w:ascii="宋体" w:hAnsi="宋体" w:eastAsia="宋体" w:cs="宋体"/>
                <w:b/>
                <w:bCs/>
                <w:color w:val="000000" w:themeColor="text1"/>
                <w:kern w:val="0"/>
                <w:sz w:val="20"/>
                <w:szCs w:val="20"/>
                <w:highlight w:val="none"/>
                <w14:textFill>
                  <w14:solidFill>
                    <w14:schemeClr w14:val="tx1"/>
                  </w14:solidFill>
                </w14:textFill>
              </w:rPr>
            </w:pPr>
            <w:r>
              <w:rPr>
                <w:rFonts w:hint="eastAsia" w:ascii="宋体" w:hAnsi="宋体" w:eastAsia="宋体" w:cs="宋体"/>
                <w:b/>
                <w:bCs/>
                <w:color w:val="000000" w:themeColor="text1"/>
                <w:kern w:val="0"/>
                <w:sz w:val="20"/>
                <w:szCs w:val="20"/>
                <w:highlight w:val="none"/>
                <w14:textFill>
                  <w14:solidFill>
                    <w14:schemeClr w14:val="tx1"/>
                  </w14:solidFill>
                </w14:textFill>
              </w:rPr>
              <w:t>序号</w:t>
            </w:r>
          </w:p>
        </w:tc>
        <w:tc>
          <w:tcPr>
            <w:tcW w:w="4015" w:type="dxa"/>
            <w:shd w:val="clear" w:color="auto" w:fill="auto"/>
            <w:vAlign w:val="center"/>
          </w:tcPr>
          <w:p>
            <w:pPr>
              <w:widowControl/>
              <w:jc w:val="center"/>
              <w:rPr>
                <w:rFonts w:hint="eastAsia" w:ascii="宋体" w:hAnsi="宋体" w:eastAsia="宋体" w:cs="宋体"/>
                <w:b/>
                <w:bCs/>
                <w:color w:val="000000" w:themeColor="text1"/>
                <w:kern w:val="0"/>
                <w:sz w:val="20"/>
                <w:szCs w:val="20"/>
                <w:highlight w:val="none"/>
                <w14:textFill>
                  <w14:solidFill>
                    <w14:schemeClr w14:val="tx1"/>
                  </w14:solidFill>
                </w14:textFill>
              </w:rPr>
            </w:pPr>
            <w:r>
              <w:rPr>
                <w:rFonts w:hint="eastAsia" w:ascii="宋体" w:hAnsi="宋体" w:eastAsia="宋体" w:cs="宋体"/>
                <w:b/>
                <w:bCs/>
                <w:color w:val="000000" w:themeColor="text1"/>
                <w:kern w:val="0"/>
                <w:sz w:val="20"/>
                <w:szCs w:val="20"/>
                <w:highlight w:val="none"/>
                <w14:textFill>
                  <w14:solidFill>
                    <w14:schemeClr w14:val="tx1"/>
                  </w14:solidFill>
                </w14:textFill>
              </w:rPr>
              <w:t>违规类型</w:t>
            </w:r>
          </w:p>
        </w:tc>
        <w:tc>
          <w:tcPr>
            <w:tcW w:w="4012" w:type="dxa"/>
            <w:shd w:val="clear" w:color="auto" w:fill="auto"/>
            <w:vAlign w:val="center"/>
          </w:tcPr>
          <w:p>
            <w:pPr>
              <w:widowControl/>
              <w:jc w:val="center"/>
              <w:rPr>
                <w:rFonts w:hint="eastAsia" w:ascii="宋体" w:hAnsi="宋体" w:eastAsia="宋体" w:cs="宋体"/>
                <w:b/>
                <w:bCs/>
                <w:color w:val="000000" w:themeColor="text1"/>
                <w:kern w:val="0"/>
                <w:sz w:val="20"/>
                <w:szCs w:val="20"/>
                <w:highlight w:val="none"/>
                <w14:textFill>
                  <w14:solidFill>
                    <w14:schemeClr w14:val="tx1"/>
                  </w14:solidFill>
                </w14:textFill>
              </w:rPr>
            </w:pPr>
            <w:r>
              <w:rPr>
                <w:rFonts w:hint="eastAsia" w:ascii="宋体" w:hAnsi="宋体" w:eastAsia="宋体" w:cs="宋体"/>
                <w:b/>
                <w:bCs/>
                <w:color w:val="000000" w:themeColor="text1"/>
                <w:kern w:val="0"/>
                <w:sz w:val="20"/>
                <w:szCs w:val="20"/>
                <w:highlight w:val="none"/>
                <w14:textFill>
                  <w14:solidFill>
                    <w14:schemeClr w14:val="tx1"/>
                  </w14:solidFill>
                </w14:textFill>
              </w:rPr>
              <w:t>处理标准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提供虚假材料（资质文件、业绩、财务状况、书面承诺等）进行供应商注册、资格审查或参与采购项目。</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未造成损失的，对供应商给予“禁用一年”或“禁用两年”处理；造成损失根据损失程度再增加对其处理。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为达到不正当目的相互恶意串通，包括与采购人，代理机构或供应商之间串通。</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根据影响程度，对供应商给予“禁用两年”或“长期禁用”处理；</w:t>
            </w:r>
          </w:p>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注册供应商发生围标串标给予“长期禁用”处理。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3</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向采购交易所涉及的相关方或能产生实际影响的相关方行贿。</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对供应商给予“禁用两年”或“长期禁用”处理，行贿判定的依据为公司内部执纪部门书面通知等。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4</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在采购结果公布之前，违法违规获得非公开评标信息，或采取不正当手段妨碍、排挤其他供应商投标或中标的，证据确凿。</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5</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softHyphen/>
            </w:r>
            <w:r>
              <w:rPr>
                <w:rFonts w:hint="eastAsia" w:ascii="宋体" w:hAnsi="宋体" w:eastAsia="宋体" w:cs="宋体"/>
                <w:color w:val="000000" w:themeColor="text1"/>
                <w:kern w:val="0"/>
                <w:sz w:val="20"/>
                <w:szCs w:val="20"/>
                <w:highlight w:val="none"/>
                <w14:textFill>
                  <w14:solidFill>
                    <w14:schemeClr w14:val="tx1"/>
                  </w14:solidFill>
                </w14:textFill>
              </w:rPr>
              <w:t>投标截止后撤销投标文件的，以及在中标公示或公告阶段，中标候选人放弃中标资格。</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根据影响程度，对供应商给予“禁用一年”或“禁用两年”处理。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6</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获取中标资格或成交资格拒绝签订合同。</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7</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不遵守招投标相关纪律或工作要求：如在开标、评标现场无理取闹，违反招投标程序,不遵守招投标秩序等情形。</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8</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无事实依据对采购过程、采购结果或供应商处理结果进行乱投诉、举报的缠诉、滥诉行为。</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情节较轻的，对供应商给予“警告”处理；恶意投诉、举报的，对供应商给予“禁用两年”处理；对伪造证据、捏造事实、诬陷招标方或供应商管理、供应商使用单位人员的，一经查证，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9</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擅自变更、不按照合同规定履行或者擅自终止合同。</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情节较轻的，对供应商给予“禁用两年”处理；情节严重的，对供应商给予“长期禁用”处理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10</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擅自降低标的功能标准或改变功能结构。供应商在提供工程、货物和服务时，擅自降低原来规定的功能标准，改变功能结构，使采购原有的功能要求得不到保证。</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及时整改且未造成影响的，对供应商可以不予处理；及时整改但造成一定影响的，对供应商给予“禁用一年”处理；及时整改但影响较重的，视情况对供应商给予“禁用两年”处理；拒不整改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11</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假冒其他厂家品牌，提供伪劣商品、以假乱真弄虚作假。</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视情形对供应商给予“禁用两年”或“长期禁用”处理。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12</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出现供给不足（即“短斤少两”行为）。</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及时整改未产生影响的可以不予处理；整改但产生影响的，对供应商或相关品类给予“禁用一年”处理；拒不更正的，对供应商给予“长期禁用”处理。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13</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提供虚假进度报告。</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未造成实质影响的给予供应商“禁用一年”处理；造成实质性影响的，对供应商给予“禁用两年”处理。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14</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违反规定将中标项目或合同转让、转包、分包。</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及时更正其违规行为的，视情形对供应商给予“警告至禁用一年”处理；拒绝更正其违规行为的，对供应商给予“长期禁用”处理。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1"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15</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未经同意拖延完工、交货日期，延缓执行合同的期限。</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未造成实质影响且愿意协商解决或承担赔偿责任的，对供应商给予“警告”处理；造成实质影响但愿意协商解决的，根据影响程度，对供应商或相关品类给予“禁用一年”或“禁用两年”处理；造成严重影响，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16</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拒绝中国海油管理部门的监督检查或不如实反映情况、提供材料。</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视情形对供应商给予“禁用一年”或“禁用两年”处理。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17</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参与或承揽中国海油业务时，在已知晓或应当知晓的情况下，仍代理被中国海油禁用其他供应商的产品、服务，或将已获取的合同对其分包。</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对该供应商给予“禁用一年”处理。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18</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拒绝履行售后服务义务并拒绝协商解决的情况，及其他因供应商的原因导致中国海油受损，并拒绝协商解决和赔偿责任的情况。</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19</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所提供的产品存在严重质量问题，影响安全生产或对工程建设造成实质性影响。</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根据专业机构调查结论，对供应商</w:t>
            </w:r>
            <w:r>
              <w:rPr>
                <w:rFonts w:hint="eastAsia" w:ascii="宋体" w:hAnsi="宋体" w:eastAsia="宋体" w:cs="宋体"/>
                <w:sz w:val="20"/>
                <w:szCs w:val="20"/>
                <w:highlight w:val="none"/>
              </w:rPr>
              <w:t>或相关品类</w:t>
            </w:r>
            <w:r>
              <w:rPr>
                <w:rFonts w:hint="eastAsia" w:ascii="宋体" w:hAnsi="宋体" w:eastAsia="宋体" w:cs="宋体"/>
                <w:color w:val="000000" w:themeColor="text1"/>
                <w:kern w:val="0"/>
                <w:sz w:val="20"/>
                <w:szCs w:val="20"/>
                <w:highlight w:val="none"/>
                <w14:textFill>
                  <w14:solidFill>
                    <w14:schemeClr w14:val="tx1"/>
                  </w14:solidFill>
                </w14:textFill>
              </w:rPr>
              <w:t>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20</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提供的产品/服务出现安全隐患，且拒绝整改或整改不及时、不到位。</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存在安全隐患且整改不到位的，给予供应商“禁用两年”处理；存在严重安全隐患且整改不到位的，对供应商给予“长期禁用”处理。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21</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未经许可，对外披露中国海油商业秘密信息。</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情节较轻的，供应商给予“禁用一年”处理；情节较重的，供应商给予“禁用两年”处理；情节严重的，对供应商给予“长期禁用”处理。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22</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由于供应商的原因，与中国海油及所属单位产生法律诉讼。</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23</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发生“一般A级”及以上安全事故且负主要责任的供应商。</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视情形对供应商给予“禁用一年”或“禁用两年”处理，情节严重的，给予“长期禁用”处理。“一般A级”以下级别根据情况或问题程度，约谈供应商，或“警告”处理。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24</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供应商在提报中国海油员工、员工亲属、离职退休的领导人员在本单位的任职和持股情况时，存在瞒报相关情况或发现利用职务之便谋取不正当利益的。</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存在瞒报相关情况的，对供应商给予“禁用一年”处理；发现利用中国海油人员的职务之便牟取不正当利益情形的，对供应商给予“长期禁用”处理。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25</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在承揽的中国海油业务中，存在拖欠农民工工资行为的。</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未造成不良影响并及时整改的，对供应商给予“警告”处理；整改不及时或影响较大的，对供应商给予“禁用一年”或“禁用两年”处理。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26</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对存在其他不当行为可能给中国海油带来风险。</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27</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其他违反国家法律法规及集团公司规章制度的行为，包括国家、审计、纪检监察、巡视等函件反映问题。</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由工程与物装部组织相关管理部门及所属单位，对供应商问题性质及业务实际情况判定，进行相应处理。</w:t>
            </w:r>
          </w:p>
        </w:tc>
      </w:tr>
    </w:tbl>
    <w:p>
      <w:pPr>
        <w:pStyle w:val="5"/>
        <w:ind w:left="0" w:leftChars="0" w:firstLine="0" w:firstLineChars="0"/>
        <w:rPr>
          <w:rFonts w:hint="eastAsia" w:ascii="宋体" w:hAnsi="宋体" w:cs="宋体"/>
          <w:sz w:val="20"/>
          <w:szCs w:val="20"/>
          <w:highlight w:val="none"/>
          <w:lang w:eastAsia="zh-CN"/>
        </w:rPr>
      </w:pPr>
    </w:p>
    <w:p>
      <w:pPr>
        <w:pStyle w:val="3"/>
        <w:ind w:firstLine="0" w:firstLineChars="0"/>
        <w:rPr>
          <w:rFonts w:hint="default" w:eastAsia="宋体"/>
          <w:highlight w:val="none"/>
          <w:lang w:val="en-US" w:eastAsia="zh-CN"/>
        </w:rPr>
      </w:pPr>
      <w:r>
        <w:rPr>
          <w:rFonts w:hint="eastAsia" w:eastAsia="宋体"/>
          <w:highlight w:val="none"/>
          <w:lang w:val="en-US" w:eastAsia="zh-CN"/>
        </w:rPr>
        <w:t>供应商处理结果以集团公司审批为准，本附件仅作为风险提示。</w:t>
      </w:r>
    </w:p>
    <w:p>
      <w:pPr>
        <w:rPr>
          <w:highlight w:val="none"/>
        </w:rPr>
      </w:pPr>
    </w:p>
    <w:p>
      <w:pPr>
        <w:pStyle w:val="3"/>
        <w:rPr>
          <w:highlight w:val="none"/>
        </w:rPr>
      </w:pPr>
    </w:p>
    <w:p>
      <w:pPr>
        <w:rPr>
          <w:highlight w:val="none"/>
        </w:rPr>
      </w:pPr>
    </w:p>
    <w:p>
      <w:pPr>
        <w:pStyle w:val="3"/>
        <w:rPr>
          <w:highlight w:val="none"/>
        </w:rPr>
      </w:pPr>
    </w:p>
    <w:p>
      <w:pPr>
        <w:rPr>
          <w:highlight w:val="none"/>
        </w:rPr>
      </w:pPr>
    </w:p>
    <w:p>
      <w:pPr>
        <w:pStyle w:val="3"/>
        <w:rPr>
          <w:highlight w:val="none"/>
        </w:rPr>
      </w:pPr>
    </w:p>
    <w:p>
      <w:pPr>
        <w:rPr>
          <w:highlight w:val="none"/>
        </w:rPr>
      </w:pPr>
    </w:p>
    <w:p>
      <w:pPr>
        <w:pStyle w:val="3"/>
        <w:rPr>
          <w:highlight w:val="none"/>
        </w:rPr>
      </w:pPr>
    </w:p>
    <w:p>
      <w:pPr>
        <w:rPr>
          <w:highlight w:val="none"/>
        </w:rPr>
      </w:pPr>
    </w:p>
    <w:p>
      <w:pPr>
        <w:pStyle w:val="3"/>
        <w:rPr>
          <w:highlight w:val="none"/>
        </w:rPr>
      </w:pPr>
    </w:p>
    <w:p>
      <w:pPr>
        <w:rPr>
          <w:highlight w:val="none"/>
        </w:rPr>
      </w:pPr>
    </w:p>
    <w:p>
      <w:pPr>
        <w:pStyle w:val="3"/>
        <w:rPr>
          <w:highlight w:val="none"/>
        </w:rPr>
      </w:pPr>
    </w:p>
    <w:p>
      <w:pPr>
        <w:rPr>
          <w:highlight w:val="none"/>
        </w:rPr>
      </w:pPr>
    </w:p>
    <w:p>
      <w:pPr>
        <w:pStyle w:val="3"/>
        <w:rPr>
          <w:highlight w:val="none"/>
        </w:rPr>
      </w:pPr>
    </w:p>
    <w:p>
      <w:pPr>
        <w:rPr>
          <w:highlight w:val="none"/>
        </w:rPr>
      </w:pPr>
    </w:p>
    <w:p>
      <w:pPr>
        <w:pStyle w:val="3"/>
        <w:rPr>
          <w:highlight w:val="none"/>
        </w:rPr>
      </w:pPr>
    </w:p>
    <w:p>
      <w:pPr>
        <w:rPr>
          <w:highlight w:val="none"/>
        </w:rPr>
      </w:pPr>
    </w:p>
    <w:p>
      <w:pPr>
        <w:pStyle w:val="3"/>
        <w:rPr>
          <w:highlight w:val="none"/>
        </w:rPr>
      </w:pPr>
    </w:p>
    <w:p>
      <w:pPr>
        <w:rPr>
          <w:highlight w:val="none"/>
        </w:rPr>
      </w:pPr>
    </w:p>
    <w:p>
      <w:pPr>
        <w:pStyle w:val="3"/>
        <w:rPr>
          <w:highlight w:val="none"/>
        </w:rPr>
      </w:pPr>
    </w:p>
    <w:p>
      <w:pPr>
        <w:rPr>
          <w:highlight w:val="none"/>
        </w:rPr>
      </w:pPr>
    </w:p>
    <w:p>
      <w:pPr>
        <w:pStyle w:val="3"/>
        <w:rPr>
          <w:highlight w:val="none"/>
        </w:rPr>
      </w:pPr>
    </w:p>
    <w:p>
      <w:pPr>
        <w:rPr>
          <w:highlight w:val="none"/>
        </w:rPr>
      </w:pPr>
    </w:p>
    <w:p>
      <w:pPr>
        <w:pStyle w:val="3"/>
        <w:rPr>
          <w:highlight w:val="none"/>
        </w:rPr>
      </w:pPr>
    </w:p>
    <w:p>
      <w:pPr>
        <w:rPr>
          <w:highlight w:val="none"/>
        </w:rPr>
      </w:pPr>
    </w:p>
    <w:p>
      <w:pPr>
        <w:pStyle w:val="3"/>
        <w:rPr>
          <w:highlight w:val="none"/>
        </w:rPr>
      </w:pPr>
    </w:p>
    <w:p>
      <w:pPr>
        <w:rPr>
          <w:highlight w:val="none"/>
        </w:rPr>
      </w:pPr>
    </w:p>
    <w:p>
      <w:pPr>
        <w:pStyle w:val="3"/>
        <w:rPr>
          <w:highlight w:val="none"/>
        </w:rPr>
      </w:pPr>
    </w:p>
    <w:p>
      <w:pPr>
        <w:rPr>
          <w:highlight w:val="none"/>
          <w:lang w:val="en-US" w:eastAsia="zh-CN"/>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sz w:val="24"/>
          <w:szCs w:val="24"/>
          <w:highlight w:val="none"/>
          <w:lang w:val="en-US" w:eastAsia="zh-CN"/>
        </w:rPr>
      </w:pPr>
      <w:r>
        <w:rPr>
          <w:rFonts w:hint="eastAsia" w:ascii="黑体" w:hAnsi="黑体" w:eastAsia="黑体"/>
          <w:b/>
          <w:bCs/>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sz w:val="24"/>
          <w:szCs w:val="24"/>
          <w:highlight w:val="none"/>
          <w:lang w:val="en-US" w:eastAsia="zh-CN"/>
        </w:rPr>
      </w:pPr>
      <w:r>
        <w:rPr>
          <w:rFonts w:hint="eastAsia" w:ascii="黑体" w:hAnsi="黑体" w:eastAsia="黑体"/>
          <w:b/>
          <w:bCs/>
          <w:sz w:val="24"/>
          <w:szCs w:val="24"/>
          <w:highlight w:val="none"/>
          <w:lang w:val="en-US" w:eastAsia="zh-CN"/>
        </w:rPr>
        <w:t>附件5：商务文件</w:t>
      </w:r>
    </w:p>
    <w:p>
      <w:pPr>
        <w:pStyle w:val="20"/>
        <w:rPr>
          <w:rFonts w:hint="eastAsia"/>
          <w:highlight w:val="none"/>
          <w:lang w:val="en-US" w:eastAsia="zh-CN"/>
        </w:rPr>
      </w:pPr>
    </w:p>
    <w:p>
      <w:pPr>
        <w:autoSpaceDE/>
        <w:autoSpaceDN/>
        <w:adjustRightInd/>
        <w:jc w:val="both"/>
        <w:outlineLvl w:val="0"/>
        <w:rPr>
          <w:rFonts w:hint="eastAsia" w:ascii="宋体" w:hAnsi="宋体" w:eastAsiaTheme="minorEastAsia" w:cstheme="minorBidi"/>
          <w:b w:val="0"/>
          <w:bCs w:val="0"/>
          <w:color w:val="000000"/>
          <w:sz w:val="21"/>
          <w:szCs w:val="22"/>
          <w:highlight w:val="none"/>
          <w:lang w:eastAsia="zh-CN"/>
        </w:rPr>
      </w:pPr>
      <w:r>
        <w:rPr>
          <w:rFonts w:hint="eastAsia" w:ascii="宋体" w:hAnsi="宋体" w:eastAsiaTheme="minorEastAsia" w:cstheme="minorBidi"/>
          <w:b w:val="0"/>
          <w:bCs w:val="0"/>
          <w:color w:val="000000"/>
          <w:kern w:val="2"/>
          <w:sz w:val="21"/>
          <w:szCs w:val="22"/>
          <w:highlight w:val="none"/>
          <w:lang w:val="en-US" w:eastAsia="zh-CN"/>
        </w:rPr>
        <w:t>5.1：</w:t>
      </w:r>
      <w:r>
        <w:rPr>
          <w:rFonts w:hint="eastAsia" w:ascii="宋体" w:hAnsi="宋体" w:eastAsiaTheme="minorEastAsia" w:cstheme="minorBidi"/>
          <w:bCs w:val="0"/>
          <w:color w:val="000000"/>
          <w:sz w:val="21"/>
          <w:szCs w:val="22"/>
          <w:highlight w:val="none"/>
          <w:lang w:eastAsia="zh-CN"/>
        </w:rPr>
        <w:t>营业执照</w:t>
      </w:r>
    </w:p>
    <w:p>
      <w:pPr>
        <w:adjustRightInd/>
        <w:jc w:val="both"/>
        <w:outlineLvl w:val="0"/>
        <w:rPr>
          <w:rFonts w:hint="default"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b w:val="0"/>
          <w:bCs w:val="0"/>
          <w:color w:val="000000"/>
          <w:kern w:val="2"/>
          <w:sz w:val="21"/>
          <w:szCs w:val="22"/>
          <w:highlight w:val="none"/>
          <w:lang w:val="en-US" w:eastAsia="zh-CN"/>
        </w:rPr>
        <w:t>5.2：</w:t>
      </w:r>
      <w:r>
        <w:rPr>
          <w:rFonts w:hint="eastAsia" w:ascii="宋体" w:hAnsi="宋体" w:eastAsiaTheme="minorEastAsia" w:cstheme="minorBidi"/>
          <w:color w:val="000000"/>
          <w:kern w:val="2"/>
          <w:sz w:val="21"/>
          <w:szCs w:val="22"/>
          <w:highlight w:val="none"/>
          <w:lang w:val="en-US" w:eastAsia="zh-CN" w:bidi="ar-SA"/>
        </w:rPr>
        <w:t>法定代表人（单位负责人）身份证明</w:t>
      </w:r>
      <w:r>
        <w:rPr>
          <w:rFonts w:hint="eastAsia" w:ascii="宋体" w:hAnsi="宋体" w:cstheme="minorBidi"/>
          <w:color w:val="000000"/>
          <w:kern w:val="2"/>
          <w:sz w:val="21"/>
          <w:szCs w:val="22"/>
          <w:highlight w:val="none"/>
          <w:lang w:val="en-US" w:eastAsia="zh-CN" w:bidi="ar-SA"/>
        </w:rPr>
        <w:t>——详见附件</w:t>
      </w:r>
    </w:p>
    <w:p>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5.3：法定代表人授权委托书（如涉及）</w:t>
      </w:r>
      <w:r>
        <w:rPr>
          <w:rFonts w:hint="eastAsia" w:ascii="宋体" w:hAnsi="宋体" w:cstheme="minorBidi"/>
          <w:color w:val="000000"/>
          <w:kern w:val="2"/>
          <w:sz w:val="21"/>
          <w:szCs w:val="22"/>
          <w:highlight w:val="none"/>
          <w:lang w:val="en-US" w:eastAsia="zh-CN" w:bidi="ar-SA"/>
        </w:rPr>
        <w:t>——详见附件</w:t>
      </w:r>
    </w:p>
    <w:p>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5.4：专业资质（如涉及）</w:t>
      </w:r>
    </w:p>
    <w:p>
      <w:pPr>
        <w:adjustRightInd/>
        <w:jc w:val="both"/>
        <w:outlineLvl w:val="0"/>
        <w:rPr>
          <w:rFonts w:hint="eastAsia" w:ascii="宋体" w:hAnsi="宋体" w:eastAsiaTheme="minorEastAsia" w:cstheme="minorBidi"/>
          <w:color w:val="000000"/>
          <w:sz w:val="21"/>
          <w:szCs w:val="22"/>
          <w:highlight w:val="none"/>
          <w:lang w:eastAsia="zh-CN"/>
        </w:rPr>
      </w:pPr>
      <w:r>
        <w:rPr>
          <w:rFonts w:hint="eastAsia" w:ascii="宋体" w:hAnsi="宋体" w:eastAsiaTheme="minorEastAsia" w:cstheme="minorBidi"/>
          <w:color w:val="000000"/>
          <w:kern w:val="2"/>
          <w:sz w:val="21"/>
          <w:szCs w:val="22"/>
          <w:highlight w:val="none"/>
          <w:lang w:val="en-US" w:eastAsia="zh-CN" w:bidi="ar-SA"/>
        </w:rPr>
        <w:t>5.</w:t>
      </w:r>
      <w:r>
        <w:rPr>
          <w:rFonts w:hint="eastAsia" w:ascii="宋体" w:hAnsi="宋体" w:cstheme="minorBidi"/>
          <w:color w:val="000000"/>
          <w:kern w:val="2"/>
          <w:sz w:val="21"/>
          <w:szCs w:val="22"/>
          <w:highlight w:val="none"/>
          <w:lang w:val="en-US" w:eastAsia="zh-CN" w:bidi="ar-SA"/>
        </w:rPr>
        <w:t>5</w:t>
      </w:r>
      <w:r>
        <w:rPr>
          <w:rFonts w:hint="eastAsia" w:ascii="宋体" w:hAnsi="宋体" w:eastAsiaTheme="minorEastAsia" w:cstheme="minorBidi"/>
          <w:color w:val="000000"/>
          <w:kern w:val="2"/>
          <w:sz w:val="21"/>
          <w:szCs w:val="22"/>
          <w:highlight w:val="none"/>
          <w:lang w:val="en-US" w:eastAsia="zh-CN" w:bidi="ar-SA"/>
        </w:rPr>
        <w:t>：</w:t>
      </w:r>
      <w:r>
        <w:rPr>
          <w:rFonts w:hint="eastAsia" w:ascii="宋体" w:hAnsi="宋体" w:eastAsiaTheme="minorEastAsia" w:cstheme="minorBidi"/>
          <w:color w:val="000000"/>
          <w:sz w:val="21"/>
          <w:szCs w:val="22"/>
          <w:highlight w:val="none"/>
          <w:lang w:eastAsia="zh-CN"/>
        </w:rPr>
        <w:t>环境管理体系认证、质量管理体系认证、健康安全管理体系认证和国家强制产品认证等相关否决事项，</w:t>
      </w:r>
      <w:r>
        <w:rPr>
          <w:rFonts w:hint="eastAsia" w:ascii="宋体" w:hAnsi="宋体" w:cstheme="minorBidi"/>
          <w:color w:val="000000"/>
          <w:sz w:val="21"/>
          <w:szCs w:val="22"/>
          <w:highlight w:val="none"/>
          <w:lang w:val="en-US" w:eastAsia="zh-CN"/>
        </w:rPr>
        <w:t>并可</w:t>
      </w:r>
      <w:r>
        <w:rPr>
          <w:rFonts w:hint="eastAsia" w:ascii="宋体" w:hAnsi="宋体" w:eastAsiaTheme="minorEastAsia" w:cstheme="minorBidi"/>
          <w:color w:val="000000"/>
          <w:sz w:val="21"/>
          <w:szCs w:val="22"/>
          <w:highlight w:val="none"/>
          <w:lang w:eastAsia="zh-CN"/>
        </w:rPr>
        <w:t>在中国国家认证认可监督管理委员会网站（</w:t>
      </w:r>
      <w:r>
        <w:rPr>
          <w:rFonts w:hint="eastAsia" w:ascii="宋体" w:hAnsi="宋体" w:eastAsiaTheme="minorEastAsia" w:cstheme="minorBidi"/>
          <w:color w:val="000000"/>
          <w:sz w:val="21"/>
          <w:szCs w:val="22"/>
          <w:highlight w:val="none"/>
          <w:lang w:eastAsia="zh-CN"/>
        </w:rPr>
        <w:fldChar w:fldCharType="begin"/>
      </w:r>
      <w:r>
        <w:rPr>
          <w:rFonts w:hint="eastAsia" w:ascii="宋体" w:hAnsi="宋体" w:eastAsiaTheme="minorEastAsia" w:cstheme="minorBidi"/>
          <w:color w:val="000000"/>
          <w:sz w:val="21"/>
          <w:szCs w:val="22"/>
          <w:highlight w:val="none"/>
          <w:lang w:eastAsia="zh-CN"/>
        </w:rPr>
        <w:instrText xml:space="preserve"> HYPERLINK "http://www.cnca.gov.cn）核实" </w:instrText>
      </w:r>
      <w:r>
        <w:rPr>
          <w:rFonts w:hint="eastAsia" w:ascii="宋体" w:hAnsi="宋体" w:eastAsiaTheme="minorEastAsia" w:cstheme="minorBidi"/>
          <w:color w:val="000000"/>
          <w:sz w:val="21"/>
          <w:szCs w:val="22"/>
          <w:highlight w:val="none"/>
          <w:lang w:eastAsia="zh-CN"/>
        </w:rPr>
        <w:fldChar w:fldCharType="separate"/>
      </w:r>
      <w:r>
        <w:rPr>
          <w:rFonts w:hint="eastAsia" w:ascii="宋体" w:hAnsi="宋体" w:eastAsiaTheme="minorEastAsia" w:cstheme="minorBidi"/>
          <w:color w:val="000000"/>
          <w:sz w:val="21"/>
          <w:szCs w:val="22"/>
          <w:highlight w:val="none"/>
          <w:lang w:eastAsia="zh-CN"/>
        </w:rPr>
        <w:t>http://www.cnca.gov.cn）核实</w:t>
      </w:r>
      <w:r>
        <w:rPr>
          <w:rFonts w:hint="eastAsia" w:ascii="宋体" w:hAnsi="宋体" w:eastAsiaTheme="minorEastAsia" w:cstheme="minorBidi"/>
          <w:color w:val="000000"/>
          <w:sz w:val="21"/>
          <w:szCs w:val="22"/>
          <w:highlight w:val="none"/>
          <w:lang w:eastAsia="zh-CN"/>
        </w:rPr>
        <w:fldChar w:fldCharType="end"/>
      </w:r>
    </w:p>
    <w:p>
      <w:pPr>
        <w:adjustRightInd/>
        <w:jc w:val="both"/>
        <w:outlineLvl w:val="0"/>
        <w:rPr>
          <w:rFonts w:hint="eastAsia" w:ascii="宋体" w:hAnsi="宋体" w:eastAsiaTheme="minorEastAsia" w:cstheme="minorBidi"/>
          <w:strike w:val="0"/>
          <w:dstrike w:val="0"/>
          <w:color w:val="000000"/>
          <w:sz w:val="21"/>
          <w:szCs w:val="22"/>
          <w:highlight w:val="none"/>
          <w:lang w:val="en-US" w:eastAsia="zh-CN"/>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6</w:t>
      </w:r>
      <w:r>
        <w:rPr>
          <w:rFonts w:hint="eastAsia" w:ascii="宋体" w:hAnsi="宋体" w:eastAsiaTheme="minorEastAsia" w:cstheme="minorBidi"/>
          <w:color w:val="000000"/>
          <w:sz w:val="21"/>
          <w:szCs w:val="22"/>
          <w:highlight w:val="none"/>
          <w:lang w:val="en-US" w:eastAsia="zh-CN"/>
        </w:rPr>
        <w:t>：</w:t>
      </w:r>
      <w:r>
        <w:rPr>
          <w:rFonts w:hint="eastAsia" w:ascii="宋体" w:hAnsi="宋体" w:eastAsiaTheme="minorEastAsia" w:cstheme="minorBidi"/>
          <w:strike w:val="0"/>
          <w:dstrike w:val="0"/>
          <w:color w:val="000000"/>
          <w:sz w:val="21"/>
          <w:szCs w:val="22"/>
          <w:highlight w:val="none"/>
          <w:lang w:val="en-US" w:eastAsia="zh-CN"/>
        </w:rPr>
        <w:t>股权证明文件</w:t>
      </w:r>
      <w:r>
        <w:rPr>
          <w:rFonts w:hint="eastAsia" w:ascii="宋体" w:hAnsi="宋体" w:cstheme="minorBidi"/>
          <w:color w:val="000000"/>
          <w:kern w:val="2"/>
          <w:sz w:val="21"/>
          <w:szCs w:val="22"/>
          <w:highlight w:val="none"/>
          <w:lang w:val="en-US" w:eastAsia="zh-CN" w:bidi="ar-SA"/>
        </w:rPr>
        <w:t>——详见附件</w:t>
      </w:r>
    </w:p>
    <w:p>
      <w:pPr>
        <w:adjustRightInd/>
        <w:jc w:val="both"/>
        <w:outlineLvl w:val="0"/>
        <w:rPr>
          <w:rFonts w:hint="eastAsia" w:ascii="宋体" w:hAnsi="宋体" w:eastAsiaTheme="minorEastAsia" w:cstheme="minorBidi"/>
          <w:b w:val="0"/>
          <w:bCs w:val="0"/>
          <w:color w:val="000000"/>
          <w:sz w:val="21"/>
          <w:szCs w:val="22"/>
          <w:highlight w:val="none"/>
          <w:lang w:val="en-US" w:eastAsia="zh-CN"/>
        </w:rPr>
      </w:pPr>
      <w:r>
        <w:rPr>
          <w:rFonts w:hint="eastAsia" w:ascii="宋体" w:hAnsi="宋体" w:eastAsiaTheme="minorEastAsia" w:cstheme="minorBidi"/>
          <w:strike w:val="0"/>
          <w:dstrike w:val="0"/>
          <w:color w:val="000000"/>
          <w:sz w:val="21"/>
          <w:szCs w:val="22"/>
          <w:highlight w:val="none"/>
          <w:lang w:val="en-US" w:eastAsia="zh-CN"/>
        </w:rPr>
        <w:t>5.</w:t>
      </w:r>
      <w:r>
        <w:rPr>
          <w:rFonts w:hint="eastAsia" w:ascii="宋体" w:hAnsi="宋体" w:cstheme="minorBidi"/>
          <w:strike w:val="0"/>
          <w:dstrike w:val="0"/>
          <w:color w:val="000000"/>
          <w:sz w:val="21"/>
          <w:szCs w:val="22"/>
          <w:highlight w:val="none"/>
          <w:lang w:val="en-US" w:eastAsia="zh-CN"/>
        </w:rPr>
        <w:t>7</w:t>
      </w:r>
      <w:r>
        <w:rPr>
          <w:rFonts w:hint="eastAsia" w:ascii="宋体" w:hAnsi="宋体" w:eastAsiaTheme="minorEastAsia" w:cstheme="minorBidi"/>
          <w:strike w:val="0"/>
          <w:dstrike w:val="0"/>
          <w:color w:val="000000"/>
          <w:sz w:val="21"/>
          <w:szCs w:val="22"/>
          <w:highlight w:val="none"/>
          <w:lang w:val="en-US" w:eastAsia="zh-CN"/>
        </w:rPr>
        <w:t>：</w:t>
      </w:r>
      <w:r>
        <w:rPr>
          <w:rFonts w:hint="eastAsia" w:ascii="宋体" w:hAnsi="宋体" w:eastAsiaTheme="minorEastAsia" w:cstheme="minorBidi"/>
          <w:b w:val="0"/>
          <w:bCs w:val="0"/>
          <w:color w:val="000000"/>
          <w:sz w:val="21"/>
          <w:szCs w:val="22"/>
          <w:highlight w:val="none"/>
          <w:lang w:val="en-US" w:eastAsia="zh-CN"/>
        </w:rPr>
        <w:t>供应商承诺书</w:t>
      </w:r>
      <w:r>
        <w:rPr>
          <w:rFonts w:hint="eastAsia" w:ascii="宋体" w:hAnsi="宋体" w:cstheme="minorBidi"/>
          <w:color w:val="000000"/>
          <w:kern w:val="2"/>
          <w:sz w:val="21"/>
          <w:szCs w:val="22"/>
          <w:highlight w:val="none"/>
          <w:lang w:val="en-US" w:eastAsia="zh-CN" w:bidi="ar-SA"/>
        </w:rPr>
        <w:t>——详见附件</w:t>
      </w:r>
    </w:p>
    <w:p>
      <w:pPr>
        <w:adjustRightInd/>
        <w:jc w:val="both"/>
        <w:outlineLvl w:val="0"/>
        <w:rPr>
          <w:rFonts w:hint="eastAsia" w:ascii="宋体" w:hAnsi="宋体" w:eastAsiaTheme="minorEastAsia" w:cstheme="minorBidi"/>
          <w:color w:val="000000"/>
          <w:sz w:val="21"/>
          <w:szCs w:val="22"/>
          <w:highlight w:val="none"/>
          <w:lang w:val="en-US" w:eastAsia="zh-CN"/>
        </w:rPr>
      </w:pPr>
      <w:r>
        <w:rPr>
          <w:rFonts w:hint="eastAsia" w:ascii="宋体" w:hAnsi="宋体" w:eastAsiaTheme="minorEastAsia" w:cstheme="minorBidi"/>
          <w:b w:val="0"/>
          <w:bCs w:val="0"/>
          <w:color w:val="000000"/>
          <w:sz w:val="21"/>
          <w:szCs w:val="22"/>
          <w:highlight w:val="none"/>
          <w:lang w:val="en-US" w:eastAsia="zh-CN"/>
        </w:rPr>
        <w:t>5.</w:t>
      </w:r>
      <w:r>
        <w:rPr>
          <w:rFonts w:hint="eastAsia" w:ascii="宋体" w:hAnsi="宋体" w:cstheme="minorBidi"/>
          <w:b w:val="0"/>
          <w:bCs w:val="0"/>
          <w:color w:val="000000"/>
          <w:sz w:val="21"/>
          <w:szCs w:val="22"/>
          <w:highlight w:val="none"/>
          <w:lang w:val="en-US" w:eastAsia="zh-CN"/>
        </w:rPr>
        <w:t>8</w:t>
      </w:r>
      <w:r>
        <w:rPr>
          <w:rFonts w:hint="eastAsia" w:ascii="宋体" w:hAnsi="宋体" w:eastAsiaTheme="minorEastAsia" w:cstheme="minorBidi"/>
          <w:b w:val="0"/>
          <w:bCs w:val="0"/>
          <w:color w:val="000000"/>
          <w:sz w:val="21"/>
          <w:szCs w:val="22"/>
          <w:highlight w:val="none"/>
          <w:lang w:val="en-US" w:eastAsia="zh-CN"/>
        </w:rPr>
        <w:t>：</w:t>
      </w:r>
      <w:r>
        <w:rPr>
          <w:rFonts w:hint="eastAsia" w:ascii="宋体" w:hAnsi="宋体" w:eastAsiaTheme="minorEastAsia" w:cstheme="minorBidi"/>
          <w:color w:val="000000"/>
          <w:sz w:val="21"/>
          <w:szCs w:val="22"/>
          <w:highlight w:val="none"/>
          <w:lang w:val="en-US" w:eastAsia="zh-CN"/>
        </w:rPr>
        <w:t>代理商、贸易商、服务商要求（详见评议内容：</w:t>
      </w:r>
      <w:r>
        <w:rPr>
          <w:rFonts w:hint="eastAsia" w:ascii="宋体" w:hAnsi="宋体" w:eastAsiaTheme="minorEastAsia" w:cstheme="minorBidi"/>
          <w:b w:val="0"/>
          <w:bCs w:val="0"/>
          <w:color w:val="000000"/>
          <w:kern w:val="2"/>
          <w:sz w:val="21"/>
          <w:szCs w:val="22"/>
          <w:highlight w:val="none"/>
          <w:lang w:val="en-US" w:eastAsia="zh-CN" w:bidi="ar-SA"/>
        </w:rPr>
        <w:t>对不满足要求的或未能提供相应证明材料的</w:t>
      </w:r>
      <w:r>
        <w:rPr>
          <w:rFonts w:hint="eastAsia" w:ascii="宋体" w:hAnsi="宋体" w:eastAsiaTheme="minorEastAsia" w:cstheme="minorBidi"/>
          <w:color w:val="000000"/>
          <w:sz w:val="21"/>
          <w:szCs w:val="22"/>
          <w:highlight w:val="none"/>
          <w:lang w:val="en-US" w:eastAsia="zh-CN"/>
        </w:rPr>
        <w:t>代理商、贸易商、服务商</w:t>
      </w:r>
      <w:r>
        <w:rPr>
          <w:rFonts w:hint="eastAsia" w:ascii="宋体" w:hAnsi="宋体" w:eastAsiaTheme="minorEastAsia" w:cstheme="minorBidi"/>
          <w:b w:val="0"/>
          <w:bCs w:val="0"/>
          <w:color w:val="000000"/>
          <w:kern w:val="2"/>
          <w:sz w:val="21"/>
          <w:szCs w:val="22"/>
          <w:highlight w:val="none"/>
          <w:lang w:val="en-US" w:eastAsia="zh-CN" w:bidi="ar-SA"/>
        </w:rPr>
        <w:t>，将影响评审结果。</w:t>
      </w:r>
      <w:r>
        <w:rPr>
          <w:rFonts w:hint="eastAsia" w:ascii="宋体" w:hAnsi="宋体" w:eastAsiaTheme="minorEastAsia" w:cstheme="minorBidi"/>
          <w:color w:val="000000"/>
          <w:sz w:val="21"/>
          <w:szCs w:val="22"/>
          <w:highlight w:val="none"/>
          <w:lang w:val="en-US" w:eastAsia="zh-CN"/>
        </w:rPr>
        <w:t>）</w:t>
      </w:r>
    </w:p>
    <w:p>
      <w:pPr>
        <w:adjustRightInd/>
        <w:jc w:val="both"/>
        <w:outlineLvl w:val="0"/>
        <w:rPr>
          <w:rFonts w:hint="eastAsia" w:ascii="宋体" w:hAnsi="宋体" w:eastAsiaTheme="minorEastAsia" w:cstheme="minorBidi"/>
          <w:color w:val="000000"/>
          <w:sz w:val="21"/>
          <w:szCs w:val="22"/>
          <w:highlight w:val="none"/>
          <w:lang w:val="en-US" w:eastAsia="zh-CN"/>
        </w:rPr>
      </w:pPr>
      <w:r>
        <w:rPr>
          <w:rFonts w:hint="eastAsia" w:ascii="宋体" w:hAnsi="宋体" w:cstheme="minorBidi"/>
          <w:color w:val="000000"/>
          <w:sz w:val="21"/>
          <w:szCs w:val="22"/>
          <w:highlight w:val="none"/>
          <w:lang w:val="en-US" w:eastAsia="zh-CN"/>
        </w:rPr>
        <w:t>5.9： 制造商承诺书及相关支持文件</w:t>
      </w:r>
      <w:r>
        <w:rPr>
          <w:rFonts w:hint="eastAsia" w:ascii="宋体" w:hAnsi="宋体" w:cstheme="minorBidi"/>
          <w:color w:val="000000"/>
          <w:kern w:val="2"/>
          <w:sz w:val="21"/>
          <w:szCs w:val="22"/>
          <w:highlight w:val="none"/>
          <w:lang w:val="en-US" w:eastAsia="zh-CN" w:bidi="ar-SA"/>
        </w:rPr>
        <w:t>——详见附件</w:t>
      </w:r>
    </w:p>
    <w:p>
      <w:pPr>
        <w:adjustRightInd/>
        <w:jc w:val="both"/>
        <w:outlineLvl w:val="0"/>
        <w:rPr>
          <w:rFonts w:hint="eastAsia" w:ascii="宋体" w:hAnsi="宋体" w:eastAsiaTheme="minorEastAsia"/>
          <w:color w:val="000000"/>
          <w:sz w:val="21"/>
          <w:szCs w:val="22"/>
          <w:highlight w:val="none"/>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10</w:t>
      </w:r>
      <w:r>
        <w:rPr>
          <w:rFonts w:hint="eastAsia" w:ascii="宋体" w:hAnsi="宋体" w:eastAsiaTheme="minorEastAsia" w:cstheme="minorBidi"/>
          <w:b w:val="0"/>
          <w:bCs w:val="0"/>
          <w:color w:val="000000"/>
          <w:sz w:val="21"/>
          <w:szCs w:val="22"/>
          <w:highlight w:val="none"/>
          <w:lang w:eastAsia="zh-CN"/>
        </w:rPr>
        <w:t>业绩要求</w:t>
      </w:r>
      <w:r>
        <w:rPr>
          <w:rFonts w:hint="eastAsia" w:ascii="宋体" w:hAnsi="宋体" w:eastAsiaTheme="minorEastAsia" w:cstheme="minorBidi"/>
          <w:b w:val="0"/>
          <w:bCs w:val="0"/>
          <w:color w:val="000000"/>
          <w:sz w:val="21"/>
          <w:szCs w:val="22"/>
          <w:highlight w:val="none"/>
        </w:rPr>
        <w:t>（</w:t>
      </w:r>
      <w:r>
        <w:rPr>
          <w:rFonts w:hint="eastAsia" w:ascii="宋体" w:hAnsi="宋体" w:eastAsiaTheme="minorEastAsia" w:cstheme="minorBidi"/>
          <w:color w:val="000000"/>
          <w:sz w:val="21"/>
          <w:szCs w:val="22"/>
          <w:highlight w:val="none"/>
          <w:lang w:val="en-US" w:eastAsia="zh-CN"/>
        </w:rPr>
        <w:t>详见评议内容</w:t>
      </w:r>
      <w:r>
        <w:rPr>
          <w:rFonts w:hint="eastAsia" w:ascii="宋体" w:hAnsi="宋体" w:eastAsiaTheme="minorEastAsia" w:cstheme="minorBidi"/>
          <w:b w:val="0"/>
          <w:bCs w:val="0"/>
          <w:color w:val="000000"/>
          <w:sz w:val="21"/>
          <w:szCs w:val="22"/>
          <w:highlight w:val="none"/>
        </w:rPr>
        <w:t>：提供的证明材料必须完全涵盖</w:t>
      </w:r>
      <w:r>
        <w:rPr>
          <w:rFonts w:hint="eastAsia" w:ascii="宋体" w:hAnsi="宋体" w:eastAsiaTheme="minorEastAsia" w:cstheme="minorBidi"/>
          <w:b w:val="0"/>
          <w:bCs w:val="0"/>
          <w:color w:val="000000"/>
          <w:sz w:val="21"/>
          <w:szCs w:val="22"/>
          <w:highlight w:val="none"/>
          <w:lang w:val="en-US" w:eastAsia="zh-CN"/>
        </w:rPr>
        <w:t>要求的</w:t>
      </w:r>
      <w:r>
        <w:rPr>
          <w:rFonts w:hint="eastAsia" w:ascii="宋体" w:hAnsi="宋体" w:eastAsiaTheme="minorEastAsia" w:cstheme="minorBidi"/>
          <w:b w:val="0"/>
          <w:bCs w:val="0"/>
          <w:color w:val="000000"/>
          <w:sz w:val="21"/>
          <w:szCs w:val="22"/>
          <w:highlight w:val="none"/>
        </w:rPr>
        <w:t>内容，否则视为无效业绩，缺少任何1项都将影响评审结果）</w:t>
      </w:r>
    </w:p>
    <w:p>
      <w:pPr>
        <w:adjustRightInd/>
        <w:jc w:val="both"/>
        <w:outlineLvl w:val="0"/>
        <w:rPr>
          <w:rFonts w:hint="eastAsia" w:ascii="宋体" w:hAnsi="宋体" w:cstheme="minorBidi"/>
          <w:color w:val="000000"/>
          <w:kern w:val="2"/>
          <w:sz w:val="21"/>
          <w:szCs w:val="22"/>
          <w:highlight w:val="none"/>
          <w:lang w:val="en-US" w:eastAsia="zh-CN" w:bidi="ar-SA"/>
        </w:rPr>
      </w:pPr>
      <w:r>
        <w:rPr>
          <w:rFonts w:hint="eastAsia" w:ascii="宋体" w:hAnsi="宋体" w:eastAsiaTheme="minorEastAsia"/>
          <w:color w:val="000000"/>
          <w:sz w:val="21"/>
          <w:szCs w:val="22"/>
          <w:highlight w:val="none"/>
          <w:lang w:val="en-US" w:eastAsia="zh-CN"/>
        </w:rPr>
        <w:t>5.</w:t>
      </w:r>
      <w:r>
        <w:rPr>
          <w:rFonts w:hint="eastAsia" w:ascii="宋体" w:hAnsi="宋体"/>
          <w:color w:val="000000"/>
          <w:sz w:val="21"/>
          <w:szCs w:val="22"/>
          <w:highlight w:val="none"/>
          <w:lang w:val="en-US" w:eastAsia="zh-CN"/>
        </w:rPr>
        <w:t>11</w:t>
      </w:r>
      <w:r>
        <w:rPr>
          <w:rFonts w:hint="eastAsia" w:ascii="宋体" w:hAnsi="宋体" w:eastAsiaTheme="minorEastAsia"/>
          <w:color w:val="000000"/>
          <w:sz w:val="21"/>
          <w:szCs w:val="22"/>
          <w:highlight w:val="none"/>
          <w:lang w:val="en-US" w:eastAsia="zh-CN"/>
        </w:rPr>
        <w:t>：</w:t>
      </w:r>
      <w:r>
        <w:rPr>
          <w:rFonts w:hint="eastAsia" w:ascii="宋体" w:hAnsi="宋体" w:eastAsiaTheme="minorEastAsia" w:cstheme="minorBidi"/>
          <w:color w:val="000000"/>
          <w:sz w:val="21"/>
          <w:szCs w:val="22"/>
          <w:highlight w:val="none"/>
          <w:lang w:val="en-US" w:eastAsia="zh-CN"/>
        </w:rPr>
        <w:t>商务偏离表</w:t>
      </w:r>
      <w:r>
        <w:rPr>
          <w:rFonts w:hint="eastAsia" w:ascii="宋体" w:hAnsi="宋体" w:cstheme="minorBidi"/>
          <w:color w:val="000000"/>
          <w:kern w:val="2"/>
          <w:sz w:val="21"/>
          <w:szCs w:val="22"/>
          <w:highlight w:val="none"/>
          <w:lang w:val="en-US" w:eastAsia="zh-CN" w:bidi="ar-SA"/>
        </w:rPr>
        <w:t>——详见附件</w:t>
      </w:r>
    </w:p>
    <w:p>
      <w:pPr>
        <w:pStyle w:val="20"/>
        <w:adjustRightInd/>
        <w:jc w:val="both"/>
        <w:outlineLvl w:val="1"/>
        <w:rPr>
          <w:rFonts w:hint="default" w:asciiTheme="minorHAnsi" w:hAnsiTheme="minorHAnsi" w:eastAsiaTheme="minorEastAsia" w:cstheme="minorBidi"/>
          <w:b w:val="0"/>
          <w:bCs w:val="0"/>
          <w:color w:val="000000" w:themeColor="text1"/>
          <w:kern w:val="2"/>
          <w:sz w:val="21"/>
          <w:szCs w:val="22"/>
          <w:highlight w:val="none"/>
          <w:lang w:val="en-US" w:eastAsia="zh-CN"/>
          <w14:textFill>
            <w14:solidFill>
              <w14:schemeClr w14:val="tx1"/>
            </w14:solidFill>
          </w14:textFill>
        </w:rPr>
      </w:pPr>
      <w:r>
        <w:rPr>
          <w:rFonts w:hint="eastAsia" w:ascii="宋体" w:hAnsi="宋体" w:cstheme="minorBidi"/>
          <w:color w:val="000000"/>
          <w:kern w:val="2"/>
          <w:sz w:val="21"/>
          <w:szCs w:val="22"/>
          <w:highlight w:val="none"/>
          <w:lang w:val="en-US" w:eastAsia="zh-CN" w:bidi="ar-SA"/>
        </w:rPr>
        <w:t>5.12：其他补充</w:t>
      </w:r>
    </w:p>
    <w:p>
      <w:pPr>
        <w:rPr>
          <w:rFonts w:hint="eastAsia"/>
          <w:highlight w:val="none"/>
          <w:lang w:val="en-US" w:eastAsia="zh-CN"/>
        </w:rPr>
      </w:pPr>
    </w:p>
    <w:p>
      <w:pPr>
        <w:pStyle w:val="20"/>
        <w:rPr>
          <w:rFonts w:hint="eastAsia"/>
          <w:highlight w:val="none"/>
          <w:lang w:val="en-US" w:eastAsia="zh-CN"/>
        </w:rPr>
      </w:pPr>
    </w:p>
    <w:p>
      <w:pPr>
        <w:rPr>
          <w:rFonts w:hint="eastAsia"/>
          <w:highlight w:val="none"/>
          <w:lang w:val="en-US" w:eastAsia="zh-CN"/>
        </w:rPr>
      </w:pPr>
    </w:p>
    <w:p>
      <w:pPr>
        <w:pStyle w:val="20"/>
        <w:rPr>
          <w:rFonts w:hint="eastAsia"/>
          <w:highlight w:val="none"/>
          <w:lang w:val="en-US" w:eastAsia="zh-CN"/>
        </w:rPr>
      </w:pPr>
    </w:p>
    <w:p>
      <w:pPr>
        <w:rPr>
          <w:rFonts w:hint="eastAsia"/>
          <w:highlight w:val="none"/>
          <w:lang w:val="en-US" w:eastAsia="zh-CN"/>
        </w:rPr>
      </w:pPr>
    </w:p>
    <w:p>
      <w:pPr>
        <w:pStyle w:val="20"/>
        <w:rPr>
          <w:rFonts w:hint="eastAsia"/>
          <w:highlight w:val="none"/>
          <w:lang w:val="en-US" w:eastAsia="zh-CN"/>
        </w:rPr>
      </w:pPr>
    </w:p>
    <w:p>
      <w:pPr>
        <w:rPr>
          <w:rFonts w:hint="eastAsia"/>
          <w:highlight w:val="none"/>
          <w:lang w:val="en-US" w:eastAsia="zh-CN"/>
        </w:rPr>
      </w:pPr>
    </w:p>
    <w:p>
      <w:pPr>
        <w:pStyle w:val="20"/>
        <w:rPr>
          <w:rFonts w:hint="eastAsia"/>
          <w:highlight w:val="none"/>
          <w:lang w:val="en-US" w:eastAsia="zh-CN"/>
        </w:rPr>
      </w:pPr>
    </w:p>
    <w:p>
      <w:pPr>
        <w:rPr>
          <w:rFonts w:hint="eastAsia"/>
          <w:highlight w:val="none"/>
          <w:lang w:val="en-US" w:eastAsia="zh-CN"/>
        </w:rPr>
      </w:pPr>
    </w:p>
    <w:p>
      <w:pPr>
        <w:pStyle w:val="20"/>
        <w:rPr>
          <w:rFonts w:hint="eastAsia"/>
          <w:highlight w:val="none"/>
          <w:lang w:val="en-US" w:eastAsia="zh-CN"/>
        </w:rPr>
      </w:pPr>
    </w:p>
    <w:p>
      <w:pPr>
        <w:rPr>
          <w:rFonts w:hint="eastAsia"/>
          <w:highlight w:val="none"/>
          <w:lang w:val="en-US" w:eastAsia="zh-CN"/>
        </w:rPr>
      </w:pPr>
    </w:p>
    <w:p>
      <w:pPr>
        <w:pStyle w:val="20"/>
        <w:rPr>
          <w:rFonts w:hint="eastAsia"/>
          <w:highlight w:val="none"/>
          <w:lang w:val="en-US" w:eastAsia="zh-CN"/>
        </w:rPr>
      </w:pPr>
    </w:p>
    <w:p>
      <w:pPr>
        <w:rPr>
          <w:rFonts w:hint="eastAsia"/>
          <w:highlight w:val="none"/>
          <w:lang w:val="en-US" w:eastAsia="zh-CN"/>
        </w:rPr>
      </w:pPr>
    </w:p>
    <w:p>
      <w:pPr>
        <w:pStyle w:val="20"/>
        <w:rPr>
          <w:rFonts w:hint="eastAsia"/>
          <w:highlight w:val="none"/>
          <w:lang w:val="en-US" w:eastAsia="zh-CN"/>
        </w:rPr>
      </w:pPr>
    </w:p>
    <w:p>
      <w:pPr>
        <w:rPr>
          <w:rFonts w:hint="eastAsia"/>
          <w:highlight w:val="none"/>
          <w:lang w:val="en-US" w:eastAsia="zh-CN"/>
        </w:rPr>
      </w:pPr>
    </w:p>
    <w:p>
      <w:pPr>
        <w:pStyle w:val="20"/>
        <w:rPr>
          <w:rFonts w:hint="eastAsia"/>
          <w:highlight w:val="none"/>
          <w:lang w:val="en-US" w:eastAsia="zh-CN"/>
        </w:rPr>
      </w:pPr>
    </w:p>
    <w:p>
      <w:pPr>
        <w:rPr>
          <w:rFonts w:hint="eastAsia"/>
          <w:highlight w:val="none"/>
          <w:lang w:val="en-US" w:eastAsia="zh-CN"/>
        </w:rPr>
      </w:pPr>
    </w:p>
    <w:p>
      <w:pPr>
        <w:pStyle w:val="20"/>
        <w:rPr>
          <w:rFonts w:hint="eastAsia"/>
          <w:highlight w:val="none"/>
          <w:lang w:val="en-US" w:eastAsia="zh-CN"/>
        </w:rPr>
      </w:pPr>
    </w:p>
    <w:p>
      <w:pPr>
        <w:rPr>
          <w:rFonts w:hint="eastAsia"/>
          <w:highlight w:val="none"/>
          <w:lang w:val="en-US" w:eastAsia="zh-CN"/>
        </w:rPr>
      </w:pPr>
    </w:p>
    <w:p>
      <w:pPr>
        <w:pStyle w:val="20"/>
        <w:rPr>
          <w:rFonts w:hint="eastAsia"/>
          <w:highlight w:val="none"/>
          <w:lang w:val="en-US" w:eastAsia="zh-CN"/>
        </w:rPr>
      </w:pPr>
    </w:p>
    <w:p>
      <w:pPr>
        <w:rPr>
          <w:rFonts w:hint="eastAsia"/>
          <w:highlight w:val="none"/>
          <w:lang w:val="en-US" w:eastAsia="zh-CN"/>
        </w:rPr>
      </w:pPr>
    </w:p>
    <w:p>
      <w:pPr>
        <w:pStyle w:val="20"/>
        <w:rPr>
          <w:rFonts w:hint="eastAsia"/>
          <w:highlight w:val="none"/>
          <w:lang w:val="en-US" w:eastAsia="zh-CN"/>
        </w:rPr>
      </w:pPr>
    </w:p>
    <w:p>
      <w:pPr>
        <w:rPr>
          <w:rFonts w:hint="eastAsia"/>
          <w:highlight w:val="none"/>
          <w:lang w:val="en-US" w:eastAsia="zh-CN"/>
        </w:rPr>
      </w:pPr>
    </w:p>
    <w:p>
      <w:pPr>
        <w:pStyle w:val="20"/>
        <w:rPr>
          <w:rFonts w:hint="eastAsia"/>
          <w:highlight w:val="none"/>
          <w:lang w:val="en-US" w:eastAsia="zh-CN"/>
        </w:rPr>
      </w:pPr>
    </w:p>
    <w:p>
      <w:pPr>
        <w:rPr>
          <w:rFonts w:hint="eastAsia"/>
          <w:highlight w:val="none"/>
          <w:lang w:val="en-US" w:eastAsia="zh-CN"/>
        </w:rPr>
      </w:pPr>
    </w:p>
    <w:p>
      <w:pPr>
        <w:pStyle w:val="20"/>
        <w:rPr>
          <w:rFonts w:hint="eastAsia"/>
          <w:highlight w:val="none"/>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highlight w:val="none"/>
          <w:lang w:val="en-US" w:eastAsia="zh-CN"/>
        </w:rPr>
      </w:pPr>
      <w:r>
        <w:rPr>
          <w:rFonts w:hint="eastAsia" w:ascii="黑体" w:hAnsi="黑体" w:eastAsia="黑体"/>
          <w:b/>
          <w:bCs/>
          <w:color w:val="000000" w:themeColor="text1"/>
          <w:sz w:val="24"/>
          <w:szCs w:val="24"/>
          <w:highlight w:val="none"/>
          <w:lang w:val="en-US" w:eastAsia="zh-CN"/>
          <w14:textFill>
            <w14:solidFill>
              <w14:schemeClr w14:val="tx1"/>
            </w14:solidFill>
          </w14:textFill>
        </w:rPr>
        <w:t>5.2</w:t>
      </w:r>
      <w:r>
        <w:rPr>
          <w:rFonts w:hint="eastAsia" w:ascii="黑体" w:hAnsi="黑体" w:eastAsia="黑体"/>
          <w:b/>
          <w:bCs/>
          <w:sz w:val="24"/>
          <w:szCs w:val="24"/>
          <w:highlight w:val="none"/>
          <w:lang w:val="en-US" w:eastAsia="zh-CN"/>
        </w:rPr>
        <w:t>：法定代表人（单位负责人）身份证明</w:t>
      </w:r>
    </w:p>
    <w:p>
      <w:pPr>
        <w:pStyle w:val="5"/>
        <w:keepNext w:val="0"/>
        <w:keepLines w:val="0"/>
        <w:pageBreakBefore w:val="0"/>
        <w:widowControl w:val="0"/>
        <w:kinsoku/>
        <w:wordWrap/>
        <w:overflowPunct/>
        <w:topLinePunct w:val="0"/>
        <w:autoSpaceDE/>
        <w:autoSpaceDN/>
        <w:bidi w:val="0"/>
        <w:adjustRightInd/>
        <w:snapToGrid/>
        <w:ind w:left="782"/>
        <w:textAlignment w:val="auto"/>
        <w:rPr>
          <w:rFonts w:hint="eastAsia"/>
          <w:highlight w:val="none"/>
          <w:lang w:val="en-US" w:eastAsia="zh-CN"/>
        </w:rPr>
      </w:pPr>
    </w:p>
    <w:p>
      <w:pPr>
        <w:pStyle w:val="3"/>
        <w:rPr>
          <w:rFonts w:ascii="微软雅黑" w:hAnsi="微软雅黑" w:eastAsia="微软雅黑"/>
          <w:b/>
          <w:spacing w:val="2"/>
          <w:sz w:val="32"/>
          <w:szCs w:val="32"/>
          <w:highlight w:val="none"/>
        </w:rPr>
      </w:pPr>
    </w:p>
    <w:p>
      <w:pPr>
        <w:pStyle w:val="3"/>
        <w:rPr>
          <w:rFonts w:ascii="微软雅黑" w:hAnsi="微软雅黑" w:eastAsia="微软雅黑"/>
          <w:b/>
          <w:spacing w:val="2"/>
          <w:sz w:val="32"/>
          <w:szCs w:val="32"/>
          <w:highlight w:val="none"/>
        </w:rPr>
      </w:pPr>
    </w:p>
    <w:p>
      <w:pPr>
        <w:spacing w:before="120" w:beforeLines="50" w:after="120" w:afterLines="50"/>
        <w:ind w:right="11"/>
        <w:jc w:val="center"/>
        <w:rPr>
          <w:rFonts w:ascii="微软雅黑" w:hAnsi="微软雅黑" w:eastAsia="微软雅黑"/>
          <w:b/>
          <w:sz w:val="32"/>
          <w:szCs w:val="32"/>
          <w:highlight w:val="none"/>
        </w:rPr>
      </w:pPr>
      <w:r>
        <w:rPr>
          <w:rFonts w:ascii="微软雅黑" w:hAnsi="微软雅黑" w:eastAsia="微软雅黑"/>
          <w:b/>
          <w:spacing w:val="2"/>
          <w:sz w:val="32"/>
          <w:szCs w:val="32"/>
          <w:highlight w:val="none"/>
        </w:rPr>
        <w:t>法定代表</w:t>
      </w:r>
      <w:r>
        <w:rPr>
          <w:rFonts w:ascii="微软雅黑" w:hAnsi="微软雅黑" w:eastAsia="微软雅黑"/>
          <w:b/>
          <w:sz w:val="32"/>
          <w:szCs w:val="32"/>
          <w:highlight w:val="none"/>
        </w:rPr>
        <w:t>人</w:t>
      </w:r>
      <w:r>
        <w:rPr>
          <w:rFonts w:ascii="微软雅黑" w:hAnsi="微软雅黑" w:eastAsia="微软雅黑"/>
          <w:b/>
          <w:spacing w:val="2"/>
          <w:sz w:val="32"/>
          <w:szCs w:val="32"/>
          <w:highlight w:val="none"/>
        </w:rPr>
        <w:t>（单位负责人</w:t>
      </w:r>
      <w:r>
        <w:rPr>
          <w:rFonts w:ascii="微软雅黑" w:hAnsi="微软雅黑" w:eastAsia="微软雅黑"/>
          <w:b/>
          <w:sz w:val="32"/>
          <w:szCs w:val="32"/>
          <w:highlight w:val="none"/>
        </w:rPr>
        <w:t>）</w:t>
      </w:r>
      <w:r>
        <w:rPr>
          <w:rFonts w:ascii="微软雅黑" w:hAnsi="微软雅黑" w:eastAsia="微软雅黑"/>
          <w:b/>
          <w:spacing w:val="2"/>
          <w:sz w:val="32"/>
          <w:szCs w:val="32"/>
          <w:highlight w:val="none"/>
        </w:rPr>
        <w:t>身份证</w:t>
      </w:r>
      <w:r>
        <w:rPr>
          <w:rFonts w:ascii="微软雅黑" w:hAnsi="微软雅黑" w:eastAsia="微软雅黑"/>
          <w:b/>
          <w:sz w:val="32"/>
          <w:szCs w:val="32"/>
          <w:highlight w:val="none"/>
        </w:rPr>
        <w:t>明</w:t>
      </w:r>
    </w:p>
    <w:p>
      <w:pPr>
        <w:tabs>
          <w:tab w:val="left" w:pos="142"/>
        </w:tabs>
        <w:spacing w:line="200" w:lineRule="exact"/>
        <w:ind w:right="11"/>
        <w:jc w:val="center"/>
        <w:rPr>
          <w:rFonts w:ascii="微软雅黑" w:hAnsi="微软雅黑" w:eastAsia="微软雅黑"/>
          <w:sz w:val="20"/>
          <w:szCs w:val="20"/>
          <w:highlight w:val="none"/>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highlight w:val="none"/>
          <w:lang w:val="en-US" w:eastAsia="zh-CN" w:bidi="ar-SA"/>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highlight w:val="none"/>
          <w:lang w:val="en-US" w:eastAsia="zh-CN" w:bidi="ar-SA"/>
        </w:rPr>
      </w:pPr>
    </w:p>
    <w:p>
      <w:pPr>
        <w:widowControl w:val="0"/>
        <w:tabs>
          <w:tab w:val="left" w:pos="142"/>
          <w:tab w:val="left" w:pos="3880"/>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hint="eastAsia" w:ascii="微软雅黑" w:hAnsi="微软雅黑" w:eastAsia="微软雅黑" w:cstheme="minorBidi"/>
          <w:kern w:val="0"/>
          <w:sz w:val="24"/>
          <w:szCs w:val="24"/>
          <w:highlight w:val="none"/>
          <w:lang w:val="en-US" w:eastAsia="zh-CN" w:bidi="ar-SA"/>
        </w:rPr>
        <w:t>应答人</w:t>
      </w:r>
      <w:r>
        <w:rPr>
          <w:rFonts w:ascii="微软雅黑" w:hAnsi="微软雅黑" w:eastAsia="微软雅黑" w:cstheme="minorBidi"/>
          <w:kern w:val="0"/>
          <w:sz w:val="24"/>
          <w:szCs w:val="24"/>
          <w:highlight w:val="none"/>
          <w:lang w:val="en-US" w:eastAsia="zh-CN" w:bidi="ar-SA"/>
        </w:rPr>
        <w:t>名</w:t>
      </w:r>
      <w:r>
        <w:rPr>
          <w:rFonts w:ascii="微软雅黑" w:hAnsi="微软雅黑" w:eastAsia="微软雅黑" w:cstheme="minorBidi"/>
          <w:spacing w:val="-3"/>
          <w:kern w:val="0"/>
          <w:sz w:val="24"/>
          <w:szCs w:val="24"/>
          <w:highlight w:val="none"/>
          <w:lang w:val="en-US" w:eastAsia="zh-CN" w:bidi="ar-SA"/>
        </w:rPr>
        <w:t>称</w:t>
      </w:r>
      <w:r>
        <w:rPr>
          <w:rFonts w:ascii="微软雅黑" w:hAnsi="微软雅黑" w:eastAsia="微软雅黑" w:cstheme="minorBidi"/>
          <w:spacing w:val="-1"/>
          <w:kern w:val="0"/>
          <w:sz w:val="24"/>
          <w:szCs w:val="24"/>
          <w:highlight w:val="none"/>
          <w:lang w:val="en-US" w:eastAsia="zh-CN" w:bidi="ar-SA"/>
        </w:rPr>
        <w:t>：</w:t>
      </w:r>
      <w:r>
        <w:rPr>
          <w:rFonts w:ascii="微软雅黑" w:hAnsi="微软雅黑" w:eastAsia="微软雅黑" w:cstheme="minorBidi"/>
          <w:w w:val="225"/>
          <w:kern w:val="0"/>
          <w:sz w:val="24"/>
          <w:szCs w:val="24"/>
          <w:highlight w:val="none"/>
          <w:u w:val="single" w:color="000000"/>
          <w:lang w:val="en-US" w:eastAsia="zh-CN" w:bidi="ar-SA"/>
        </w:rPr>
        <w:t xml:space="preserve"> </w:t>
      </w:r>
      <w:r>
        <w:rPr>
          <w:rFonts w:ascii="微软雅黑" w:hAnsi="微软雅黑" w:eastAsia="微软雅黑" w:cstheme="minorBidi"/>
          <w:kern w:val="0"/>
          <w:sz w:val="24"/>
          <w:szCs w:val="24"/>
          <w:highlight w:val="none"/>
          <w:u w:val="single" w:color="000000"/>
          <w:lang w:val="en-US" w:eastAsia="zh-CN" w:bidi="ar-SA"/>
        </w:rPr>
        <w:tab/>
      </w:r>
    </w:p>
    <w:p>
      <w:pPr>
        <w:widowControl w:val="0"/>
        <w:tabs>
          <w:tab w:val="left" w:pos="142"/>
          <w:tab w:val="left" w:pos="2412"/>
          <w:tab w:val="left" w:pos="3883"/>
          <w:tab w:val="left" w:pos="5352"/>
          <w:tab w:val="left" w:pos="6821"/>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姓名</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spacing w:val="-3"/>
          <w:kern w:val="0"/>
          <w:sz w:val="24"/>
          <w:szCs w:val="24"/>
          <w:highlight w:val="none"/>
          <w:u w:val="single" w:color="000000"/>
          <w:lang w:val="en-US" w:eastAsia="zh-CN" w:bidi="ar-SA"/>
        </w:rPr>
        <w:tab/>
      </w:r>
      <w:r>
        <w:rPr>
          <w:rFonts w:ascii="微软雅黑" w:hAnsi="微软雅黑" w:eastAsia="微软雅黑" w:cstheme="minorBidi"/>
          <w:kern w:val="0"/>
          <w:sz w:val="24"/>
          <w:szCs w:val="24"/>
          <w:highlight w:val="none"/>
          <w:lang w:val="en-US" w:eastAsia="zh-CN" w:bidi="ar-SA"/>
        </w:rPr>
        <w:t>性别</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spacing w:val="-3"/>
          <w:kern w:val="0"/>
          <w:sz w:val="24"/>
          <w:szCs w:val="24"/>
          <w:highlight w:val="none"/>
          <w:u w:val="single" w:color="000000"/>
          <w:lang w:val="en-US" w:eastAsia="zh-CN" w:bidi="ar-SA"/>
        </w:rPr>
        <w:tab/>
      </w:r>
      <w:r>
        <w:rPr>
          <w:rFonts w:ascii="微软雅黑" w:hAnsi="微软雅黑" w:eastAsia="微软雅黑" w:cstheme="minorBidi"/>
          <w:kern w:val="0"/>
          <w:sz w:val="24"/>
          <w:szCs w:val="24"/>
          <w:highlight w:val="none"/>
          <w:lang w:val="en-US" w:eastAsia="zh-CN" w:bidi="ar-SA"/>
        </w:rPr>
        <w:t>年</w:t>
      </w:r>
      <w:r>
        <w:rPr>
          <w:rFonts w:ascii="微软雅黑" w:hAnsi="微软雅黑" w:eastAsia="微软雅黑" w:cstheme="minorBidi"/>
          <w:spacing w:val="-3"/>
          <w:kern w:val="0"/>
          <w:sz w:val="24"/>
          <w:szCs w:val="24"/>
          <w:highlight w:val="none"/>
          <w:lang w:val="en-US" w:eastAsia="zh-CN" w:bidi="ar-SA"/>
        </w:rPr>
        <w:t>龄</w:t>
      </w:r>
      <w:r>
        <w:rPr>
          <w:rFonts w:ascii="微软雅黑" w:hAnsi="微软雅黑" w:eastAsia="微软雅黑" w:cstheme="minorBidi"/>
          <w:spacing w:val="-1"/>
          <w:kern w:val="0"/>
          <w:sz w:val="24"/>
          <w:szCs w:val="24"/>
          <w:highlight w:val="none"/>
          <w:lang w:val="en-US" w:eastAsia="zh-CN" w:bidi="ar-SA"/>
        </w:rPr>
        <w:t>：</w:t>
      </w:r>
      <w:r>
        <w:rPr>
          <w:rFonts w:ascii="微软雅黑" w:hAnsi="微软雅黑" w:eastAsia="微软雅黑" w:cstheme="minorBidi"/>
          <w:spacing w:val="-1"/>
          <w:kern w:val="0"/>
          <w:sz w:val="24"/>
          <w:szCs w:val="24"/>
          <w:highlight w:val="none"/>
          <w:u w:val="single" w:color="000000"/>
          <w:lang w:val="en-US" w:eastAsia="zh-CN" w:bidi="ar-SA"/>
        </w:rPr>
        <w:tab/>
      </w:r>
      <w:r>
        <w:rPr>
          <w:rFonts w:ascii="微软雅黑" w:hAnsi="微软雅黑" w:eastAsia="微软雅黑" w:cstheme="minorBidi"/>
          <w:kern w:val="0"/>
          <w:sz w:val="24"/>
          <w:szCs w:val="24"/>
          <w:highlight w:val="none"/>
          <w:lang w:val="en-US" w:eastAsia="zh-CN" w:bidi="ar-SA"/>
        </w:rPr>
        <w:t>职</w:t>
      </w:r>
      <w:r>
        <w:rPr>
          <w:rFonts w:ascii="微软雅黑" w:hAnsi="微软雅黑" w:eastAsia="微软雅黑" w:cstheme="minorBidi"/>
          <w:spacing w:val="-3"/>
          <w:kern w:val="0"/>
          <w:sz w:val="24"/>
          <w:szCs w:val="24"/>
          <w:highlight w:val="none"/>
          <w:lang w:val="en-US" w:eastAsia="zh-CN" w:bidi="ar-SA"/>
        </w:rPr>
        <w:t>务</w:t>
      </w:r>
      <w:r>
        <w:rPr>
          <w:rFonts w:ascii="微软雅黑" w:hAnsi="微软雅黑" w:eastAsia="微软雅黑" w:cstheme="minorBidi"/>
          <w:spacing w:val="-1"/>
          <w:kern w:val="0"/>
          <w:sz w:val="24"/>
          <w:szCs w:val="24"/>
          <w:highlight w:val="none"/>
          <w:lang w:val="en-US" w:eastAsia="zh-CN" w:bidi="ar-SA"/>
        </w:rPr>
        <w:t>：</w:t>
      </w:r>
      <w:r>
        <w:rPr>
          <w:rFonts w:ascii="微软雅黑" w:hAnsi="微软雅黑" w:eastAsia="微软雅黑" w:cstheme="minorBidi"/>
          <w:w w:val="225"/>
          <w:kern w:val="0"/>
          <w:sz w:val="24"/>
          <w:szCs w:val="24"/>
          <w:highlight w:val="none"/>
          <w:u w:val="single" w:color="000000"/>
          <w:lang w:val="en-US" w:eastAsia="zh-CN" w:bidi="ar-SA"/>
        </w:rPr>
        <w:t xml:space="preserve"> </w:t>
      </w:r>
      <w:r>
        <w:rPr>
          <w:rFonts w:ascii="微软雅黑" w:hAnsi="微软雅黑" w:eastAsia="微软雅黑" w:cstheme="minorBidi"/>
          <w:kern w:val="0"/>
          <w:sz w:val="24"/>
          <w:szCs w:val="24"/>
          <w:highlight w:val="none"/>
          <w:u w:val="single" w:color="000000"/>
          <w:lang w:val="en-US" w:eastAsia="zh-CN" w:bidi="ar-SA"/>
        </w:rPr>
        <w:tab/>
      </w:r>
    </w:p>
    <w:p>
      <w:pPr>
        <w:widowControl w:val="0"/>
        <w:tabs>
          <w:tab w:val="left" w:pos="142"/>
          <w:tab w:val="left" w:pos="2831"/>
        </w:tabs>
        <w:spacing w:before="36"/>
        <w:ind w:left="780" w:right="11" w:firstLine="476"/>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spacing w:val="-1"/>
          <w:kern w:val="0"/>
          <w:sz w:val="24"/>
          <w:szCs w:val="24"/>
          <w:highlight w:val="none"/>
          <w:lang w:val="en-US" w:eastAsia="zh-CN" w:bidi="ar-SA"/>
        </w:rPr>
        <w:t>系</w:t>
      </w:r>
      <w:r>
        <w:rPr>
          <w:rFonts w:ascii="微软雅黑" w:hAnsi="微软雅黑" w:eastAsia="微软雅黑" w:cstheme="minorBidi"/>
          <w:spacing w:val="-1"/>
          <w:kern w:val="0"/>
          <w:sz w:val="24"/>
          <w:szCs w:val="24"/>
          <w:highlight w:val="none"/>
          <w:u w:val="single" w:color="000000"/>
          <w:lang w:val="en-US" w:eastAsia="zh-CN" w:bidi="ar-SA"/>
        </w:rPr>
        <w:tab/>
      </w:r>
      <w:r>
        <w:rPr>
          <w:rFonts w:ascii="微软雅黑" w:hAnsi="微软雅黑" w:eastAsia="微软雅黑" w:cstheme="minorBidi"/>
          <w:spacing w:val="-3"/>
          <w:kern w:val="0"/>
          <w:sz w:val="24"/>
          <w:szCs w:val="24"/>
          <w:highlight w:val="none"/>
          <w:lang w:val="en-US" w:eastAsia="zh-CN" w:bidi="ar-SA"/>
        </w:rPr>
        <w:t>（</w:t>
      </w:r>
      <w:r>
        <w:rPr>
          <w:rFonts w:hint="eastAsia" w:ascii="微软雅黑" w:hAnsi="微软雅黑" w:eastAsia="微软雅黑" w:cstheme="minorBidi"/>
          <w:kern w:val="0"/>
          <w:sz w:val="24"/>
          <w:szCs w:val="24"/>
          <w:highlight w:val="none"/>
          <w:lang w:val="en-US" w:eastAsia="zh-CN" w:bidi="ar-SA"/>
        </w:rPr>
        <w:t>应答人</w:t>
      </w:r>
      <w:r>
        <w:rPr>
          <w:rFonts w:ascii="微软雅黑" w:hAnsi="微软雅黑" w:eastAsia="微软雅黑" w:cstheme="minorBidi"/>
          <w:spacing w:val="-3"/>
          <w:kern w:val="0"/>
          <w:sz w:val="24"/>
          <w:szCs w:val="24"/>
          <w:highlight w:val="none"/>
          <w:lang w:val="en-US" w:eastAsia="zh-CN" w:bidi="ar-SA"/>
        </w:rPr>
        <w:t>名</w:t>
      </w:r>
      <w:r>
        <w:rPr>
          <w:rFonts w:ascii="微软雅黑" w:hAnsi="微软雅黑" w:eastAsia="微软雅黑" w:cstheme="minorBidi"/>
          <w:kern w:val="0"/>
          <w:sz w:val="24"/>
          <w:szCs w:val="24"/>
          <w:highlight w:val="none"/>
          <w:lang w:val="en-US" w:eastAsia="zh-CN" w:bidi="ar-SA"/>
        </w:rPr>
        <w:t>称</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的</w:t>
      </w:r>
      <w:r>
        <w:rPr>
          <w:rFonts w:ascii="微软雅黑" w:hAnsi="微软雅黑" w:eastAsia="微软雅黑" w:cstheme="minorBidi"/>
          <w:spacing w:val="-3"/>
          <w:kern w:val="0"/>
          <w:sz w:val="24"/>
          <w:szCs w:val="24"/>
          <w:highlight w:val="none"/>
          <w:lang w:val="en-US" w:eastAsia="zh-CN" w:bidi="ar-SA"/>
        </w:rPr>
        <w:t>法定</w:t>
      </w:r>
      <w:r>
        <w:rPr>
          <w:rFonts w:ascii="微软雅黑" w:hAnsi="微软雅黑" w:eastAsia="微软雅黑" w:cstheme="minorBidi"/>
          <w:kern w:val="0"/>
          <w:sz w:val="24"/>
          <w:szCs w:val="24"/>
          <w:highlight w:val="none"/>
          <w:lang w:val="en-US" w:eastAsia="zh-CN" w:bidi="ar-SA"/>
        </w:rPr>
        <w:t>代表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spacing w:val="-106"/>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w:t>
      </w:r>
    </w:p>
    <w:p>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特此</w:t>
      </w:r>
      <w:r>
        <w:rPr>
          <w:rFonts w:ascii="微软雅黑" w:hAnsi="微软雅黑" w:eastAsia="微软雅黑" w:cstheme="minorBidi"/>
          <w:spacing w:val="-3"/>
          <w:kern w:val="0"/>
          <w:sz w:val="24"/>
          <w:szCs w:val="24"/>
          <w:highlight w:val="none"/>
          <w:lang w:val="en-US" w:eastAsia="zh-CN" w:bidi="ar-SA"/>
        </w:rPr>
        <w:t>证</w:t>
      </w:r>
      <w:r>
        <w:rPr>
          <w:rFonts w:ascii="微软雅黑" w:hAnsi="微软雅黑" w:eastAsia="微软雅黑" w:cstheme="minorBidi"/>
          <w:kern w:val="0"/>
          <w:sz w:val="24"/>
          <w:szCs w:val="24"/>
          <w:highlight w:val="none"/>
          <w:lang w:val="en-US" w:eastAsia="zh-CN" w:bidi="ar-SA"/>
        </w:rPr>
        <w:t>明。</w:t>
      </w:r>
    </w:p>
    <w:p>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 xml:space="preserve">。 </w:t>
      </w:r>
    </w:p>
    <w:p>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注：</w:t>
      </w:r>
      <w:r>
        <w:rPr>
          <w:rFonts w:ascii="微软雅黑" w:hAnsi="微软雅黑" w:eastAsia="微软雅黑" w:cstheme="minorBidi"/>
          <w:spacing w:val="-3"/>
          <w:kern w:val="0"/>
          <w:sz w:val="24"/>
          <w:szCs w:val="24"/>
          <w:highlight w:val="none"/>
          <w:lang w:val="en-US" w:eastAsia="zh-CN" w:bidi="ar-SA"/>
        </w:rPr>
        <w:t>本</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明</w:t>
      </w:r>
      <w:r>
        <w:rPr>
          <w:rFonts w:ascii="微软雅黑" w:hAnsi="微软雅黑" w:eastAsia="微软雅黑" w:cstheme="minorBidi"/>
          <w:kern w:val="0"/>
          <w:sz w:val="24"/>
          <w:szCs w:val="24"/>
          <w:highlight w:val="none"/>
          <w:lang w:val="en-US" w:eastAsia="zh-CN" w:bidi="ar-SA"/>
        </w:rPr>
        <w:t>需</w:t>
      </w:r>
      <w:r>
        <w:rPr>
          <w:rFonts w:ascii="微软雅黑" w:hAnsi="微软雅黑" w:eastAsia="微软雅黑" w:cstheme="minorBidi"/>
          <w:spacing w:val="-3"/>
          <w:kern w:val="0"/>
          <w:sz w:val="24"/>
          <w:szCs w:val="24"/>
          <w:highlight w:val="none"/>
          <w:lang w:val="en-US" w:eastAsia="zh-CN" w:bidi="ar-SA"/>
        </w:rPr>
        <w:t>由</w:t>
      </w:r>
      <w:r>
        <w:rPr>
          <w:rFonts w:hint="eastAsia" w:ascii="微软雅黑" w:hAnsi="微软雅黑" w:eastAsia="微软雅黑" w:cstheme="minorBidi"/>
          <w:kern w:val="0"/>
          <w:sz w:val="24"/>
          <w:szCs w:val="24"/>
          <w:highlight w:val="none"/>
          <w:lang w:val="en-US" w:eastAsia="zh-CN" w:bidi="ar-SA"/>
        </w:rPr>
        <w:t>应答人</w:t>
      </w:r>
      <w:r>
        <w:rPr>
          <w:rFonts w:ascii="微软雅黑" w:hAnsi="微软雅黑" w:eastAsia="微软雅黑" w:cstheme="minorBidi"/>
          <w:kern w:val="0"/>
          <w:sz w:val="24"/>
          <w:szCs w:val="24"/>
          <w:highlight w:val="none"/>
          <w:lang w:val="en-US" w:eastAsia="zh-CN" w:bidi="ar-SA"/>
        </w:rPr>
        <w:t>加</w:t>
      </w:r>
      <w:r>
        <w:rPr>
          <w:rFonts w:ascii="微软雅黑" w:hAnsi="微软雅黑" w:eastAsia="微软雅黑" w:cstheme="minorBidi"/>
          <w:spacing w:val="-3"/>
          <w:kern w:val="0"/>
          <w:sz w:val="24"/>
          <w:szCs w:val="24"/>
          <w:highlight w:val="none"/>
          <w:lang w:val="en-US" w:eastAsia="zh-CN" w:bidi="ar-SA"/>
        </w:rPr>
        <w:t>盖</w:t>
      </w:r>
      <w:r>
        <w:rPr>
          <w:rFonts w:ascii="微软雅黑" w:hAnsi="微软雅黑" w:eastAsia="微软雅黑" w:cstheme="minorBidi"/>
          <w:kern w:val="0"/>
          <w:sz w:val="24"/>
          <w:szCs w:val="24"/>
          <w:highlight w:val="none"/>
          <w:lang w:val="en-US" w:eastAsia="zh-CN" w:bidi="ar-SA"/>
        </w:rPr>
        <w:t>单</w:t>
      </w:r>
      <w:r>
        <w:rPr>
          <w:rFonts w:ascii="微软雅黑" w:hAnsi="微软雅黑" w:eastAsia="微软雅黑" w:cstheme="minorBidi"/>
          <w:spacing w:val="-3"/>
          <w:kern w:val="0"/>
          <w:sz w:val="24"/>
          <w:szCs w:val="24"/>
          <w:highlight w:val="none"/>
          <w:lang w:val="en-US" w:eastAsia="zh-CN" w:bidi="ar-SA"/>
        </w:rPr>
        <w:t>位</w:t>
      </w:r>
      <w:r>
        <w:rPr>
          <w:rFonts w:ascii="微软雅黑" w:hAnsi="微软雅黑" w:eastAsia="微软雅黑" w:cstheme="minorBidi"/>
          <w:kern w:val="0"/>
          <w:sz w:val="24"/>
          <w:szCs w:val="24"/>
          <w:highlight w:val="none"/>
          <w:lang w:val="en-US" w:eastAsia="zh-CN" w:bidi="ar-SA"/>
        </w:rPr>
        <w:t>公</w:t>
      </w:r>
      <w:r>
        <w:rPr>
          <w:rFonts w:ascii="微软雅黑" w:hAnsi="微软雅黑" w:eastAsia="微软雅黑" w:cstheme="minorBidi"/>
          <w:spacing w:val="-3"/>
          <w:kern w:val="0"/>
          <w:sz w:val="24"/>
          <w:szCs w:val="24"/>
          <w:highlight w:val="none"/>
          <w:lang w:val="en-US" w:eastAsia="zh-CN" w:bidi="ar-SA"/>
        </w:rPr>
        <w:t>章</w:t>
      </w:r>
      <w:r>
        <w:rPr>
          <w:rFonts w:ascii="微软雅黑" w:hAnsi="微软雅黑" w:eastAsia="微软雅黑" w:cstheme="minorBidi"/>
          <w:kern w:val="0"/>
          <w:sz w:val="24"/>
          <w:szCs w:val="24"/>
          <w:highlight w:val="none"/>
          <w:lang w:val="en-US" w:eastAsia="zh-CN" w:bidi="ar-SA"/>
        </w:rPr>
        <w:t>。</w:t>
      </w:r>
    </w:p>
    <w:p>
      <w:pPr>
        <w:tabs>
          <w:tab w:val="left" w:pos="142"/>
        </w:tabs>
        <w:ind w:right="11"/>
        <w:rPr>
          <w:rFonts w:ascii="微软雅黑" w:hAnsi="微软雅黑" w:eastAsia="微软雅黑"/>
          <w:sz w:val="24"/>
          <w:szCs w:val="24"/>
          <w:highlight w:val="none"/>
        </w:rPr>
      </w:pPr>
    </w:p>
    <w:p>
      <w:pPr>
        <w:tabs>
          <w:tab w:val="left" w:pos="142"/>
        </w:tabs>
        <w:ind w:right="11"/>
        <w:rPr>
          <w:rFonts w:ascii="微软雅黑" w:hAnsi="微软雅黑" w:eastAsia="微软雅黑"/>
          <w:sz w:val="24"/>
          <w:szCs w:val="24"/>
          <w:highlight w:val="none"/>
        </w:rPr>
      </w:pPr>
    </w:p>
    <w:p>
      <w:pPr>
        <w:tabs>
          <w:tab w:val="left" w:pos="142"/>
        </w:tabs>
        <w:ind w:right="11"/>
        <w:rPr>
          <w:rFonts w:ascii="微软雅黑" w:hAnsi="微软雅黑" w:eastAsia="微软雅黑"/>
          <w:sz w:val="24"/>
          <w:szCs w:val="24"/>
          <w:highlight w:val="none"/>
        </w:rPr>
      </w:pPr>
    </w:p>
    <w:p>
      <w:pPr>
        <w:widowControl w:val="0"/>
        <w:tabs>
          <w:tab w:val="left" w:pos="142"/>
          <w:tab w:val="left" w:pos="6521"/>
        </w:tabs>
        <w:spacing w:before="36" w:after="120" w:afterLines="50"/>
        <w:ind w:left="780" w:right="11" w:firstLine="468"/>
        <w:jc w:val="right"/>
        <w:rPr>
          <w:rFonts w:ascii="微软雅黑" w:hAnsi="微软雅黑" w:eastAsia="微软雅黑" w:cstheme="minorBidi"/>
          <w:kern w:val="0"/>
          <w:sz w:val="24"/>
          <w:szCs w:val="24"/>
          <w:highlight w:val="none"/>
          <w:lang w:val="en-US" w:eastAsia="zh-CN" w:bidi="ar-SA"/>
        </w:rPr>
      </w:pPr>
      <w:r>
        <w:rPr>
          <w:rFonts w:hint="eastAsia" w:ascii="微软雅黑" w:hAnsi="微软雅黑" w:eastAsia="微软雅黑" w:cstheme="minorBidi"/>
          <w:spacing w:val="-3"/>
          <w:kern w:val="0"/>
          <w:sz w:val="24"/>
          <w:szCs w:val="24"/>
          <w:highlight w:val="none"/>
          <w:lang w:val="en-US" w:eastAsia="zh-CN" w:bidi="ar-SA"/>
        </w:rPr>
        <w:t>应答人</w:t>
      </w:r>
      <w:r>
        <w:rPr>
          <w:rFonts w:ascii="微软雅黑" w:hAnsi="微软雅黑" w:eastAsia="微软雅黑" w:cstheme="minorBidi"/>
          <w:spacing w:val="-1"/>
          <w:kern w:val="0"/>
          <w:sz w:val="24"/>
          <w:szCs w:val="24"/>
          <w:highlight w:val="none"/>
          <w:lang w:val="en-US" w:eastAsia="zh-CN" w:bidi="ar-SA"/>
        </w:rPr>
        <w:t>：</w:t>
      </w:r>
      <w:r>
        <w:rPr>
          <w:rFonts w:hint="eastAsia" w:ascii="微软雅黑" w:hAnsi="微软雅黑" w:eastAsia="微软雅黑" w:cstheme="minorBidi"/>
          <w:spacing w:val="-1"/>
          <w:kern w:val="0"/>
          <w:sz w:val="24"/>
          <w:szCs w:val="24"/>
          <w:highlight w:val="none"/>
          <w:u w:val="single"/>
          <w:lang w:val="en-US" w:eastAsia="zh-CN" w:bidi="ar-SA"/>
        </w:rPr>
        <w:t xml:space="preserve">                   </w:t>
      </w:r>
      <w:r>
        <w:rPr>
          <w:rFonts w:ascii="微软雅黑" w:hAnsi="微软雅黑" w:eastAsia="微软雅黑" w:cstheme="minorBidi"/>
          <w:kern w:val="0"/>
          <w:sz w:val="24"/>
          <w:szCs w:val="24"/>
          <w:highlight w:val="none"/>
          <w:lang w:val="en-US" w:eastAsia="zh-CN" w:bidi="ar-SA"/>
        </w:rPr>
        <w:t>（单</w:t>
      </w:r>
      <w:r>
        <w:rPr>
          <w:rFonts w:ascii="微软雅黑" w:hAnsi="微软雅黑" w:eastAsia="微软雅黑" w:cstheme="minorBidi"/>
          <w:spacing w:val="-3"/>
          <w:kern w:val="0"/>
          <w:sz w:val="24"/>
          <w:szCs w:val="24"/>
          <w:highlight w:val="none"/>
          <w:lang w:val="en-US" w:eastAsia="zh-CN" w:bidi="ar-SA"/>
        </w:rPr>
        <w:t>位</w:t>
      </w:r>
      <w:r>
        <w:rPr>
          <w:rFonts w:ascii="微软雅黑" w:hAnsi="微软雅黑" w:eastAsia="微软雅黑" w:cstheme="minorBidi"/>
          <w:kern w:val="0"/>
          <w:sz w:val="24"/>
          <w:szCs w:val="24"/>
          <w:highlight w:val="none"/>
          <w:lang w:val="en-US" w:eastAsia="zh-CN" w:bidi="ar-SA"/>
        </w:rPr>
        <w:t>公</w:t>
      </w:r>
      <w:r>
        <w:rPr>
          <w:rFonts w:ascii="微软雅黑" w:hAnsi="微软雅黑" w:eastAsia="微软雅黑" w:cstheme="minorBidi"/>
          <w:spacing w:val="-3"/>
          <w:kern w:val="0"/>
          <w:sz w:val="24"/>
          <w:szCs w:val="24"/>
          <w:highlight w:val="none"/>
          <w:lang w:val="en-US" w:eastAsia="zh-CN" w:bidi="ar-SA"/>
        </w:rPr>
        <w:t>章</w:t>
      </w:r>
      <w:r>
        <w:rPr>
          <w:rFonts w:ascii="微软雅黑" w:hAnsi="微软雅黑" w:eastAsia="微软雅黑" w:cstheme="minorBidi"/>
          <w:kern w:val="0"/>
          <w:sz w:val="24"/>
          <w:szCs w:val="24"/>
          <w:highlight w:val="none"/>
          <w:lang w:val="en-US" w:eastAsia="zh-CN" w:bidi="ar-SA"/>
        </w:rPr>
        <w:t>）</w:t>
      </w:r>
    </w:p>
    <w:p>
      <w:pPr>
        <w:widowControl w:val="0"/>
        <w:tabs>
          <w:tab w:val="left" w:pos="142"/>
          <w:tab w:val="left" w:pos="5352"/>
          <w:tab w:val="left" w:pos="6192"/>
          <w:tab w:val="left" w:pos="7032"/>
        </w:tabs>
        <w:spacing w:before="36" w:after="120" w:afterLines="50"/>
        <w:ind w:left="780" w:right="11" w:firstLine="1080"/>
        <w:jc w:val="right"/>
        <w:rPr>
          <w:highlight w:val="none"/>
        </w:rPr>
      </w:pPr>
      <w:r>
        <w:rPr>
          <w:rFonts w:hint="eastAsia" w:ascii="微软雅黑" w:hAnsi="微软雅黑" w:eastAsia="微软雅黑" w:cstheme="minorBidi"/>
          <w:w w:val="225"/>
          <w:kern w:val="0"/>
          <w:sz w:val="24"/>
          <w:szCs w:val="24"/>
          <w:highlight w:val="none"/>
          <w:lang w:val="en-US" w:eastAsia="zh-CN" w:bidi="ar-SA"/>
        </w:rPr>
        <w:t>____</w:t>
      </w:r>
      <w:r>
        <w:rPr>
          <w:rFonts w:ascii="微软雅黑" w:hAnsi="微软雅黑" w:eastAsia="微软雅黑" w:cstheme="minorBidi"/>
          <w:kern w:val="0"/>
          <w:sz w:val="24"/>
          <w:szCs w:val="24"/>
          <w:highlight w:val="none"/>
          <w:lang w:val="en-US" w:eastAsia="zh-CN" w:bidi="ar-SA"/>
        </w:rPr>
        <w:t>年</w:t>
      </w:r>
      <w:r>
        <w:rPr>
          <w:rFonts w:hint="eastAsia" w:ascii="微软雅黑" w:hAnsi="微软雅黑" w:eastAsia="微软雅黑" w:cstheme="minorBidi"/>
          <w:kern w:val="0"/>
          <w:sz w:val="24"/>
          <w:szCs w:val="24"/>
          <w:highlight w:val="none"/>
          <w:lang w:val="en-US" w:eastAsia="zh-CN" w:bidi="ar-SA"/>
        </w:rPr>
        <w:t>_______</w:t>
      </w:r>
      <w:r>
        <w:rPr>
          <w:rFonts w:ascii="微软雅黑" w:hAnsi="微软雅黑" w:eastAsia="微软雅黑" w:cstheme="minorBidi"/>
          <w:kern w:val="0"/>
          <w:sz w:val="24"/>
          <w:szCs w:val="24"/>
          <w:highlight w:val="none"/>
          <w:lang w:val="en-US" w:eastAsia="zh-CN" w:bidi="ar-SA"/>
        </w:rPr>
        <w:t>月</w:t>
      </w:r>
      <w:r>
        <w:rPr>
          <w:rFonts w:hint="eastAsia" w:ascii="微软雅黑" w:hAnsi="微软雅黑" w:eastAsia="微软雅黑" w:cstheme="minorBidi"/>
          <w:kern w:val="0"/>
          <w:sz w:val="24"/>
          <w:szCs w:val="24"/>
          <w:highlight w:val="none"/>
          <w:lang w:val="en-US" w:eastAsia="zh-CN" w:bidi="ar-SA"/>
        </w:rPr>
        <w:t>______</w:t>
      </w:r>
      <w:r>
        <w:rPr>
          <w:rFonts w:ascii="微软雅黑" w:hAnsi="微软雅黑" w:eastAsia="微软雅黑" w:cstheme="minorBidi"/>
          <w:kern w:val="0"/>
          <w:sz w:val="24"/>
          <w:szCs w:val="24"/>
          <w:highlight w:val="none"/>
          <w:lang w:val="en-US" w:eastAsia="zh-CN" w:bidi="ar-SA"/>
        </w:rPr>
        <w:t>日</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highlight w:val="none"/>
          <w:lang w:val="en-US" w:eastAsia="zh-CN"/>
        </w:rPr>
      </w:pPr>
      <w:r>
        <w:rPr>
          <w:rFonts w:hint="eastAsia" w:ascii="黑体" w:hAnsi="黑体" w:eastAsia="黑体"/>
          <w:b/>
          <w:bCs/>
          <w:sz w:val="24"/>
          <w:szCs w:val="24"/>
          <w:highlight w:val="none"/>
          <w:lang w:val="en-US" w:eastAsia="zh-CN"/>
        </w:rPr>
        <w:t>5.3：授权委托书</w:t>
      </w:r>
    </w:p>
    <w:p>
      <w:pPr>
        <w:pStyle w:val="21"/>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highlight w:val="none"/>
          <w:lang w:eastAsia="zh-CN"/>
        </w:rPr>
      </w:pPr>
    </w:p>
    <w:p>
      <w:pPr>
        <w:pStyle w:val="21"/>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highlight w:val="none"/>
          <w:lang w:eastAsia="zh-CN"/>
        </w:rPr>
      </w:pPr>
      <w:r>
        <w:rPr>
          <w:rFonts w:ascii="微软雅黑" w:hAnsi="微软雅黑" w:eastAsia="微软雅黑"/>
          <w:b/>
          <w:spacing w:val="2"/>
          <w:highlight w:val="none"/>
          <w:lang w:eastAsia="zh-CN"/>
        </w:rPr>
        <w:t>授权委托书</w:t>
      </w:r>
    </w:p>
    <w:p>
      <w:pPr>
        <w:keepNext w:val="0"/>
        <w:keepLines w:val="0"/>
        <w:pageBreakBefore w:val="0"/>
        <w:widowControl w:val="0"/>
        <w:tabs>
          <w:tab w:val="left" w:pos="142"/>
          <w:tab w:val="left" w:pos="2421"/>
          <w:tab w:val="left" w:pos="5585"/>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本人</w:t>
      </w:r>
      <w:r>
        <w:rPr>
          <w:rFonts w:ascii="微软雅黑" w:hAnsi="微软雅黑" w:eastAsia="微软雅黑" w:cstheme="minorBidi"/>
          <w:kern w:val="0"/>
          <w:sz w:val="24"/>
          <w:szCs w:val="24"/>
          <w:highlight w:val="none"/>
          <w:u w:val="single" w:color="000000"/>
          <w:lang w:val="en-US" w:eastAsia="zh-CN" w:bidi="ar-SA"/>
        </w:rPr>
        <w:tab/>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姓</w:t>
      </w:r>
      <w:r>
        <w:rPr>
          <w:rFonts w:ascii="微软雅黑" w:hAnsi="微软雅黑" w:eastAsia="微软雅黑" w:cstheme="minorBidi"/>
          <w:kern w:val="0"/>
          <w:sz w:val="24"/>
          <w:szCs w:val="24"/>
          <w:highlight w:val="none"/>
          <w:lang w:val="en-US" w:eastAsia="zh-CN" w:bidi="ar-SA"/>
        </w:rPr>
        <w:t>名）</w:t>
      </w:r>
      <w:r>
        <w:rPr>
          <w:rFonts w:ascii="微软雅黑" w:hAnsi="微软雅黑" w:eastAsia="微软雅黑" w:cstheme="minorBidi"/>
          <w:spacing w:val="-1"/>
          <w:kern w:val="0"/>
          <w:sz w:val="24"/>
          <w:szCs w:val="24"/>
          <w:highlight w:val="none"/>
          <w:lang w:val="en-US" w:eastAsia="zh-CN" w:bidi="ar-SA"/>
        </w:rPr>
        <w:t>系</w:t>
      </w:r>
      <w:r>
        <w:rPr>
          <w:rFonts w:ascii="微软雅黑" w:hAnsi="微软雅黑" w:eastAsia="微软雅黑" w:cstheme="minorBidi"/>
          <w:spacing w:val="-1"/>
          <w:kern w:val="0"/>
          <w:sz w:val="24"/>
          <w:szCs w:val="24"/>
          <w:highlight w:val="none"/>
          <w:u w:val="single" w:color="000000"/>
          <w:lang w:val="en-US" w:eastAsia="zh-CN" w:bidi="ar-SA"/>
        </w:rPr>
        <w:tab/>
      </w:r>
      <w:r>
        <w:rPr>
          <w:rFonts w:ascii="微软雅黑" w:hAnsi="微软雅黑" w:eastAsia="微软雅黑" w:cstheme="minorBidi"/>
          <w:kern w:val="0"/>
          <w:sz w:val="24"/>
          <w:szCs w:val="24"/>
          <w:highlight w:val="none"/>
          <w:lang w:val="en-US" w:eastAsia="zh-CN" w:bidi="ar-SA"/>
        </w:rPr>
        <w:t>（</w:t>
      </w:r>
      <w:r>
        <w:rPr>
          <w:rFonts w:hint="eastAsia" w:ascii="微软雅黑" w:hAnsi="微软雅黑" w:eastAsia="微软雅黑" w:cstheme="minorBidi"/>
          <w:kern w:val="0"/>
          <w:sz w:val="24"/>
          <w:szCs w:val="24"/>
          <w:highlight w:val="none"/>
          <w:lang w:val="en-US" w:eastAsia="zh-CN" w:bidi="ar-SA"/>
        </w:rPr>
        <w:t>应答人</w:t>
      </w:r>
      <w:r>
        <w:rPr>
          <w:rFonts w:ascii="微软雅黑" w:hAnsi="微软雅黑" w:eastAsia="微软雅黑" w:cstheme="minorBidi"/>
          <w:spacing w:val="-3"/>
          <w:kern w:val="0"/>
          <w:sz w:val="24"/>
          <w:szCs w:val="24"/>
          <w:highlight w:val="none"/>
          <w:lang w:val="en-US" w:eastAsia="zh-CN" w:bidi="ar-SA"/>
        </w:rPr>
        <w:t>名</w:t>
      </w:r>
      <w:r>
        <w:rPr>
          <w:rFonts w:ascii="微软雅黑" w:hAnsi="微软雅黑" w:eastAsia="微软雅黑" w:cstheme="minorBidi"/>
          <w:kern w:val="0"/>
          <w:sz w:val="24"/>
          <w:szCs w:val="24"/>
          <w:highlight w:val="none"/>
          <w:lang w:val="en-US" w:eastAsia="zh-CN" w:bidi="ar-SA"/>
        </w:rPr>
        <w:t>称）的</w:t>
      </w:r>
      <w:r>
        <w:rPr>
          <w:rFonts w:ascii="微软雅黑" w:hAnsi="微软雅黑" w:eastAsia="微软雅黑" w:cstheme="minorBidi"/>
          <w:spacing w:val="-3"/>
          <w:kern w:val="0"/>
          <w:sz w:val="24"/>
          <w:szCs w:val="24"/>
          <w:highlight w:val="none"/>
          <w:lang w:val="en-US" w:eastAsia="zh-CN" w:bidi="ar-SA"/>
        </w:rPr>
        <w:t>法定</w:t>
      </w:r>
      <w:r>
        <w:rPr>
          <w:rFonts w:ascii="微软雅黑" w:hAnsi="微软雅黑" w:eastAsia="微软雅黑" w:cstheme="minorBidi"/>
          <w:kern w:val="0"/>
          <w:sz w:val="24"/>
          <w:szCs w:val="24"/>
          <w:highlight w:val="none"/>
          <w:lang w:val="en-US" w:eastAsia="zh-CN" w:bidi="ar-SA"/>
        </w:rPr>
        <w:t>代表人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单位负责</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spacing w:val="-104"/>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现</w:t>
      </w:r>
      <w:r>
        <w:rPr>
          <w:rFonts w:ascii="微软雅黑" w:hAnsi="微软雅黑" w:eastAsia="微软雅黑" w:cstheme="minorBidi"/>
          <w:kern w:val="0"/>
          <w:sz w:val="24"/>
          <w:szCs w:val="24"/>
          <w:highlight w:val="none"/>
          <w:lang w:val="en-US" w:eastAsia="zh-CN" w:bidi="ar-SA"/>
        </w:rPr>
        <w:t>委</w:t>
      </w:r>
      <w:r>
        <w:rPr>
          <w:rFonts w:ascii="微软雅黑" w:hAnsi="微软雅黑" w:eastAsia="微软雅黑" w:cstheme="minorBidi"/>
          <w:spacing w:val="-1"/>
          <w:kern w:val="0"/>
          <w:sz w:val="24"/>
          <w:szCs w:val="24"/>
          <w:highlight w:val="none"/>
          <w:lang w:val="en-US" w:eastAsia="zh-CN" w:bidi="ar-SA"/>
        </w:rPr>
        <w:t>托</w:t>
      </w:r>
      <w:r>
        <w:rPr>
          <w:rFonts w:ascii="微软雅黑" w:hAnsi="微软雅黑" w:eastAsia="微软雅黑" w:cstheme="minorBidi"/>
          <w:spacing w:val="-1"/>
          <w:kern w:val="0"/>
          <w:sz w:val="24"/>
          <w:szCs w:val="24"/>
          <w:highlight w:val="none"/>
          <w:u w:val="single" w:color="000000"/>
          <w:lang w:val="en-US" w:eastAsia="zh-CN" w:bidi="ar-SA"/>
        </w:rPr>
        <w:tab/>
      </w:r>
      <w:r>
        <w:rPr>
          <w:rFonts w:ascii="微软雅黑" w:hAnsi="微软雅黑" w:eastAsia="微软雅黑" w:cstheme="minorBidi"/>
          <w:kern w:val="0"/>
          <w:sz w:val="24"/>
          <w:szCs w:val="24"/>
          <w:highlight w:val="none"/>
          <w:lang w:val="en-US" w:eastAsia="zh-CN" w:bidi="ar-SA"/>
        </w:rPr>
        <w:t>（姓名）为我</w:t>
      </w:r>
      <w:r>
        <w:rPr>
          <w:rFonts w:ascii="微软雅黑" w:hAnsi="微软雅黑" w:eastAsia="微软雅黑" w:cstheme="minorBidi"/>
          <w:spacing w:val="-3"/>
          <w:kern w:val="0"/>
          <w:sz w:val="24"/>
          <w:szCs w:val="24"/>
          <w:highlight w:val="none"/>
          <w:lang w:val="en-US" w:eastAsia="zh-CN" w:bidi="ar-SA"/>
        </w:rPr>
        <w:t>方代</w:t>
      </w:r>
      <w:r>
        <w:rPr>
          <w:rFonts w:ascii="微软雅黑" w:hAnsi="微软雅黑" w:eastAsia="微软雅黑" w:cstheme="minorBidi"/>
          <w:kern w:val="0"/>
          <w:sz w:val="24"/>
          <w:szCs w:val="24"/>
          <w:highlight w:val="none"/>
          <w:lang w:val="en-US" w:eastAsia="zh-CN" w:bidi="ar-SA"/>
        </w:rPr>
        <w:t>理人。代理</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根据授</w:t>
      </w:r>
      <w:r>
        <w:rPr>
          <w:rFonts w:ascii="微软雅黑" w:hAnsi="微软雅黑" w:eastAsia="微软雅黑" w:cstheme="minorBidi"/>
          <w:spacing w:val="-3"/>
          <w:kern w:val="0"/>
          <w:sz w:val="24"/>
          <w:szCs w:val="24"/>
          <w:highlight w:val="none"/>
          <w:lang w:val="en-US" w:eastAsia="zh-CN" w:bidi="ar-SA"/>
        </w:rPr>
        <w:t>权，</w:t>
      </w:r>
      <w:r>
        <w:rPr>
          <w:rFonts w:ascii="微软雅黑" w:hAnsi="微软雅黑" w:eastAsia="微软雅黑" w:cstheme="minorBidi"/>
          <w:kern w:val="0"/>
          <w:sz w:val="24"/>
          <w:szCs w:val="24"/>
          <w:highlight w:val="none"/>
          <w:lang w:val="en-US" w:eastAsia="zh-CN" w:bidi="ar-SA"/>
        </w:rPr>
        <w:t>以我方名义</w:t>
      </w:r>
      <w:r>
        <w:rPr>
          <w:rFonts w:ascii="微软雅黑" w:hAnsi="微软雅黑" w:eastAsia="微软雅黑" w:cstheme="minorBidi"/>
          <w:spacing w:val="-3"/>
          <w:kern w:val="0"/>
          <w:sz w:val="24"/>
          <w:szCs w:val="24"/>
          <w:highlight w:val="none"/>
          <w:lang w:val="en-US" w:eastAsia="zh-CN" w:bidi="ar-SA"/>
        </w:rPr>
        <w:t>签</w:t>
      </w:r>
      <w:r>
        <w:rPr>
          <w:rFonts w:ascii="微软雅黑" w:hAnsi="微软雅黑" w:eastAsia="微软雅黑" w:cstheme="minorBidi"/>
          <w:kern w:val="0"/>
          <w:sz w:val="24"/>
          <w:szCs w:val="24"/>
          <w:highlight w:val="none"/>
          <w:lang w:val="en-US" w:eastAsia="zh-CN" w:bidi="ar-SA"/>
        </w:rPr>
        <w:t>署、澄清</w:t>
      </w:r>
      <w:r>
        <w:rPr>
          <w:rFonts w:hint="eastAsia"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确认、递交</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撤回</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修改</w:t>
      </w:r>
      <w:r>
        <w:rPr>
          <w:rFonts w:hint="eastAsia" w:ascii="微软雅黑" w:hAnsi="微软雅黑" w:eastAsia="微软雅黑" w:cstheme="minorBidi"/>
          <w:kern w:val="0"/>
          <w:sz w:val="24"/>
          <w:szCs w:val="24"/>
          <w:highlight w:val="none"/>
          <w:lang w:val="en-US" w:eastAsia="zh-CN" w:bidi="ar-SA"/>
        </w:rPr>
        <w:t>服务</w:t>
      </w:r>
      <w:r>
        <w:rPr>
          <w:rFonts w:ascii="微软雅黑" w:hAnsi="微软雅黑" w:eastAsia="微软雅黑" w:cstheme="minorBidi"/>
          <w:kern w:val="0"/>
          <w:sz w:val="24"/>
          <w:szCs w:val="24"/>
          <w:highlight w:val="none"/>
          <w:lang w:val="en-US" w:eastAsia="zh-CN" w:bidi="ar-SA"/>
        </w:rPr>
        <w:t>采购询价项目</w:t>
      </w:r>
      <w:r>
        <w:rPr>
          <w:rFonts w:hint="eastAsia" w:ascii="微软雅黑" w:hAnsi="微软雅黑" w:eastAsia="微软雅黑" w:cstheme="minorBidi"/>
          <w:kern w:val="0"/>
          <w:sz w:val="24"/>
          <w:szCs w:val="24"/>
          <w:highlight w:val="none"/>
          <w:lang w:val="en-US" w:eastAsia="zh-CN" w:bidi="ar-SA"/>
        </w:rPr>
        <w:t>报价</w:t>
      </w:r>
      <w:r>
        <w:rPr>
          <w:rFonts w:ascii="微软雅黑" w:hAnsi="微软雅黑" w:eastAsia="微软雅黑" w:cstheme="minorBidi"/>
          <w:kern w:val="0"/>
          <w:sz w:val="24"/>
          <w:szCs w:val="24"/>
          <w:highlight w:val="none"/>
          <w:lang w:val="en-US" w:eastAsia="zh-CN" w:bidi="ar-SA"/>
        </w:rPr>
        <w:t>文件、签订合</w:t>
      </w:r>
      <w:r>
        <w:rPr>
          <w:rFonts w:ascii="微软雅黑" w:hAnsi="微软雅黑" w:eastAsia="微软雅黑" w:cstheme="minorBidi"/>
          <w:spacing w:val="-3"/>
          <w:kern w:val="0"/>
          <w:sz w:val="24"/>
          <w:szCs w:val="24"/>
          <w:highlight w:val="none"/>
          <w:lang w:val="en-US" w:eastAsia="zh-CN" w:bidi="ar-SA"/>
        </w:rPr>
        <w:t>同</w:t>
      </w:r>
      <w:r>
        <w:rPr>
          <w:rFonts w:ascii="微软雅黑" w:hAnsi="微软雅黑" w:eastAsia="微软雅黑" w:cstheme="minorBidi"/>
          <w:kern w:val="0"/>
          <w:sz w:val="24"/>
          <w:szCs w:val="24"/>
          <w:highlight w:val="none"/>
          <w:lang w:val="en-US" w:eastAsia="zh-CN" w:bidi="ar-SA"/>
        </w:rPr>
        <w:t>和处</w:t>
      </w:r>
      <w:r>
        <w:rPr>
          <w:rFonts w:ascii="微软雅黑" w:hAnsi="微软雅黑" w:eastAsia="微软雅黑" w:cstheme="minorBidi"/>
          <w:spacing w:val="-3"/>
          <w:kern w:val="0"/>
          <w:sz w:val="24"/>
          <w:szCs w:val="24"/>
          <w:highlight w:val="none"/>
          <w:lang w:val="en-US" w:eastAsia="zh-CN" w:bidi="ar-SA"/>
        </w:rPr>
        <w:t>理</w:t>
      </w:r>
      <w:r>
        <w:rPr>
          <w:rFonts w:ascii="微软雅黑" w:hAnsi="微软雅黑" w:eastAsia="微软雅黑" w:cstheme="minorBidi"/>
          <w:kern w:val="0"/>
          <w:sz w:val="24"/>
          <w:szCs w:val="24"/>
          <w:highlight w:val="none"/>
          <w:lang w:val="en-US" w:eastAsia="zh-CN" w:bidi="ar-SA"/>
        </w:rPr>
        <w:t>有关事宜，其</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律后果</w:t>
      </w:r>
      <w:r>
        <w:rPr>
          <w:rFonts w:ascii="微软雅黑" w:hAnsi="微软雅黑" w:eastAsia="微软雅黑" w:cstheme="minorBidi"/>
          <w:spacing w:val="-3"/>
          <w:kern w:val="0"/>
          <w:sz w:val="24"/>
          <w:szCs w:val="24"/>
          <w:highlight w:val="none"/>
          <w:lang w:val="en-US" w:eastAsia="zh-CN" w:bidi="ar-SA"/>
        </w:rPr>
        <w:t>由</w:t>
      </w:r>
      <w:r>
        <w:rPr>
          <w:rFonts w:ascii="微软雅黑" w:hAnsi="微软雅黑" w:eastAsia="微软雅黑" w:cstheme="minorBidi"/>
          <w:kern w:val="0"/>
          <w:sz w:val="24"/>
          <w:szCs w:val="24"/>
          <w:highlight w:val="none"/>
          <w:lang w:val="en-US" w:eastAsia="zh-CN" w:bidi="ar-SA"/>
        </w:rPr>
        <w:t>我</w:t>
      </w:r>
      <w:r>
        <w:rPr>
          <w:rFonts w:ascii="微软雅黑" w:hAnsi="微软雅黑" w:eastAsia="微软雅黑" w:cstheme="minorBidi"/>
          <w:spacing w:val="-3"/>
          <w:kern w:val="0"/>
          <w:sz w:val="24"/>
          <w:szCs w:val="24"/>
          <w:highlight w:val="none"/>
          <w:lang w:val="en-US" w:eastAsia="zh-CN" w:bidi="ar-SA"/>
        </w:rPr>
        <w:t>方</w:t>
      </w:r>
      <w:r>
        <w:rPr>
          <w:rFonts w:ascii="微软雅黑" w:hAnsi="微软雅黑" w:eastAsia="微软雅黑" w:cstheme="minorBidi"/>
          <w:kern w:val="0"/>
          <w:sz w:val="24"/>
          <w:szCs w:val="24"/>
          <w:highlight w:val="none"/>
          <w:lang w:val="en-US" w:eastAsia="zh-CN" w:bidi="ar-SA"/>
        </w:rPr>
        <w:t>承</w:t>
      </w:r>
      <w:r>
        <w:rPr>
          <w:rFonts w:ascii="微软雅黑" w:hAnsi="微软雅黑" w:eastAsia="微软雅黑" w:cstheme="minorBidi"/>
          <w:spacing w:val="-3"/>
          <w:kern w:val="0"/>
          <w:sz w:val="24"/>
          <w:szCs w:val="24"/>
          <w:highlight w:val="none"/>
          <w:lang w:val="en-US" w:eastAsia="zh-CN" w:bidi="ar-SA"/>
        </w:rPr>
        <w:t>担</w:t>
      </w:r>
      <w:r>
        <w:rPr>
          <w:rFonts w:ascii="微软雅黑" w:hAnsi="微软雅黑" w:eastAsia="微软雅黑" w:cstheme="minorBidi"/>
          <w:kern w:val="0"/>
          <w:sz w:val="24"/>
          <w:szCs w:val="24"/>
          <w:highlight w:val="none"/>
          <w:lang w:val="en-US" w:eastAsia="zh-CN" w:bidi="ar-SA"/>
        </w:rPr>
        <w:t>。</w:t>
      </w:r>
    </w:p>
    <w:p>
      <w:pPr>
        <w:keepNext w:val="0"/>
        <w:keepLines w:val="0"/>
        <w:pageBreakBefore w:val="0"/>
        <w:widowControl w:val="0"/>
        <w:tabs>
          <w:tab w:val="left" w:pos="142"/>
          <w:tab w:val="left" w:pos="3566"/>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委托</w:t>
      </w:r>
      <w:r>
        <w:rPr>
          <w:rFonts w:ascii="微软雅黑" w:hAnsi="微软雅黑" w:eastAsia="微软雅黑" w:cstheme="minorBidi"/>
          <w:spacing w:val="-3"/>
          <w:kern w:val="0"/>
          <w:sz w:val="24"/>
          <w:szCs w:val="24"/>
          <w:highlight w:val="none"/>
          <w:lang w:val="en-US" w:eastAsia="zh-CN" w:bidi="ar-SA"/>
        </w:rPr>
        <w:t>期</w:t>
      </w:r>
      <w:r>
        <w:rPr>
          <w:rFonts w:ascii="微软雅黑" w:hAnsi="微软雅黑" w:eastAsia="微软雅黑" w:cstheme="minorBidi"/>
          <w:kern w:val="0"/>
          <w:sz w:val="24"/>
          <w:szCs w:val="24"/>
          <w:highlight w:val="none"/>
          <w:lang w:val="en-US" w:eastAsia="zh-CN" w:bidi="ar-SA"/>
        </w:rPr>
        <w:t>限</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spacing w:val="-3"/>
          <w:kern w:val="0"/>
          <w:sz w:val="24"/>
          <w:szCs w:val="24"/>
          <w:highlight w:val="none"/>
          <w:u w:val="single" w:color="000000"/>
          <w:lang w:val="en-US" w:eastAsia="zh-CN" w:bidi="ar-SA"/>
        </w:rPr>
        <w:tab/>
      </w:r>
      <w:r>
        <w:rPr>
          <w:rFonts w:ascii="微软雅黑" w:hAnsi="微软雅黑" w:eastAsia="微软雅黑" w:cstheme="minorBidi"/>
          <w:kern w:val="0"/>
          <w:sz w:val="24"/>
          <w:szCs w:val="24"/>
          <w:highlight w:val="none"/>
          <w:lang w:val="en-US" w:eastAsia="zh-CN" w:bidi="ar-SA"/>
        </w:rPr>
        <w:t>。</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代理</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无</w:t>
      </w:r>
      <w:r>
        <w:rPr>
          <w:rFonts w:ascii="微软雅黑" w:hAnsi="微软雅黑" w:eastAsia="微软雅黑" w:cstheme="minorBidi"/>
          <w:spacing w:val="-3"/>
          <w:kern w:val="0"/>
          <w:sz w:val="24"/>
          <w:szCs w:val="24"/>
          <w:highlight w:val="none"/>
          <w:lang w:val="en-US" w:eastAsia="zh-CN" w:bidi="ar-SA"/>
        </w:rPr>
        <w:t>转</w:t>
      </w:r>
      <w:r>
        <w:rPr>
          <w:rFonts w:ascii="微软雅黑" w:hAnsi="微软雅黑" w:eastAsia="微软雅黑" w:cstheme="minorBidi"/>
          <w:kern w:val="0"/>
          <w:sz w:val="24"/>
          <w:szCs w:val="24"/>
          <w:highlight w:val="none"/>
          <w:lang w:val="en-US" w:eastAsia="zh-CN" w:bidi="ar-SA"/>
        </w:rPr>
        <w:t>委</w:t>
      </w:r>
      <w:r>
        <w:rPr>
          <w:rFonts w:ascii="微软雅黑" w:hAnsi="微软雅黑" w:eastAsia="微软雅黑" w:cstheme="minorBidi"/>
          <w:spacing w:val="-3"/>
          <w:kern w:val="0"/>
          <w:sz w:val="24"/>
          <w:szCs w:val="24"/>
          <w:highlight w:val="none"/>
          <w:lang w:val="en-US" w:eastAsia="zh-CN" w:bidi="ar-SA"/>
        </w:rPr>
        <w:t>托</w:t>
      </w:r>
      <w:r>
        <w:rPr>
          <w:rFonts w:ascii="微软雅黑" w:hAnsi="微软雅黑" w:eastAsia="微软雅黑" w:cstheme="minorBidi"/>
          <w:kern w:val="0"/>
          <w:sz w:val="24"/>
          <w:szCs w:val="24"/>
          <w:highlight w:val="none"/>
          <w:lang w:val="en-US" w:eastAsia="zh-CN" w:bidi="ar-SA"/>
        </w:rPr>
        <w:t xml:space="preserve">权。 </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及</w:t>
      </w:r>
      <w:r>
        <w:rPr>
          <w:rFonts w:ascii="微软雅黑" w:hAnsi="微软雅黑" w:eastAsia="微软雅黑" w:cstheme="minorBidi"/>
          <w:spacing w:val="-3"/>
          <w:kern w:val="0"/>
          <w:sz w:val="24"/>
          <w:szCs w:val="24"/>
          <w:highlight w:val="none"/>
          <w:lang w:val="en-US" w:eastAsia="zh-CN" w:bidi="ar-SA"/>
        </w:rPr>
        <w:t>委</w:t>
      </w:r>
      <w:r>
        <w:rPr>
          <w:rFonts w:ascii="微软雅黑" w:hAnsi="微软雅黑" w:eastAsia="微软雅黑" w:cstheme="minorBidi"/>
          <w:kern w:val="0"/>
          <w:sz w:val="24"/>
          <w:szCs w:val="24"/>
          <w:highlight w:val="none"/>
          <w:lang w:val="en-US" w:eastAsia="zh-CN" w:bidi="ar-SA"/>
        </w:rPr>
        <w:t>托代</w:t>
      </w:r>
      <w:r>
        <w:rPr>
          <w:rFonts w:ascii="微软雅黑" w:hAnsi="微软雅黑" w:eastAsia="微软雅黑" w:cstheme="minorBidi"/>
          <w:spacing w:val="-3"/>
          <w:kern w:val="0"/>
          <w:sz w:val="24"/>
          <w:szCs w:val="24"/>
          <w:highlight w:val="none"/>
          <w:lang w:val="en-US" w:eastAsia="zh-CN" w:bidi="ar-SA"/>
        </w:rPr>
        <w:t>理</w:t>
      </w:r>
      <w:r>
        <w:rPr>
          <w:rFonts w:ascii="微软雅黑" w:hAnsi="微软雅黑" w:eastAsia="微软雅黑" w:cstheme="minorBidi"/>
          <w:kern w:val="0"/>
          <w:sz w:val="24"/>
          <w:szCs w:val="24"/>
          <w:highlight w:val="none"/>
          <w:lang w:val="en-US" w:eastAsia="zh-CN" w:bidi="ar-SA"/>
        </w:rPr>
        <w:t>人</w:t>
      </w:r>
      <w:r>
        <w:rPr>
          <w:rFonts w:ascii="微软雅黑" w:hAnsi="微软雅黑" w:eastAsia="微软雅黑" w:cstheme="minorBidi"/>
          <w:spacing w:val="-3"/>
          <w:kern w:val="0"/>
          <w:sz w:val="24"/>
          <w:szCs w:val="24"/>
          <w:highlight w:val="none"/>
          <w:lang w:val="en-US" w:eastAsia="zh-CN" w:bidi="ar-SA"/>
        </w:rPr>
        <w:t>身</w:t>
      </w:r>
      <w:r>
        <w:rPr>
          <w:rFonts w:ascii="微软雅黑" w:hAnsi="微软雅黑" w:eastAsia="微软雅黑" w:cstheme="minorBidi"/>
          <w:kern w:val="0"/>
          <w:sz w:val="24"/>
          <w:szCs w:val="24"/>
          <w:highlight w:val="none"/>
          <w:lang w:val="en-US" w:eastAsia="zh-CN" w:bidi="ar-SA"/>
        </w:rPr>
        <w:t>份</w:t>
      </w:r>
      <w:r>
        <w:rPr>
          <w:rFonts w:ascii="微软雅黑" w:hAnsi="微软雅黑" w:eastAsia="微软雅黑" w:cstheme="minorBidi"/>
          <w:spacing w:val="-3"/>
          <w:kern w:val="0"/>
          <w:sz w:val="24"/>
          <w:szCs w:val="24"/>
          <w:highlight w:val="none"/>
          <w:lang w:val="en-US" w:eastAsia="zh-CN" w:bidi="ar-SA"/>
        </w:rPr>
        <w:t>证</w:t>
      </w:r>
      <w:r>
        <w:rPr>
          <w:rFonts w:ascii="微软雅黑" w:hAnsi="微软雅黑" w:eastAsia="微软雅黑" w:cstheme="minorBidi"/>
          <w:kern w:val="0"/>
          <w:sz w:val="24"/>
          <w:szCs w:val="24"/>
          <w:highlight w:val="none"/>
          <w:lang w:val="en-US" w:eastAsia="zh-CN" w:bidi="ar-SA"/>
        </w:rPr>
        <w:t>复</w:t>
      </w:r>
      <w:r>
        <w:rPr>
          <w:rFonts w:ascii="微软雅黑" w:hAnsi="微软雅黑" w:eastAsia="微软雅黑" w:cstheme="minorBidi"/>
          <w:spacing w:val="-3"/>
          <w:kern w:val="0"/>
          <w:sz w:val="24"/>
          <w:szCs w:val="24"/>
          <w:highlight w:val="none"/>
          <w:lang w:val="en-US" w:eastAsia="zh-CN" w:bidi="ar-SA"/>
        </w:rPr>
        <w:t>印</w:t>
      </w:r>
      <w:r>
        <w:rPr>
          <w:rFonts w:ascii="微软雅黑" w:hAnsi="微软雅黑" w:eastAsia="微软雅黑" w:cstheme="minorBidi"/>
          <w:kern w:val="0"/>
          <w:sz w:val="24"/>
          <w:szCs w:val="24"/>
          <w:highlight w:val="none"/>
          <w:lang w:val="en-US" w:eastAsia="zh-CN" w:bidi="ar-SA"/>
        </w:rPr>
        <w:t>件</w:t>
      </w:r>
    </w:p>
    <w:p>
      <w:pPr>
        <w:keepNext w:val="0"/>
        <w:keepLines w:val="0"/>
        <w:pageBreakBefore w:val="0"/>
        <w:widowControl w:val="0"/>
        <w:tabs>
          <w:tab w:val="left" w:pos="142"/>
        </w:tabs>
        <w:kinsoku/>
        <w:overflowPunct/>
        <w:topLinePunct w:val="0"/>
        <w:autoSpaceDE/>
        <w:autoSpaceDN/>
        <w:bidi w:val="0"/>
        <w:adjustRightInd/>
        <w:snapToGrid/>
        <w:spacing w:before="36"/>
        <w:ind w:left="420" w:leftChars="200" w:right="11"/>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注：本授权委托</w:t>
      </w:r>
      <w:r>
        <w:rPr>
          <w:rFonts w:ascii="微软雅黑" w:hAnsi="微软雅黑" w:eastAsia="微软雅黑" w:cstheme="minorBidi"/>
          <w:spacing w:val="-3"/>
          <w:kern w:val="0"/>
          <w:sz w:val="24"/>
          <w:szCs w:val="24"/>
          <w:highlight w:val="none"/>
          <w:lang w:val="en-US" w:eastAsia="zh-CN" w:bidi="ar-SA"/>
        </w:rPr>
        <w:t>书</w:t>
      </w:r>
      <w:r>
        <w:rPr>
          <w:rFonts w:ascii="微软雅黑" w:hAnsi="微软雅黑" w:eastAsia="微软雅黑" w:cstheme="minorBidi"/>
          <w:kern w:val="0"/>
          <w:sz w:val="24"/>
          <w:szCs w:val="24"/>
          <w:highlight w:val="none"/>
          <w:lang w:val="en-US" w:eastAsia="zh-CN" w:bidi="ar-SA"/>
        </w:rPr>
        <w:t>需由</w:t>
      </w:r>
      <w:r>
        <w:rPr>
          <w:rFonts w:hint="eastAsia" w:ascii="微软雅黑" w:hAnsi="微软雅黑" w:eastAsia="微软雅黑" w:cstheme="minorBidi"/>
          <w:spacing w:val="-3"/>
          <w:kern w:val="0"/>
          <w:sz w:val="24"/>
          <w:szCs w:val="24"/>
          <w:highlight w:val="none"/>
          <w:lang w:val="en-US" w:eastAsia="zh-CN" w:bidi="ar-SA"/>
        </w:rPr>
        <w:t>应答人</w:t>
      </w:r>
      <w:r>
        <w:rPr>
          <w:rFonts w:ascii="微软雅黑" w:hAnsi="微软雅黑" w:eastAsia="微软雅黑" w:cstheme="minorBidi"/>
          <w:kern w:val="0"/>
          <w:sz w:val="24"/>
          <w:szCs w:val="24"/>
          <w:highlight w:val="none"/>
          <w:lang w:val="en-US" w:eastAsia="zh-CN" w:bidi="ar-SA"/>
        </w:rPr>
        <w:t>加盖单位公</w:t>
      </w:r>
      <w:r>
        <w:rPr>
          <w:rFonts w:ascii="微软雅黑" w:hAnsi="微软雅黑" w:eastAsia="微软雅黑" w:cstheme="minorBidi"/>
          <w:spacing w:val="-3"/>
          <w:kern w:val="0"/>
          <w:sz w:val="24"/>
          <w:szCs w:val="24"/>
          <w:highlight w:val="none"/>
          <w:lang w:val="en-US" w:eastAsia="zh-CN" w:bidi="ar-SA"/>
        </w:rPr>
        <w:t>章</w:t>
      </w:r>
      <w:r>
        <w:rPr>
          <w:rFonts w:ascii="微软雅黑" w:hAnsi="微软雅黑" w:eastAsia="微软雅黑" w:cstheme="minorBidi"/>
          <w:kern w:val="0"/>
          <w:sz w:val="24"/>
          <w:szCs w:val="24"/>
          <w:highlight w:val="none"/>
          <w:lang w:val="en-US" w:eastAsia="zh-CN" w:bidi="ar-SA"/>
        </w:rPr>
        <w:t>并由</w:t>
      </w:r>
      <w:r>
        <w:rPr>
          <w:rFonts w:ascii="微软雅黑" w:hAnsi="微软雅黑" w:eastAsia="微软雅黑" w:cstheme="minorBidi"/>
          <w:spacing w:val="-3"/>
          <w:kern w:val="0"/>
          <w:sz w:val="24"/>
          <w:szCs w:val="24"/>
          <w:highlight w:val="none"/>
          <w:lang w:val="en-US" w:eastAsia="zh-CN" w:bidi="ar-SA"/>
        </w:rPr>
        <w:t>其</w:t>
      </w:r>
      <w:r>
        <w:rPr>
          <w:rFonts w:ascii="微软雅黑" w:hAnsi="微软雅黑" w:eastAsia="微软雅黑" w:cstheme="minorBidi"/>
          <w:kern w:val="0"/>
          <w:sz w:val="24"/>
          <w:szCs w:val="24"/>
          <w:highlight w:val="none"/>
          <w:lang w:val="en-US" w:eastAsia="zh-CN" w:bidi="ar-SA"/>
        </w:rPr>
        <w:t>法定代表人（单</w:t>
      </w:r>
      <w:r>
        <w:rPr>
          <w:rFonts w:ascii="微软雅黑" w:hAnsi="微软雅黑" w:eastAsia="微软雅黑" w:cstheme="minorBidi"/>
          <w:spacing w:val="-3"/>
          <w:kern w:val="0"/>
          <w:sz w:val="24"/>
          <w:szCs w:val="24"/>
          <w:highlight w:val="none"/>
          <w:lang w:val="en-US" w:eastAsia="zh-CN" w:bidi="ar-SA"/>
        </w:rPr>
        <w:t>位</w:t>
      </w:r>
      <w:r>
        <w:rPr>
          <w:rFonts w:ascii="微软雅黑" w:hAnsi="微软雅黑" w:eastAsia="微软雅黑" w:cstheme="minorBidi"/>
          <w:kern w:val="0"/>
          <w:sz w:val="24"/>
          <w:szCs w:val="24"/>
          <w:highlight w:val="none"/>
          <w:lang w:val="en-US" w:eastAsia="zh-CN" w:bidi="ar-SA"/>
        </w:rPr>
        <w:t>负责</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）和委托代理</w:t>
      </w:r>
      <w:r>
        <w:rPr>
          <w:rFonts w:ascii="微软雅黑" w:hAnsi="微软雅黑" w:eastAsia="微软雅黑" w:cstheme="minorBidi"/>
          <w:spacing w:val="-2"/>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签字。</w:t>
      </w: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0"/>
          <w:szCs w:val="20"/>
          <w:highlight w:val="none"/>
        </w:rPr>
      </w:pP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4"/>
          <w:szCs w:val="24"/>
          <w:highlight w:val="none"/>
        </w:rPr>
      </w:pPr>
    </w:p>
    <w:p>
      <w:pPr>
        <w:keepNext w:val="0"/>
        <w:keepLines w:val="0"/>
        <w:pageBreakBefore w:val="0"/>
        <w:widowControl w:val="0"/>
        <w:kinsoku/>
        <w:wordWrap w:val="0"/>
        <w:overflowPunct/>
        <w:topLinePunct w:val="0"/>
        <w:autoSpaceDE/>
        <w:autoSpaceDN/>
        <w:bidi w:val="0"/>
        <w:adjustRightInd/>
        <w:snapToGrid/>
        <w:spacing w:before="36" w:after="120" w:afterLines="50"/>
        <w:ind w:left="780" w:right="11" w:firstLine="480"/>
        <w:jc w:val="center"/>
        <w:textAlignment w:val="auto"/>
        <w:outlineLvl w:val="9"/>
        <w:rPr>
          <w:rFonts w:ascii="微软雅黑" w:hAnsi="微软雅黑" w:eastAsia="微软雅黑" w:cstheme="minorBidi"/>
          <w:kern w:val="0"/>
          <w:sz w:val="24"/>
          <w:szCs w:val="24"/>
          <w:highlight w:val="none"/>
          <w:lang w:val="en-US" w:eastAsia="zh-CN" w:bidi="ar-SA"/>
        </w:rPr>
      </w:pPr>
      <w:r>
        <w:rPr>
          <w:rFonts w:hint="eastAsia" w:ascii="微软雅黑" w:hAnsi="微软雅黑" w:eastAsia="微软雅黑" w:cstheme="minorBidi"/>
          <w:kern w:val="0"/>
          <w:sz w:val="24"/>
          <w:szCs w:val="24"/>
          <w:highlight w:val="none"/>
          <w:lang w:val="en-US" w:eastAsia="zh-CN" w:bidi="ar-SA"/>
        </w:rPr>
        <w:t>应答人</w:t>
      </w:r>
      <w:r>
        <w:rPr>
          <w:rFonts w:ascii="微软雅黑" w:hAnsi="微软雅黑" w:eastAsia="微软雅黑" w:cstheme="minorBidi"/>
          <w:spacing w:val="-3"/>
          <w:kern w:val="0"/>
          <w:sz w:val="24"/>
          <w:szCs w:val="24"/>
          <w:highlight w:val="none"/>
          <w:lang w:val="en-US" w:eastAsia="zh-CN" w:bidi="ar-SA"/>
        </w:rPr>
        <w:t>：</w:t>
      </w:r>
      <w:r>
        <w:rPr>
          <w:rFonts w:hint="eastAsia" w:ascii="微软雅黑" w:hAnsi="微软雅黑" w:eastAsia="微软雅黑" w:cstheme="minorBidi"/>
          <w:spacing w:val="-3"/>
          <w:kern w:val="0"/>
          <w:sz w:val="24"/>
          <w:szCs w:val="24"/>
          <w:highlight w:val="none"/>
          <w:u w:val="single" w:color="000000"/>
          <w:lang w:val="en-US" w:eastAsia="zh-CN" w:bidi="ar-SA"/>
        </w:rPr>
        <w:t xml:space="preserve">                                     </w:t>
      </w:r>
      <w:r>
        <w:rPr>
          <w:rFonts w:ascii="微软雅黑" w:hAnsi="微软雅黑" w:eastAsia="微软雅黑" w:cstheme="minorBidi"/>
          <w:kern w:val="0"/>
          <w:sz w:val="24"/>
          <w:szCs w:val="24"/>
          <w:highlight w:val="none"/>
          <w:lang w:val="en-US" w:eastAsia="zh-CN" w:bidi="ar-SA"/>
        </w:rPr>
        <w:t>（单</w:t>
      </w:r>
      <w:r>
        <w:rPr>
          <w:rFonts w:ascii="微软雅黑" w:hAnsi="微软雅黑" w:eastAsia="微软雅黑" w:cstheme="minorBidi"/>
          <w:spacing w:val="-3"/>
          <w:kern w:val="0"/>
          <w:sz w:val="24"/>
          <w:szCs w:val="24"/>
          <w:highlight w:val="none"/>
          <w:lang w:val="en-US" w:eastAsia="zh-CN" w:bidi="ar-SA"/>
        </w:rPr>
        <w:t>位</w:t>
      </w:r>
      <w:r>
        <w:rPr>
          <w:rFonts w:ascii="微软雅黑" w:hAnsi="微软雅黑" w:eastAsia="微软雅黑" w:cstheme="minorBidi"/>
          <w:kern w:val="0"/>
          <w:sz w:val="24"/>
          <w:szCs w:val="24"/>
          <w:highlight w:val="none"/>
          <w:lang w:val="en-US" w:eastAsia="zh-CN" w:bidi="ar-SA"/>
        </w:rPr>
        <w:t>公</w:t>
      </w:r>
      <w:r>
        <w:rPr>
          <w:rFonts w:ascii="微软雅黑" w:hAnsi="微软雅黑" w:eastAsia="微软雅黑" w:cstheme="minorBidi"/>
          <w:spacing w:val="-3"/>
          <w:kern w:val="0"/>
          <w:sz w:val="24"/>
          <w:szCs w:val="24"/>
          <w:highlight w:val="none"/>
          <w:lang w:val="en-US" w:eastAsia="zh-CN" w:bidi="ar-SA"/>
        </w:rPr>
        <w:t>章</w:t>
      </w:r>
      <w:r>
        <w:rPr>
          <w:rFonts w:ascii="微软雅黑" w:hAnsi="微软雅黑" w:eastAsia="微软雅黑" w:cstheme="minorBidi"/>
          <w:kern w:val="0"/>
          <w:sz w:val="24"/>
          <w:szCs w:val="24"/>
          <w:highlight w:val="none"/>
          <w:lang w:val="en-US" w:eastAsia="zh-CN" w:bidi="ar-SA"/>
        </w:rPr>
        <w:t>）</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right="11" w:firstLine="1440" w:firstLineChars="600"/>
        <w:jc w:val="both"/>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法定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spacing w:val="-108"/>
          <w:kern w:val="0"/>
          <w:sz w:val="24"/>
          <w:szCs w:val="24"/>
          <w:highlight w:val="none"/>
          <w:lang w:val="en-US" w:eastAsia="zh-CN" w:bidi="ar-SA"/>
        </w:rPr>
        <w:t>）</w:t>
      </w:r>
      <w:r>
        <w:rPr>
          <w:rFonts w:ascii="微软雅黑" w:hAnsi="微软雅黑" w:eastAsia="微软雅黑" w:cstheme="minorBidi"/>
          <w:spacing w:val="-1"/>
          <w:kern w:val="0"/>
          <w:sz w:val="24"/>
          <w:szCs w:val="24"/>
          <w:highlight w:val="none"/>
          <w:lang w:val="en-US" w:eastAsia="zh-CN" w:bidi="ar-SA"/>
        </w:rPr>
        <w:t>：</w:t>
      </w:r>
      <w:r>
        <w:rPr>
          <w:rFonts w:hint="eastAsia" w:ascii="微软雅黑" w:hAnsi="微软雅黑" w:eastAsia="微软雅黑" w:cstheme="minorBidi"/>
          <w:spacing w:val="-1"/>
          <w:kern w:val="0"/>
          <w:sz w:val="24"/>
          <w:szCs w:val="24"/>
          <w:highlight w:val="none"/>
          <w:u w:val="single" w:color="000000"/>
          <w:lang w:val="en-US" w:eastAsia="zh-CN" w:bidi="ar-SA"/>
        </w:rPr>
        <w:t xml:space="preserve">                         </w:t>
      </w:r>
      <w:r>
        <w:rPr>
          <w:rFonts w:ascii="微软雅黑" w:hAnsi="微软雅黑" w:eastAsia="微软雅黑" w:cstheme="minorBidi"/>
          <w:kern w:val="0"/>
          <w:sz w:val="24"/>
          <w:szCs w:val="24"/>
          <w:highlight w:val="none"/>
          <w:lang w:val="en-US" w:eastAsia="zh-CN" w:bidi="ar-SA"/>
        </w:rPr>
        <w:t>（签</w:t>
      </w:r>
      <w:r>
        <w:rPr>
          <w:rFonts w:ascii="微软雅黑" w:hAnsi="微软雅黑" w:eastAsia="微软雅黑" w:cstheme="minorBidi"/>
          <w:spacing w:val="-3"/>
          <w:kern w:val="0"/>
          <w:sz w:val="24"/>
          <w:szCs w:val="24"/>
          <w:highlight w:val="none"/>
          <w:lang w:val="en-US" w:eastAsia="zh-CN" w:bidi="ar-SA"/>
        </w:rPr>
        <w:t>字</w:t>
      </w:r>
      <w:r>
        <w:rPr>
          <w:rFonts w:ascii="微软雅黑" w:hAnsi="微软雅黑" w:eastAsia="微软雅黑" w:cstheme="minorBidi"/>
          <w:kern w:val="0"/>
          <w:sz w:val="24"/>
          <w:szCs w:val="24"/>
          <w:highlight w:val="none"/>
          <w:lang w:val="en-US" w:eastAsia="zh-CN" w:bidi="ar-SA"/>
        </w:rPr>
        <w:t>）</w:t>
      </w:r>
    </w:p>
    <w:p>
      <w:pPr>
        <w:keepNext w:val="0"/>
        <w:keepLines w:val="0"/>
        <w:pageBreakBefore w:val="0"/>
        <w:widowControl w:val="0"/>
        <w:tabs>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highlight w:val="none"/>
          <w:lang w:val="en-US" w:eastAsia="zh-CN" w:bidi="ar-SA"/>
        </w:rPr>
      </w:pPr>
      <w:r>
        <w:rPr>
          <w:rFonts w:hint="eastAsia" w:ascii="微软雅黑" w:hAnsi="微软雅黑" w:eastAsia="微软雅黑" w:cstheme="minorBidi"/>
          <w:kern w:val="0"/>
          <w:sz w:val="24"/>
          <w:szCs w:val="24"/>
          <w:highlight w:val="none"/>
          <w:lang w:val="en-US" w:eastAsia="zh-CN" w:bidi="ar-SA"/>
        </w:rPr>
        <w:t xml:space="preserve"> </w:t>
      </w:r>
      <w:r>
        <w:rPr>
          <w:rFonts w:ascii="微软雅黑" w:hAnsi="微软雅黑" w:eastAsia="微软雅黑" w:cstheme="minorBidi"/>
          <w:kern w:val="0"/>
          <w:sz w:val="24"/>
          <w:szCs w:val="24"/>
          <w:highlight w:val="none"/>
          <w:lang w:val="en-US" w:eastAsia="zh-CN" w:bidi="ar-SA"/>
        </w:rPr>
        <w:t>身份</w:t>
      </w:r>
      <w:r>
        <w:rPr>
          <w:rFonts w:ascii="微软雅黑" w:hAnsi="微软雅黑" w:eastAsia="微软雅黑" w:cstheme="minorBidi"/>
          <w:spacing w:val="-3"/>
          <w:kern w:val="0"/>
          <w:sz w:val="24"/>
          <w:szCs w:val="24"/>
          <w:highlight w:val="none"/>
          <w:lang w:val="en-US" w:eastAsia="zh-CN" w:bidi="ar-SA"/>
        </w:rPr>
        <w:t>证</w:t>
      </w:r>
      <w:r>
        <w:rPr>
          <w:rFonts w:ascii="微软雅黑" w:hAnsi="微软雅黑" w:eastAsia="微软雅黑" w:cstheme="minorBidi"/>
          <w:kern w:val="0"/>
          <w:sz w:val="24"/>
          <w:szCs w:val="24"/>
          <w:highlight w:val="none"/>
          <w:lang w:val="en-US" w:eastAsia="zh-CN" w:bidi="ar-SA"/>
        </w:rPr>
        <w:t>号</w:t>
      </w:r>
      <w:r>
        <w:rPr>
          <w:rFonts w:ascii="微软雅黑" w:hAnsi="微软雅黑" w:eastAsia="微软雅黑" w:cstheme="minorBidi"/>
          <w:spacing w:val="-3"/>
          <w:kern w:val="0"/>
          <w:sz w:val="24"/>
          <w:szCs w:val="24"/>
          <w:highlight w:val="none"/>
          <w:lang w:val="en-US" w:eastAsia="zh-CN" w:bidi="ar-SA"/>
        </w:rPr>
        <w:t>码：</w:t>
      </w:r>
      <w:r>
        <w:rPr>
          <w:rFonts w:hint="eastAsia" w:ascii="微软雅黑" w:hAnsi="微软雅黑" w:eastAsia="微软雅黑" w:cstheme="minorBidi"/>
          <w:w w:val="225"/>
          <w:kern w:val="0"/>
          <w:sz w:val="24"/>
          <w:szCs w:val="24"/>
          <w:highlight w:val="none"/>
          <w:u w:val="single" w:color="000000"/>
          <w:lang w:val="en-US" w:eastAsia="zh-CN" w:bidi="ar-SA"/>
        </w:rPr>
        <w:t xml:space="preserve">                    </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委托</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理</w:t>
      </w:r>
      <w:r>
        <w:rPr>
          <w:rFonts w:ascii="微软雅黑" w:hAnsi="微软雅黑" w:eastAsia="微软雅黑" w:cstheme="minorBidi"/>
          <w:spacing w:val="-3"/>
          <w:kern w:val="0"/>
          <w:sz w:val="24"/>
          <w:szCs w:val="24"/>
          <w:highlight w:val="none"/>
          <w:lang w:val="en-US" w:eastAsia="zh-CN" w:bidi="ar-SA"/>
        </w:rPr>
        <w:t>人：</w:t>
      </w:r>
      <w:r>
        <w:rPr>
          <w:rFonts w:hint="eastAsia" w:ascii="微软雅黑" w:hAnsi="微软雅黑" w:eastAsia="微软雅黑" w:cstheme="minorBidi"/>
          <w:spacing w:val="-3"/>
          <w:kern w:val="0"/>
          <w:sz w:val="24"/>
          <w:szCs w:val="24"/>
          <w:highlight w:val="none"/>
          <w:u w:val="single"/>
          <w:lang w:val="en-US" w:eastAsia="zh-CN" w:bidi="ar-SA"/>
        </w:rPr>
        <w:t xml:space="preserve">                                      </w:t>
      </w:r>
      <w:r>
        <w:rPr>
          <w:rFonts w:ascii="微软雅黑" w:hAnsi="微软雅黑" w:eastAsia="微软雅黑" w:cstheme="minorBidi"/>
          <w:kern w:val="0"/>
          <w:sz w:val="24"/>
          <w:szCs w:val="24"/>
          <w:highlight w:val="none"/>
          <w:lang w:val="en-US" w:eastAsia="zh-CN" w:bidi="ar-SA"/>
        </w:rPr>
        <w:t>（签</w:t>
      </w:r>
      <w:r>
        <w:rPr>
          <w:rFonts w:ascii="微软雅黑" w:hAnsi="微软雅黑" w:eastAsia="微软雅黑" w:cstheme="minorBidi"/>
          <w:spacing w:val="-3"/>
          <w:kern w:val="0"/>
          <w:sz w:val="24"/>
          <w:szCs w:val="24"/>
          <w:highlight w:val="none"/>
          <w:lang w:val="en-US" w:eastAsia="zh-CN" w:bidi="ar-SA"/>
        </w:rPr>
        <w:t>字</w:t>
      </w:r>
      <w:r>
        <w:rPr>
          <w:rFonts w:ascii="微软雅黑" w:hAnsi="微软雅黑" w:eastAsia="微软雅黑" w:cstheme="minorBidi"/>
          <w:kern w:val="0"/>
          <w:sz w:val="24"/>
          <w:szCs w:val="24"/>
          <w:highlight w:val="none"/>
          <w:lang w:val="en-US" w:eastAsia="zh-CN" w:bidi="ar-SA"/>
        </w:rPr>
        <w:t>）</w:t>
      </w:r>
    </w:p>
    <w:p>
      <w:pPr>
        <w:keepNext w:val="0"/>
        <w:keepLines w:val="0"/>
        <w:pageBreakBefore w:val="0"/>
        <w:widowControl w:val="0"/>
        <w:tabs>
          <w:tab w:val="left" w:pos="142"/>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 xml:space="preserve">  身份</w:t>
      </w:r>
      <w:r>
        <w:rPr>
          <w:rFonts w:ascii="微软雅黑" w:hAnsi="微软雅黑" w:eastAsia="微软雅黑" w:cstheme="minorBidi"/>
          <w:spacing w:val="-3"/>
          <w:kern w:val="0"/>
          <w:sz w:val="24"/>
          <w:szCs w:val="24"/>
          <w:highlight w:val="none"/>
          <w:lang w:val="en-US" w:eastAsia="zh-CN" w:bidi="ar-SA"/>
        </w:rPr>
        <w:t>证</w:t>
      </w:r>
      <w:r>
        <w:rPr>
          <w:rFonts w:ascii="微软雅黑" w:hAnsi="微软雅黑" w:eastAsia="微软雅黑" w:cstheme="minorBidi"/>
          <w:kern w:val="0"/>
          <w:sz w:val="24"/>
          <w:szCs w:val="24"/>
          <w:highlight w:val="none"/>
          <w:lang w:val="en-US" w:eastAsia="zh-CN" w:bidi="ar-SA"/>
        </w:rPr>
        <w:t>号</w:t>
      </w:r>
      <w:r>
        <w:rPr>
          <w:rFonts w:ascii="微软雅黑" w:hAnsi="微软雅黑" w:eastAsia="微软雅黑" w:cstheme="minorBidi"/>
          <w:spacing w:val="-3"/>
          <w:kern w:val="0"/>
          <w:sz w:val="24"/>
          <w:szCs w:val="24"/>
          <w:highlight w:val="none"/>
          <w:lang w:val="en-US" w:eastAsia="zh-CN" w:bidi="ar-SA"/>
        </w:rPr>
        <w:t>码：</w:t>
      </w:r>
      <w:r>
        <w:rPr>
          <w:rFonts w:hint="eastAsia" w:ascii="微软雅黑" w:hAnsi="微软雅黑" w:eastAsia="微软雅黑" w:cstheme="minorBidi"/>
          <w:spacing w:val="-3"/>
          <w:kern w:val="0"/>
          <w:sz w:val="24"/>
          <w:szCs w:val="24"/>
          <w:highlight w:val="none"/>
          <w:u w:val="single"/>
          <w:lang w:val="en-US" w:eastAsia="zh-CN" w:bidi="ar-SA"/>
        </w:rPr>
        <w:t xml:space="preserve">                                               </w:t>
      </w:r>
    </w:p>
    <w:p>
      <w:pPr>
        <w:keepNext w:val="0"/>
        <w:keepLines w:val="0"/>
        <w:pageBreakBefore w:val="0"/>
        <w:widowControl w:val="0"/>
        <w:tabs>
          <w:tab w:val="left" w:pos="142"/>
          <w:tab w:val="left" w:pos="6643"/>
          <w:tab w:val="left" w:pos="7589"/>
          <w:tab w:val="left" w:pos="8533"/>
        </w:tabs>
        <w:kinsoku/>
        <w:wordWrap w:val="0"/>
        <w:overflowPunct/>
        <w:topLinePunct w:val="0"/>
        <w:autoSpaceDE/>
        <w:autoSpaceDN/>
        <w:bidi w:val="0"/>
        <w:adjustRightInd/>
        <w:snapToGrid/>
        <w:spacing w:before="36" w:after="120" w:afterLines="50"/>
        <w:ind w:left="780" w:right="11" w:firstLine="480"/>
        <w:jc w:val="right"/>
        <w:textAlignment w:val="auto"/>
        <w:outlineLvl w:val="9"/>
        <w:rPr>
          <w:highlight w:val="none"/>
        </w:rPr>
      </w:pPr>
      <w:r>
        <w:rPr>
          <w:rFonts w:hint="eastAsia" w:ascii="微软雅黑" w:hAnsi="微软雅黑" w:eastAsia="微软雅黑" w:cstheme="minorBidi"/>
          <w:kern w:val="0"/>
          <w:sz w:val="24"/>
          <w:szCs w:val="24"/>
          <w:highlight w:val="none"/>
          <w:u w:val="single" w:color="000000"/>
          <w:lang w:val="en-US" w:eastAsia="zh-CN" w:bidi="ar-SA"/>
        </w:rPr>
        <w:t xml:space="preserve">        </w:t>
      </w:r>
      <w:r>
        <w:rPr>
          <w:rFonts w:hint="eastAsia" w:ascii="微软雅黑" w:hAnsi="微软雅黑" w:eastAsia="微软雅黑" w:cstheme="minorBidi"/>
          <w:kern w:val="0"/>
          <w:sz w:val="24"/>
          <w:szCs w:val="24"/>
          <w:highlight w:val="none"/>
          <w:lang w:val="en-US" w:eastAsia="zh-CN" w:bidi="ar-SA"/>
        </w:rPr>
        <w:t>年</w:t>
      </w:r>
      <w:r>
        <w:rPr>
          <w:rFonts w:hint="eastAsia" w:ascii="微软雅黑" w:hAnsi="微软雅黑" w:eastAsia="微软雅黑" w:cstheme="minorBidi"/>
          <w:kern w:val="0"/>
          <w:sz w:val="24"/>
          <w:szCs w:val="24"/>
          <w:highlight w:val="none"/>
          <w:u w:val="single" w:color="000000"/>
          <w:lang w:val="en-US" w:eastAsia="zh-CN" w:bidi="ar-SA"/>
        </w:rPr>
        <w:t xml:space="preserve">        </w:t>
      </w:r>
      <w:r>
        <w:rPr>
          <w:rFonts w:ascii="微软雅黑" w:hAnsi="微软雅黑" w:eastAsia="微软雅黑" w:cstheme="minorBidi"/>
          <w:spacing w:val="-3"/>
          <w:kern w:val="0"/>
          <w:sz w:val="24"/>
          <w:szCs w:val="24"/>
          <w:highlight w:val="none"/>
          <w:lang w:val="en-US" w:eastAsia="zh-CN" w:bidi="ar-SA"/>
        </w:rPr>
        <w:t>月</w:t>
      </w:r>
      <w:r>
        <w:rPr>
          <w:rFonts w:hint="eastAsia" w:ascii="微软雅黑" w:hAnsi="微软雅黑" w:eastAsia="微软雅黑" w:cstheme="minorBidi"/>
          <w:kern w:val="0"/>
          <w:sz w:val="24"/>
          <w:szCs w:val="24"/>
          <w:highlight w:val="none"/>
          <w:u w:val="single" w:color="000000"/>
          <w:lang w:val="en-US" w:eastAsia="zh-CN" w:bidi="ar-SA"/>
        </w:rPr>
        <w:t xml:space="preserve">        </w:t>
      </w:r>
      <w:r>
        <w:rPr>
          <w:rFonts w:ascii="微软雅黑" w:hAnsi="微软雅黑" w:eastAsia="微软雅黑" w:cstheme="minorBidi"/>
          <w:kern w:val="0"/>
          <w:sz w:val="24"/>
          <w:szCs w:val="24"/>
          <w:highlight w:val="none"/>
          <w:lang w:val="en-US" w:eastAsia="zh-CN" w:bidi="ar-SA"/>
        </w:rPr>
        <w:t>日</w:t>
      </w:r>
    </w:p>
    <w:p>
      <w:pPr>
        <w:rPr>
          <w:rFonts w:hint="eastAsia"/>
          <w:highlight w:val="none"/>
          <w:lang w:val="en-US" w:eastAsia="zh-CN"/>
        </w:rPr>
      </w:pPr>
    </w:p>
    <w:p>
      <w:pPr>
        <w:pStyle w:val="2"/>
        <w:keepNext/>
        <w:keepLines/>
        <w:pageBreakBefore w:val="0"/>
        <w:widowControl w:val="0"/>
        <w:kinsoku/>
        <w:wordWrap/>
        <w:overflowPunct/>
        <w:topLinePunct w:val="0"/>
        <w:autoSpaceDE/>
        <w:autoSpaceDN/>
        <w:bidi w:val="0"/>
        <w:adjustRightInd/>
        <w:snapToGrid/>
        <w:spacing w:line="240" w:lineRule="auto"/>
        <w:ind w:left="0" w:hanging="2891" w:hangingChars="1200"/>
        <w:jc w:val="both"/>
        <w:textAlignment w:val="auto"/>
        <w:outlineLvl w:val="1"/>
        <w:rPr>
          <w:rFonts w:hint="eastAsia" w:ascii="黑体" w:hAnsi="黑体"/>
          <w:b/>
          <w:bCs/>
          <w:color w:val="000000" w:themeColor="text1"/>
          <w:sz w:val="24"/>
          <w:szCs w:val="24"/>
          <w:highlight w:val="none"/>
          <w:lang w:val="en-US" w:eastAsia="zh-CN"/>
          <w14:textFill>
            <w14:solidFill>
              <w14:schemeClr w14:val="tx1"/>
            </w14:solidFill>
          </w14:textFill>
        </w:rPr>
      </w:pPr>
      <w:r>
        <w:rPr>
          <w:rFonts w:hint="eastAsia" w:ascii="黑体" w:hAnsi="黑体"/>
          <w:b/>
          <w:bCs/>
          <w:color w:val="000000" w:themeColor="text1"/>
          <w:sz w:val="24"/>
          <w:szCs w:val="24"/>
          <w:highlight w:val="none"/>
          <w:lang w:val="en-US" w:eastAsia="zh-CN"/>
          <w14:textFill>
            <w14:solidFill>
              <w14:schemeClr w14:val="tx1"/>
            </w14:solidFill>
          </w14:textFill>
        </w:rPr>
        <w:t>5.6：股权证明文件</w:t>
      </w:r>
    </w:p>
    <w:p>
      <w:pPr>
        <w:rPr>
          <w:rFonts w:hint="eastAsia"/>
          <w:highlight w:val="none"/>
          <w:lang w:val="en-US" w:eastAsia="zh-CN"/>
        </w:rPr>
      </w:pPr>
    </w:p>
    <w:p>
      <w:pPr>
        <w:keepNext/>
        <w:keepLines/>
        <w:pageBreakBefore w:val="0"/>
        <w:widowControl w:val="0"/>
        <w:kinsoku/>
        <w:wordWrap/>
        <w:overflowPunct/>
        <w:topLinePunct w:val="0"/>
        <w:autoSpaceDE/>
        <w:autoSpaceDN/>
        <w:bidi w:val="0"/>
        <w:adjustRightInd/>
        <w:snapToGrid/>
        <w:spacing w:line="240" w:lineRule="auto"/>
        <w:ind w:left="2524" w:leftChars="1202" w:firstLineChars="0"/>
        <w:jc w:val="both"/>
        <w:textAlignment w:val="auto"/>
        <w:outlineLvl w:val="9"/>
        <w:rPr>
          <w:rFonts w:asciiTheme="minorEastAsia" w:hAnsiTheme="minorEastAsia"/>
          <w:highlight w:val="none"/>
          <w:lang w:eastAsia="zh-CN"/>
        </w:rPr>
      </w:pPr>
      <w:r>
        <w:rPr>
          <w:rFonts w:hint="eastAsia" w:ascii="宋体" w:hAnsi="宋体" w:eastAsia="宋体" w:cs="宋体"/>
          <w:sz w:val="24"/>
          <w:highlight w:val="none"/>
          <w:lang w:eastAsia="zh-CN"/>
        </w:rPr>
        <w:t>股权证明文件</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b w:val="0"/>
          <w:bCs w:val="0"/>
          <w:sz w:val="24"/>
          <w:highlight w:val="none"/>
          <w:lang w:eastAsia="zh-CN"/>
        </w:rPr>
      </w:pPr>
      <w:r>
        <w:rPr>
          <w:rFonts w:hint="eastAsia" w:ascii="宋体" w:hAnsi="宋体" w:eastAsia="宋体" w:cs="宋体"/>
          <w:b w:val="0"/>
          <w:bCs w:val="0"/>
          <w:sz w:val="24"/>
          <w:highlight w:val="none"/>
          <w:lang w:eastAsia="zh-CN"/>
        </w:rPr>
        <w:t>（应答人应在应答文件中提供其公司章程或其他能够体现出资人、股东信息的法定文件，此证明文件将作为评标/评审时的依据。）</w:t>
      </w:r>
    </w:p>
    <w:p>
      <w:pPr>
        <w:rPr>
          <w:rFonts w:hint="eastAsia"/>
          <w:highlight w:val="none"/>
          <w:lang w:val="en-US" w:eastAsia="zh-CN"/>
        </w:rPr>
      </w:pPr>
    </w:p>
    <w:p>
      <w:pPr>
        <w:rPr>
          <w:rFonts w:hint="eastAsia"/>
          <w:highlight w:val="none"/>
          <w:lang w:val="en-US" w:eastAsia="zh-CN"/>
        </w:rPr>
      </w:pPr>
    </w:p>
    <w:p>
      <w:pPr>
        <w:rPr>
          <w:highlight w:val="none"/>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5.7：供应商承诺书              </w:t>
      </w:r>
    </w:p>
    <w:p>
      <w:pPr>
        <w:ind w:firstLine="3253" w:firstLineChars="900"/>
        <w:jc w:val="both"/>
        <w:outlineLvl w:val="9"/>
        <w:rPr>
          <w:rFonts w:hint="eastAsia" w:ascii="黑体" w:hAnsi="黑体" w:eastAsia="黑体"/>
          <w:b/>
          <w:color w:val="000000" w:themeColor="text1"/>
          <w:sz w:val="36"/>
          <w:szCs w:val="36"/>
          <w:highlight w:val="none"/>
          <w:lang w:val="en-US" w:eastAsia="zh-CN"/>
          <w14:textFill>
            <w14:solidFill>
              <w14:schemeClr w14:val="tx1"/>
            </w14:solidFill>
          </w14:textFill>
        </w:rPr>
      </w:pPr>
      <w:r>
        <w:rPr>
          <w:rFonts w:hint="eastAsia" w:ascii="黑体" w:hAnsi="黑体" w:eastAsia="黑体"/>
          <w:b/>
          <w:color w:val="000000" w:themeColor="text1"/>
          <w:sz w:val="36"/>
          <w:szCs w:val="36"/>
          <w:highlight w:val="none"/>
          <w14:textFill>
            <w14:solidFill>
              <w14:schemeClr w14:val="tx1"/>
            </w14:solidFill>
          </w14:textFill>
        </w:rPr>
        <w:t>供应商承诺</w:t>
      </w:r>
      <w:r>
        <w:rPr>
          <w:rFonts w:hint="eastAsia" w:ascii="黑体" w:hAnsi="黑体" w:eastAsia="黑体"/>
          <w:b/>
          <w:color w:val="000000" w:themeColor="text1"/>
          <w:sz w:val="36"/>
          <w:szCs w:val="36"/>
          <w:highlight w:val="none"/>
          <w:lang w:val="en-US" w:eastAsia="zh-CN"/>
          <w14:textFill>
            <w14:solidFill>
              <w14:schemeClr w14:val="tx1"/>
            </w14:solidFill>
          </w14:textFill>
        </w:rPr>
        <w:t>书</w:t>
      </w:r>
    </w:p>
    <w:p>
      <w:pPr>
        <w:rPr>
          <w:color w:val="000000" w:themeColor="text1"/>
          <w:highlight w:val="none"/>
          <w14:textFill>
            <w14:solidFill>
              <w14:schemeClr w14:val="tx1"/>
            </w14:solidFill>
          </w14:textFill>
        </w:rPr>
      </w:pPr>
    </w:p>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中海油能源发展股份有限公司：</w:t>
      </w:r>
    </w:p>
    <w:p>
      <w:pPr>
        <w:spacing w:line="360" w:lineRule="auto"/>
        <w:ind w:firstLine="42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我公司/单位对以下情况经认真核查后确认及承诺如下</w:t>
      </w:r>
      <w:r>
        <w:rPr>
          <w:rFonts w:hint="eastAsia" w:ascii="宋体" w:hAnsi="宋体" w:eastAsia="宋体" w:cs="宋体"/>
          <w:b/>
          <w:bCs/>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经查询</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信用中国”网站（https://www.creditchina.gov.cn/）或</w:t>
      </w:r>
      <w:r>
        <w:rPr>
          <w:rFonts w:hint="eastAsia" w:ascii="宋体" w:hAnsi="宋体" w:eastAsia="宋体" w:cs="宋体"/>
          <w:color w:val="000000" w:themeColor="text1"/>
          <w:sz w:val="21"/>
          <w:szCs w:val="21"/>
          <w:highlight w:val="none"/>
          <w14:textFill>
            <w14:solidFill>
              <w14:schemeClr w14:val="tx1"/>
            </w14:solidFill>
          </w14:textFill>
        </w:rPr>
        <w:t>“中国执行信息公开网”网站（http://zxgk.court.gov.cn/），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被列入失信被执行人名单；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经查询“国家企业信用信息公示系统”（http://www.gsxt.gov.cn），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被列入严重违法失信企业名单；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经查询“中国裁判文书网”（http://wenshu.court.gov.cn），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我公司近三年不</w:t>
      </w:r>
      <w:r>
        <w:rPr>
          <w:rFonts w:hint="eastAsia" w:ascii="宋体" w:hAnsi="宋体" w:eastAsia="宋体" w:cs="宋体"/>
          <w:color w:val="000000" w:themeColor="text1"/>
          <w:sz w:val="21"/>
          <w:szCs w:val="21"/>
          <w:highlight w:val="none"/>
          <w14:textFill>
            <w14:solidFill>
              <w14:schemeClr w14:val="tx1"/>
            </w14:solidFill>
          </w14:textFill>
        </w:rPr>
        <w:t>存在行贿犯罪记录；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我公司与本采购项目其他应答人</w:t>
      </w:r>
      <w:r>
        <w:rPr>
          <w:rFonts w:hint="eastAsia" w:ascii="宋体" w:hAnsi="宋体" w:eastAsia="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lang w:eastAsia="zh-CN"/>
          <w14:textFill>
            <w14:solidFill>
              <w14:schemeClr w14:val="tx1"/>
            </w14:solidFill>
          </w14:textFill>
        </w:rPr>
        <w:t>存在控股关系或管理关系、单位负责人为同一人，同一自然人同时持有两家公司非公开上市股份的情形。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经</w:t>
      </w:r>
      <w:r>
        <w:rPr>
          <w:rFonts w:hint="eastAsia" w:ascii="宋体" w:hAnsi="宋体" w:eastAsia="宋体" w:cs="宋体"/>
          <w:color w:val="000000" w:themeColor="text1"/>
          <w:sz w:val="21"/>
          <w:szCs w:val="21"/>
          <w:highlight w:val="none"/>
          <w:lang w:val="en-US" w:eastAsia="zh-CN"/>
          <w14:textFill>
            <w14:solidFill>
              <w14:schemeClr w14:val="tx1"/>
            </w14:solidFill>
          </w14:textFill>
        </w:rPr>
        <w:t>确认，我公司不存在中国海油员工（不含中国海油正式派出的）、海油发展离职未满三年的员工在我公司担任股东、法人代表、董事、监事和其他任职人员</w:t>
      </w:r>
      <w:r>
        <w:rPr>
          <w:rFonts w:hint="eastAsia" w:ascii="宋体" w:hAnsi="宋体" w:eastAsia="宋体" w:cs="宋体"/>
          <w:color w:val="000000" w:themeColor="text1"/>
          <w:sz w:val="21"/>
          <w:szCs w:val="21"/>
          <w:highlight w:val="none"/>
          <w14:textFill>
            <w14:solidFill>
              <w14:schemeClr w14:val="tx1"/>
            </w14:solidFill>
          </w14:textFill>
        </w:rPr>
        <w:t>。</w:t>
      </w:r>
    </w:p>
    <w:p>
      <w:pPr>
        <w:spacing w:line="360" w:lineRule="auto"/>
        <w:ind w:firstLine="420" w:firstLineChars="20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6、我公司如涉及雇用农民工，承诺与农民工签订劳动合同，及时、足额发放工资、缴纳社会保险费用。</w:t>
      </w:r>
    </w:p>
    <w:p>
      <w:pPr>
        <w:pStyle w:val="5"/>
        <w:ind w:left="0" w:firstLine="420" w:firstLineChars="200"/>
        <w:rPr>
          <w:rFonts w:hint="default" w:eastAsia="宋体"/>
          <w:highlight w:val="none"/>
          <w:lang w:val="en-US" w:eastAsia="zh-CN"/>
        </w:rPr>
      </w:pPr>
      <w:r>
        <w:rPr>
          <w:rFonts w:hint="eastAsia" w:cs="宋体"/>
          <w:color w:val="000000" w:themeColor="text1"/>
          <w:sz w:val="21"/>
          <w:szCs w:val="21"/>
          <w:highlight w:val="none"/>
          <w:lang w:val="en-US" w:eastAsia="zh-CN"/>
          <w14:textFill>
            <w14:solidFill>
              <w14:schemeClr w14:val="tx1"/>
            </w14:solidFill>
          </w14:textFill>
        </w:rPr>
        <w:t>7、我公司承诺</w:t>
      </w:r>
      <w:r>
        <w:rPr>
          <w:rFonts w:hint="eastAsia" w:ascii="宋体" w:hAnsi="宋体" w:eastAsia="宋体" w:cs="宋体"/>
          <w:highlight w:val="none"/>
          <w:lang w:eastAsia="zh-CN"/>
        </w:rPr>
        <w:t>积极响应国家节能减排和绿色环保政策，切实推进绿色供应链建设</w:t>
      </w:r>
      <w:r>
        <w:rPr>
          <w:rFonts w:hint="eastAsia" w:cs="宋体"/>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8、我公司此次投标涉及供应商属性为：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贸易商；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代理商；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制造商；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集成商。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9、我公司为：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中小微企业；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大型企业；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国有企业、事业单位、大学；</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境外或港澳台企业。</w:t>
      </w:r>
    </w:p>
    <w:p>
      <w:pPr>
        <w:pStyle w:val="5"/>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10、</w:t>
      </w:r>
      <w:r>
        <w:rPr>
          <w:color w:val="000000" w:themeColor="text1"/>
          <w:sz w:val="21"/>
          <w:szCs w:val="21"/>
          <w:highlight w:val="none"/>
          <w:lang w:eastAsia="zh-CN"/>
          <w14:textFill>
            <w14:solidFill>
              <w14:schemeClr w14:val="tx1"/>
            </w14:solidFill>
          </w14:textFill>
        </w:rPr>
        <w:t>我公司财务状况、业绩状况、人员社保状况如下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贸易商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lang w:eastAsia="zh-CN"/>
          <w14:textFill>
            <w14:solidFill>
              <w14:schemeClr w14:val="tx1"/>
            </w14:solidFill>
          </w14:textFill>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1563"/>
        <w:gridCol w:w="3100"/>
        <w:gridCol w:w="2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trPr>
        <w:tc>
          <w:tcPr>
            <w:tcW w:w="2864" w:type="dxa"/>
            <w:gridSpan w:val="2"/>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3100"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1563"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2558" w:type="dxa"/>
            <w:vMerge w:val="restart"/>
            <w:vAlign w:val="center"/>
          </w:tcPr>
          <w:p>
            <w:pPr>
              <w:jc w:val="center"/>
              <w:rPr>
                <w:color w:val="000000" w:themeColor="text1"/>
                <w:sz w:val="21"/>
                <w:szCs w:val="2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1563"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continue"/>
          </w:tcPr>
          <w:p>
            <w:pPr>
              <w:rPr>
                <w:color w:val="000000" w:themeColor="text1"/>
                <w:sz w:val="21"/>
                <w:szCs w:val="21"/>
                <w:highlight w:val="none"/>
                <w:lang w:eastAsia="zh-CN"/>
                <w14:textFill>
                  <w14:solidFill>
                    <w14:schemeClr w14:val="tx1"/>
                  </w14:solidFill>
                </w14:textFill>
              </w:rPr>
            </w:pPr>
          </w:p>
        </w:tc>
        <w:tc>
          <w:tcPr>
            <w:tcW w:w="2558" w:type="dxa"/>
            <w:vMerge w:val="continue"/>
          </w:tcPr>
          <w:p>
            <w:pPr>
              <w:rPr>
                <w:color w:val="000000" w:themeColor="text1"/>
                <w:sz w:val="21"/>
                <w:szCs w:val="21"/>
                <w:highlight w:val="none"/>
                <w:lang w:eastAsia="zh-CN"/>
                <w14:textFill>
                  <w14:solidFill>
                    <w14:schemeClr w14:val="tx1"/>
                  </w14:solidFill>
                </w14:textFill>
              </w:rPr>
            </w:pPr>
          </w:p>
        </w:tc>
      </w:tr>
    </w:tbl>
    <w:p>
      <w:pPr>
        <w:pStyle w:val="5"/>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11、</w:t>
      </w:r>
      <w:r>
        <w:rPr>
          <w:color w:val="000000" w:themeColor="text1"/>
          <w:sz w:val="21"/>
          <w:szCs w:val="21"/>
          <w:highlight w:val="none"/>
          <w14:textFill>
            <w14:solidFill>
              <w14:schemeClr w14:val="tx1"/>
            </w14:solidFill>
          </w14:textFill>
        </w:rPr>
        <w:t>我公司财务状况、业绩状况、人员社保状况、代理状况如下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代理商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12"/>
        <w:tblW w:w="8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834"/>
        <w:gridCol w:w="2346"/>
        <w:gridCol w:w="1444"/>
        <w:gridCol w:w="106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51" w:type="dxa"/>
            <w:gridSpan w:val="2"/>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2346"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1444"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1060"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代理模式</w:t>
            </w:r>
          </w:p>
        </w:tc>
        <w:tc>
          <w:tcPr>
            <w:tcW w:w="1650"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是否为项目代理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317"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834"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444"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060"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650" w:type="dxa"/>
            <w:vMerge w:val="restart"/>
            <w:vAlign w:val="center"/>
          </w:tcPr>
          <w:p>
            <w:pPr>
              <w:jc w:val="center"/>
              <w:rPr>
                <w:rFonts w:hint="eastAsia"/>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是</w:t>
            </w:r>
          </w:p>
          <w:p>
            <w:pPr>
              <w:jc w:val="center"/>
              <w:rPr>
                <w:rFonts w:hint="default"/>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317"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834" w:type="dxa"/>
          </w:tcPr>
          <w:p>
            <w:pP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continue"/>
          </w:tcPr>
          <w:p>
            <w:pPr>
              <w:rPr>
                <w:color w:val="000000" w:themeColor="text1"/>
                <w:sz w:val="21"/>
                <w:szCs w:val="21"/>
                <w:highlight w:val="none"/>
                <w:lang w:eastAsia="zh-CN"/>
                <w14:textFill>
                  <w14:solidFill>
                    <w14:schemeClr w14:val="tx1"/>
                  </w14:solidFill>
                </w14:textFill>
              </w:rPr>
            </w:pPr>
          </w:p>
        </w:tc>
        <w:tc>
          <w:tcPr>
            <w:tcW w:w="1444" w:type="dxa"/>
            <w:vMerge w:val="continue"/>
          </w:tcPr>
          <w:p>
            <w:pPr>
              <w:rPr>
                <w:color w:val="000000" w:themeColor="text1"/>
                <w:sz w:val="21"/>
                <w:szCs w:val="21"/>
                <w:highlight w:val="none"/>
                <w:lang w:eastAsia="zh-CN"/>
                <w14:textFill>
                  <w14:solidFill>
                    <w14:schemeClr w14:val="tx1"/>
                  </w14:solidFill>
                </w14:textFill>
              </w:rPr>
            </w:pPr>
          </w:p>
        </w:tc>
        <w:tc>
          <w:tcPr>
            <w:tcW w:w="1060" w:type="dxa"/>
            <w:vMerge w:val="continue"/>
          </w:tcPr>
          <w:p>
            <w:pPr>
              <w:rPr>
                <w:color w:val="000000" w:themeColor="text1"/>
                <w:sz w:val="21"/>
                <w:szCs w:val="21"/>
                <w:highlight w:val="none"/>
                <w:lang w:eastAsia="zh-CN"/>
                <w14:textFill>
                  <w14:solidFill>
                    <w14:schemeClr w14:val="tx1"/>
                  </w14:solidFill>
                </w14:textFill>
              </w:rPr>
            </w:pPr>
          </w:p>
        </w:tc>
        <w:tc>
          <w:tcPr>
            <w:tcW w:w="1650" w:type="dxa"/>
            <w:vMerge w:val="continue"/>
          </w:tcPr>
          <w:p>
            <w:pPr>
              <w:rPr>
                <w:color w:val="000000" w:themeColor="text1"/>
                <w:sz w:val="21"/>
                <w:szCs w:val="21"/>
                <w:highlight w:val="none"/>
                <w:lang w:eastAsia="zh-CN"/>
                <w14:textFill>
                  <w14:solidFill>
                    <w14:schemeClr w14:val="tx1"/>
                  </w14:solidFill>
                </w14:textFill>
              </w:rPr>
            </w:pPr>
          </w:p>
        </w:tc>
      </w:tr>
    </w:tbl>
    <w:p>
      <w:pPr>
        <w:pStyle w:val="5"/>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w:t>
      </w:r>
      <w:r>
        <w:rPr>
          <w:color w:val="000000" w:themeColor="text1"/>
          <w:sz w:val="21"/>
          <w:szCs w:val="21"/>
          <w:highlight w:val="none"/>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12、</w:t>
      </w:r>
      <w:r>
        <w:rPr>
          <w:color w:val="000000" w:themeColor="text1"/>
          <w:sz w:val="21"/>
          <w:szCs w:val="21"/>
          <w:highlight w:val="none"/>
          <w14:textFill>
            <w14:solidFill>
              <w14:schemeClr w14:val="tx1"/>
            </w14:solidFill>
          </w14:textFill>
        </w:rPr>
        <w:t>我公司业绩状况、</w:t>
      </w:r>
      <w:r>
        <w:rPr>
          <w:rFonts w:hint="eastAsia" w:eastAsia="宋体"/>
          <w:color w:val="000000" w:themeColor="text1"/>
          <w:sz w:val="21"/>
          <w:szCs w:val="21"/>
          <w:highlight w:val="none"/>
          <w:lang w:val="en-US" w:eastAsia="zh-CN"/>
          <w14:textFill>
            <w14:solidFill>
              <w14:schemeClr w14:val="tx1"/>
            </w14:solidFill>
          </w14:textFill>
        </w:rPr>
        <w:t>人员社保状况、实缴注册资本状况</w:t>
      </w:r>
      <w:r>
        <w:rPr>
          <w:color w:val="000000" w:themeColor="text1"/>
          <w:sz w:val="21"/>
          <w:szCs w:val="21"/>
          <w:highlight w:val="none"/>
          <w14:textFill>
            <w14:solidFill>
              <w14:schemeClr w14:val="tx1"/>
            </w14:solidFill>
          </w14:textFill>
        </w:rPr>
        <w:t>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服务商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12"/>
        <w:tblW w:w="8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552"/>
        <w:gridCol w:w="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97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322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实缴注册资本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972" w:type="dxa"/>
          </w:tcPr>
          <w:p>
            <w:pPr>
              <w:rPr>
                <w:b/>
                <w:color w:val="000000" w:themeColor="text1"/>
                <w:sz w:val="21"/>
                <w:szCs w:val="21"/>
                <w:highlight w:val="none"/>
                <w:lang w:eastAsia="zh-CN"/>
                <w14:textFill>
                  <w14:solidFill>
                    <w14:schemeClr w14:val="tx1"/>
                  </w14:solidFill>
                </w14:textFill>
              </w:rPr>
            </w:pPr>
          </w:p>
        </w:tc>
        <w:tc>
          <w:tcPr>
            <w:tcW w:w="2552" w:type="dxa"/>
          </w:tcPr>
          <w:p>
            <w:pPr>
              <w:rPr>
                <w:b/>
                <w:color w:val="000000" w:themeColor="text1"/>
                <w:sz w:val="21"/>
                <w:szCs w:val="21"/>
                <w:highlight w:val="none"/>
                <w:lang w:eastAsia="zh-CN"/>
                <w14:textFill>
                  <w14:solidFill>
                    <w14:schemeClr w14:val="tx1"/>
                  </w14:solidFill>
                </w14:textFill>
              </w:rPr>
            </w:pPr>
          </w:p>
        </w:tc>
        <w:tc>
          <w:tcPr>
            <w:tcW w:w="3228" w:type="dxa"/>
          </w:tcPr>
          <w:p>
            <w:pPr>
              <w:rPr>
                <w:b/>
                <w:color w:val="000000" w:themeColor="text1"/>
                <w:sz w:val="21"/>
                <w:szCs w:val="21"/>
                <w:highlight w:val="none"/>
                <w:lang w:eastAsia="zh-CN"/>
                <w14:textFill>
                  <w14:solidFill>
                    <w14:schemeClr w14:val="tx1"/>
                  </w14:solidFill>
                </w14:textFill>
              </w:rPr>
            </w:pPr>
          </w:p>
        </w:tc>
      </w:tr>
    </w:tbl>
    <w:p>
      <w:pPr>
        <w:spacing w:line="348"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郑重承诺：</w:t>
      </w:r>
      <w:r>
        <w:rPr>
          <w:rFonts w:hint="eastAsia" w:ascii="宋体" w:hAnsi="宋体" w:eastAsia="宋体" w:cs="宋体"/>
          <w:color w:val="000000" w:themeColor="text1"/>
          <w:sz w:val="21"/>
          <w:szCs w:val="21"/>
          <w:highlight w:val="none"/>
          <w14:textFill>
            <w14:solidFill>
              <w14:schemeClr w14:val="tx1"/>
            </w14:solidFill>
          </w14:textFill>
        </w:rPr>
        <w:t>我公司在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本次</w:t>
      </w:r>
      <w:r>
        <w:rPr>
          <w:rFonts w:hint="eastAsia" w:ascii="宋体" w:hAnsi="宋体" w:eastAsia="宋体" w:cs="宋体"/>
          <w:color w:val="000000" w:themeColor="text1"/>
          <w:sz w:val="21"/>
          <w:szCs w:val="21"/>
          <w:highlight w:val="none"/>
          <w14:textFill>
            <w14:solidFill>
              <w14:schemeClr w14:val="tx1"/>
            </w14:solidFill>
          </w14:textFill>
        </w:rPr>
        <w:t>采办项目中</w:t>
      </w:r>
      <w:r>
        <w:rPr>
          <w:rFonts w:hint="eastAsia" w:ascii="宋体" w:hAnsi="宋体" w:eastAsia="宋体" w:cs="宋体"/>
          <w:color w:val="000000" w:themeColor="text1"/>
          <w:sz w:val="21"/>
          <w:szCs w:val="21"/>
          <w:highlight w:val="none"/>
          <w:lang w:val="en-US" w:eastAsia="zh-CN"/>
          <w14:textFill>
            <w14:solidFill>
              <w14:schemeClr w14:val="tx1"/>
            </w14:solidFill>
          </w14:textFill>
        </w:rPr>
        <w:t>将严格遵守法律法规和中国海油各项管理要求</w:t>
      </w:r>
      <w:r>
        <w:rPr>
          <w:rFonts w:hint="eastAsia" w:ascii="宋体" w:hAnsi="宋体" w:eastAsia="宋体" w:cs="宋体"/>
          <w:color w:val="000000" w:themeColor="text1"/>
          <w:sz w:val="21"/>
          <w:szCs w:val="21"/>
          <w:highlight w:val="none"/>
          <w14:textFill>
            <w14:solidFill>
              <w14:schemeClr w14:val="tx1"/>
            </w14:solidFill>
          </w14:textFill>
        </w:rPr>
        <w:t>，不发生关联公司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共同</w:t>
      </w:r>
      <w:r>
        <w:rPr>
          <w:rFonts w:hint="eastAsia" w:ascii="宋体" w:hAnsi="宋体" w:eastAsia="宋体" w:cs="宋体"/>
          <w:color w:val="000000" w:themeColor="text1"/>
          <w:sz w:val="21"/>
          <w:szCs w:val="21"/>
          <w:highlight w:val="none"/>
          <w14:textFill>
            <w14:solidFill>
              <w14:schemeClr w14:val="tx1"/>
            </w14:solidFill>
          </w14:textFill>
        </w:rPr>
        <w:t>参与</w:t>
      </w:r>
      <w:r>
        <w:rPr>
          <w:rFonts w:hint="eastAsia" w:ascii="宋体" w:hAnsi="宋体" w:eastAsia="宋体" w:cs="宋体"/>
          <w:color w:val="000000" w:themeColor="text1"/>
          <w:sz w:val="21"/>
          <w:szCs w:val="21"/>
          <w:highlight w:val="none"/>
          <w:lang w:val="en-US" w:eastAsia="zh-CN"/>
          <w14:textFill>
            <w14:solidFill>
              <w14:schemeClr w14:val="tx1"/>
            </w14:solidFill>
          </w14:textFill>
        </w:rPr>
        <w:t>采办</w:t>
      </w:r>
      <w:r>
        <w:rPr>
          <w:rFonts w:hint="eastAsia" w:ascii="宋体" w:hAnsi="宋体" w:eastAsia="宋体" w:cs="宋体"/>
          <w:color w:val="000000" w:themeColor="text1"/>
          <w:sz w:val="21"/>
          <w:szCs w:val="21"/>
          <w:highlight w:val="none"/>
          <w14:textFill>
            <w14:solidFill>
              <w14:schemeClr w14:val="tx1"/>
            </w14:solidFill>
          </w14:textFill>
        </w:rPr>
        <w:t>竞争情况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不发生围标串标情况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我公司所提供信息真实、准确、合法、有效，不存在为规避中海油能源发展股份有限公司（简称“海油发展”）有关要求采取的变通行为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上述信息如有虚假我公司将承担相关责任，并按照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14:textFill>
            <w14:solidFill>
              <w14:schemeClr w14:val="tx1"/>
            </w14:solidFill>
          </w14:textFill>
        </w:rPr>
        <w:t>相关管理规定接受处</w:t>
      </w:r>
      <w:r>
        <w:rPr>
          <w:rFonts w:hint="eastAsia" w:ascii="宋体" w:hAnsi="宋体" w:eastAsia="宋体" w:cs="宋体"/>
          <w:color w:val="000000" w:themeColor="text1"/>
          <w:sz w:val="21"/>
          <w:szCs w:val="21"/>
          <w:highlight w:val="none"/>
          <w:lang w:val="en-US" w:eastAsia="zh-CN"/>
          <w14:textFill>
            <w14:solidFill>
              <w14:schemeClr w14:val="tx1"/>
            </w14:solidFill>
          </w14:textFill>
        </w:rPr>
        <w:t>理</w:t>
      </w:r>
      <w:r>
        <w:rPr>
          <w:rFonts w:hint="eastAsia" w:ascii="宋体" w:hAnsi="宋体" w:eastAsia="宋体" w:cs="宋体"/>
          <w:color w:val="000000" w:themeColor="text1"/>
          <w:sz w:val="21"/>
          <w:szCs w:val="21"/>
          <w:highlight w:val="none"/>
          <w:lang w:eastAsia="zh-CN"/>
          <w14:textFill>
            <w14:solidFill>
              <w14:schemeClr w14:val="tx1"/>
            </w14:solidFill>
          </w14:textFill>
        </w:rPr>
        <w:t>。我公司将严格遵守国家相关法律法规</w:t>
      </w:r>
      <w:r>
        <w:rPr>
          <w:rFonts w:hint="eastAsia" w:ascii="宋体" w:hAnsi="宋体" w:eastAsia="宋体" w:cs="宋体"/>
          <w:color w:val="000000" w:themeColor="text1"/>
          <w:sz w:val="21"/>
          <w:szCs w:val="21"/>
          <w:highlight w:val="none"/>
          <w:lang w:val="en-US" w:eastAsia="zh-CN"/>
          <w14:textFill>
            <w14:solidFill>
              <w14:schemeClr w14:val="tx1"/>
            </w14:solidFill>
          </w14:textFill>
        </w:rPr>
        <w:t>以</w:t>
      </w:r>
      <w:r>
        <w:rPr>
          <w:rFonts w:hint="eastAsia" w:ascii="宋体" w:hAnsi="宋体" w:eastAsia="宋体" w:cs="宋体"/>
          <w:color w:val="000000" w:themeColor="text1"/>
          <w:sz w:val="21"/>
          <w:szCs w:val="21"/>
          <w:highlight w:val="none"/>
          <w:lang w:eastAsia="zh-CN"/>
          <w14:textFill>
            <w14:solidFill>
              <w14:schemeClr w14:val="tx1"/>
            </w14:solidFill>
          </w14:textFill>
        </w:rPr>
        <w:t>及</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lang w:eastAsia="zh-CN"/>
          <w14:textFill>
            <w14:solidFill>
              <w14:schemeClr w14:val="tx1"/>
            </w14:solidFill>
          </w14:textFill>
        </w:rPr>
        <w:t>对供应商管理</w:t>
      </w:r>
      <w:r>
        <w:rPr>
          <w:rFonts w:hint="eastAsia" w:ascii="宋体" w:hAnsi="宋体" w:eastAsia="宋体" w:cs="宋体"/>
          <w:color w:val="000000" w:themeColor="text1"/>
          <w:sz w:val="21"/>
          <w:szCs w:val="21"/>
          <w:highlight w:val="none"/>
          <w:lang w:val="en-US" w:eastAsia="zh-CN"/>
          <w14:textFill>
            <w14:solidFill>
              <w14:schemeClr w14:val="tx1"/>
            </w14:solidFill>
          </w14:textFill>
        </w:rPr>
        <w:t>及准入时效</w:t>
      </w:r>
      <w:r>
        <w:rPr>
          <w:rFonts w:hint="eastAsia" w:ascii="宋体" w:hAnsi="宋体" w:eastAsia="宋体" w:cs="宋体"/>
          <w:color w:val="000000" w:themeColor="text1"/>
          <w:sz w:val="21"/>
          <w:szCs w:val="21"/>
          <w:highlight w:val="none"/>
          <w:lang w:eastAsia="zh-CN"/>
          <w14:textFill>
            <w14:solidFill>
              <w14:schemeClr w14:val="tx1"/>
            </w14:solidFill>
          </w14:textFill>
        </w:rPr>
        <w:t>的要求，</w:t>
      </w:r>
      <w:r>
        <w:rPr>
          <w:rFonts w:hint="eastAsia" w:ascii="宋体" w:hAnsi="宋体" w:eastAsia="宋体" w:cs="宋体"/>
          <w:color w:val="000000" w:themeColor="text1"/>
          <w:sz w:val="21"/>
          <w:szCs w:val="21"/>
          <w:highlight w:val="none"/>
          <w14:textFill>
            <w14:solidFill>
              <w14:schemeClr w14:val="tx1"/>
            </w14:solidFill>
          </w14:textFill>
        </w:rPr>
        <w:t>无条件接</w:t>
      </w:r>
      <w:r>
        <w:rPr>
          <w:rFonts w:hint="eastAsia" w:ascii="宋体" w:hAnsi="宋体" w:eastAsia="宋体" w:cs="宋体"/>
          <w:color w:val="000000" w:themeColor="text1"/>
          <w:sz w:val="21"/>
          <w:szCs w:val="21"/>
          <w:highlight w:val="none"/>
          <w:lang w:val="en-US" w:eastAsia="zh-CN"/>
          <w14:textFill>
            <w14:solidFill>
              <w14:schemeClr w14:val="tx1"/>
            </w14:solidFill>
          </w14:textFill>
        </w:rPr>
        <w:t>受</w:t>
      </w:r>
      <w:r>
        <w:rPr>
          <w:rFonts w:hint="eastAsia" w:ascii="宋体" w:hAnsi="宋体" w:eastAsia="宋体" w:cs="宋体"/>
          <w:color w:val="000000" w:themeColor="text1"/>
          <w:sz w:val="21"/>
          <w:szCs w:val="21"/>
          <w:highlight w:val="none"/>
          <w14:textFill>
            <w14:solidFill>
              <w14:schemeClr w14:val="tx1"/>
            </w14:solidFill>
          </w14:textFill>
        </w:rPr>
        <w:t>和配合海油发展或海油发展委托的有关机构进行的与上述内容相关的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核查与审计</w:t>
      </w:r>
      <w:r>
        <w:rPr>
          <w:rFonts w:hint="eastAsia" w:ascii="宋体" w:hAnsi="宋体" w:eastAsia="宋体" w:cs="宋体"/>
          <w:color w:val="000000" w:themeColor="text1"/>
          <w:sz w:val="21"/>
          <w:szCs w:val="21"/>
          <w:highlight w:val="none"/>
          <w14:textFill>
            <w14:solidFill>
              <w14:schemeClr w14:val="tx1"/>
            </w14:solidFill>
          </w14:textFill>
        </w:rPr>
        <w:t>。当相关信息发生变更时将及时主动办理更新手续。</w:t>
      </w:r>
    </w:p>
    <w:p>
      <w:pPr>
        <w:pStyle w:val="5"/>
        <w:rPr>
          <w:rFonts w:hint="eastAsia"/>
          <w:color w:val="000000" w:themeColor="text1"/>
          <w:sz w:val="21"/>
          <w:szCs w:val="21"/>
          <w:highlight w:val="none"/>
          <w14:textFill>
            <w14:solidFill>
              <w14:schemeClr w14:val="tx1"/>
            </w14:solidFill>
          </w14:textFill>
        </w:rPr>
      </w:pPr>
    </w:p>
    <w:p>
      <w:pPr>
        <w:spacing w:line="348" w:lineRule="auto"/>
        <w:ind w:firstLine="540"/>
        <w:jc w:val="center"/>
        <w:outlineLvl w:val="9"/>
        <w:rPr>
          <w:rFonts w:hint="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（公司/单位盖章）</w:t>
      </w:r>
    </w:p>
    <w:p>
      <w:pPr>
        <w:spacing w:line="348" w:lineRule="auto"/>
        <w:jc w:val="right"/>
        <w:rPr>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年    月    日</w:t>
      </w: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1</w:t>
      </w:r>
      <w:r>
        <w:rPr>
          <w:rFonts w:hint="eastAsia"/>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信用中国”或</w:t>
      </w:r>
      <w:r>
        <w:rPr>
          <w:rFonts w:hint="eastAsia" w:asciiTheme="minorEastAsia" w:hAnsiTheme="minorEastAsia" w:cstheme="minorEastAsia"/>
          <w:b w:val="0"/>
          <w:bCs w:val="0"/>
          <w:color w:val="000000" w:themeColor="text1"/>
          <w:sz w:val="21"/>
          <w:szCs w:val="21"/>
          <w:highlight w:val="none"/>
          <w14:textFill>
            <w14:solidFill>
              <w14:schemeClr w14:val="tx1"/>
            </w14:solidFill>
          </w14:textFill>
        </w:rPr>
        <w:t>“中国执行信息公开网”</w:t>
      </w:r>
      <w:r>
        <w:rPr>
          <w:rFonts w:hint="eastAsia" w:asciiTheme="minorEastAsia" w:hAnsiTheme="minorEastAsia" w:cstheme="minorEastAsia"/>
          <w:color w:val="000000" w:themeColor="text1"/>
          <w:sz w:val="21"/>
          <w:szCs w:val="21"/>
          <w:highlight w:val="none"/>
          <w14:textFill>
            <w14:solidFill>
              <w14:schemeClr w14:val="tx1"/>
            </w14:solidFill>
          </w14:textFill>
        </w:rPr>
        <w:t>网站查询截图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5"/>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2：“中国裁判文书网”查询截图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5"/>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3：“国家企业信用信息公示系统”查询截图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rPr>
          <w:highlight w:val="none"/>
        </w:rPr>
      </w:pPr>
    </w:p>
    <w:p>
      <w:pPr>
        <w:pStyle w:val="3"/>
        <w:ind w:firstLine="0" w:firstLineChars="0"/>
        <w:rPr>
          <w:highlight w:val="none"/>
          <w:lang w:val="en-US" w:eastAsia="zh-CN"/>
        </w:rPr>
      </w:pPr>
    </w:p>
    <w:p>
      <w:pPr>
        <w:pStyle w:val="3"/>
        <w:ind w:firstLine="0" w:firstLineChars="0"/>
        <w:rPr>
          <w:highlight w:val="none"/>
          <w:lang w:val="en-US" w:eastAsia="zh-CN"/>
        </w:rPr>
      </w:pPr>
    </w:p>
    <w:p>
      <w:pPr>
        <w:pStyle w:val="3"/>
        <w:ind w:firstLine="0" w:firstLineChars="0"/>
        <w:rPr>
          <w:highlight w:val="none"/>
          <w:lang w:val="en-US" w:eastAsia="zh-CN"/>
        </w:rPr>
      </w:pPr>
    </w:p>
    <w:p>
      <w:pPr>
        <w:pStyle w:val="3"/>
        <w:ind w:firstLine="0" w:firstLineChars="0"/>
        <w:rPr>
          <w:highlight w:val="none"/>
          <w:lang w:val="en-US" w:eastAsia="zh-CN"/>
        </w:rPr>
      </w:pPr>
    </w:p>
    <w:p>
      <w:pPr>
        <w:pStyle w:val="3"/>
        <w:ind w:firstLine="0" w:firstLineChars="0"/>
        <w:rPr>
          <w:highlight w:val="none"/>
          <w:lang w:val="en-US" w:eastAsia="zh-CN"/>
        </w:rPr>
      </w:pPr>
    </w:p>
    <w:p>
      <w:pPr>
        <w:pStyle w:val="3"/>
        <w:ind w:firstLine="0" w:firstLineChars="0"/>
        <w:rPr>
          <w:highlight w:val="none"/>
          <w:lang w:val="en-US" w:eastAsia="zh-CN"/>
        </w:rPr>
      </w:pPr>
    </w:p>
    <w:p>
      <w:pPr>
        <w:pStyle w:val="3"/>
        <w:ind w:firstLine="0" w:firstLineChars="0"/>
        <w:rPr>
          <w:highlight w:val="none"/>
          <w:lang w:val="en-US" w:eastAsia="zh-CN"/>
        </w:rPr>
      </w:pPr>
    </w:p>
    <w:p>
      <w:pPr>
        <w:pStyle w:val="3"/>
        <w:ind w:firstLine="0" w:firstLineChars="0"/>
        <w:rPr>
          <w:highlight w:val="none"/>
          <w:lang w:val="en-US" w:eastAsia="zh-CN"/>
        </w:rPr>
      </w:pPr>
    </w:p>
    <w:p>
      <w:pPr>
        <w:pStyle w:val="3"/>
        <w:ind w:firstLine="0" w:firstLineChars="0"/>
        <w:rPr>
          <w:highlight w:val="none"/>
          <w:lang w:val="en-US" w:eastAsia="zh-CN"/>
        </w:rPr>
      </w:pPr>
    </w:p>
    <w:p>
      <w:pPr>
        <w:pStyle w:val="3"/>
        <w:ind w:firstLine="0" w:firstLineChars="0"/>
        <w:rPr>
          <w:highlight w:val="none"/>
          <w:lang w:val="en-US" w:eastAsia="zh-CN"/>
        </w:rPr>
      </w:pPr>
    </w:p>
    <w:p>
      <w:pPr>
        <w:pStyle w:val="3"/>
        <w:ind w:firstLine="0" w:firstLineChars="0"/>
        <w:rPr>
          <w:highlight w:val="none"/>
          <w:lang w:val="en-US" w:eastAsia="zh-CN"/>
        </w:rPr>
      </w:pPr>
    </w:p>
    <w:p>
      <w:pPr>
        <w:pStyle w:val="3"/>
        <w:ind w:firstLine="0" w:firstLineChars="0"/>
        <w:rPr>
          <w:highlight w:val="none"/>
          <w:lang w:val="en-US" w:eastAsia="zh-CN"/>
        </w:rPr>
      </w:pPr>
    </w:p>
    <w:p>
      <w:pPr>
        <w:pStyle w:val="3"/>
        <w:ind w:firstLine="0" w:firstLineChars="0"/>
        <w:rPr>
          <w:highlight w:val="none"/>
          <w:lang w:val="en-US" w:eastAsia="zh-CN"/>
        </w:rPr>
      </w:pPr>
    </w:p>
    <w:p>
      <w:pPr>
        <w:pStyle w:val="3"/>
        <w:ind w:firstLine="0" w:firstLineChars="0"/>
        <w:rPr>
          <w:highlight w:val="none"/>
          <w:lang w:val="en-US" w:eastAsia="zh-CN"/>
        </w:rPr>
      </w:pPr>
    </w:p>
    <w:p>
      <w:pPr>
        <w:pStyle w:val="3"/>
        <w:ind w:firstLine="0" w:firstLineChars="0"/>
        <w:rPr>
          <w:highlight w:val="none"/>
          <w:lang w:val="en-US" w:eastAsia="zh-CN"/>
        </w:rPr>
      </w:pPr>
    </w:p>
    <w:p>
      <w:pPr>
        <w:pStyle w:val="3"/>
        <w:ind w:firstLine="0" w:firstLineChars="0"/>
        <w:rPr>
          <w:highlight w:val="none"/>
          <w:lang w:val="en-US" w:eastAsia="zh-CN"/>
        </w:rPr>
      </w:pPr>
    </w:p>
    <w:p>
      <w:pPr>
        <w:keepNext w:val="0"/>
        <w:keepLines w:val="0"/>
        <w:widowControl/>
        <w:suppressLineNumbers w:val="0"/>
        <w:jc w:val="left"/>
        <w:outlineLvl w:val="1"/>
        <w:rPr>
          <w:rFonts w:hint="eastAsia" w:ascii="黑体" w:hAnsi="黑体" w:eastAsia="黑体" w:cstheme="minorBidi"/>
          <w:b/>
          <w:bCs/>
          <w:color w:val="auto"/>
          <w:kern w:val="2"/>
          <w:sz w:val="24"/>
          <w:szCs w:val="24"/>
          <w:highlight w:val="none"/>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highlight w:val="none"/>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highlight w:val="none"/>
          <w:lang w:val="en-US" w:eastAsia="zh-CN" w:bidi="ar-SA"/>
        </w:rPr>
      </w:pPr>
    </w:p>
    <w:p>
      <w:pPr>
        <w:keepNext w:val="0"/>
        <w:keepLines w:val="0"/>
        <w:widowControl/>
        <w:suppressLineNumbers w:val="0"/>
        <w:jc w:val="left"/>
        <w:outlineLvl w:val="1"/>
        <w:rPr>
          <w:rFonts w:hint="default" w:ascii="仿宋" w:hAnsi="仿宋" w:eastAsia="仿宋" w:cs="仿宋"/>
          <w:b/>
          <w:bCs w:val="0"/>
          <w:sz w:val="28"/>
          <w:szCs w:val="28"/>
          <w:highlight w:val="none"/>
          <w:lang w:val="en-US" w:eastAsia="zh-CN"/>
        </w:rPr>
      </w:pPr>
      <w:r>
        <w:rPr>
          <w:rFonts w:hint="eastAsia" w:ascii="黑体" w:hAnsi="黑体" w:eastAsia="黑体" w:cstheme="minorBidi"/>
          <w:b/>
          <w:bCs/>
          <w:color w:val="auto"/>
          <w:kern w:val="2"/>
          <w:sz w:val="24"/>
          <w:szCs w:val="24"/>
          <w:highlight w:val="none"/>
          <w:lang w:val="en-US" w:eastAsia="zh-CN" w:bidi="ar-SA"/>
        </w:rPr>
        <w:t>5.9：制造商承诺书</w:t>
      </w:r>
    </w:p>
    <w:p>
      <w:pPr>
        <w:keepNext w:val="0"/>
        <w:keepLines w:val="0"/>
        <w:widowControl/>
        <w:suppressLineNumbers w:val="0"/>
        <w:jc w:val="center"/>
        <w:rPr>
          <w:rFonts w:hint="eastAsia" w:ascii="仿宋" w:hAnsi="仿宋" w:eastAsia="仿宋" w:cs="仿宋"/>
          <w:b/>
          <w:bCs/>
          <w:sz w:val="44"/>
          <w:szCs w:val="44"/>
          <w:highlight w:val="none"/>
          <w:lang w:val="en-US" w:eastAsia="zh-CN"/>
        </w:rPr>
      </w:pPr>
    </w:p>
    <w:p>
      <w:pPr>
        <w:keepNext w:val="0"/>
        <w:keepLines w:val="0"/>
        <w:widowControl/>
        <w:suppressLineNumbers w:val="0"/>
        <w:jc w:val="center"/>
        <w:rPr>
          <w:rFonts w:hint="eastAsia" w:ascii="仿宋" w:hAnsi="仿宋" w:eastAsia="仿宋" w:cs="仿宋"/>
          <w:sz w:val="28"/>
          <w:szCs w:val="28"/>
          <w:highlight w:val="none"/>
          <w:lang w:val="en-US" w:eastAsia="zh-CN"/>
        </w:rPr>
      </w:pPr>
      <w:r>
        <w:rPr>
          <w:rFonts w:hint="eastAsia" w:ascii="仿宋" w:hAnsi="仿宋" w:eastAsia="仿宋" w:cs="仿宋"/>
          <w:b/>
          <w:bCs/>
          <w:sz w:val="44"/>
          <w:szCs w:val="44"/>
          <w:highlight w:val="none"/>
          <w:lang w:val="en-US" w:eastAsia="zh-CN"/>
        </w:rPr>
        <w:t>制造商承诺书</w:t>
      </w:r>
    </w:p>
    <w:p>
      <w:pPr>
        <w:keepNext w:val="0"/>
        <w:keepLines w:val="0"/>
        <w:widowControl/>
        <w:suppressLineNumbers w:val="0"/>
        <w:jc w:val="center"/>
        <w:rPr>
          <w:rFonts w:hint="eastAsia" w:ascii="仿宋" w:hAnsi="仿宋" w:eastAsia="仿宋" w:cs="仿宋"/>
          <w:sz w:val="28"/>
          <w:szCs w:val="28"/>
          <w:highlight w:val="none"/>
          <w:lang w:val="en-US" w:eastAsia="zh-CN"/>
        </w:rPr>
      </w:pPr>
    </w:p>
    <w:p>
      <w:pPr>
        <w:keepNext w:val="0"/>
        <w:keepLines w:val="0"/>
        <w:widowControl/>
        <w:suppressLineNumbers w:val="0"/>
        <w:jc w:val="both"/>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致：</w:t>
      </w:r>
      <w:r>
        <w:rPr>
          <w:rFonts w:hint="eastAsia" w:ascii="仿宋" w:hAnsi="仿宋" w:eastAsia="仿宋" w:cs="仿宋"/>
          <w:sz w:val="28"/>
          <w:szCs w:val="28"/>
          <w:highlight w:val="none"/>
          <w:u w:val="single"/>
          <w:lang w:val="en-US" w:eastAsia="zh-CN"/>
        </w:rPr>
        <w:t xml:space="preserve">  招标人/招标代理机构   </w:t>
      </w:r>
    </w:p>
    <w:p>
      <w:pPr>
        <w:keepNext w:val="0"/>
        <w:keepLines w:val="0"/>
        <w:widowControl/>
        <w:suppressLineNumbers w:val="0"/>
        <w:ind w:firstLine="560" w:firstLineChars="200"/>
        <w:jc w:val="both"/>
        <w:rPr>
          <w:rFonts w:hint="eastAsia" w:ascii="仿宋" w:hAnsi="仿宋" w:eastAsia="仿宋" w:cs="仿宋"/>
          <w:sz w:val="28"/>
          <w:szCs w:val="28"/>
          <w:highlight w:val="none"/>
          <w:u w:val="single"/>
          <w:lang w:val="en-US" w:eastAsia="zh-CN"/>
        </w:rPr>
      </w:pPr>
      <w:r>
        <w:rPr>
          <w:rFonts w:hint="eastAsia" w:ascii="仿宋" w:hAnsi="仿宋" w:eastAsia="仿宋" w:cs="仿宋"/>
          <w:sz w:val="28"/>
          <w:szCs w:val="28"/>
          <w:highlight w:val="none"/>
          <w:lang w:val="en-US" w:eastAsia="zh-CN"/>
        </w:rPr>
        <w:t>我们</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none"/>
          <w:lang w:val="en-US" w:eastAsia="zh-CN"/>
        </w:rPr>
        <w:t>公司名称）</w:t>
      </w:r>
      <w:r>
        <w:rPr>
          <w:rFonts w:hint="eastAsia" w:ascii="仿宋" w:hAnsi="仿宋" w:eastAsia="仿宋" w:cs="仿宋"/>
          <w:sz w:val="28"/>
          <w:szCs w:val="28"/>
          <w:highlight w:val="none"/>
          <w:lang w:val="en-US" w:eastAsia="zh-CN"/>
        </w:rPr>
        <w:t>是按中华人民共和国法律于</w:t>
      </w:r>
      <w:r>
        <w:rPr>
          <w:rFonts w:hint="eastAsia" w:ascii="仿宋" w:hAnsi="仿宋" w:eastAsia="仿宋" w:cs="仿宋"/>
          <w:sz w:val="28"/>
          <w:szCs w:val="28"/>
          <w:highlight w:val="none"/>
          <w:u w:val="single"/>
          <w:lang w:val="en-US" w:eastAsia="zh-CN"/>
        </w:rPr>
        <w:t xml:space="preserve">    年 月 日</w:t>
      </w:r>
      <w:r>
        <w:rPr>
          <w:rFonts w:hint="eastAsia" w:ascii="仿宋" w:hAnsi="仿宋" w:eastAsia="仿宋" w:cs="仿宋"/>
          <w:sz w:val="28"/>
          <w:szCs w:val="28"/>
          <w:highlight w:val="none"/>
          <w:lang w:val="en-US" w:eastAsia="zh-CN"/>
        </w:rPr>
        <w:t>成立的一家制造商，主要营业地点设在</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 xml:space="preserve">。兹声明我司就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项目(招标编号：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）使用我公司 □自行生产制造/ □</w:t>
      </w:r>
      <w:r>
        <w:rPr>
          <w:rFonts w:hint="eastAsia" w:ascii="仿宋" w:hAnsi="仿宋" w:eastAsia="仿宋" w:cs="仿宋"/>
          <w:sz w:val="28"/>
          <w:szCs w:val="28"/>
          <w:highlight w:val="none"/>
          <w:lang w:val="en-US" w:eastAsia="zh-Hans"/>
        </w:rPr>
        <w:t>代工方式</w:t>
      </w:r>
      <w:r>
        <w:rPr>
          <w:rFonts w:hint="eastAsia" w:ascii="仿宋" w:hAnsi="仿宋" w:eastAsia="仿宋" w:cs="仿宋"/>
          <w:sz w:val="28"/>
          <w:szCs w:val="28"/>
          <w:highlight w:val="none"/>
          <w:lang w:val="en-US" w:eastAsia="zh-CN"/>
        </w:rPr>
        <w:t>/□集成方式</w:t>
      </w:r>
      <w:r>
        <w:rPr>
          <w:rFonts w:hint="eastAsia" w:ascii="仿宋" w:hAnsi="仿宋" w:eastAsia="仿宋" w:cs="仿宋"/>
          <w:sz w:val="28"/>
          <w:szCs w:val="28"/>
          <w:highlight w:val="none"/>
          <w:lang w:val="en-US" w:eastAsia="zh-Hans"/>
        </w:rPr>
        <w:t>生产</w:t>
      </w:r>
      <w:r>
        <w:rPr>
          <w:rFonts w:hint="eastAsia" w:ascii="仿宋" w:hAnsi="仿宋" w:eastAsia="仿宋" w:cs="仿宋"/>
          <w:sz w:val="28"/>
          <w:szCs w:val="28"/>
          <w:highlight w:val="none"/>
          <w:lang w:val="en-US" w:eastAsia="zh-CN"/>
        </w:rPr>
        <w:t>的</w:t>
      </w:r>
      <w:r>
        <w:rPr>
          <w:rFonts w:hint="eastAsia" w:ascii="仿宋" w:hAnsi="仿宋" w:eastAsia="仿宋" w:cs="仿宋"/>
          <w:sz w:val="28"/>
          <w:szCs w:val="28"/>
          <w:highlight w:val="none"/>
          <w:u w:val="single"/>
          <w:lang w:val="en-US" w:eastAsia="zh-CN"/>
        </w:rPr>
        <w:t xml:space="preserve">                                                                </w:t>
      </w:r>
    </w:p>
    <w:p>
      <w:pPr>
        <w:keepNext w:val="0"/>
        <w:keepLines w:val="0"/>
        <w:widowControl/>
        <w:suppressLineNumbers w:val="0"/>
        <w:ind w:left="0" w:leftChars="0" w:firstLine="0" w:firstLineChars="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u w:val="none"/>
          <w:lang w:val="en-US" w:eastAsia="zh-CN"/>
        </w:rPr>
        <w:t>产品</w:t>
      </w:r>
      <w:r>
        <w:rPr>
          <w:rFonts w:hint="eastAsia" w:ascii="仿宋" w:hAnsi="仿宋" w:eastAsia="仿宋" w:cs="仿宋"/>
          <w:sz w:val="28"/>
          <w:szCs w:val="28"/>
          <w:highlight w:val="none"/>
          <w:lang w:val="en-US" w:eastAsia="zh-CN"/>
        </w:rPr>
        <w:t>参与投标。</w:t>
      </w:r>
    </w:p>
    <w:p>
      <w:pPr>
        <w:keepNext w:val="0"/>
        <w:keepLines w:val="0"/>
        <w:widowControl/>
        <w:suppressLineNumbers w:val="0"/>
        <w:ind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我公司就项目承诺如下：</w:t>
      </w:r>
    </w:p>
    <w:p>
      <w:pPr>
        <w:keepNext w:val="0"/>
        <w:keepLines w:val="0"/>
        <w:widowControl/>
        <w:suppressLineNumbers w:val="0"/>
        <w:jc w:val="both"/>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 我公司为</w:t>
      </w:r>
      <w:r>
        <w:rPr>
          <w:rFonts w:hint="eastAsia" w:ascii="仿宋" w:hAnsi="仿宋" w:eastAsia="仿宋" w:cs="仿宋"/>
          <w:b/>
          <w:bCs/>
          <w:sz w:val="28"/>
          <w:szCs w:val="28"/>
          <w:highlight w:val="none"/>
          <w:lang w:val="en-US" w:eastAsia="zh-CN"/>
        </w:rPr>
        <w:t>传统型制造商，</w:t>
      </w:r>
      <w:r>
        <w:rPr>
          <w:rFonts w:hint="eastAsia" w:ascii="仿宋" w:hAnsi="仿宋" w:eastAsia="仿宋" w:cs="仿宋"/>
          <w:sz w:val="28"/>
          <w:szCs w:val="28"/>
          <w:highlight w:val="none"/>
          <w:lang w:val="en-US" w:eastAsia="zh-CN"/>
        </w:rPr>
        <w:t>投标产品系我公司自行生产制造，我公司具备制造必须的资质、厂房、设备、人力等资源。</w:t>
      </w:r>
    </w:p>
    <w:p>
      <w:pPr>
        <w:keepNext w:val="0"/>
        <w:keepLines w:val="0"/>
        <w:widowControl/>
        <w:numPr>
          <w:ilvl w:val="0"/>
          <w:numId w:val="0"/>
        </w:numPr>
        <w:suppressLineNumbers w:val="0"/>
        <w:ind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sym w:font="Wingdings 2" w:char="00A3"/>
      </w:r>
      <w:r>
        <w:rPr>
          <w:rFonts w:hint="eastAsia" w:ascii="仿宋" w:hAnsi="仿宋" w:eastAsia="仿宋" w:cs="仿宋"/>
          <w:sz w:val="28"/>
          <w:szCs w:val="28"/>
          <w:highlight w:val="none"/>
          <w:lang w:val="en-US" w:eastAsia="zh-CN"/>
        </w:rPr>
        <w:t xml:space="preserve"> 我公司为</w:t>
      </w:r>
      <w:r>
        <w:rPr>
          <w:rFonts w:hint="eastAsia" w:ascii="仿宋" w:hAnsi="仿宋" w:eastAsia="仿宋" w:cs="仿宋"/>
          <w:b/>
          <w:bCs/>
          <w:sz w:val="28"/>
          <w:szCs w:val="28"/>
          <w:highlight w:val="none"/>
          <w:lang w:val="en-US" w:eastAsia="zh-CN"/>
        </w:rPr>
        <w:t>OEM型制造商，</w:t>
      </w:r>
      <w:r>
        <w:rPr>
          <w:rFonts w:hint="eastAsia" w:ascii="仿宋" w:hAnsi="仿宋" w:eastAsia="仿宋" w:cs="仿宋"/>
          <w:sz w:val="28"/>
          <w:szCs w:val="28"/>
          <w:highlight w:val="none"/>
          <w:lang w:val="en-US" w:eastAsia="zh-CN"/>
        </w:rPr>
        <w:t>投标产品系我公司以</w:t>
      </w:r>
      <w:r>
        <w:rPr>
          <w:rFonts w:hint="eastAsia" w:ascii="仿宋" w:hAnsi="仿宋" w:eastAsia="仿宋" w:cs="仿宋"/>
          <w:sz w:val="28"/>
          <w:szCs w:val="28"/>
          <w:highlight w:val="none"/>
          <w:lang w:val="en-US" w:eastAsia="zh-Hans"/>
        </w:rPr>
        <w:t>代工方式生产</w:t>
      </w:r>
      <w:r>
        <w:rPr>
          <w:rFonts w:hint="eastAsia" w:ascii="仿宋" w:hAnsi="仿宋" w:eastAsia="仿宋" w:cs="仿宋"/>
          <w:sz w:val="28"/>
          <w:szCs w:val="28"/>
          <w:highlight w:val="none"/>
          <w:lang w:val="en-US" w:eastAsia="zh-CN"/>
        </w:rPr>
        <w:t>，我公司具备供货的资质和能力。</w:t>
      </w:r>
    </w:p>
    <w:p>
      <w:pPr>
        <w:keepNext w:val="0"/>
        <w:keepLines w:val="0"/>
        <w:widowControl/>
        <w:numPr>
          <w:ilvl w:val="0"/>
          <w:numId w:val="0"/>
        </w:numPr>
        <w:suppressLineNumbers w:val="0"/>
        <w:ind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sym w:font="Wingdings 2" w:char="00A3"/>
      </w:r>
      <w:r>
        <w:rPr>
          <w:rFonts w:hint="eastAsia" w:ascii="仿宋" w:hAnsi="仿宋" w:eastAsia="仿宋" w:cs="仿宋"/>
          <w:sz w:val="28"/>
          <w:szCs w:val="28"/>
          <w:highlight w:val="none"/>
          <w:lang w:val="en-US" w:eastAsia="zh-CN"/>
        </w:rPr>
        <w:t xml:space="preserve"> 我公司为</w:t>
      </w:r>
      <w:r>
        <w:rPr>
          <w:rFonts w:hint="eastAsia" w:ascii="仿宋" w:hAnsi="仿宋" w:eastAsia="仿宋" w:cs="仿宋"/>
          <w:b/>
          <w:bCs/>
          <w:sz w:val="28"/>
          <w:szCs w:val="28"/>
          <w:highlight w:val="none"/>
          <w:lang w:val="en-US" w:eastAsia="zh-CN"/>
        </w:rPr>
        <w:t>集成型制造商，</w:t>
      </w:r>
      <w:r>
        <w:rPr>
          <w:rFonts w:hint="eastAsia" w:ascii="仿宋" w:hAnsi="仿宋" w:eastAsia="仿宋" w:cs="仿宋"/>
          <w:sz w:val="28"/>
          <w:szCs w:val="28"/>
          <w:highlight w:val="none"/>
          <w:lang w:val="en-US" w:eastAsia="zh-CN"/>
        </w:rPr>
        <w:t>投标产品系我公司集成</w:t>
      </w:r>
      <w:r>
        <w:rPr>
          <w:rFonts w:hint="eastAsia" w:ascii="仿宋" w:hAnsi="仿宋" w:eastAsia="仿宋" w:cs="仿宋"/>
          <w:sz w:val="28"/>
          <w:szCs w:val="28"/>
          <w:highlight w:val="none"/>
          <w:lang w:val="en-US" w:eastAsia="zh-Hans"/>
        </w:rPr>
        <w:t>方式生产</w:t>
      </w:r>
      <w:r>
        <w:rPr>
          <w:rFonts w:hint="eastAsia" w:ascii="仿宋" w:hAnsi="仿宋" w:eastAsia="仿宋" w:cs="仿宋"/>
          <w:sz w:val="28"/>
          <w:szCs w:val="28"/>
          <w:highlight w:val="none"/>
          <w:lang w:val="en-US" w:eastAsia="zh-CN"/>
        </w:rPr>
        <w:t>，我公司具备集成必须的资质、厂房、设备、人力等资源。</w:t>
      </w:r>
    </w:p>
    <w:p>
      <w:pPr>
        <w:keepNext w:val="0"/>
        <w:keepLines w:val="0"/>
        <w:widowControl/>
        <w:suppressLineNumbers w:val="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（2）我司对所投产品拥有知识产权和产品销售权。</w:t>
      </w:r>
    </w:p>
    <w:p>
      <w:pPr>
        <w:keepNext w:val="0"/>
        <w:keepLines w:val="0"/>
        <w:widowControl/>
        <w:suppressLineNumbers w:val="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（3）后附我公司相关证明材料真实有效。</w:t>
      </w:r>
    </w:p>
    <w:p>
      <w:pPr>
        <w:keepNext w:val="0"/>
        <w:keepLines w:val="0"/>
        <w:widowControl/>
        <w:suppressLineNumbers w:val="0"/>
        <w:wordWrap w:val="0"/>
        <w:jc w:val="right"/>
        <w:rPr>
          <w:rFonts w:hint="eastAsia" w:ascii="仿宋" w:hAnsi="仿宋" w:eastAsia="仿宋" w:cs="仿宋"/>
          <w:sz w:val="28"/>
          <w:szCs w:val="28"/>
          <w:highlight w:val="none"/>
          <w:u w:val="single"/>
          <w:lang w:val="en-US" w:eastAsia="zh-CN"/>
        </w:rPr>
      </w:pPr>
      <w:r>
        <w:rPr>
          <w:rFonts w:hint="eastAsia" w:ascii="仿宋" w:hAnsi="仿宋" w:eastAsia="仿宋" w:cs="仿宋"/>
          <w:sz w:val="28"/>
          <w:szCs w:val="28"/>
          <w:highlight w:val="none"/>
          <w:lang w:val="en-US" w:eastAsia="zh-CN"/>
        </w:rPr>
        <w:t>投标人名称（盖章）：</w:t>
      </w:r>
      <w:r>
        <w:rPr>
          <w:rFonts w:hint="eastAsia" w:ascii="仿宋" w:hAnsi="仿宋" w:eastAsia="仿宋" w:cs="仿宋"/>
          <w:sz w:val="28"/>
          <w:szCs w:val="28"/>
          <w:highlight w:val="none"/>
          <w:u w:val="single"/>
          <w:lang w:val="en-US" w:eastAsia="zh-CN"/>
        </w:rPr>
        <w:t xml:space="preserve">                 </w:t>
      </w:r>
    </w:p>
    <w:p>
      <w:pPr>
        <w:keepNext w:val="0"/>
        <w:keepLines w:val="0"/>
        <w:widowControl/>
        <w:suppressLineNumbers w:val="0"/>
        <w:wordWrap w:val="0"/>
        <w:jc w:val="right"/>
        <w:rPr>
          <w:rFonts w:hint="eastAsia" w:ascii="仿宋" w:hAnsi="仿宋" w:eastAsia="仿宋" w:cs="仿宋"/>
          <w:sz w:val="28"/>
          <w:szCs w:val="28"/>
          <w:highlight w:val="none"/>
          <w:u w:val="single"/>
          <w:lang w:val="en-US" w:eastAsia="zh-CN"/>
        </w:rPr>
      </w:pPr>
      <w:r>
        <w:rPr>
          <w:rFonts w:hint="eastAsia" w:ascii="仿宋" w:hAnsi="仿宋" w:eastAsia="仿宋" w:cs="仿宋"/>
          <w:sz w:val="28"/>
          <w:szCs w:val="28"/>
          <w:highlight w:val="none"/>
          <w:lang w:val="en-US" w:eastAsia="zh-CN"/>
        </w:rPr>
        <w:t>法定代表人或授权人签章：</w:t>
      </w:r>
      <w:r>
        <w:rPr>
          <w:rFonts w:hint="eastAsia" w:ascii="仿宋" w:hAnsi="仿宋" w:eastAsia="仿宋" w:cs="仿宋"/>
          <w:sz w:val="28"/>
          <w:szCs w:val="28"/>
          <w:highlight w:val="none"/>
          <w:u w:val="single"/>
          <w:lang w:val="en-US" w:eastAsia="zh-CN"/>
        </w:rPr>
        <w:t xml:space="preserve">                 </w:t>
      </w:r>
    </w:p>
    <w:p>
      <w:pPr>
        <w:keepNext w:val="0"/>
        <w:keepLines w:val="0"/>
        <w:widowControl/>
        <w:suppressLineNumbers w:val="0"/>
        <w:wordWrap w:val="0"/>
        <w:jc w:val="right"/>
        <w:rPr>
          <w:rFonts w:hint="default" w:ascii="仿宋" w:hAnsi="仿宋" w:eastAsia="仿宋" w:cs="仿宋"/>
          <w:sz w:val="28"/>
          <w:szCs w:val="28"/>
          <w:highlight w:val="none"/>
          <w:u w:val="single"/>
          <w:lang w:val="en-US" w:eastAsia="zh-CN"/>
        </w:rPr>
      </w:pPr>
      <w:r>
        <w:rPr>
          <w:rFonts w:hint="eastAsia" w:ascii="仿宋" w:hAnsi="仿宋" w:eastAsia="仿宋" w:cs="仿宋"/>
          <w:sz w:val="28"/>
          <w:szCs w:val="28"/>
          <w:highlight w:val="none"/>
          <w:u w:val="none"/>
          <w:lang w:val="en-US" w:eastAsia="zh-CN"/>
        </w:rPr>
        <w:t>日   期：</w:t>
      </w:r>
      <w:r>
        <w:rPr>
          <w:rFonts w:hint="eastAsia" w:ascii="仿宋" w:hAnsi="仿宋" w:eastAsia="仿宋" w:cs="仿宋"/>
          <w:sz w:val="28"/>
          <w:szCs w:val="28"/>
          <w:highlight w:val="none"/>
          <w:u w:val="single"/>
          <w:lang w:val="en-US" w:eastAsia="zh-CN"/>
        </w:rPr>
        <w:t xml:space="preserve">                 </w:t>
      </w:r>
    </w:p>
    <w:p>
      <w:pPr>
        <w:keepNext w:val="0"/>
        <w:keepLines w:val="0"/>
        <w:widowControl/>
        <w:suppressLineNumbers w:val="0"/>
        <w:ind w:firstLine="440" w:firstLineChars="100"/>
        <w:jc w:val="left"/>
        <w:rPr>
          <w:rFonts w:hint="eastAsia" w:ascii="仿宋" w:hAnsi="仿宋" w:eastAsia="仿宋" w:cs="仿宋"/>
          <w:b w:val="0"/>
          <w:bCs w:val="0"/>
          <w:sz w:val="44"/>
          <w:szCs w:val="44"/>
          <w:highlight w:val="none"/>
          <w:lang w:val="en-US" w:eastAsia="zh-CN"/>
        </w:rPr>
      </w:pPr>
      <w:r>
        <w:rPr>
          <w:rFonts w:hint="eastAsia" w:ascii="仿宋" w:hAnsi="仿宋" w:eastAsia="仿宋" w:cs="仿宋"/>
          <w:b w:val="0"/>
          <w:bCs w:val="0"/>
          <w:sz w:val="44"/>
          <w:szCs w:val="44"/>
          <w:highlight w:val="none"/>
          <w:lang w:val="en-US" w:eastAsia="zh-CN"/>
        </w:rPr>
        <w:t>制造商证明相关材料</w:t>
      </w:r>
    </w:p>
    <w:p>
      <w:pPr>
        <w:keepNext w:val="0"/>
        <w:keepLines w:val="0"/>
        <w:widowControl/>
        <w:suppressLineNumbers w:val="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 xml:space="preserve">（提示：1、各单位可根据实际需求情况，自行设置制造商需提供的证明材料。2、标黄内容均为提示性信息，用于辅助制定相关要求，正式文件中应注意删除，避免产生歧义。） </w:t>
      </w:r>
    </w:p>
    <w:p>
      <w:pPr>
        <w:keepNext w:val="0"/>
        <w:keepLines w:val="0"/>
        <w:widowControl/>
        <w:suppressLineNumbers w:val="0"/>
        <w:ind w:firstLine="560" w:firstLineChars="200"/>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供应商应根据《制造商承诺书》所选类型提供相关证明材料（选择一类提供即可），逐页加盖公章，原件备查。</w:t>
      </w:r>
    </w:p>
    <w:p>
      <w:pPr>
        <w:keepNext w:val="0"/>
        <w:keepLines w:val="0"/>
        <w:widowControl/>
        <w:suppressLineNumbers w:val="0"/>
        <w:ind w:firstLine="560" w:firstLineChars="200"/>
        <w:jc w:val="both"/>
        <w:rPr>
          <w:rFonts w:hint="default" w:ascii="仿宋" w:hAnsi="仿宋" w:eastAsia="仿宋" w:cs="仿宋"/>
          <w:b w:val="0"/>
          <w:bCs w:val="0"/>
          <w:sz w:val="28"/>
          <w:szCs w:val="28"/>
          <w:highlight w:val="none"/>
          <w:lang w:val="en-US" w:eastAsia="zh-CN"/>
        </w:rPr>
      </w:pPr>
    </w:p>
    <w:p>
      <w:pPr>
        <w:keepNext w:val="0"/>
        <w:keepLines w:val="0"/>
        <w:widowControl/>
        <w:suppressLineNumbers w:val="0"/>
        <w:ind w:firstLine="720" w:firstLineChars="200"/>
        <w:jc w:val="both"/>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传统型制造商应提供的证明材料：</w:t>
      </w:r>
    </w:p>
    <w:p>
      <w:pPr>
        <w:keepNext w:val="0"/>
        <w:keepLines w:val="0"/>
        <w:widowControl/>
        <w:numPr>
          <w:ilvl w:val="0"/>
          <w:numId w:val="34"/>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生产/销售资质证书（如安全生产许可证、特种设备生产/制造许可证、经营许可证等）：</w:t>
      </w:r>
    </w:p>
    <w:p>
      <w:pPr>
        <w:keepNext w:val="0"/>
        <w:keepLines w:val="0"/>
        <w:widowControl/>
        <w:numPr>
          <w:ilvl w:val="0"/>
          <w:numId w:val="34"/>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三体系管理认证证书（质量管理体系认证，环境管理体系认证，职业健康安全管理体系认证）：</w:t>
      </w:r>
    </w:p>
    <w:p>
      <w:pPr>
        <w:keepNext w:val="0"/>
        <w:keepLines w:val="0"/>
        <w:widowControl/>
        <w:numPr>
          <w:ilvl w:val="0"/>
          <w:numId w:val="34"/>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厂房、库房证明（需提供房产证明或租赁证明、实物照片等）：</w:t>
      </w:r>
    </w:p>
    <w:p>
      <w:pPr>
        <w:keepNext w:val="0"/>
        <w:keepLines w:val="0"/>
        <w:widowControl/>
        <w:numPr>
          <w:ilvl w:val="0"/>
          <w:numId w:val="34"/>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与标的物相关的生产设备证明（需提供****设备购买证明或租赁证明、实物照片等）：</w:t>
      </w:r>
    </w:p>
    <w:p>
      <w:pPr>
        <w:keepNext w:val="0"/>
        <w:keepLines w:val="0"/>
        <w:widowControl/>
        <w:numPr>
          <w:ilvl w:val="0"/>
          <w:numId w:val="34"/>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生产工艺（需提供****工艺介绍和供流程图）：</w:t>
      </w:r>
    </w:p>
    <w:p>
      <w:pPr>
        <w:keepNext w:val="0"/>
        <w:keepLines w:val="0"/>
        <w:widowControl/>
        <w:numPr>
          <w:ilvl w:val="0"/>
          <w:numId w:val="34"/>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检测仪器证明（需提供****仪器购买证明或租赁证明、实物照片等）：</w:t>
      </w:r>
    </w:p>
    <w:p>
      <w:pPr>
        <w:keepNext w:val="0"/>
        <w:keepLines w:val="0"/>
        <w:widowControl/>
        <w:numPr>
          <w:ilvl w:val="0"/>
          <w:numId w:val="34"/>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组装或加工设备证明（需提供****设备购买证明或租赁证明、实物照片等）：</w:t>
      </w:r>
    </w:p>
    <w:p>
      <w:pPr>
        <w:keepNext w:val="0"/>
        <w:keepLines w:val="0"/>
        <w:widowControl/>
        <w:numPr>
          <w:ilvl w:val="0"/>
          <w:numId w:val="34"/>
        </w:numPr>
        <w:suppressLineNumbers w:val="0"/>
        <w:ind w:firstLine="560" w:firstLineChars="200"/>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相关知识产权或专利：</w:t>
      </w:r>
    </w:p>
    <w:p>
      <w:pPr>
        <w:keepNext w:val="0"/>
        <w:keepLines w:val="0"/>
        <w:widowControl/>
        <w:numPr>
          <w:ilvl w:val="0"/>
          <w:numId w:val="34"/>
        </w:numPr>
        <w:suppressLineNumbers w:val="0"/>
        <w:ind w:firstLine="560" w:firstLineChars="200"/>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其他证明材料（如涉及）：</w:t>
      </w:r>
    </w:p>
    <w:p>
      <w:pPr>
        <w:keepNext w:val="0"/>
        <w:keepLines w:val="0"/>
        <w:widowControl/>
        <w:numPr>
          <w:ilvl w:val="0"/>
          <w:numId w:val="0"/>
        </w:numPr>
        <w:suppressLineNumbers w:val="0"/>
        <w:jc w:val="both"/>
        <w:rPr>
          <w:rFonts w:hint="eastAsia" w:ascii="仿宋" w:hAnsi="仿宋" w:eastAsia="仿宋" w:cs="仿宋"/>
          <w:b w:val="0"/>
          <w:bCs w:val="0"/>
          <w:sz w:val="28"/>
          <w:szCs w:val="28"/>
          <w:highlight w:val="none"/>
          <w:lang w:val="en-US" w:eastAsia="zh-CN"/>
        </w:rPr>
      </w:pPr>
    </w:p>
    <w:p>
      <w:pPr>
        <w:keepNext w:val="0"/>
        <w:keepLines w:val="0"/>
        <w:widowControl/>
        <w:suppressLineNumbers w:val="0"/>
        <w:ind w:firstLine="720" w:firstLineChars="200"/>
        <w:jc w:val="both"/>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OEM型制造商应提供的证明材料：</w:t>
      </w:r>
    </w:p>
    <w:p>
      <w:pPr>
        <w:keepNext w:val="0"/>
        <w:keepLines w:val="0"/>
        <w:widowControl/>
        <w:numPr>
          <w:ilvl w:val="0"/>
          <w:numId w:val="35"/>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生产/销售资质证书（如安全生产许可证、特种设备生产/制造许可证、经营许可证等）：</w:t>
      </w:r>
    </w:p>
    <w:p>
      <w:pPr>
        <w:keepNext w:val="0"/>
        <w:keepLines w:val="0"/>
        <w:widowControl/>
        <w:numPr>
          <w:ilvl w:val="0"/>
          <w:numId w:val="35"/>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三体系管理认证证书（质量管理体系认证，环境管理体系认证，职业健康安全管理体系认证）：</w:t>
      </w:r>
    </w:p>
    <w:p>
      <w:pPr>
        <w:keepNext w:val="0"/>
        <w:keepLines w:val="0"/>
        <w:widowControl/>
        <w:numPr>
          <w:ilvl w:val="0"/>
          <w:numId w:val="35"/>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代工协议：</w:t>
      </w:r>
    </w:p>
    <w:p>
      <w:pPr>
        <w:keepNext w:val="0"/>
        <w:keepLines w:val="0"/>
        <w:widowControl/>
        <w:numPr>
          <w:ilvl w:val="0"/>
          <w:numId w:val="35"/>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相关知识产权或专利：</w:t>
      </w:r>
    </w:p>
    <w:p>
      <w:pPr>
        <w:keepNext w:val="0"/>
        <w:keepLines w:val="0"/>
        <w:widowControl/>
        <w:numPr>
          <w:ilvl w:val="0"/>
          <w:numId w:val="35"/>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厂房、库房证明（需提供房产证明或租赁证明、实物照片等）：</w:t>
      </w:r>
    </w:p>
    <w:p>
      <w:pPr>
        <w:keepNext w:val="0"/>
        <w:keepLines w:val="0"/>
        <w:widowControl/>
        <w:numPr>
          <w:ilvl w:val="0"/>
          <w:numId w:val="35"/>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与标的物相关的生产设备证明（需提供****设备购买证明或租赁证明、实物照片等）：</w:t>
      </w:r>
    </w:p>
    <w:p>
      <w:pPr>
        <w:keepNext w:val="0"/>
        <w:keepLines w:val="0"/>
        <w:widowControl/>
        <w:numPr>
          <w:ilvl w:val="0"/>
          <w:numId w:val="35"/>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生产工艺（需提供****工艺介绍和流程图）：</w:t>
      </w:r>
    </w:p>
    <w:p>
      <w:pPr>
        <w:keepNext w:val="0"/>
        <w:keepLines w:val="0"/>
        <w:widowControl/>
        <w:numPr>
          <w:ilvl w:val="0"/>
          <w:numId w:val="35"/>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检测仪器证明（需提供****仪器购买证明或租赁证明、实物照片等）：</w:t>
      </w:r>
    </w:p>
    <w:p>
      <w:pPr>
        <w:keepNext w:val="0"/>
        <w:keepLines w:val="0"/>
        <w:widowControl/>
        <w:numPr>
          <w:ilvl w:val="0"/>
          <w:numId w:val="35"/>
        </w:numPr>
        <w:suppressLineNumbers w:val="0"/>
        <w:ind w:firstLine="560" w:firstLineChars="200"/>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组装或加工设备证明（需提供****设备购买证明或租赁证明、实物照片等）：</w:t>
      </w:r>
    </w:p>
    <w:p>
      <w:pPr>
        <w:keepNext w:val="0"/>
        <w:keepLines w:val="0"/>
        <w:widowControl/>
        <w:numPr>
          <w:ilvl w:val="0"/>
          <w:numId w:val="35"/>
        </w:numPr>
        <w:suppressLineNumbers w:val="0"/>
        <w:ind w:firstLine="560" w:firstLineChars="200"/>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其他证明材料（如涉及）：</w:t>
      </w:r>
    </w:p>
    <w:p>
      <w:pPr>
        <w:keepNext w:val="0"/>
        <w:keepLines w:val="0"/>
        <w:widowControl/>
        <w:numPr>
          <w:ilvl w:val="0"/>
          <w:numId w:val="0"/>
        </w:numPr>
        <w:suppressLineNumbers w:val="0"/>
        <w:jc w:val="both"/>
        <w:rPr>
          <w:rFonts w:hint="eastAsia" w:ascii="仿宋" w:hAnsi="仿宋" w:eastAsia="仿宋" w:cs="仿宋"/>
          <w:b w:val="0"/>
          <w:bCs w:val="0"/>
          <w:sz w:val="28"/>
          <w:szCs w:val="28"/>
          <w:highlight w:val="none"/>
          <w:lang w:val="en-US" w:eastAsia="zh-CN"/>
        </w:rPr>
      </w:pPr>
    </w:p>
    <w:p>
      <w:pPr>
        <w:keepNext w:val="0"/>
        <w:keepLines w:val="0"/>
        <w:widowControl/>
        <w:suppressLineNumbers w:val="0"/>
        <w:ind w:firstLine="720" w:firstLineChars="200"/>
        <w:jc w:val="both"/>
        <w:rPr>
          <w:rFonts w:hint="eastAsia"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集成型制造商应提供的证明材料：</w:t>
      </w:r>
    </w:p>
    <w:p>
      <w:pPr>
        <w:keepNext w:val="0"/>
        <w:keepLines w:val="0"/>
        <w:widowControl/>
        <w:numPr>
          <w:ilvl w:val="0"/>
          <w:numId w:val="36"/>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生产/销售资质证书（如安全生产许可证、特种设备生产/制造许可证、经营许可证等）：</w:t>
      </w:r>
    </w:p>
    <w:p>
      <w:pPr>
        <w:keepNext w:val="0"/>
        <w:keepLines w:val="0"/>
        <w:widowControl/>
        <w:numPr>
          <w:ilvl w:val="0"/>
          <w:numId w:val="36"/>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三体系管理认证证书（质量管理体系认证，环境管理体系认证，职业健康安全管理体系认证）：</w:t>
      </w:r>
    </w:p>
    <w:p>
      <w:pPr>
        <w:keepNext w:val="0"/>
        <w:keepLines w:val="0"/>
        <w:widowControl/>
        <w:numPr>
          <w:ilvl w:val="0"/>
          <w:numId w:val="36"/>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组装或加工设备证明（需提供****设备购买证明或租赁证明、实物照片等）：</w:t>
      </w:r>
    </w:p>
    <w:p>
      <w:pPr>
        <w:keepNext w:val="0"/>
        <w:keepLines w:val="0"/>
        <w:widowControl/>
        <w:numPr>
          <w:ilvl w:val="0"/>
          <w:numId w:val="36"/>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厂房、库房证明（需提供房产证明或租赁证明、实物照片等）：</w:t>
      </w:r>
    </w:p>
    <w:p>
      <w:pPr>
        <w:keepNext w:val="0"/>
        <w:keepLines w:val="0"/>
        <w:widowControl/>
        <w:numPr>
          <w:ilvl w:val="0"/>
          <w:numId w:val="36"/>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与标的物相关的生产设备证明（需提供****设备购买证明或租赁证明、实物照片等）：</w:t>
      </w:r>
    </w:p>
    <w:p>
      <w:pPr>
        <w:keepNext w:val="0"/>
        <w:keepLines w:val="0"/>
        <w:widowControl/>
        <w:numPr>
          <w:ilvl w:val="0"/>
          <w:numId w:val="36"/>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生产工艺（需提供****工艺介绍和流程图）：</w:t>
      </w:r>
    </w:p>
    <w:p>
      <w:pPr>
        <w:keepNext w:val="0"/>
        <w:keepLines w:val="0"/>
        <w:widowControl/>
        <w:numPr>
          <w:ilvl w:val="0"/>
          <w:numId w:val="36"/>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检测仪器证明（需提供****仪器购买证明或租赁证明、实物照片等）：</w:t>
      </w:r>
    </w:p>
    <w:p>
      <w:pPr>
        <w:keepNext w:val="0"/>
        <w:keepLines w:val="0"/>
        <w:widowControl/>
        <w:numPr>
          <w:ilvl w:val="0"/>
          <w:numId w:val="36"/>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相关知识产权或专利：</w:t>
      </w:r>
    </w:p>
    <w:p>
      <w:pPr>
        <w:keepNext w:val="0"/>
        <w:keepLines w:val="0"/>
        <w:widowControl/>
        <w:numPr>
          <w:ilvl w:val="0"/>
          <w:numId w:val="36"/>
        </w:numPr>
        <w:suppressLineNumbers w:val="0"/>
        <w:ind w:firstLine="560" w:firstLineChars="200"/>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其他证明材料（如涉及）：</w:t>
      </w:r>
    </w:p>
    <w:p>
      <w:pPr>
        <w:keepNext w:val="0"/>
        <w:keepLines w:val="0"/>
        <w:widowControl/>
        <w:suppressLineNumbers w:val="0"/>
        <w:jc w:val="both"/>
        <w:rPr>
          <w:rFonts w:hint="default" w:ascii="仿宋" w:hAnsi="仿宋" w:eastAsia="仿宋" w:cs="仿宋"/>
          <w:b/>
          <w:bCs/>
          <w:sz w:val="28"/>
          <w:szCs w:val="28"/>
          <w:highlight w:val="none"/>
          <w:lang w:val="en-US" w:eastAsia="zh-CN"/>
        </w:rPr>
      </w:pPr>
    </w:p>
    <w:p>
      <w:pPr>
        <w:pStyle w:val="3"/>
        <w:ind w:firstLine="0" w:firstLineChars="0"/>
        <w:rPr>
          <w:highlight w:val="none"/>
          <w:lang w:val="en-US" w:eastAsia="zh-CN"/>
        </w:rPr>
      </w:pPr>
    </w:p>
    <w:p>
      <w:pPr>
        <w:pStyle w:val="3"/>
        <w:ind w:firstLine="0" w:firstLineChars="0"/>
        <w:rPr>
          <w:highlight w:val="none"/>
          <w:lang w:val="en-US" w:eastAsia="zh-CN"/>
        </w:rPr>
      </w:pPr>
    </w:p>
    <w:p>
      <w:pPr>
        <w:pStyle w:val="3"/>
        <w:ind w:firstLine="0" w:firstLineChars="0"/>
        <w:rPr>
          <w:highlight w:val="none"/>
          <w:lang w:val="en-US" w:eastAsia="zh-CN"/>
        </w:rPr>
      </w:pPr>
    </w:p>
    <w:p>
      <w:pPr>
        <w:pStyle w:val="3"/>
        <w:ind w:firstLine="0" w:firstLineChars="0"/>
        <w:rPr>
          <w:highlight w:val="none"/>
          <w:lang w:val="en-US" w:eastAsia="zh-CN"/>
        </w:rPr>
      </w:pPr>
    </w:p>
    <w:p>
      <w:pPr>
        <w:pStyle w:val="3"/>
        <w:ind w:firstLine="0" w:firstLineChars="0"/>
        <w:rPr>
          <w:highlight w:val="none"/>
          <w:lang w:val="en-US" w:eastAsia="zh-CN"/>
        </w:rPr>
      </w:pPr>
    </w:p>
    <w:p>
      <w:pPr>
        <w:pStyle w:val="3"/>
        <w:ind w:firstLine="0" w:firstLineChars="0"/>
        <w:rPr>
          <w:highlight w:val="none"/>
          <w:lang w:val="en-US" w:eastAsia="zh-CN"/>
        </w:rPr>
      </w:pPr>
    </w:p>
    <w:p>
      <w:pPr>
        <w:pStyle w:val="3"/>
        <w:ind w:firstLine="0" w:firstLineChars="0"/>
        <w:rPr>
          <w:highlight w:val="none"/>
          <w:lang w:val="en-US" w:eastAsia="zh-CN"/>
        </w:rPr>
      </w:pPr>
    </w:p>
    <w:p>
      <w:pPr>
        <w:pStyle w:val="3"/>
        <w:ind w:firstLine="0" w:firstLineChars="0"/>
        <w:rPr>
          <w:highlight w:val="none"/>
          <w:lang w:val="en-US" w:eastAsia="zh-CN"/>
        </w:rPr>
      </w:pPr>
    </w:p>
    <w:p>
      <w:pPr>
        <w:pStyle w:val="3"/>
        <w:ind w:firstLine="0" w:firstLineChars="0"/>
        <w:rPr>
          <w:highlight w:val="none"/>
          <w:lang w:val="en-US" w:eastAsia="zh-CN"/>
        </w:rPr>
      </w:pPr>
    </w:p>
    <w:p>
      <w:pPr>
        <w:pStyle w:val="3"/>
        <w:ind w:firstLine="0" w:firstLineChars="0"/>
        <w:rPr>
          <w:highlight w:val="none"/>
          <w:lang w:val="en-US" w:eastAsia="zh-CN"/>
        </w:rPr>
      </w:pPr>
    </w:p>
    <w:p>
      <w:pPr>
        <w:pStyle w:val="3"/>
        <w:ind w:firstLine="0" w:firstLineChars="0"/>
        <w:rPr>
          <w:highlight w:val="none"/>
          <w:lang w:val="en-US" w:eastAsia="zh-CN"/>
        </w:rPr>
      </w:pPr>
    </w:p>
    <w:p>
      <w:pPr>
        <w:pStyle w:val="3"/>
        <w:ind w:firstLine="0" w:firstLineChars="0"/>
        <w:rPr>
          <w:highlight w:val="none"/>
          <w:lang w:val="en-US" w:eastAsia="zh-CN"/>
        </w:rPr>
      </w:pPr>
    </w:p>
    <w:p>
      <w:pPr>
        <w:pStyle w:val="3"/>
        <w:ind w:firstLine="0" w:firstLineChars="0"/>
        <w:rPr>
          <w:highlight w:val="none"/>
          <w:lang w:val="en-US" w:eastAsia="zh-CN"/>
        </w:rPr>
      </w:pPr>
    </w:p>
    <w:p>
      <w:pPr>
        <w:pStyle w:val="3"/>
        <w:ind w:firstLine="0" w:firstLineChars="0"/>
        <w:rPr>
          <w:highlight w:val="none"/>
          <w:lang w:val="en-US" w:eastAsia="zh-CN"/>
        </w:rPr>
      </w:pPr>
    </w:p>
    <w:p>
      <w:pPr>
        <w:pStyle w:val="3"/>
        <w:ind w:firstLine="0" w:firstLineChars="0"/>
        <w:rPr>
          <w:highlight w:val="none"/>
          <w:lang w:val="en-US" w:eastAsia="zh-CN"/>
        </w:rPr>
      </w:pPr>
    </w:p>
    <w:p>
      <w:pPr>
        <w:pStyle w:val="3"/>
        <w:ind w:firstLine="0" w:firstLineChars="0"/>
        <w:rPr>
          <w:highlight w:val="none"/>
          <w:lang w:val="en-US" w:eastAsia="zh-CN"/>
        </w:rPr>
      </w:pPr>
    </w:p>
    <w:p>
      <w:pPr>
        <w:pStyle w:val="3"/>
        <w:ind w:firstLine="0" w:firstLineChars="0"/>
        <w:rPr>
          <w:highlight w:val="none"/>
          <w:lang w:val="en-US" w:eastAsia="zh-CN"/>
        </w:rPr>
      </w:pPr>
    </w:p>
    <w:p>
      <w:pPr>
        <w:pStyle w:val="3"/>
        <w:ind w:firstLine="0" w:firstLineChars="0"/>
        <w:rPr>
          <w:highlight w:val="none"/>
          <w:lang w:val="en-US" w:eastAsia="zh-CN"/>
        </w:rPr>
      </w:pPr>
    </w:p>
    <w:p>
      <w:pPr>
        <w:pStyle w:val="15"/>
        <w:adjustRightInd/>
        <w:jc w:val="both"/>
        <w:outlineLvl w:val="1"/>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t>5.11：商务偏离表</w:t>
      </w:r>
    </w:p>
    <w:p>
      <w:pPr>
        <w:pStyle w:val="15"/>
        <w:adjustRightInd/>
        <w:jc w:val="center"/>
        <w:rPr>
          <w:rFonts w:hint="eastAsia" w:hAnsi="宋体" w:eastAsiaTheme="minorEastAsia" w:cstheme="minorBidi"/>
          <w:b w:val="0"/>
          <w:kern w:val="2"/>
          <w:sz w:val="21"/>
          <w:szCs w:val="22"/>
          <w:highlight w:val="none"/>
          <w:lang w:eastAsia="zh-CN"/>
        </w:rPr>
      </w:pPr>
      <w:r>
        <w:rPr>
          <w:rFonts w:hint="eastAsia" w:hAnsi="宋体"/>
          <w:b/>
          <w:sz w:val="21"/>
          <w:szCs w:val="21"/>
          <w:highlight w:val="none"/>
        </w:rPr>
        <w:t>商务偏离条款</w:t>
      </w:r>
      <w:r>
        <w:rPr>
          <w:rFonts w:hint="eastAsia" w:hAnsi="宋体" w:eastAsiaTheme="minorEastAsia" w:cstheme="minorBidi"/>
          <w:kern w:val="2"/>
          <w:sz w:val="21"/>
          <w:szCs w:val="22"/>
          <w:highlight w:val="none"/>
          <w:lang w:eastAsia="zh-CN"/>
        </w:rPr>
        <w:t>（</w:t>
      </w:r>
      <w:r>
        <w:rPr>
          <w:rFonts w:hint="eastAsia" w:hAnsi="宋体" w:eastAsiaTheme="minorEastAsia" w:cstheme="minorBidi"/>
          <w:kern w:val="2"/>
          <w:sz w:val="21"/>
          <w:szCs w:val="22"/>
          <w:highlight w:val="none"/>
          <w:lang w:val="en-US" w:eastAsia="zh-CN"/>
        </w:rPr>
        <w:t>内容仅供参考，具体业务具体编制</w:t>
      </w:r>
      <w:r>
        <w:rPr>
          <w:rFonts w:hint="eastAsia" w:hAnsi="宋体" w:eastAsiaTheme="minorEastAsia" w:cstheme="minorBidi"/>
          <w:kern w:val="2"/>
          <w:sz w:val="21"/>
          <w:szCs w:val="22"/>
          <w:highlight w:val="none"/>
          <w:lang w:eastAsia="zh-CN"/>
        </w:rPr>
        <w:t>）</w:t>
      </w:r>
    </w:p>
    <w:p>
      <w:pPr>
        <w:pStyle w:val="15"/>
        <w:adjustRightInd/>
        <w:jc w:val="center"/>
        <w:rPr>
          <w:rFonts w:hAnsi="宋体"/>
          <w:b/>
          <w:sz w:val="21"/>
          <w:szCs w:val="21"/>
          <w:highlight w:val="non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792"/>
        <w:gridCol w:w="1560"/>
        <w:gridCol w:w="2979"/>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highlight w:val="none"/>
              </w:rPr>
            </w:pPr>
            <w:r>
              <w:rPr>
                <w:rFonts w:hint="eastAsia" w:ascii="宋体" w:hAnsi="宋体"/>
                <w:color w:val="000000"/>
                <w:highlight w:val="none"/>
              </w:rPr>
              <w:t>序号</w:t>
            </w:r>
          </w:p>
        </w:tc>
        <w:tc>
          <w:tcPr>
            <w:tcW w:w="1792" w:type="dxa"/>
            <w:vAlign w:val="center"/>
          </w:tcPr>
          <w:p>
            <w:pPr>
              <w:spacing w:line="360" w:lineRule="auto"/>
              <w:jc w:val="center"/>
              <w:rPr>
                <w:rFonts w:ascii="宋体" w:hAnsi="宋体"/>
                <w:color w:val="000000"/>
                <w:highlight w:val="none"/>
              </w:rPr>
            </w:pPr>
            <w:r>
              <w:rPr>
                <w:rFonts w:hint="eastAsia" w:ascii="宋体" w:hAnsi="宋体"/>
                <w:color w:val="000000"/>
                <w:highlight w:val="none"/>
              </w:rPr>
              <w:t>商务参数</w:t>
            </w:r>
          </w:p>
        </w:tc>
        <w:tc>
          <w:tcPr>
            <w:tcW w:w="1560" w:type="dxa"/>
            <w:vAlign w:val="center"/>
          </w:tcPr>
          <w:p>
            <w:pPr>
              <w:spacing w:line="360" w:lineRule="auto"/>
              <w:jc w:val="center"/>
              <w:rPr>
                <w:rFonts w:ascii="宋体" w:hAnsi="宋体"/>
                <w:color w:val="000000"/>
                <w:highlight w:val="none"/>
              </w:rPr>
            </w:pPr>
            <w:r>
              <w:rPr>
                <w:rFonts w:hint="eastAsia" w:ascii="宋体" w:hAnsi="宋体"/>
                <w:color w:val="000000"/>
                <w:highlight w:val="none"/>
              </w:rPr>
              <w:t>是否存在异议</w:t>
            </w:r>
          </w:p>
        </w:tc>
        <w:tc>
          <w:tcPr>
            <w:tcW w:w="2979" w:type="dxa"/>
            <w:vAlign w:val="center"/>
          </w:tcPr>
          <w:p>
            <w:pPr>
              <w:spacing w:line="360" w:lineRule="auto"/>
              <w:jc w:val="center"/>
              <w:rPr>
                <w:rFonts w:ascii="宋体" w:hAnsi="宋体"/>
                <w:color w:val="000000"/>
                <w:highlight w:val="none"/>
              </w:rPr>
            </w:pPr>
            <w:r>
              <w:rPr>
                <w:rFonts w:hint="eastAsia" w:ascii="宋体" w:hAnsi="宋体"/>
                <w:color w:val="000000"/>
                <w:highlight w:val="none"/>
              </w:rPr>
              <w:t>解决方法</w:t>
            </w:r>
          </w:p>
          <w:p>
            <w:pPr>
              <w:spacing w:line="360" w:lineRule="auto"/>
              <w:jc w:val="center"/>
              <w:rPr>
                <w:rFonts w:ascii="宋体" w:hAnsi="宋体"/>
                <w:color w:val="000000"/>
                <w:highlight w:val="none"/>
              </w:rPr>
            </w:pPr>
            <w:r>
              <w:rPr>
                <w:rFonts w:hint="eastAsia" w:ascii="宋体" w:hAnsi="宋体"/>
                <w:color w:val="000000"/>
                <w:highlight w:val="none"/>
              </w:rPr>
              <w:t>（不接受/协商/接受询价方条件）</w:t>
            </w:r>
          </w:p>
        </w:tc>
        <w:tc>
          <w:tcPr>
            <w:tcW w:w="1242" w:type="dxa"/>
            <w:vAlign w:val="center"/>
          </w:tcPr>
          <w:p>
            <w:pPr>
              <w:spacing w:line="360" w:lineRule="auto"/>
              <w:jc w:val="center"/>
              <w:rPr>
                <w:rFonts w:ascii="宋体" w:hAnsi="宋体"/>
                <w:color w:val="000000"/>
                <w:highlight w:val="none"/>
              </w:rPr>
            </w:pPr>
            <w:r>
              <w:rPr>
                <w:rFonts w:hint="eastAsia" w:ascii="宋体" w:hAnsi="宋体"/>
                <w:color w:val="00000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highlight w:val="none"/>
              </w:rPr>
            </w:pPr>
            <w:r>
              <w:rPr>
                <w:rFonts w:hint="eastAsia" w:ascii="宋体" w:hAnsi="宋体"/>
                <w:color w:val="000000"/>
                <w:highlight w:val="none"/>
              </w:rPr>
              <w:t>1</w:t>
            </w:r>
          </w:p>
        </w:tc>
        <w:tc>
          <w:tcPr>
            <w:tcW w:w="1792" w:type="dxa"/>
            <w:vAlign w:val="center"/>
          </w:tcPr>
          <w:p>
            <w:pPr>
              <w:spacing w:line="360" w:lineRule="auto"/>
              <w:jc w:val="center"/>
              <w:rPr>
                <w:rFonts w:ascii="宋体" w:hAnsi="宋体"/>
                <w:color w:val="000000"/>
                <w:highlight w:val="none"/>
              </w:rPr>
            </w:pPr>
            <w:r>
              <w:rPr>
                <w:rFonts w:hint="eastAsia" w:ascii="宋体" w:hAnsi="宋体"/>
                <w:color w:val="000000"/>
                <w:highlight w:val="none"/>
              </w:rPr>
              <w:t>违约条款</w:t>
            </w:r>
          </w:p>
        </w:tc>
        <w:tc>
          <w:tcPr>
            <w:tcW w:w="1560" w:type="dxa"/>
            <w:vAlign w:val="center"/>
          </w:tcPr>
          <w:p>
            <w:pPr>
              <w:spacing w:line="360" w:lineRule="auto"/>
              <w:jc w:val="center"/>
              <w:rPr>
                <w:rFonts w:ascii="宋体" w:hAnsi="宋体"/>
                <w:color w:val="000000"/>
                <w:highlight w:val="none"/>
              </w:rPr>
            </w:pPr>
          </w:p>
        </w:tc>
        <w:tc>
          <w:tcPr>
            <w:tcW w:w="2979" w:type="dxa"/>
            <w:vAlign w:val="center"/>
          </w:tcPr>
          <w:p>
            <w:pPr>
              <w:spacing w:line="360" w:lineRule="auto"/>
              <w:jc w:val="center"/>
              <w:rPr>
                <w:rFonts w:ascii="宋体" w:hAnsi="宋体"/>
                <w:color w:val="000000"/>
                <w:highlight w:val="none"/>
              </w:rPr>
            </w:pPr>
          </w:p>
        </w:tc>
        <w:tc>
          <w:tcPr>
            <w:tcW w:w="1242" w:type="dxa"/>
            <w:vAlign w:val="center"/>
          </w:tcPr>
          <w:p>
            <w:pPr>
              <w:spacing w:line="360" w:lineRule="auto"/>
              <w:jc w:val="center"/>
              <w:rPr>
                <w:rFonts w:ascii="宋体"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highlight w:val="none"/>
              </w:rPr>
            </w:pPr>
            <w:r>
              <w:rPr>
                <w:rFonts w:hint="eastAsia" w:ascii="宋体" w:hAnsi="宋体"/>
                <w:color w:val="000000"/>
                <w:highlight w:val="none"/>
              </w:rPr>
              <w:t>2</w:t>
            </w:r>
          </w:p>
        </w:tc>
        <w:tc>
          <w:tcPr>
            <w:tcW w:w="1792" w:type="dxa"/>
            <w:vAlign w:val="center"/>
          </w:tcPr>
          <w:p>
            <w:pPr>
              <w:spacing w:line="360" w:lineRule="auto"/>
              <w:jc w:val="center"/>
              <w:rPr>
                <w:rFonts w:ascii="宋体" w:hAnsi="宋体"/>
                <w:color w:val="000000"/>
                <w:highlight w:val="none"/>
              </w:rPr>
            </w:pPr>
            <w:r>
              <w:rPr>
                <w:rFonts w:hint="eastAsia" w:ascii="宋体" w:hAnsi="宋体"/>
                <w:color w:val="000000"/>
                <w:highlight w:val="none"/>
              </w:rPr>
              <w:t>付款方式</w:t>
            </w:r>
          </w:p>
        </w:tc>
        <w:tc>
          <w:tcPr>
            <w:tcW w:w="1560" w:type="dxa"/>
            <w:vAlign w:val="center"/>
          </w:tcPr>
          <w:p>
            <w:pPr>
              <w:spacing w:line="360" w:lineRule="auto"/>
              <w:jc w:val="center"/>
              <w:rPr>
                <w:rFonts w:ascii="宋体" w:hAnsi="宋体"/>
                <w:color w:val="000000"/>
                <w:highlight w:val="none"/>
              </w:rPr>
            </w:pPr>
          </w:p>
        </w:tc>
        <w:tc>
          <w:tcPr>
            <w:tcW w:w="2979" w:type="dxa"/>
            <w:vAlign w:val="center"/>
          </w:tcPr>
          <w:p>
            <w:pPr>
              <w:spacing w:line="360" w:lineRule="auto"/>
              <w:jc w:val="center"/>
              <w:rPr>
                <w:rFonts w:ascii="宋体" w:hAnsi="宋体"/>
                <w:color w:val="000000"/>
                <w:highlight w:val="none"/>
              </w:rPr>
            </w:pPr>
          </w:p>
        </w:tc>
        <w:tc>
          <w:tcPr>
            <w:tcW w:w="1242" w:type="dxa"/>
            <w:vAlign w:val="center"/>
          </w:tcPr>
          <w:p>
            <w:pPr>
              <w:spacing w:line="360" w:lineRule="auto"/>
              <w:jc w:val="center"/>
              <w:rPr>
                <w:rFonts w:ascii="宋体"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highlight w:val="none"/>
              </w:rPr>
            </w:pPr>
            <w:r>
              <w:rPr>
                <w:rFonts w:hint="eastAsia" w:ascii="宋体" w:hAnsi="宋体"/>
                <w:color w:val="000000"/>
                <w:highlight w:val="none"/>
              </w:rPr>
              <w:t>3</w:t>
            </w:r>
          </w:p>
        </w:tc>
        <w:tc>
          <w:tcPr>
            <w:tcW w:w="1792" w:type="dxa"/>
            <w:vAlign w:val="center"/>
          </w:tcPr>
          <w:p>
            <w:pPr>
              <w:spacing w:line="360" w:lineRule="auto"/>
              <w:jc w:val="center"/>
              <w:rPr>
                <w:rFonts w:ascii="宋体" w:hAnsi="宋体"/>
                <w:color w:val="000000"/>
                <w:highlight w:val="none"/>
              </w:rPr>
            </w:pPr>
            <w:r>
              <w:rPr>
                <w:rFonts w:hint="eastAsia" w:ascii="宋体" w:hAnsi="宋体"/>
                <w:color w:val="000000"/>
                <w:highlight w:val="none"/>
              </w:rPr>
              <w:t>服务期</w:t>
            </w:r>
          </w:p>
        </w:tc>
        <w:tc>
          <w:tcPr>
            <w:tcW w:w="1560" w:type="dxa"/>
            <w:vAlign w:val="center"/>
          </w:tcPr>
          <w:p>
            <w:pPr>
              <w:spacing w:line="360" w:lineRule="auto"/>
              <w:jc w:val="center"/>
              <w:rPr>
                <w:rFonts w:ascii="宋体" w:hAnsi="宋体"/>
                <w:color w:val="000000"/>
                <w:highlight w:val="none"/>
              </w:rPr>
            </w:pPr>
          </w:p>
        </w:tc>
        <w:tc>
          <w:tcPr>
            <w:tcW w:w="2979" w:type="dxa"/>
            <w:vAlign w:val="center"/>
          </w:tcPr>
          <w:p>
            <w:pPr>
              <w:spacing w:line="360" w:lineRule="auto"/>
              <w:jc w:val="center"/>
              <w:rPr>
                <w:rFonts w:ascii="宋体" w:hAnsi="宋体"/>
                <w:color w:val="000000"/>
                <w:highlight w:val="none"/>
              </w:rPr>
            </w:pPr>
          </w:p>
        </w:tc>
        <w:tc>
          <w:tcPr>
            <w:tcW w:w="1242" w:type="dxa"/>
            <w:vAlign w:val="center"/>
          </w:tcPr>
          <w:p>
            <w:pPr>
              <w:spacing w:line="360" w:lineRule="auto"/>
              <w:jc w:val="center"/>
              <w:rPr>
                <w:rFonts w:ascii="宋体"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highlight w:val="none"/>
              </w:rPr>
            </w:pPr>
            <w:r>
              <w:rPr>
                <w:rFonts w:hint="eastAsia" w:ascii="宋体" w:hAnsi="宋体"/>
                <w:color w:val="000000"/>
                <w:highlight w:val="none"/>
              </w:rPr>
              <w:t>4</w:t>
            </w:r>
          </w:p>
        </w:tc>
        <w:tc>
          <w:tcPr>
            <w:tcW w:w="1792" w:type="dxa"/>
            <w:vAlign w:val="center"/>
          </w:tcPr>
          <w:p>
            <w:pPr>
              <w:spacing w:line="360" w:lineRule="auto"/>
              <w:jc w:val="center"/>
              <w:rPr>
                <w:rFonts w:ascii="宋体" w:hAnsi="宋体"/>
                <w:color w:val="000000"/>
                <w:highlight w:val="none"/>
              </w:rPr>
            </w:pPr>
            <w:r>
              <w:rPr>
                <w:rFonts w:hint="eastAsia" w:ascii="宋体" w:hAnsi="宋体"/>
                <w:color w:val="000000"/>
                <w:highlight w:val="none"/>
              </w:rPr>
              <w:t>报价有效期</w:t>
            </w:r>
          </w:p>
        </w:tc>
        <w:tc>
          <w:tcPr>
            <w:tcW w:w="1560" w:type="dxa"/>
            <w:vAlign w:val="center"/>
          </w:tcPr>
          <w:p>
            <w:pPr>
              <w:spacing w:line="360" w:lineRule="auto"/>
              <w:jc w:val="center"/>
              <w:rPr>
                <w:rFonts w:ascii="宋体" w:hAnsi="宋体"/>
                <w:color w:val="000000"/>
                <w:highlight w:val="none"/>
              </w:rPr>
            </w:pPr>
          </w:p>
        </w:tc>
        <w:tc>
          <w:tcPr>
            <w:tcW w:w="2979" w:type="dxa"/>
            <w:vAlign w:val="center"/>
          </w:tcPr>
          <w:p>
            <w:pPr>
              <w:spacing w:line="360" w:lineRule="auto"/>
              <w:jc w:val="center"/>
              <w:rPr>
                <w:rFonts w:ascii="宋体" w:hAnsi="宋体"/>
                <w:color w:val="000000"/>
                <w:highlight w:val="none"/>
              </w:rPr>
            </w:pPr>
          </w:p>
        </w:tc>
        <w:tc>
          <w:tcPr>
            <w:tcW w:w="1242" w:type="dxa"/>
            <w:vAlign w:val="center"/>
          </w:tcPr>
          <w:p>
            <w:pPr>
              <w:spacing w:line="360" w:lineRule="auto"/>
              <w:jc w:val="center"/>
              <w:rPr>
                <w:rFonts w:ascii="宋体"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highlight w:val="none"/>
              </w:rPr>
            </w:pPr>
            <w:r>
              <w:rPr>
                <w:rFonts w:hint="eastAsia" w:ascii="宋体" w:hAnsi="宋体"/>
                <w:color w:val="000000"/>
                <w:highlight w:val="none"/>
              </w:rPr>
              <w:t>5</w:t>
            </w:r>
          </w:p>
        </w:tc>
        <w:tc>
          <w:tcPr>
            <w:tcW w:w="1792" w:type="dxa"/>
            <w:vAlign w:val="center"/>
          </w:tcPr>
          <w:p>
            <w:pPr>
              <w:spacing w:line="360" w:lineRule="auto"/>
              <w:jc w:val="center"/>
              <w:rPr>
                <w:rFonts w:ascii="宋体" w:hAnsi="宋体"/>
                <w:color w:val="000000"/>
                <w:highlight w:val="none"/>
              </w:rPr>
            </w:pPr>
            <w:r>
              <w:rPr>
                <w:rFonts w:hint="eastAsia" w:ascii="宋体" w:hAnsi="宋体"/>
                <w:color w:val="000000"/>
                <w:highlight w:val="none"/>
              </w:rPr>
              <w:t>合同条款</w:t>
            </w:r>
          </w:p>
        </w:tc>
        <w:tc>
          <w:tcPr>
            <w:tcW w:w="1560" w:type="dxa"/>
            <w:vAlign w:val="center"/>
          </w:tcPr>
          <w:p>
            <w:pPr>
              <w:spacing w:line="360" w:lineRule="auto"/>
              <w:jc w:val="center"/>
              <w:rPr>
                <w:rFonts w:ascii="宋体" w:hAnsi="宋体"/>
                <w:color w:val="000000"/>
                <w:highlight w:val="none"/>
              </w:rPr>
            </w:pPr>
          </w:p>
        </w:tc>
        <w:tc>
          <w:tcPr>
            <w:tcW w:w="2979" w:type="dxa"/>
            <w:vAlign w:val="center"/>
          </w:tcPr>
          <w:p>
            <w:pPr>
              <w:spacing w:line="360" w:lineRule="auto"/>
              <w:jc w:val="center"/>
              <w:rPr>
                <w:rFonts w:ascii="宋体" w:hAnsi="宋体"/>
                <w:color w:val="000000"/>
                <w:highlight w:val="none"/>
              </w:rPr>
            </w:pPr>
          </w:p>
        </w:tc>
        <w:tc>
          <w:tcPr>
            <w:tcW w:w="1242" w:type="dxa"/>
            <w:vAlign w:val="center"/>
          </w:tcPr>
          <w:p>
            <w:pPr>
              <w:spacing w:line="360" w:lineRule="auto"/>
              <w:jc w:val="center"/>
              <w:rPr>
                <w:rFonts w:ascii="宋体"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highlight w:val="none"/>
              </w:rPr>
            </w:pPr>
            <w:r>
              <w:rPr>
                <w:rFonts w:hint="eastAsia" w:ascii="宋体" w:hAnsi="宋体"/>
                <w:color w:val="000000"/>
                <w:highlight w:val="none"/>
              </w:rPr>
              <w:t>6</w:t>
            </w:r>
          </w:p>
        </w:tc>
        <w:tc>
          <w:tcPr>
            <w:tcW w:w="1792" w:type="dxa"/>
            <w:vAlign w:val="center"/>
          </w:tcPr>
          <w:p>
            <w:pPr>
              <w:spacing w:line="360" w:lineRule="auto"/>
              <w:jc w:val="center"/>
              <w:rPr>
                <w:rFonts w:ascii="宋体" w:hAnsi="宋体"/>
                <w:color w:val="000000"/>
                <w:highlight w:val="none"/>
              </w:rPr>
            </w:pPr>
            <w:r>
              <w:rPr>
                <w:rFonts w:hint="eastAsia" w:ascii="宋体" w:hAnsi="宋体"/>
                <w:color w:val="000000"/>
                <w:highlight w:val="none"/>
              </w:rPr>
              <w:t>其他</w:t>
            </w:r>
          </w:p>
        </w:tc>
        <w:tc>
          <w:tcPr>
            <w:tcW w:w="1560" w:type="dxa"/>
            <w:vAlign w:val="center"/>
          </w:tcPr>
          <w:p>
            <w:pPr>
              <w:spacing w:line="360" w:lineRule="auto"/>
              <w:jc w:val="center"/>
              <w:rPr>
                <w:rFonts w:ascii="宋体" w:hAnsi="宋体"/>
                <w:color w:val="000000"/>
                <w:highlight w:val="none"/>
              </w:rPr>
            </w:pPr>
          </w:p>
        </w:tc>
        <w:tc>
          <w:tcPr>
            <w:tcW w:w="2979" w:type="dxa"/>
            <w:vAlign w:val="center"/>
          </w:tcPr>
          <w:p>
            <w:pPr>
              <w:spacing w:line="360" w:lineRule="auto"/>
              <w:jc w:val="center"/>
              <w:rPr>
                <w:rFonts w:ascii="宋体" w:hAnsi="宋体"/>
                <w:color w:val="000000"/>
                <w:highlight w:val="none"/>
              </w:rPr>
            </w:pPr>
          </w:p>
        </w:tc>
        <w:tc>
          <w:tcPr>
            <w:tcW w:w="1242" w:type="dxa"/>
            <w:vAlign w:val="center"/>
          </w:tcPr>
          <w:p>
            <w:pPr>
              <w:spacing w:line="360" w:lineRule="auto"/>
              <w:jc w:val="center"/>
              <w:rPr>
                <w:rFonts w:ascii="宋体" w:hAnsi="宋体"/>
                <w:color w:val="000000"/>
                <w:highlight w:val="none"/>
              </w:rPr>
            </w:pPr>
          </w:p>
        </w:tc>
      </w:tr>
    </w:tbl>
    <w:p>
      <w:pPr>
        <w:spacing w:line="360" w:lineRule="auto"/>
        <w:rPr>
          <w:rFonts w:ascii="宋体" w:hAnsi="宋体"/>
          <w:color w:val="000000"/>
          <w:szCs w:val="21"/>
          <w:highlight w:val="none"/>
        </w:rPr>
      </w:pPr>
    </w:p>
    <w:p>
      <w:pPr>
        <w:spacing w:line="360" w:lineRule="auto"/>
        <w:rPr>
          <w:rFonts w:ascii="宋体" w:hAnsi="宋体"/>
          <w:color w:val="000000"/>
          <w:szCs w:val="21"/>
          <w:highlight w:val="none"/>
        </w:rPr>
      </w:pPr>
      <w:r>
        <w:rPr>
          <w:rFonts w:hint="eastAsia" w:ascii="宋体" w:hAnsi="宋体"/>
          <w:color w:val="000000"/>
          <w:szCs w:val="21"/>
          <w:highlight w:val="none"/>
        </w:rPr>
        <w:t>注：如果</w:t>
      </w:r>
      <w:r>
        <w:rPr>
          <w:rFonts w:hint="eastAsia" w:ascii="宋体" w:hAnsi="宋体"/>
          <w:color w:val="000000"/>
          <w:szCs w:val="21"/>
          <w:highlight w:val="none"/>
          <w:lang w:val="en-US" w:eastAsia="zh-CN"/>
        </w:rPr>
        <w:t>应答</w:t>
      </w:r>
      <w:r>
        <w:rPr>
          <w:rFonts w:hint="eastAsia" w:ascii="宋体" w:hAnsi="宋体"/>
          <w:color w:val="000000"/>
          <w:szCs w:val="21"/>
          <w:highlight w:val="none"/>
        </w:rPr>
        <w:t>人对询价文件的商务条款有异议，请在此处一一列出，</w:t>
      </w:r>
      <w:r>
        <w:rPr>
          <w:rFonts w:hint="eastAsia" w:ascii="宋体" w:hAnsi="宋体"/>
          <w:color w:val="000000"/>
          <w:szCs w:val="21"/>
          <w:highlight w:val="none"/>
          <w:lang w:val="en-US" w:eastAsia="zh-CN"/>
        </w:rPr>
        <w:t>应答</w:t>
      </w:r>
      <w:r>
        <w:rPr>
          <w:rFonts w:hint="eastAsia" w:ascii="宋体" w:hAnsi="宋体"/>
          <w:color w:val="000000"/>
          <w:szCs w:val="21"/>
          <w:highlight w:val="none"/>
        </w:rPr>
        <w:t>人的商务偏离条款将作为评标的依据之一；如若没有异议请标明“无”，否则视为放弃。</w:t>
      </w:r>
    </w:p>
    <w:p>
      <w:pPr>
        <w:spacing w:before="120" w:line="360" w:lineRule="auto"/>
        <w:rPr>
          <w:rFonts w:ascii="宋体" w:hAnsi="宋体"/>
          <w:b/>
          <w:bCs/>
          <w:color w:val="000000"/>
          <w:szCs w:val="21"/>
          <w:highlight w:val="none"/>
        </w:rPr>
      </w:pPr>
    </w:p>
    <w:p>
      <w:pPr>
        <w:spacing w:line="360" w:lineRule="auto"/>
        <w:rPr>
          <w:rFonts w:ascii="宋体" w:hAnsi="宋体"/>
          <w:color w:val="000000"/>
          <w:szCs w:val="21"/>
          <w:highlight w:val="none"/>
        </w:rPr>
      </w:pPr>
    </w:p>
    <w:p>
      <w:pPr>
        <w:spacing w:line="360" w:lineRule="auto"/>
        <w:ind w:right="840"/>
        <w:jc w:val="center"/>
        <w:rPr>
          <w:rFonts w:ascii="宋体" w:hAnsi="宋体"/>
          <w:color w:val="000000"/>
          <w:szCs w:val="21"/>
          <w:highlight w:val="none"/>
        </w:rPr>
      </w:pPr>
      <w:r>
        <w:rPr>
          <w:rFonts w:hint="eastAsia" w:ascii="宋体" w:hAnsi="宋体"/>
          <w:color w:val="000000"/>
          <w:szCs w:val="21"/>
          <w:highlight w:val="none"/>
        </w:rPr>
        <w:t xml:space="preserve">                 </w:t>
      </w:r>
      <w:r>
        <w:rPr>
          <w:rFonts w:hint="eastAsia" w:ascii="宋体" w:hAnsi="宋体"/>
          <w:color w:val="000000"/>
          <w:szCs w:val="21"/>
          <w:highlight w:val="none"/>
          <w:lang w:eastAsia="zh-CN"/>
        </w:rPr>
        <w:t>应答人</w:t>
      </w:r>
      <w:r>
        <w:rPr>
          <w:rFonts w:ascii="宋体" w:hAnsi="宋体"/>
          <w:color w:val="000000"/>
          <w:szCs w:val="21"/>
          <w:highlight w:val="none"/>
        </w:rPr>
        <w:t>：（盖章）</w:t>
      </w:r>
    </w:p>
    <w:p>
      <w:pPr>
        <w:spacing w:line="360" w:lineRule="auto"/>
        <w:jc w:val="right"/>
        <w:rPr>
          <w:rFonts w:ascii="宋体" w:hAnsi="宋体"/>
          <w:color w:val="000000"/>
          <w:szCs w:val="21"/>
          <w:highlight w:val="none"/>
        </w:rPr>
      </w:pPr>
    </w:p>
    <w:p>
      <w:pPr>
        <w:spacing w:line="360" w:lineRule="auto"/>
        <w:ind w:right="1680"/>
        <w:jc w:val="center"/>
        <w:rPr>
          <w:rFonts w:ascii="宋体" w:hAnsi="宋体"/>
          <w:color w:val="000000"/>
          <w:szCs w:val="21"/>
          <w:highlight w:val="none"/>
        </w:rPr>
      </w:pPr>
      <w:r>
        <w:rPr>
          <w:rFonts w:hint="eastAsia" w:ascii="宋体" w:hAnsi="宋体"/>
          <w:color w:val="000000"/>
          <w:szCs w:val="21"/>
          <w:highlight w:val="none"/>
        </w:rPr>
        <w:t xml:space="preserve">                               </w:t>
      </w:r>
      <w:r>
        <w:rPr>
          <w:rFonts w:ascii="宋体" w:hAnsi="宋体"/>
          <w:color w:val="000000"/>
          <w:szCs w:val="21"/>
          <w:highlight w:val="none"/>
        </w:rPr>
        <w:t>法定代表人或委托代理人：（签字）</w:t>
      </w:r>
    </w:p>
    <w:p>
      <w:pPr>
        <w:rPr>
          <w:highlight w:val="none"/>
        </w:rPr>
      </w:pPr>
    </w:p>
    <w:p>
      <w:pPr>
        <w:pStyle w:val="3"/>
        <w:rPr>
          <w:highlight w:val="none"/>
          <w:lang w:val="en-US" w:eastAsia="zh-CN"/>
        </w:rPr>
      </w:pPr>
    </w:p>
    <w:p>
      <w:pPr>
        <w:rPr>
          <w:highlight w:val="none"/>
          <w:lang w:val="en-US" w:eastAsia="zh-CN"/>
        </w:rPr>
      </w:pPr>
    </w:p>
    <w:p>
      <w:pPr>
        <w:pStyle w:val="3"/>
        <w:rPr>
          <w:highlight w:val="none"/>
          <w:lang w:val="en-US" w:eastAsia="zh-CN"/>
        </w:rPr>
      </w:pPr>
    </w:p>
    <w:p>
      <w:pPr>
        <w:rPr>
          <w:highlight w:val="none"/>
          <w:lang w:val="en-US" w:eastAsia="zh-CN"/>
        </w:rPr>
      </w:pPr>
    </w:p>
    <w:p>
      <w:pPr>
        <w:pStyle w:val="3"/>
        <w:rPr>
          <w:highlight w:val="none"/>
          <w:lang w:val="en-US" w:eastAsia="zh-CN"/>
        </w:rPr>
      </w:pPr>
    </w:p>
    <w:p>
      <w:pPr>
        <w:rPr>
          <w:highlight w:val="none"/>
          <w:lang w:val="en-US" w:eastAsia="zh-CN"/>
        </w:rPr>
      </w:pPr>
    </w:p>
    <w:p>
      <w:pPr>
        <w:pStyle w:val="3"/>
        <w:rPr>
          <w:highlight w:val="none"/>
          <w:lang w:val="en-US" w:eastAsia="zh-CN"/>
        </w:rPr>
      </w:pPr>
    </w:p>
    <w:p>
      <w:pPr>
        <w:rPr>
          <w:highlight w:val="none"/>
          <w:lang w:val="en-US" w:eastAsia="zh-CN"/>
        </w:rPr>
      </w:pPr>
    </w:p>
    <w:p>
      <w:pPr>
        <w:pStyle w:val="3"/>
        <w:rPr>
          <w:highlight w:val="none"/>
          <w:lang w:val="en-US" w:eastAsia="zh-CN"/>
        </w:rPr>
      </w:pPr>
    </w:p>
    <w:p>
      <w:pPr>
        <w:rPr>
          <w:highlight w:val="none"/>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br w:type="page"/>
      </w:r>
    </w:p>
    <w:p>
      <w:pPr>
        <w:rPr>
          <w:highlight w:val="none"/>
        </w:rPr>
      </w:pPr>
    </w:p>
    <w:p>
      <w:pPr>
        <w:pStyle w:val="3"/>
        <w:ind w:firstLine="0" w:firstLineChars="0"/>
        <w:rPr>
          <w:highlight w:val="none"/>
          <w:lang w:val="en-US" w:eastAsia="zh-CN"/>
        </w:rPr>
      </w:pPr>
    </w:p>
    <w:p>
      <w:pPr>
        <w:pStyle w:val="3"/>
        <w:ind w:firstLine="0" w:firstLineChars="0"/>
        <w:rPr>
          <w:highlight w:val="none"/>
          <w:lang w:val="en-US" w:eastAsia="zh-CN"/>
        </w:rPr>
      </w:pPr>
    </w:p>
    <w:p>
      <w:pPr>
        <w:pStyle w:val="3"/>
        <w:ind w:firstLine="0" w:firstLineChars="0"/>
        <w:rPr>
          <w:highlight w:val="none"/>
          <w:lang w:val="en-US" w:eastAsia="zh-CN"/>
        </w:rPr>
      </w:pPr>
    </w:p>
    <w:p>
      <w:pPr>
        <w:keepNext w:val="0"/>
        <w:keepLines w:val="0"/>
        <w:pageBreakBefore w:val="0"/>
        <w:widowControl/>
        <w:kinsoku/>
        <w:wordWrap/>
        <w:overflowPunct/>
        <w:topLinePunct w:val="0"/>
        <w:autoSpaceDE/>
        <w:autoSpaceDN/>
        <w:bidi w:val="0"/>
        <w:adjustRightInd/>
        <w:snapToGrid/>
        <w:textAlignment w:val="auto"/>
        <w:outlineLvl w:val="9"/>
        <w:rPr>
          <w:rFonts w:hint="default" w:ascii="黑体" w:hAnsi="黑体" w:eastAsia="黑体"/>
          <w:b/>
          <w:bCs/>
          <w:sz w:val="24"/>
          <w:szCs w:val="24"/>
          <w:highlight w:val="none"/>
          <w:lang w:val="en-US" w:eastAsia="zh-CN"/>
        </w:rPr>
      </w:pPr>
      <w:r>
        <w:rPr>
          <w:rFonts w:hint="eastAsia" w:ascii="黑体" w:hAnsi="黑体" w:eastAsia="黑体"/>
          <w:b/>
          <w:bCs/>
          <w:sz w:val="24"/>
          <w:szCs w:val="24"/>
          <w:highlight w:val="none"/>
        </w:rPr>
        <w:t>附件</w:t>
      </w:r>
      <w:r>
        <w:rPr>
          <w:rFonts w:hint="eastAsia" w:ascii="黑体" w:hAnsi="黑体" w:eastAsia="黑体"/>
          <w:b/>
          <w:bCs/>
          <w:sz w:val="24"/>
          <w:szCs w:val="24"/>
          <w:highlight w:val="none"/>
          <w:lang w:val="en-US" w:eastAsia="zh-CN"/>
        </w:rPr>
        <w:t>6：</w:t>
      </w:r>
      <w:r>
        <w:rPr>
          <w:rFonts w:hint="eastAsia" w:ascii="黑体" w:hAnsi="黑体" w:eastAsia="黑体"/>
          <w:b/>
          <w:bCs/>
          <w:sz w:val="24"/>
          <w:szCs w:val="24"/>
          <w:highlight w:val="none"/>
        </w:rPr>
        <w:t xml:space="preserve"> </w:t>
      </w:r>
      <w:r>
        <w:rPr>
          <w:rFonts w:hint="eastAsia" w:ascii="黑体" w:hAnsi="黑体" w:eastAsia="黑体"/>
          <w:b/>
          <w:bCs/>
          <w:sz w:val="24"/>
          <w:szCs w:val="24"/>
          <w:highlight w:val="none"/>
          <w:lang w:val="en-US" w:eastAsia="zh-CN"/>
        </w:rPr>
        <w:t>技术文件</w:t>
      </w:r>
    </w:p>
    <w:p>
      <w:pPr>
        <w:rPr>
          <w:rFonts w:hint="eastAsia" w:ascii="黑体" w:hAnsi="黑体" w:eastAsia="黑体"/>
          <w:sz w:val="24"/>
          <w:szCs w:val="24"/>
          <w:highlight w:val="none"/>
          <w:lang w:val="en-US" w:eastAsia="zh-CN"/>
        </w:rPr>
      </w:pPr>
    </w:p>
    <w:p>
      <w:pPr>
        <w:widowControl w:val="0"/>
        <w:numPr>
          <w:ilvl w:val="0"/>
          <w:numId w:val="0"/>
        </w:numPr>
        <w:jc w:val="both"/>
        <w:rPr>
          <w:rFonts w:hint="default"/>
          <w:highlight w:val="none"/>
          <w:lang w:val="en-US" w:eastAsia="zh-CN"/>
        </w:rPr>
      </w:pPr>
    </w:p>
    <w:p>
      <w:pPr>
        <w:tabs>
          <w:tab w:val="left" w:pos="6480"/>
          <w:tab w:val="left" w:pos="6660"/>
          <w:tab w:val="left" w:pos="9360"/>
        </w:tabs>
        <w:spacing w:line="360" w:lineRule="auto"/>
        <w:ind w:right="36" w:rightChars="17"/>
        <w:jc w:val="center"/>
        <w:rPr>
          <w:rFonts w:ascii="宋体" w:hAnsi="宋体"/>
          <w:b/>
          <w:color w:val="000000"/>
          <w:szCs w:val="21"/>
          <w:highlight w:val="none"/>
        </w:rPr>
      </w:pPr>
      <w:r>
        <w:rPr>
          <w:rFonts w:hint="eastAsia" w:ascii="宋体" w:hAnsi="宋体"/>
          <w:b/>
          <w:color w:val="000000"/>
          <w:szCs w:val="21"/>
          <w:highlight w:val="none"/>
        </w:rPr>
        <w:t>技术</w:t>
      </w:r>
      <w:r>
        <w:rPr>
          <w:rFonts w:hint="eastAsia" w:ascii="宋体" w:hAnsi="宋体"/>
          <w:b/>
          <w:color w:val="000000"/>
          <w:szCs w:val="21"/>
          <w:highlight w:val="none"/>
          <w:lang w:val="en-US" w:eastAsia="zh-CN"/>
        </w:rPr>
        <w:t>偏离</w:t>
      </w:r>
      <w:r>
        <w:rPr>
          <w:rFonts w:hint="eastAsia" w:ascii="宋体" w:hAnsi="宋体"/>
          <w:b/>
          <w:color w:val="000000"/>
          <w:szCs w:val="21"/>
          <w:highlight w:val="none"/>
        </w:rPr>
        <w:t>表</w:t>
      </w:r>
    </w:p>
    <w:tbl>
      <w:tblPr>
        <w:tblStyle w:val="11"/>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969"/>
        <w:gridCol w:w="992"/>
        <w:gridCol w:w="1701"/>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r>
              <w:rPr>
                <w:rFonts w:hint="eastAsia" w:ascii="宋体" w:hAnsi="宋体"/>
                <w:color w:val="000000"/>
                <w:sz w:val="18"/>
                <w:szCs w:val="18"/>
                <w:highlight w:val="none"/>
              </w:rPr>
              <w:t>序号</w:t>
            </w:r>
          </w:p>
        </w:tc>
        <w:tc>
          <w:tcPr>
            <w:tcW w:w="396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r>
              <w:rPr>
                <w:rFonts w:hint="eastAsia" w:ascii="宋体" w:hAnsi="宋体"/>
                <w:color w:val="000000"/>
                <w:sz w:val="18"/>
                <w:szCs w:val="18"/>
                <w:highlight w:val="none"/>
              </w:rPr>
              <w:t>技术参数</w:t>
            </w: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r>
              <w:rPr>
                <w:rFonts w:hint="eastAsia" w:ascii="宋体" w:hAnsi="宋体"/>
                <w:color w:val="000000"/>
                <w:sz w:val="18"/>
                <w:szCs w:val="18"/>
                <w:highlight w:val="none"/>
              </w:rPr>
              <w:t>是否存在异议</w:t>
            </w: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r>
              <w:rPr>
                <w:rFonts w:hint="eastAsia" w:ascii="宋体" w:hAnsi="宋体"/>
                <w:color w:val="000000"/>
                <w:sz w:val="18"/>
                <w:szCs w:val="18"/>
                <w:highlight w:val="none"/>
              </w:rPr>
              <w:t>解决方法</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r>
              <w:rPr>
                <w:rFonts w:hint="eastAsia" w:ascii="宋体" w:hAnsi="宋体"/>
                <w:color w:val="000000"/>
                <w:sz w:val="18"/>
                <w:szCs w:val="18"/>
                <w:highlight w:val="none"/>
              </w:rPr>
              <w:t>（不接受/协商/接受询价方条件）</w:t>
            </w: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r>
              <w:rPr>
                <w:rFonts w:hint="eastAsia" w:ascii="宋体" w:hAnsi="宋体"/>
                <w:color w:val="000000"/>
                <w:sz w:val="18"/>
                <w:szCs w:val="1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2"/>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1</w:t>
            </w:r>
          </w:p>
        </w:tc>
        <w:tc>
          <w:tcPr>
            <w:tcW w:w="3969" w:type="dxa"/>
            <w:vAlign w:val="center"/>
          </w:tcPr>
          <w:p>
            <w:pPr>
              <w:pStyle w:val="22"/>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none"/>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Theme="minorEastAsia"/>
                <w:color w:val="00000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2"/>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2</w:t>
            </w:r>
          </w:p>
        </w:tc>
        <w:tc>
          <w:tcPr>
            <w:tcW w:w="3969" w:type="dxa"/>
            <w:vAlign w:val="center"/>
          </w:tcPr>
          <w:p>
            <w:pPr>
              <w:pStyle w:val="22"/>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none"/>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2"/>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3</w:t>
            </w:r>
          </w:p>
        </w:tc>
        <w:tc>
          <w:tcPr>
            <w:tcW w:w="3969" w:type="dxa"/>
            <w:vAlign w:val="center"/>
          </w:tcPr>
          <w:p>
            <w:pPr>
              <w:pStyle w:val="22"/>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none"/>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2"/>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4</w:t>
            </w:r>
          </w:p>
        </w:tc>
        <w:tc>
          <w:tcPr>
            <w:tcW w:w="3969" w:type="dxa"/>
            <w:vAlign w:val="center"/>
          </w:tcPr>
          <w:p>
            <w:pPr>
              <w:pStyle w:val="22"/>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none"/>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2"/>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5</w:t>
            </w:r>
          </w:p>
        </w:tc>
        <w:tc>
          <w:tcPr>
            <w:tcW w:w="3969" w:type="dxa"/>
            <w:vAlign w:val="center"/>
          </w:tcPr>
          <w:p>
            <w:pPr>
              <w:pStyle w:val="22"/>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none"/>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2"/>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6</w:t>
            </w:r>
          </w:p>
        </w:tc>
        <w:tc>
          <w:tcPr>
            <w:tcW w:w="3969" w:type="dxa"/>
            <w:vAlign w:val="center"/>
          </w:tcPr>
          <w:p>
            <w:pPr>
              <w:pStyle w:val="22"/>
              <w:keepNext w:val="0"/>
              <w:keepLines w:val="0"/>
              <w:pageBreakBefore w:val="0"/>
              <w:kinsoku/>
              <w:wordWrap/>
              <w:overflowPunct/>
              <w:topLinePunct w:val="0"/>
              <w:autoSpaceDE/>
              <w:autoSpaceDN/>
              <w:bidi w:val="0"/>
              <w:adjustRightInd/>
              <w:snapToGrid/>
              <w:spacing w:line="280" w:lineRule="exact"/>
              <w:jc w:val="left"/>
              <w:textAlignment w:val="auto"/>
              <w:rPr>
                <w:rFonts w:hint="default" w:ascii="宋体" w:hAnsi="宋体" w:eastAsiaTheme="minorEastAsia" w:cstheme="minorBidi"/>
                <w:color w:val="000000"/>
                <w:kern w:val="2"/>
                <w:sz w:val="18"/>
                <w:szCs w:val="18"/>
                <w:highlight w:val="none"/>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r>
    </w:tbl>
    <w:p>
      <w:pPr>
        <w:spacing w:before="50" w:line="360" w:lineRule="auto"/>
        <w:ind w:firstLine="3885" w:firstLineChars="1850"/>
        <w:rPr>
          <w:rFonts w:ascii="宋体" w:hAnsi="宋体"/>
          <w:color w:val="000000"/>
          <w:szCs w:val="21"/>
          <w:highlight w:val="none"/>
        </w:rPr>
      </w:pPr>
    </w:p>
    <w:p>
      <w:pPr>
        <w:keepNext w:val="0"/>
        <w:keepLines w:val="0"/>
        <w:pageBreakBefore w:val="0"/>
        <w:widowControl w:val="0"/>
        <w:kinsoku/>
        <w:wordWrap/>
        <w:overflowPunct/>
        <w:topLinePunct w:val="0"/>
        <w:autoSpaceDE/>
        <w:autoSpaceDN/>
        <w:bidi w:val="0"/>
        <w:adjustRightInd/>
        <w:snapToGrid/>
        <w:spacing w:before="50" w:line="240" w:lineRule="auto"/>
        <w:textAlignment w:val="auto"/>
        <w:rPr>
          <w:rFonts w:ascii="宋体" w:hAnsi="宋体"/>
          <w:color w:val="000000"/>
          <w:szCs w:val="21"/>
          <w:highlight w:val="none"/>
        </w:rPr>
      </w:pPr>
      <w:r>
        <w:rPr>
          <w:rFonts w:hint="eastAsia" w:ascii="宋体" w:hAnsi="宋体"/>
          <w:color w:val="000000"/>
          <w:szCs w:val="21"/>
          <w:highlight w:val="none"/>
        </w:rPr>
        <w:t>说明：</w:t>
      </w:r>
    </w:p>
    <w:p>
      <w:pPr>
        <w:keepNext w:val="0"/>
        <w:keepLines w:val="0"/>
        <w:pageBreakBefore w:val="0"/>
        <w:widowControl w:val="0"/>
        <w:numPr>
          <w:ilvl w:val="0"/>
          <w:numId w:val="37"/>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highlight w:val="none"/>
        </w:rPr>
      </w:pPr>
      <w:r>
        <w:rPr>
          <w:rFonts w:hint="eastAsia" w:ascii="宋体" w:hAnsi="宋体"/>
          <w:color w:val="000000"/>
          <w:szCs w:val="21"/>
          <w:highlight w:val="none"/>
        </w:rPr>
        <w:t>以上技术如无偏差，则都填“无”字。</w:t>
      </w:r>
    </w:p>
    <w:p>
      <w:pPr>
        <w:keepNext w:val="0"/>
        <w:keepLines w:val="0"/>
        <w:pageBreakBefore w:val="0"/>
        <w:widowControl w:val="0"/>
        <w:numPr>
          <w:ilvl w:val="0"/>
          <w:numId w:val="37"/>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highlight w:val="none"/>
        </w:rPr>
      </w:pPr>
      <w:r>
        <w:rPr>
          <w:rFonts w:hint="eastAsia" w:ascii="宋体" w:hAnsi="宋体"/>
          <w:color w:val="000000"/>
          <w:szCs w:val="21"/>
          <w:highlight w:val="none"/>
        </w:rPr>
        <w:t>技术标准以技术要求为基准。</w:t>
      </w:r>
    </w:p>
    <w:p>
      <w:pPr>
        <w:keepNext w:val="0"/>
        <w:keepLines w:val="0"/>
        <w:pageBreakBefore w:val="0"/>
        <w:widowControl w:val="0"/>
        <w:numPr>
          <w:ilvl w:val="0"/>
          <w:numId w:val="37"/>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highlight w:val="none"/>
        </w:rPr>
      </w:pPr>
      <w:r>
        <w:rPr>
          <w:rFonts w:hint="eastAsia" w:ascii="宋体" w:hAnsi="宋体"/>
          <w:color w:val="000000"/>
          <w:szCs w:val="21"/>
          <w:highlight w:val="none"/>
        </w:rPr>
        <w:t>以上技术偏差将作为</w:t>
      </w:r>
      <w:r>
        <w:rPr>
          <w:rFonts w:hint="eastAsia" w:ascii="宋体" w:hAnsi="宋体"/>
          <w:color w:val="000000"/>
          <w:szCs w:val="21"/>
          <w:highlight w:val="none"/>
          <w:lang w:val="en-US" w:eastAsia="zh-CN"/>
        </w:rPr>
        <w:t>采购</w:t>
      </w:r>
      <w:r>
        <w:rPr>
          <w:rFonts w:hint="eastAsia" w:ascii="宋体" w:hAnsi="宋体"/>
          <w:color w:val="000000"/>
          <w:szCs w:val="21"/>
          <w:highlight w:val="none"/>
        </w:rPr>
        <w:t>人判断应答人报价的重要依据，请慎重考虑、酌情填写。</w:t>
      </w:r>
    </w:p>
    <w:p>
      <w:pPr>
        <w:spacing w:line="360" w:lineRule="auto"/>
        <w:rPr>
          <w:rFonts w:ascii="宋体" w:hAnsi="宋体"/>
          <w:color w:val="000000"/>
          <w:szCs w:val="21"/>
          <w:highlight w:val="none"/>
        </w:rPr>
      </w:pPr>
    </w:p>
    <w:p>
      <w:pPr>
        <w:tabs>
          <w:tab w:val="left" w:pos="0"/>
        </w:tabs>
        <w:spacing w:line="360" w:lineRule="auto"/>
        <w:ind w:firstLine="3570" w:firstLineChars="1700"/>
        <w:rPr>
          <w:rFonts w:ascii="宋体" w:hAnsi="宋体"/>
          <w:color w:val="000000"/>
          <w:szCs w:val="21"/>
          <w:highlight w:val="none"/>
          <w:u w:val="single"/>
        </w:rPr>
      </w:pPr>
      <w:r>
        <w:rPr>
          <w:rFonts w:hint="eastAsia" w:ascii="宋体" w:hAnsi="宋体"/>
          <w:color w:val="000000"/>
          <w:szCs w:val="21"/>
          <w:highlight w:val="none"/>
          <w:lang w:eastAsia="zh-CN"/>
        </w:rPr>
        <w:t>应答人</w:t>
      </w:r>
      <w:r>
        <w:rPr>
          <w:rFonts w:hint="eastAsia" w:ascii="宋体" w:hAnsi="宋体"/>
          <w:color w:val="000000"/>
          <w:szCs w:val="21"/>
          <w:highlight w:val="none"/>
        </w:rPr>
        <w:t>：（盖章）</w:t>
      </w:r>
    </w:p>
    <w:p>
      <w:pPr>
        <w:tabs>
          <w:tab w:val="left" w:pos="4320"/>
        </w:tabs>
        <w:spacing w:line="360" w:lineRule="auto"/>
        <w:ind w:firstLine="3465" w:firstLineChars="1650"/>
        <w:jc w:val="center"/>
        <w:rPr>
          <w:rFonts w:ascii="宋体" w:hAnsi="宋体"/>
          <w:color w:val="000000"/>
          <w:szCs w:val="21"/>
          <w:highlight w:val="none"/>
        </w:rPr>
      </w:pPr>
    </w:p>
    <w:p>
      <w:pPr>
        <w:tabs>
          <w:tab w:val="left" w:pos="4320"/>
        </w:tabs>
        <w:spacing w:line="360" w:lineRule="auto"/>
        <w:ind w:firstLine="3570" w:firstLineChars="1700"/>
        <w:rPr>
          <w:rFonts w:hint="eastAsia" w:ascii="宋体" w:hAnsi="宋体"/>
          <w:color w:val="000000"/>
          <w:szCs w:val="21"/>
          <w:highlight w:val="none"/>
        </w:rPr>
      </w:pPr>
      <w:r>
        <w:rPr>
          <w:rFonts w:ascii="宋体" w:hAnsi="宋体"/>
          <w:color w:val="000000"/>
          <w:szCs w:val="21"/>
          <w:highlight w:val="none"/>
        </w:rPr>
        <w:t>法定代表人或委托代理人：（签字</w:t>
      </w:r>
      <w:r>
        <w:rPr>
          <w:rFonts w:hint="eastAsia" w:ascii="宋体" w:hAnsi="宋体"/>
          <w:color w:val="000000"/>
          <w:szCs w:val="21"/>
          <w:highlight w:val="none"/>
        </w:rPr>
        <w:t>）</w:t>
      </w:r>
    </w:p>
    <w:p>
      <w:pPr>
        <w:rPr>
          <w:highlight w:val="none"/>
        </w:rPr>
      </w:pPr>
    </w:p>
    <w:p>
      <w:pPr>
        <w:pStyle w:val="3"/>
        <w:ind w:firstLine="0" w:firstLineChars="0"/>
        <w:rPr>
          <w:highlight w:val="none"/>
          <w:lang w:val="en-US" w:eastAsia="zh-CN"/>
        </w:rPr>
      </w:pPr>
    </w:p>
    <w:p>
      <w:pPr>
        <w:pStyle w:val="3"/>
        <w:ind w:firstLine="0" w:firstLineChars="0"/>
        <w:rPr>
          <w:highlight w:val="none"/>
          <w:lang w:val="en-US" w:eastAsia="zh-CN"/>
        </w:rPr>
      </w:pPr>
    </w:p>
    <w:p>
      <w:pPr>
        <w:pStyle w:val="3"/>
        <w:ind w:firstLine="0" w:firstLineChars="0"/>
        <w:rPr>
          <w:highlight w:val="none"/>
          <w:lang w:val="en-US" w:eastAsia="zh-CN"/>
        </w:rPr>
      </w:pPr>
    </w:p>
    <w:p>
      <w:pPr>
        <w:pStyle w:val="3"/>
        <w:ind w:firstLine="0" w:firstLineChars="0"/>
        <w:rPr>
          <w:highlight w:val="none"/>
          <w:lang w:val="en-US" w:eastAsia="zh-CN"/>
        </w:rPr>
      </w:pPr>
    </w:p>
    <w:p>
      <w:pPr>
        <w:pStyle w:val="3"/>
        <w:ind w:firstLine="0" w:firstLineChars="0"/>
        <w:rPr>
          <w:highlight w:val="none"/>
          <w:lang w:val="en-US" w:eastAsia="zh-CN"/>
        </w:rPr>
      </w:pPr>
    </w:p>
    <w:p>
      <w:pPr>
        <w:pStyle w:val="3"/>
        <w:ind w:firstLine="0" w:firstLineChars="0"/>
        <w:rPr>
          <w:highlight w:val="none"/>
          <w:lang w:val="en-US" w:eastAsia="zh-CN"/>
        </w:rPr>
      </w:pPr>
    </w:p>
    <w:p>
      <w:pPr>
        <w:pStyle w:val="3"/>
        <w:ind w:firstLine="0" w:firstLineChars="0"/>
        <w:rPr>
          <w:highlight w:val="none"/>
          <w:lang w:val="en-US" w:eastAsia="zh-CN"/>
        </w:rPr>
      </w:pPr>
    </w:p>
    <w:p>
      <w:pPr>
        <w:pStyle w:val="3"/>
        <w:ind w:firstLine="0" w:firstLineChars="0"/>
        <w:rPr>
          <w:highlight w:val="none"/>
          <w:lang w:val="en-US" w:eastAsia="zh-CN"/>
        </w:rPr>
      </w:pPr>
    </w:p>
    <w:p>
      <w:pPr>
        <w:pStyle w:val="3"/>
        <w:ind w:firstLine="0" w:firstLineChars="0"/>
        <w:rPr>
          <w:highlight w:val="none"/>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附件7：</w:t>
      </w:r>
      <w:r>
        <w:rPr>
          <w:rFonts w:hint="eastAsia" w:ascii="黑体" w:hAnsi="黑体" w:eastAsia="黑体"/>
          <w:b/>
          <w:bCs/>
          <w:color w:val="000000" w:themeColor="text1"/>
          <w:sz w:val="24"/>
          <w:szCs w:val="24"/>
          <w:highlight w:val="none"/>
          <w14:textFill>
            <w14:solidFill>
              <w14:schemeClr w14:val="tx1"/>
            </w14:solidFill>
          </w14:textFill>
        </w:rPr>
        <w:t>报价</w:t>
      </w:r>
      <w:r>
        <w:rPr>
          <w:rFonts w:hint="eastAsia" w:ascii="黑体" w:hAnsi="黑体" w:eastAsia="黑体"/>
          <w:b/>
          <w:bCs/>
          <w:color w:val="000000" w:themeColor="text1"/>
          <w:sz w:val="24"/>
          <w:szCs w:val="24"/>
          <w:highlight w:val="none"/>
          <w:lang w:val="en-US" w:eastAsia="zh-CN"/>
          <w14:textFill>
            <w14:solidFill>
              <w14:schemeClr w14:val="tx1"/>
            </w14:solidFill>
          </w14:textFill>
        </w:rPr>
        <w:t>文件</w:t>
      </w:r>
    </w:p>
    <w:p>
      <w:pPr>
        <w:rPr>
          <w:rFonts w:ascii="黑体" w:hAnsi="黑体" w:eastAsia="黑体"/>
          <w:color w:val="000000" w:themeColor="text1"/>
          <w:sz w:val="21"/>
          <w:szCs w:val="21"/>
          <w:highlight w:val="none"/>
          <w14:textFill>
            <w14:solidFill>
              <w14:schemeClr w14:val="tx1"/>
            </w14:solidFill>
          </w14:textFill>
        </w:rPr>
      </w:pPr>
    </w:p>
    <w:p>
      <w:pPr>
        <w:pStyle w:val="18"/>
        <w:spacing w:line="360" w:lineRule="auto"/>
        <w:ind w:firstLine="0"/>
        <w:jc w:val="center"/>
        <w:rPr>
          <w:rFonts w:asciiTheme="minorEastAsia" w:hAnsiTheme="minorEastAsia" w:eastAsia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b/>
          <w:color w:val="000000" w:themeColor="text1"/>
          <w:sz w:val="21"/>
          <w:szCs w:val="21"/>
          <w:highlight w:val="none"/>
          <w14:textFill>
            <w14:solidFill>
              <w14:schemeClr w14:val="tx1"/>
            </w14:solidFill>
          </w14:textFill>
        </w:rPr>
        <w:t>报 价 单</w:t>
      </w:r>
    </w:p>
    <w:p>
      <w:pPr>
        <w:pStyle w:val="18"/>
        <w:spacing w:line="360" w:lineRule="auto"/>
        <w:ind w:firstLine="0"/>
        <w:jc w:val="center"/>
        <w:rPr>
          <w:rFonts w:asciiTheme="minorEastAsia" w:hAnsiTheme="minorEastAsia" w:eastAsiaTheme="minorEastAsia"/>
          <w:b/>
          <w:color w:val="000000" w:themeColor="text1"/>
          <w:sz w:val="21"/>
          <w:szCs w:val="21"/>
          <w:highlight w:val="none"/>
          <w14:textFill>
            <w14:solidFill>
              <w14:schemeClr w14:val="tx1"/>
            </w14:solidFill>
          </w14:textFill>
        </w:rPr>
      </w:pPr>
    </w:p>
    <w:p>
      <w:pPr>
        <w:pStyle w:val="18"/>
        <w:spacing w:line="360" w:lineRule="auto"/>
        <w:ind w:left="-18" w:leftChars="-67" w:hanging="123" w:hangingChars="59"/>
        <w:rPr>
          <w:rFonts w:cs="Arial" w:asciiTheme="minorEastAsia" w:hAnsiTheme="minorEastAsia" w:eastAsiaTheme="minorEastAsia"/>
          <w:color w:val="000000" w:themeColor="text1"/>
          <w:sz w:val="21"/>
          <w:szCs w:val="21"/>
          <w:highlight w:val="none"/>
          <w14:textFill>
            <w14:solidFill>
              <w14:schemeClr w14:val="tx1"/>
            </w14:solidFill>
          </w14:textFill>
        </w:rPr>
      </w:pPr>
      <w:r>
        <w:rPr>
          <w:rFonts w:hint="eastAsia" w:cs="Arial" w:asciiTheme="minorEastAsia" w:hAnsiTheme="minorEastAsia" w:eastAsiaTheme="minorEastAsia"/>
          <w:color w:val="000000" w:themeColor="text1"/>
          <w:sz w:val="21"/>
          <w:szCs w:val="21"/>
          <w:highlight w:val="none"/>
          <w14:textFill>
            <w14:solidFill>
              <w14:schemeClr w14:val="tx1"/>
            </w14:solidFill>
          </w14:textFill>
        </w:rPr>
        <w:t>项目</w:t>
      </w:r>
      <w:r>
        <w:rPr>
          <w:rFonts w:cs="Arial" w:asciiTheme="minorEastAsia" w:hAnsiTheme="minorEastAsia" w:eastAsiaTheme="minorEastAsia"/>
          <w:color w:val="000000" w:themeColor="text1"/>
          <w:sz w:val="21"/>
          <w:szCs w:val="21"/>
          <w:highlight w:val="none"/>
          <w14:textFill>
            <w14:solidFill>
              <w14:schemeClr w14:val="tx1"/>
            </w14:solidFill>
          </w14:textFill>
        </w:rPr>
        <w:t>名称：</w:t>
      </w:r>
      <w:r>
        <w:rPr>
          <w:rFonts w:hint="eastAsia" w:cs="Arial" w:asciiTheme="minorEastAsia" w:hAnsiTheme="minorEastAsia" w:eastAsiaTheme="minorEastAsia"/>
          <w:color w:val="000000" w:themeColor="text1"/>
          <w:sz w:val="21"/>
          <w:szCs w:val="21"/>
          <w:highlight w:val="none"/>
          <w14:textFill>
            <w14:solidFill>
              <w14:schemeClr w14:val="tx1"/>
            </w14:solidFill>
          </w14:textFill>
        </w:rPr>
        <w:t xml:space="preserve">                       </w:t>
      </w:r>
      <w:r>
        <w:rPr>
          <w:rFonts w:cs="Arial" w:asciiTheme="minorEastAsia" w:hAnsiTheme="minorEastAsia" w:eastAsiaTheme="minorEastAsia"/>
          <w:color w:val="000000" w:themeColor="text1"/>
          <w:sz w:val="21"/>
          <w:szCs w:val="21"/>
          <w:highlight w:val="none"/>
          <w14:textFill>
            <w14:solidFill>
              <w14:schemeClr w14:val="tx1"/>
            </w14:solidFill>
          </w14:textFill>
        </w:rPr>
        <w:t xml:space="preserve">  </w:t>
      </w:r>
      <w:r>
        <w:rPr>
          <w:rFonts w:hint="eastAsia" w:cs="Arial" w:asciiTheme="minorEastAsia" w:hAnsiTheme="minorEastAsia" w:eastAsiaTheme="minorEastAsia"/>
          <w:color w:val="000000" w:themeColor="text1"/>
          <w:sz w:val="21"/>
          <w:szCs w:val="21"/>
          <w:highlight w:val="none"/>
          <w:lang w:val="en-US" w:eastAsia="zh-CN"/>
          <w14:textFill>
            <w14:solidFill>
              <w14:schemeClr w14:val="tx1"/>
            </w14:solidFill>
          </w14:textFill>
        </w:rPr>
        <w:t xml:space="preserve">            </w:t>
      </w:r>
      <w:r>
        <w:rPr>
          <w:rFonts w:asciiTheme="minorEastAsia" w:hAnsiTheme="minorEastAsia" w:eastAsiaTheme="minorEastAsia"/>
          <w:color w:val="000000" w:themeColor="text1"/>
          <w:sz w:val="21"/>
          <w:szCs w:val="21"/>
          <w:highlight w:val="none"/>
          <w14:textFill>
            <w14:solidFill>
              <w14:schemeClr w14:val="tx1"/>
            </w14:solidFill>
          </w14:textFill>
        </w:rPr>
        <w:t>报价</w:t>
      </w:r>
      <w:r>
        <w:rPr>
          <w:rFonts w:hint="eastAsia" w:asciiTheme="minorEastAsia" w:hAnsiTheme="minorEastAsia" w:eastAsiaTheme="minorEastAsia"/>
          <w:color w:val="000000" w:themeColor="text1"/>
          <w:sz w:val="21"/>
          <w:szCs w:val="21"/>
          <w:highlight w:val="none"/>
          <w14:textFill>
            <w14:solidFill>
              <w14:schemeClr w14:val="tx1"/>
            </w14:solidFill>
          </w14:textFill>
        </w:rPr>
        <w:t>单位：元；    货币</w:t>
      </w:r>
      <w:r>
        <w:rPr>
          <w:rFonts w:asciiTheme="minorEastAsia" w:hAnsiTheme="minorEastAsia" w:eastAsiaTheme="minorEastAsia"/>
          <w:color w:val="000000" w:themeColor="text1"/>
          <w:sz w:val="21"/>
          <w:szCs w:val="21"/>
          <w:highlight w:val="none"/>
          <w14:textFill>
            <w14:solidFill>
              <w14:schemeClr w14:val="tx1"/>
            </w14:solidFill>
          </w14:textFill>
        </w:rPr>
        <w:t>单位：</w:t>
      </w:r>
      <w:r>
        <w:rPr>
          <w:rFonts w:hint="eastAsia" w:asciiTheme="minorEastAsia" w:hAnsiTheme="minorEastAsia" w:eastAsiaTheme="minorEastAsia"/>
          <w:color w:val="000000" w:themeColor="text1"/>
          <w:sz w:val="21"/>
          <w:szCs w:val="21"/>
          <w:highlight w:val="none"/>
          <w14:textFill>
            <w14:solidFill>
              <w14:schemeClr w14:val="tx1"/>
            </w14:solidFill>
          </w14:textFill>
        </w:rPr>
        <w:t>人民币</w:t>
      </w:r>
    </w:p>
    <w:tbl>
      <w:tblPr>
        <w:tblStyle w:val="11"/>
        <w:tblW w:w="968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4"/>
        <w:gridCol w:w="3098"/>
        <w:gridCol w:w="738"/>
        <w:gridCol w:w="1221"/>
        <w:gridCol w:w="693"/>
        <w:gridCol w:w="1176"/>
        <w:gridCol w:w="1094"/>
        <w:gridCol w:w="1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费用明细</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不含税单价</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税率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含税单价</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不含税小计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含税小计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54"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3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不含增值税总价</w:t>
            </w:r>
          </w:p>
        </w:tc>
        <w:tc>
          <w:tcPr>
            <w:tcW w:w="60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大写：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3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0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小写：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3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增值税 </w:t>
            </w:r>
            <w:r>
              <w:rPr>
                <w:rFonts w:hint="eastAsia" w:ascii="宋体" w:hAnsi="宋体" w:eastAsia="宋体" w:cs="宋体"/>
                <w:i w:val="0"/>
                <w:iCs w:val="0"/>
                <w:color w:val="000000"/>
                <w:kern w:val="0"/>
                <w:sz w:val="21"/>
                <w:szCs w:val="21"/>
                <w:highlight w:val="none"/>
                <w:u w:val="none"/>
                <w:lang w:val="en-US" w:eastAsia="zh-CN" w:bidi="ar"/>
              </w:rPr>
              <w:t xml:space="preserve">  %</w:t>
            </w:r>
          </w:p>
        </w:tc>
        <w:tc>
          <w:tcPr>
            <w:tcW w:w="60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大写：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3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0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小写：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3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含增值税总价</w:t>
            </w:r>
          </w:p>
        </w:tc>
        <w:tc>
          <w:tcPr>
            <w:tcW w:w="60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大写：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3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0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小写：</w:t>
            </w:r>
          </w:p>
        </w:tc>
      </w:tr>
    </w:tbl>
    <w:p>
      <w:pPr>
        <w:snapToGrid w:val="0"/>
        <w:spacing w:line="360" w:lineRule="auto"/>
        <w:rPr>
          <w:rFonts w:asciiTheme="minorEastAsia" w:hAnsiTheme="minorEastAsia"/>
          <w:color w:val="000000" w:themeColor="text1"/>
          <w:sz w:val="21"/>
          <w:szCs w:val="21"/>
          <w:highlight w:val="none"/>
          <w14:textFill>
            <w14:solidFill>
              <w14:schemeClr w14:val="tx1"/>
            </w14:solidFill>
          </w14:textFill>
        </w:rPr>
      </w:pPr>
    </w:p>
    <w:p>
      <w:pPr>
        <w:snapToGrid w:val="0"/>
        <w:spacing w:line="360" w:lineRule="auto"/>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注：</w:t>
      </w:r>
    </w:p>
    <w:p>
      <w:pPr>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1、</w:t>
      </w:r>
      <w:r>
        <w:rPr>
          <w:rFonts w:asciiTheme="minorEastAsia" w:hAnsiTheme="minorEastAsia"/>
          <w:color w:val="000000" w:themeColor="text1"/>
          <w:sz w:val="21"/>
          <w:szCs w:val="21"/>
          <w:highlight w:val="none"/>
          <w14:textFill>
            <w14:solidFill>
              <w14:schemeClr w14:val="tx1"/>
            </w14:solidFill>
          </w14:textFill>
        </w:rPr>
        <w:t>报价有效期：</w:t>
      </w:r>
      <w:r>
        <w:rPr>
          <w:rFonts w:hint="eastAsia" w:asciiTheme="minorEastAsia" w:hAnsiTheme="minorEastAsia"/>
          <w:color w:val="000000" w:themeColor="text1"/>
          <w:sz w:val="21"/>
          <w:szCs w:val="21"/>
          <w:highlight w:val="none"/>
          <w14:textFill>
            <w14:solidFill>
              <w14:schemeClr w14:val="tx1"/>
            </w14:solidFill>
          </w14:textFill>
        </w:rPr>
        <w:t>自应答截止日次日起</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个日历日</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olor w:val="000000" w:themeColor="text1"/>
          <w:sz w:val="21"/>
          <w:szCs w:val="21"/>
          <w:highlight w:val="none"/>
          <w:lang w:val="en-US" w:eastAsia="zh-CN"/>
          <w14:textFill>
            <w14:solidFill>
              <w14:schemeClr w14:val="tx1"/>
            </w14:solidFill>
          </w14:textFill>
        </w:rPr>
        <w:t>货物类）</w:t>
      </w:r>
      <w:r>
        <w:rPr>
          <w:rFonts w:hint="eastAsia" w:asciiTheme="minorEastAsia" w:hAnsiTheme="minorEastAsia"/>
          <w:color w:val="000000" w:themeColor="text1"/>
          <w:sz w:val="21"/>
          <w:szCs w:val="21"/>
          <w:highlight w:val="none"/>
          <w14:textFill>
            <w14:solidFill>
              <w14:schemeClr w14:val="tx1"/>
            </w14:solidFill>
          </w14:textFill>
        </w:rPr>
        <w:t>交货期</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自合同订立之日起</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个日历日</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snapToGrid w:val="0"/>
        <w:spacing w:line="276" w:lineRule="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olor w:val="000000" w:themeColor="text1"/>
          <w:sz w:val="21"/>
          <w:szCs w:val="21"/>
          <w:highlight w:val="none"/>
          <w:lang w:val="en-US" w:eastAsia="zh-CN"/>
          <w14:textFill>
            <w14:solidFill>
              <w14:schemeClr w14:val="tx1"/>
            </w14:solidFill>
          </w14:textFill>
        </w:rPr>
        <w:t>服务类）服务期：</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个日历日</w:t>
      </w: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olor w:val="000000" w:themeColor="text1"/>
          <w:sz w:val="21"/>
          <w:szCs w:val="21"/>
          <w:highlight w:val="none"/>
          <w:lang w:val="en-US" w:eastAsia="zh-CN"/>
          <w14:textFill>
            <w14:solidFill>
              <w14:schemeClr w14:val="tx1"/>
            </w14:solidFill>
          </w14:textFill>
        </w:rPr>
        <w:t>工程类）服务期：合同签订之日起</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lang w:val="en-US" w:eastAsia="zh-CN"/>
          <w14:textFill>
            <w14:solidFill>
              <w14:schemeClr w14:val="tx1"/>
            </w14:solidFill>
          </w14:textFill>
        </w:rPr>
        <w:t>天内完成，具体开工时间以甲方通知为准。</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pStyle w:val="18"/>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asciiTheme="minorEastAsia" w:hAnsiTheme="minorEastAsia" w:eastAsia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olor w:val="000000" w:themeColor="text1"/>
          <w:sz w:val="21"/>
          <w:szCs w:val="21"/>
          <w:highlight w:val="none"/>
          <w14:textFill>
            <w14:solidFill>
              <w14:schemeClr w14:val="tx1"/>
            </w14:solidFill>
          </w14:textFill>
        </w:rPr>
        <w:t>、以上报价包括：</w:t>
      </w:r>
      <w:r>
        <w:rPr>
          <w:rFonts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费用。人工费、材料费、设施设备费、管理费、服务费、税费、利润、税金/其它应付款项，报价文件中规定的其它义务/风险/责任有关的费用及一切与履行本询价文件有关的于此处未列明的其它所有费用。固定单价在询价有效期和其必要的延长期内是固定的，不因通货膨胀、利/汇率、税/费变化而作任何调整</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（请应答人</w:t>
      </w:r>
      <w:r>
        <w:rPr>
          <w:rFonts w:asciiTheme="minorEastAsia" w:hAnsiTheme="minorEastAsia" w:eastAsiaTheme="minorEastAsia"/>
          <w:color w:val="000000" w:themeColor="text1"/>
          <w:sz w:val="21"/>
          <w:szCs w:val="21"/>
          <w:highlight w:val="none"/>
          <w14:textFill>
            <w14:solidFill>
              <w14:schemeClr w14:val="tx1"/>
            </w14:solidFill>
          </w14:textFill>
        </w:rPr>
        <w:t>响应</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18"/>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4、开具</w:t>
      </w:r>
      <w:r>
        <w:rPr>
          <w:rFonts w:asciiTheme="minorEastAsia" w:hAnsiTheme="minorEastAsia" w:eastAsiaTheme="minorEastAsia"/>
          <w:color w:val="000000" w:themeColor="text1"/>
          <w:sz w:val="21"/>
          <w:szCs w:val="21"/>
          <w:highlight w:val="none"/>
          <w14:textFill>
            <w14:solidFill>
              <w14:schemeClr w14:val="tx1"/>
            </w14:solidFill>
          </w14:textFill>
        </w:rPr>
        <w:t>发票种类：增值税专用发票</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增值税普通发票</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其它</w:t>
      </w:r>
      <w:r>
        <w:rPr>
          <w:rFonts w:hint="eastAsia" w:asciiTheme="minorEastAsia" w:hAnsiTheme="minorEastAsia" w:eastAsiaTheme="minorEastAsia"/>
          <w:color w:val="000000" w:themeColor="text1"/>
          <w:sz w:val="21"/>
          <w:szCs w:val="21"/>
          <w:highlight w:val="none"/>
          <w14:textFill>
            <w14:solidFill>
              <w14:schemeClr w14:val="tx1"/>
            </w14:solidFill>
          </w14:textFill>
        </w:rPr>
        <w:t>。（请应答人</w:t>
      </w:r>
      <w:r>
        <w:rPr>
          <w:rFonts w:asciiTheme="minorEastAsia" w:hAnsiTheme="minorEastAsia" w:eastAsiaTheme="minorEastAsia"/>
          <w:color w:val="000000" w:themeColor="text1"/>
          <w:sz w:val="21"/>
          <w:szCs w:val="21"/>
          <w:highlight w:val="none"/>
          <w14:textFill>
            <w14:solidFill>
              <w14:schemeClr w14:val="tx1"/>
            </w14:solidFill>
          </w14:textFill>
        </w:rPr>
        <w:t>如实填写</w:t>
      </w:r>
      <w:r>
        <w:rPr>
          <w:rFonts w:hint="eastAsia" w:asciiTheme="minorEastAsia" w:hAnsiTheme="minorEastAsia" w:eastAsiaTheme="minorEastAsia"/>
          <w:color w:val="000000" w:themeColor="text1"/>
          <w:sz w:val="21"/>
          <w:szCs w:val="21"/>
          <w:highlight w:val="none"/>
          <w14:textFill>
            <w14:solidFill>
              <w14:schemeClr w14:val="tx1"/>
            </w14:solidFill>
          </w14:textFill>
        </w:rPr>
        <w:t>具体</w:t>
      </w:r>
      <w:r>
        <w:rPr>
          <w:rFonts w:asciiTheme="minorEastAsia" w:hAnsiTheme="minorEastAsia" w:eastAsiaTheme="minorEastAsia"/>
          <w:color w:val="000000" w:themeColor="text1"/>
          <w:sz w:val="21"/>
          <w:szCs w:val="21"/>
          <w:highlight w:val="none"/>
          <w14:textFill>
            <w14:solidFill>
              <w14:schemeClr w14:val="tx1"/>
            </w14:solidFill>
          </w14:textFill>
        </w:rPr>
        <w:t>发票种类</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18"/>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5、其它</w:t>
      </w:r>
      <w:r>
        <w:rPr>
          <w:rFonts w:asciiTheme="minorEastAsia" w:hAnsiTheme="minorEastAsia" w:eastAsiaTheme="minorEastAsia"/>
          <w:color w:val="000000" w:themeColor="text1"/>
          <w:sz w:val="21"/>
          <w:szCs w:val="21"/>
          <w:highlight w:val="none"/>
          <w14:textFill>
            <w14:solidFill>
              <w14:schemeClr w14:val="tx1"/>
            </w14:solidFill>
          </w14:textFill>
        </w:rPr>
        <w:t>。应答人如有其它说明请补充。</w:t>
      </w:r>
    </w:p>
    <w:p>
      <w:pPr>
        <w:pStyle w:val="18"/>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olor w:val="000000" w:themeColor="text1"/>
          <w:sz w:val="21"/>
          <w:szCs w:val="21"/>
          <w:highlight w:val="none"/>
          <w14:textFill>
            <w14:solidFill>
              <w14:schemeClr w14:val="tx1"/>
            </w14:solidFill>
          </w14:textFill>
        </w:rPr>
        <w:t>、应答人商务联系人姓名________电话_______________邮箱_______________</w:t>
      </w:r>
    </w:p>
    <w:p>
      <w:pPr>
        <w:pStyle w:val="18"/>
        <w:spacing w:line="360" w:lineRule="auto"/>
        <w:ind w:right="840" w:firstLine="0"/>
        <w:jc w:val="righ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报价单位</w:t>
      </w:r>
      <w:r>
        <w:rPr>
          <w:rFonts w:asciiTheme="minorEastAsia" w:hAnsiTheme="minorEastAsia" w:eastAsiaTheme="minorEastAsia"/>
          <w:color w:val="000000" w:themeColor="text1"/>
          <w:sz w:val="21"/>
          <w:szCs w:val="21"/>
          <w:highlight w:val="none"/>
          <w14:textFill>
            <w14:solidFill>
              <w14:schemeClr w14:val="tx1"/>
            </w14:solidFill>
          </w14:textFill>
        </w:rPr>
        <w:t>名称：***</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C00000"/>
          <w:sz w:val="21"/>
          <w:szCs w:val="21"/>
          <w:highlight w:val="none"/>
          <w:lang w:val="en-US" w:eastAsia="zh-CN"/>
        </w:rPr>
        <w:t>加</w:t>
      </w:r>
      <w:r>
        <w:rPr>
          <w:rFonts w:hint="eastAsia" w:asciiTheme="minorEastAsia" w:hAnsiTheme="minorEastAsia" w:eastAsiaTheme="minorEastAsia"/>
          <w:color w:val="000000" w:themeColor="text1"/>
          <w:sz w:val="21"/>
          <w:szCs w:val="21"/>
          <w:highlight w:val="none"/>
          <w14:textFill>
            <w14:solidFill>
              <w14:schemeClr w14:val="tx1"/>
            </w14:solidFill>
          </w14:textFill>
        </w:rPr>
        <w:t>盖</w:t>
      </w:r>
      <w:r>
        <w:rPr>
          <w:rFonts w:asciiTheme="minorEastAsia" w:hAnsiTheme="minorEastAsia" w:eastAsiaTheme="minorEastAsia"/>
          <w:color w:val="000000" w:themeColor="text1"/>
          <w:sz w:val="21"/>
          <w:szCs w:val="21"/>
          <w:highlight w:val="none"/>
          <w14:textFill>
            <w14:solidFill>
              <w14:schemeClr w14:val="tx1"/>
            </w14:solidFill>
          </w14:textFill>
        </w:rPr>
        <w:t>公章</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18"/>
        <w:spacing w:line="360" w:lineRule="auto"/>
        <w:ind w:right="840" w:firstLine="0"/>
        <w:jc w:val="righ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仿宋" w:hAnsi="仿宋" w:eastAsia="仿宋" w:cs="仿宋"/>
          <w:bCs/>
          <w:color w:val="auto"/>
          <w:sz w:val="21"/>
          <w:szCs w:val="21"/>
          <w:highlight w:val="none"/>
          <w:lang w:eastAsia="zh-CN"/>
        </w:rPr>
        <w:t>法定代表人（单位负责人）或其委托代理人签字：</w:t>
      </w:r>
    </w:p>
    <w:p>
      <w:pPr>
        <w:pStyle w:val="18"/>
        <w:spacing w:line="360" w:lineRule="auto"/>
        <w:ind w:right="560" w:firstLine="4830" w:firstLineChars="2300"/>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报价日期</w:t>
      </w:r>
      <w:r>
        <w:rPr>
          <w:rFonts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***年**月**日</w:t>
      </w:r>
    </w:p>
    <w:p>
      <w:pPr>
        <w:pStyle w:val="3"/>
        <w:ind w:firstLine="0" w:firstLineChars="0"/>
        <w:rPr>
          <w:highlight w:val="none"/>
          <w:lang w:val="en-US" w:eastAsia="zh-CN"/>
        </w:rPr>
      </w:pPr>
    </w:p>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Noto Sans CJK DemiLight">
    <w:altName w:val="宋体"/>
    <w:panose1 w:val="00000000000000000000"/>
    <w:charset w:val="86"/>
    <w:family w:val="swiss"/>
    <w:pitch w:val="default"/>
    <w:sig w:usb0="00000000" w:usb1="00000000" w:usb2="00000016" w:usb3="00000000" w:csb0="002E0107"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新宋体-18030">
    <w:altName w:val="微软雅黑"/>
    <w:panose1 w:val="00000000000000000000"/>
    <w:charset w:val="86"/>
    <w:family w:val="modern"/>
    <w:pitch w:val="default"/>
    <w:sig w:usb0="00000000" w:usb1="00000000" w:usb2="000A005E"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4216" w:firstLineChars="2000"/>
      <w:rPr>
        <w:lang w:val="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2DE596"/>
    <w:multiLevelType w:val="singleLevel"/>
    <w:tmpl w:val="E22DE596"/>
    <w:lvl w:ilvl="0" w:tentative="0">
      <w:start w:val="5"/>
      <w:numFmt w:val="chineseCounting"/>
      <w:suff w:val="nothing"/>
      <w:lvlText w:val="%1、"/>
      <w:lvlJc w:val="left"/>
      <w:rPr>
        <w:rFonts w:hint="eastAsia"/>
      </w:rPr>
    </w:lvl>
  </w:abstractNum>
  <w:abstractNum w:abstractNumId="1">
    <w:nsid w:val="0ECB3DC2"/>
    <w:multiLevelType w:val="multilevel"/>
    <w:tmpl w:val="0ECB3DC2"/>
    <w:lvl w:ilvl="0" w:tentative="0">
      <w:start w:val="1"/>
      <w:numFmt w:val="decimal"/>
      <w:lvlText w:val="10.%1"/>
      <w:lvlJc w:val="left"/>
      <w:pPr>
        <w:ind w:left="418" w:hanging="420"/>
      </w:pPr>
      <w:rPr>
        <w:rFonts w:hint="default" w:ascii="Times New Roman" w:hAnsi="Times New Roman" w:cs="Times New Roman"/>
        <w:b w:val="0"/>
        <w:i w:val="0"/>
        <w:color w:val="auto"/>
        <w:sz w:val="24"/>
        <w:szCs w:val="24"/>
      </w:rPr>
    </w:lvl>
    <w:lvl w:ilvl="1" w:tentative="0">
      <w:start w:val="1"/>
      <w:numFmt w:val="decimal"/>
      <w:lvlText w:val="(%2)"/>
      <w:lvlJc w:val="left"/>
      <w:pPr>
        <w:ind w:left="808" w:hanging="390"/>
      </w:pPr>
      <w:rPr>
        <w:rFonts w:hint="default"/>
      </w:r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2">
    <w:nsid w:val="111D4901"/>
    <w:multiLevelType w:val="multilevel"/>
    <w:tmpl w:val="111D4901"/>
    <w:lvl w:ilvl="0" w:tentative="0">
      <w:start w:val="1"/>
      <w:numFmt w:val="decimal"/>
      <w:lvlText w:val="12.%1"/>
      <w:lvlJc w:val="left"/>
      <w:pPr>
        <w:ind w:left="420" w:hanging="420"/>
      </w:pPr>
      <w:rPr>
        <w:rFonts w:hint="default" w:ascii="Times New Roman" w:hAnsi="Times New Roman" w:cs="Times New Roman"/>
        <w:b w:val="0"/>
        <w:i w:val="0"/>
        <w:color w:val="auto"/>
        <w:sz w:val="24"/>
        <w:szCs w:val="24"/>
        <w:lang w:eastAsia="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594051"/>
    <w:multiLevelType w:val="multilevel"/>
    <w:tmpl w:val="11594051"/>
    <w:lvl w:ilvl="0" w:tentative="0">
      <w:start w:val="1"/>
      <w:numFmt w:val="decimal"/>
      <w:lvlText w:val="5.%1"/>
      <w:lvlJc w:val="left"/>
      <w:pPr>
        <w:ind w:left="420" w:hanging="420"/>
      </w:pPr>
      <w:rPr>
        <w:rFonts w:hint="eastAsia"/>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3AE254C"/>
    <w:multiLevelType w:val="multilevel"/>
    <w:tmpl w:val="13AE254C"/>
    <w:lvl w:ilvl="0" w:tentative="0">
      <w:start w:val="1"/>
      <w:numFmt w:val="decimal"/>
      <w:lvlText w:val="8.%1"/>
      <w:lvlJc w:val="left"/>
      <w:pPr>
        <w:ind w:left="704" w:hanging="420"/>
      </w:pPr>
      <w:rPr>
        <w:rFonts w:hint="eastAsia"/>
        <w:b w:val="0"/>
        <w:i w:val="0"/>
        <w:color w:val="auto"/>
        <w:sz w:val="24"/>
        <w:szCs w:val="24"/>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5">
    <w:nsid w:val="18324A0E"/>
    <w:multiLevelType w:val="singleLevel"/>
    <w:tmpl w:val="18324A0E"/>
    <w:lvl w:ilvl="0" w:tentative="0">
      <w:start w:val="1"/>
      <w:numFmt w:val="decimal"/>
      <w:suff w:val="nothing"/>
      <w:lvlText w:val="%1、"/>
      <w:lvlJc w:val="left"/>
    </w:lvl>
  </w:abstractNum>
  <w:abstractNum w:abstractNumId="6">
    <w:nsid w:val="187E4373"/>
    <w:multiLevelType w:val="multilevel"/>
    <w:tmpl w:val="187E4373"/>
    <w:lvl w:ilvl="0" w:tentative="0">
      <w:start w:val="1"/>
      <w:numFmt w:val="decimal"/>
      <w:lvlText w:val="19.%1"/>
      <w:lvlJc w:val="left"/>
      <w:pPr>
        <w:ind w:left="420" w:hanging="420"/>
      </w:pPr>
      <w:rPr>
        <w:rFonts w:hint="eastAsia"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0673A34"/>
    <w:multiLevelType w:val="multilevel"/>
    <w:tmpl w:val="20673A34"/>
    <w:lvl w:ilvl="0" w:tentative="0">
      <w:start w:val="1"/>
      <w:numFmt w:val="decimal"/>
      <w:lvlText w:val="9.%1"/>
      <w:lvlJc w:val="left"/>
      <w:pPr>
        <w:tabs>
          <w:tab w:val="left" w:pos="1860"/>
        </w:tabs>
        <w:ind w:left="186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13F27C5"/>
    <w:multiLevelType w:val="multilevel"/>
    <w:tmpl w:val="213F27C5"/>
    <w:lvl w:ilvl="0" w:tentative="0">
      <w:start w:val="1"/>
      <w:numFmt w:val="decimal"/>
      <w:lvlText w:val="(%1)"/>
      <w:lvlJc w:val="left"/>
      <w:pPr>
        <w:ind w:left="987" w:hanging="420"/>
      </w:pPr>
      <w:rPr>
        <w:rFonts w:hint="default" w:cs="Times New Roman"/>
        <w:b w:val="0"/>
        <w:i w:val="0"/>
        <w:color w:val="auto"/>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9">
    <w:nsid w:val="22030A0D"/>
    <w:multiLevelType w:val="multilevel"/>
    <w:tmpl w:val="22030A0D"/>
    <w:lvl w:ilvl="0" w:tentative="0">
      <w:start w:val="1"/>
      <w:numFmt w:val="decimal"/>
      <w:lvlText w:val="14.%1"/>
      <w:lvlJc w:val="left"/>
      <w:pPr>
        <w:ind w:left="420" w:hanging="420"/>
      </w:pPr>
      <w:rPr>
        <w:rFonts w:hint="default" w:ascii="Times New Roman" w:hAnsi="Times New Roman" w:cs="Times New Roman"/>
        <w:b w:val="0"/>
        <w:i w:val="0"/>
        <w:color w:val="auto"/>
        <w:sz w:val="24"/>
        <w:szCs w:val="24"/>
        <w:lang w:eastAsia="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88C4446"/>
    <w:multiLevelType w:val="multilevel"/>
    <w:tmpl w:val="288C4446"/>
    <w:lvl w:ilvl="0" w:tentative="0">
      <w:start w:val="1"/>
      <w:numFmt w:val="decimal"/>
      <w:lvlText w:val="11.%1"/>
      <w:lvlJc w:val="left"/>
      <w:pPr>
        <w:tabs>
          <w:tab w:val="left" w:pos="1860"/>
        </w:tabs>
        <w:ind w:left="1860" w:hanging="420"/>
      </w:pPr>
      <w:rPr>
        <w:rFonts w:hint="default" w:ascii="Times New Roman" w:hAnsi="Times New Roman" w:cs="Times New Roman"/>
        <w:b w:val="0"/>
        <w:i w:val="0"/>
        <w:color w:val="auto"/>
        <w:sz w:val="24"/>
        <w:szCs w:val="24"/>
        <w:lang w:eastAsia="zh-CN"/>
      </w:rPr>
    </w:lvl>
    <w:lvl w:ilvl="1" w:tentative="0">
      <w:start w:val="1"/>
      <w:numFmt w:val="decimal"/>
      <w:lvlText w:val="(%2)"/>
      <w:lvlJc w:val="left"/>
      <w:pPr>
        <w:tabs>
          <w:tab w:val="left" w:pos="840"/>
        </w:tabs>
        <w:ind w:left="840" w:hanging="420"/>
      </w:pPr>
      <w:rPr>
        <w:rFonts w:ascii="Times New Roman" w:hAnsi="宋体" w:eastAsia="宋体"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2DC64C40"/>
    <w:multiLevelType w:val="multilevel"/>
    <w:tmpl w:val="2DC64C40"/>
    <w:lvl w:ilvl="0" w:tentative="0">
      <w:start w:val="1"/>
      <w:numFmt w:val="chineseCountingThousand"/>
      <w:lvlText w:val="第%1条"/>
      <w:lvlJc w:val="left"/>
      <w:pPr>
        <w:ind w:left="1697" w:hanging="420"/>
      </w:pPr>
      <w:rPr>
        <w:rFonts w:hint="eastAsia"/>
        <w:i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E967B86"/>
    <w:multiLevelType w:val="multilevel"/>
    <w:tmpl w:val="2E967B86"/>
    <w:lvl w:ilvl="0" w:tentative="0">
      <w:start w:val="1"/>
      <w:numFmt w:val="decimal"/>
      <w:lvlText w:val="7.%1"/>
      <w:lvlJc w:val="left"/>
      <w:pPr>
        <w:tabs>
          <w:tab w:val="left" w:pos="1860"/>
        </w:tabs>
        <w:ind w:left="186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44619A6"/>
    <w:multiLevelType w:val="multilevel"/>
    <w:tmpl w:val="344619A6"/>
    <w:lvl w:ilvl="0" w:tentative="0">
      <w:start w:val="1"/>
      <w:numFmt w:val="decimal"/>
      <w:lvlText w:val="18.%1"/>
      <w:lvlJc w:val="left"/>
      <w:pPr>
        <w:ind w:left="42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7711D0B"/>
    <w:multiLevelType w:val="multilevel"/>
    <w:tmpl w:val="37711D0B"/>
    <w:lvl w:ilvl="0" w:tentative="0">
      <w:start w:val="1"/>
      <w:numFmt w:val="japaneseCounting"/>
      <w:lvlText w:val="（%1）"/>
      <w:lvlJc w:val="left"/>
      <w:pPr>
        <w:tabs>
          <w:tab w:val="left" w:pos="1430"/>
        </w:tabs>
        <w:ind w:left="143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37BB4534"/>
    <w:multiLevelType w:val="multilevel"/>
    <w:tmpl w:val="37BB4534"/>
    <w:lvl w:ilvl="0" w:tentative="0">
      <w:start w:val="1"/>
      <w:numFmt w:val="decimal"/>
      <w:lvlText w:val="(%1)"/>
      <w:lvlJc w:val="left"/>
      <w:pPr>
        <w:ind w:left="1068" w:hanging="420"/>
      </w:pPr>
      <w:rPr>
        <w:rFonts w:hint="eastAsia" w:ascii="Times New Roman" w:hAnsi="Times New Roman" w:eastAsia="宋体" w:cs="Times New Roman"/>
      </w:rPr>
    </w:lvl>
    <w:lvl w:ilvl="1" w:tentative="0">
      <w:start w:val="1"/>
      <w:numFmt w:val="decimal"/>
      <w:lvlText w:val="(%2)"/>
      <w:lvlJc w:val="left"/>
      <w:pPr>
        <w:ind w:left="1488" w:hanging="420"/>
      </w:pPr>
      <w:rPr>
        <w:rFonts w:hint="eastAsia" w:ascii="Times New Roman" w:hAnsi="Times New Roman" w:eastAsia="宋体" w:cs="Times New Roman"/>
      </w:rPr>
    </w:lvl>
    <w:lvl w:ilvl="2" w:tentative="0">
      <w:start w:val="1"/>
      <w:numFmt w:val="lowerRoman"/>
      <w:lvlText w:val="%3."/>
      <w:lvlJc w:val="right"/>
      <w:pPr>
        <w:ind w:left="1908" w:hanging="420"/>
      </w:pPr>
    </w:lvl>
    <w:lvl w:ilvl="3" w:tentative="0">
      <w:start w:val="1"/>
      <w:numFmt w:val="decimal"/>
      <w:lvlText w:val="%4."/>
      <w:lvlJc w:val="left"/>
      <w:pPr>
        <w:ind w:left="2328" w:hanging="420"/>
      </w:pPr>
    </w:lvl>
    <w:lvl w:ilvl="4" w:tentative="0">
      <w:start w:val="1"/>
      <w:numFmt w:val="lowerLetter"/>
      <w:lvlText w:val="%5)"/>
      <w:lvlJc w:val="left"/>
      <w:pPr>
        <w:ind w:left="2748" w:hanging="420"/>
      </w:pPr>
    </w:lvl>
    <w:lvl w:ilvl="5" w:tentative="0">
      <w:start w:val="1"/>
      <w:numFmt w:val="lowerRoman"/>
      <w:lvlText w:val="%6."/>
      <w:lvlJc w:val="right"/>
      <w:pPr>
        <w:ind w:left="3168" w:hanging="420"/>
      </w:pPr>
    </w:lvl>
    <w:lvl w:ilvl="6" w:tentative="0">
      <w:start w:val="1"/>
      <w:numFmt w:val="decimal"/>
      <w:lvlText w:val="%7."/>
      <w:lvlJc w:val="left"/>
      <w:pPr>
        <w:ind w:left="3588" w:hanging="420"/>
      </w:pPr>
    </w:lvl>
    <w:lvl w:ilvl="7" w:tentative="0">
      <w:start w:val="1"/>
      <w:numFmt w:val="lowerLetter"/>
      <w:lvlText w:val="%8)"/>
      <w:lvlJc w:val="left"/>
      <w:pPr>
        <w:ind w:left="4008" w:hanging="420"/>
      </w:pPr>
    </w:lvl>
    <w:lvl w:ilvl="8" w:tentative="0">
      <w:start w:val="1"/>
      <w:numFmt w:val="lowerRoman"/>
      <w:lvlText w:val="%9."/>
      <w:lvlJc w:val="right"/>
      <w:pPr>
        <w:ind w:left="4428" w:hanging="420"/>
      </w:pPr>
    </w:lvl>
  </w:abstractNum>
  <w:abstractNum w:abstractNumId="16">
    <w:nsid w:val="3B6E3992"/>
    <w:multiLevelType w:val="multilevel"/>
    <w:tmpl w:val="3B6E3992"/>
    <w:lvl w:ilvl="0" w:tentative="0">
      <w:start w:val="1"/>
      <w:numFmt w:val="decimal"/>
      <w:lvlText w:val="16.%1"/>
      <w:lvlJc w:val="left"/>
      <w:pPr>
        <w:ind w:left="84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3EB85368"/>
    <w:multiLevelType w:val="multilevel"/>
    <w:tmpl w:val="3EB85368"/>
    <w:lvl w:ilvl="0" w:tentative="0">
      <w:start w:val="1"/>
      <w:numFmt w:val="decimal"/>
      <w:lvlText w:val="1.%1"/>
      <w:lvlJc w:val="left"/>
      <w:pPr>
        <w:tabs>
          <w:tab w:val="left" w:pos="2278"/>
        </w:tabs>
        <w:ind w:left="2278" w:hanging="420"/>
      </w:pPr>
      <w:rPr>
        <w:rFonts w:hint="eastAsia"/>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3FC80A62"/>
    <w:multiLevelType w:val="multilevel"/>
    <w:tmpl w:val="3FC80A62"/>
    <w:lvl w:ilvl="0" w:tentative="0">
      <w:start w:val="1"/>
      <w:numFmt w:val="decimal"/>
      <w:lvlText w:val="4.%1"/>
      <w:lvlJc w:val="left"/>
      <w:pPr>
        <w:tabs>
          <w:tab w:val="left" w:pos="562"/>
        </w:tabs>
        <w:ind w:left="562" w:hanging="420"/>
      </w:pPr>
      <w:rPr>
        <w:rFonts w:hint="eastAsia"/>
        <w:b w:val="0"/>
        <w:i w:val="0"/>
        <w:color w:val="auto"/>
        <w:sz w:val="24"/>
        <w:szCs w:val="24"/>
      </w:rPr>
    </w:lvl>
    <w:lvl w:ilvl="1" w:tentative="0">
      <w:start w:val="1"/>
      <w:numFmt w:val="decimal"/>
      <w:lvlText w:val="(%2)"/>
      <w:lvlJc w:val="left"/>
      <w:pPr>
        <w:tabs>
          <w:tab w:val="left" w:pos="-140"/>
        </w:tabs>
        <w:ind w:left="154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40B6C9A8"/>
    <w:multiLevelType w:val="singleLevel"/>
    <w:tmpl w:val="40B6C9A8"/>
    <w:lvl w:ilvl="0" w:tentative="0">
      <w:start w:val="1"/>
      <w:numFmt w:val="decimal"/>
      <w:suff w:val="nothing"/>
      <w:lvlText w:val="%1、"/>
      <w:lvlJc w:val="left"/>
    </w:lvl>
  </w:abstractNum>
  <w:abstractNum w:abstractNumId="20">
    <w:nsid w:val="40C5160D"/>
    <w:multiLevelType w:val="multilevel"/>
    <w:tmpl w:val="40C5160D"/>
    <w:lvl w:ilvl="0" w:tentative="0">
      <w:start w:val="1"/>
      <w:numFmt w:val="decimal"/>
      <w:lvlText w:val="(%1)"/>
      <w:lvlJc w:val="left"/>
      <w:pPr>
        <w:ind w:left="988" w:hanging="420"/>
      </w:pPr>
      <w:rPr>
        <w:rFonts w:hint="eastAsia"/>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21">
    <w:nsid w:val="490B6D34"/>
    <w:multiLevelType w:val="multilevel"/>
    <w:tmpl w:val="490B6D34"/>
    <w:lvl w:ilvl="0" w:tentative="0">
      <w:start w:val="1"/>
      <w:numFmt w:val="decimal"/>
      <w:lvlText w:val="15.%1"/>
      <w:lvlJc w:val="left"/>
      <w:pPr>
        <w:ind w:left="42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49969A34"/>
    <w:multiLevelType w:val="singleLevel"/>
    <w:tmpl w:val="49969A34"/>
    <w:lvl w:ilvl="0" w:tentative="0">
      <w:start w:val="1"/>
      <w:numFmt w:val="decimal"/>
      <w:lvlText w:val="%1."/>
      <w:lvlJc w:val="left"/>
      <w:pPr>
        <w:tabs>
          <w:tab w:val="left" w:pos="312"/>
        </w:tabs>
      </w:pPr>
    </w:lvl>
  </w:abstractNum>
  <w:abstractNum w:abstractNumId="23">
    <w:nsid w:val="49CB373A"/>
    <w:multiLevelType w:val="singleLevel"/>
    <w:tmpl w:val="49CB373A"/>
    <w:lvl w:ilvl="0" w:tentative="0">
      <w:start w:val="3"/>
      <w:numFmt w:val="decimal"/>
      <w:suff w:val="space"/>
      <w:lvlText w:val="%1、"/>
      <w:lvlJc w:val="left"/>
    </w:lvl>
  </w:abstractNum>
  <w:abstractNum w:abstractNumId="24">
    <w:nsid w:val="4C4253E0"/>
    <w:multiLevelType w:val="multilevel"/>
    <w:tmpl w:val="4C4253E0"/>
    <w:lvl w:ilvl="0" w:tentative="0">
      <w:start w:val="1"/>
      <w:numFmt w:val="decimal"/>
      <w:lvlText w:val="(%1)"/>
      <w:lvlJc w:val="left"/>
      <w:pPr>
        <w:ind w:left="420" w:hanging="420"/>
      </w:pPr>
      <w:rPr>
        <w:rFonts w:hint="eastAsia" w:ascii="Times New Roman" w:hAnsi="Times New Roman" w:eastAsia="宋体" w:cs="Times New Roman"/>
      </w:rPr>
    </w:lvl>
    <w:lvl w:ilvl="1" w:tentative="0">
      <w:start w:val="1"/>
      <w:numFmt w:val="decimal"/>
      <w:lvlText w:val="(%2)"/>
      <w:lvlJc w:val="left"/>
      <w:pPr>
        <w:ind w:left="840" w:hanging="420"/>
      </w:pPr>
      <w:rPr>
        <w:rFonts w:hint="default" w:ascii="Times New Roman" w:hAnsi="Times New Roman" w:cs="Times New Roman"/>
        <w:b w:val="0"/>
        <w:i w:val="0"/>
        <w:color w:val="auto"/>
        <w:spacing w:val="0"/>
        <w:kern w:val="2"/>
        <w:sz w:val="24"/>
        <w:szCs w:val="24"/>
        <w:u w:val="none"/>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4EEC7676"/>
    <w:multiLevelType w:val="multilevel"/>
    <w:tmpl w:val="4EEC7676"/>
    <w:lvl w:ilvl="0" w:tentative="0">
      <w:start w:val="1"/>
      <w:numFmt w:val="decimal"/>
      <w:lvlText w:val="13.%1."/>
      <w:lvlJc w:val="left"/>
      <w:pPr>
        <w:tabs>
          <w:tab w:val="left" w:pos="3681"/>
        </w:tabs>
        <w:ind w:left="3681" w:hanging="420"/>
      </w:pPr>
      <w:rPr>
        <w:rFonts w:hint="default" w:ascii="Times New Roman" w:hAnsi="Times New Roman" w:cs="Times New Roman"/>
        <w:b w:val="0"/>
        <w:i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4F2A4C79"/>
    <w:multiLevelType w:val="multilevel"/>
    <w:tmpl w:val="4F2A4C79"/>
    <w:lvl w:ilvl="0" w:tentative="0">
      <w:start w:val="1"/>
      <w:numFmt w:val="decimal"/>
      <w:lvlText w:val="17.%1"/>
      <w:lvlJc w:val="left"/>
      <w:pPr>
        <w:ind w:left="1126" w:hanging="420"/>
      </w:pPr>
      <w:rPr>
        <w:rFonts w:hint="eastAsia" w:cs="Times New Roman"/>
        <w:b w:val="0"/>
        <w:color w:val="auto"/>
        <w:sz w:val="24"/>
        <w:szCs w:val="21"/>
      </w:rPr>
    </w:lvl>
    <w:lvl w:ilvl="1" w:tentative="0">
      <w:start w:val="1"/>
      <w:numFmt w:val="lowerLetter"/>
      <w:lvlText w:val="%2)"/>
      <w:lvlJc w:val="left"/>
      <w:pPr>
        <w:ind w:left="1546" w:hanging="420"/>
      </w:pPr>
    </w:lvl>
    <w:lvl w:ilvl="2" w:tentative="0">
      <w:start w:val="1"/>
      <w:numFmt w:val="lowerRoman"/>
      <w:lvlText w:val="%3."/>
      <w:lvlJc w:val="right"/>
      <w:pPr>
        <w:ind w:left="1966" w:hanging="420"/>
      </w:pPr>
    </w:lvl>
    <w:lvl w:ilvl="3" w:tentative="0">
      <w:start w:val="1"/>
      <w:numFmt w:val="decimal"/>
      <w:lvlText w:val="%4."/>
      <w:lvlJc w:val="left"/>
      <w:pPr>
        <w:ind w:left="2386" w:hanging="420"/>
      </w:pPr>
    </w:lvl>
    <w:lvl w:ilvl="4" w:tentative="0">
      <w:start w:val="1"/>
      <w:numFmt w:val="lowerLetter"/>
      <w:lvlText w:val="%5)"/>
      <w:lvlJc w:val="left"/>
      <w:pPr>
        <w:ind w:left="2806" w:hanging="420"/>
      </w:pPr>
    </w:lvl>
    <w:lvl w:ilvl="5" w:tentative="0">
      <w:start w:val="1"/>
      <w:numFmt w:val="lowerRoman"/>
      <w:lvlText w:val="%6."/>
      <w:lvlJc w:val="right"/>
      <w:pPr>
        <w:ind w:left="3226" w:hanging="420"/>
      </w:pPr>
    </w:lvl>
    <w:lvl w:ilvl="6" w:tentative="0">
      <w:start w:val="1"/>
      <w:numFmt w:val="decimal"/>
      <w:lvlText w:val="%7."/>
      <w:lvlJc w:val="left"/>
      <w:pPr>
        <w:ind w:left="3646" w:hanging="420"/>
      </w:pPr>
    </w:lvl>
    <w:lvl w:ilvl="7" w:tentative="0">
      <w:start w:val="1"/>
      <w:numFmt w:val="lowerLetter"/>
      <w:lvlText w:val="%8)"/>
      <w:lvlJc w:val="left"/>
      <w:pPr>
        <w:ind w:left="4066" w:hanging="420"/>
      </w:pPr>
    </w:lvl>
    <w:lvl w:ilvl="8" w:tentative="0">
      <w:start w:val="1"/>
      <w:numFmt w:val="lowerRoman"/>
      <w:lvlText w:val="%9."/>
      <w:lvlJc w:val="right"/>
      <w:pPr>
        <w:ind w:left="4486" w:hanging="420"/>
      </w:pPr>
    </w:lvl>
  </w:abstractNum>
  <w:abstractNum w:abstractNumId="27">
    <w:nsid w:val="56791D3E"/>
    <w:multiLevelType w:val="multilevel"/>
    <w:tmpl w:val="56791D3E"/>
    <w:lvl w:ilvl="0" w:tentative="0">
      <w:start w:val="1"/>
      <w:numFmt w:val="decimal"/>
      <w:lvlText w:val="(%1)"/>
      <w:lvlJc w:val="left"/>
      <w:pPr>
        <w:tabs>
          <w:tab w:val="left" w:pos="840"/>
        </w:tabs>
        <w:ind w:left="840" w:hanging="420"/>
      </w:pPr>
      <w:rPr>
        <w:rFonts w:ascii="Times New Roman" w:hAnsi="宋体" w:eastAsia="宋体" w:cs="Times New Roman"/>
      </w:rPr>
    </w:lvl>
    <w:lvl w:ilvl="1" w:tentative="0">
      <w:start w:val="1"/>
      <w:numFmt w:val="lowerLetter"/>
      <w:lvlText w:val="%2)"/>
      <w:lvlJc w:val="left"/>
      <w:pPr>
        <w:tabs>
          <w:tab w:val="left" w:pos="360"/>
        </w:tabs>
        <w:ind w:left="360" w:hanging="420"/>
      </w:pPr>
    </w:lvl>
    <w:lvl w:ilvl="2" w:tentative="0">
      <w:start w:val="1"/>
      <w:numFmt w:val="lowerRoman"/>
      <w:lvlText w:val="%3."/>
      <w:lvlJc w:val="right"/>
      <w:pPr>
        <w:tabs>
          <w:tab w:val="left" w:pos="780"/>
        </w:tabs>
        <w:ind w:left="780" w:hanging="420"/>
      </w:pPr>
    </w:lvl>
    <w:lvl w:ilvl="3" w:tentative="0">
      <w:start w:val="1"/>
      <w:numFmt w:val="decimal"/>
      <w:lvlText w:val="%4."/>
      <w:lvlJc w:val="left"/>
      <w:pPr>
        <w:tabs>
          <w:tab w:val="left" w:pos="1200"/>
        </w:tabs>
        <w:ind w:left="1200" w:hanging="420"/>
      </w:pPr>
    </w:lvl>
    <w:lvl w:ilvl="4" w:tentative="0">
      <w:start w:val="1"/>
      <w:numFmt w:val="lowerLetter"/>
      <w:lvlText w:val="%5)"/>
      <w:lvlJc w:val="left"/>
      <w:pPr>
        <w:tabs>
          <w:tab w:val="left" w:pos="1620"/>
        </w:tabs>
        <w:ind w:left="1620" w:hanging="420"/>
      </w:pPr>
    </w:lvl>
    <w:lvl w:ilvl="5" w:tentative="0">
      <w:start w:val="1"/>
      <w:numFmt w:val="lowerRoman"/>
      <w:lvlText w:val="%6."/>
      <w:lvlJc w:val="right"/>
      <w:pPr>
        <w:tabs>
          <w:tab w:val="left" w:pos="2040"/>
        </w:tabs>
        <w:ind w:left="2040" w:hanging="420"/>
      </w:pPr>
    </w:lvl>
    <w:lvl w:ilvl="6" w:tentative="0">
      <w:start w:val="1"/>
      <w:numFmt w:val="decimal"/>
      <w:lvlText w:val="%7."/>
      <w:lvlJc w:val="left"/>
      <w:pPr>
        <w:tabs>
          <w:tab w:val="left" w:pos="2460"/>
        </w:tabs>
        <w:ind w:left="2460" w:hanging="420"/>
      </w:pPr>
    </w:lvl>
    <w:lvl w:ilvl="7" w:tentative="0">
      <w:start w:val="1"/>
      <w:numFmt w:val="lowerLetter"/>
      <w:lvlText w:val="%8)"/>
      <w:lvlJc w:val="left"/>
      <w:pPr>
        <w:tabs>
          <w:tab w:val="left" w:pos="2880"/>
        </w:tabs>
        <w:ind w:left="2880" w:hanging="420"/>
      </w:pPr>
    </w:lvl>
    <w:lvl w:ilvl="8" w:tentative="0">
      <w:start w:val="1"/>
      <w:numFmt w:val="lowerRoman"/>
      <w:lvlText w:val="%9."/>
      <w:lvlJc w:val="right"/>
      <w:pPr>
        <w:tabs>
          <w:tab w:val="left" w:pos="3300"/>
        </w:tabs>
        <w:ind w:left="3300" w:hanging="420"/>
      </w:pPr>
    </w:lvl>
  </w:abstractNum>
  <w:abstractNum w:abstractNumId="28">
    <w:nsid w:val="5D5607AE"/>
    <w:multiLevelType w:val="multilevel"/>
    <w:tmpl w:val="5D5607AE"/>
    <w:lvl w:ilvl="0" w:tentative="0">
      <w:start w:val="1"/>
      <w:numFmt w:val="decimal"/>
      <w:lvlText w:val="2.%1"/>
      <w:lvlJc w:val="left"/>
      <w:pPr>
        <w:tabs>
          <w:tab w:val="left" w:pos="840"/>
        </w:tabs>
        <w:ind w:left="840" w:hanging="420"/>
      </w:pPr>
      <w:rPr>
        <w:rFonts w:hint="default" w:ascii="Times New Roman" w:hAnsi="Times New Roman" w:cs="Times New Roman"/>
      </w:rPr>
    </w:lvl>
    <w:lvl w:ilvl="1" w:tentative="0">
      <w:start w:val="1"/>
      <w:numFmt w:val="decimal"/>
      <w:lvlText w:val="(%2)"/>
      <w:lvlJc w:val="left"/>
      <w:pPr>
        <w:tabs>
          <w:tab w:val="left" w:pos="-560"/>
        </w:tabs>
        <w:ind w:left="112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1694D6C"/>
    <w:multiLevelType w:val="singleLevel"/>
    <w:tmpl w:val="61694D6C"/>
    <w:lvl w:ilvl="0" w:tentative="0">
      <w:start w:val="1"/>
      <w:numFmt w:val="decimal"/>
      <w:suff w:val="nothing"/>
      <w:lvlText w:val="%1、"/>
      <w:lvlJc w:val="left"/>
    </w:lvl>
  </w:abstractNum>
  <w:abstractNum w:abstractNumId="30">
    <w:nsid w:val="654D36CF"/>
    <w:multiLevelType w:val="singleLevel"/>
    <w:tmpl w:val="654D36CF"/>
    <w:lvl w:ilvl="0" w:tentative="0">
      <w:start w:val="4"/>
      <w:numFmt w:val="decimal"/>
      <w:lvlText w:val="%1."/>
      <w:lvlJc w:val="left"/>
      <w:pPr>
        <w:tabs>
          <w:tab w:val="left" w:pos="312"/>
        </w:tabs>
      </w:pPr>
    </w:lvl>
  </w:abstractNum>
  <w:abstractNum w:abstractNumId="31">
    <w:nsid w:val="69B179D7"/>
    <w:multiLevelType w:val="multilevel"/>
    <w:tmpl w:val="69B179D7"/>
    <w:lvl w:ilvl="0" w:tentative="0">
      <w:start w:val="1"/>
      <w:numFmt w:val="decimalFullWidth"/>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6CB93CF0"/>
    <w:multiLevelType w:val="multilevel"/>
    <w:tmpl w:val="6CB93CF0"/>
    <w:lvl w:ilvl="0" w:tentative="0">
      <w:start w:val="3"/>
      <w:numFmt w:val="none"/>
      <w:lvlText w:val="6"/>
      <w:lvlJc w:val="left"/>
      <w:pPr>
        <w:tabs>
          <w:tab w:val="left" w:pos="420"/>
        </w:tabs>
        <w:ind w:left="420" w:hanging="420"/>
      </w:pPr>
      <w:rPr>
        <w:rFonts w:hint="eastAsia"/>
      </w:rPr>
    </w:lvl>
    <w:lvl w:ilvl="1" w:tentative="0">
      <w:start w:val="1"/>
      <w:numFmt w:val="decimal"/>
      <w:lvlText w:val="20.%2"/>
      <w:lvlJc w:val="left"/>
      <w:pPr>
        <w:tabs>
          <w:tab w:val="left" w:pos="720"/>
        </w:tabs>
        <w:ind w:left="720" w:hanging="720"/>
      </w:pPr>
      <w:rPr>
        <w:rFonts w:hint="default" w:ascii="Times New Roman" w:hAnsi="Times New Roman" w:eastAsia="宋体" w:cs="Times New Roman"/>
        <w:b w:val="0"/>
        <w:i w:val="0"/>
        <w:color w:val="auto"/>
        <w:sz w:val="24"/>
        <w:szCs w:val="21"/>
        <w:lang w:val="en-US"/>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440"/>
        </w:tabs>
        <w:ind w:left="1440" w:hanging="1440"/>
      </w:pPr>
      <w:rPr>
        <w:rFonts w:hint="eastAsia"/>
      </w:rPr>
    </w:lvl>
    <w:lvl w:ilvl="5" w:tentative="0">
      <w:start w:val="1"/>
      <w:numFmt w:val="decimal"/>
      <w:lvlText w:val="%1.%2.%3.%4.%5.%6"/>
      <w:lvlJc w:val="left"/>
      <w:pPr>
        <w:tabs>
          <w:tab w:val="left" w:pos="1800"/>
        </w:tabs>
        <w:ind w:left="1800" w:hanging="1800"/>
      </w:pPr>
      <w:rPr>
        <w:rFonts w:hint="eastAsia"/>
      </w:rPr>
    </w:lvl>
    <w:lvl w:ilvl="6" w:tentative="0">
      <w:start w:val="1"/>
      <w:numFmt w:val="decimal"/>
      <w:lvlText w:val="%1.%2.%3.%4.%5.%6.%7"/>
      <w:lvlJc w:val="left"/>
      <w:pPr>
        <w:tabs>
          <w:tab w:val="left" w:pos="2160"/>
        </w:tabs>
        <w:ind w:left="2160" w:hanging="2160"/>
      </w:pPr>
      <w:rPr>
        <w:rFonts w:hint="eastAsia"/>
      </w:rPr>
    </w:lvl>
    <w:lvl w:ilvl="7" w:tentative="0">
      <w:start w:val="1"/>
      <w:numFmt w:val="decimal"/>
      <w:lvlText w:val="%1.%2.%3.%4.%5.%6.%7.%8"/>
      <w:lvlJc w:val="left"/>
      <w:pPr>
        <w:tabs>
          <w:tab w:val="left" w:pos="2160"/>
        </w:tabs>
        <w:ind w:left="2160" w:hanging="2160"/>
      </w:pPr>
      <w:rPr>
        <w:rFonts w:hint="eastAsia"/>
      </w:rPr>
    </w:lvl>
    <w:lvl w:ilvl="8" w:tentative="0">
      <w:start w:val="1"/>
      <w:numFmt w:val="decimal"/>
      <w:lvlText w:val="%1.%2.%3.%4.%5.%6.%7.%8.%9"/>
      <w:lvlJc w:val="left"/>
      <w:pPr>
        <w:tabs>
          <w:tab w:val="left" w:pos="2520"/>
        </w:tabs>
        <w:ind w:left="2520" w:hanging="2520"/>
      </w:pPr>
      <w:rPr>
        <w:rFonts w:hint="eastAsia"/>
      </w:rPr>
    </w:lvl>
  </w:abstractNum>
  <w:abstractNum w:abstractNumId="33">
    <w:nsid w:val="78E83899"/>
    <w:multiLevelType w:val="multilevel"/>
    <w:tmpl w:val="78E83899"/>
    <w:lvl w:ilvl="0" w:tentative="0">
      <w:start w:val="14"/>
      <w:numFmt w:val="decimal"/>
      <w:lvlText w:val="%1."/>
      <w:lvlJc w:val="left"/>
      <w:pPr>
        <w:tabs>
          <w:tab w:val="left" w:pos="0"/>
        </w:tabs>
        <w:ind w:left="810" w:hanging="810"/>
      </w:pPr>
      <w:rPr>
        <w:rFonts w:hint="default"/>
      </w:rPr>
    </w:lvl>
    <w:lvl w:ilvl="1" w:tentative="0">
      <w:start w:val="1"/>
      <w:numFmt w:val="decimal"/>
      <w:lvlText w:val="21.%2"/>
      <w:lvlJc w:val="left"/>
      <w:pPr>
        <w:tabs>
          <w:tab w:val="left" w:pos="0"/>
        </w:tabs>
        <w:ind w:left="810" w:hanging="810"/>
      </w:pPr>
      <w:rPr>
        <w:rFonts w:hint="default" w:ascii="Times New Roman" w:hAnsi="Times New Roman" w:eastAsia="宋体" w:cs="Times New Roman"/>
        <w:b w:val="0"/>
        <w:i w:val="0"/>
        <w:color w:val="auto"/>
        <w:sz w:val="24"/>
        <w:szCs w:val="21"/>
        <w:lang w:val="en-US"/>
      </w:rPr>
    </w:lvl>
    <w:lvl w:ilvl="2" w:tentative="0">
      <w:start w:val="1"/>
      <w:numFmt w:val="decimal"/>
      <w:lvlText w:val="%1.%2、%3."/>
      <w:lvlJc w:val="left"/>
      <w:pPr>
        <w:tabs>
          <w:tab w:val="left" w:pos="0"/>
        </w:tabs>
        <w:ind w:left="1080" w:hanging="1080"/>
      </w:pPr>
      <w:rPr>
        <w:rFonts w:hint="default"/>
      </w:rPr>
    </w:lvl>
    <w:lvl w:ilvl="3" w:tentative="0">
      <w:start w:val="1"/>
      <w:numFmt w:val="decimal"/>
      <w:lvlText w:val="%1.%2、%3.%4."/>
      <w:lvlJc w:val="left"/>
      <w:pPr>
        <w:tabs>
          <w:tab w:val="left" w:pos="0"/>
        </w:tabs>
        <w:ind w:left="1080" w:hanging="1080"/>
      </w:pPr>
      <w:rPr>
        <w:rFonts w:hint="default"/>
      </w:rPr>
    </w:lvl>
    <w:lvl w:ilvl="4" w:tentative="0">
      <w:start w:val="1"/>
      <w:numFmt w:val="decimal"/>
      <w:lvlText w:val="%1.%2、%3.%4.%5."/>
      <w:lvlJc w:val="left"/>
      <w:pPr>
        <w:tabs>
          <w:tab w:val="left" w:pos="0"/>
        </w:tabs>
        <w:ind w:left="1440" w:hanging="1440"/>
      </w:pPr>
      <w:rPr>
        <w:rFonts w:hint="default"/>
      </w:rPr>
    </w:lvl>
    <w:lvl w:ilvl="5" w:tentative="0">
      <w:start w:val="1"/>
      <w:numFmt w:val="decimal"/>
      <w:lvlText w:val="%1.%2、%3.%4.%5.%6."/>
      <w:lvlJc w:val="left"/>
      <w:pPr>
        <w:tabs>
          <w:tab w:val="left" w:pos="0"/>
        </w:tabs>
        <w:ind w:left="1800" w:hanging="1800"/>
      </w:pPr>
      <w:rPr>
        <w:rFonts w:hint="default"/>
      </w:rPr>
    </w:lvl>
    <w:lvl w:ilvl="6" w:tentative="0">
      <w:start w:val="1"/>
      <w:numFmt w:val="decimal"/>
      <w:lvlText w:val="%1.%2、%3.%4.%5.%6.%7."/>
      <w:lvlJc w:val="left"/>
      <w:pPr>
        <w:tabs>
          <w:tab w:val="left" w:pos="0"/>
        </w:tabs>
        <w:ind w:left="1800" w:hanging="1800"/>
      </w:pPr>
      <w:rPr>
        <w:rFonts w:hint="default"/>
      </w:rPr>
    </w:lvl>
    <w:lvl w:ilvl="7" w:tentative="0">
      <w:start w:val="1"/>
      <w:numFmt w:val="decimal"/>
      <w:lvlText w:val="%1.%2、%3.%4.%5.%6.%7.%8."/>
      <w:lvlJc w:val="left"/>
      <w:pPr>
        <w:tabs>
          <w:tab w:val="left" w:pos="0"/>
        </w:tabs>
        <w:ind w:left="2160" w:hanging="2160"/>
      </w:pPr>
      <w:rPr>
        <w:rFonts w:hint="default"/>
      </w:rPr>
    </w:lvl>
    <w:lvl w:ilvl="8" w:tentative="0">
      <w:start w:val="1"/>
      <w:numFmt w:val="decimal"/>
      <w:lvlText w:val="%1.%2、%3.%4.%5.%6.%7.%8.%9."/>
      <w:lvlJc w:val="left"/>
      <w:pPr>
        <w:tabs>
          <w:tab w:val="left" w:pos="0"/>
        </w:tabs>
        <w:ind w:left="2160" w:hanging="2160"/>
      </w:pPr>
      <w:rPr>
        <w:rFonts w:hint="default"/>
      </w:rPr>
    </w:lvl>
  </w:abstractNum>
  <w:abstractNum w:abstractNumId="34">
    <w:nsid w:val="7C367DBC"/>
    <w:multiLevelType w:val="multilevel"/>
    <w:tmpl w:val="7C367DBC"/>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35">
    <w:nsid w:val="7C6A4F85"/>
    <w:multiLevelType w:val="multilevel"/>
    <w:tmpl w:val="7C6A4F85"/>
    <w:lvl w:ilvl="0" w:tentative="0">
      <w:start w:val="1"/>
      <w:numFmt w:val="decimal"/>
      <w:lvlText w:val="6.%1"/>
      <w:lvlJc w:val="left"/>
      <w:pPr>
        <w:ind w:left="420" w:hanging="420"/>
      </w:pPr>
      <w:rPr>
        <w:rFonts w:hint="eastAsia"/>
        <w:b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7ECC3C6B"/>
    <w:multiLevelType w:val="multilevel"/>
    <w:tmpl w:val="7ECC3C6B"/>
    <w:lvl w:ilvl="0" w:tentative="0">
      <w:start w:val="1"/>
      <w:numFmt w:val="decimal"/>
      <w:lvlText w:val="3.%1"/>
      <w:lvlJc w:val="left"/>
      <w:pPr>
        <w:ind w:left="420" w:hanging="420"/>
      </w:pPr>
      <w:rPr>
        <w:rFonts w:hint="default" w:ascii="Times New Roman" w:hAnsi="Times New Roman" w:cs="Times New Roman"/>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0"/>
  </w:num>
  <w:num w:numId="2">
    <w:abstractNumId w:val="22"/>
  </w:num>
  <w:num w:numId="3">
    <w:abstractNumId w:val="23"/>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1"/>
  </w:num>
  <w:num w:numId="7">
    <w:abstractNumId w:val="17"/>
  </w:num>
  <w:num w:numId="8">
    <w:abstractNumId w:val="28"/>
  </w:num>
  <w:num w:numId="9">
    <w:abstractNumId w:val="36"/>
  </w:num>
  <w:num w:numId="10">
    <w:abstractNumId w:val="8"/>
  </w:num>
  <w:num w:numId="11">
    <w:abstractNumId w:val="18"/>
  </w:num>
  <w:num w:numId="12">
    <w:abstractNumId w:val="20"/>
  </w:num>
  <w:num w:numId="13">
    <w:abstractNumId w:val="34"/>
  </w:num>
  <w:num w:numId="14">
    <w:abstractNumId w:val="3"/>
  </w:num>
  <w:num w:numId="15">
    <w:abstractNumId w:val="35"/>
  </w:num>
  <w:num w:numId="16">
    <w:abstractNumId w:val="12"/>
  </w:num>
  <w:num w:numId="17">
    <w:abstractNumId w:val="4"/>
  </w:num>
  <w:num w:numId="18">
    <w:abstractNumId w:val="7"/>
  </w:num>
  <w:num w:numId="19">
    <w:abstractNumId w:val="1"/>
  </w:num>
  <w:num w:numId="20">
    <w:abstractNumId w:val="10"/>
  </w:num>
  <w:num w:numId="21">
    <w:abstractNumId w:val="2"/>
  </w:num>
  <w:num w:numId="22">
    <w:abstractNumId w:val="24"/>
  </w:num>
  <w:num w:numId="23">
    <w:abstractNumId w:val="25"/>
  </w:num>
  <w:num w:numId="24">
    <w:abstractNumId w:val="27"/>
  </w:num>
  <w:num w:numId="25">
    <w:abstractNumId w:val="9"/>
  </w:num>
  <w:num w:numId="26">
    <w:abstractNumId w:val="21"/>
  </w:num>
  <w:num w:numId="27">
    <w:abstractNumId w:val="16"/>
  </w:num>
  <w:num w:numId="28">
    <w:abstractNumId w:val="26"/>
  </w:num>
  <w:num w:numId="29">
    <w:abstractNumId w:val="13"/>
  </w:num>
  <w:num w:numId="30">
    <w:abstractNumId w:val="6"/>
  </w:num>
  <w:num w:numId="31">
    <w:abstractNumId w:val="15"/>
  </w:num>
  <w:num w:numId="32">
    <w:abstractNumId w:val="32"/>
  </w:num>
  <w:num w:numId="33">
    <w:abstractNumId w:val="33"/>
  </w:num>
  <w:num w:numId="34">
    <w:abstractNumId w:val="19"/>
  </w:num>
  <w:num w:numId="35">
    <w:abstractNumId w:val="5"/>
  </w:num>
  <w:num w:numId="36">
    <w:abstractNumId w:val="29"/>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D4583"/>
    <w:rsid w:val="0469295C"/>
    <w:rsid w:val="132E14EB"/>
    <w:rsid w:val="24860FE5"/>
    <w:rsid w:val="25A20E98"/>
    <w:rsid w:val="28643391"/>
    <w:rsid w:val="2CB63924"/>
    <w:rsid w:val="2F400935"/>
    <w:rsid w:val="315B18CE"/>
    <w:rsid w:val="331F6A32"/>
    <w:rsid w:val="3986491B"/>
    <w:rsid w:val="46601148"/>
    <w:rsid w:val="47437EAE"/>
    <w:rsid w:val="53C75816"/>
    <w:rsid w:val="64585690"/>
    <w:rsid w:val="654A6A51"/>
    <w:rsid w:val="7A1B47A8"/>
    <w:rsid w:val="7BB05F96"/>
    <w:rsid w:val="7E2C0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rPr>
      <w:rFonts w:ascii="Times New Roman" w:hAnsi="Times New Roman"/>
      <w:szCs w:val="24"/>
    </w:rPr>
  </w:style>
  <w:style w:type="paragraph" w:styleId="4">
    <w:name w:val="annotation text"/>
    <w:basedOn w:val="1"/>
    <w:unhideWhenUsed/>
    <w:qFormat/>
    <w:uiPriority w:val="99"/>
    <w:pPr>
      <w:jc w:val="left"/>
    </w:pPr>
  </w:style>
  <w:style w:type="paragraph" w:styleId="5">
    <w:name w:val="Body Text"/>
    <w:basedOn w:val="1"/>
    <w:next w:val="1"/>
    <w:qFormat/>
    <w:uiPriority w:val="1"/>
    <w:pPr>
      <w:spacing w:before="36"/>
      <w:ind w:left="780"/>
      <w:jc w:val="left"/>
    </w:pPr>
    <w:rPr>
      <w:rFonts w:ascii="宋体" w:hAnsi="宋体" w:eastAsia="宋体"/>
      <w:kern w:val="0"/>
      <w:szCs w:val="21"/>
      <w:lang w:eastAsia="en-US"/>
    </w:rPr>
  </w:style>
  <w:style w:type="paragraph" w:styleId="6">
    <w:name w:val="footer"/>
    <w:basedOn w:val="1"/>
    <w:next w:val="3"/>
    <w:unhideWhenUsed/>
    <w:qFormat/>
    <w:uiPriority w:val="99"/>
    <w:pPr>
      <w:tabs>
        <w:tab w:val="center" w:pos="4153"/>
        <w:tab w:val="right" w:pos="8306"/>
      </w:tabs>
      <w:snapToGrid w:val="0"/>
      <w:jc w:val="left"/>
    </w:pPr>
    <w:rPr>
      <w:sz w:val="18"/>
      <w:szCs w:val="18"/>
    </w:rPr>
  </w:style>
  <w:style w:type="paragraph" w:styleId="7">
    <w:name w:val="toc 1"/>
    <w:basedOn w:val="1"/>
    <w:next w:val="1"/>
    <w:qFormat/>
    <w:uiPriority w:val="39"/>
    <w:pPr>
      <w:tabs>
        <w:tab w:val="right" w:leader="dot" w:pos="8608"/>
      </w:tabs>
      <w:spacing w:line="360" w:lineRule="auto"/>
      <w:ind w:firstLine="425" w:firstLineChars="177"/>
    </w:p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szCs w:val="24"/>
      <w:lang w:eastAsia="zh-CN"/>
    </w:rPr>
  </w:style>
  <w:style w:type="paragraph" w:styleId="9">
    <w:name w:val="Title"/>
    <w:basedOn w:val="1"/>
    <w:qFormat/>
    <w:uiPriority w:val="0"/>
    <w:pPr>
      <w:spacing w:before="240" w:after="60"/>
      <w:jc w:val="center"/>
      <w:outlineLvl w:val="0"/>
    </w:pPr>
    <w:rPr>
      <w:rFonts w:ascii="Arial" w:hAnsi="Arial" w:eastAsia="楷体_GB2312"/>
      <w:b/>
      <w:bCs/>
      <w:sz w:val="32"/>
      <w:szCs w:val="32"/>
    </w:rPr>
  </w:style>
  <w:style w:type="paragraph" w:styleId="10">
    <w:name w:val="annotation subject"/>
    <w:next w:val="4"/>
    <w:unhideWhenUsed/>
    <w:qFormat/>
    <w:uiPriority w:val="0"/>
    <w:pPr>
      <w:widowControl w:val="0"/>
      <w:jc w:val="left"/>
    </w:pPr>
    <w:rPr>
      <w:rFonts w:asciiTheme="minorHAnsi" w:hAnsiTheme="minorHAnsi" w:eastAsiaTheme="minorEastAsia" w:cstheme="minorBidi"/>
      <w:b/>
      <w:bCs/>
      <w:kern w:val="2"/>
      <w:sz w:val="21"/>
      <w:szCs w:val="22"/>
      <w:lang w:val="en-US" w:eastAsia="zh-CN" w:bidi="ar-SA"/>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Table Paragraph"/>
    <w:basedOn w:val="1"/>
    <w:qFormat/>
    <w:uiPriority w:val="0"/>
    <w:pPr>
      <w:jc w:val="left"/>
    </w:pPr>
    <w:rPr>
      <w:kern w:val="0"/>
      <w:sz w:val="22"/>
      <w:lang w:eastAsia="en-US"/>
    </w:rPr>
  </w:style>
  <w:style w:type="paragraph" w:customStyle="1" w:styleId="1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16">
    <w:name w:val="No Spacing"/>
    <w:qFormat/>
    <w:uiPriority w:val="1"/>
    <w:pPr>
      <w:widowControl w:val="0"/>
    </w:pPr>
    <w:rPr>
      <w:rFonts w:ascii="Calibri" w:hAnsi="Calibri" w:eastAsia="宋体" w:cs="Arial"/>
      <w:sz w:val="22"/>
      <w:szCs w:val="22"/>
      <w:lang w:val="en-US" w:eastAsia="zh-CN" w:bidi="ar-SA"/>
    </w:rPr>
  </w:style>
  <w:style w:type="paragraph" w:customStyle="1" w:styleId="17">
    <w:name w:val="表文"/>
    <w:qFormat/>
    <w:uiPriority w:val="0"/>
    <w:pPr>
      <w:widowControl w:val="0"/>
      <w:jc w:val="center"/>
    </w:pPr>
    <w:rPr>
      <w:rFonts w:eastAsia="楷体" w:cs="宋体" w:asciiTheme="minorHAnsi" w:hAnsiTheme="minorHAnsi"/>
      <w:sz w:val="22"/>
      <w:szCs w:val="22"/>
      <w:lang w:val="en-US" w:eastAsia="en-US" w:bidi="ar-SA"/>
    </w:rPr>
  </w:style>
  <w:style w:type="paragraph" w:styleId="18">
    <w:name w:val="List Paragraph"/>
    <w:basedOn w:val="1"/>
    <w:qFormat/>
    <w:uiPriority w:val="34"/>
    <w:pPr>
      <w:widowControl/>
      <w:ind w:firstLine="420"/>
    </w:pPr>
    <w:rPr>
      <w:rFonts w:ascii="Calibri" w:hAnsi="Calibri" w:eastAsia="宋体" w:cs="Calibri"/>
      <w:kern w:val="0"/>
      <w:szCs w:val="21"/>
    </w:rPr>
  </w:style>
  <w:style w:type="character" w:customStyle="1" w:styleId="19">
    <w:name w:val="font01"/>
    <w:basedOn w:val="13"/>
    <w:qFormat/>
    <w:uiPriority w:val="0"/>
    <w:rPr>
      <w:rFonts w:hint="eastAsia" w:ascii="宋体" w:hAnsi="宋体" w:eastAsia="宋体" w:cs="宋体"/>
      <w:color w:val="000000"/>
      <w:sz w:val="20"/>
      <w:szCs w:val="20"/>
      <w:u w:val="none"/>
    </w:rPr>
  </w:style>
  <w:style w:type="paragraph" w:customStyle="1" w:styleId="20">
    <w:name w:val="书目1"/>
    <w:basedOn w:val="1"/>
    <w:next w:val="1"/>
    <w:unhideWhenUsed/>
    <w:qFormat/>
    <w:uiPriority w:val="37"/>
  </w:style>
  <w:style w:type="paragraph" w:customStyle="1" w:styleId="21">
    <w:name w:val="标题 22"/>
    <w:qFormat/>
    <w:uiPriority w:val="1"/>
    <w:pPr>
      <w:widowControl w:val="0"/>
      <w:ind w:right="5" w:rightChars="5"/>
      <w:jc w:val="left"/>
      <w:outlineLvl w:val="2"/>
    </w:pPr>
    <w:rPr>
      <w:rFonts w:ascii="Noto Sans CJK DemiLight" w:hAnsi="Noto Sans CJK DemiLight" w:eastAsia="Noto Sans CJK DemiLight" w:cs="Times New Roman"/>
      <w:kern w:val="0"/>
      <w:sz w:val="32"/>
      <w:szCs w:val="32"/>
      <w:lang w:val="en-US" w:eastAsia="en-US" w:bidi="ar-SA"/>
    </w:rPr>
  </w:style>
  <w:style w:type="paragraph" w:customStyle="1" w:styleId="22">
    <w:name w:val="Normal_1"/>
    <w:next w:val="23"/>
    <w:qFormat/>
    <w:uiPriority w:val="0"/>
    <w:rPr>
      <w:rFonts w:ascii="Times New Roman" w:hAnsi="Times New Roman" w:eastAsia="Times New Roman" w:cs="Times New Roman"/>
      <w:sz w:val="24"/>
      <w:szCs w:val="24"/>
    </w:rPr>
  </w:style>
  <w:style w:type="paragraph" w:customStyle="1" w:styleId="23">
    <w:name w:val="默认段落字体 Para Char"/>
    <w:basedOn w:val="24"/>
    <w:next w:val="1"/>
    <w:qFormat/>
    <w:uiPriority w:val="0"/>
    <w:pPr>
      <w:widowControl w:val="0"/>
      <w:spacing w:before="80" w:after="80" w:line="360" w:lineRule="auto"/>
      <w:jc w:val="both"/>
    </w:pPr>
    <w:rPr>
      <w:rFonts w:ascii="Calibri" w:hAnsi="Calibri" w:cs="Times New Roman"/>
      <w:kern w:val="2"/>
      <w:szCs w:val="20"/>
    </w:rPr>
  </w:style>
  <w:style w:type="paragraph" w:customStyle="1" w:styleId="24">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样式1"/>
    <w:basedOn w:val="1"/>
    <w:qFormat/>
    <w:uiPriority w:val="0"/>
    <w:pPr>
      <w:widowControl w:val="0"/>
      <w:jc w:val="both"/>
    </w:pPr>
    <w:rPr>
      <w:rFonts w:ascii="Times New Roman" w:hAnsi="Times New Roman" w:cs="Times New Roman"/>
      <w:b/>
      <w:kern w:val="2"/>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2024-08-02T09:15:00Z</dcterms:created>
  <dc:creator>liuna</dc:creator>
  <cp:lastModifiedBy>刘娜</cp:lastModifiedBy>
  <dcterms:modified xsi:type="dcterms:W3CDTF">2024-08-29T01:24:36Z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5BDE556D9002450EA2D3CB6BE9B21D68</vt:lpwstr>
  </property>
</Properties>
</file>