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公开/邀请询价文件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lang w:val="en-US" w:eastAsia="zh-CN"/>
        </w:rPr>
        <w:t>项目名称</w:t>
      </w: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u w:val="single"/>
          <w:lang w:val="en-US" w:eastAsia="zh-CN"/>
        </w:rPr>
        <w:t>装备公司水下液压控制云台采购</w:t>
      </w:r>
      <w:r>
        <w:rPr>
          <w:rFonts w:asciiTheme="minorEastAsia" w:hAnsiTheme="minorEastAsia" w:eastAsiaTheme="minorEastAsia"/>
          <w:color w:val="auto"/>
          <w:spacing w:val="-3"/>
          <w:highlight w:val="none"/>
          <w:u w:val="single"/>
        </w:rPr>
        <w:tab/>
      </w:r>
      <w:r>
        <w:rPr>
          <w:rFonts w:asciiTheme="minorEastAsia" w:hAnsiTheme="minorEastAsia" w:eastAsiaTheme="minorEastAsia"/>
          <w:color w:val="auto"/>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auto"/>
          <w:spacing w:val="-3"/>
          <w:highlight w:val="none"/>
        </w:rPr>
        <w:t>（采购编号：</w:t>
      </w:r>
      <w:r>
        <w:rPr>
          <w:rFonts w:hint="eastAsia" w:asciiTheme="minorEastAsia" w:hAnsiTheme="minorEastAsia" w:eastAsiaTheme="minorEastAsia"/>
          <w:color w:val="auto"/>
          <w:spacing w:val="-3"/>
          <w:highlight w:val="none"/>
          <w:u w:val="single"/>
        </w:rPr>
        <w:t>GKXJ-2024-ZB-2380</w:t>
      </w:r>
      <w:r>
        <w:rPr>
          <w:rFonts w:asciiTheme="minorEastAsia" w:hAnsiTheme="minorEastAsia" w:eastAsiaTheme="minorEastAsia"/>
          <w:color w:val="auto"/>
          <w:spacing w:val="-3"/>
          <w:highlight w:val="none"/>
          <w:u w:val="single"/>
        </w:rPr>
        <w:tab/>
      </w:r>
      <w:r>
        <w:rPr>
          <w:rFonts w:asciiTheme="minorEastAsia" w:hAnsiTheme="minorEastAsia" w:eastAsiaTheme="minorEastAsia"/>
          <w:color w:val="auto"/>
          <w:highlight w:val="none"/>
        </w:rPr>
        <w:t>）</w:t>
      </w:r>
    </w:p>
    <w:p>
      <w:pPr>
        <w:pStyle w:val="7"/>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500" w:firstLineChars="600"/>
        <w:jc w:val="both"/>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highlight w:val="none"/>
          <w:u w:val="single"/>
        </w:rPr>
        <w:t>中海油能源发展股份有限公司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2520" w:firstLineChars="900"/>
        <w:jc w:val="both"/>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9</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10</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5"/>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装备公司</w:t>
      </w:r>
      <w:r>
        <w:rPr>
          <w:rFonts w:hint="eastAsia" w:asciiTheme="minorEastAsia" w:hAnsiTheme="minorEastAsia"/>
          <w:color w:val="000000" w:themeColor="text1"/>
          <w:sz w:val="21"/>
          <w:szCs w:val="21"/>
          <w:highlight w:val="none"/>
          <w:u w:val="single"/>
          <w:lang w:eastAsia="zh-CN"/>
          <w14:textFill>
            <w14:solidFill>
              <w14:schemeClr w14:val="tx1"/>
            </w14:solidFill>
          </w14:textFill>
        </w:rPr>
        <w:t>水下液压控制云台</w:t>
      </w:r>
      <w:r>
        <w:rPr>
          <w:rFonts w:hint="eastAsia" w:asciiTheme="minorEastAsia" w:hAnsiTheme="minorEastAsia"/>
          <w:color w:val="000000" w:themeColor="text1"/>
          <w:sz w:val="21"/>
          <w:szCs w:val="21"/>
          <w:highlight w:val="none"/>
          <w:u w:val="single"/>
          <w14:textFill>
            <w14:solidFill>
              <w14:schemeClr w14:val="tx1"/>
            </w14:solidFill>
          </w14:textFill>
        </w:rPr>
        <w:t>采购</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w:t>
      </w:r>
      <w:r>
        <w:rPr>
          <w:rFonts w:hint="eastAsia" w:asciiTheme="minorEastAsia" w:hAnsiTheme="minorEastAsia"/>
          <w:color w:val="000000" w:themeColor="text1"/>
          <w:sz w:val="21"/>
          <w:szCs w:val="21"/>
          <w:highlight w:val="none"/>
          <w:lang w:val="en-US" w:eastAsia="zh-CN"/>
          <w14:textFill>
            <w14:solidFill>
              <w14:schemeClr w14:val="tx1"/>
            </w14:solidFill>
          </w14:textFill>
        </w:rPr>
        <w:t>公开</w:t>
      </w:r>
      <w:r>
        <w:rPr>
          <w:rFonts w:hint="eastAsia" w:asciiTheme="minorEastAsia" w:hAnsiTheme="minorEastAsia"/>
          <w:color w:val="000000" w:themeColor="text1"/>
          <w:sz w:val="21"/>
          <w:szCs w:val="21"/>
          <w:highlight w:val="none"/>
          <w:lang w:eastAsia="zh-CN"/>
          <w14:textFill>
            <w14:solidFill>
              <w14:schemeClr w14:val="tx1"/>
            </w14:solidFill>
          </w14:textFill>
        </w:rPr>
        <w:t>询价</w:t>
      </w:r>
      <w:r>
        <w:rPr>
          <w:rFonts w:hint="eastAsia" w:asciiTheme="minorEastAsia" w:hAnsiTheme="minorEastAsia"/>
          <w:color w:val="000000" w:themeColor="text1"/>
          <w:sz w:val="21"/>
          <w:szCs w:val="21"/>
          <w:highlight w:val="none"/>
          <w14:textFill>
            <w14:solidFill>
              <w14:schemeClr w14:val="tx1"/>
            </w14:solidFill>
          </w14:textFill>
        </w:rPr>
        <w:t>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19</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numPr>
          <w:ilvl w:val="0"/>
          <w:numId w:val="1"/>
        </w:num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lang w:val="en-US" w:eastAsia="zh-CN"/>
          <w14:textFill>
            <w14:solidFill>
              <w14:schemeClr w14:val="tx1"/>
            </w14:solidFill>
          </w14:textFill>
        </w:rPr>
        <w:t>19</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5"/>
        <w:spacing w:line="360" w:lineRule="auto"/>
        <w:rPr>
          <w:rFonts w:hint="eastAsia"/>
          <w:highlight w:val="none"/>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16"/>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5"/>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5"/>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7"/>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1）、我方技术代表联系人与联系方式如下：</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联系单位：装备技术公司.</w:t>
      </w:r>
      <w:r>
        <w:rPr>
          <w:rFonts w:hint="eastAsia" w:cs="宋体"/>
          <w:b w:val="0"/>
          <w:bCs w:val="0"/>
          <w:strike w:val="0"/>
          <w:dstrike w:val="0"/>
          <w:color w:val="0000FF"/>
          <w:kern w:val="0"/>
          <w:sz w:val="21"/>
          <w:szCs w:val="21"/>
          <w:highlight w:val="none"/>
          <w:lang w:val="en-US" w:eastAsia="zh-CN" w:bidi="ar-SA"/>
        </w:rPr>
        <w:t>设施优化</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服务中心</w:t>
      </w:r>
    </w:p>
    <w:p>
      <w:pPr>
        <w:pStyle w:val="7"/>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联系人：张海静、石美玉</w:t>
      </w:r>
    </w:p>
    <w:p>
      <w:pPr>
        <w:pStyle w:val="7"/>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联系电话：022-66911862、17526692252</w:t>
      </w:r>
    </w:p>
    <w:p>
      <w:pPr>
        <w:pStyle w:val="7"/>
        <w:ind w:left="415" w:leftChars="135" w:right="10" w:hanging="132" w:hangingChars="63"/>
        <w:rPr>
          <w:rFonts w:hint="eastAsia" w:cs="宋体"/>
          <w:color w:val="000000" w:themeColor="text1"/>
          <w:highlight w:val="none"/>
          <w:lang w:eastAsia="zh-CN"/>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color w:val="000000" w:themeColor="text1"/>
          <w:highlight w:val="none"/>
          <w:lang w:eastAsia="zh-CN"/>
          <w14:textFill>
            <w14:solidFill>
              <w14:schemeClr w14:val="tx1"/>
            </w14:solidFill>
          </w14:textFill>
        </w:rPr>
        <w:t>zhanghj3@cnooc.com.cn</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2）、我方商务代表联系人与联系方式如下：</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联系单位：中海油能源发展装备技术有限公司</w:t>
      </w:r>
    </w:p>
    <w:p>
      <w:pPr>
        <w:pStyle w:val="7"/>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联系人：刘娜</w:t>
      </w:r>
    </w:p>
    <w:p>
      <w:pPr>
        <w:pStyle w:val="7"/>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联系电话：022-66919032</w:t>
      </w:r>
    </w:p>
    <w:p>
      <w:pPr>
        <w:ind w:firstLine="298" w:firstLineChars="14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liuna@cnooc.com.cn</w:t>
      </w:r>
    </w:p>
    <w:p>
      <w:pPr>
        <w:rPr>
          <w:rFonts w:hint="eastAsia"/>
          <w:highlight w:val="none"/>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5"/>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2"/>
        <w:tblW w:w="5607" w:type="pct"/>
        <w:jc w:val="center"/>
        <w:tblLayout w:type="autofit"/>
        <w:tblCellMar>
          <w:top w:w="0" w:type="dxa"/>
          <w:left w:w="0" w:type="dxa"/>
          <w:bottom w:w="0" w:type="dxa"/>
          <w:right w:w="0" w:type="dxa"/>
        </w:tblCellMar>
      </w:tblPr>
      <w:tblGrid>
        <w:gridCol w:w="614"/>
        <w:gridCol w:w="537"/>
        <w:gridCol w:w="2295"/>
        <w:gridCol w:w="5880"/>
      </w:tblGrid>
      <w:tr>
        <w:tblPrEx>
          <w:tblCellMar>
            <w:top w:w="0" w:type="dxa"/>
            <w:left w:w="0" w:type="dxa"/>
            <w:bottom w:w="0" w:type="dxa"/>
            <w:right w:w="0" w:type="dxa"/>
          </w:tblCellMar>
        </w:tblPrEx>
        <w:trPr>
          <w:trHeight w:val="454" w:hRule="atLeast"/>
          <w:jc w:val="center"/>
        </w:trPr>
        <w:tc>
          <w:tcPr>
            <w:tcW w:w="617" w:type="pct"/>
            <w:gridSpan w:val="2"/>
            <w:tcBorders>
              <w:top w:val="single" w:color="000000" w:sz="4" w:space="0"/>
              <w:left w:val="single" w:color="000000" w:sz="4" w:space="0"/>
              <w:bottom w:val="single" w:color="000000" w:sz="4" w:space="0"/>
              <w:right w:val="single" w:color="000000" w:sz="4" w:space="0"/>
            </w:tcBorders>
            <w:vAlign w:val="center"/>
          </w:tcPr>
          <w:p>
            <w:pPr>
              <w:pStyle w:val="1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1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2" w:type="pct"/>
            <w:tcBorders>
              <w:top w:val="single" w:color="000000" w:sz="4" w:space="0"/>
              <w:left w:val="nil"/>
              <w:bottom w:val="single" w:color="000000" w:sz="4" w:space="0"/>
              <w:right w:val="single" w:color="000000" w:sz="4" w:space="0"/>
            </w:tcBorders>
            <w:vAlign w:val="center"/>
          </w:tcPr>
          <w:p>
            <w:pPr>
              <w:pStyle w:val="16"/>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29" w:type="pct"/>
            <w:vMerge w:val="restart"/>
            <w:tcBorders>
              <w:top w:val="nil"/>
              <w:left w:val="single" w:color="000000" w:sz="6" w:space="0"/>
              <w:right w:val="single" w:color="000000" w:sz="6"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8" w:type="pct"/>
            <w:vMerge w:val="restart"/>
            <w:tcBorders>
              <w:top w:val="nil"/>
              <w:left w:val="nil"/>
              <w:right w:val="single" w:color="000000" w:sz="6" w:space="0"/>
            </w:tcBorders>
            <w:textDirection w:val="tbRlV"/>
            <w:vAlign w:val="center"/>
          </w:tcPr>
          <w:p>
            <w:pPr>
              <w:pStyle w:val="16"/>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2" w:type="pct"/>
            <w:tcBorders>
              <w:top w:val="single" w:color="000000" w:sz="4" w:space="0"/>
              <w:left w:val="nil"/>
              <w:bottom w:val="single" w:color="000000" w:sz="4" w:space="0"/>
              <w:right w:val="single" w:color="000000" w:sz="4" w:space="0"/>
            </w:tcBorders>
            <w:vAlign w:val="center"/>
          </w:tcPr>
          <w:p>
            <w:pPr>
              <w:pStyle w:val="1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2" w:type="pct"/>
            <w:tcBorders>
              <w:top w:val="single" w:color="000000" w:sz="4" w:space="0"/>
              <w:left w:val="nil"/>
              <w:bottom w:val="nil"/>
              <w:right w:val="single" w:color="000000" w:sz="4" w:space="0"/>
            </w:tcBorders>
            <w:vAlign w:val="center"/>
          </w:tcPr>
          <w:p>
            <w:pPr>
              <w:pStyle w:val="1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2"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2" w:type="pct"/>
            <w:tcBorders>
              <w:top w:val="single" w:color="000000" w:sz="4" w:space="0"/>
              <w:left w:val="nil"/>
              <w:bottom w:val="single" w:color="000000" w:sz="4" w:space="0"/>
              <w:right w:val="single" w:color="000000" w:sz="4" w:space="0"/>
            </w:tcBorders>
            <w:vAlign w:val="center"/>
          </w:tcPr>
          <w:p>
            <w:pPr>
              <w:pStyle w:val="16"/>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 xml:space="preserve">报价截止之日起【 </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16"/>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2"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16"/>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专业资质（如涉及）</w:t>
            </w:r>
          </w:p>
        </w:tc>
        <w:tc>
          <w:tcPr>
            <w:tcW w:w="3152"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宋体"/>
                <w:color w:val="0000FF"/>
                <w:kern w:val="0"/>
                <w:szCs w:val="21"/>
                <w:highlight w:val="none"/>
                <w:lang w:val="en-US" w:eastAsia="zh-CN"/>
              </w:rPr>
              <w:t>仅制造商可投标</w:t>
            </w:r>
          </w:p>
        </w:tc>
      </w:tr>
      <w:tr>
        <w:tblPrEx>
          <w:tblCellMar>
            <w:top w:w="0" w:type="dxa"/>
            <w:left w:w="0" w:type="dxa"/>
            <w:bottom w:w="0" w:type="dxa"/>
            <w:right w:w="0" w:type="dxa"/>
          </w:tblCellMar>
        </w:tblPrEx>
        <w:trPr>
          <w:trHeight w:val="696"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16"/>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16"/>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16"/>
              <w:spacing w:line="300" w:lineRule="exact"/>
              <w:jc w:val="center"/>
              <w:rPr>
                <w:rFonts w:hint="default" w:ascii="仿宋" w:hAnsi="仿宋" w:eastAsia="仿宋" w:cs="仿宋"/>
                <w:color w:val="auto"/>
                <w:kern w:val="2"/>
                <w:sz w:val="21"/>
                <w:szCs w:val="21"/>
                <w:highlight w:val="none"/>
                <w:lang w:val="en-US" w:eastAsia="zh-CN" w:bidi="ar-SA"/>
              </w:rPr>
            </w:pPr>
          </w:p>
        </w:tc>
        <w:tc>
          <w:tcPr>
            <w:tcW w:w="3152" w:type="pct"/>
            <w:tcBorders>
              <w:top w:val="single" w:color="000000" w:sz="4" w:space="0"/>
              <w:left w:val="nil"/>
              <w:bottom w:val="single" w:color="auto" w:sz="4" w:space="0"/>
              <w:right w:val="single" w:color="000000" w:sz="4" w:space="0"/>
            </w:tcBorders>
            <w:vAlign w:val="center"/>
          </w:tcPr>
          <w:p>
            <w:pPr>
              <w:pStyle w:val="16"/>
              <w:jc w:val="both"/>
              <w:rPr>
                <w:rFonts w:hint="eastAsia"/>
                <w:highlight w:val="none"/>
                <w:lang w:val="en-US" w:eastAsia="zh-CN"/>
              </w:rPr>
            </w:pPr>
            <w:r>
              <w:rPr>
                <w:rFonts w:hint="eastAsia" w:ascii="仿宋" w:hAnsi="仿宋" w:eastAsia="仿宋" w:cs="仿宋"/>
                <w:color w:val="auto"/>
                <w:kern w:val="2"/>
                <w:sz w:val="21"/>
                <w:szCs w:val="21"/>
                <w:highlight w:val="none"/>
                <w:lang w:eastAsia="zh-CN"/>
              </w:rPr>
              <w:t>投标人应具备并提供有效期内的ISO9001 质量体系认证证书，且证书应在中国国家认证认可监督管理委员会网站(http://www.cnca.gov.cn)核实。</w:t>
            </w:r>
          </w:p>
        </w:tc>
      </w:tr>
      <w:tr>
        <w:tblPrEx>
          <w:tblCellMar>
            <w:top w:w="0" w:type="dxa"/>
            <w:left w:w="0" w:type="dxa"/>
            <w:bottom w:w="0" w:type="dxa"/>
            <w:right w:w="0" w:type="dxa"/>
          </w:tblCellMar>
        </w:tblPrEx>
        <w:trPr>
          <w:trHeight w:val="1427"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1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16"/>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2"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highlight w:val="none"/>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XX</w:t>
            </w:r>
            <w:r>
              <w:rPr>
                <w:rFonts w:hint="eastAsia" w:ascii="仿宋" w:hAnsi="仿宋" w:eastAsia="仿宋" w:cs="仿宋"/>
                <w:strike w:val="0"/>
                <w:dstrike w:val="0"/>
                <w:color w:val="auto"/>
                <w:sz w:val="21"/>
                <w:szCs w:val="21"/>
                <w:highlight w:val="none"/>
                <w:lang w:eastAsia="zh-CN"/>
              </w:rPr>
              <w:t>年（20**年*月*日-报价截止日前）内应答人或其法定代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auto"/>
                <w:sz w:val="21"/>
                <w:szCs w:val="21"/>
                <w:highlight w:val="none"/>
                <w:lang w:eastAsia="zh-CN"/>
              </w:rPr>
              <w:t>应答人应在应答文件中提供其公司章程或其他能够体现出资人、股东信息的法定文件，作为评标/评审时的</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1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16"/>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16"/>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pStyle w:val="1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1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16"/>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9" w:hRule="atLeast"/>
          <w:jc w:val="center"/>
        </w:trPr>
        <w:tc>
          <w:tcPr>
            <w:tcW w:w="329"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right w:val="single" w:color="000000" w:sz="4" w:space="0"/>
            </w:tcBorders>
            <w:vAlign w:val="center"/>
          </w:tcPr>
          <w:p>
            <w:pPr>
              <w:pStyle w:val="7"/>
              <w:tabs>
                <w:tab w:val="left" w:pos="770"/>
              </w:tabs>
              <w:ind w:left="0" w:leftChars="0" w:right="134" w:rightChars="0"/>
              <w:jc w:val="left"/>
            </w:pP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152" w:type="pct"/>
            <w:tcBorders>
              <w:top w:val="single" w:color="000000" w:sz="4" w:space="0"/>
              <w:left w:val="nil"/>
              <w:bottom w:val="single" w:color="000000" w:sz="4" w:space="0"/>
              <w:right w:val="single" w:color="000000" w:sz="4" w:space="0"/>
            </w:tcBorders>
            <w:vAlign w:val="center"/>
          </w:tcPr>
          <w:p>
            <w:pPr>
              <w:ind w:firstLine="0" w:firstLineChars="0"/>
            </w:pPr>
            <w:r>
              <w:rPr>
                <w:rFonts w:hint="eastAsia" w:ascii="仿宋" w:hAnsi="仿宋" w:eastAsia="仿宋" w:cs="宋体"/>
                <w:color w:val="0000FF"/>
                <w:kern w:val="0"/>
                <w:szCs w:val="21"/>
                <w:highlight w:val="none"/>
                <w:lang w:val="en-US" w:eastAsia="zh-CN"/>
              </w:rPr>
              <w:t>制造商需提供《制造商承诺书》</w:t>
            </w:r>
            <w:r>
              <w:rPr>
                <w:rFonts w:hint="eastAsia" w:ascii="仿宋" w:hAnsi="仿宋" w:eastAsia="仿宋" w:cs="仿宋"/>
                <w:color w:val="0000FF"/>
                <w:szCs w:val="21"/>
                <w:highlight w:val="none"/>
              </w:rPr>
              <w:t>；</w:t>
            </w:r>
          </w:p>
        </w:tc>
      </w:tr>
      <w:tr>
        <w:trPr>
          <w:trHeight w:val="1548" w:hRule="atLeast"/>
          <w:jc w:val="center"/>
        </w:trPr>
        <w:tc>
          <w:tcPr>
            <w:tcW w:w="329"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1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p>
          <w:p>
            <w:pPr>
              <w:pStyle w:val="1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无要求。</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16"/>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2" w:type="pct"/>
            <w:tcBorders>
              <w:top w:val="single" w:color="auto" w:sz="4" w:space="0"/>
              <w:left w:val="nil"/>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rPr>
                <w:rFonts w:hint="eastAsia" w:ascii="仿宋" w:hAnsi="仿宋" w:eastAsia="仿宋" w:cs="仿宋"/>
                <w:color w:val="0000FF"/>
                <w:kern w:val="0"/>
                <w:sz w:val="21"/>
                <w:szCs w:val="21"/>
                <w:highlight w:val="none"/>
                <w:lang w:val="en-US" w:eastAsia="zh-CN" w:bidi="ar-SA"/>
              </w:rPr>
            </w:pPr>
            <w:bookmarkStart w:id="105" w:name="_GoBack"/>
            <w:r>
              <w:rPr>
                <w:rFonts w:hint="eastAsia" w:ascii="仿宋" w:hAnsi="仿宋" w:eastAsia="仿宋" w:cs="仿宋"/>
                <w:color w:val="0000FF"/>
                <w:kern w:val="0"/>
                <w:sz w:val="21"/>
                <w:szCs w:val="21"/>
                <w:highlight w:val="none"/>
                <w:lang w:val="en-US" w:eastAsia="zh-CN" w:bidi="ar-SA"/>
              </w:rPr>
              <w:t>卖方在合同规定的期限内将货物运至交货地点，经买方验收合格后，卖方开具全额增值税专用发票，买方在收到发票后四十五（45）日内，支付全额货款。</w:t>
            </w:r>
          </w:p>
          <w:bookmarkEnd w:id="105"/>
          <w:p>
            <w:pPr>
              <w:pStyle w:val="6"/>
              <w:ind w:right="11"/>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16"/>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财务条件</w:t>
            </w:r>
          </w:p>
        </w:tc>
        <w:tc>
          <w:tcPr>
            <w:tcW w:w="3152" w:type="pct"/>
            <w:tcBorders>
              <w:top w:val="single" w:color="auto" w:sz="4" w:space="0"/>
              <w:left w:val="nil"/>
              <w:bottom w:val="nil"/>
              <w:right w:val="single" w:color="000000" w:sz="4" w:space="0"/>
            </w:tcBorders>
            <w:vAlign w:val="center"/>
          </w:tcPr>
          <w:p>
            <w:pPr>
              <w:pStyle w:val="6"/>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无要求</w:t>
            </w:r>
            <w:r>
              <w:rPr>
                <w:rFonts w:hint="eastAsia" w:ascii="仿宋" w:hAnsi="仿宋" w:eastAsia="仿宋" w:cs="仿宋"/>
                <w:bCs/>
                <w:color w:val="000000" w:themeColor="text1"/>
                <w:kern w:val="0"/>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rPr>
                <w:highlight w:val="none"/>
              </w:rPr>
            </w:pPr>
          </w:p>
        </w:tc>
        <w:tc>
          <w:tcPr>
            <w:tcW w:w="288" w:type="pct"/>
            <w:vMerge w:val="continue"/>
            <w:tcBorders>
              <w:left w:val="single" w:color="000000" w:sz="6" w:space="0"/>
              <w:right w:val="single" w:color="000000" w:sz="6" w:space="0"/>
            </w:tcBorders>
            <w:vAlign w:val="center"/>
          </w:tcPr>
          <w:p>
            <w:pPr>
              <w:rPr>
                <w:highlight w:val="none"/>
              </w:rPr>
            </w:p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default" w:eastAsiaTheme="minorEastAsia"/>
                <w:highlight w:val="none"/>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送货地址</w:t>
            </w:r>
          </w:p>
        </w:tc>
        <w:tc>
          <w:tcPr>
            <w:tcW w:w="315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highlight w:val="none"/>
              </w:rPr>
            </w:pPr>
            <w:r>
              <w:rPr>
                <w:rFonts w:hint="eastAsia" w:ascii="仿宋" w:hAnsi="仿宋" w:eastAsia="仿宋" w:cs="仿宋"/>
                <w:bCs/>
                <w:color w:val="0000FF"/>
                <w:kern w:val="0"/>
                <w:sz w:val="21"/>
                <w:szCs w:val="21"/>
                <w:highlight w:val="none"/>
                <w:lang w:val="en-GB" w:eastAsia="zh-CN" w:bidi="ar-SA"/>
              </w:rPr>
              <w:t>滨海新区内</w:t>
            </w:r>
            <w:r>
              <w:rPr>
                <w:rFonts w:hint="eastAsia" w:ascii="仿宋" w:hAnsi="仿宋" w:eastAsia="仿宋" w:cs="仿宋"/>
                <w:bCs/>
                <w:color w:val="0000FF"/>
                <w:kern w:val="0"/>
                <w:sz w:val="21"/>
                <w:szCs w:val="21"/>
                <w:highlight w:val="none"/>
                <w:lang w:val="en-US" w:eastAsia="zh-CN" w:bidi="ar-SA"/>
              </w:rPr>
              <w:t>塘沽区渤海石油路688号设施中心三号码头（详见附件2）</w:t>
            </w:r>
            <w:r>
              <w:rPr>
                <w:rFonts w:hint="eastAsia" w:ascii="仿宋" w:hAnsi="仿宋" w:eastAsia="仿宋" w:cs="仿宋"/>
                <w:bCs/>
                <w:color w:val="0000FF"/>
                <w:kern w:val="0"/>
                <w:sz w:val="21"/>
                <w:szCs w:val="21"/>
                <w:highlight w:val="none"/>
                <w:lang w:val="en-GB" w:eastAsia="zh-CN" w:bidi="ar-SA"/>
              </w:rPr>
              <w:t>。</w:t>
            </w:r>
          </w:p>
        </w:tc>
      </w:tr>
      <w:tr>
        <w:tblPrEx>
          <w:tblCellMar>
            <w:top w:w="0" w:type="dxa"/>
            <w:left w:w="0" w:type="dxa"/>
            <w:bottom w:w="0" w:type="dxa"/>
            <w:right w:w="0" w:type="dxa"/>
          </w:tblCellMar>
        </w:tblPrEx>
        <w:trPr>
          <w:trHeight w:val="454" w:hRule="atLeast"/>
          <w:jc w:val="center"/>
        </w:trPr>
        <w:tc>
          <w:tcPr>
            <w:tcW w:w="329"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16"/>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2" w:type="pct"/>
            <w:tcBorders>
              <w:top w:val="single" w:color="000000" w:sz="4" w:space="0"/>
              <w:left w:val="nil"/>
              <w:bottom w:val="single" w:color="000000" w:sz="4" w:space="0"/>
              <w:right w:val="single" w:color="000000" w:sz="4" w:space="0"/>
            </w:tcBorders>
            <w:vAlign w:val="center"/>
          </w:tcPr>
          <w:p>
            <w:pPr>
              <w:pStyle w:val="16"/>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16"/>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16"/>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29" w:type="pct"/>
            <w:vMerge w:val="restart"/>
            <w:tcBorders>
              <w:top w:val="single" w:color="auto" w:sz="4" w:space="0"/>
              <w:left w:val="single" w:color="auto" w:sz="4" w:space="0"/>
              <w:bottom w:val="single" w:color="auto" w:sz="4" w:space="0"/>
              <w:right w:val="single" w:color="auto" w:sz="4" w:space="0"/>
            </w:tcBorders>
            <w:vAlign w:val="center"/>
          </w:tcPr>
          <w:p>
            <w:pPr>
              <w:pStyle w:val="16"/>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8"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1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 w:val="0"/>
                <w:bCs/>
                <w:cap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caps w:val="0"/>
                <w:color w:val="000000" w:themeColor="text1"/>
                <w:kern w:val="0"/>
                <w:sz w:val="21"/>
                <w:szCs w:val="21"/>
                <w:highlight w:val="none"/>
                <w:lang w:val="en-US" w:eastAsia="zh-CN" w:bidi="ar-SA"/>
                <w14:textFill>
                  <w14:solidFill>
                    <w14:schemeClr w14:val="tx1"/>
                  </w14:solidFill>
                </w14:textFill>
              </w:rPr>
              <w:t>★认证证书</w:t>
            </w:r>
          </w:p>
        </w:tc>
        <w:tc>
          <w:tcPr>
            <w:tcW w:w="3152" w:type="pct"/>
            <w:tcBorders>
              <w:top w:val="single" w:color="000000" w:sz="4" w:space="0"/>
              <w:left w:val="single" w:color="auto" w:sz="4" w:space="0"/>
              <w:bottom w:val="single" w:color="000000" w:sz="4" w:space="0"/>
              <w:right w:val="single" w:color="000000" w:sz="4" w:space="0"/>
            </w:tcBorders>
            <w:vAlign w:val="center"/>
          </w:tcPr>
          <w:p>
            <w:pPr>
              <w:pStyle w:val="28"/>
              <w:numPr>
                <w:ilvl w:val="0"/>
                <w:numId w:val="0"/>
              </w:numPr>
              <w:spacing w:line="480" w:lineRule="exact"/>
              <w:jc w:val="left"/>
              <w:rPr>
                <w:rFonts w:hint="default" w:ascii="仿宋" w:hAnsi="仿宋" w:eastAsia="仿宋" w:cs="仿宋"/>
                <w:b w:val="0"/>
                <w:bCs/>
                <w:caps w:val="0"/>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b w:val="0"/>
                <w:bCs/>
                <w:caps w:val="0"/>
                <w:color w:val="000000" w:themeColor="text1"/>
                <w:kern w:val="0"/>
                <w:sz w:val="21"/>
                <w:szCs w:val="21"/>
                <w:highlight w:val="none"/>
                <w:lang w:val="en-US" w:eastAsia="zh-CN" w:bidi="ar-SA"/>
                <w14:textFill>
                  <w14:solidFill>
                    <w14:schemeClr w14:val="tx1"/>
                  </w14:solidFill>
                </w14:textFill>
              </w:rPr>
              <w:t>如涉及，投标人交货时提供设备的整体船检证书及其他必要的证书，防爆部件（如涉及）的防爆合格证、CCC认证、船检证书等。船检认证机构可为中国海洋石油作业安全办公室（COOOSO）认可的以下任何一家CCS、DNV、ABS、BV。如第三方船检证书为CCS，则需取得CCS船级社的海上固定设施产品检验证书（非船用产品证书），船检证书上需标注按照“国家经贸委《海上固定平台安全规则》 2000”标准进行取证并具有图纸批准号，具体按照附件2要求提供。</w:t>
            </w:r>
          </w:p>
          <w:p>
            <w:pPr>
              <w:ind w:left="105" w:leftChars="50"/>
              <w:jc w:val="both"/>
              <w:rPr>
                <w:rFonts w:hint="eastAsia" w:ascii="仿宋" w:hAnsi="仿宋" w:eastAsia="仿宋" w:cs="仿宋"/>
                <w:b w:val="0"/>
                <w:bCs/>
                <w:caps w:val="0"/>
                <w:color w:val="000000" w:themeColor="text1"/>
                <w:kern w:val="0"/>
                <w:sz w:val="21"/>
                <w:szCs w:val="21"/>
                <w:highlight w:val="none"/>
                <w:lang w:val="en-US" w:eastAsia="zh-CN" w:bidi="ar-SA"/>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2"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auto"/>
                <w:kern w:val="0"/>
                <w:szCs w:val="21"/>
                <w:highlight w:val="none"/>
                <w:lang w:val="en-US" w:eastAsia="zh-CN"/>
              </w:rPr>
              <w:t>合同签订后</w:t>
            </w:r>
            <w:r>
              <w:rPr>
                <w:rFonts w:hint="eastAsia" w:ascii="仿宋" w:hAnsi="仿宋" w:eastAsia="仿宋" w:cs="仿宋"/>
                <w:bCs/>
                <w:color w:val="0000FF"/>
                <w:kern w:val="0"/>
                <w:sz w:val="21"/>
                <w:szCs w:val="21"/>
                <w:highlight w:val="none"/>
                <w:lang w:val="en-US" w:eastAsia="zh-CN" w:bidi="ar-SA"/>
              </w:rPr>
              <w:t>30</w:t>
            </w:r>
            <w:r>
              <w:rPr>
                <w:rFonts w:hint="eastAsia" w:ascii="仿宋" w:hAnsi="仿宋" w:eastAsia="仿宋" w:cs="仿宋"/>
                <w:bCs/>
                <w:color w:val="auto"/>
                <w:kern w:val="0"/>
                <w:szCs w:val="21"/>
                <w:highlight w:val="none"/>
                <w:lang w:val="en-US" w:eastAsia="zh-CN"/>
              </w:rPr>
              <w:t>天内交货</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技术调试人员</w:t>
            </w:r>
          </w:p>
        </w:tc>
        <w:tc>
          <w:tcPr>
            <w:tcW w:w="3152" w:type="pct"/>
            <w:tcBorders>
              <w:top w:val="single" w:color="000000" w:sz="4" w:space="0"/>
              <w:left w:val="single" w:color="auto" w:sz="4" w:space="0"/>
              <w:bottom w:val="single" w:color="000000" w:sz="4" w:space="0"/>
              <w:right w:val="single" w:color="000000" w:sz="4" w:space="0"/>
            </w:tcBorders>
            <w:vAlign w:val="center"/>
          </w:tcPr>
          <w:p>
            <w:pPr>
              <w:pStyle w:val="7"/>
              <w:spacing w:after="0" w:line="360" w:lineRule="auto"/>
              <w:ind w:left="0" w:leftChars="0" w:right="125" w:firstLine="0" w:firstLineChars="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FF"/>
                <w:kern w:val="0"/>
                <w:sz w:val="21"/>
                <w:szCs w:val="21"/>
                <w:highlight w:val="none"/>
                <w:lang w:val="en-US" w:eastAsia="zh-CN" w:bidi="ar-SA"/>
              </w:rPr>
              <w:t>需按照技术要求书进行购买并配合需求方完成组装及初步调试。如涉及，供货时由投标人自费派遣至少1名身体健康、有经验的技术人员到施工现场指导安装、调试技术服务，具体按照附件2要求提供服务。</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质保期</w:t>
            </w:r>
          </w:p>
        </w:tc>
        <w:tc>
          <w:tcPr>
            <w:tcW w:w="3152"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FF"/>
                <w:kern w:val="0"/>
                <w:szCs w:val="21"/>
                <w:highlight w:val="none"/>
                <w:lang w:val="en-US" w:eastAsia="zh-CN"/>
              </w:rPr>
              <w:t>完工报告签署之日起12个月。</w:t>
            </w:r>
          </w:p>
        </w:tc>
      </w:tr>
      <w:tr>
        <w:tblPrEx>
          <w:tblCellMar>
            <w:top w:w="0" w:type="dxa"/>
            <w:left w:w="0" w:type="dxa"/>
            <w:bottom w:w="0" w:type="dxa"/>
            <w:right w:w="0" w:type="dxa"/>
          </w:tblCellMar>
        </w:tblPrEx>
        <w:trPr>
          <w:trHeight w:val="454" w:hRule="atLeast"/>
          <w:jc w:val="center"/>
        </w:trPr>
        <w:tc>
          <w:tcPr>
            <w:tcW w:w="329"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6"/>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2" w:type="pct"/>
            <w:tcBorders>
              <w:top w:val="single" w:color="000000" w:sz="4" w:space="0"/>
              <w:left w:val="single" w:color="auto" w:sz="4" w:space="0"/>
              <w:bottom w:val="single" w:color="000000" w:sz="4" w:space="0"/>
              <w:right w:val="single" w:color="000000" w:sz="4" w:space="0"/>
            </w:tcBorders>
            <w:vAlign w:val="center"/>
          </w:tcPr>
          <w:p>
            <w:pPr>
              <w:pStyle w:val="16"/>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5"/>
              <w:ind w:left="0" w:leftChars="0" w:firstLine="0" w:firstLineChars="0"/>
              <w:rPr>
                <w:rFonts w:hint="default"/>
                <w:highlight w:val="none"/>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29" w:type="pct"/>
            <w:tcBorders>
              <w:top w:val="single" w:color="auto" w:sz="4" w:space="0"/>
              <w:left w:val="single" w:color="auto" w:sz="4" w:space="0"/>
              <w:bottom w:val="single" w:color="auto" w:sz="4" w:space="0"/>
              <w:right w:val="single" w:color="auto" w:sz="4" w:space="0"/>
            </w:tcBorders>
            <w:vAlign w:val="center"/>
          </w:tcPr>
          <w:p>
            <w:pPr>
              <w:pStyle w:val="1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pPr>
              <w:pStyle w:val="1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1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16"/>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16"/>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2"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2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16"/>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16"/>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宋体"/>
                <w:color w:val="0000FF"/>
                <w:kern w:val="0"/>
                <w:szCs w:val="21"/>
                <w:highlight w:val="none"/>
                <w:lang w:val="en-US" w:eastAsia="zh-CN"/>
              </w:rPr>
              <w:t xml:space="preserve">仅制造商可投标，详见附件2 ：采购内容及技术要求 </w:t>
            </w:r>
          </w:p>
        </w:tc>
      </w:tr>
    </w:tbl>
    <w:p>
      <w:pPr>
        <w:rPr>
          <w:highlight w:val="none"/>
        </w:rPr>
      </w:pPr>
    </w:p>
    <w:p>
      <w:pPr>
        <w:pStyle w:val="5"/>
        <w:rPr>
          <w:highlight w:val="non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宋体" w:hAnsi="宋体" w:eastAsia="宋体" w:cs="宋体"/>
          <w:color w:val="auto"/>
          <w:sz w:val="21"/>
          <w:szCs w:val="21"/>
          <w:highlight w:val="none"/>
          <w:lang w:eastAsia="zh-CN"/>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r>
        <w:rPr>
          <w:rFonts w:hint="eastAsia" w:ascii="宋体" w:hAnsi="宋体" w:eastAsia="宋体" w:cs="宋体"/>
          <w:color w:val="auto"/>
          <w:sz w:val="21"/>
          <w:szCs w:val="21"/>
          <w:highlight w:val="none"/>
          <w:lang w:eastAsia="zh-CN"/>
        </w:rPr>
        <w:t xml:space="preserve"> </w:t>
      </w:r>
    </w:p>
    <w:p>
      <w:pPr>
        <w:widowControl w:val="0"/>
        <w:tabs>
          <w:tab w:val="center" w:pos="4153"/>
          <w:tab w:val="right" w:pos="8306"/>
        </w:tabs>
        <w:snapToGrid w:val="0"/>
        <w:rPr>
          <w:rFonts w:hint="eastAsia" w:ascii="宋体" w:hAnsi="宋体" w:eastAsia="宋体" w:cs="宋体"/>
          <w:color w:val="auto"/>
          <w:sz w:val="21"/>
          <w:szCs w:val="21"/>
          <w:highlight w:val="none"/>
          <w:lang w:val="en-US" w:eastAsia="zh-CN" w:bidi="ar-SA"/>
        </w:rPr>
      </w:pPr>
    </w:p>
    <w:p>
      <w:pPr>
        <w:pStyle w:val="7"/>
        <w:spacing w:line="360" w:lineRule="auto"/>
        <w:ind w:right="115" w:rightChars="55" w:firstLine="48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本次采办主要针对浅水集成式水下生产设施及配套关键技术研究项目水下液压控制云台的采办工作。</w:t>
      </w:r>
    </w:p>
    <w:p>
      <w:pPr>
        <w:pStyle w:val="4"/>
        <w:numPr>
          <w:ilvl w:val="0"/>
          <w:numId w:val="2"/>
        </w:numPr>
        <w:spacing w:line="360" w:lineRule="auto"/>
        <w:ind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需求一览表</w:t>
      </w:r>
    </w:p>
    <w:p>
      <w:pPr>
        <w:pStyle w:val="7"/>
        <w:spacing w:line="360" w:lineRule="auto"/>
        <w:ind w:right="115" w:rightChars="55"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浅水集成式水下生产设施及配套关键技术研究项目水下液压控制云台具体技术参数如下：</w:t>
      </w:r>
    </w:p>
    <w:tbl>
      <w:tblPr>
        <w:tblStyle w:val="12"/>
        <w:tblW w:w="496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5"/>
        <w:gridCol w:w="6337"/>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99" w:type="pct"/>
            <w:shd w:val="clear" w:color="auto" w:fill="auto"/>
            <w:vAlign w:val="center"/>
          </w:tcPr>
          <w:p>
            <w:pPr>
              <w:snapToGrid w:val="0"/>
              <w:spacing w:before="156"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名称</w:t>
            </w:r>
          </w:p>
        </w:tc>
        <w:tc>
          <w:tcPr>
            <w:tcW w:w="3742" w:type="pct"/>
            <w:shd w:val="clear" w:color="auto" w:fill="auto"/>
            <w:vAlign w:val="center"/>
          </w:tcPr>
          <w:p>
            <w:pPr>
              <w:snapToGrid w:val="0"/>
              <w:spacing w:before="156"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型号/规格</w:t>
            </w:r>
          </w:p>
        </w:tc>
        <w:tc>
          <w:tcPr>
            <w:tcW w:w="758" w:type="pct"/>
          </w:tcPr>
          <w:p>
            <w:pPr>
              <w:snapToGrid w:val="0"/>
              <w:spacing w:before="156" w:beforeLines="50"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数量及单位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5" w:hRule="atLeast"/>
          <w:jc w:val="center"/>
        </w:trPr>
        <w:tc>
          <w:tcPr>
            <w:tcW w:w="499" w:type="pct"/>
            <w:shd w:val="clear" w:color="auto" w:fill="auto"/>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水下液压控制云台</w:t>
            </w:r>
          </w:p>
        </w:tc>
        <w:tc>
          <w:tcPr>
            <w:tcW w:w="3742" w:type="pct"/>
            <w:shd w:val="clear" w:color="auto" w:fill="auto"/>
            <w:vAlign w:val="center"/>
          </w:tcPr>
          <w:p>
            <w:pPr>
              <w:numPr>
                <w:ilvl w:val="0"/>
                <w:numId w:val="3"/>
              </w:num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二自由度水下液压云台性能参数：</w:t>
            </w:r>
          </w:p>
          <w:p>
            <w:pPr>
              <w:numPr>
                <w:ilvl w:val="0"/>
                <w:numId w:val="0"/>
              </w:num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运动轴：偏航轴（Yaw）、横滚轴（Roll）/俯仰轴（Pitch）</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主要材料： 铝合金和不锈钢</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工作压力：1500~3000psi</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密封材料：丁腈、改性 PTFE</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偏航回转范围：±180°</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横滚/俯仰回转范围：±180°</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偏航最大旋转扭矩：≥50Nm</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横滚最大摆动扭矩：≥50Nm</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最大负载：≥10kg</w:t>
            </w:r>
          </w:p>
          <w:p>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工作水深：≥100m</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工作油温度：5~50℃（标准 32 号矿物质油）</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存储温度：-10~60℃</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2.配件应包括 ： 5 根油管</w:t>
            </w:r>
          </w:p>
          <w:p>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3.消耗品包括 ：牺牲阳极块</w:t>
            </w:r>
          </w:p>
        </w:tc>
        <w:tc>
          <w:tcPr>
            <w:tcW w:w="758" w:type="pct"/>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2套</w:t>
            </w:r>
          </w:p>
        </w:tc>
      </w:tr>
    </w:tbl>
    <w:p>
      <w:pPr>
        <w:pStyle w:val="5"/>
        <w:rPr>
          <w:rFonts w:hint="eastAsia" w:ascii="宋体" w:hAnsi="宋体" w:eastAsia="宋体" w:cs="宋体"/>
          <w:color w:val="auto"/>
          <w:kern w:val="2"/>
          <w:sz w:val="21"/>
          <w:szCs w:val="21"/>
          <w:highlight w:val="none"/>
          <w:lang w:val="en-US" w:eastAsia="zh-CN" w:bidi="ar-SA"/>
        </w:rPr>
      </w:pPr>
    </w:p>
    <w:p>
      <w:pPr>
        <w:pStyle w:val="4"/>
        <w:numPr>
          <w:ilvl w:val="0"/>
          <w:numId w:val="2"/>
        </w:numPr>
        <w:spacing w:line="360" w:lineRule="auto"/>
        <w:ind w:firstLine="0"/>
        <w:rPr>
          <w:rFonts w:hint="eastAsia" w:ascii="宋体" w:hAnsi="宋体" w:eastAsia="宋体" w:cs="宋体"/>
          <w:color w:val="auto"/>
          <w:kern w:val="2"/>
          <w:sz w:val="21"/>
          <w:szCs w:val="21"/>
          <w:highlight w:val="none"/>
          <w:lang w:val="en-US" w:eastAsia="zh-CN" w:bidi="ar-SA"/>
        </w:rPr>
      </w:pPr>
      <w:bookmarkStart w:id="0" w:name="_Toc13249326"/>
      <w:bookmarkStart w:id="1" w:name="_Toc13248929"/>
      <w:r>
        <w:rPr>
          <w:rFonts w:hint="eastAsia" w:ascii="宋体" w:hAnsi="宋体" w:eastAsia="宋体" w:cs="宋体"/>
          <w:color w:val="auto"/>
          <w:kern w:val="2"/>
          <w:sz w:val="21"/>
          <w:szCs w:val="21"/>
          <w:highlight w:val="none"/>
          <w:lang w:val="en-US" w:eastAsia="zh-CN" w:bidi="ar-SA"/>
        </w:rPr>
        <w:t>水下液压控制云台技术要求</w:t>
      </w:r>
    </w:p>
    <w:p>
      <w:pPr>
        <w:pStyle w:val="20"/>
        <w:numPr>
          <w:ilvl w:val="0"/>
          <w:numId w:val="4"/>
        </w:numPr>
        <w:spacing w:line="360" w:lineRule="auto"/>
        <w:ind w:left="357" w:hanging="35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尺寸要求：</w:t>
      </w:r>
    </w:p>
    <w:p>
      <w:pPr>
        <w:pStyle w:val="20"/>
        <w:numPr>
          <w:ilvl w:val="0"/>
          <w:numId w:val="0"/>
        </w:numPr>
        <w:spacing w:line="360" w:lineRule="auto"/>
        <w:ind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为避免与使用空间内其他设备发生干涉，云台尺寸应满足安装空间要求，最大外形尺寸见下图：</w:t>
      </w:r>
    </w:p>
    <w:p>
      <w:pPr>
        <w:pStyle w:val="20"/>
        <w:numPr>
          <w:ilvl w:val="0"/>
          <w:numId w:val="0"/>
        </w:numPr>
        <w:spacing w:line="360" w:lineRule="auto"/>
        <w:ind w:left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drawing>
          <wp:inline distT="0" distB="0" distL="114300" distR="114300">
            <wp:extent cx="2750185" cy="2477770"/>
            <wp:effectExtent l="9525" t="9525" r="21590" b="2730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2750185" cy="2477770"/>
                    </a:xfrm>
                    <a:prstGeom prst="rect">
                      <a:avLst/>
                    </a:prstGeom>
                    <a:ln>
                      <a:solidFill>
                        <a:schemeClr val="bg1">
                          <a:lumMod val="75000"/>
                        </a:schemeClr>
                      </a:solidFill>
                    </a:ln>
                  </pic:spPr>
                </pic:pic>
              </a:graphicData>
            </a:graphic>
          </wp:inline>
        </w:drawing>
      </w:r>
      <w:r>
        <w:rPr>
          <w:rFonts w:hint="default" w:ascii="宋体" w:hAnsi="宋体" w:eastAsia="宋体" w:cs="宋体"/>
          <w:color w:val="auto"/>
          <w:kern w:val="2"/>
          <w:sz w:val="21"/>
          <w:szCs w:val="21"/>
          <w:highlight w:val="none"/>
          <w:lang w:val="en-US" w:eastAsia="zh-CN" w:bidi="ar-SA"/>
        </w:rPr>
        <w:drawing>
          <wp:inline distT="0" distB="0" distL="114300" distR="114300">
            <wp:extent cx="2326005" cy="2505075"/>
            <wp:effectExtent l="9525" t="9525" r="26670" b="1905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a:stretch>
                      <a:fillRect/>
                    </a:stretch>
                  </pic:blipFill>
                  <pic:spPr>
                    <a:xfrm>
                      <a:off x="0" y="0"/>
                      <a:ext cx="2326005" cy="2505075"/>
                    </a:xfrm>
                    <a:prstGeom prst="rect">
                      <a:avLst/>
                    </a:prstGeom>
                    <a:ln>
                      <a:solidFill>
                        <a:schemeClr val="bg1">
                          <a:lumMod val="75000"/>
                        </a:schemeClr>
                      </a:solidFill>
                    </a:ln>
                  </pic:spPr>
                </pic:pic>
              </a:graphicData>
            </a:graphic>
          </wp:inline>
        </w:drawing>
      </w:r>
    </w:p>
    <w:p>
      <w:pPr>
        <w:pStyle w:val="20"/>
        <w:numPr>
          <w:ilvl w:val="0"/>
          <w:numId w:val="4"/>
        </w:numPr>
        <w:spacing w:line="360" w:lineRule="auto"/>
        <w:ind w:left="357" w:leftChars="0" w:hanging="357"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安装要求：</w:t>
      </w:r>
    </w:p>
    <w:p>
      <w:pPr>
        <w:pStyle w:val="20"/>
        <w:numPr>
          <w:ilvl w:val="0"/>
          <w:numId w:val="0"/>
        </w:numPr>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云台需通过 2 颗 M8 的螺钉与安装平台进行连接，安装固定位置尺寸见下图：</w:t>
      </w:r>
    </w:p>
    <w:p>
      <w:pPr>
        <w:pStyle w:val="20"/>
        <w:numPr>
          <w:ilvl w:val="0"/>
          <w:numId w:val="0"/>
        </w:numPr>
        <w:spacing w:line="360" w:lineRule="auto"/>
        <w:rPr>
          <w:rFonts w:hint="eastAsia"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drawing>
          <wp:inline distT="0" distB="0" distL="114300" distR="114300">
            <wp:extent cx="4780915" cy="2259965"/>
            <wp:effectExtent l="12700" t="12700" r="26035" b="1333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
                    <a:stretch>
                      <a:fillRect/>
                    </a:stretch>
                  </pic:blipFill>
                  <pic:spPr>
                    <a:xfrm>
                      <a:off x="0" y="0"/>
                      <a:ext cx="4780915" cy="2259965"/>
                    </a:xfrm>
                    <a:prstGeom prst="rect">
                      <a:avLst/>
                    </a:prstGeom>
                    <a:ln w="12700">
                      <a:solidFill>
                        <a:schemeClr val="bg1">
                          <a:lumMod val="75000"/>
                        </a:schemeClr>
                      </a:solidFill>
                    </a:ln>
                  </pic:spPr>
                </pic:pic>
              </a:graphicData>
            </a:graphic>
          </wp:inline>
        </w:drawing>
      </w:r>
    </w:p>
    <w:p>
      <w:pPr>
        <w:pStyle w:val="20"/>
        <w:numPr>
          <w:ilvl w:val="0"/>
          <w:numId w:val="4"/>
        </w:numPr>
        <w:spacing w:line="360" w:lineRule="auto"/>
        <w:ind w:left="357" w:leftChars="0" w:hanging="357"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控制要求：</w:t>
      </w:r>
    </w:p>
    <w:p>
      <w:pPr>
        <w:pStyle w:val="20"/>
        <w:numPr>
          <w:ilvl w:val="0"/>
          <w:numId w:val="0"/>
        </w:num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油路连接共需 5 个，其中 2 个为偏航回转油口，2 个为横滚/俯仰回转油口，1 个为补偿油口。连接方式如下图所示。油路接头采用 SAE 3#油口，37°</w:t>
      </w:r>
    </w:p>
    <w:p>
      <w:pPr>
        <w:pStyle w:val="20"/>
        <w:numPr>
          <w:ilvl w:val="0"/>
          <w:numId w:val="0"/>
        </w:num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锥口，螺纹UNF3/8-24。管路公称通径3/16 英寸（4.76mm）。</w:t>
      </w:r>
    </w:p>
    <w:p>
      <w:pPr>
        <w:pStyle w:val="20"/>
        <w:numPr>
          <w:ilvl w:val="0"/>
          <w:numId w:val="0"/>
        </w:numPr>
        <w:spacing w:line="360" w:lineRule="auto"/>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drawing>
          <wp:inline distT="0" distB="0" distL="114300" distR="114300">
            <wp:extent cx="5129530" cy="1656080"/>
            <wp:effectExtent l="9525" t="9525" r="23495" b="10795"/>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9"/>
                    <a:stretch>
                      <a:fillRect/>
                    </a:stretch>
                  </pic:blipFill>
                  <pic:spPr>
                    <a:xfrm>
                      <a:off x="0" y="0"/>
                      <a:ext cx="5129530" cy="1656080"/>
                    </a:xfrm>
                    <a:prstGeom prst="rect">
                      <a:avLst/>
                    </a:prstGeom>
                    <a:ln>
                      <a:solidFill>
                        <a:schemeClr val="bg1">
                          <a:lumMod val="75000"/>
                        </a:schemeClr>
                      </a:solidFill>
                    </a:ln>
                  </pic:spPr>
                </pic:pic>
              </a:graphicData>
            </a:graphic>
          </wp:inline>
        </w:drawing>
      </w:r>
    </w:p>
    <w:p>
      <w:pPr>
        <w:pStyle w:val="20"/>
        <w:spacing w:line="360" w:lineRule="auto"/>
        <w:ind w:left="357" w:firstLine="0" w:firstLineChars="0"/>
        <w:rPr>
          <w:rFonts w:hint="eastAsia" w:ascii="宋体" w:hAnsi="宋体" w:eastAsia="宋体" w:cs="宋体"/>
          <w:color w:val="auto"/>
          <w:kern w:val="2"/>
          <w:sz w:val="21"/>
          <w:szCs w:val="21"/>
          <w:highlight w:val="none"/>
          <w:lang w:val="en-US" w:eastAsia="zh-CN" w:bidi="ar-SA"/>
        </w:rPr>
      </w:pPr>
    </w:p>
    <w:p>
      <w:pPr>
        <w:pStyle w:val="4"/>
        <w:numPr>
          <w:ilvl w:val="0"/>
          <w:numId w:val="2"/>
        </w:numPr>
        <w:spacing w:line="360" w:lineRule="auto"/>
        <w:ind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执行标准/规范</w:t>
      </w:r>
    </w:p>
    <w:p>
      <w:pPr>
        <w:pStyle w:val="20"/>
        <w:numPr>
          <w:ilvl w:val="0"/>
          <w:numId w:val="0"/>
        </w:num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GB/T 36896.4-2018《轻型有缆遥控水下机器人—第4部分：摄像、照明与云台》。</w:t>
      </w:r>
    </w:p>
    <w:p>
      <w:pPr>
        <w:pStyle w:val="4"/>
        <w:numPr>
          <w:ilvl w:val="0"/>
          <w:numId w:val="2"/>
        </w:numPr>
        <w:spacing w:line="360" w:lineRule="auto"/>
        <w:ind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设计/使用条件</w:t>
      </w:r>
    </w:p>
    <w:p>
      <w:pPr>
        <w:pStyle w:val="7"/>
        <w:spacing w:after="0" w:line="360" w:lineRule="auto"/>
        <w:ind w:right="125"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1.设计要求：需按照技术要求书进行购买并配合需求方完成组装及初步调试。</w:t>
      </w:r>
    </w:p>
    <w:p>
      <w:pPr>
        <w:pStyle w:val="7"/>
        <w:spacing w:line="360" w:lineRule="auto"/>
        <w:ind w:right="125" w:firstLine="48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2.到货/安装地点：三号码头。</w:t>
      </w:r>
    </w:p>
    <w:bookmarkEnd w:id="0"/>
    <w:bookmarkEnd w:id="1"/>
    <w:p>
      <w:pPr>
        <w:pStyle w:val="4"/>
        <w:numPr>
          <w:ilvl w:val="0"/>
          <w:numId w:val="2"/>
        </w:numPr>
        <w:spacing w:line="360" w:lineRule="auto"/>
        <w:ind w:firstLine="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服务要求</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1.所供产品/设备要求：</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水下液压控制云台供货时应提供相应全套详细资料，并需提供合格证或第三方认证证书等；</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安装及测试时需与设计方及需求方保持技术沟通。</w:t>
      </w:r>
    </w:p>
    <w:p>
      <w:pPr>
        <w:pStyle w:val="4"/>
        <w:numPr>
          <w:ilvl w:val="0"/>
          <w:numId w:val="2"/>
        </w:numPr>
        <w:spacing w:line="360" w:lineRule="auto"/>
        <w:ind w:firstLine="0"/>
        <w:rPr>
          <w:rFonts w:hint="eastAsia" w:ascii="宋体" w:hAnsi="宋体" w:eastAsia="宋体" w:cs="宋体"/>
          <w:color w:val="auto"/>
          <w:kern w:val="2"/>
          <w:sz w:val="21"/>
          <w:szCs w:val="21"/>
          <w:highlight w:val="none"/>
          <w:lang w:val="en-US" w:eastAsia="zh-CN" w:bidi="ar-SA"/>
        </w:rPr>
      </w:pPr>
      <w:bookmarkStart w:id="2" w:name="_Toc247"/>
      <w:r>
        <w:rPr>
          <w:rFonts w:hint="eastAsia" w:ascii="宋体" w:hAnsi="宋体" w:eastAsia="宋体" w:cs="宋体"/>
          <w:color w:val="auto"/>
          <w:kern w:val="2"/>
          <w:sz w:val="21"/>
          <w:szCs w:val="21"/>
          <w:highlight w:val="none"/>
          <w:lang w:val="en-US" w:eastAsia="zh-CN" w:bidi="ar-SA"/>
        </w:rPr>
        <w:t>质量保证</w:t>
      </w:r>
      <w:bookmarkEnd w:id="2"/>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1、质保期内甲乙方各自具体责任：</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质保期及质保金要求：质保期为甲乙双方完工报告签署之日起12个月。</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乙方承诺，其任何工作和交付的工作成果符合本合同技术文件、法律法规、行业标准和规范的要求，且不存在任何缺陷；</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果乙方完成的工作或提交的工作成果在质保期内出现任何质量保证范围内的问题，甲方应及时通知乙方，乙方应在收到通知3日内予以回复，并在甲方要求的合理时间内委派人员进行修复或重新实施相关工作（整改工作），直至消除缺陷。整改后工作的质保期自修复或重新实施之日起重新计算。</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对于质保期内的任何整改工作，乙方应编制实施方案报甲方批准。相关工作完成后，乙方应进行检验，并出具修复、检验报告。</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2、违约责任要求：</w:t>
      </w:r>
    </w:p>
    <w:p>
      <w:pPr>
        <w:pStyle w:val="7"/>
        <w:spacing w:after="0" w:line="360" w:lineRule="auto"/>
        <w:ind w:right="125"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乙方发生下列任一违约行为时，应向甲方支付违约金，并赔偿甲方因此遭受的全部损失。同时，甲方有权向乙方发岀整改通知，要求乙方在指定的期限内纠正，由此增加的费用由乙方负责承担。</w:t>
      </w:r>
    </w:p>
    <w:p>
      <w:pPr>
        <w:pStyle w:val="7"/>
        <w:numPr>
          <w:ilvl w:val="0"/>
          <w:numId w:val="5"/>
        </w:numPr>
        <w:spacing w:line="360" w:lineRule="auto"/>
        <w:ind w:right="125" w:firstLine="20"/>
        <w:rPr>
          <w:rFonts w:hint="eastAsia" w:ascii="宋体" w:hAnsi="宋体" w:eastAsia="宋体" w:cs="宋体"/>
          <w:color w:val="auto"/>
          <w:kern w:val="2"/>
          <w:sz w:val="21"/>
          <w:szCs w:val="21"/>
          <w:highlight w:val="none"/>
          <w:lang w:val="zh-CN" w:eastAsia="zh-CN" w:bidi="ar-SA"/>
        </w:rPr>
      </w:pPr>
      <w:bookmarkStart w:id="3" w:name="_Toc4264"/>
      <w:r>
        <w:rPr>
          <w:rFonts w:hint="eastAsia" w:ascii="宋体" w:hAnsi="宋体" w:eastAsia="宋体" w:cs="宋体"/>
          <w:color w:val="auto"/>
          <w:kern w:val="2"/>
          <w:sz w:val="21"/>
          <w:szCs w:val="21"/>
          <w:highlight w:val="none"/>
          <w:lang w:val="zh-CN" w:eastAsia="zh-CN" w:bidi="ar-SA"/>
        </w:rPr>
        <w:t>拒绝或放弃实施任何工作；</w:t>
      </w:r>
    </w:p>
    <w:p>
      <w:pPr>
        <w:pStyle w:val="7"/>
        <w:numPr>
          <w:ilvl w:val="0"/>
          <w:numId w:val="5"/>
        </w:numPr>
        <w:spacing w:line="360" w:lineRule="auto"/>
        <w:ind w:right="125" w:firstLine="2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工作或提交的工作成果不满足合同要求；</w:t>
      </w:r>
    </w:p>
    <w:p>
      <w:pPr>
        <w:pStyle w:val="7"/>
        <w:numPr>
          <w:ilvl w:val="0"/>
          <w:numId w:val="5"/>
        </w:numPr>
        <w:spacing w:line="360" w:lineRule="auto"/>
        <w:ind w:right="125" w:firstLine="2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拒绝对不符合要求的工作成果进行修复或整改；</w:t>
      </w:r>
    </w:p>
    <w:p>
      <w:pPr>
        <w:pStyle w:val="7"/>
        <w:numPr>
          <w:ilvl w:val="0"/>
          <w:numId w:val="5"/>
        </w:numPr>
        <w:spacing w:line="360" w:lineRule="auto"/>
        <w:ind w:right="125" w:firstLine="2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未经甲方同意，擅自进行分包和转包；</w:t>
      </w:r>
    </w:p>
    <w:p>
      <w:pPr>
        <w:pStyle w:val="7"/>
        <w:numPr>
          <w:ilvl w:val="0"/>
          <w:numId w:val="5"/>
        </w:numPr>
        <w:spacing w:line="360" w:lineRule="auto"/>
        <w:ind w:right="125" w:firstLine="2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不遵守甲方关于健康、安全和环保的规定；</w:t>
      </w:r>
    </w:p>
    <w:p>
      <w:pPr>
        <w:pStyle w:val="7"/>
        <w:numPr>
          <w:ilvl w:val="0"/>
          <w:numId w:val="5"/>
        </w:numPr>
        <w:spacing w:line="360" w:lineRule="auto"/>
        <w:ind w:right="125" w:firstLine="2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拒绝更换不合格人员。</w:t>
      </w:r>
    </w:p>
    <w:bookmarkEnd w:id="3"/>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pStyle w:val="5"/>
        <w:rPr>
          <w:rFonts w:hint="eastAsia"/>
          <w:lang w:eastAsia="zh-CN"/>
        </w:rPr>
      </w:pPr>
    </w:p>
    <w:p>
      <w:pPr>
        <w:rPr>
          <w:rFonts w:hint="eastAsia"/>
          <w:lang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jc w:val="center"/>
        <w:rPr>
          <w:rFonts w:hAnsi="宋体"/>
          <w:b/>
          <w:bCs/>
          <w:sz w:val="36"/>
          <w:szCs w:val="36"/>
          <w:highlight w:val="none"/>
        </w:rPr>
      </w:pPr>
      <w:r>
        <w:rPr>
          <w:szCs w:val="21"/>
          <w:highlight w:val="none"/>
          <w:u w:val="single"/>
        </w:rPr>
        <w:t xml:space="preserve">           </w:t>
      </w:r>
      <w:r>
        <w:rPr>
          <w:rFonts w:hint="eastAsia" w:hAnsi="宋体"/>
          <w:b/>
          <w:bCs/>
          <w:sz w:val="36"/>
          <w:szCs w:val="36"/>
          <w:highlight w:val="none"/>
        </w:rPr>
        <w:t>货物买卖合同</w:t>
      </w:r>
    </w:p>
    <w:p>
      <w:pPr>
        <w:spacing w:after="100" w:afterAutospacing="1"/>
        <w:jc w:val="center"/>
        <w:rPr>
          <w:rFonts w:hAnsi="宋体"/>
          <w:bCs/>
          <w:szCs w:val="21"/>
          <w:highlight w:val="none"/>
          <w:u w:val="single"/>
        </w:rPr>
      </w:pPr>
      <w:r>
        <w:rPr>
          <w:rFonts w:hint="eastAsia" w:hAnsi="宋体"/>
          <w:bCs/>
          <w:sz w:val="24"/>
          <w:highlight w:val="none"/>
        </w:rPr>
        <w:t xml:space="preserve">                                      </w:t>
      </w:r>
      <w:r>
        <w:rPr>
          <w:rFonts w:hint="eastAsia" w:hAnsi="宋体"/>
          <w:bCs/>
          <w:szCs w:val="21"/>
          <w:highlight w:val="none"/>
        </w:rPr>
        <w:t>合同编号：</w:t>
      </w:r>
      <w:r>
        <w:rPr>
          <w:szCs w:val="21"/>
          <w:highlight w:val="none"/>
          <w:u w:val="single"/>
        </w:rPr>
        <w:t xml:space="preserve">                           </w:t>
      </w:r>
      <w:r>
        <w:rPr>
          <w:rFonts w:hint="eastAsia" w:hAnsi="宋体"/>
          <w:bCs/>
          <w:szCs w:val="21"/>
          <w:highlight w:val="none"/>
          <w:u w:val="single"/>
        </w:rPr>
        <w:t xml:space="preserve">         </w:t>
      </w:r>
    </w:p>
    <w:p>
      <w:pPr>
        <w:pStyle w:val="9"/>
        <w:spacing w:before="72" w:beforeLines="30" w:after="72" w:afterLines="30"/>
        <w:rPr>
          <w:sz w:val="24"/>
          <w:highlight w:val="none"/>
        </w:rPr>
      </w:pPr>
      <w:r>
        <w:rPr>
          <w:rFonts w:hint="eastAsia"/>
          <w:sz w:val="24"/>
          <w:highlight w:val="none"/>
        </w:rPr>
        <w:t>本货物买卖合同（以下称“合同”或“本合同”）由以下双方于【</w:t>
      </w:r>
      <w:r>
        <w:rPr>
          <w:rFonts w:hint="eastAsia"/>
          <w:i/>
          <w:sz w:val="24"/>
          <w:highlight w:val="none"/>
        </w:rPr>
        <w:t>填入签订日期</w:t>
      </w:r>
      <w:r>
        <w:rPr>
          <w:rFonts w:hint="eastAsia"/>
          <w:sz w:val="24"/>
          <w:highlight w:val="none"/>
        </w:rPr>
        <w:t>】在【</w:t>
      </w:r>
      <w:r>
        <w:rPr>
          <w:rFonts w:hint="eastAsia"/>
          <w:i/>
          <w:sz w:val="24"/>
          <w:highlight w:val="none"/>
        </w:rPr>
        <w:t>填入签订地点</w:t>
      </w:r>
      <w:r>
        <w:rPr>
          <w:rFonts w:hint="eastAsia"/>
          <w:sz w:val="24"/>
          <w:highlight w:val="none"/>
        </w:rPr>
        <w:t>】签署。</w:t>
      </w:r>
    </w:p>
    <w:p>
      <w:pPr>
        <w:tabs>
          <w:tab w:val="left" w:pos="3060"/>
        </w:tabs>
        <w:spacing w:before="72" w:beforeLines="30" w:after="72" w:afterLines="30" w:line="360" w:lineRule="auto"/>
        <w:ind w:firstLine="426" w:firstLineChars="177"/>
        <w:rPr>
          <w:sz w:val="24"/>
          <w:highlight w:val="none"/>
        </w:rPr>
      </w:pPr>
      <w:r>
        <w:rPr>
          <w:rFonts w:hint="eastAsia"/>
          <w:b/>
          <w:sz w:val="24"/>
          <w:highlight w:val="none"/>
        </w:rPr>
        <w:t>买</w:t>
      </w:r>
      <w:r>
        <w:rPr>
          <w:b/>
          <w:sz w:val="24"/>
          <w:highlight w:val="none"/>
        </w:rPr>
        <w:t xml:space="preserve">  </w:t>
      </w:r>
      <w:r>
        <w:rPr>
          <w:rFonts w:hint="eastAsia"/>
          <w:b/>
          <w:sz w:val="24"/>
          <w:highlight w:val="none"/>
        </w:rPr>
        <w:t>方：</w:t>
      </w:r>
      <w:r>
        <w:rPr>
          <w:sz w:val="24"/>
          <w:highlight w:val="none"/>
          <w:u w:val="single"/>
        </w:rPr>
        <w:t xml:space="preserve">                         </w:t>
      </w:r>
      <w:r>
        <w:rPr>
          <w:rFonts w:hint="eastAsia"/>
          <w:sz w:val="24"/>
          <w:highlight w:val="none"/>
        </w:rPr>
        <w:t xml:space="preserve">   </w:t>
      </w:r>
      <w:r>
        <w:rPr>
          <w:rFonts w:hint="eastAsia"/>
          <w:b/>
          <w:sz w:val="24"/>
          <w:highlight w:val="none"/>
        </w:rPr>
        <w:t>卖</w:t>
      </w:r>
      <w:r>
        <w:rPr>
          <w:b/>
          <w:sz w:val="24"/>
          <w:highlight w:val="none"/>
        </w:rPr>
        <w:t xml:space="preserve">  </w:t>
      </w:r>
      <w:r>
        <w:rPr>
          <w:rFonts w:hint="eastAsia"/>
          <w:b/>
          <w:sz w:val="24"/>
          <w:highlight w:val="none"/>
        </w:rPr>
        <w:t>方：</w:t>
      </w:r>
      <w:bookmarkStart w:id="4" w:name="OLE_LINK2"/>
      <w:bookmarkStart w:id="5" w:name="OLE_LINK1"/>
      <w:r>
        <w:rPr>
          <w:sz w:val="24"/>
          <w:highlight w:val="none"/>
          <w:u w:val="single"/>
        </w:rPr>
        <w:t xml:space="preserve">                           </w:t>
      </w:r>
      <w:bookmarkEnd w:id="4"/>
      <w:bookmarkEnd w:id="5"/>
    </w:p>
    <w:p>
      <w:pPr>
        <w:tabs>
          <w:tab w:val="left" w:pos="3060"/>
        </w:tabs>
        <w:spacing w:before="72" w:beforeLines="30" w:after="72" w:afterLines="30" w:line="360" w:lineRule="auto"/>
        <w:ind w:firstLine="422" w:firstLineChars="176"/>
        <w:rPr>
          <w:sz w:val="24"/>
          <w:highlight w:val="none"/>
          <w:u w:val="single"/>
        </w:rPr>
      </w:pPr>
      <w:r>
        <w:rPr>
          <w:rFonts w:hint="eastAsia"/>
          <w:sz w:val="24"/>
          <w:highlight w:val="none"/>
        </w:rPr>
        <w:t>注册地址：</w:t>
      </w:r>
      <w:r>
        <w:rPr>
          <w:rFonts w:hint="eastAsia"/>
          <w:sz w:val="24"/>
          <w:highlight w:val="none"/>
          <w:u w:val="single"/>
        </w:rPr>
        <w:t xml:space="preserve">                       </w:t>
      </w:r>
      <w:r>
        <w:rPr>
          <w:rFonts w:hint="eastAsia"/>
          <w:sz w:val="24"/>
          <w:highlight w:val="none"/>
        </w:rPr>
        <w:t xml:space="preserve">   注册地址：</w:t>
      </w:r>
      <w:r>
        <w:rPr>
          <w:sz w:val="24"/>
          <w:highlight w:val="none"/>
          <w:u w:val="single"/>
        </w:rPr>
        <w:t xml:space="preserve">                         </w:t>
      </w:r>
    </w:p>
    <w:p>
      <w:pPr>
        <w:pStyle w:val="9"/>
        <w:spacing w:before="72" w:beforeLines="30" w:after="72" w:afterLines="30"/>
        <w:rPr>
          <w:sz w:val="24"/>
          <w:highlight w:val="none"/>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i/>
          <w:sz w:val="24"/>
          <w:highlight w:val="none"/>
        </w:rPr>
        <w:t>填入货物名称</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合同条款，以兹共同遵守。</w:t>
      </w:r>
    </w:p>
    <w:p>
      <w:pPr>
        <w:pStyle w:val="10"/>
        <w:numPr>
          <w:ilvl w:val="0"/>
          <w:numId w:val="6"/>
        </w:numPr>
        <w:spacing w:before="72" w:beforeLines="30" w:after="72" w:afterLines="30" w:line="360" w:lineRule="auto"/>
        <w:ind w:left="851" w:hanging="851"/>
        <w:jc w:val="left"/>
        <w:rPr>
          <w:sz w:val="24"/>
          <w:highlight w:val="none"/>
        </w:rPr>
      </w:pPr>
      <w:bookmarkStart w:id="6" w:name="_Toc306354308"/>
      <w:r>
        <w:rPr>
          <w:sz w:val="24"/>
          <w:szCs w:val="24"/>
          <w:highlight w:val="none"/>
        </w:rPr>
        <w:t>合同标的</w:t>
      </w:r>
      <w:bookmarkEnd w:id="6"/>
    </w:p>
    <w:p>
      <w:pPr>
        <w:numPr>
          <w:ilvl w:val="0"/>
          <w:numId w:val="7"/>
        </w:numPr>
        <w:tabs>
          <w:tab w:val="left" w:pos="567"/>
          <w:tab w:val="clear" w:pos="2278"/>
        </w:tabs>
        <w:spacing w:before="72" w:beforeLines="30" w:after="72" w:afterLines="30" w:line="360" w:lineRule="auto"/>
        <w:ind w:left="567" w:hanging="567"/>
        <w:rPr>
          <w:rFonts w:hAnsi="宋体"/>
          <w:sz w:val="24"/>
          <w:highlight w:val="none"/>
        </w:rPr>
      </w:pPr>
      <w:bookmarkStart w:id="7" w:name="OLE_LINK16"/>
      <w:bookmarkStart w:id="8" w:name="OLE_LINK10"/>
      <w:bookmarkStart w:id="9" w:name="OLE_LINK26"/>
      <w:bookmarkStart w:id="10" w:name="OLE_LINK22"/>
      <w:bookmarkStart w:id="11" w:name="OLE_LINK24"/>
      <w:bookmarkStart w:id="12" w:name="OLE_LINK21"/>
      <w:bookmarkStart w:id="13" w:name="OLE_LINK13"/>
      <w:bookmarkStart w:id="14" w:name="OLE_LINK20"/>
      <w:bookmarkStart w:id="15" w:name="OLE_LINK19"/>
      <w:bookmarkStart w:id="16" w:name="OLE_LINK25"/>
      <w:bookmarkStart w:id="17" w:name="OLE_LINK18"/>
      <w:bookmarkStart w:id="18" w:name="OLE_LINK15"/>
      <w:bookmarkStart w:id="19" w:name="OLE_LINK9"/>
      <w:bookmarkStart w:id="20" w:name="OLE_LINK14"/>
      <w:bookmarkStart w:id="21" w:name="OLE_LINK23"/>
      <w:bookmarkStart w:id="22" w:name="OLE_LINK17"/>
      <w:r>
        <w:rPr>
          <w:rFonts w:hint="eastAsia"/>
          <w:sz w:val="24"/>
          <w:highlight w:val="none"/>
        </w:rPr>
        <w:t>卖方向买方供应的货物的名称、数量、型号、规格</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hint="eastAsia"/>
          <w:sz w:val="24"/>
          <w:highlight w:val="none"/>
        </w:rPr>
        <w:t>、单价、原产地等如下：</w:t>
      </w:r>
    </w:p>
    <w:tbl>
      <w:tblPr>
        <w:tblStyle w:val="12"/>
        <w:tblW w:w="10490" w:type="dxa"/>
        <w:tblInd w:w="-714" w:type="dxa"/>
        <w:tblLayout w:type="fixed"/>
        <w:tblCellMar>
          <w:top w:w="0" w:type="dxa"/>
          <w:left w:w="108" w:type="dxa"/>
          <w:bottom w:w="0" w:type="dxa"/>
          <w:right w:w="108" w:type="dxa"/>
        </w:tblCellMar>
      </w:tblPr>
      <w:tblGrid>
        <w:gridCol w:w="709"/>
        <w:gridCol w:w="2523"/>
        <w:gridCol w:w="1872"/>
        <w:gridCol w:w="850"/>
        <w:gridCol w:w="709"/>
        <w:gridCol w:w="709"/>
        <w:gridCol w:w="850"/>
        <w:gridCol w:w="1418"/>
        <w:gridCol w:w="850"/>
      </w:tblGrid>
      <w:tr>
        <w:tblPrEx>
          <w:tblCellMar>
            <w:top w:w="0" w:type="dxa"/>
            <w:left w:w="108" w:type="dxa"/>
            <w:bottom w:w="0" w:type="dxa"/>
            <w:right w:w="108" w:type="dxa"/>
          </w:tblCellMar>
        </w:tblPrEx>
        <w:trPr>
          <w:trHeight w:val="83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5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物资名称</w:t>
            </w:r>
          </w:p>
        </w:tc>
        <w:tc>
          <w:tcPr>
            <w:tcW w:w="187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品牌规格型号</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ascii="宋体" w:hAnsi="宋体" w:cs="宋体"/>
                <w:kern w:val="0"/>
                <w:sz w:val="24"/>
                <w:highlight w:val="none"/>
              </w:rPr>
              <w:t>原产地</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523" w:type="dxa"/>
            <w:tcBorders>
              <w:top w:val="nil"/>
              <w:left w:val="nil"/>
              <w:bottom w:val="single" w:color="auto" w:sz="4" w:space="0"/>
              <w:right w:val="single" w:color="auto" w:sz="4" w:space="0"/>
            </w:tcBorders>
            <w:vAlign w:val="bottom"/>
          </w:tcPr>
          <w:p>
            <w:pPr>
              <w:widowControl/>
              <w:tabs>
                <w:tab w:val="center" w:pos="1124"/>
                <w:tab w:val="right" w:pos="2129"/>
              </w:tabs>
              <w:spacing w:line="360" w:lineRule="auto"/>
              <w:jc w:val="left"/>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523" w:type="dxa"/>
            <w:tcBorders>
              <w:top w:val="nil"/>
              <w:left w:val="nil"/>
              <w:bottom w:val="single" w:color="auto" w:sz="4" w:space="0"/>
              <w:right w:val="single" w:color="auto" w:sz="4" w:space="0"/>
            </w:tcBorders>
            <w:vAlign w:val="bottom"/>
          </w:tcPr>
          <w:p>
            <w:pPr>
              <w:widowControl/>
              <w:spacing w:line="360" w:lineRule="auto"/>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3232"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合计（元）</w:t>
            </w:r>
          </w:p>
        </w:tc>
        <w:tc>
          <w:tcPr>
            <w:tcW w:w="7258" w:type="dxa"/>
            <w:gridSpan w:val="7"/>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10490" w:type="dxa"/>
            <w:gridSpan w:val="9"/>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合计人民币（大写）：</w:t>
            </w:r>
            <w:r>
              <w:rPr>
                <w:rFonts w:ascii="宋体" w:hAnsi="宋体" w:cs="宋体"/>
                <w:kern w:val="0"/>
                <w:sz w:val="24"/>
                <w:highlight w:val="none"/>
              </w:rPr>
              <w:t xml:space="preserve"> </w:t>
            </w:r>
          </w:p>
        </w:tc>
      </w:tr>
    </w:tbl>
    <w:p>
      <w:pPr>
        <w:tabs>
          <w:tab w:val="left" w:pos="567"/>
        </w:tabs>
        <w:spacing w:before="72" w:beforeLines="30" w:after="72" w:afterLines="30" w:line="360" w:lineRule="auto"/>
        <w:ind w:left="567"/>
        <w:rPr>
          <w:rFonts w:hAnsi="宋体"/>
          <w:sz w:val="24"/>
          <w:highlight w:val="none"/>
        </w:rPr>
      </w:pPr>
    </w:p>
    <w:p>
      <w:pPr>
        <w:numPr>
          <w:ilvl w:val="0"/>
          <w:numId w:val="7"/>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7"/>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货物</w:t>
      </w:r>
      <w:r>
        <w:rPr>
          <w:rFonts w:hAnsi="宋体"/>
          <w:sz w:val="24"/>
          <w:highlight w:val="none"/>
        </w:rPr>
        <w:t>将用于</w:t>
      </w:r>
      <w:r>
        <w:rPr>
          <w:rFonts w:hint="eastAsia" w:hAnsi="宋体"/>
          <w:sz w:val="24"/>
          <w:highlight w:val="none"/>
        </w:rPr>
        <w:t>【</w:t>
      </w:r>
      <w:r>
        <w:rPr>
          <w:rFonts w:hint="eastAsia" w:hAnsi="宋体"/>
          <w:i/>
          <w:sz w:val="24"/>
          <w:highlight w:val="none"/>
        </w:rPr>
        <w:t>填入具体的</w:t>
      </w:r>
      <w:r>
        <w:rPr>
          <w:rFonts w:hAnsi="宋体"/>
          <w:i/>
          <w:sz w:val="24"/>
          <w:highlight w:val="none"/>
        </w:rPr>
        <w:t>项目</w:t>
      </w:r>
      <w:r>
        <w:rPr>
          <w:rFonts w:hint="eastAsia" w:hAnsi="宋体"/>
          <w:i/>
          <w:sz w:val="24"/>
          <w:highlight w:val="none"/>
        </w:rPr>
        <w:t>或</w:t>
      </w:r>
      <w:r>
        <w:rPr>
          <w:rFonts w:hAnsi="宋体"/>
          <w:i/>
          <w:sz w:val="24"/>
          <w:highlight w:val="none"/>
        </w:rPr>
        <w:t>工程</w:t>
      </w:r>
      <w:r>
        <w:rPr>
          <w:rFonts w:hint="eastAsia" w:hAnsi="宋体"/>
          <w:sz w:val="24"/>
          <w:highlight w:val="none"/>
        </w:rPr>
        <w:t>】</w:t>
      </w:r>
      <w:r>
        <w:rPr>
          <w:rFonts w:hAnsi="宋体"/>
          <w:sz w:val="24"/>
          <w:highlight w:val="none"/>
        </w:rPr>
        <w:t>。</w:t>
      </w:r>
    </w:p>
    <w:p>
      <w:pPr>
        <w:pStyle w:val="10"/>
        <w:numPr>
          <w:ilvl w:val="0"/>
          <w:numId w:val="6"/>
        </w:numPr>
        <w:spacing w:before="72" w:beforeLines="30" w:after="72" w:afterLines="30" w:line="360" w:lineRule="auto"/>
        <w:ind w:left="851" w:hanging="851"/>
        <w:jc w:val="left"/>
        <w:rPr>
          <w:sz w:val="24"/>
          <w:szCs w:val="24"/>
          <w:highlight w:val="none"/>
        </w:rPr>
      </w:pPr>
      <w:bookmarkStart w:id="23" w:name="_Toc306354309"/>
      <w:r>
        <w:rPr>
          <w:sz w:val="24"/>
          <w:szCs w:val="24"/>
          <w:highlight w:val="none"/>
        </w:rPr>
        <w:t>合同</w:t>
      </w:r>
      <w:r>
        <w:rPr>
          <w:rFonts w:hint="eastAsia"/>
          <w:sz w:val="24"/>
          <w:szCs w:val="24"/>
          <w:highlight w:val="none"/>
        </w:rPr>
        <w:t>总价</w:t>
      </w:r>
      <w:bookmarkEnd w:id="23"/>
    </w:p>
    <w:p>
      <w:pPr>
        <w:numPr>
          <w:ilvl w:val="0"/>
          <w:numId w:val="8"/>
        </w:numPr>
        <w:tabs>
          <w:tab w:val="left" w:pos="567"/>
          <w:tab w:val="clear" w:pos="840"/>
        </w:tabs>
        <w:spacing w:before="72" w:beforeLines="30" w:after="72" w:afterLines="30" w:line="360" w:lineRule="auto"/>
        <w:ind w:left="567" w:hanging="567"/>
        <w:rPr>
          <w:sz w:val="24"/>
          <w:highlight w:val="none"/>
        </w:rPr>
      </w:pPr>
      <w:r>
        <w:rPr>
          <w:rFonts w:hint="eastAsia"/>
          <w:sz w:val="24"/>
          <w:highlight w:val="none"/>
        </w:rPr>
        <w:t>双方经协商一致，最终确定合同总价为</w:t>
      </w:r>
      <w:r>
        <w:rPr>
          <w:sz w:val="24"/>
          <w:highlight w:val="none"/>
        </w:rPr>
        <w:t>【</w:t>
      </w:r>
      <w:r>
        <w:rPr>
          <w:rFonts w:hint="eastAsia"/>
          <w:i/>
          <w:sz w:val="24"/>
          <w:highlight w:val="none"/>
        </w:rPr>
        <w:t>填入币种英文简写，如RMB</w:t>
      </w:r>
      <w:r>
        <w:rPr>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sz w:val="24"/>
          <w:highlight w:val="none"/>
        </w:rPr>
        <w:t>（大写：【</w:t>
      </w:r>
      <w:r>
        <w:rPr>
          <w:rFonts w:hint="eastAsia"/>
          <w:i/>
          <w:sz w:val="24"/>
          <w:highlight w:val="none"/>
        </w:rPr>
        <w:t>填入币种名称，如人民币</w:t>
      </w:r>
      <w:r>
        <w:rPr>
          <w:sz w:val="24"/>
          <w:highlight w:val="none"/>
        </w:rPr>
        <w:t>】</w:t>
      </w:r>
      <w:r>
        <w:rPr>
          <w:rFonts w:hint="eastAsia"/>
          <w:sz w:val="24"/>
          <w:highlight w:val="none"/>
        </w:rPr>
        <w:t>【</w:t>
      </w:r>
      <w:r>
        <w:rPr>
          <w:rFonts w:hint="eastAsia"/>
          <w:i/>
          <w:sz w:val="24"/>
          <w:highlight w:val="none"/>
        </w:rPr>
        <w:t>填入大写金额</w:t>
      </w:r>
      <w:r>
        <w:rPr>
          <w:rFonts w:hint="eastAsia"/>
          <w:sz w:val="24"/>
          <w:highlight w:val="none"/>
        </w:rPr>
        <w:t>】）。</w:t>
      </w:r>
      <w:bookmarkStart w:id="24" w:name="_Hlk41394068"/>
      <w:r>
        <w:rPr>
          <w:rFonts w:hint="eastAsia"/>
          <w:sz w:val="24"/>
          <w:highlight w:val="none"/>
        </w:rPr>
        <w:t>合同总价为含税（包括增值税）总金额。</w:t>
      </w:r>
      <w:r>
        <w:rPr>
          <w:rFonts w:hint="eastAsia" w:hAnsi="Garamond" w:cs="新宋体-18030"/>
          <w:sz w:val="24"/>
          <w:highlight w:val="none"/>
        </w:rPr>
        <w:t>其中，</w:t>
      </w:r>
      <w:r>
        <w:rPr>
          <w:rFonts w:hint="eastAsia"/>
          <w:sz w:val="24"/>
          <w:highlight w:val="none"/>
        </w:rPr>
        <w:t>不含增值税合同价款为</w:t>
      </w:r>
      <w:r>
        <w:rPr>
          <w:rFonts w:hint="eastAsia" w:hAnsi="宋体"/>
          <w:sz w:val="24"/>
          <w:highlight w:val="none"/>
        </w:rPr>
        <w:t>【</w:t>
      </w:r>
      <w:r>
        <w:rPr>
          <w:rFonts w:hint="eastAsia" w:hAnsi="宋体"/>
          <w:i/>
          <w:sz w:val="24"/>
          <w:highlight w:val="none"/>
        </w:rPr>
        <w:t>填入币种英文简写，如</w:t>
      </w:r>
      <w:r>
        <w:rPr>
          <w:rFonts w:hAnsi="宋体"/>
          <w:i/>
          <w:sz w:val="24"/>
          <w:highlight w:val="none"/>
        </w:rPr>
        <w:t>RMB</w:t>
      </w:r>
      <w:r>
        <w:rPr>
          <w:rFonts w:hint="eastAsia" w:hAnsi="宋体"/>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rFonts w:hint="eastAsia" w:hAnsi="宋体"/>
          <w:sz w:val="24"/>
          <w:highlight w:val="none"/>
        </w:rPr>
        <w:t>（大写：【</w:t>
      </w:r>
      <w:r>
        <w:rPr>
          <w:rFonts w:hint="eastAsia" w:hAnsi="宋体"/>
          <w:i/>
          <w:sz w:val="24"/>
          <w:highlight w:val="none"/>
        </w:rPr>
        <w:t>填入币种名称，如人民币</w:t>
      </w:r>
      <w:r>
        <w:rPr>
          <w:rFonts w:hint="eastAsia" w:hAnsi="宋体"/>
          <w:sz w:val="24"/>
          <w:highlight w:val="none"/>
        </w:rPr>
        <w:t>】【</w:t>
      </w:r>
      <w:r>
        <w:rPr>
          <w:rFonts w:hint="eastAsia" w:hAnsi="宋体"/>
          <w:i/>
          <w:sz w:val="24"/>
          <w:highlight w:val="none"/>
        </w:rPr>
        <w:t>填入大写金额</w:t>
      </w:r>
      <w:r>
        <w:rPr>
          <w:rFonts w:hint="eastAsia" w:hAnsi="宋体"/>
          <w:sz w:val="24"/>
          <w:highlight w:val="none"/>
        </w:rPr>
        <w:t>】），</w:t>
      </w:r>
      <w:r>
        <w:rPr>
          <w:rFonts w:hint="eastAsia"/>
          <w:sz w:val="24"/>
          <w:highlight w:val="none"/>
        </w:rPr>
        <w:t>增值税税率为【</w:t>
      </w:r>
      <w:r>
        <w:rPr>
          <w:rFonts w:hint="eastAsia"/>
          <w:i/>
          <w:sz w:val="24"/>
          <w:highlight w:val="none"/>
        </w:rPr>
        <w:t>填入增值税税率</w:t>
      </w:r>
      <w:r>
        <w:rPr>
          <w:rFonts w:hint="eastAsia"/>
          <w:sz w:val="24"/>
          <w:highlight w:val="none"/>
        </w:rPr>
        <w:t>】</w:t>
      </w:r>
      <w:r>
        <w:rPr>
          <w:sz w:val="24"/>
          <w:highlight w:val="none"/>
        </w:rPr>
        <w:t>%</w:t>
      </w:r>
      <w:r>
        <w:rPr>
          <w:rFonts w:hint="eastAsia" w:hAnsi="宋体"/>
          <w:sz w:val="24"/>
          <w:highlight w:val="none"/>
        </w:rPr>
        <w:t>。</w:t>
      </w:r>
      <w:bookmarkEnd w:id="24"/>
      <w:r>
        <w:rPr>
          <w:rFonts w:hint="eastAsia"/>
          <w:sz w:val="24"/>
          <w:highlight w:val="none"/>
        </w:rPr>
        <w:t>合同总价的各分项价格和组成为：</w:t>
      </w:r>
      <w:bookmarkStart w:id="25" w:name="OLE_LINK67"/>
      <w:bookmarkStart w:id="26" w:name="OLE_LINK36"/>
      <w:bookmarkStart w:id="27" w:name="OLE_LINK66"/>
      <w:bookmarkStart w:id="28" w:name="OLE_LINK39"/>
      <w:bookmarkStart w:id="29" w:name="OLE_LINK40"/>
      <w:bookmarkStart w:id="30" w:name="OLE_LINK37"/>
    </w:p>
    <w:p>
      <w:pPr>
        <w:tabs>
          <w:tab w:val="left" w:pos="567"/>
        </w:tabs>
        <w:spacing w:before="72" w:beforeLines="30" w:after="72" w:afterLines="30" w:line="360" w:lineRule="auto"/>
        <w:ind w:left="567"/>
        <w:rPr>
          <w:i/>
          <w:sz w:val="24"/>
          <w:highlight w:val="none"/>
          <w:u w:val="single"/>
        </w:rPr>
      </w:pPr>
      <w:r>
        <w:rPr>
          <w:rFonts w:hint="eastAsia"/>
          <w:i/>
          <w:sz w:val="24"/>
          <w:highlight w:val="none"/>
          <w:u w:val="single"/>
        </w:rPr>
        <w:t>请从下列选项中选择一项，并删除不适用的选项：</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i/>
          <w:sz w:val="24"/>
          <w:highlight w:val="none"/>
          <w:u w:val="single"/>
        </w:rPr>
        <w:t>选项一：</w:t>
      </w:r>
      <w:bookmarkEnd w:id="25"/>
      <w:bookmarkEnd w:id="26"/>
      <w:bookmarkEnd w:id="27"/>
      <w:bookmarkEnd w:id="28"/>
      <w:bookmarkEnd w:id="29"/>
      <w:bookmarkEnd w:id="30"/>
      <w:bookmarkStart w:id="31" w:name="OLE_LINK38"/>
      <w:r>
        <w:rPr>
          <w:rFonts w:hint="eastAsia"/>
          <w:i/>
          <w:sz w:val="24"/>
          <w:highlight w:val="none"/>
          <w:u w:val="single"/>
        </w:rPr>
        <w:t>直接填入</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sz w:val="24"/>
          <w:highlight w:val="none"/>
        </w:rPr>
        <w:t>合同总价的各分项价格和组成</w:t>
      </w:r>
      <w:bookmarkEnd w:id="31"/>
      <w:r>
        <w:rPr>
          <w:rFonts w:hint="eastAsia"/>
          <w:sz w:val="24"/>
          <w:highlight w:val="none"/>
        </w:rPr>
        <w:t>为：</w:t>
      </w:r>
      <w:r>
        <w:rPr>
          <w:rFonts w:hint="eastAsia" w:hAnsi="宋体"/>
          <w:sz w:val="24"/>
          <w:highlight w:val="none"/>
        </w:rPr>
        <w:t>【</w:t>
      </w:r>
      <w:r>
        <w:rPr>
          <w:rFonts w:hint="eastAsia" w:hAnsi="宋体"/>
          <w:i/>
          <w:sz w:val="24"/>
          <w:highlight w:val="none"/>
        </w:rPr>
        <w:t>请填入</w:t>
      </w:r>
      <w:r>
        <w:rPr>
          <w:rFonts w:hint="eastAsia"/>
          <w:i/>
          <w:sz w:val="24"/>
          <w:highlight w:val="none"/>
        </w:rPr>
        <w:t>各分项价格和组成</w:t>
      </w:r>
      <w:r>
        <w:rPr>
          <w:rFonts w:hint="eastAsia" w:hAnsi="宋体"/>
          <w:sz w:val="24"/>
          <w:highlight w:val="none"/>
        </w:rPr>
        <w:t>】</w:t>
      </w:r>
      <w:r>
        <w:rPr>
          <w:rFonts w:hint="eastAsia"/>
          <w:sz w:val="24"/>
          <w:highlight w:val="none"/>
        </w:rPr>
        <w:t>。</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i/>
          <w:sz w:val="24"/>
          <w:highlight w:val="none"/>
          <w:u w:val="single"/>
        </w:rPr>
      </w:pPr>
      <w:r>
        <w:rPr>
          <w:rFonts w:hint="eastAsia"/>
          <w:i/>
          <w:sz w:val="24"/>
          <w:highlight w:val="none"/>
          <w:u w:val="single"/>
        </w:rPr>
        <w:t>选项二：附件中列明</w:t>
      </w:r>
    </w:p>
    <w:p>
      <w:pPr>
        <w:widowControl/>
        <w:tabs>
          <w:tab w:val="left" w:pos="567"/>
          <w:tab w:val="left" w:pos="1800"/>
        </w:tabs>
        <w:autoSpaceDE w:val="0"/>
        <w:autoSpaceDN w:val="0"/>
        <w:adjustRightInd w:val="0"/>
        <w:spacing w:before="72" w:beforeLines="30" w:after="72" w:afterLines="30" w:line="360" w:lineRule="auto"/>
        <w:ind w:left="567"/>
        <w:textAlignment w:val="bottom"/>
        <w:rPr>
          <w:sz w:val="24"/>
          <w:highlight w:val="none"/>
        </w:rPr>
      </w:pPr>
      <w:r>
        <w:rPr>
          <w:rFonts w:hint="eastAsia"/>
          <w:sz w:val="24"/>
          <w:highlight w:val="none"/>
        </w:rPr>
        <w:t>合同总价的各分项价格和组成：【</w:t>
      </w:r>
      <w:r>
        <w:rPr>
          <w:rFonts w:hint="eastAsia"/>
          <w:i/>
          <w:sz w:val="24"/>
          <w:highlight w:val="none"/>
        </w:rPr>
        <w:t>详见本合同附件一</w:t>
      </w:r>
      <w:r>
        <w:rPr>
          <w:rFonts w:hint="eastAsia"/>
          <w:sz w:val="24"/>
          <w:highlight w:val="none"/>
        </w:rPr>
        <w:t>】。</w:t>
      </w:r>
    </w:p>
    <w:p>
      <w:pPr>
        <w:numPr>
          <w:ilvl w:val="0"/>
          <w:numId w:val="8"/>
        </w:numPr>
        <w:tabs>
          <w:tab w:val="left" w:pos="567"/>
          <w:tab w:val="clear" w:pos="840"/>
        </w:tabs>
        <w:spacing w:before="72" w:beforeLines="30" w:after="72" w:afterLines="30" w:line="360" w:lineRule="auto"/>
        <w:ind w:left="567" w:hanging="567"/>
        <w:rPr>
          <w:rFonts w:ascii="Arial" w:hAnsi="Arial" w:cs="Arial"/>
          <w:sz w:val="24"/>
          <w:highlight w:val="none"/>
        </w:rPr>
      </w:pPr>
      <w:r>
        <w:rPr>
          <w:rFonts w:hint="eastAsia"/>
          <w:sz w:val="24"/>
          <w:highlight w:val="none"/>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w:t>
      </w:r>
      <w:r>
        <w:rPr>
          <w:rFonts w:hint="eastAsia" w:ascii="Arial" w:hAnsi="Arial" w:cs="Arial"/>
          <w:sz w:val="24"/>
          <w:highlight w:val="none"/>
        </w:rPr>
        <w:t>款项。</w:t>
      </w:r>
      <w:r>
        <w:rPr>
          <w:rFonts w:hint="eastAsia"/>
          <w:sz w:val="24"/>
          <w:highlight w:val="none"/>
        </w:rPr>
        <w:t>为免疑义，如果增值税税率因国家增值税税率调整而发生变化，合同总价自动调整，但不含增值税的合同价款保持不变。</w:t>
      </w:r>
    </w:p>
    <w:p>
      <w:pPr>
        <w:numPr>
          <w:ilvl w:val="0"/>
          <w:numId w:val="8"/>
        </w:numPr>
        <w:tabs>
          <w:tab w:val="left" w:pos="567"/>
          <w:tab w:val="clear" w:pos="840"/>
        </w:tabs>
        <w:spacing w:before="72" w:beforeLines="30" w:after="72" w:afterLines="30" w:line="360" w:lineRule="auto"/>
        <w:ind w:left="567" w:hanging="567"/>
        <w:rPr>
          <w:sz w:val="24"/>
          <w:highlight w:val="none"/>
        </w:rPr>
      </w:pPr>
      <w:r>
        <w:rPr>
          <w:rFonts w:hint="eastAsia" w:ascii="Arial" w:hAnsi="Arial" w:cs="Arial"/>
          <w:sz w:val="24"/>
          <w:highlight w:val="none"/>
        </w:rPr>
        <w:t>双方应根据法律法规各自承担其应承担的与本合同有关的所有税费。</w:t>
      </w:r>
      <w:r>
        <w:rPr>
          <w:rFonts w:hint="eastAsia"/>
          <w:sz w:val="24"/>
          <w:highlight w:val="none"/>
        </w:rPr>
        <w:t>买方有权根据法律法规和本合同的规定从应支付给卖方的合同总价中扣除应由买方代扣、代缴的卖方应付税费，但应向卖方提供完税证明。</w:t>
      </w:r>
    </w:p>
    <w:p>
      <w:pPr>
        <w:pStyle w:val="10"/>
        <w:numPr>
          <w:ilvl w:val="0"/>
          <w:numId w:val="6"/>
        </w:numPr>
        <w:spacing w:before="72" w:beforeLines="30" w:after="72" w:afterLines="30" w:line="360" w:lineRule="auto"/>
        <w:ind w:left="709" w:hanging="709"/>
        <w:jc w:val="left"/>
        <w:rPr>
          <w:sz w:val="24"/>
          <w:szCs w:val="24"/>
          <w:highlight w:val="none"/>
        </w:rPr>
      </w:pPr>
      <w:r>
        <w:rPr>
          <w:rFonts w:hint="eastAsia"/>
          <w:sz w:val="24"/>
          <w:szCs w:val="24"/>
          <w:highlight w:val="none"/>
        </w:rPr>
        <w:t>付款</w:t>
      </w:r>
    </w:p>
    <w:p>
      <w:pPr>
        <w:pStyle w:val="20"/>
        <w:numPr>
          <w:ilvl w:val="0"/>
          <w:numId w:val="9"/>
        </w:numPr>
        <w:tabs>
          <w:tab w:val="left" w:pos="851"/>
        </w:tabs>
        <w:adjustRightInd w:val="0"/>
        <w:spacing w:line="360" w:lineRule="auto"/>
        <w:ind w:firstLineChars="0"/>
        <w:contextualSpacing/>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支付货币：</w:t>
      </w:r>
    </w:p>
    <w:p>
      <w:pPr>
        <w:pStyle w:val="20"/>
        <w:tabs>
          <w:tab w:val="left" w:pos="567"/>
        </w:tabs>
        <w:adjustRightInd w:val="0"/>
        <w:spacing w:line="360" w:lineRule="auto"/>
        <w:ind w:left="849" w:leftChars="320" w:hanging="177" w:hangingChars="74"/>
        <w:contextualSpacing/>
        <w:rPr>
          <w:rFonts w:ascii="宋体" w:hAnsi="宋体"/>
          <w:sz w:val="24"/>
          <w:highlight w:val="none"/>
        </w:rPr>
      </w:pPr>
      <w:r>
        <w:rPr>
          <w:rFonts w:hint="eastAsia" w:ascii="宋体" w:hAnsi="宋体"/>
          <w:bCs/>
          <w:i/>
          <w:kern w:val="0"/>
          <w:sz w:val="24"/>
          <w:highlight w:val="none"/>
          <w:u w:val="single"/>
        </w:rPr>
        <w:t>请根据实际情况从下列选项中选择其中一项，并将不适用的删除</w:t>
      </w:r>
    </w:p>
    <w:p>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选项一：</w:t>
      </w:r>
      <w:r>
        <w:rPr>
          <w:color w:val="000000"/>
          <w:sz w:val="24"/>
          <w:highlight w:val="none"/>
        </w:rPr>
        <w:t xml:space="preserve"> </w:t>
      </w:r>
    </w:p>
    <w:p>
      <w:pPr>
        <w:pStyle w:val="20"/>
        <w:widowControl/>
        <w:tabs>
          <w:tab w:val="left" w:pos="567"/>
        </w:tabs>
        <w:adjustRightInd w:val="0"/>
        <w:spacing w:line="360" w:lineRule="auto"/>
        <w:ind w:left="672" w:leftChars="320" w:firstLine="36" w:firstLineChars="15"/>
        <w:contextualSpacing/>
        <w:jc w:val="left"/>
        <w:rPr>
          <w:rFonts w:ascii="宋体" w:hAnsi="宋体" w:cs="Arial"/>
          <w:bCs/>
          <w:color w:val="44546A"/>
          <w:kern w:val="0"/>
          <w:sz w:val="24"/>
          <w:highlight w:val="none"/>
        </w:rPr>
      </w:pPr>
      <w:r>
        <w:rPr>
          <w:rFonts w:hint="eastAsia"/>
          <w:sz w:val="24"/>
          <w:highlight w:val="none"/>
        </w:rPr>
        <w:t>本合同项下的所有应付款项均应以</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支付。</w:t>
      </w:r>
    </w:p>
    <w:p>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选项二：</w:t>
      </w:r>
      <w:r>
        <w:rPr>
          <w:color w:val="000000"/>
          <w:sz w:val="24"/>
          <w:highlight w:val="none"/>
        </w:rPr>
        <w:t xml:space="preserve"> </w:t>
      </w:r>
    </w:p>
    <w:p>
      <w:pPr>
        <w:widowControl/>
        <w:tabs>
          <w:tab w:val="left" w:pos="567"/>
        </w:tabs>
        <w:adjustRightInd w:val="0"/>
        <w:spacing w:line="360" w:lineRule="auto"/>
        <w:ind w:left="672" w:leftChars="320"/>
        <w:contextualSpacing/>
        <w:jc w:val="left"/>
        <w:rPr>
          <w:rFonts w:ascii="宋体" w:hAnsi="宋体" w:cs="Arial"/>
          <w:bCs/>
          <w:color w:val="44546A"/>
          <w:kern w:val="0"/>
          <w:sz w:val="24"/>
          <w:highlight w:val="none"/>
        </w:rPr>
      </w:pPr>
      <w:r>
        <w:rPr>
          <w:rFonts w:hint="eastAsia"/>
          <w:sz w:val="24"/>
          <w:highlight w:val="none"/>
        </w:rPr>
        <w:t>本合同项下的所有应付款项均应以美元支付，前提是如任何付款的一方受适用的法律限制而无法支付美元，则其有权以等值的</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进行支付。</w:t>
      </w:r>
    </w:p>
    <w:p>
      <w:pPr>
        <w:numPr>
          <w:ilvl w:val="0"/>
          <w:numId w:val="9"/>
        </w:numPr>
        <w:tabs>
          <w:tab w:val="left" w:pos="709"/>
        </w:tabs>
        <w:spacing w:before="72" w:beforeLines="30" w:after="72" w:afterLines="30" w:line="360" w:lineRule="auto"/>
        <w:rPr>
          <w:sz w:val="24"/>
          <w:highlight w:val="none"/>
        </w:rPr>
      </w:pPr>
      <w:r>
        <w:rPr>
          <w:rFonts w:hint="eastAsia"/>
          <w:sz w:val="24"/>
          <w:highlight w:val="none"/>
        </w:rPr>
        <w:t>本合同项下的</w:t>
      </w:r>
      <w:r>
        <w:rPr>
          <w:color w:val="000000"/>
          <w:sz w:val="24"/>
          <w:highlight w:val="none"/>
        </w:rPr>
        <w:t>付款方式</w:t>
      </w:r>
      <w:r>
        <w:rPr>
          <w:rFonts w:hint="eastAsia"/>
          <w:color w:val="000000"/>
          <w:sz w:val="24"/>
          <w:highlight w:val="none"/>
        </w:rPr>
        <w:t>为</w:t>
      </w:r>
      <w:r>
        <w:rPr>
          <w:color w:val="000000"/>
          <w:sz w:val="24"/>
          <w:highlight w:val="none"/>
        </w:rPr>
        <w:t>：</w:t>
      </w:r>
      <w:r>
        <w:rPr>
          <w:rFonts w:hint="eastAsia"/>
          <w:color w:val="000000"/>
          <w:sz w:val="24"/>
          <w:highlight w:val="none"/>
        </w:rPr>
        <w:t>【□</w:t>
      </w:r>
      <w:r>
        <w:rPr>
          <w:color w:val="000000"/>
          <w:sz w:val="24"/>
          <w:highlight w:val="none"/>
        </w:rPr>
        <w:t>银行电汇；</w:t>
      </w:r>
      <w:r>
        <w:rPr>
          <w:rFonts w:hint="eastAsia"/>
          <w:color w:val="000000"/>
          <w:sz w:val="24"/>
          <w:highlight w:val="none"/>
        </w:rPr>
        <w:t>□其他</w:t>
      </w:r>
      <w:r>
        <w:rPr>
          <w:rFonts w:hint="eastAsia"/>
          <w:color w:val="000000"/>
          <w:sz w:val="24"/>
          <w:highlight w:val="none"/>
          <w:u w:val="single"/>
        </w:rPr>
        <w:t xml:space="preserve">    </w:t>
      </w:r>
      <w:r>
        <w:rPr>
          <w:rFonts w:hint="eastAsia"/>
          <w:color w:val="000000"/>
          <w:sz w:val="24"/>
          <w:highlight w:val="none"/>
        </w:rPr>
        <w:t>】。</w:t>
      </w:r>
    </w:p>
    <w:p>
      <w:pPr>
        <w:numPr>
          <w:ilvl w:val="0"/>
          <w:numId w:val="9"/>
        </w:numPr>
        <w:tabs>
          <w:tab w:val="left" w:pos="709"/>
        </w:tabs>
        <w:spacing w:before="72" w:beforeLines="30" w:after="72" w:afterLines="30" w:line="360" w:lineRule="auto"/>
        <w:rPr>
          <w:color w:val="000000"/>
          <w:sz w:val="24"/>
          <w:highlight w:val="none"/>
        </w:rPr>
      </w:pPr>
      <w:r>
        <w:rPr>
          <w:rFonts w:hint="eastAsia"/>
          <w:color w:val="000000"/>
          <w:sz w:val="24"/>
          <w:highlight w:val="none"/>
        </w:rPr>
        <w:t>付款进度</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选项一：直接填入付款进度</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付款进度为：【</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选项二：到货验收付款+质保金</w:t>
      </w:r>
    </w:p>
    <w:p>
      <w:pPr>
        <w:pStyle w:val="20"/>
        <w:numPr>
          <w:ilvl w:val="0"/>
          <w:numId w:val="10"/>
        </w:numPr>
        <w:tabs>
          <w:tab w:val="left" w:pos="567"/>
        </w:tabs>
        <w:spacing w:before="72" w:beforeLines="30" w:after="72" w:afterLines="30" w:line="360" w:lineRule="auto"/>
        <w:ind w:firstLineChars="0"/>
        <w:rPr>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买方</w:t>
      </w:r>
      <w:r>
        <w:rPr>
          <w:rFonts w:asciiTheme="minorEastAsia" w:hAnsiTheme="minorEastAsia" w:eastAsiaTheme="minorEastAsia"/>
          <w:sz w:val="24"/>
          <w:highlight w:val="none"/>
        </w:rPr>
        <w:t>支付</w:t>
      </w:r>
      <w:r>
        <w:rPr>
          <w:rFonts w:hint="eastAsia" w:asciiTheme="minorEastAsia" w:hAnsiTheme="minorEastAsia" w:eastAsiaTheme="minorEastAsia"/>
          <w:sz w:val="24"/>
          <w:highlight w:val="none"/>
        </w:rPr>
        <w:t>合同</w:t>
      </w:r>
      <w:r>
        <w:rPr>
          <w:rFonts w:asciiTheme="minorEastAsia" w:hAnsiTheme="minorEastAsia" w:eastAsiaTheme="minorEastAsia"/>
          <w:sz w:val="24"/>
          <w:highlight w:val="none"/>
        </w:rPr>
        <w:t>总价的</w:t>
      </w:r>
      <w:r>
        <w:rPr>
          <w:rFonts w:hint="eastAsia"/>
          <w:sz w:val="24"/>
          <w:highlight w:val="none"/>
        </w:rPr>
        <w:t>【</w:t>
      </w:r>
      <w:r>
        <w:rPr>
          <w:rFonts w:hint="eastAsia"/>
          <w:i/>
          <w:sz w:val="24"/>
          <w:highlight w:val="none"/>
        </w:rPr>
        <w:t>填入百分比</w:t>
      </w:r>
      <w:r>
        <w:rPr>
          <w:rFonts w:hint="eastAsia"/>
          <w:sz w:val="24"/>
          <w:highlight w:val="none"/>
        </w:rPr>
        <w:t>】</w:t>
      </w:r>
      <w:r>
        <w:rPr>
          <w:rFonts w:hAnsi="宋体"/>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rFonts w:hAnsi="宋体"/>
          <w:sz w:val="24"/>
          <w:highlight w:val="none"/>
        </w:rPr>
        <w:t>。</w:t>
      </w:r>
    </w:p>
    <w:p>
      <w:pPr>
        <w:pStyle w:val="20"/>
        <w:numPr>
          <w:ilvl w:val="0"/>
          <w:numId w:val="10"/>
        </w:numPr>
        <w:tabs>
          <w:tab w:val="left" w:pos="567"/>
        </w:tabs>
        <w:spacing w:before="72" w:beforeLines="30" w:after="72" w:afterLines="30" w:line="360" w:lineRule="auto"/>
        <w:ind w:firstLineChars="0"/>
        <w:rPr>
          <w:i/>
          <w:sz w:val="24"/>
          <w:highlight w:val="none"/>
        </w:rPr>
      </w:pPr>
      <w:r>
        <w:rPr>
          <w:sz w:val="24"/>
          <w:highlight w:val="none"/>
        </w:rPr>
        <w:t>合同总价的</w:t>
      </w:r>
      <w:r>
        <w:rPr>
          <w:rFonts w:hint="eastAsia"/>
          <w:sz w:val="24"/>
          <w:highlight w:val="none"/>
        </w:rPr>
        <w:t>【</w:t>
      </w:r>
      <w:r>
        <w:rPr>
          <w:rFonts w:hint="eastAsia"/>
          <w:i/>
          <w:sz w:val="24"/>
          <w:highlight w:val="none"/>
        </w:rPr>
        <w:t>填入百分比</w:t>
      </w:r>
      <w:r>
        <w:rPr>
          <w:rFonts w:hint="eastAsia"/>
          <w:sz w:val="24"/>
          <w:highlight w:val="none"/>
        </w:rPr>
        <w:t>】，</w:t>
      </w:r>
      <w:r>
        <w:rPr>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sz w:val="24"/>
          <w:highlight w:val="none"/>
        </w:rPr>
        <w:t>作为质保金</w:t>
      </w:r>
      <w:r>
        <w:rPr>
          <w:rFonts w:hint="eastAsia"/>
          <w:sz w:val="24"/>
          <w:highlight w:val="none"/>
        </w:rPr>
        <w:t>。货物质保期结束且卖方收到买方签发的货物最终接受证书后【</w:t>
      </w:r>
      <w:r>
        <w:rPr>
          <w:rFonts w:hint="eastAsia"/>
          <w:i/>
          <w:sz w:val="24"/>
          <w:highlight w:val="none"/>
        </w:rPr>
        <w:t>填入天数</w:t>
      </w:r>
      <w:r>
        <w:rPr>
          <w:rFonts w:hint="eastAsia"/>
          <w:sz w:val="24"/>
          <w:highlight w:val="none"/>
        </w:rPr>
        <w:t>】日内，买方支付该等质保金。</w:t>
      </w:r>
    </w:p>
    <w:p>
      <w:pPr>
        <w:tabs>
          <w:tab w:val="left" w:pos="567"/>
        </w:tabs>
        <w:spacing w:before="72" w:beforeLines="30" w:after="72" w:afterLines="30" w:line="360" w:lineRule="auto"/>
        <w:ind w:left="567"/>
        <w:rPr>
          <w:i/>
          <w:color w:val="000000"/>
          <w:sz w:val="24"/>
          <w:highlight w:val="none"/>
          <w:u w:val="single"/>
        </w:rPr>
      </w:pPr>
      <w:r>
        <w:rPr>
          <w:rFonts w:hint="eastAsia"/>
          <w:i/>
          <w:color w:val="000000"/>
          <w:sz w:val="24"/>
          <w:highlight w:val="none"/>
          <w:u w:val="single"/>
        </w:rPr>
        <w:t>选项三：到货验收后一次性付清款项</w:t>
      </w:r>
    </w:p>
    <w:p>
      <w:pPr>
        <w:tabs>
          <w:tab w:val="left" w:pos="567"/>
        </w:tabs>
        <w:spacing w:before="72" w:beforeLines="30" w:after="72" w:afterLines="30" w:line="360" w:lineRule="auto"/>
        <w:ind w:left="567"/>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hint="eastAsia" w:asciiTheme="minorEastAsia" w:hAnsiTheme="minorEastAsia" w:eastAsiaTheme="minorEastAsia"/>
          <w:color w:val="000000"/>
          <w:sz w:val="24"/>
          <w:highlight w:val="none"/>
        </w:rPr>
        <w:t>，买方一次性付清全部合同价款。</w:t>
      </w:r>
    </w:p>
    <w:p>
      <w:pPr>
        <w:numPr>
          <w:ilvl w:val="0"/>
          <w:numId w:val="9"/>
        </w:numPr>
        <w:tabs>
          <w:tab w:val="left" w:pos="567"/>
        </w:tabs>
        <w:spacing w:before="72" w:beforeLines="30" w:after="72" w:afterLines="30" w:line="360" w:lineRule="auto"/>
        <w:rPr>
          <w:color w:val="000000"/>
          <w:sz w:val="24"/>
          <w:highlight w:val="none"/>
        </w:rPr>
      </w:pPr>
      <w:bookmarkStart w:id="32" w:name="OLE_LINK92"/>
      <w:bookmarkStart w:id="33" w:name="OLE_LINK91"/>
      <w:r>
        <w:rPr>
          <w:rFonts w:hint="eastAsia"/>
          <w:color w:val="000000"/>
          <w:sz w:val="24"/>
          <w:highlight w:val="none"/>
        </w:rPr>
        <w:t>卖方应根据合同规定的付款条件和进度，提前向买方开具符合中国法律法规要求的发票并提供相关支持文件。</w:t>
      </w:r>
      <w:r>
        <w:rPr>
          <w:rFonts w:hint="eastAsia"/>
          <w:sz w:val="24"/>
          <w:highlight w:val="none"/>
        </w:rPr>
        <w:t>如乙方提供的服务属于增值税应税范围，乙方应为甲方开具增值税专用发票。</w:t>
      </w:r>
      <w:r>
        <w:rPr>
          <w:rFonts w:hint="eastAsia" w:cs="新宋体-18030"/>
          <w:sz w:val="24"/>
          <w:highlight w:val="none"/>
        </w:rPr>
        <w:t>发票</w:t>
      </w:r>
      <w:r>
        <w:rPr>
          <w:rFonts w:hint="eastAsia"/>
          <w:sz w:val="24"/>
          <w:highlight w:val="none"/>
        </w:rPr>
        <w:t>应注明合同编号且抬头应为：【</w:t>
      </w:r>
      <w:r>
        <w:rPr>
          <w:rFonts w:hint="eastAsia"/>
          <w:i/>
          <w:sz w:val="24"/>
          <w:highlight w:val="none"/>
        </w:rPr>
        <w:t>填入发票编号及抬头</w:t>
      </w:r>
      <w:r>
        <w:rPr>
          <w:rFonts w:hint="eastAsia"/>
          <w:sz w:val="24"/>
          <w:highlight w:val="none"/>
        </w:rPr>
        <w:t>】。</w:t>
      </w:r>
      <w:r>
        <w:rPr>
          <w:rFonts w:hint="eastAsia"/>
          <w:color w:val="000000"/>
          <w:sz w:val="24"/>
          <w:highlight w:val="none"/>
        </w:rPr>
        <w:t>如卖方未开具上述发票并提供相关支持文件，买方有权拒付相关合同价款。如果买方对卖方出具的该等发票和提供的相关支持文件无异议，应于收到该等发票和相关支持文件之日起【</w:t>
      </w:r>
      <w:r>
        <w:rPr>
          <w:rFonts w:hint="eastAsia"/>
          <w:i/>
          <w:color w:val="000000"/>
          <w:sz w:val="24"/>
          <w:highlight w:val="none"/>
        </w:rPr>
        <w:t>填入天数</w:t>
      </w:r>
      <w:r>
        <w:rPr>
          <w:rFonts w:hint="eastAsia"/>
          <w:color w:val="000000"/>
          <w:sz w:val="24"/>
          <w:highlight w:val="none"/>
        </w:rPr>
        <w:t>】日内向卖方付款。</w:t>
      </w:r>
      <w:bookmarkEnd w:id="32"/>
      <w:bookmarkEnd w:id="33"/>
      <w:r>
        <w:rPr>
          <w:rFonts w:hint="eastAsia"/>
          <w:sz w:val="24"/>
          <w:highlight w:val="none"/>
        </w:rPr>
        <w:t>如甲方对乙方开具的该等发票和相关支持文件有异议，应于收到发票及相关支持文件后【</w:t>
      </w:r>
      <w:r>
        <w:rPr>
          <w:rFonts w:hint="eastAsia"/>
          <w:i/>
          <w:sz w:val="24"/>
          <w:highlight w:val="none"/>
        </w:rPr>
        <w:t>填入日期，如十（10）</w:t>
      </w:r>
      <w:r>
        <w:rPr>
          <w:rFonts w:hint="eastAsia"/>
          <w:sz w:val="24"/>
          <w:highlight w:val="none"/>
        </w:rPr>
        <w:t>】日内通知乙方，乙方应重新开具发票和相关支持文件，买方应于收到卖方重新开具的发票和相关支持文件之日起</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】日内向卖方付款。</w:t>
      </w:r>
    </w:p>
    <w:p>
      <w:pPr>
        <w:numPr>
          <w:ilvl w:val="0"/>
          <w:numId w:val="9"/>
        </w:numPr>
        <w:tabs>
          <w:tab w:val="left" w:pos="567"/>
        </w:tabs>
        <w:spacing w:before="72" w:beforeLines="30" w:after="72" w:afterLines="30" w:line="360" w:lineRule="auto"/>
        <w:rPr>
          <w:sz w:val="24"/>
          <w:highlight w:val="none"/>
        </w:rPr>
      </w:pPr>
      <w:r>
        <w:rPr>
          <w:rFonts w:hint="eastAsia" w:hAnsi="宋体"/>
          <w:sz w:val="24"/>
          <w:highlight w:val="none"/>
        </w:rPr>
        <w:t>卖方</w:t>
      </w:r>
      <w:r>
        <w:rPr>
          <w:rFonts w:hAnsi="宋体"/>
          <w:sz w:val="24"/>
          <w:highlight w:val="none"/>
        </w:rPr>
        <w:t>账户</w:t>
      </w:r>
    </w:p>
    <w:p>
      <w:pPr>
        <w:tabs>
          <w:tab w:val="left" w:pos="567"/>
          <w:tab w:val="left" w:pos="1418"/>
        </w:tabs>
        <w:spacing w:before="72" w:beforeLines="30" w:after="72" w:afterLines="30" w:line="360" w:lineRule="auto"/>
        <w:ind w:left="565" w:leftChars="269"/>
        <w:rPr>
          <w:sz w:val="24"/>
          <w:highlight w:val="none"/>
        </w:rPr>
      </w:pPr>
      <w:r>
        <w:rPr>
          <w:sz w:val="24"/>
          <w:highlight w:val="none"/>
        </w:rPr>
        <w:t>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卖方名称：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账号：</w:t>
      </w:r>
      <w:r>
        <w:rPr>
          <w:rFonts w:hint="eastAsia"/>
          <w:sz w:val="24"/>
          <w:highlight w:val="none"/>
          <w:u w:val="singl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开户行地址：</w:t>
      </w:r>
      <w:bookmarkStart w:id="34" w:name="OLE_LINK45"/>
      <w:bookmarkStart w:id="35" w:name="OLE_LINK46"/>
      <w:r>
        <w:rPr>
          <w:rFonts w:hint="eastAsia"/>
          <w:sz w:val="24"/>
          <w:highlight w:val="none"/>
          <w:u w:val="single"/>
        </w:rPr>
        <w:t xml:space="preserve">                          </w:t>
      </w:r>
      <w:r>
        <w:rPr>
          <w:sz w:val="24"/>
          <w:highlight w:val="none"/>
        </w:rPr>
        <w:t xml:space="preserve"> </w:t>
      </w:r>
      <w:bookmarkEnd w:id="34"/>
      <w:bookmarkEnd w:id="35"/>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邮政编码：</w:t>
      </w:r>
      <w:bookmarkStart w:id="36" w:name="OLE_LINK53"/>
      <w:bookmarkStart w:id="37" w:name="OLE_LINK52"/>
      <w:r>
        <w:rPr>
          <w:sz w:val="24"/>
          <w:highlight w:val="none"/>
          <w:u w:val="single"/>
        </w:rPr>
        <w:t xml:space="preserve">                          </w:t>
      </w:r>
      <w:bookmarkEnd w:id="36"/>
      <w:bookmarkEnd w:id="37"/>
      <w:r>
        <w:rPr>
          <w:sz w:val="24"/>
          <w:highlight w:val="none"/>
        </w:rPr>
        <w:t xml:space="preserve"> </w:t>
      </w:r>
    </w:p>
    <w:p>
      <w:pPr>
        <w:pStyle w:val="10"/>
        <w:numPr>
          <w:ilvl w:val="0"/>
          <w:numId w:val="6"/>
        </w:numPr>
        <w:spacing w:before="72" w:beforeLines="30" w:after="72" w:afterLines="30" w:line="360" w:lineRule="auto"/>
        <w:ind w:left="851" w:hanging="851"/>
        <w:jc w:val="left"/>
        <w:rPr>
          <w:sz w:val="24"/>
          <w:szCs w:val="24"/>
          <w:highlight w:val="none"/>
        </w:rPr>
      </w:pPr>
      <w:bookmarkStart w:id="38" w:name="_Toc306354310"/>
      <w:r>
        <w:rPr>
          <w:rFonts w:hint="eastAsia"/>
          <w:sz w:val="24"/>
          <w:szCs w:val="24"/>
          <w:highlight w:val="none"/>
        </w:rPr>
        <w:t>货物交付</w:t>
      </w:r>
      <w:bookmarkEnd w:id="38"/>
    </w:p>
    <w:p>
      <w:pPr>
        <w:numPr>
          <w:ilvl w:val="0"/>
          <w:numId w:val="11"/>
        </w:numPr>
        <w:tabs>
          <w:tab w:val="left" w:pos="567"/>
          <w:tab w:val="clear" w:pos="562"/>
        </w:tabs>
        <w:spacing w:before="72" w:beforeLines="30" w:after="72" w:afterLines="30" w:line="360" w:lineRule="auto"/>
        <w:ind w:left="567" w:hanging="567"/>
        <w:outlineLvl w:val="0"/>
        <w:rPr>
          <w:b/>
          <w:sz w:val="24"/>
          <w:highlight w:val="none"/>
        </w:rPr>
      </w:pPr>
      <w:r>
        <w:rPr>
          <w:rFonts w:hAnsi="宋体"/>
          <w:b/>
          <w:sz w:val="24"/>
          <w:highlight w:val="none"/>
        </w:rPr>
        <w:t>交货日期</w:t>
      </w:r>
    </w:p>
    <w:p>
      <w:pPr>
        <w:numPr>
          <w:ilvl w:val="0"/>
          <w:numId w:val="12"/>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卖方应在</w:t>
      </w:r>
      <w:r>
        <w:rPr>
          <w:rFonts w:hint="eastAsia"/>
          <w:sz w:val="24"/>
          <w:highlight w:val="none"/>
        </w:rPr>
        <w:t>【</w:t>
      </w:r>
      <w:r>
        <w:rPr>
          <w:rFonts w:hint="eastAsia"/>
          <w:i/>
          <w:sz w:val="24"/>
          <w:highlight w:val="none"/>
        </w:rPr>
        <w:t>填入交货日期</w:t>
      </w:r>
      <w:r>
        <w:rPr>
          <w:rFonts w:hint="eastAsia"/>
          <w:sz w:val="24"/>
          <w:highlight w:val="none"/>
        </w:rPr>
        <w:t>】</w:t>
      </w:r>
      <w:r>
        <w:rPr>
          <w:rFonts w:ascii="宋体" w:hAnsi="宋体"/>
          <w:sz w:val="24"/>
          <w:highlight w:val="none"/>
        </w:rPr>
        <w:t>（“交货日期”）</w:t>
      </w:r>
      <w:r>
        <w:rPr>
          <w:rFonts w:hAnsi="宋体"/>
          <w:sz w:val="24"/>
          <w:highlight w:val="none"/>
        </w:rPr>
        <w:t>前完成货物的交付。</w:t>
      </w:r>
    </w:p>
    <w:p>
      <w:pPr>
        <w:numPr>
          <w:ilvl w:val="0"/>
          <w:numId w:val="12"/>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要求卖方延期交付货物，但买方应在交付日期前</w:t>
      </w:r>
      <w:bookmarkStart w:id="39" w:name="OLE_LINK57"/>
      <w:bookmarkStart w:id="40" w:name="OLE_LINK56"/>
      <w:r>
        <w:rPr>
          <w:rFonts w:hint="eastAsia" w:hAnsi="宋体"/>
          <w:sz w:val="24"/>
          <w:highlight w:val="none"/>
        </w:rPr>
        <w:t>【</w:t>
      </w:r>
      <w:r>
        <w:rPr>
          <w:rFonts w:hint="eastAsia" w:hAnsi="宋体"/>
          <w:i/>
          <w:sz w:val="24"/>
          <w:highlight w:val="none"/>
        </w:rPr>
        <w:t>填入天数</w:t>
      </w:r>
      <w:r>
        <w:rPr>
          <w:rFonts w:hint="eastAsia" w:hAnsi="宋体"/>
          <w:sz w:val="24"/>
          <w:highlight w:val="none"/>
        </w:rPr>
        <w:t>】</w:t>
      </w:r>
      <w:bookmarkEnd w:id="39"/>
      <w:bookmarkEnd w:id="40"/>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pPr>
        <w:numPr>
          <w:ilvl w:val="0"/>
          <w:numId w:val="11"/>
        </w:numPr>
        <w:tabs>
          <w:tab w:val="left" w:pos="567"/>
          <w:tab w:val="left" w:pos="709"/>
          <w:tab w:val="clear" w:pos="562"/>
        </w:tabs>
        <w:spacing w:before="72" w:beforeLines="30" w:after="72" w:afterLines="30" w:line="360" w:lineRule="auto"/>
        <w:ind w:left="567" w:hanging="567"/>
        <w:outlineLvl w:val="0"/>
        <w:rPr>
          <w:sz w:val="24"/>
          <w:highlight w:val="none"/>
        </w:rPr>
      </w:pPr>
      <w:r>
        <w:rPr>
          <w:rFonts w:hAnsi="宋体"/>
          <w:b/>
          <w:sz w:val="24"/>
          <w:highlight w:val="none"/>
        </w:rPr>
        <w:t>交货地点</w:t>
      </w:r>
      <w:r>
        <w:rPr>
          <w:rFonts w:hint="eastAsia" w:hAnsi="宋体"/>
          <w:sz w:val="24"/>
          <w:highlight w:val="none"/>
        </w:rPr>
        <w:t>：</w:t>
      </w:r>
      <w:bookmarkStart w:id="41" w:name="OLE_LINK61"/>
      <w:bookmarkStart w:id="42" w:name="OLE_LINK60"/>
      <w:bookmarkStart w:id="43" w:name="OLE_LINK58"/>
      <w:bookmarkStart w:id="44" w:name="OLE_LINK59"/>
      <w:r>
        <w:rPr>
          <w:rFonts w:hint="eastAsia" w:hAnsi="宋体"/>
          <w:sz w:val="24"/>
          <w:highlight w:val="none"/>
        </w:rPr>
        <w:t>【</w:t>
      </w:r>
      <w:r>
        <w:rPr>
          <w:rFonts w:hint="eastAsia" w:hAnsi="宋体"/>
          <w:i/>
          <w:sz w:val="24"/>
          <w:highlight w:val="none"/>
        </w:rPr>
        <w:t>填入交货地点</w:t>
      </w:r>
      <w:r>
        <w:rPr>
          <w:rFonts w:hint="eastAsia" w:hAnsi="宋体"/>
          <w:sz w:val="24"/>
          <w:highlight w:val="none"/>
        </w:rPr>
        <w:t>】</w:t>
      </w:r>
      <w:bookmarkEnd w:id="41"/>
      <w:bookmarkEnd w:id="42"/>
      <w:bookmarkEnd w:id="43"/>
      <w:bookmarkEnd w:id="44"/>
      <w:r>
        <w:rPr>
          <w:rFonts w:hint="eastAsia"/>
          <w:sz w:val="24"/>
          <w:highlight w:val="none"/>
        </w:rPr>
        <w:t>。</w:t>
      </w:r>
    </w:p>
    <w:p>
      <w:pPr>
        <w:numPr>
          <w:ilvl w:val="0"/>
          <w:numId w:val="11"/>
        </w:numPr>
        <w:tabs>
          <w:tab w:val="left" w:pos="709"/>
        </w:tabs>
        <w:spacing w:before="72" w:beforeLines="30" w:after="72" w:afterLines="30" w:line="360" w:lineRule="auto"/>
        <w:ind w:left="567" w:hanging="567"/>
        <w:outlineLvl w:val="0"/>
        <w:rPr>
          <w:highlight w:val="none"/>
        </w:rPr>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w:t>
      </w:r>
      <w:r>
        <w:rPr>
          <w:rFonts w:hint="eastAsia"/>
          <w:i/>
          <w:sz w:val="24"/>
          <w:highlight w:val="none"/>
        </w:rPr>
        <w:t>填入小时数</w:t>
      </w:r>
      <w:r>
        <w:rPr>
          <w:rFonts w:hint="eastAsia"/>
          <w:sz w:val="24"/>
          <w:highlight w:val="none"/>
        </w:rPr>
        <w:t>】</w:t>
      </w:r>
      <w:r>
        <w:rPr>
          <w:sz w:val="24"/>
          <w:highlight w:val="none"/>
        </w:rPr>
        <w:t>小时内，卖方应通过将下列</w:t>
      </w:r>
      <w:r>
        <w:rPr>
          <w:rFonts w:hint="eastAsia"/>
          <w:sz w:val="24"/>
          <w:highlight w:val="none"/>
        </w:rPr>
        <w:t>材料、</w:t>
      </w:r>
      <w:r>
        <w:rPr>
          <w:sz w:val="24"/>
          <w:highlight w:val="none"/>
        </w:rPr>
        <w:t>信息通知买方</w:t>
      </w:r>
      <w:r>
        <w:rPr>
          <w:rFonts w:hint="eastAsia"/>
          <w:sz w:val="24"/>
          <w:highlight w:val="none"/>
        </w:rPr>
        <w:t>：</w:t>
      </w:r>
      <w:r>
        <w:rPr>
          <w:sz w:val="24"/>
          <w:highlight w:val="none"/>
        </w:rPr>
        <w:t>合同号</w:t>
      </w:r>
      <w:r>
        <w:rPr>
          <w:rFonts w:hint="eastAsia"/>
          <w:sz w:val="24"/>
          <w:highlight w:val="none"/>
        </w:rPr>
        <w:t>、</w:t>
      </w:r>
      <w:r>
        <w:rPr>
          <w:sz w:val="24"/>
          <w:highlight w:val="none"/>
        </w:rPr>
        <w:t>货物名称及编号</w:t>
      </w:r>
      <w:r>
        <w:rPr>
          <w:rFonts w:hint="eastAsia"/>
          <w:sz w:val="24"/>
          <w:highlight w:val="none"/>
        </w:rPr>
        <w:t>、货物数量、</w:t>
      </w:r>
      <w:r>
        <w:rPr>
          <w:sz w:val="24"/>
          <w:highlight w:val="none"/>
        </w:rPr>
        <w:t>货物总重量</w:t>
      </w:r>
      <w:r>
        <w:rPr>
          <w:rFonts w:hint="eastAsia"/>
          <w:sz w:val="24"/>
          <w:highlight w:val="none"/>
        </w:rPr>
        <w:t>和【</w:t>
      </w:r>
      <w:r>
        <w:rPr>
          <w:rFonts w:hint="eastAsia"/>
          <w:i/>
          <w:sz w:val="24"/>
          <w:highlight w:val="none"/>
        </w:rPr>
        <w:t>填入其它材料或信息</w:t>
      </w:r>
      <w:r>
        <w:rPr>
          <w:rFonts w:hint="eastAsia"/>
          <w:sz w:val="24"/>
          <w:highlight w:val="none"/>
        </w:rPr>
        <w:t>】。</w:t>
      </w:r>
    </w:p>
    <w:p>
      <w:pPr>
        <w:numPr>
          <w:ilvl w:val="0"/>
          <w:numId w:val="11"/>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包装</w:t>
      </w:r>
    </w:p>
    <w:p>
      <w:pPr>
        <w:pStyle w:val="20"/>
        <w:spacing w:line="360" w:lineRule="auto"/>
        <w:ind w:left="567" w:leftChars="270" w:firstLine="0" w:firstLineChars="0"/>
        <w:rPr>
          <w:rFonts w:hAnsi="宋体"/>
          <w:sz w:val="24"/>
          <w:highlight w:val="none"/>
        </w:rPr>
      </w:pPr>
      <w:r>
        <w:rPr>
          <w:rFonts w:hAnsi="宋体"/>
          <w:sz w:val="24"/>
          <w:highlight w:val="none"/>
        </w:rPr>
        <w:t>卖方应提供将货物</w:t>
      </w:r>
      <w:r>
        <w:rPr>
          <w:rFonts w:hint="eastAsia" w:hAnsi="宋体"/>
          <w:sz w:val="24"/>
          <w:highlight w:val="none"/>
        </w:rPr>
        <w:t>、货物资料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地点所需要的包装，以防止货物</w:t>
      </w:r>
      <w:r>
        <w:rPr>
          <w:rFonts w:hint="eastAsia" w:hAnsi="宋体"/>
          <w:sz w:val="24"/>
          <w:highlight w:val="none"/>
        </w:rPr>
        <w:t>、货物资料</w:t>
      </w:r>
      <w:r>
        <w:rPr>
          <w:rFonts w:hAnsi="宋体"/>
          <w:sz w:val="24"/>
          <w:highlight w:val="none"/>
        </w:rPr>
        <w:t>在运输中损坏或变质。货物</w:t>
      </w:r>
      <w:r>
        <w:rPr>
          <w:rFonts w:hint="eastAsia" w:hAnsi="宋体"/>
          <w:sz w:val="24"/>
          <w:highlight w:val="none"/>
        </w:rPr>
        <w:t>、货物资料</w:t>
      </w:r>
      <w:r>
        <w:rPr>
          <w:rFonts w:hAnsi="宋体"/>
          <w:sz w:val="24"/>
          <w:highlight w:val="none"/>
        </w:rPr>
        <w:t>的包装应采用防潮、防晒、防锈、防腐蚀、防震动、防野蛮装卸及防止其它损坏的必要保护措施，保护货物</w:t>
      </w:r>
      <w:r>
        <w:rPr>
          <w:rFonts w:hint="eastAsia" w:hAnsi="宋体"/>
          <w:sz w:val="24"/>
          <w:highlight w:val="none"/>
        </w:rPr>
        <w:t>、货物资料</w:t>
      </w:r>
      <w:r>
        <w:rPr>
          <w:rFonts w:hAnsi="宋体"/>
          <w:sz w:val="24"/>
          <w:highlight w:val="none"/>
        </w:rPr>
        <w:t>能够经受多次搬运、装卸及远洋和内陆长途运输。</w:t>
      </w:r>
    </w:p>
    <w:p>
      <w:pPr>
        <w:numPr>
          <w:ilvl w:val="0"/>
          <w:numId w:val="11"/>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货物资料的交付</w:t>
      </w:r>
    </w:p>
    <w:p>
      <w:pPr>
        <w:pStyle w:val="20"/>
        <w:numPr>
          <w:ilvl w:val="0"/>
          <w:numId w:val="13"/>
        </w:numPr>
        <w:tabs>
          <w:tab w:val="left" w:pos="709"/>
        </w:tabs>
        <w:spacing w:before="72" w:beforeLines="30" w:after="72" w:afterLines="30" w:line="360" w:lineRule="auto"/>
        <w:ind w:firstLineChars="0"/>
        <w:outlineLvl w:val="0"/>
        <w:rPr>
          <w:sz w:val="24"/>
          <w:highlight w:val="none"/>
        </w:rPr>
      </w:pPr>
      <w:r>
        <w:rPr>
          <w:rFonts w:hint="eastAsia"/>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highlight w:val="none"/>
        </w:rPr>
        <w:t>如买方发现货物资料存在任何</w:t>
      </w:r>
      <w:r>
        <w:rPr>
          <w:rFonts w:hint="eastAsia"/>
          <w:sz w:val="24"/>
          <w:highlight w:val="none"/>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pPr>
        <w:pStyle w:val="20"/>
        <w:numPr>
          <w:ilvl w:val="0"/>
          <w:numId w:val="13"/>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i/>
          <w:sz w:val="24"/>
          <w:highlight w:val="none"/>
        </w:rPr>
        <w:t>填入货物资料的交付信息</w:t>
      </w:r>
      <w:r>
        <w:rPr>
          <w:rFonts w:hint="eastAsia" w:hAnsi="宋体"/>
          <w:sz w:val="24"/>
          <w:highlight w:val="none"/>
        </w:rPr>
        <w:t>】</w:t>
      </w:r>
      <w:r>
        <w:rPr>
          <w:rFonts w:hint="eastAsia"/>
          <w:sz w:val="24"/>
          <w:highlight w:val="none"/>
        </w:rPr>
        <w:t>。</w:t>
      </w:r>
    </w:p>
    <w:p>
      <w:pPr>
        <w:pStyle w:val="10"/>
        <w:numPr>
          <w:ilvl w:val="0"/>
          <w:numId w:val="6"/>
        </w:numPr>
        <w:tabs>
          <w:tab w:val="left" w:pos="567"/>
        </w:tabs>
        <w:spacing w:before="72" w:beforeLines="30" w:after="72" w:afterLines="30" w:line="360" w:lineRule="auto"/>
        <w:ind w:left="567" w:hanging="567"/>
        <w:jc w:val="left"/>
        <w:rPr>
          <w:sz w:val="24"/>
          <w:szCs w:val="24"/>
          <w:highlight w:val="none"/>
        </w:rPr>
      </w:pPr>
      <w:bookmarkStart w:id="45" w:name="_Toc306354315"/>
      <w:r>
        <w:rPr>
          <w:rFonts w:hint="eastAsia"/>
          <w:sz w:val="24"/>
          <w:szCs w:val="24"/>
          <w:highlight w:val="none"/>
        </w:rPr>
        <w:t>货物要求</w:t>
      </w:r>
    </w:p>
    <w:p>
      <w:pPr>
        <w:pStyle w:val="20"/>
        <w:numPr>
          <w:ilvl w:val="0"/>
          <w:numId w:val="14"/>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卖方应根据合同规定</w:t>
      </w:r>
      <w:r>
        <w:rPr>
          <w:rFonts w:hint="eastAsia" w:hAnsi="宋体"/>
          <w:sz w:val="24"/>
          <w:highlight w:val="none"/>
        </w:rPr>
        <w:t>提供</w:t>
      </w:r>
      <w:r>
        <w:rPr>
          <w:rFonts w:hAnsi="宋体"/>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pPr>
        <w:pStyle w:val="20"/>
        <w:numPr>
          <w:ilvl w:val="0"/>
          <w:numId w:val="14"/>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在履行合同过程中，买方接受卖方的有关货物的建议和要求或买方的任何批准、认可不得免除卖方</w:t>
      </w:r>
      <w:r>
        <w:rPr>
          <w:rFonts w:hint="eastAsia" w:hAnsi="宋体"/>
          <w:sz w:val="24"/>
          <w:highlight w:val="none"/>
        </w:rPr>
        <w:t>在本合同项下的任何</w:t>
      </w:r>
      <w:r>
        <w:rPr>
          <w:rFonts w:hAnsi="宋体"/>
          <w:sz w:val="24"/>
          <w:highlight w:val="none"/>
        </w:rPr>
        <w:t>义务（包括卖方对货物应符合本合同</w:t>
      </w:r>
      <w:r>
        <w:rPr>
          <w:rFonts w:hint="eastAsia" w:hAnsi="宋体"/>
          <w:sz w:val="24"/>
          <w:highlight w:val="none"/>
        </w:rPr>
        <w:t>规定的</w:t>
      </w:r>
      <w:r>
        <w:rPr>
          <w:rFonts w:hAnsi="宋体"/>
          <w:sz w:val="24"/>
          <w:highlight w:val="none"/>
        </w:rPr>
        <w:t>质量和规格</w:t>
      </w:r>
      <w:r>
        <w:rPr>
          <w:rFonts w:hint="eastAsia" w:hAnsi="宋体"/>
          <w:sz w:val="24"/>
          <w:highlight w:val="none"/>
        </w:rPr>
        <w:t>等</w:t>
      </w:r>
      <w:r>
        <w:rPr>
          <w:rFonts w:hAnsi="宋体"/>
          <w:sz w:val="24"/>
          <w:highlight w:val="none"/>
        </w:rPr>
        <w:t>要求应承担的责任）。</w:t>
      </w:r>
    </w:p>
    <w:p>
      <w:pPr>
        <w:pStyle w:val="10"/>
        <w:numPr>
          <w:ilvl w:val="0"/>
          <w:numId w:val="6"/>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运输和保险</w:t>
      </w:r>
    </w:p>
    <w:p>
      <w:pPr>
        <w:pStyle w:val="20"/>
        <w:numPr>
          <w:ilvl w:val="0"/>
          <w:numId w:val="15"/>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i/>
          <w:sz w:val="24"/>
          <w:highlight w:val="none"/>
        </w:rPr>
        <w:t>填入运输方式</w:t>
      </w:r>
      <w:r>
        <w:rPr>
          <w:rFonts w:hint="eastAsia" w:hAnsi="宋体"/>
          <w:sz w:val="24"/>
          <w:highlight w:val="none"/>
        </w:rPr>
        <w:t>】</w:t>
      </w:r>
      <w:r>
        <w:rPr>
          <w:rFonts w:hint="eastAsia"/>
          <w:sz w:val="24"/>
          <w:highlight w:val="none"/>
        </w:rPr>
        <w:t>。</w:t>
      </w:r>
    </w:p>
    <w:p>
      <w:pPr>
        <w:pStyle w:val="20"/>
        <w:numPr>
          <w:ilvl w:val="0"/>
          <w:numId w:val="15"/>
        </w:numPr>
        <w:spacing w:before="72" w:beforeLines="30" w:after="72" w:afterLines="30" w:line="360" w:lineRule="auto"/>
        <w:ind w:left="567" w:hanging="567" w:firstLineChars="0"/>
        <w:outlineLvl w:val="0"/>
        <w:rPr>
          <w:rFonts w:hAnsi="宋体"/>
          <w:sz w:val="24"/>
          <w:highlight w:val="none"/>
        </w:rPr>
      </w:pPr>
      <w:r>
        <w:rPr>
          <w:rFonts w:hint="eastAsia"/>
          <w:sz w:val="24"/>
          <w:highlight w:val="none"/>
        </w:rPr>
        <w:t>除非本合同另有明确规定，</w:t>
      </w:r>
      <w:r>
        <w:rPr>
          <w:rFonts w:hAnsi="宋体"/>
          <w:sz w:val="24"/>
          <w:highlight w:val="none"/>
        </w:rPr>
        <w:t>卖方负责将货物</w:t>
      </w:r>
      <w:r>
        <w:rPr>
          <w:rFonts w:hint="eastAsia" w:hAnsi="宋体"/>
          <w:sz w:val="24"/>
          <w:highlight w:val="none"/>
        </w:rPr>
        <w:t>及配套软件、货物资料</w:t>
      </w:r>
      <w:r>
        <w:rPr>
          <w:rFonts w:hAnsi="宋体"/>
          <w:sz w:val="24"/>
          <w:highlight w:val="none"/>
        </w:rPr>
        <w:t>运至交货地点，运输费用全部包含于合同总价中。如卖方需改变本合同规定的运输方式，卖方应提前</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rFonts w:hAnsi="宋体"/>
          <w:sz w:val="24"/>
          <w:highlight w:val="none"/>
        </w:rPr>
        <w:t>通知买方，并获得买方的书面认可</w:t>
      </w:r>
      <w:r>
        <w:rPr>
          <w:rFonts w:hint="eastAsia" w:hAnsi="宋体"/>
          <w:sz w:val="24"/>
          <w:highlight w:val="none"/>
        </w:rPr>
        <w:t>。</w:t>
      </w:r>
    </w:p>
    <w:p>
      <w:pPr>
        <w:pStyle w:val="20"/>
        <w:numPr>
          <w:ilvl w:val="0"/>
          <w:numId w:val="15"/>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货物在交货地点的卸货由卖方负责，卸货费用由卖方承担，卖方应在买方指定的地点卸货，且遵守买方有关卸货的指示</w:t>
      </w:r>
      <w:r>
        <w:rPr>
          <w:rFonts w:hint="eastAsia" w:hAnsi="宋体"/>
          <w:sz w:val="24"/>
          <w:highlight w:val="none"/>
        </w:rPr>
        <w:t>。</w:t>
      </w:r>
    </w:p>
    <w:p>
      <w:pPr>
        <w:pStyle w:val="20"/>
        <w:numPr>
          <w:ilvl w:val="0"/>
          <w:numId w:val="15"/>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卖方承担与货物</w:t>
      </w:r>
      <w:r>
        <w:rPr>
          <w:rFonts w:hint="eastAsia" w:hAnsi="宋体"/>
          <w:sz w:val="24"/>
          <w:highlight w:val="none"/>
        </w:rPr>
        <w:t>和货物资料</w:t>
      </w:r>
      <w:r>
        <w:rPr>
          <w:rFonts w:hAnsi="宋体"/>
          <w:sz w:val="24"/>
          <w:highlight w:val="none"/>
        </w:rPr>
        <w:t>运输相关的全部费用，该等费用已包含于合同总价中。</w:t>
      </w:r>
    </w:p>
    <w:p>
      <w:pPr>
        <w:pStyle w:val="20"/>
        <w:numPr>
          <w:ilvl w:val="0"/>
          <w:numId w:val="15"/>
        </w:numPr>
        <w:spacing w:line="360" w:lineRule="auto"/>
        <w:ind w:left="567" w:hanging="567" w:firstLineChars="0"/>
        <w:rPr>
          <w:sz w:val="24"/>
          <w:highlight w:val="none"/>
        </w:rPr>
      </w:pPr>
      <w:r>
        <w:rPr>
          <w:rFonts w:hint="eastAsia"/>
          <w:sz w:val="24"/>
          <w:highlight w:val="none"/>
        </w:rPr>
        <w:t>运输保险</w:t>
      </w:r>
    </w:p>
    <w:p>
      <w:pPr>
        <w:pStyle w:val="20"/>
        <w:spacing w:line="360" w:lineRule="auto"/>
        <w:ind w:left="567" w:firstLine="0" w:firstLineChars="0"/>
        <w:rPr>
          <w:rFonts w:hAnsi="宋体"/>
          <w:bCs/>
          <w:sz w:val="24"/>
          <w:highlight w:val="none"/>
        </w:rPr>
      </w:pPr>
      <w:r>
        <w:rPr>
          <w:rFonts w:hAnsi="宋体"/>
          <w:sz w:val="24"/>
          <w:highlight w:val="none"/>
        </w:rPr>
        <w:t>卖方应</w:t>
      </w:r>
      <w:r>
        <w:rPr>
          <w:rFonts w:hAnsi="宋体"/>
          <w:bCs/>
          <w:sz w:val="24"/>
          <w:highlight w:val="none"/>
        </w:rPr>
        <w:t>根据运输方式，向</w:t>
      </w:r>
      <w:r>
        <w:rPr>
          <w:rFonts w:hint="eastAsia" w:hAnsi="宋体"/>
          <w:bCs/>
          <w:sz w:val="24"/>
          <w:highlight w:val="none"/>
        </w:rPr>
        <w:t>买方认可的、拥有合法资质的著名保险公司投保货物运输一切险或综合险，保险</w:t>
      </w:r>
      <w:r>
        <w:rPr>
          <w:rFonts w:hAnsi="宋体"/>
          <w:bCs/>
          <w:sz w:val="24"/>
          <w:highlight w:val="none"/>
        </w:rPr>
        <w:t>金额不低于合同总价，</w:t>
      </w:r>
      <w:r>
        <w:rPr>
          <w:rFonts w:hint="eastAsia" w:hAnsi="宋体"/>
          <w:bCs/>
          <w:sz w:val="24"/>
          <w:highlight w:val="none"/>
        </w:rPr>
        <w:t>并将买方列为共同被保险人或受益人。保障</w:t>
      </w:r>
      <w:r>
        <w:rPr>
          <w:rFonts w:hAnsi="宋体"/>
          <w:bCs/>
          <w:sz w:val="24"/>
          <w:highlight w:val="none"/>
        </w:rPr>
        <w:t>区段为卖方制造厂存储货物的仓库到项目现场用于存储货物的仓库，</w:t>
      </w:r>
      <w:r>
        <w:rPr>
          <w:rFonts w:hint="eastAsia" w:hAnsi="宋体"/>
          <w:bCs/>
          <w:sz w:val="24"/>
          <w:highlight w:val="none"/>
        </w:rPr>
        <w:t>保险期限</w:t>
      </w:r>
      <w:r>
        <w:rPr>
          <w:rFonts w:hAnsi="宋体"/>
          <w:bCs/>
          <w:sz w:val="24"/>
          <w:highlight w:val="none"/>
        </w:rPr>
        <w:t>始于装货（含装货）止于</w:t>
      </w:r>
      <w:r>
        <w:rPr>
          <w:rFonts w:hint="eastAsia" w:hAnsi="宋体"/>
          <w:bCs/>
          <w:sz w:val="24"/>
          <w:highlight w:val="none"/>
        </w:rPr>
        <w:t>【</w:t>
      </w:r>
      <w:r>
        <w:rPr>
          <w:rFonts w:hint="eastAsia" w:hAnsi="宋体"/>
          <w:bCs/>
          <w:i/>
          <w:sz w:val="24"/>
          <w:highlight w:val="none"/>
        </w:rPr>
        <w:t>填入保险期限截止日期，如</w:t>
      </w:r>
      <w:r>
        <w:rPr>
          <w:rFonts w:hAnsi="宋体"/>
          <w:bCs/>
          <w:i/>
          <w:sz w:val="24"/>
          <w:highlight w:val="none"/>
        </w:rPr>
        <w:t>卸货后</w:t>
      </w:r>
      <w:r>
        <w:rPr>
          <w:rFonts w:hint="eastAsia" w:hAnsi="宋体"/>
          <w:bCs/>
          <w:i/>
          <w:sz w:val="24"/>
          <w:highlight w:val="none"/>
        </w:rPr>
        <w:t>十五（15）</w:t>
      </w:r>
      <w:r>
        <w:rPr>
          <w:rFonts w:hint="eastAsia" w:hAnsi="宋体"/>
          <w:bCs/>
          <w:sz w:val="24"/>
          <w:highlight w:val="none"/>
        </w:rPr>
        <w:t>】</w:t>
      </w:r>
      <w:r>
        <w:rPr>
          <w:rFonts w:hAnsi="宋体"/>
          <w:bCs/>
          <w:sz w:val="24"/>
          <w:highlight w:val="none"/>
        </w:rPr>
        <w:t>日。</w:t>
      </w:r>
    </w:p>
    <w:p>
      <w:pPr>
        <w:pStyle w:val="20"/>
        <w:numPr>
          <w:ilvl w:val="0"/>
          <w:numId w:val="15"/>
        </w:numPr>
        <w:spacing w:line="360" w:lineRule="auto"/>
        <w:ind w:firstLineChars="0"/>
        <w:rPr>
          <w:sz w:val="24"/>
          <w:highlight w:val="none"/>
        </w:rPr>
      </w:pPr>
      <w:r>
        <w:rPr>
          <w:rFonts w:hint="eastAsia"/>
          <w:highlight w:val="none"/>
        </w:rPr>
        <w:t xml:space="preserve"> </w:t>
      </w:r>
      <w:r>
        <w:rPr>
          <w:rFonts w:hint="eastAsia"/>
          <w:sz w:val="24"/>
          <w:highlight w:val="none"/>
        </w:rPr>
        <w:t>关于运输、卸货等内容的特别约定：【</w:t>
      </w:r>
      <w:r>
        <w:rPr>
          <w:rFonts w:hint="eastAsia"/>
          <w:i/>
          <w:sz w:val="24"/>
          <w:highlight w:val="none"/>
        </w:rPr>
        <w:t>如果双方对于运输、卸货等内容有特别约定，请在此处进行约定，同时，如果本条款的约定与本合同中其它条款的约定不一致，应相应进行调整和修改以保持一致</w:t>
      </w:r>
      <w:r>
        <w:rPr>
          <w:rFonts w:hint="eastAsia"/>
          <w:sz w:val="24"/>
          <w:highlight w:val="none"/>
        </w:rPr>
        <w:t>】</w:t>
      </w:r>
    </w:p>
    <w:p>
      <w:pPr>
        <w:pStyle w:val="10"/>
        <w:numPr>
          <w:ilvl w:val="0"/>
          <w:numId w:val="6"/>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验收</w:t>
      </w:r>
      <w:bookmarkEnd w:id="45"/>
    </w:p>
    <w:p>
      <w:pPr>
        <w:numPr>
          <w:ilvl w:val="0"/>
          <w:numId w:val="16"/>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sz w:val="24"/>
          <w:highlight w:val="none"/>
        </w:rPr>
        <w:t>合同货物交付前，卖方应对其进行全面检验，并在交付货物时向买方提交货物的质量合格证书。</w:t>
      </w:r>
    </w:p>
    <w:p>
      <w:pPr>
        <w:numPr>
          <w:ilvl w:val="0"/>
          <w:numId w:val="16"/>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hAnsi="宋体"/>
          <w:sz w:val="24"/>
          <w:highlight w:val="none"/>
        </w:rPr>
        <w:t>货物运抵交货地点时，双方应共同对货物进行验收。如果货物通过验收，买方向卖方签发验收证明。如货物不符合本合同的规定，买方有权拒绝接受货物。</w:t>
      </w:r>
    </w:p>
    <w:p>
      <w:pPr>
        <w:numPr>
          <w:ilvl w:val="0"/>
          <w:numId w:val="16"/>
        </w:numPr>
        <w:tabs>
          <w:tab w:val="left" w:pos="567"/>
          <w:tab w:val="left" w:pos="709"/>
          <w:tab w:val="clear" w:pos="1860"/>
        </w:tabs>
        <w:snapToGrid w:val="0"/>
        <w:spacing w:before="72" w:beforeLines="30" w:after="72" w:afterLines="30" w:line="360" w:lineRule="auto"/>
        <w:ind w:left="567" w:hanging="567"/>
        <w:rPr>
          <w:sz w:val="24"/>
          <w:highlight w:val="none"/>
        </w:rPr>
      </w:pPr>
      <w:r>
        <w:rPr>
          <w:rFonts w:hint="eastAsia" w:hAnsi="宋体"/>
          <w:sz w:val="24"/>
          <w:highlight w:val="none"/>
        </w:rPr>
        <w:t>买方验收货物不减少、免除卖方在本合同项下的任何义务（包括卖方对货物应符合本合同质量、规格要求应承担的责任）。</w:t>
      </w:r>
    </w:p>
    <w:p>
      <w:pPr>
        <w:pStyle w:val="10"/>
        <w:numPr>
          <w:ilvl w:val="0"/>
          <w:numId w:val="6"/>
        </w:numPr>
        <w:tabs>
          <w:tab w:val="left" w:pos="567"/>
        </w:tabs>
        <w:spacing w:before="72" w:beforeLines="30" w:after="72" w:afterLines="30" w:line="360" w:lineRule="auto"/>
        <w:ind w:left="567" w:hanging="567"/>
        <w:jc w:val="left"/>
        <w:rPr>
          <w:rFonts w:ascii="Times New Roman" w:hAnsi="Times New Roman"/>
          <w:sz w:val="24"/>
          <w:szCs w:val="24"/>
          <w:highlight w:val="none"/>
        </w:rPr>
      </w:pPr>
      <w:bookmarkStart w:id="46" w:name="_Toc274668240"/>
      <w:bookmarkStart w:id="47" w:name="_Toc274343583"/>
      <w:bookmarkStart w:id="48" w:name="_Toc274403515"/>
      <w:bookmarkStart w:id="49" w:name="_Toc274344115"/>
      <w:bookmarkStart w:id="50" w:name="_Toc273388613"/>
      <w:bookmarkStart w:id="51" w:name="_Toc273458613"/>
      <w:bookmarkStart w:id="52" w:name="_Toc273451799"/>
      <w:bookmarkStart w:id="53" w:name="_Toc273388514"/>
      <w:bookmarkStart w:id="54" w:name="_Toc298158366"/>
      <w:bookmarkStart w:id="55" w:name="_Toc306354316"/>
      <w:bookmarkStart w:id="56" w:name="_Toc274669181"/>
      <w:bookmarkStart w:id="57" w:name="_Toc274075980"/>
      <w:bookmarkStart w:id="58" w:name="_Toc274754050"/>
      <w:bookmarkStart w:id="59" w:name="_Toc278875415"/>
      <w:r>
        <w:rPr>
          <w:rFonts w:ascii="Times New Roman" w:hAnsi="Times New Roman"/>
          <w:sz w:val="24"/>
          <w:szCs w:val="24"/>
          <w:highlight w:val="none"/>
        </w:rPr>
        <w:t>风险和</w:t>
      </w:r>
      <w:r>
        <w:rPr>
          <w:rFonts w:hint="eastAsia" w:ascii="Times New Roman" w:hAnsi="Times New Roman"/>
          <w:sz w:val="24"/>
          <w:szCs w:val="24"/>
          <w:highlight w:val="none"/>
        </w:rPr>
        <w:t>所有</w:t>
      </w:r>
      <w:r>
        <w:rPr>
          <w:rFonts w:ascii="Times New Roman" w:hAnsi="Times New Roman"/>
          <w:sz w:val="24"/>
          <w:szCs w:val="24"/>
          <w:highlight w:val="none"/>
        </w:rPr>
        <w:t>权的转移</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numPr>
          <w:ilvl w:val="0"/>
          <w:numId w:val="1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除非本合同另有明确规定，</w:t>
      </w:r>
      <w:r>
        <w:rPr>
          <w:rFonts w:hint="eastAsia"/>
          <w:sz w:val="24"/>
          <w:highlight w:val="none"/>
        </w:rPr>
        <w:t>卖方</w:t>
      </w:r>
      <w:r>
        <w:rPr>
          <w:sz w:val="24"/>
          <w:highlight w:val="none"/>
        </w:rPr>
        <w:t>在指定交货地点</w:t>
      </w:r>
      <w:r>
        <w:rPr>
          <w:rFonts w:hint="eastAsia"/>
          <w:sz w:val="24"/>
          <w:highlight w:val="none"/>
        </w:rPr>
        <w:t>将货物交付给买方且买方签收货物之</w:t>
      </w:r>
      <w:r>
        <w:rPr>
          <w:sz w:val="24"/>
          <w:highlight w:val="none"/>
        </w:rPr>
        <w:t>前</w:t>
      </w:r>
      <w:r>
        <w:rPr>
          <w:rFonts w:hint="eastAsia"/>
          <w:sz w:val="24"/>
          <w:highlight w:val="none"/>
        </w:rPr>
        <w:t>，货物的一切</w:t>
      </w:r>
      <w:r>
        <w:rPr>
          <w:sz w:val="24"/>
          <w:highlight w:val="none"/>
        </w:rPr>
        <w:t>风险</w:t>
      </w:r>
      <w:r>
        <w:rPr>
          <w:rFonts w:hint="eastAsia"/>
          <w:sz w:val="24"/>
          <w:highlight w:val="none"/>
        </w:rPr>
        <w:t>（</w:t>
      </w:r>
      <w:r>
        <w:rPr>
          <w:sz w:val="24"/>
          <w:highlight w:val="none"/>
        </w:rPr>
        <w:t>包括</w:t>
      </w:r>
      <w:r>
        <w:rPr>
          <w:rFonts w:hint="eastAsia"/>
          <w:sz w:val="24"/>
          <w:highlight w:val="none"/>
        </w:rPr>
        <w:t>货物</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）由卖方承担。卖方在指定交货地点将货物交付给买方且买方签收货物之后，货物</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p>
    <w:p>
      <w:pPr>
        <w:numPr>
          <w:ilvl w:val="0"/>
          <w:numId w:val="17"/>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未经买方同意，卖方将货物留置或自行处置，不得视为货物合法、有效地交付买方。未经合法、有效交付，货物的风险仍由卖方承担。</w:t>
      </w:r>
    </w:p>
    <w:p>
      <w:pPr>
        <w:numPr>
          <w:ilvl w:val="0"/>
          <w:numId w:val="17"/>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虽然有前述规定，但是，如果货物的风险系因卖方违反合同规定、卖方的过错或者其它可归咎于卖方的原因造成的，货物的风险由卖方承担。</w:t>
      </w:r>
    </w:p>
    <w:p>
      <w:pPr>
        <w:numPr>
          <w:ilvl w:val="0"/>
          <w:numId w:val="17"/>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货物</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pPr>
        <w:tabs>
          <w:tab w:val="left" w:pos="709"/>
          <w:tab w:val="left" w:pos="3060"/>
        </w:tabs>
        <w:spacing w:before="72" w:beforeLines="30" w:after="72" w:afterLines="30" w:line="360" w:lineRule="auto"/>
        <w:rPr>
          <w:i/>
          <w:sz w:val="24"/>
          <w:highlight w:val="none"/>
          <w:u w:val="single"/>
        </w:rPr>
      </w:pPr>
      <w:r>
        <w:rPr>
          <w:rFonts w:hint="eastAsia"/>
          <w:i/>
          <w:sz w:val="24"/>
          <w:highlight w:val="none"/>
          <w:u w:val="single"/>
        </w:rPr>
        <w:t>可选择条款—第九条技术服务条款，如不适用请删除</w:t>
      </w:r>
    </w:p>
    <w:p>
      <w:pPr>
        <w:pStyle w:val="10"/>
        <w:numPr>
          <w:ilvl w:val="0"/>
          <w:numId w:val="6"/>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60" w:name="_Toc306354317"/>
      <w:r>
        <w:rPr>
          <w:rFonts w:hint="eastAsia" w:ascii="Times New Roman" w:hAnsi="Times New Roman"/>
          <w:sz w:val="24"/>
          <w:szCs w:val="24"/>
          <w:highlight w:val="none"/>
        </w:rPr>
        <w:t>技术服务</w:t>
      </w:r>
    </w:p>
    <w:p>
      <w:pPr>
        <w:numPr>
          <w:ilvl w:val="0"/>
          <w:numId w:val="18"/>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卖方应根据本合同的规定提供技术服务。相关费用已经包含在合同总价中，技术服务的内容和具体要求【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pPr>
        <w:numPr>
          <w:ilvl w:val="0"/>
          <w:numId w:val="18"/>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pPr>
        <w:numPr>
          <w:ilvl w:val="0"/>
          <w:numId w:val="18"/>
        </w:numPr>
        <w:tabs>
          <w:tab w:val="left" w:pos="567"/>
        </w:tabs>
        <w:snapToGrid w:val="0"/>
        <w:spacing w:before="72" w:beforeLines="30" w:after="72" w:afterLines="30" w:line="360" w:lineRule="auto"/>
        <w:ind w:left="567" w:hanging="567"/>
        <w:rPr>
          <w:sz w:val="24"/>
          <w:highlight w:val="none"/>
        </w:rPr>
      </w:pPr>
      <w:bookmarkStart w:id="61" w:name="_DV_C687"/>
      <w:r>
        <w:rPr>
          <w:rFonts w:hint="eastAsia" w:hAnsi="宋体"/>
          <w:sz w:val="24"/>
          <w:highlight w:val="none"/>
        </w:rPr>
        <w:t>如果买方认为卖方指派的服务人员提供的技术服务无法满足本合同的要求，卖方应更换服务人员并负担由此产生的全部费用。</w:t>
      </w:r>
      <w:bookmarkEnd w:id="61"/>
    </w:p>
    <w:p>
      <w:pPr>
        <w:numPr>
          <w:ilvl w:val="0"/>
          <w:numId w:val="18"/>
        </w:numPr>
        <w:tabs>
          <w:tab w:val="left" w:pos="567"/>
        </w:tabs>
        <w:snapToGrid w:val="0"/>
        <w:spacing w:before="72" w:beforeLines="30" w:after="72" w:afterLines="30" w:line="360" w:lineRule="auto"/>
        <w:ind w:left="567" w:hanging="567"/>
        <w:rPr>
          <w:sz w:val="24"/>
          <w:highlight w:val="none"/>
        </w:rPr>
      </w:pPr>
      <w:r>
        <w:rPr>
          <w:rFonts w:hint="eastAsia"/>
          <w:sz w:val="24"/>
          <w:highlight w:val="none"/>
        </w:rPr>
        <w:t>卖方指派的服务人员在为买方提供技术服务期间所遭受的人身和财产损失由卖方自行承担，除非该人身损害系因买方造成或该财产损失系因买方重大过失造成。</w:t>
      </w:r>
    </w:p>
    <w:p>
      <w:pPr>
        <w:pStyle w:val="10"/>
        <w:numPr>
          <w:ilvl w:val="0"/>
          <w:numId w:val="6"/>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权利保证</w:t>
      </w:r>
      <w:bookmarkEnd w:id="60"/>
    </w:p>
    <w:p>
      <w:pPr>
        <w:widowControl/>
        <w:numPr>
          <w:ilvl w:val="0"/>
          <w:numId w:val="19"/>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，货物</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pPr>
        <w:widowControl/>
        <w:numPr>
          <w:ilvl w:val="0"/>
          <w:numId w:val="19"/>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货物交付前，</w:t>
      </w:r>
      <w:r>
        <w:rPr>
          <w:sz w:val="24"/>
          <w:highlight w:val="none"/>
        </w:rPr>
        <w:t>卖方</w:t>
      </w:r>
      <w:r>
        <w:rPr>
          <w:rFonts w:hint="eastAsia"/>
          <w:sz w:val="24"/>
          <w:highlight w:val="none"/>
        </w:rPr>
        <w:t>对其货物享有完整的所有权，且货物上不存在任何形式的担保物权及其它任何权利负担，亦未</w:t>
      </w:r>
      <w:r>
        <w:rPr>
          <w:sz w:val="24"/>
          <w:highlight w:val="none"/>
        </w:rPr>
        <w:t>侵犯任何第三方的</w:t>
      </w:r>
      <w:r>
        <w:rPr>
          <w:rFonts w:hint="eastAsia"/>
          <w:sz w:val="24"/>
          <w:highlight w:val="none"/>
        </w:rPr>
        <w:t>权利。</w:t>
      </w:r>
    </w:p>
    <w:p>
      <w:pPr>
        <w:widowControl/>
        <w:numPr>
          <w:ilvl w:val="0"/>
          <w:numId w:val="19"/>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如货物侵犯任何第三方的权利（包括</w:t>
      </w:r>
      <w:r>
        <w:rPr>
          <w:sz w:val="24"/>
          <w:highlight w:val="none"/>
        </w:rPr>
        <w:t>知识产权</w:t>
      </w:r>
      <w:r>
        <w:rPr>
          <w:rFonts w:hint="eastAsia"/>
          <w:sz w:val="24"/>
          <w:highlight w:val="none"/>
        </w:rPr>
        <w:t>）</w:t>
      </w:r>
      <w:r>
        <w:rPr>
          <w:sz w:val="24"/>
          <w:highlight w:val="none"/>
        </w:rPr>
        <w:t>，卖方应根据买方</w:t>
      </w:r>
      <w:r>
        <w:rPr>
          <w:rFonts w:hint="eastAsia"/>
          <w:sz w:val="24"/>
          <w:highlight w:val="none"/>
        </w:rPr>
        <w:t>的</w:t>
      </w:r>
      <w:r>
        <w:rPr>
          <w:sz w:val="24"/>
          <w:highlight w:val="none"/>
        </w:rPr>
        <w:t>要求</w:t>
      </w:r>
      <w:r>
        <w:rPr>
          <w:rFonts w:hint="eastAsia"/>
          <w:sz w:val="24"/>
          <w:highlight w:val="none"/>
        </w:rPr>
        <w:t>自行承担费用</w:t>
      </w:r>
      <w:r>
        <w:rPr>
          <w:sz w:val="24"/>
          <w:highlight w:val="none"/>
        </w:rPr>
        <w:t>采取一切措施确保买方继续获得</w:t>
      </w:r>
      <w:r>
        <w:rPr>
          <w:rFonts w:hint="eastAsia"/>
          <w:sz w:val="24"/>
          <w:highlight w:val="none"/>
        </w:rPr>
        <w:t>货物</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货物的全部权益（包括但不限于知识产权），或采用</w:t>
      </w:r>
      <w:r>
        <w:rPr>
          <w:sz w:val="24"/>
          <w:highlight w:val="none"/>
        </w:rPr>
        <w:t>不侵权的材料、零部件、设计、技术、工艺、方法对</w:t>
      </w:r>
      <w:r>
        <w:rPr>
          <w:rFonts w:hint="eastAsia"/>
          <w:sz w:val="24"/>
          <w:highlight w:val="none"/>
        </w:rPr>
        <w:t>货物</w:t>
      </w:r>
      <w:r>
        <w:rPr>
          <w:sz w:val="24"/>
          <w:highlight w:val="none"/>
        </w:rPr>
        <w:t>进行变更，变更后</w:t>
      </w:r>
      <w:r>
        <w:rPr>
          <w:rFonts w:hint="eastAsia"/>
          <w:sz w:val="24"/>
          <w:highlight w:val="none"/>
        </w:rPr>
        <w:t>货物</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货物</w:t>
      </w:r>
      <w:r>
        <w:rPr>
          <w:sz w:val="24"/>
          <w:highlight w:val="none"/>
        </w:rPr>
        <w:t>。</w:t>
      </w:r>
    </w:p>
    <w:p>
      <w:pPr>
        <w:widowControl/>
        <w:numPr>
          <w:ilvl w:val="0"/>
          <w:numId w:val="19"/>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双方同意，除非本合同另有约定，货物交付且买方按照本合同约定支付合同价款之后，买方</w:t>
      </w:r>
      <w:r>
        <w:rPr>
          <w:rFonts w:hint="eastAsia"/>
          <w:color w:val="000000"/>
          <w:sz w:val="24"/>
          <w:highlight w:val="none"/>
        </w:rPr>
        <w:t>不自动获得并拥有货物自身附有的相关知识产权，但</w:t>
      </w:r>
      <w:r>
        <w:rPr>
          <w:rFonts w:hint="eastAsia"/>
          <w:sz w:val="24"/>
          <w:highlight w:val="none"/>
        </w:rPr>
        <w:t>卖方同意无偿许可买方使用与货物有关的所有知识产权。</w:t>
      </w:r>
    </w:p>
    <w:p>
      <w:pPr>
        <w:pStyle w:val="10"/>
        <w:numPr>
          <w:ilvl w:val="0"/>
          <w:numId w:val="6"/>
        </w:numPr>
        <w:tabs>
          <w:tab w:val="left" w:pos="993"/>
        </w:tabs>
        <w:spacing w:before="72" w:beforeLines="30" w:after="72" w:afterLines="30" w:line="360" w:lineRule="auto"/>
        <w:ind w:left="567" w:hanging="567"/>
        <w:jc w:val="left"/>
        <w:rPr>
          <w:sz w:val="24"/>
          <w:szCs w:val="24"/>
          <w:highlight w:val="none"/>
        </w:rPr>
      </w:pPr>
      <w:bookmarkStart w:id="62" w:name="_Toc306354318"/>
      <w:r>
        <w:rPr>
          <w:rFonts w:hint="eastAsia"/>
          <w:sz w:val="24"/>
          <w:szCs w:val="24"/>
          <w:highlight w:val="none"/>
        </w:rPr>
        <w:t xml:space="preserve"> </w:t>
      </w:r>
      <w:r>
        <w:rPr>
          <w:sz w:val="24"/>
          <w:szCs w:val="24"/>
          <w:highlight w:val="none"/>
        </w:rPr>
        <w:t>质量保证</w:t>
      </w:r>
      <w:bookmarkEnd w:id="62"/>
    </w:p>
    <w:p>
      <w:pPr>
        <w:numPr>
          <w:ilvl w:val="0"/>
          <w:numId w:val="20"/>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highlight w:val="none"/>
        </w:rPr>
        <w:t>卖方特此保证提供的货物</w:t>
      </w:r>
      <w:r>
        <w:rPr>
          <w:rFonts w:hint="eastAsia"/>
          <w:sz w:val="24"/>
          <w:highlight w:val="none"/>
        </w:rPr>
        <w:t>是崭新、从未使用过的，采用先进技术制造，具备优良的制造工艺和水平，符合本合同规定的要求，不存在任何缺陷。</w:t>
      </w:r>
    </w:p>
    <w:p>
      <w:pPr>
        <w:numPr>
          <w:ilvl w:val="0"/>
          <w:numId w:val="20"/>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000000"/>
          <w:sz w:val="24"/>
          <w:highlight w:val="none"/>
        </w:rPr>
      </w:pPr>
      <w:r>
        <w:rPr>
          <w:rFonts w:hint="eastAsia"/>
          <w:sz w:val="24"/>
          <w:highlight w:val="none"/>
        </w:rPr>
        <w:t>货物的质保期为货物到货验收合格后</w:t>
      </w:r>
      <w:r>
        <w:rPr>
          <w:rFonts w:hint="eastAsia"/>
          <w:color w:val="000000"/>
          <w:sz w:val="24"/>
          <w:highlight w:val="none"/>
        </w:rPr>
        <w:t>【</w:t>
      </w:r>
      <w:r>
        <w:rPr>
          <w:rFonts w:hint="eastAsia"/>
          <w:i/>
          <w:color w:val="000000"/>
          <w:sz w:val="24"/>
          <w:highlight w:val="none"/>
        </w:rPr>
        <w:t>填入月数</w:t>
      </w:r>
      <w:r>
        <w:rPr>
          <w:rFonts w:hint="eastAsia"/>
          <w:color w:val="000000"/>
          <w:sz w:val="24"/>
          <w:highlight w:val="none"/>
        </w:rPr>
        <w:t>】个月。</w:t>
      </w:r>
    </w:p>
    <w:p>
      <w:pPr>
        <w:numPr>
          <w:ilvl w:val="0"/>
          <w:numId w:val="20"/>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（3）退货。卖方承担由此产生的费用。</w:t>
      </w:r>
    </w:p>
    <w:p>
      <w:pPr>
        <w:numPr>
          <w:ilvl w:val="0"/>
          <w:numId w:val="20"/>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对于任何修复或更换，卖方应在收到</w:t>
      </w:r>
      <w:r>
        <w:rPr>
          <w:rFonts w:hint="eastAsia" w:hAnsi="宋体"/>
          <w:sz w:val="24"/>
          <w:highlight w:val="none"/>
        </w:rPr>
        <w:t>买方发出的</w:t>
      </w:r>
      <w:r>
        <w:rPr>
          <w:rFonts w:hAnsi="宋体"/>
          <w:sz w:val="24"/>
          <w:highlight w:val="none"/>
        </w:rPr>
        <w:t>货物缺陷通知后</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w:t>
      </w:r>
      <w:r>
        <w:rPr>
          <w:rFonts w:hint="eastAsia" w:hAnsi="宋体"/>
          <w:sz w:val="24"/>
          <w:highlight w:val="none"/>
        </w:rPr>
        <w:t>日</w:t>
      </w:r>
      <w:r>
        <w:rPr>
          <w:rFonts w:hAnsi="宋体"/>
          <w:sz w:val="24"/>
          <w:highlight w:val="none"/>
        </w:rPr>
        <w:t>内完成。</w:t>
      </w:r>
      <w:r>
        <w:rPr>
          <w:rFonts w:hint="eastAsia" w:hAnsi="宋体"/>
          <w:sz w:val="24"/>
          <w:highlight w:val="none"/>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highlight w:val="none"/>
        </w:rPr>
        <w:t>如经修复、更换仍无法消除该等缺陷，买方有权要求退货。卖方应赔偿买方因货物存在前述缺陷遭受的全部损失。</w:t>
      </w:r>
    </w:p>
    <w:p>
      <w:pPr>
        <w:numPr>
          <w:ilvl w:val="0"/>
          <w:numId w:val="20"/>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如在质保期内发生</w:t>
      </w:r>
      <w:r>
        <w:rPr>
          <w:rFonts w:hint="eastAsia" w:hAnsi="宋体"/>
          <w:sz w:val="24"/>
          <w:highlight w:val="none"/>
        </w:rPr>
        <w:t>维修、重作、更换以弥补缺陷事件，</w:t>
      </w:r>
      <w:r>
        <w:rPr>
          <w:rFonts w:hAnsi="宋体"/>
          <w:sz w:val="24"/>
          <w:highlight w:val="none"/>
        </w:rPr>
        <w:t>则相应的质保期应重新计算</w:t>
      </w:r>
      <w:r>
        <w:rPr>
          <w:rFonts w:hint="eastAsia" w:hAnsi="宋体"/>
          <w:sz w:val="24"/>
          <w:highlight w:val="none"/>
        </w:rPr>
        <w:t>。</w:t>
      </w:r>
    </w:p>
    <w:p>
      <w:pPr>
        <w:numPr>
          <w:ilvl w:val="0"/>
          <w:numId w:val="20"/>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hAnsi="宋体"/>
          <w:sz w:val="24"/>
          <w:highlight w:val="none"/>
        </w:rPr>
        <w:t>质保期结束，买方向卖方签发货物最终接收证书。买方签发最终接收证书不减少、免除卖方在本合同项下的任何义务（包括卖方对货物应符合本合同质量、规格要求应承担的责任）。</w:t>
      </w:r>
    </w:p>
    <w:p>
      <w:pPr>
        <w:pStyle w:val="10"/>
        <w:numPr>
          <w:ilvl w:val="0"/>
          <w:numId w:val="6"/>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63" w:name="_Toc274075964"/>
      <w:bookmarkStart w:id="64" w:name="_Toc298158368"/>
      <w:bookmarkStart w:id="65" w:name="_Toc274668241"/>
      <w:bookmarkStart w:id="66" w:name="_Toc274344116"/>
      <w:bookmarkStart w:id="67" w:name="_Toc273451839"/>
      <w:bookmarkStart w:id="68" w:name="_Toc273451906"/>
      <w:bookmarkStart w:id="69" w:name="_Toc274076152"/>
      <w:bookmarkStart w:id="70" w:name="_Toc274403516"/>
      <w:bookmarkStart w:id="71" w:name="_Toc274343584"/>
      <w:bookmarkStart w:id="72" w:name="_Toc278875417"/>
      <w:bookmarkStart w:id="73" w:name="_Toc274754051"/>
      <w:bookmarkStart w:id="74" w:name="_Toc274669182"/>
      <w:bookmarkStart w:id="75" w:name="_Toc306354320"/>
      <w:bookmarkStart w:id="76" w:name="_Toc273388618"/>
      <w:bookmarkStart w:id="77" w:name="_Toc273451804"/>
      <w:bookmarkStart w:id="78" w:name="_Toc273388519"/>
      <w:bookmarkStart w:id="79" w:name="_Toc274075986"/>
      <w:bookmarkStart w:id="80" w:name="_Toc273458618"/>
      <w:r>
        <w:rPr>
          <w:rFonts w:hint="eastAsia" w:ascii="Times New Roman" w:hAnsi="Times New Roman"/>
          <w:sz w:val="24"/>
          <w:szCs w:val="24"/>
          <w:highlight w:val="none"/>
        </w:rPr>
        <w:t xml:space="preserve"> </w:t>
      </w:r>
      <w:r>
        <w:rPr>
          <w:rFonts w:ascii="Times New Roman" w:hAnsi="Times New Roman"/>
          <w:sz w:val="24"/>
          <w:szCs w:val="24"/>
          <w:highlight w:val="none"/>
        </w:rPr>
        <w:t>违约责任</w:t>
      </w:r>
      <w:bookmarkEnd w:id="63"/>
      <w:bookmarkEnd w:id="64"/>
      <w:bookmarkEnd w:id="65"/>
      <w:bookmarkEnd w:id="66"/>
      <w:bookmarkEnd w:id="67"/>
      <w:bookmarkEnd w:id="68"/>
      <w:bookmarkEnd w:id="69"/>
      <w:bookmarkEnd w:id="70"/>
      <w:bookmarkEnd w:id="71"/>
      <w:bookmarkEnd w:id="72"/>
      <w:bookmarkEnd w:id="73"/>
      <w:bookmarkEnd w:id="74"/>
      <w:bookmarkEnd w:id="75"/>
    </w:p>
    <w:p>
      <w:pPr>
        <w:numPr>
          <w:ilvl w:val="0"/>
          <w:numId w:val="21"/>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81" w:name="OLE_LINK64"/>
      <w:bookmarkStart w:id="82" w:name="OLE_LINK65"/>
      <w:r>
        <w:rPr>
          <w:rFonts w:hint="eastAsia"/>
          <w:sz w:val="24"/>
          <w:highlight w:val="none"/>
        </w:rPr>
        <w:t>【</w:t>
      </w:r>
      <w:r>
        <w:rPr>
          <w:rFonts w:hint="eastAsia"/>
          <w:i/>
          <w:sz w:val="24"/>
          <w:highlight w:val="none"/>
        </w:rPr>
        <w:t>填入百分比</w:t>
      </w:r>
      <w:r>
        <w:rPr>
          <w:rFonts w:hint="eastAsia"/>
          <w:sz w:val="24"/>
          <w:highlight w:val="none"/>
        </w:rPr>
        <w:t>】</w:t>
      </w:r>
      <w:bookmarkEnd w:id="81"/>
      <w:bookmarkEnd w:id="82"/>
      <w:r>
        <w:rPr>
          <w:rFonts w:hint="eastAsia"/>
          <w:sz w:val="24"/>
          <w:highlight w:val="none"/>
        </w:rPr>
        <w:t>的违约金，并赔偿买方因此遭受的</w:t>
      </w:r>
      <w:r>
        <w:rPr>
          <w:rFonts w:hint="eastAsia"/>
          <w:bCs/>
          <w:sz w:val="24"/>
          <w:highlight w:val="none"/>
        </w:rPr>
        <w:t>超出违约金数额的</w:t>
      </w:r>
      <w:r>
        <w:rPr>
          <w:rFonts w:hint="eastAsia"/>
          <w:sz w:val="24"/>
          <w:highlight w:val="none"/>
        </w:rPr>
        <w:t>全部损失：</w:t>
      </w:r>
    </w:p>
    <w:p>
      <w:pPr>
        <w:numPr>
          <w:ilvl w:val="1"/>
          <w:numId w:val="22"/>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pPr>
        <w:numPr>
          <w:ilvl w:val="1"/>
          <w:numId w:val="22"/>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pPr>
        <w:numPr>
          <w:ilvl w:val="1"/>
          <w:numId w:val="22"/>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pPr>
        <w:numPr>
          <w:ilvl w:val="0"/>
          <w:numId w:val="21"/>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填入工作日数，如十（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w:t>
      </w:r>
      <w:r>
        <w:rPr>
          <w:rFonts w:hint="eastAsia"/>
          <w:bCs/>
          <w:sz w:val="24"/>
          <w:highlight w:val="none"/>
        </w:rPr>
        <w:t>超出违约金数额的</w:t>
      </w:r>
      <w:r>
        <w:rPr>
          <w:sz w:val="24"/>
          <w:highlight w:val="none"/>
        </w:rPr>
        <w:t>全部损失。</w:t>
      </w:r>
    </w:p>
    <w:p>
      <w:pPr>
        <w:numPr>
          <w:ilvl w:val="0"/>
          <w:numId w:val="21"/>
        </w:numPr>
        <w:tabs>
          <w:tab w:val="left" w:pos="567"/>
          <w:tab w:val="left" w:pos="709"/>
          <w:tab w:val="left" w:pos="3060"/>
        </w:tabs>
        <w:spacing w:before="72" w:beforeLines="30" w:after="72" w:afterLines="30" w:line="360" w:lineRule="auto"/>
        <w:ind w:left="567" w:hanging="567"/>
        <w:rPr>
          <w:rFonts w:hAnsi="宋体"/>
          <w:bCs/>
          <w:sz w:val="24"/>
          <w:highlight w:val="none"/>
        </w:rPr>
      </w:pPr>
      <w:r>
        <w:rPr>
          <w:rFonts w:hint="eastAsia"/>
          <w:sz w:val="24"/>
          <w:highlight w:val="none"/>
        </w:rPr>
        <w:t>如卖方未能在交付日期交付货物，每延期交付一日，卖方应向买方支付合同总价的【</w:t>
      </w:r>
      <w:r>
        <w:rPr>
          <w:rFonts w:hint="eastAsia"/>
          <w:i/>
          <w:sz w:val="24"/>
          <w:highlight w:val="none"/>
        </w:rPr>
        <w:t>填入百分比</w:t>
      </w:r>
      <w:r>
        <w:rPr>
          <w:rFonts w:hint="eastAsia"/>
          <w:sz w:val="24"/>
          <w:highlight w:val="none"/>
        </w:rPr>
        <w:t>】作为延期违约金，但是，该等延期违约金最高不得超过合同总价的【</w:t>
      </w:r>
      <w:r>
        <w:rPr>
          <w:rFonts w:hint="eastAsia"/>
          <w:i/>
          <w:sz w:val="24"/>
          <w:highlight w:val="none"/>
        </w:rPr>
        <w:t>填入百分比</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i/>
          <w:sz w:val="24"/>
          <w:highlight w:val="none"/>
        </w:rPr>
        <w:t>填入天数</w:t>
      </w:r>
      <w:r>
        <w:rPr>
          <w:rFonts w:hAnsi="宋体"/>
          <w:bCs/>
          <w:sz w:val="24"/>
          <w:highlight w:val="none"/>
        </w:rPr>
        <w:t>】</w:t>
      </w:r>
      <w:r>
        <w:rPr>
          <w:rFonts w:hint="eastAsia" w:hAnsi="宋体"/>
          <w:bCs/>
          <w:sz w:val="24"/>
          <w:highlight w:val="none"/>
        </w:rPr>
        <w:t>日，除要求卖方支付违约金外，买方有权解除本合同，并有权要求卖方赔偿买方因此遭受的</w:t>
      </w:r>
      <w:r>
        <w:rPr>
          <w:rFonts w:hint="eastAsia"/>
          <w:bCs/>
          <w:sz w:val="24"/>
          <w:highlight w:val="none"/>
        </w:rPr>
        <w:t>超出违约金数额的</w:t>
      </w:r>
      <w:r>
        <w:rPr>
          <w:rFonts w:hint="eastAsia" w:hAnsi="宋体"/>
          <w:bCs/>
          <w:sz w:val="24"/>
          <w:highlight w:val="none"/>
        </w:rPr>
        <w:t>全部损失。</w:t>
      </w:r>
    </w:p>
    <w:p>
      <w:pPr>
        <w:numPr>
          <w:ilvl w:val="0"/>
          <w:numId w:val="21"/>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如仅因买方原因，买方逾期向卖方付款，卖方应向买方发出书面催款通知，买方应在收到该等通知后【填入天数】日内付款，否则，即应自该等【填入天数】日期间结束之日起，按合同订立时1年期贷款市场报价利率计算并支付应付未付合同价款的利息，最高不超过相关应付未付合同价款的【填入百分比】。双方同意，该等利息的支付是买方就未能如期支付相关合同价款所需承担的全部责任。</w:t>
      </w:r>
    </w:p>
    <w:p>
      <w:pPr>
        <w:numPr>
          <w:ilvl w:val="0"/>
          <w:numId w:val="21"/>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卖方根据本合同的规定应承担违约金或赔偿责任的，买方有权从合同总价余额</w:t>
      </w:r>
      <w:r>
        <w:rPr>
          <w:rFonts w:hint="eastAsia"/>
          <w:sz w:val="24"/>
          <w:highlight w:val="none"/>
        </w:rPr>
        <w:t>中直接扣除</w:t>
      </w:r>
      <w:r>
        <w:rPr>
          <w:sz w:val="24"/>
          <w:highlight w:val="none"/>
        </w:rPr>
        <w:t>。</w:t>
      </w:r>
    </w:p>
    <w:p>
      <w:pPr>
        <w:pStyle w:val="10"/>
        <w:numPr>
          <w:ilvl w:val="0"/>
          <w:numId w:val="6"/>
        </w:numPr>
        <w:tabs>
          <w:tab w:val="left" w:pos="993"/>
        </w:tabs>
        <w:spacing w:before="72" w:beforeLines="30" w:after="72" w:afterLines="30" w:line="360" w:lineRule="auto"/>
        <w:ind w:left="567" w:hanging="567"/>
        <w:jc w:val="left"/>
        <w:rPr>
          <w:sz w:val="24"/>
          <w:szCs w:val="24"/>
          <w:highlight w:val="none"/>
        </w:rPr>
      </w:pPr>
      <w:r>
        <w:rPr>
          <w:rFonts w:hint="eastAsia"/>
          <w:sz w:val="24"/>
          <w:highlight w:val="none"/>
        </w:rPr>
        <w:t xml:space="preserve"> </w:t>
      </w:r>
      <w:bookmarkStart w:id="83" w:name="_Toc306354321"/>
      <w:r>
        <w:rPr>
          <w:rFonts w:hint="eastAsia" w:ascii="Times New Roman" w:hAnsi="Times New Roman"/>
          <w:sz w:val="24"/>
          <w:szCs w:val="24"/>
          <w:highlight w:val="none"/>
        </w:rPr>
        <w:t>合同的解除和</w:t>
      </w:r>
      <w:r>
        <w:rPr>
          <w:sz w:val="24"/>
          <w:szCs w:val="24"/>
          <w:highlight w:val="none"/>
        </w:rPr>
        <w:t>终止</w:t>
      </w:r>
      <w:bookmarkEnd w:id="83"/>
    </w:p>
    <w:p>
      <w:pPr>
        <w:numPr>
          <w:ilvl w:val="0"/>
          <w:numId w:val="23"/>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pPr>
        <w:widowControl/>
        <w:numPr>
          <w:ilvl w:val="0"/>
          <w:numId w:val="24"/>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本合同明确规定买方有权解除合同的情形；</w:t>
      </w:r>
    </w:p>
    <w:p>
      <w:pPr>
        <w:widowControl/>
        <w:numPr>
          <w:ilvl w:val="0"/>
          <w:numId w:val="24"/>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卖方破产、资不抵债、停业清理、解散、被兼并、被查封</w:t>
      </w:r>
      <w:r>
        <w:rPr>
          <w:rFonts w:hint="eastAsia"/>
          <w:sz w:val="24"/>
          <w:highlight w:val="none"/>
        </w:rPr>
        <w:t>；</w:t>
      </w:r>
    </w:p>
    <w:p>
      <w:pPr>
        <w:widowControl/>
        <w:numPr>
          <w:ilvl w:val="0"/>
          <w:numId w:val="24"/>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pPr>
        <w:widowControl/>
        <w:numPr>
          <w:ilvl w:val="0"/>
          <w:numId w:val="24"/>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填入天数，如六十（60）</w:t>
      </w:r>
      <w:r>
        <w:rPr>
          <w:sz w:val="24"/>
          <w:highlight w:val="none"/>
        </w:rPr>
        <w:t>】</w:t>
      </w:r>
      <w:r>
        <w:rPr>
          <w:rFonts w:hint="eastAsia"/>
          <w:sz w:val="24"/>
          <w:highlight w:val="none"/>
        </w:rPr>
        <w:t>日。</w:t>
      </w:r>
    </w:p>
    <w:p>
      <w:pPr>
        <w:numPr>
          <w:ilvl w:val="0"/>
          <w:numId w:val="23"/>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w:t>
      </w:r>
      <w:r>
        <w:rPr>
          <w:rFonts w:hint="eastAsia"/>
          <w:bCs/>
          <w:sz w:val="24"/>
          <w:highlight w:val="none"/>
        </w:rPr>
        <w:t>超出违约金数额的</w:t>
      </w:r>
      <w:r>
        <w:rPr>
          <w:rFonts w:hint="eastAsia" w:hAnsi="宋体"/>
          <w:color w:val="000000"/>
          <w:sz w:val="24"/>
          <w:highlight w:val="none"/>
        </w:rPr>
        <w:t>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pPr>
        <w:numPr>
          <w:ilvl w:val="0"/>
          <w:numId w:val="23"/>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填入天数，如十五（15）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全部赔偿。任何时候卖方均无权要求买方赔偿因合同终止引起的预期利润的损失或损害。</w:t>
      </w:r>
    </w:p>
    <w:p>
      <w:pPr>
        <w:numPr>
          <w:ilvl w:val="0"/>
          <w:numId w:val="23"/>
        </w:numPr>
        <w:tabs>
          <w:tab w:val="left" w:pos="567"/>
          <w:tab w:val="left" w:pos="709"/>
        </w:tabs>
        <w:spacing w:before="72" w:beforeLines="30" w:after="72" w:afterLines="30" w:line="360" w:lineRule="auto"/>
        <w:ind w:left="567" w:hanging="567"/>
        <w:rPr>
          <w:rFonts w:hAnsi="宋体"/>
          <w:color w:val="000000"/>
          <w:sz w:val="24"/>
          <w:highlight w:val="none"/>
        </w:rPr>
      </w:pPr>
      <w:bookmarkStart w:id="84" w:name="_DV_C932"/>
      <w:r>
        <w:rPr>
          <w:rFonts w:hint="eastAsia" w:hAnsi="宋体"/>
          <w:color w:val="000000"/>
          <w:sz w:val="24"/>
          <w:highlight w:val="none"/>
        </w:rPr>
        <w:t>如果本合同根据本条第13</w:t>
      </w:r>
      <w:r>
        <w:rPr>
          <w:rFonts w:hAnsi="宋体"/>
          <w:color w:val="000000"/>
          <w:sz w:val="24"/>
          <w:highlight w:val="none"/>
        </w:rPr>
        <w:t>.3款</w:t>
      </w:r>
      <w:r>
        <w:rPr>
          <w:rFonts w:hint="eastAsia" w:hAnsi="宋体"/>
          <w:color w:val="000000"/>
          <w:sz w:val="24"/>
          <w:highlight w:val="none"/>
        </w:rPr>
        <w:t>终止，对于合同终止前买方已经支付合同价款或提供补偿费用的货物，卖方应立即移交给买方，买方拥有相关货物的全部权益。</w:t>
      </w:r>
      <w:bookmarkEnd w:id="84"/>
    </w:p>
    <w:p>
      <w:pPr>
        <w:pStyle w:val="10"/>
        <w:numPr>
          <w:ilvl w:val="0"/>
          <w:numId w:val="6"/>
        </w:numPr>
        <w:tabs>
          <w:tab w:val="left" w:pos="993"/>
        </w:tabs>
        <w:spacing w:before="72" w:beforeLines="30" w:after="72" w:afterLines="30" w:line="360" w:lineRule="auto"/>
        <w:ind w:left="567" w:hanging="567"/>
        <w:jc w:val="left"/>
        <w:rPr>
          <w:sz w:val="24"/>
          <w:szCs w:val="24"/>
          <w:highlight w:val="none"/>
        </w:rPr>
      </w:pPr>
      <w:bookmarkStart w:id="85" w:name="_Toc306354322"/>
      <w:r>
        <w:rPr>
          <w:rFonts w:hint="eastAsia"/>
          <w:sz w:val="24"/>
          <w:szCs w:val="24"/>
          <w:highlight w:val="none"/>
        </w:rPr>
        <w:t xml:space="preserve"> 健康、安全和环保</w:t>
      </w:r>
      <w:bookmarkEnd w:id="85"/>
    </w:p>
    <w:p>
      <w:pPr>
        <w:numPr>
          <w:ilvl w:val="0"/>
          <w:numId w:val="25"/>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卖方应确保在货物制造过程中使用的材料和制作工艺符合国家标准</w:t>
      </w:r>
      <w:r>
        <w:rPr>
          <w:rFonts w:hint="eastAsia"/>
          <w:sz w:val="24"/>
          <w:highlight w:val="none"/>
        </w:rPr>
        <w:t>，保证货物制造现场符合法律法规的要求</w:t>
      </w:r>
      <w:r>
        <w:rPr>
          <w:sz w:val="24"/>
          <w:highlight w:val="none"/>
        </w:rPr>
        <w:t>。</w:t>
      </w:r>
    </w:p>
    <w:p>
      <w:pPr>
        <w:numPr>
          <w:ilvl w:val="0"/>
          <w:numId w:val="25"/>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卖方向买方提供的货物必须符合</w:t>
      </w:r>
      <w:r>
        <w:rPr>
          <w:rFonts w:hint="eastAsia"/>
          <w:sz w:val="24"/>
          <w:highlight w:val="none"/>
        </w:rPr>
        <w:t>中国</w:t>
      </w:r>
      <w:r>
        <w:rPr>
          <w:sz w:val="24"/>
          <w:highlight w:val="none"/>
        </w:rPr>
        <w:t>有关健康、安全、环保法律法规的规定。对</w:t>
      </w:r>
      <w:r>
        <w:rPr>
          <w:rFonts w:hint="eastAsia"/>
          <w:sz w:val="24"/>
          <w:highlight w:val="none"/>
        </w:rPr>
        <w:t>于</w:t>
      </w:r>
      <w:r>
        <w:rPr>
          <w:sz w:val="24"/>
          <w:highlight w:val="none"/>
        </w:rPr>
        <w:t>根据有关法律法规必须持证生产或经营的</w:t>
      </w:r>
      <w:r>
        <w:rPr>
          <w:rFonts w:hint="eastAsia"/>
          <w:sz w:val="24"/>
          <w:highlight w:val="none"/>
        </w:rPr>
        <w:t>货物</w:t>
      </w:r>
      <w:r>
        <w:rPr>
          <w:sz w:val="24"/>
          <w:highlight w:val="none"/>
        </w:rPr>
        <w:t>，卖方在生产或经营时应持有全套有效的生产许可证或经营许可证。</w:t>
      </w:r>
    </w:p>
    <w:p>
      <w:pPr>
        <w:pStyle w:val="10"/>
        <w:numPr>
          <w:ilvl w:val="0"/>
          <w:numId w:val="6"/>
        </w:numPr>
        <w:tabs>
          <w:tab w:val="left" w:pos="993"/>
        </w:tabs>
        <w:spacing w:before="72" w:beforeLines="30" w:after="72" w:afterLines="30" w:line="360" w:lineRule="auto"/>
        <w:ind w:left="567" w:hanging="567"/>
        <w:jc w:val="left"/>
        <w:rPr>
          <w:sz w:val="24"/>
          <w:szCs w:val="24"/>
          <w:highlight w:val="none"/>
        </w:rPr>
      </w:pPr>
      <w:bookmarkStart w:id="86" w:name="_Toc306354323"/>
      <w:r>
        <w:rPr>
          <w:rFonts w:hint="eastAsia" w:ascii="Times New Roman" w:hAnsi="Times New Roman"/>
          <w:sz w:val="24"/>
          <w:szCs w:val="24"/>
          <w:highlight w:val="none"/>
        </w:rPr>
        <w:t xml:space="preserve"> 转让</w:t>
      </w:r>
      <w:r>
        <w:rPr>
          <w:rFonts w:hint="eastAsia"/>
          <w:sz w:val="24"/>
          <w:szCs w:val="24"/>
          <w:highlight w:val="none"/>
        </w:rPr>
        <w:t>和分包</w:t>
      </w:r>
      <w:bookmarkEnd w:id="86"/>
    </w:p>
    <w:p>
      <w:pPr>
        <w:widowControl/>
        <w:numPr>
          <w:ilvl w:val="0"/>
          <w:numId w:val="26"/>
        </w:numPr>
        <w:tabs>
          <w:tab w:val="left" w:pos="567"/>
          <w:tab w:val="left" w:pos="709"/>
        </w:tabs>
        <w:spacing w:before="72" w:beforeLines="30" w:after="72" w:afterLines="30" w:line="360" w:lineRule="auto"/>
        <w:ind w:left="567" w:hanging="567"/>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pPr>
        <w:widowControl/>
        <w:numPr>
          <w:ilvl w:val="0"/>
          <w:numId w:val="26"/>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未经买方事先书面同意，卖方不得将其在本合同项下的任何义务分包给任何第三方，包括卖方的关联企业。</w:t>
      </w:r>
      <w:bookmarkStart w:id="87" w:name="_DV_C867"/>
      <w:r>
        <w:rPr>
          <w:rFonts w:hint="eastAsia"/>
          <w:sz w:val="24"/>
          <w:highlight w:val="none"/>
        </w:rPr>
        <w:t>卖方不得将本合同转包给任何第三方，包括其关联企业。</w:t>
      </w:r>
      <w:bookmarkEnd w:id="87"/>
    </w:p>
    <w:bookmarkEnd w:id="76"/>
    <w:bookmarkEnd w:id="77"/>
    <w:bookmarkEnd w:id="78"/>
    <w:bookmarkEnd w:id="79"/>
    <w:bookmarkEnd w:id="80"/>
    <w:p>
      <w:pPr>
        <w:pStyle w:val="10"/>
        <w:numPr>
          <w:ilvl w:val="0"/>
          <w:numId w:val="6"/>
        </w:numPr>
        <w:tabs>
          <w:tab w:val="left" w:pos="993"/>
        </w:tabs>
        <w:spacing w:before="72" w:beforeLines="30" w:after="72" w:afterLines="30" w:line="360" w:lineRule="auto"/>
        <w:ind w:left="567" w:hanging="567"/>
        <w:jc w:val="left"/>
        <w:rPr>
          <w:rFonts w:hAnsi="宋体"/>
          <w:color w:val="000000"/>
          <w:sz w:val="24"/>
          <w:szCs w:val="24"/>
          <w:highlight w:val="none"/>
        </w:rPr>
      </w:pPr>
      <w:bookmarkStart w:id="88" w:name="_Toc306354324"/>
      <w:r>
        <w:rPr>
          <w:rFonts w:hint="eastAsia" w:hAnsi="宋体"/>
          <w:color w:val="000000"/>
          <w:sz w:val="24"/>
          <w:szCs w:val="24"/>
          <w:highlight w:val="none"/>
        </w:rPr>
        <w:t xml:space="preserve"> 不可抗力</w:t>
      </w:r>
      <w:bookmarkEnd w:id="88"/>
    </w:p>
    <w:p>
      <w:pPr>
        <w:pStyle w:val="7"/>
        <w:widowControl/>
        <w:numPr>
          <w:ilvl w:val="0"/>
          <w:numId w:val="27"/>
        </w:numPr>
        <w:tabs>
          <w:tab w:val="left" w:pos="567"/>
        </w:tabs>
        <w:spacing w:before="72" w:beforeLines="30" w:after="72" w:afterLines="30" w:line="360" w:lineRule="auto"/>
        <w:ind w:left="567" w:hanging="567"/>
        <w:rPr>
          <w:sz w:val="24"/>
          <w:highlight w:val="none"/>
        </w:rPr>
      </w:pPr>
      <w:r>
        <w:rPr>
          <w:rFonts w:hint="eastAsia"/>
          <w:sz w:val="24"/>
          <w:highlight w:val="none"/>
        </w:rPr>
        <w:t>不可抗力系指本合同的履行过程中，任何一方经合理努力仍不可预见、不可避免并不能克服的客观情况。</w:t>
      </w:r>
      <w:r>
        <w:rPr>
          <w:sz w:val="24"/>
          <w:highlight w:val="none"/>
        </w:rPr>
        <w:t>任何一方因不可抗力不能或延迟履行本合同，不承担违约责任。</w:t>
      </w:r>
    </w:p>
    <w:p>
      <w:pPr>
        <w:pStyle w:val="7"/>
        <w:widowControl/>
        <w:numPr>
          <w:ilvl w:val="0"/>
          <w:numId w:val="27"/>
        </w:numPr>
        <w:tabs>
          <w:tab w:val="left" w:pos="567"/>
        </w:tabs>
        <w:spacing w:before="72" w:beforeLines="30" w:after="72" w:afterLines="30" w:line="360" w:lineRule="auto"/>
        <w:ind w:left="567" w:hanging="567"/>
        <w:rPr>
          <w:sz w:val="24"/>
          <w:highlight w:val="none"/>
        </w:rPr>
      </w:pPr>
      <w:r>
        <w:rPr>
          <w:sz w:val="24"/>
          <w:highlight w:val="none"/>
        </w:rPr>
        <w:t>如果一方遭受不可抗力，应立即（不迟于24小时内）通知另一方，并采取一切合理、必要的措施减少损失及不可抗力的影响，恢复合同的履行。</w:t>
      </w:r>
      <w:r>
        <w:rPr>
          <w:rFonts w:hint="eastAsia"/>
          <w:sz w:val="24"/>
          <w:highlight w:val="none"/>
        </w:rPr>
        <w:t>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7"/>
        <w:widowControl/>
        <w:numPr>
          <w:ilvl w:val="0"/>
          <w:numId w:val="27"/>
        </w:numPr>
        <w:tabs>
          <w:tab w:val="left" w:pos="567"/>
        </w:tabs>
        <w:spacing w:before="72" w:beforeLines="30" w:after="72" w:afterLines="30" w:line="360" w:lineRule="auto"/>
        <w:ind w:left="567" w:hanging="567"/>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i/>
          <w:sz w:val="24"/>
          <w:highlight w:val="none"/>
        </w:rPr>
        <w:t>填入天数</w:t>
      </w:r>
      <w:r>
        <w:rPr>
          <w:rFonts w:hint="eastAsia"/>
          <w:sz w:val="24"/>
          <w:highlight w:val="none"/>
        </w:rPr>
        <w:t>】日，双方应该共同商议应对措施。</w:t>
      </w:r>
    </w:p>
    <w:p>
      <w:pPr>
        <w:pStyle w:val="7"/>
        <w:widowControl/>
        <w:numPr>
          <w:ilvl w:val="0"/>
          <w:numId w:val="27"/>
        </w:numPr>
        <w:tabs>
          <w:tab w:val="left" w:pos="567"/>
        </w:tabs>
        <w:spacing w:before="72" w:beforeLines="30" w:after="72" w:afterLines="30" w:line="360" w:lineRule="auto"/>
        <w:ind w:left="567" w:hanging="567"/>
        <w:rPr>
          <w:sz w:val="24"/>
          <w:highlight w:val="none"/>
        </w:rPr>
      </w:pPr>
      <w:r>
        <w:rPr>
          <w:rFonts w:hint="eastAsia"/>
          <w:sz w:val="24"/>
          <w:highlight w:val="none"/>
        </w:rPr>
        <w:t>任何一方迟延履行合同后遭受不可抗力的，不得减少、免除该方在本合同项下的任何义务和责任。</w:t>
      </w:r>
    </w:p>
    <w:p>
      <w:pPr>
        <w:pStyle w:val="10"/>
        <w:numPr>
          <w:ilvl w:val="0"/>
          <w:numId w:val="6"/>
        </w:numPr>
        <w:tabs>
          <w:tab w:val="left" w:pos="993"/>
        </w:tabs>
        <w:spacing w:before="72" w:beforeLines="30" w:after="72" w:afterLines="30" w:line="360" w:lineRule="auto"/>
        <w:ind w:left="567" w:hanging="567"/>
        <w:jc w:val="left"/>
        <w:rPr>
          <w:sz w:val="24"/>
          <w:szCs w:val="24"/>
          <w:highlight w:val="none"/>
        </w:rPr>
      </w:pPr>
      <w:bookmarkStart w:id="89" w:name="_Toc306354326"/>
      <w:bookmarkStart w:id="90" w:name="_Toc298158360"/>
      <w:r>
        <w:rPr>
          <w:rFonts w:hint="eastAsia"/>
          <w:sz w:val="24"/>
          <w:szCs w:val="24"/>
          <w:highlight w:val="none"/>
        </w:rPr>
        <w:t xml:space="preserve"> 保密</w:t>
      </w:r>
      <w:bookmarkEnd w:id="89"/>
      <w:bookmarkEnd w:id="90"/>
    </w:p>
    <w:p>
      <w:pPr>
        <w:numPr>
          <w:ilvl w:val="0"/>
          <w:numId w:val="28"/>
        </w:numPr>
        <w:tabs>
          <w:tab w:val="left" w:pos="567"/>
          <w:tab w:val="left" w:pos="709"/>
        </w:tabs>
        <w:spacing w:before="72" w:beforeLines="30" w:after="72" w:afterLines="30" w:line="360" w:lineRule="auto"/>
        <w:ind w:left="567" w:hanging="567"/>
        <w:rPr>
          <w:sz w:val="24"/>
          <w:highlight w:val="none"/>
        </w:rPr>
      </w:pPr>
      <w:r>
        <w:rPr>
          <w:sz w:val="24"/>
          <w:highlight w:val="none"/>
        </w:rPr>
        <w:t>除非法律法规、政府机关另行强制要求，未经</w:t>
      </w:r>
      <w:r>
        <w:rPr>
          <w:rFonts w:hint="eastAsia"/>
          <w:sz w:val="24"/>
          <w:highlight w:val="none"/>
        </w:rPr>
        <w:t>买方</w:t>
      </w:r>
      <w:r>
        <w:rPr>
          <w:sz w:val="24"/>
          <w:highlight w:val="none"/>
        </w:rPr>
        <w:t>同意，</w:t>
      </w:r>
      <w:r>
        <w:rPr>
          <w:rFonts w:hint="eastAsia"/>
          <w:sz w:val="24"/>
          <w:highlight w:val="none"/>
        </w:rPr>
        <w:t>卖方</w:t>
      </w:r>
      <w:r>
        <w:rPr>
          <w:sz w:val="24"/>
          <w:highlight w:val="none"/>
        </w:rPr>
        <w:t>不得将</w:t>
      </w:r>
      <w:r>
        <w:rPr>
          <w:rFonts w:hint="eastAsia"/>
          <w:sz w:val="24"/>
          <w:highlight w:val="none"/>
        </w:rPr>
        <w:t>买</w:t>
      </w:r>
      <w:r>
        <w:rPr>
          <w:sz w:val="24"/>
          <w:highlight w:val="none"/>
        </w:rPr>
        <w:t>方保密信息披露给任何第三方（包括与合同无关的</w:t>
      </w:r>
      <w:r>
        <w:rPr>
          <w:rFonts w:hint="eastAsia"/>
          <w:sz w:val="24"/>
          <w:highlight w:val="none"/>
        </w:rPr>
        <w:t>卖</w:t>
      </w:r>
      <w:r>
        <w:rPr>
          <w:sz w:val="24"/>
          <w:highlight w:val="none"/>
        </w:rPr>
        <w:t>方员工和政府部门），亦不得将该等信息用于与本合同无关的用途。保密信息包括但不限于：合同内容；</w:t>
      </w:r>
      <w:r>
        <w:rPr>
          <w:rFonts w:hint="eastAsia"/>
          <w:sz w:val="24"/>
          <w:highlight w:val="none"/>
        </w:rPr>
        <w:t>买方提供的</w:t>
      </w:r>
      <w:r>
        <w:rPr>
          <w:sz w:val="24"/>
          <w:highlight w:val="none"/>
        </w:rPr>
        <w:t>与本合同有关的任何技术信息、图纸、样本、资料等；</w:t>
      </w:r>
      <w:r>
        <w:rPr>
          <w:rFonts w:hint="eastAsia"/>
          <w:sz w:val="24"/>
          <w:highlight w:val="none"/>
        </w:rPr>
        <w:t>买方</w:t>
      </w:r>
      <w:r>
        <w:rPr>
          <w:sz w:val="24"/>
          <w:highlight w:val="none"/>
        </w:rPr>
        <w:t>提供的或</w:t>
      </w:r>
      <w:r>
        <w:rPr>
          <w:rFonts w:hint="eastAsia"/>
          <w:sz w:val="24"/>
          <w:highlight w:val="none"/>
        </w:rPr>
        <w:t>卖方</w:t>
      </w:r>
      <w:r>
        <w:rPr>
          <w:sz w:val="24"/>
          <w:highlight w:val="none"/>
        </w:rPr>
        <w:t>获得的与项目或买方有关的任何技术和商务信息。</w:t>
      </w:r>
    </w:p>
    <w:p>
      <w:pPr>
        <w:pStyle w:val="10"/>
        <w:numPr>
          <w:ilvl w:val="0"/>
          <w:numId w:val="6"/>
        </w:numPr>
        <w:tabs>
          <w:tab w:val="left" w:pos="993"/>
        </w:tabs>
        <w:spacing w:before="72" w:beforeLines="30" w:after="72" w:afterLines="30" w:line="360" w:lineRule="auto"/>
        <w:ind w:left="567" w:hanging="567"/>
        <w:jc w:val="left"/>
        <w:rPr>
          <w:sz w:val="24"/>
          <w:szCs w:val="24"/>
          <w:highlight w:val="none"/>
        </w:rPr>
      </w:pPr>
      <w:bookmarkStart w:id="91" w:name="_Toc306354328"/>
      <w:r>
        <w:rPr>
          <w:rFonts w:hint="eastAsia"/>
          <w:sz w:val="24"/>
          <w:szCs w:val="24"/>
          <w:highlight w:val="none"/>
        </w:rPr>
        <w:t xml:space="preserve"> 审计、禁止商业贿赂和反腐败</w:t>
      </w:r>
    </w:p>
    <w:p>
      <w:pPr>
        <w:pStyle w:val="20"/>
        <w:numPr>
          <w:ilvl w:val="0"/>
          <w:numId w:val="29"/>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卖方应根据买方要求，接受和配合买方或买方委</w:t>
      </w:r>
      <w:r>
        <w:rPr>
          <w:rFonts w:hint="eastAsia" w:asciiTheme="minorEastAsia" w:hAnsiTheme="minorEastAsia" w:eastAsiaTheme="minorEastAsia"/>
          <w:sz w:val="24"/>
          <w:highlight w:val="none"/>
        </w:rPr>
        <w:t>托的会计师事务所进行的与本合同相关的审计。</w:t>
      </w:r>
    </w:p>
    <w:p>
      <w:pPr>
        <w:pStyle w:val="20"/>
        <w:numPr>
          <w:ilvl w:val="0"/>
          <w:numId w:val="29"/>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卖方应保存与本合同相关的记录和账目，保存期限为本合同终止后【</w:t>
      </w:r>
      <w:r>
        <w:rPr>
          <w:rFonts w:hint="eastAsia" w:asciiTheme="minorEastAsia" w:hAnsiTheme="minorEastAsia" w:eastAsiaTheme="minorEastAsia"/>
          <w:i/>
          <w:kern w:val="0"/>
          <w:sz w:val="24"/>
          <w:highlight w:val="none"/>
        </w:rPr>
        <w:t>填入年数，如十（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】年或遵从所在国相关规定。经提前通知，买方或买方委托的会计师事务所有权检查并复制该等记录和账目。</w:t>
      </w:r>
    </w:p>
    <w:p>
      <w:pPr>
        <w:pStyle w:val="20"/>
        <w:numPr>
          <w:ilvl w:val="0"/>
          <w:numId w:val="29"/>
        </w:numPr>
        <w:spacing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0"/>
        <w:numPr>
          <w:ilvl w:val="0"/>
          <w:numId w:val="6"/>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 xml:space="preserve"> 通知</w:t>
      </w:r>
      <w:bookmarkEnd w:id="91"/>
    </w:p>
    <w:p>
      <w:pPr>
        <w:widowControl/>
        <w:numPr>
          <w:ilvl w:val="0"/>
          <w:numId w:val="30"/>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pPr>
        <w:widowControl/>
        <w:numPr>
          <w:ilvl w:val="1"/>
          <w:numId w:val="31"/>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pPr>
        <w:widowControl/>
        <w:numPr>
          <w:ilvl w:val="1"/>
          <w:numId w:val="31"/>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pPr>
        <w:widowControl/>
        <w:numPr>
          <w:ilvl w:val="1"/>
          <w:numId w:val="31"/>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pPr>
        <w:widowControl/>
        <w:numPr>
          <w:ilvl w:val="0"/>
          <w:numId w:val="30"/>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numPr>
          <w:ilvl w:val="0"/>
          <w:numId w:val="30"/>
        </w:numPr>
        <w:adjustRightInd w:val="0"/>
        <w:snapToGrid w:val="0"/>
        <w:spacing w:line="360" w:lineRule="auto"/>
        <w:ind w:left="567" w:hanging="567"/>
        <w:jc w:val="left"/>
        <w:textAlignment w:val="baseline"/>
        <w:outlineLvl w:val="3"/>
        <w:rPr>
          <w:sz w:val="24"/>
          <w:highlight w:val="none"/>
        </w:rPr>
      </w:pPr>
      <w:r>
        <w:rPr>
          <w:rFonts w:hint="eastAsia" w:hAnsi="宋体"/>
          <w:bCs/>
          <w:kern w:val="0"/>
          <w:sz w:val="24"/>
          <w:highlight w:val="none"/>
        </w:rPr>
        <w:t>本合同送达地址适用范围包括就本合同发生争议时相关文件和法律文书的 送达（包括在争议进入仲裁、民事诉讼程序后的一审、二审、再审和执行程序）。</w:t>
      </w:r>
    </w:p>
    <w:p>
      <w:pPr>
        <w:pStyle w:val="10"/>
        <w:numPr>
          <w:ilvl w:val="0"/>
          <w:numId w:val="6"/>
        </w:numPr>
        <w:tabs>
          <w:tab w:val="left" w:pos="567"/>
        </w:tabs>
        <w:spacing w:before="72" w:beforeLines="30" w:after="72" w:afterLines="30" w:line="360" w:lineRule="auto"/>
        <w:ind w:left="567" w:hanging="567"/>
        <w:jc w:val="left"/>
        <w:rPr>
          <w:sz w:val="24"/>
          <w:szCs w:val="24"/>
          <w:highlight w:val="none"/>
        </w:rPr>
      </w:pPr>
      <w:bookmarkStart w:id="92" w:name="_Toc306354329"/>
      <w:r>
        <w:rPr>
          <w:sz w:val="24"/>
          <w:szCs w:val="24"/>
          <w:highlight w:val="none"/>
        </w:rPr>
        <w:t>法律适用</w:t>
      </w:r>
      <w:r>
        <w:rPr>
          <w:rFonts w:hint="eastAsia"/>
          <w:sz w:val="24"/>
          <w:szCs w:val="24"/>
          <w:highlight w:val="none"/>
        </w:rPr>
        <w:t>和</w:t>
      </w:r>
      <w:r>
        <w:rPr>
          <w:sz w:val="24"/>
          <w:szCs w:val="24"/>
          <w:highlight w:val="none"/>
        </w:rPr>
        <w:t>争议解决</w:t>
      </w:r>
      <w:bookmarkEnd w:id="92"/>
    </w:p>
    <w:p>
      <w:pPr>
        <w:numPr>
          <w:ilvl w:val="1"/>
          <w:numId w:val="32"/>
        </w:numPr>
        <w:tabs>
          <w:tab w:val="left" w:pos="567"/>
        </w:tabs>
        <w:spacing w:before="72" w:beforeLines="30" w:after="72" w:afterLines="30" w:line="360" w:lineRule="auto"/>
        <w:ind w:left="567" w:hanging="567"/>
        <w:rPr>
          <w:rFonts w:ascii="宋体" w:hAnsi="宋体"/>
          <w:sz w:val="24"/>
          <w:highlight w:val="none"/>
        </w:rPr>
      </w:pPr>
      <w:bookmarkStart w:id="93" w:name="_Toc296959346"/>
      <w:bookmarkStart w:id="94" w:name="_Toc296955884"/>
      <w:r>
        <w:rPr>
          <w:rFonts w:hint="eastAsia" w:ascii="宋体" w:hAnsi="宋体"/>
          <w:sz w:val="24"/>
          <w:highlight w:val="none"/>
        </w:rPr>
        <w:t>本合同适用中华人民共和国（不含香港特别行政区、澳门特别行政区和台湾地区）法律。</w:t>
      </w:r>
    </w:p>
    <w:p>
      <w:pPr>
        <w:numPr>
          <w:ilvl w:val="1"/>
          <w:numId w:val="32"/>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int="eastAsia" w:ascii="宋体" w:hAnsi="宋体"/>
          <w:i/>
          <w:sz w:val="24"/>
          <w:highlight w:val="none"/>
        </w:rPr>
        <w:t>填入天数，如</w:t>
      </w:r>
      <w:r>
        <w:rPr>
          <w:rFonts w:hAnsi="宋体"/>
          <w:i/>
          <w:sz w:val="24"/>
          <w:highlight w:val="none"/>
        </w:rPr>
        <w:t>六十（</w:t>
      </w:r>
      <w:r>
        <w:rPr>
          <w:i/>
          <w:sz w:val="24"/>
          <w:highlight w:val="none"/>
        </w:rPr>
        <w:t>60</w:t>
      </w:r>
      <w:r>
        <w:rPr>
          <w:rFonts w:hAnsi="宋体"/>
          <w:i/>
          <w:sz w:val="24"/>
          <w:highlight w:val="none"/>
        </w:rPr>
        <w:t>）</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spacing w:before="72" w:beforeLines="30" w:after="72" w:afterLines="30" w:line="360" w:lineRule="auto"/>
        <w:ind w:left="567"/>
        <w:rPr>
          <w:bCs/>
          <w:i/>
          <w:kern w:val="0"/>
          <w:sz w:val="24"/>
          <w:highlight w:val="none"/>
          <w:u w:val="single"/>
        </w:rPr>
      </w:pPr>
      <w:r>
        <w:rPr>
          <w:rFonts w:hint="eastAsia"/>
          <w:bCs/>
          <w:i/>
          <w:kern w:val="0"/>
          <w:sz w:val="24"/>
          <w:highlight w:val="none"/>
          <w:u w:val="single"/>
        </w:rPr>
        <w:t>请根据实际情况从下列选项中选择其中一项，并将不适用的删除</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选项一:诉讼</w:t>
      </w:r>
    </w:p>
    <w:p>
      <w:pPr>
        <w:spacing w:before="72" w:beforeLines="30" w:after="72" w:afterLines="30" w:line="360" w:lineRule="auto"/>
        <w:ind w:left="567"/>
        <w:rPr>
          <w:rFonts w:ascii="宋体" w:hAnsi="宋体"/>
          <w:sz w:val="24"/>
          <w:highlight w:val="none"/>
        </w:rPr>
      </w:pPr>
      <w:r>
        <w:rPr>
          <w:rFonts w:ascii="宋体" w:hAnsi="宋体"/>
          <w:sz w:val="24"/>
          <w:highlight w:val="none"/>
        </w:rPr>
        <w:t>向买方所在地人民法院起诉。</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选项二：仲裁</w:t>
      </w:r>
    </w:p>
    <w:p>
      <w:pPr>
        <w:spacing w:before="72" w:beforeLines="30" w:after="72" w:afterLines="30" w:line="360" w:lineRule="auto"/>
        <w:ind w:left="567"/>
        <w:rPr>
          <w:sz w:val="24"/>
          <w:highlight w:val="none"/>
        </w:rPr>
      </w:pPr>
      <w:r>
        <w:rPr>
          <w:rFonts w:ascii="宋体" w:hAnsi="宋体"/>
          <w:sz w:val="24"/>
          <w:highlight w:val="none"/>
        </w:rPr>
        <w:t>提交</w:t>
      </w:r>
      <w:r>
        <w:rPr>
          <w:rFonts w:hint="eastAsia" w:ascii="宋体" w:hAnsi="宋体"/>
          <w:sz w:val="24"/>
          <w:highlight w:val="none"/>
        </w:rPr>
        <w:t>【□中国国际经济贸易仲裁委员会；□北京仲裁委员会；□天津仲裁委员会】</w:t>
      </w:r>
      <w:r>
        <w:rPr>
          <w:rFonts w:ascii="宋体" w:hAnsi="宋体"/>
          <w:sz w:val="24"/>
          <w:highlight w:val="none"/>
        </w:rPr>
        <w:t>进行仲裁。</w:t>
      </w:r>
      <w:r>
        <w:rPr>
          <w:rFonts w:hint="eastAsia"/>
          <w:bCs/>
          <w:sz w:val="24"/>
          <w:highlight w:val="none"/>
        </w:rPr>
        <w:t>仲裁应根据申请仲裁时该仲裁委员会现行有效的仲裁规则进行。仲裁员人数为【</w:t>
      </w:r>
      <w:r>
        <w:rPr>
          <w:rFonts w:hint="eastAsia"/>
          <w:bCs/>
          <w:i/>
          <w:sz w:val="24"/>
          <w:highlight w:val="none"/>
        </w:rPr>
        <w:t>请根据选择的仲裁机构现行有效的规定填写，简单合同可选择独任仲裁员</w:t>
      </w:r>
      <w:r>
        <w:rPr>
          <w:rFonts w:hint="eastAsia"/>
          <w:bCs/>
          <w:sz w:val="24"/>
          <w:highlight w:val="none"/>
        </w:rPr>
        <w:t>】名。庭审地为【</w:t>
      </w:r>
      <w:r>
        <w:rPr>
          <w:rFonts w:hint="eastAsia"/>
          <w:bCs/>
          <w:i/>
          <w:sz w:val="24"/>
          <w:highlight w:val="none"/>
        </w:rPr>
        <w:t>根据委托方所在地，从委托方便利的角度填入庭审地</w:t>
      </w:r>
      <w:r>
        <w:rPr>
          <w:rFonts w:hint="eastAsia"/>
          <w:bCs/>
          <w:sz w:val="24"/>
          <w:highlight w:val="none"/>
        </w:rPr>
        <w:t>】。仲裁裁决是终局的，对双方均有约束力。</w:t>
      </w:r>
    </w:p>
    <w:p>
      <w:pPr>
        <w:numPr>
          <w:ilvl w:val="1"/>
          <w:numId w:val="32"/>
        </w:numPr>
        <w:tabs>
          <w:tab w:val="left" w:pos="567"/>
        </w:tabs>
        <w:spacing w:before="72" w:beforeLines="30" w:after="72" w:afterLines="30" w:line="360" w:lineRule="auto"/>
        <w:ind w:left="567" w:hanging="567"/>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bookmarkEnd w:id="93"/>
    <w:bookmarkEnd w:id="94"/>
    <w:p>
      <w:pPr>
        <w:pStyle w:val="10"/>
        <w:numPr>
          <w:ilvl w:val="0"/>
          <w:numId w:val="6"/>
        </w:numPr>
        <w:tabs>
          <w:tab w:val="left" w:pos="567"/>
        </w:tabs>
        <w:spacing w:before="72" w:beforeLines="30" w:after="72" w:afterLines="30" w:line="360" w:lineRule="auto"/>
        <w:ind w:left="567" w:hanging="567"/>
        <w:jc w:val="left"/>
        <w:rPr>
          <w:sz w:val="24"/>
          <w:szCs w:val="24"/>
          <w:highlight w:val="none"/>
        </w:rPr>
      </w:pPr>
      <w:bookmarkStart w:id="95" w:name="_Toc306354330"/>
      <w:r>
        <w:rPr>
          <w:rFonts w:hint="eastAsia"/>
          <w:sz w:val="24"/>
          <w:szCs w:val="24"/>
          <w:highlight w:val="none"/>
        </w:rPr>
        <w:t xml:space="preserve"> </w:t>
      </w:r>
      <w:r>
        <w:rPr>
          <w:sz w:val="24"/>
          <w:szCs w:val="24"/>
          <w:highlight w:val="none"/>
        </w:rPr>
        <w:t>其它</w:t>
      </w:r>
      <w:bookmarkEnd w:id="95"/>
    </w:p>
    <w:p>
      <w:pPr>
        <w:numPr>
          <w:ilvl w:val="1"/>
          <w:numId w:val="33"/>
        </w:numPr>
        <w:tabs>
          <w:tab w:val="left" w:pos="567"/>
        </w:tabs>
        <w:spacing w:before="72" w:beforeLines="30" w:after="72" w:afterLines="30" w:line="360" w:lineRule="auto"/>
        <w:ind w:left="567" w:hanging="567"/>
        <w:rPr>
          <w:sz w:val="24"/>
          <w:highlight w:val="none"/>
        </w:rPr>
      </w:pPr>
      <w:r>
        <w:rPr>
          <w:rFonts w:hint="eastAsia"/>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3"/>
        </w:numPr>
        <w:tabs>
          <w:tab w:val="left" w:pos="567"/>
        </w:tabs>
        <w:spacing w:before="72" w:beforeLines="30" w:after="72" w:afterLines="30" w:line="360" w:lineRule="auto"/>
        <w:ind w:left="567" w:hanging="567"/>
        <w:rPr>
          <w:sz w:val="24"/>
          <w:highlight w:val="none"/>
        </w:rPr>
      </w:pPr>
      <w:r>
        <w:rPr>
          <w:sz w:val="24"/>
          <w:highlight w:val="none"/>
        </w:rPr>
        <w:t>本合同自买卖双方</w:t>
      </w:r>
      <w:r>
        <w:rPr>
          <w:rFonts w:hint="eastAsia"/>
          <w:sz w:val="24"/>
          <w:highlight w:val="none"/>
        </w:rPr>
        <w:t>法定代表人或授权代表</w:t>
      </w:r>
      <w:r>
        <w:rPr>
          <w:sz w:val="24"/>
          <w:highlight w:val="none"/>
        </w:rPr>
        <w:t>签</w:t>
      </w:r>
      <w:r>
        <w:rPr>
          <w:rFonts w:hint="eastAsia"/>
          <w:sz w:val="24"/>
          <w:highlight w:val="none"/>
        </w:rPr>
        <w:t>字并盖章</w:t>
      </w:r>
      <w:r>
        <w:rPr>
          <w:sz w:val="24"/>
          <w:highlight w:val="none"/>
        </w:rPr>
        <w:t>之日起生效</w:t>
      </w:r>
      <w:r>
        <w:rPr>
          <w:rFonts w:hint="eastAsia"/>
          <w:sz w:val="24"/>
          <w:highlight w:val="none"/>
        </w:rPr>
        <w:t>，</w:t>
      </w:r>
      <w:bookmarkStart w:id="96" w:name="OLE_LINK12"/>
      <w:bookmarkStart w:id="97" w:name="OLE_LINK11"/>
      <w:r>
        <w:rPr>
          <w:rFonts w:hint="eastAsia" w:ascii="宋体" w:hAnsi="宋体"/>
          <w:sz w:val="24"/>
          <w:highlight w:val="none"/>
        </w:rPr>
        <w:t>自双方履行完本合同项下全部权利和义务后终止</w:t>
      </w:r>
      <w:bookmarkEnd w:id="96"/>
      <w:bookmarkEnd w:id="97"/>
      <w:r>
        <w:rPr>
          <w:sz w:val="24"/>
          <w:highlight w:val="none"/>
        </w:rPr>
        <w:t>。</w:t>
      </w:r>
    </w:p>
    <w:p>
      <w:pPr>
        <w:numPr>
          <w:ilvl w:val="1"/>
          <w:numId w:val="33"/>
        </w:numPr>
        <w:tabs>
          <w:tab w:val="left" w:pos="567"/>
        </w:tabs>
        <w:spacing w:before="72" w:beforeLines="30" w:after="72" w:afterLines="30" w:line="360" w:lineRule="auto"/>
        <w:ind w:left="567" w:hanging="567"/>
        <w:rPr>
          <w:sz w:val="24"/>
          <w:highlight w:val="none"/>
        </w:rPr>
      </w:pPr>
      <w:r>
        <w:rPr>
          <w:rFonts w:hint="eastAsia"/>
          <w:sz w:val="24"/>
          <w:highlight w:val="none"/>
        </w:rPr>
        <w:t>本合同签署以前双方就本合同约定的货物买卖及</w:t>
      </w:r>
      <w:r>
        <w:rPr>
          <w:sz w:val="24"/>
          <w:highlight w:val="none"/>
        </w:rPr>
        <w:t>相关事宜</w:t>
      </w:r>
      <w:r>
        <w:rPr>
          <w:rFonts w:hint="eastAsia"/>
          <w:sz w:val="24"/>
          <w:highlight w:val="none"/>
        </w:rPr>
        <w:t>达成的所有口头和</w:t>
      </w:r>
      <w:r>
        <w:rPr>
          <w:sz w:val="24"/>
          <w:highlight w:val="none"/>
        </w:rPr>
        <w:t>/</w:t>
      </w:r>
      <w:r>
        <w:rPr>
          <w:rFonts w:hint="eastAsia"/>
          <w:sz w:val="24"/>
          <w:highlight w:val="none"/>
        </w:rPr>
        <w:t>或书面的声明、文件、信件及双方其它形式的通信在本合同生效后自动失效。</w:t>
      </w:r>
    </w:p>
    <w:p>
      <w:pPr>
        <w:numPr>
          <w:ilvl w:val="1"/>
          <w:numId w:val="33"/>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1"/>
          <w:numId w:val="33"/>
        </w:numPr>
        <w:tabs>
          <w:tab w:val="left" w:pos="567"/>
        </w:tabs>
        <w:spacing w:before="72" w:beforeLines="30" w:after="72" w:afterLines="30" w:line="360" w:lineRule="auto"/>
        <w:ind w:left="567" w:hanging="567"/>
        <w:rPr>
          <w:sz w:val="24"/>
          <w:highlight w:val="none"/>
        </w:rPr>
      </w:pPr>
      <w:r>
        <w:rPr>
          <w:sz w:val="24"/>
          <w:highlight w:val="none"/>
        </w:rPr>
        <w:t>如</w:t>
      </w:r>
      <w:r>
        <w:rPr>
          <w:rFonts w:hint="eastAsia"/>
          <w:sz w:val="24"/>
          <w:highlight w:val="none"/>
        </w:rPr>
        <w:t>果</w:t>
      </w:r>
      <w:r>
        <w:rPr>
          <w:sz w:val="24"/>
          <w:highlight w:val="none"/>
        </w:rPr>
        <w:t>本合同</w:t>
      </w:r>
      <w:r>
        <w:rPr>
          <w:rFonts w:hint="eastAsia"/>
          <w:sz w:val="24"/>
          <w:highlight w:val="none"/>
        </w:rPr>
        <w:t>的</w:t>
      </w:r>
      <w:r>
        <w:rPr>
          <w:sz w:val="24"/>
          <w:highlight w:val="none"/>
        </w:rPr>
        <w:t>任何条款</w:t>
      </w:r>
      <w:r>
        <w:rPr>
          <w:rFonts w:hint="eastAsia"/>
          <w:sz w:val="24"/>
          <w:highlight w:val="none"/>
        </w:rPr>
        <w:t>或规定</w:t>
      </w:r>
      <w:r>
        <w:rPr>
          <w:sz w:val="24"/>
          <w:highlight w:val="none"/>
        </w:rPr>
        <w:t>被裁定</w:t>
      </w:r>
      <w:r>
        <w:rPr>
          <w:rFonts w:hint="eastAsia"/>
          <w:sz w:val="24"/>
          <w:highlight w:val="none"/>
        </w:rPr>
        <w:t>为</w:t>
      </w:r>
      <w:r>
        <w:rPr>
          <w:sz w:val="24"/>
          <w:highlight w:val="none"/>
        </w:rPr>
        <w:t>无效、不合法或不可</w:t>
      </w:r>
      <w:r>
        <w:rPr>
          <w:rFonts w:hint="eastAsia"/>
          <w:sz w:val="24"/>
          <w:highlight w:val="none"/>
        </w:rPr>
        <w:t>强制</w:t>
      </w:r>
      <w:r>
        <w:rPr>
          <w:sz w:val="24"/>
          <w:highlight w:val="none"/>
        </w:rPr>
        <w:t>执行，</w:t>
      </w:r>
      <w:r>
        <w:rPr>
          <w:rFonts w:hint="eastAsia"/>
          <w:sz w:val="24"/>
          <w:highlight w:val="none"/>
        </w:rPr>
        <w:t>该条款或规定应视为被删除，本合同</w:t>
      </w:r>
      <w:r>
        <w:rPr>
          <w:sz w:val="24"/>
          <w:highlight w:val="none"/>
        </w:rPr>
        <w:t>其它条款</w:t>
      </w:r>
      <w:r>
        <w:rPr>
          <w:rFonts w:hint="eastAsia"/>
          <w:sz w:val="24"/>
          <w:highlight w:val="none"/>
        </w:rPr>
        <w:t>不受影响，</w:t>
      </w:r>
      <w:r>
        <w:rPr>
          <w:sz w:val="24"/>
          <w:highlight w:val="none"/>
        </w:rPr>
        <w:t>仍</w:t>
      </w:r>
      <w:r>
        <w:rPr>
          <w:rFonts w:hint="eastAsia"/>
          <w:sz w:val="24"/>
          <w:highlight w:val="none"/>
        </w:rPr>
        <w:t>继续</w:t>
      </w:r>
      <w:r>
        <w:rPr>
          <w:sz w:val="24"/>
          <w:highlight w:val="none"/>
        </w:rPr>
        <w:t>有效。</w:t>
      </w:r>
    </w:p>
    <w:p>
      <w:pPr>
        <w:numPr>
          <w:ilvl w:val="1"/>
          <w:numId w:val="33"/>
        </w:numPr>
        <w:tabs>
          <w:tab w:val="left" w:pos="567"/>
        </w:tabs>
        <w:spacing w:before="72" w:beforeLines="30" w:after="72" w:afterLines="30" w:line="360" w:lineRule="auto"/>
        <w:ind w:left="567" w:hanging="567"/>
        <w:rPr>
          <w:sz w:val="24"/>
          <w:highlight w:val="none"/>
        </w:rPr>
      </w:pPr>
      <w:r>
        <w:rPr>
          <w:sz w:val="24"/>
          <w:highlight w:val="none"/>
        </w:rPr>
        <w:t>本合同履行过程中，</w:t>
      </w:r>
      <w:r>
        <w:rPr>
          <w:rFonts w:hint="eastAsia"/>
          <w:sz w:val="24"/>
          <w:highlight w:val="none"/>
        </w:rPr>
        <w:t>如</w:t>
      </w:r>
      <w:r>
        <w:rPr>
          <w:sz w:val="24"/>
          <w:highlight w:val="none"/>
        </w:rPr>
        <w:t>卖方</w:t>
      </w:r>
      <w:r>
        <w:rPr>
          <w:rFonts w:hint="eastAsia"/>
          <w:sz w:val="24"/>
          <w:highlight w:val="none"/>
        </w:rPr>
        <w:t>发生重组、</w:t>
      </w:r>
      <w:r>
        <w:rPr>
          <w:sz w:val="24"/>
          <w:highlight w:val="none"/>
        </w:rPr>
        <w:t>合并、</w:t>
      </w:r>
      <w:r>
        <w:rPr>
          <w:rFonts w:hint="eastAsia"/>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3"/>
        </w:numPr>
        <w:tabs>
          <w:tab w:val="left" w:pos="567"/>
        </w:tabs>
        <w:spacing w:before="72" w:beforeLines="30" w:after="72" w:afterLines="30" w:line="360" w:lineRule="auto"/>
        <w:ind w:left="567" w:hanging="567"/>
        <w:rPr>
          <w:sz w:val="24"/>
          <w:highlight w:val="none"/>
        </w:rPr>
      </w:pPr>
      <w:r>
        <w:rPr>
          <w:sz w:val="24"/>
          <w:highlight w:val="none"/>
        </w:rPr>
        <w:t>本合同</w:t>
      </w:r>
      <w:r>
        <w:rPr>
          <w:rFonts w:hint="eastAsia"/>
          <w:sz w:val="24"/>
          <w:highlight w:val="none"/>
        </w:rPr>
        <w:t>解除或终止</w:t>
      </w:r>
      <w:r>
        <w:rPr>
          <w:sz w:val="24"/>
          <w:highlight w:val="none"/>
        </w:rPr>
        <w:t>后</w:t>
      </w:r>
      <w:r>
        <w:rPr>
          <w:rFonts w:hint="eastAsia"/>
          <w:sz w:val="24"/>
          <w:highlight w:val="none"/>
        </w:rPr>
        <w:t>，本合同项下关于知识产权、保密、保证、责任、法律适用、争议解决和其它具有持续性效力的条款继续</w:t>
      </w:r>
      <w:r>
        <w:rPr>
          <w:sz w:val="24"/>
          <w:highlight w:val="none"/>
        </w:rPr>
        <w:t>有效。</w:t>
      </w:r>
    </w:p>
    <w:p>
      <w:pPr>
        <w:numPr>
          <w:ilvl w:val="1"/>
          <w:numId w:val="33"/>
        </w:numPr>
        <w:tabs>
          <w:tab w:val="left" w:pos="567"/>
        </w:tabs>
        <w:spacing w:before="72" w:beforeLines="30" w:after="72" w:afterLines="30" w:line="360" w:lineRule="auto"/>
        <w:ind w:left="567" w:hanging="567"/>
        <w:rPr>
          <w:sz w:val="24"/>
          <w:highlight w:val="none"/>
        </w:rPr>
      </w:pPr>
      <w:r>
        <w:rPr>
          <w:rFonts w:hint="eastAsia"/>
          <w:sz w:val="24"/>
          <w:highlight w:val="none"/>
        </w:rPr>
        <w:t>本</w:t>
      </w:r>
      <w:r>
        <w:rPr>
          <w:sz w:val="24"/>
          <w:highlight w:val="none"/>
        </w:rPr>
        <w:t>合同未尽事宜，应由双方协商</w:t>
      </w:r>
      <w:r>
        <w:rPr>
          <w:rFonts w:hint="eastAsia"/>
          <w:sz w:val="24"/>
          <w:highlight w:val="none"/>
        </w:rPr>
        <w:t>确定</w:t>
      </w:r>
      <w:r>
        <w:rPr>
          <w:sz w:val="24"/>
          <w:highlight w:val="none"/>
        </w:rPr>
        <w:t>，并签订补充协议，补充协议与本合同具有同等法律效力。</w:t>
      </w:r>
    </w:p>
    <w:p>
      <w:pPr>
        <w:numPr>
          <w:ilvl w:val="1"/>
          <w:numId w:val="33"/>
        </w:numPr>
        <w:tabs>
          <w:tab w:val="left" w:pos="567"/>
        </w:tabs>
        <w:spacing w:before="72" w:beforeLines="30" w:after="72" w:afterLines="30" w:line="360" w:lineRule="auto"/>
        <w:ind w:left="567" w:hanging="567"/>
        <w:rPr>
          <w:sz w:val="24"/>
          <w:highlight w:val="none"/>
        </w:rPr>
      </w:pPr>
      <w:r>
        <w:rPr>
          <w:sz w:val="24"/>
          <w:highlight w:val="none"/>
        </w:rPr>
        <w:t>本合同的任何变更、修改或增减，须经双方协商</w:t>
      </w:r>
      <w:r>
        <w:rPr>
          <w:rFonts w:hint="eastAsia"/>
          <w:sz w:val="24"/>
          <w:highlight w:val="none"/>
        </w:rPr>
        <w:t>一致、法定代表人或</w:t>
      </w:r>
      <w:r>
        <w:rPr>
          <w:sz w:val="24"/>
          <w:highlight w:val="none"/>
        </w:rPr>
        <w:t>授权代表签署书面文件</w:t>
      </w:r>
      <w:r>
        <w:rPr>
          <w:rFonts w:hint="eastAsia"/>
          <w:sz w:val="24"/>
          <w:highlight w:val="none"/>
        </w:rPr>
        <w:t>并盖章</w:t>
      </w:r>
      <w:r>
        <w:rPr>
          <w:sz w:val="24"/>
          <w:highlight w:val="none"/>
        </w:rPr>
        <w:t>后</w:t>
      </w:r>
      <w:r>
        <w:rPr>
          <w:rFonts w:hint="eastAsia"/>
          <w:sz w:val="24"/>
          <w:highlight w:val="none"/>
        </w:rPr>
        <w:t>生</w:t>
      </w:r>
      <w:r>
        <w:rPr>
          <w:sz w:val="24"/>
          <w:highlight w:val="none"/>
        </w:rPr>
        <w:t>效。</w:t>
      </w:r>
    </w:p>
    <w:p>
      <w:pPr>
        <w:numPr>
          <w:ilvl w:val="1"/>
          <w:numId w:val="33"/>
        </w:numPr>
        <w:tabs>
          <w:tab w:val="left" w:pos="567"/>
        </w:tabs>
        <w:spacing w:before="72" w:beforeLines="30" w:after="72" w:afterLines="30" w:line="360" w:lineRule="auto"/>
        <w:ind w:left="567" w:hanging="567"/>
        <w:rPr>
          <w:sz w:val="24"/>
          <w:highlight w:val="none"/>
        </w:rPr>
      </w:pPr>
      <w:r>
        <w:rPr>
          <w:rFonts w:hint="eastAsia"/>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3"/>
        </w:numPr>
        <w:tabs>
          <w:tab w:val="left" w:pos="567"/>
        </w:tabs>
        <w:spacing w:before="72" w:beforeLines="30" w:after="72" w:afterLines="30" w:line="360" w:lineRule="auto"/>
        <w:ind w:left="567" w:hanging="567"/>
        <w:rPr>
          <w:sz w:val="24"/>
          <w:highlight w:val="none"/>
        </w:rPr>
      </w:pPr>
      <w:r>
        <w:rPr>
          <w:rFonts w:hint="eastAsia"/>
          <w:sz w:val="24"/>
          <w:highlight w:val="none"/>
        </w:rPr>
        <w:t>本合同系双方协商、讨论的结果，合同内容非一方当事人单方拟定。本合同不属于格式合同，条款内容不属于格式条款。</w:t>
      </w:r>
    </w:p>
    <w:p>
      <w:pPr>
        <w:numPr>
          <w:ilvl w:val="1"/>
          <w:numId w:val="33"/>
        </w:numPr>
        <w:tabs>
          <w:tab w:val="left" w:pos="567"/>
        </w:tabs>
        <w:spacing w:before="72" w:beforeLines="30" w:after="72" w:afterLines="30" w:line="360" w:lineRule="auto"/>
        <w:ind w:left="567" w:hanging="567"/>
        <w:rPr>
          <w:sz w:val="24"/>
          <w:highlight w:val="none"/>
        </w:rPr>
      </w:pPr>
      <w:r>
        <w:rPr>
          <w:rFonts w:hint="eastAsia"/>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3"/>
        </w:numPr>
        <w:tabs>
          <w:tab w:val="left" w:pos="567"/>
        </w:tabs>
        <w:spacing w:before="72" w:beforeLines="30" w:after="72" w:afterLines="30" w:line="360" w:lineRule="auto"/>
        <w:ind w:left="567" w:hanging="567"/>
        <w:jc w:val="left"/>
        <w:rPr>
          <w:sz w:val="24"/>
          <w:highlight w:val="none"/>
        </w:rPr>
      </w:pPr>
      <w:r>
        <w:rPr>
          <w:sz w:val="24"/>
          <w:highlight w:val="none"/>
        </w:rPr>
        <w:t>本合同一式</w:t>
      </w:r>
      <w:r>
        <w:rPr>
          <w:rFonts w:hint="eastAsia"/>
          <w:sz w:val="24"/>
          <w:highlight w:val="none"/>
        </w:rPr>
        <w:t>【</w:t>
      </w:r>
      <w:r>
        <w:rPr>
          <w:rFonts w:hint="eastAsia"/>
          <w:i/>
          <w:sz w:val="24"/>
          <w:highlight w:val="none"/>
        </w:rPr>
        <w:t>填入合同份数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rPr>
        <w:t>填入合同份数</w:t>
      </w:r>
      <w:r>
        <w:rPr>
          <w:rFonts w:hint="eastAsia"/>
          <w:sz w:val="24"/>
          <w:highlight w:val="none"/>
        </w:rPr>
        <w:t>】份</w:t>
      </w:r>
      <w:r>
        <w:rPr>
          <w:sz w:val="24"/>
          <w:highlight w:val="none"/>
        </w:rPr>
        <w:t>，具有同等效力。</w:t>
      </w:r>
    </w:p>
    <w:p>
      <w:pPr>
        <w:widowControl/>
        <w:spacing w:before="72" w:beforeLines="30" w:after="72" w:afterLines="30" w:line="360" w:lineRule="auto"/>
        <w:jc w:val="left"/>
        <w:rPr>
          <w:sz w:val="24"/>
          <w:highlight w:val="none"/>
        </w:rPr>
      </w:pPr>
      <w:r>
        <w:rPr>
          <w:sz w:val="24"/>
          <w:highlight w:val="none"/>
        </w:rPr>
        <w:br w:type="page"/>
      </w:r>
    </w:p>
    <w:p>
      <w:pPr>
        <w:tabs>
          <w:tab w:val="left" w:pos="850"/>
        </w:tabs>
        <w:autoSpaceDE w:val="0"/>
        <w:autoSpaceDN w:val="0"/>
        <w:spacing w:before="72" w:beforeLines="30" w:after="72" w:afterLines="30" w:line="360" w:lineRule="auto"/>
        <w:jc w:val="center"/>
        <w:textAlignment w:val="bottom"/>
        <w:rPr>
          <w:b/>
          <w:sz w:val="24"/>
          <w:highlight w:val="none"/>
        </w:rPr>
      </w:pPr>
      <w:r>
        <w:rPr>
          <w:rFonts w:hint="eastAsia"/>
          <w:b/>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sz w:val="24"/>
          <w:highlight w:val="none"/>
        </w:rPr>
      </w:pPr>
    </w:p>
    <w:tbl>
      <w:tblPr>
        <w:tblStyle w:val="12"/>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买方</w:t>
            </w:r>
            <w:r>
              <w:rPr>
                <w:rFonts w:hint="eastAsia"/>
                <w:sz w:val="24"/>
                <w:highlight w:val="none"/>
              </w:rPr>
              <w:t>（盖章）</w:t>
            </w:r>
          </w:p>
        </w:tc>
        <w:tc>
          <w:tcPr>
            <w:tcW w:w="2397"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卖方</w:t>
            </w:r>
            <w:r>
              <w:rPr>
                <w:rFonts w:hint="eastAsia"/>
                <w:sz w:val="24"/>
                <w:highlight w:val="none"/>
              </w:rPr>
              <w:t>（盖章）</w:t>
            </w:r>
          </w:p>
          <w:p>
            <w:pPr>
              <w:tabs>
                <w:tab w:val="left" w:pos="850"/>
              </w:tabs>
              <w:autoSpaceDE w:val="0"/>
              <w:autoSpaceDN w:val="0"/>
              <w:spacing w:before="72" w:beforeLines="30" w:after="72" w:afterLines="30" w:line="360" w:lineRule="auto"/>
              <w:textAlignment w:val="bottom"/>
              <w:rPr>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pPr>
        <w:spacing w:before="72" w:beforeLines="30" w:after="72" w:afterLines="30" w:line="360" w:lineRule="auto"/>
        <w:rPr>
          <w:sz w:val="24"/>
          <w:highlight w:val="none"/>
        </w:rPr>
      </w:pPr>
      <w:r>
        <w:rPr>
          <w:rFonts w:hint="eastAsia"/>
          <w:sz w:val="24"/>
          <w:highlight w:val="none"/>
        </w:rPr>
        <w:t>姓名：</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姓名：</w:t>
      </w:r>
      <w:r>
        <w:rPr>
          <w:rFonts w:hint="eastAsia"/>
          <w:sz w:val="24"/>
          <w:highlight w:val="none"/>
          <w:u w:val="single"/>
        </w:rPr>
        <w:t xml:space="preserve">                       </w:t>
      </w:r>
    </w:p>
    <w:p>
      <w:pPr>
        <w:spacing w:before="72" w:beforeLines="30" w:after="72" w:afterLines="30" w:line="360" w:lineRule="auto"/>
        <w:rPr>
          <w:sz w:val="24"/>
          <w:highlight w:val="none"/>
        </w:rPr>
      </w:pPr>
      <w:r>
        <w:rPr>
          <w:rFonts w:hint="eastAsia"/>
          <w:sz w:val="24"/>
          <w:highlight w:val="none"/>
        </w:rPr>
        <w:t>职务：</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职务：</w:t>
      </w:r>
      <w:r>
        <w:rPr>
          <w:rFonts w:hint="eastAsia"/>
          <w:sz w:val="24"/>
          <w:highlight w:val="none"/>
          <w:u w:val="single"/>
        </w:rPr>
        <w:t xml:space="preserve">                       </w:t>
      </w: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b/>
          <w:bCs/>
          <w:iCs/>
          <w:kern w:val="0"/>
          <w:sz w:val="24"/>
          <w:highlight w:val="none"/>
        </w:rPr>
      </w:pPr>
      <w:bookmarkStart w:id="98" w:name="_Toc296955897"/>
      <w:bookmarkStart w:id="99" w:name="_Toc300670376"/>
      <w:bookmarkStart w:id="100" w:name="_Toc366251493"/>
      <w:bookmarkStart w:id="101" w:name="_Toc291435952"/>
      <w:bookmarkStart w:id="102" w:name="_Toc300670448"/>
      <w:bookmarkStart w:id="103" w:name="_Toc358987523"/>
      <w:bookmarkStart w:id="104" w:name="_Toc291435885"/>
      <w:r>
        <w:rPr>
          <w:rFonts w:hint="eastAsia"/>
          <w:b/>
          <w:bCs/>
          <w:iCs/>
          <w:kern w:val="0"/>
          <w:sz w:val="24"/>
          <w:highlight w:val="none"/>
        </w:rPr>
        <w:t>附件一：</w:t>
      </w:r>
      <w:bookmarkEnd w:id="98"/>
      <w:bookmarkEnd w:id="99"/>
      <w:bookmarkEnd w:id="100"/>
      <w:bookmarkEnd w:id="101"/>
      <w:bookmarkEnd w:id="102"/>
      <w:bookmarkEnd w:id="103"/>
      <w:bookmarkEnd w:id="104"/>
      <w:r>
        <w:rPr>
          <w:rFonts w:hint="eastAsia"/>
          <w:b/>
          <w:bCs/>
          <w:iCs/>
          <w:kern w:val="0"/>
          <w:sz w:val="24"/>
          <w:highlight w:val="none"/>
        </w:rPr>
        <w:t>价格表</w:t>
      </w:r>
    </w:p>
    <w:p>
      <w:pPr>
        <w:widowControl/>
        <w:spacing w:before="72" w:beforeLines="30" w:after="72" w:afterLines="30" w:line="360" w:lineRule="auto"/>
        <w:jc w:val="left"/>
        <w:rPr>
          <w:sz w:val="24"/>
          <w:highlight w:val="none"/>
        </w:rPr>
      </w:pPr>
      <w:r>
        <w:rPr>
          <w:rFonts w:hint="eastAsia"/>
          <w:b/>
          <w:bCs/>
          <w:iCs/>
          <w:kern w:val="0"/>
          <w:sz w:val="24"/>
          <w:highlight w:val="none"/>
        </w:rPr>
        <w:t>附件二：技术服务</w:t>
      </w:r>
    </w:p>
    <w:p>
      <w:pPr>
        <w:rPr>
          <w:highlight w:val="none"/>
          <w:lang w:val="en-US" w:eastAsia="zh-CN"/>
        </w:rPr>
      </w:pPr>
      <w:r>
        <w:rPr>
          <w:rFonts w:hint="eastAsia"/>
          <w:b/>
          <w:bCs/>
          <w:iCs/>
          <w:kern w:val="0"/>
          <w:sz w:val="24"/>
          <w:highlight w:val="none"/>
        </w:rPr>
        <w:t>附件三：付款进度</w:t>
      </w:r>
    </w:p>
    <w:p>
      <w:pPr>
        <w:pStyle w:val="5"/>
        <w:rPr>
          <w:highlight w:val="none"/>
          <w:lang w:val="en-US" w:eastAsia="zh-CN"/>
        </w:rPr>
      </w:pPr>
    </w:p>
    <w:p>
      <w:pPr>
        <w:rPr>
          <w:highlight w:val="none"/>
          <w:lang w:val="en-US" w:eastAsia="zh-CN"/>
        </w:rPr>
      </w:pPr>
    </w:p>
    <w:p>
      <w:pPr>
        <w:pStyle w:val="5"/>
        <w:rPr>
          <w:highlight w:val="none"/>
          <w:lang w:val="en-US" w:eastAsia="zh-CN"/>
        </w:rPr>
      </w:pPr>
    </w:p>
    <w:p>
      <w:pPr>
        <w:pStyle w:val="5"/>
        <w:rPr>
          <w:highlight w:val="none"/>
          <w:lang w:val="en-US" w:eastAsia="zh-CN"/>
        </w:rPr>
      </w:pPr>
    </w:p>
    <w:p>
      <w:pPr>
        <w:rPr>
          <w:rFonts w:hint="eastAsia"/>
          <w:b/>
          <w:strike w:val="0"/>
          <w:dstrike w:val="0"/>
          <w:sz w:val="24"/>
          <w:highlight w:val="none"/>
          <w:lang w:val="en-US" w:eastAsia="zh-CN"/>
        </w:rPr>
      </w:pPr>
      <w:r>
        <w:rPr>
          <w:rFonts w:hint="eastAsia"/>
          <w:b/>
          <w:strike w:val="0"/>
          <w:dstrike w:val="0"/>
          <w:sz w:val="24"/>
          <w:highlight w:val="none"/>
          <w:lang w:val="en-US" w:eastAsia="zh-CN"/>
        </w:rPr>
        <w:br w:type="page"/>
      </w:r>
    </w:p>
    <w:p>
      <w:pPr>
        <w:pStyle w:val="20"/>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highlight w:val="none"/>
        </w:rPr>
      </w:pPr>
      <w:r>
        <w:rPr>
          <w:rFonts w:hint="eastAsia"/>
          <w:b/>
          <w:strike w:val="0"/>
          <w:dstrike w:val="0"/>
          <w:sz w:val="24"/>
          <w:highlight w:val="none"/>
          <w:lang w:val="en-US" w:eastAsia="zh-CN"/>
        </w:rPr>
        <w:t xml:space="preserve">附件4： </w:t>
      </w:r>
      <w:r>
        <w:rPr>
          <w:rFonts w:hint="eastAsia"/>
          <w:b/>
          <w:strike w:val="0"/>
          <w:dstrike w:val="0"/>
          <w:sz w:val="24"/>
          <w:highlight w:val="none"/>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highlight w:val="none"/>
          <w:lang w:eastAsia="zh-CN"/>
        </w:rPr>
      </w:pPr>
      <w:r>
        <w:rPr>
          <w:rFonts w:hint="eastAsia"/>
          <w:b/>
          <w:strike w:val="0"/>
          <w:dstrike w:val="0"/>
          <w:sz w:val="24"/>
          <w:highlight w:val="none"/>
          <w:lang w:val="en-US" w:eastAsia="zh-CN"/>
        </w:rPr>
        <w:t>4.1海油发展供应商处理情形和处理标准</w:t>
      </w:r>
    </w:p>
    <w:tbl>
      <w:tblPr>
        <w:tblStyle w:val="1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序号</w:t>
            </w:r>
          </w:p>
        </w:tc>
        <w:tc>
          <w:tcPr>
            <w:tcW w:w="1266"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违规类型</w:t>
            </w:r>
          </w:p>
        </w:tc>
        <w:tc>
          <w:tcPr>
            <w:tcW w:w="5484"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违规情形说明</w:t>
            </w:r>
          </w:p>
        </w:tc>
        <w:tc>
          <w:tcPr>
            <w:tcW w:w="1281" w:type="dxa"/>
            <w:shd w:val="clear" w:color="auto" w:fill="auto"/>
            <w:vAlign w:val="center"/>
          </w:tcPr>
          <w:p>
            <w:pPr>
              <w:textAlignment w:val="center"/>
              <w:rPr>
                <w:b/>
                <w:bCs/>
                <w:color w:val="000000"/>
                <w:sz w:val="22"/>
                <w:szCs w:val="22"/>
                <w:highlight w:val="none"/>
              </w:rPr>
            </w:pPr>
            <w:r>
              <w:rPr>
                <w:rFonts w:hint="eastAsia"/>
                <w:b/>
                <w:bCs/>
                <w:color w:val="000000"/>
                <w:sz w:val="22"/>
                <w:szCs w:val="22"/>
                <w:highlight w:val="none"/>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提供虚假资料</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rFonts w:hint="default" w:eastAsia="宋体"/>
                <w:color w:val="000000"/>
                <w:sz w:val="20"/>
                <w:szCs w:val="20"/>
                <w:highlight w:val="none"/>
                <w:lang w:val="en-US" w:eastAsia="zh-CN"/>
              </w:rPr>
            </w:pPr>
            <w:r>
              <w:rPr>
                <w:rFonts w:hint="eastAsia"/>
                <w:b/>
                <w:bCs/>
                <w:color w:val="000000"/>
                <w:sz w:val="20"/>
                <w:szCs w:val="20"/>
                <w:highlight w:val="none"/>
                <w:lang w:bidi="ar"/>
              </w:rPr>
              <w:t>提供虚假材料</w:t>
            </w:r>
            <w:r>
              <w:rPr>
                <w:rFonts w:hint="eastAsia"/>
                <w:color w:val="000000"/>
                <w:sz w:val="20"/>
                <w:szCs w:val="20"/>
                <w:highlight w:val="none"/>
                <w:lang w:bidi="ar"/>
              </w:rPr>
              <w:t>（</w:t>
            </w:r>
            <w:r>
              <w:rPr>
                <w:rFonts w:hint="eastAsia"/>
                <w:b/>
                <w:bCs/>
                <w:color w:val="000000"/>
                <w:sz w:val="20"/>
                <w:szCs w:val="20"/>
                <w:highlight w:val="none"/>
                <w:lang w:bidi="ar"/>
              </w:rPr>
              <w:t>资质文件、业绩、财务状况、书面承诺</w:t>
            </w:r>
            <w:r>
              <w:rPr>
                <w:rFonts w:hint="eastAsia"/>
                <w:color w:val="000000"/>
                <w:sz w:val="20"/>
                <w:szCs w:val="20"/>
                <w:highlight w:val="none"/>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恶意串通</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w:t>
            </w:r>
            <w:r>
              <w:rPr>
                <w:rFonts w:hint="eastAsia"/>
                <w:b/>
                <w:bCs/>
                <w:color w:val="000000"/>
                <w:sz w:val="20"/>
                <w:szCs w:val="20"/>
                <w:highlight w:val="none"/>
                <w:lang w:bidi="ar"/>
              </w:rPr>
              <w:t>相互恶意串通</w:t>
            </w:r>
            <w:r>
              <w:rPr>
                <w:rFonts w:hint="eastAsia"/>
                <w:color w:val="000000"/>
                <w:sz w:val="20"/>
                <w:szCs w:val="20"/>
                <w:highlight w:val="none"/>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中途撤销投标</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开标后在有效期内中途撤销投标的</w:t>
            </w:r>
            <w:r>
              <w:rPr>
                <w:rFonts w:hint="eastAsia"/>
                <w:color w:val="000000"/>
                <w:sz w:val="20"/>
                <w:szCs w:val="20"/>
                <w:highlight w:val="none"/>
                <w:lang w:bidi="ar"/>
              </w:rPr>
              <w:t>，且对采办过程造成影响的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投标文件质量差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highlight w:val="none"/>
              </w:rPr>
            </w:pPr>
            <w:r>
              <w:rPr>
                <w:rFonts w:hint="eastAsia"/>
                <w:color w:val="000000"/>
                <w:sz w:val="20"/>
                <w:szCs w:val="20"/>
                <w:highlight w:val="none"/>
                <w:lang w:bidi="ar"/>
              </w:rPr>
              <w:t>初次出现对供应商进行“约谈”，一年内出现两次给予</w:t>
            </w:r>
            <w:r>
              <w:rPr>
                <w:rFonts w:hint="eastAsia"/>
                <w:b/>
                <w:bCs/>
                <w:color w:val="000000"/>
                <w:sz w:val="20"/>
                <w:szCs w:val="20"/>
                <w:highlight w:val="none"/>
                <w:lang w:bidi="ar"/>
              </w:rPr>
              <w:t>“警告”</w:t>
            </w:r>
            <w:r>
              <w:rPr>
                <w:rFonts w:hint="eastAsia"/>
                <w:color w:val="000000"/>
                <w:sz w:val="20"/>
                <w:szCs w:val="20"/>
                <w:highlight w:val="none"/>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11</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排挤其他供应商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12</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不遵守招投标纪律</w:t>
            </w:r>
          </w:p>
        </w:tc>
        <w:tc>
          <w:tcPr>
            <w:tcW w:w="5484" w:type="dxa"/>
            <w:shd w:val="clear" w:color="auto" w:fill="auto"/>
            <w:vAlign w:val="center"/>
          </w:tcPr>
          <w:p>
            <w:pPr>
              <w:textAlignment w:val="center"/>
              <w:rPr>
                <w:color w:val="000000"/>
                <w:sz w:val="20"/>
                <w:szCs w:val="20"/>
                <w:highlight w:val="none"/>
              </w:rPr>
            </w:pPr>
            <w:r>
              <w:rPr>
                <w:rStyle w:val="21"/>
                <w:rFonts w:hint="default"/>
                <w:highlight w:val="none"/>
                <w:lang w:bidi="ar"/>
              </w:rPr>
              <w:t>不遵守招投标相关纪律：如在开标、评标现场无理取闹，违反招投标程序</w:t>
            </w:r>
            <w:r>
              <w:rPr>
                <w:rFonts w:ascii="Times New Roman" w:hAnsi="Times New Roman" w:cs="Times New Roman"/>
                <w:color w:val="000000"/>
                <w:sz w:val="20"/>
                <w:szCs w:val="20"/>
                <w:highlight w:val="none"/>
                <w:lang w:bidi="ar"/>
              </w:rPr>
              <w:t>,</w:t>
            </w:r>
            <w:r>
              <w:rPr>
                <w:rStyle w:val="21"/>
                <w:rFonts w:hint="default"/>
                <w:highlight w:val="none"/>
                <w:lang w:bidi="ar"/>
              </w:rPr>
              <w:t>破坏招投标秩序等情形的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13</w:t>
            </w:r>
          </w:p>
        </w:tc>
        <w:tc>
          <w:tcPr>
            <w:tcW w:w="1266" w:type="dxa"/>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拒不签订合同</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获取中标资格或成交资格拒绝签订合同的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14</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供应商对评标结果提出异议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w:t>
            </w:r>
            <w:r>
              <w:rPr>
                <w:rFonts w:hint="eastAsia"/>
                <w:b/>
                <w:bCs/>
                <w:color w:val="000000"/>
                <w:sz w:val="20"/>
                <w:szCs w:val="20"/>
                <w:highlight w:val="none"/>
                <w:lang w:bidi="ar"/>
              </w:rPr>
              <w:t>经核查后异议不实的或提出异议却无法提供证明文件的</w:t>
            </w:r>
            <w:r>
              <w:rPr>
                <w:rFonts w:hint="eastAsia"/>
                <w:color w:val="000000"/>
                <w:sz w:val="20"/>
                <w:szCs w:val="20"/>
                <w:highlight w:val="none"/>
                <w:lang w:bidi="ar"/>
              </w:rPr>
              <w:t>。造成影响的。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无事实依据对采购过程或采购结果进行乱投诉、举报的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情节较轻的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恶意投诉、举报的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擅自变更、</w:t>
            </w:r>
            <w:r>
              <w:rPr>
                <w:rFonts w:hint="eastAsia"/>
                <w:b/>
                <w:bCs/>
                <w:color w:val="000000"/>
                <w:sz w:val="20"/>
                <w:szCs w:val="20"/>
                <w:highlight w:val="none"/>
                <w:lang w:bidi="ar"/>
              </w:rPr>
              <w:t>不按照合同规定履行或者擅自终止合同的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损失较轻或对安全生产影响较小的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擅自降低标的功能标准或改变功能结构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23</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及时整改但造成一定影响的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及时整改但影响较重的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拒不整改的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假冒其他厂家品牌，</w:t>
            </w:r>
            <w:r>
              <w:rPr>
                <w:rFonts w:hint="eastAsia"/>
                <w:b/>
                <w:bCs/>
                <w:color w:val="000000"/>
                <w:sz w:val="20"/>
                <w:szCs w:val="20"/>
                <w:highlight w:val="none"/>
                <w:lang w:bidi="ar"/>
              </w:rPr>
              <w:t>提供伪劣商品</w:t>
            </w:r>
            <w:r>
              <w:rPr>
                <w:rFonts w:hint="eastAsia"/>
                <w:color w:val="000000"/>
                <w:sz w:val="20"/>
                <w:szCs w:val="20"/>
                <w:highlight w:val="none"/>
                <w:lang w:bidi="ar"/>
              </w:rPr>
              <w:t>、以假乱真弄虚作假的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对生产经营造成影响较小</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28</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出现供给不足（即“</w:t>
            </w:r>
            <w:r>
              <w:rPr>
                <w:rFonts w:hint="eastAsia"/>
                <w:b/>
                <w:bCs/>
                <w:color w:val="000000"/>
                <w:sz w:val="20"/>
                <w:szCs w:val="20"/>
                <w:highlight w:val="none"/>
                <w:lang w:bidi="ar"/>
              </w:rPr>
              <w:t>短斤少两</w:t>
            </w:r>
            <w:r>
              <w:rPr>
                <w:rFonts w:hint="eastAsia"/>
                <w:color w:val="000000"/>
                <w:sz w:val="20"/>
                <w:szCs w:val="20"/>
                <w:highlight w:val="none"/>
                <w:lang w:bidi="ar"/>
              </w:rPr>
              <w:t>”行为）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及时整改未产生影响的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整改但产生影响的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拒不更正的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31</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所提供的产品</w:t>
            </w:r>
            <w:r>
              <w:rPr>
                <w:rFonts w:hint="eastAsia"/>
                <w:b/>
                <w:bCs/>
                <w:color w:val="000000"/>
                <w:sz w:val="20"/>
                <w:szCs w:val="20"/>
                <w:highlight w:val="none"/>
                <w:lang w:bidi="ar"/>
              </w:rPr>
              <w:t>存在严重质量问题</w:t>
            </w:r>
            <w:r>
              <w:rPr>
                <w:rFonts w:hint="eastAsia"/>
                <w:color w:val="000000"/>
                <w:sz w:val="20"/>
                <w:szCs w:val="20"/>
                <w:highlight w:val="none"/>
                <w:lang w:bidi="ar"/>
              </w:rPr>
              <w:t>，影响安全生产或对工程建设造成实质性影响的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32</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33</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w:t>
            </w:r>
            <w:r>
              <w:rPr>
                <w:rFonts w:hint="eastAsia"/>
                <w:b/>
                <w:bCs/>
                <w:color w:val="000000"/>
                <w:sz w:val="20"/>
                <w:szCs w:val="20"/>
                <w:highlight w:val="none"/>
                <w:lang w:bidi="ar"/>
              </w:rPr>
              <w:t>严重安全隐患</w:t>
            </w:r>
            <w:r>
              <w:rPr>
                <w:rFonts w:hint="eastAsia"/>
                <w:color w:val="000000"/>
                <w:sz w:val="20"/>
                <w:szCs w:val="20"/>
                <w:highlight w:val="none"/>
                <w:lang w:bidi="ar"/>
              </w:rPr>
              <w:t>，且拒绝整改或整改不及时、不到位的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34</w:t>
            </w:r>
          </w:p>
        </w:tc>
        <w:tc>
          <w:tcPr>
            <w:tcW w:w="1266" w:type="dxa"/>
            <w:vMerge w:val="restart"/>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提供虚假进度报告</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未造成实质影响的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35</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造成实质性影响的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在允许分包项目中，违反分包承诺进行</w:t>
            </w:r>
            <w:r>
              <w:rPr>
                <w:rFonts w:hint="eastAsia"/>
                <w:b/>
                <w:bCs/>
                <w:color w:val="000000"/>
                <w:sz w:val="20"/>
                <w:szCs w:val="20"/>
                <w:highlight w:val="none"/>
                <w:lang w:bidi="ar"/>
              </w:rPr>
              <w:t>分包</w:t>
            </w:r>
            <w:r>
              <w:rPr>
                <w:rFonts w:hint="eastAsia"/>
                <w:color w:val="000000"/>
                <w:sz w:val="20"/>
                <w:szCs w:val="20"/>
                <w:highlight w:val="none"/>
                <w:lang w:bidi="ar"/>
              </w:rPr>
              <w:t>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违反规定</w:t>
            </w:r>
            <w:r>
              <w:rPr>
                <w:rFonts w:hint="eastAsia"/>
                <w:b/>
                <w:bCs/>
                <w:color w:val="000000"/>
                <w:sz w:val="20"/>
                <w:szCs w:val="20"/>
                <w:highlight w:val="none"/>
                <w:lang w:bidi="ar"/>
              </w:rPr>
              <w:t>擅自把中标项目或合同转让、转包、分包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42</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未经同意拖延交工、交货日期，</w:t>
            </w:r>
            <w:r>
              <w:rPr>
                <w:rFonts w:hint="eastAsia"/>
                <w:b/>
                <w:bCs/>
                <w:color w:val="000000"/>
                <w:sz w:val="20"/>
                <w:szCs w:val="20"/>
                <w:highlight w:val="none"/>
                <w:lang w:bidi="ar"/>
              </w:rPr>
              <w:t>延缓执行合同的期限</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未造成严重影响且愿意协商解决或</w:t>
            </w:r>
            <w:r>
              <w:rPr>
                <w:rFonts w:hint="eastAsia"/>
                <w:b/>
                <w:bCs/>
                <w:color w:val="000000"/>
                <w:sz w:val="20"/>
                <w:szCs w:val="20"/>
                <w:highlight w:val="none"/>
                <w:lang w:bidi="ar"/>
              </w:rPr>
              <w:t>承担赔偿责任的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43</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造成实质影响但愿意协商解决的，根据影响程度</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w:t>
            </w:r>
            <w:r>
              <w:rPr>
                <w:rFonts w:hint="eastAsia"/>
                <w:b/>
                <w:bCs/>
                <w:color w:val="000000"/>
                <w:sz w:val="20"/>
                <w:szCs w:val="20"/>
                <w:highlight w:val="none"/>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造成较重或严重影响且拒绝协商解决的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拒绝履行售后义务</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46</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拒不配合</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47</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行贿</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48</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使用禁用供应商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未经许可，对外</w:t>
            </w:r>
            <w:r>
              <w:rPr>
                <w:rFonts w:hint="eastAsia"/>
                <w:b/>
                <w:bCs/>
                <w:color w:val="000000"/>
                <w:sz w:val="20"/>
                <w:szCs w:val="20"/>
                <w:highlight w:val="none"/>
                <w:lang w:bidi="ar"/>
              </w:rPr>
              <w:t>披露中国海油商业秘密</w:t>
            </w:r>
            <w:r>
              <w:rPr>
                <w:rFonts w:hint="eastAsia"/>
                <w:color w:val="000000"/>
                <w:sz w:val="20"/>
                <w:szCs w:val="20"/>
                <w:highlight w:val="none"/>
                <w:lang w:bidi="ar"/>
              </w:rPr>
              <w:t>信息的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51</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w:t>
            </w:r>
            <w:r>
              <w:rPr>
                <w:rFonts w:hint="eastAsia"/>
                <w:b/>
                <w:bCs/>
                <w:color w:val="000000"/>
                <w:sz w:val="20"/>
                <w:szCs w:val="20"/>
                <w:highlight w:val="none"/>
                <w:lang w:bidi="ar"/>
              </w:rPr>
              <w:t>中国海油及所属单位产生法律诉讼的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52</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对供应商给予“禁用三年”</w:t>
            </w:r>
            <w:r>
              <w:rPr>
                <w:rFonts w:hint="eastAsia"/>
                <w:color w:val="000000"/>
                <w:sz w:val="20"/>
                <w:szCs w:val="20"/>
                <w:highlight w:val="none"/>
                <w:lang w:val="en-US" w:eastAsia="zh-CN" w:bidi="ar"/>
              </w:rPr>
              <w:t>处理</w:t>
            </w:r>
            <w:r>
              <w:rPr>
                <w:rFonts w:hint="eastAsia"/>
                <w:color w:val="000000"/>
                <w:sz w:val="20"/>
                <w:szCs w:val="20"/>
                <w:highlight w:val="none"/>
                <w:lang w:bidi="ar"/>
              </w:rPr>
              <w:t>；情节严重的，</w:t>
            </w: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53</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供应商在提报中国海油员工、</w:t>
            </w:r>
            <w:r>
              <w:rPr>
                <w:rFonts w:hint="eastAsia"/>
                <w:b/>
                <w:bCs/>
                <w:color w:val="000000"/>
                <w:sz w:val="20"/>
                <w:szCs w:val="20"/>
                <w:highlight w:val="none"/>
                <w:lang w:bidi="ar"/>
              </w:rPr>
              <w:t>员工亲属、离职退休的领导人员在本单位的任职</w:t>
            </w:r>
            <w:r>
              <w:rPr>
                <w:rFonts w:hint="eastAsia"/>
                <w:color w:val="000000"/>
                <w:sz w:val="20"/>
                <w:szCs w:val="20"/>
                <w:highlight w:val="none"/>
                <w:lang w:bidi="ar"/>
              </w:rPr>
              <w:t>和持股情况时</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存在瞒报相关情况的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经营状况异常</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其它违反国家、集团公司及海油发展规章制度的行为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违反国家政策、法律法规，存在不与农民工签订合同，或</w:t>
            </w:r>
            <w:r>
              <w:rPr>
                <w:rFonts w:hint="eastAsia"/>
                <w:b/>
                <w:bCs/>
                <w:color w:val="000000"/>
                <w:sz w:val="20"/>
                <w:szCs w:val="20"/>
                <w:highlight w:val="none"/>
                <w:lang w:bidi="ar"/>
              </w:rPr>
              <w:t>存在拖欠农民工工资问题</w:t>
            </w:r>
            <w:r>
              <w:rPr>
                <w:rFonts w:hint="eastAsia"/>
                <w:color w:val="000000"/>
                <w:sz w:val="20"/>
                <w:szCs w:val="20"/>
                <w:highlight w:val="none"/>
                <w:lang w:bidi="ar"/>
              </w:rPr>
              <w:t>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违反国家政策、法律法规，对破坏生态环境，</w:t>
            </w:r>
            <w:r>
              <w:rPr>
                <w:rFonts w:hint="eastAsia"/>
                <w:b/>
                <w:bCs/>
                <w:color w:val="000000"/>
                <w:sz w:val="20"/>
                <w:szCs w:val="20"/>
                <w:highlight w:val="none"/>
                <w:lang w:bidi="ar"/>
              </w:rPr>
              <w:t>对环境造成污染的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58</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违反劳动法</w:t>
            </w:r>
            <w:r>
              <w:rPr>
                <w:rFonts w:hint="eastAsia"/>
                <w:color w:val="000000"/>
                <w:sz w:val="20"/>
                <w:szCs w:val="20"/>
                <w:highlight w:val="none"/>
                <w:lang w:bidi="ar"/>
              </w:rPr>
              <w:t>等法规，引起员工仲裁并对中国海油造成不良影响的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对存在其它不当行为可能给中国海油带来风险的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对存在其它不当行为已经给中国海油带来风险的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w:t>
            </w:r>
            <w:r>
              <w:rPr>
                <w:rFonts w:hint="eastAsia"/>
                <w:b/>
                <w:bCs/>
                <w:color w:val="000000"/>
                <w:sz w:val="20"/>
                <w:szCs w:val="20"/>
                <w:highlight w:val="none"/>
                <w:lang w:bidi="ar"/>
              </w:rPr>
              <w:t>违反国家法律法规及集团公司规章制度</w:t>
            </w:r>
            <w:r>
              <w:rPr>
                <w:rFonts w:hint="eastAsia"/>
                <w:color w:val="000000"/>
                <w:sz w:val="20"/>
                <w:szCs w:val="20"/>
                <w:highlight w:val="none"/>
                <w:lang w:bidi="ar"/>
              </w:rPr>
              <w:t>的行为，包括国家、审计、纪检监察、巡视等函件反映问题等</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highlight w:val="none"/>
        </w:rPr>
      </w:pPr>
    </w:p>
    <w:p>
      <w:pPr>
        <w:pStyle w:val="5"/>
        <w:rPr>
          <w:rFonts w:asciiTheme="minorEastAsia" w:hAnsiTheme="minorEastAsia"/>
          <w:sz w:val="24"/>
          <w:szCs w:val="24"/>
          <w:highlight w:val="none"/>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outlineLvl w:val="9"/>
        <w:rPr>
          <w:rFonts w:hint="eastAsia" w:ascii="黑体" w:hAnsi="黑体" w:eastAsia="黑体"/>
          <w:sz w:val="24"/>
          <w:szCs w:val="22"/>
          <w:highlight w:val="none"/>
          <w:lang w:val="en-US" w:eastAsia="zh-CN"/>
        </w:rPr>
      </w:pPr>
      <w:r>
        <w:rPr>
          <w:rFonts w:hint="eastAsia" w:ascii="黑体" w:hAnsi="黑体" w:eastAsia="黑体"/>
          <w:sz w:val="24"/>
          <w:szCs w:val="22"/>
          <w:highlight w:val="none"/>
          <w:lang w:val="en-US" w:eastAsia="zh-CN"/>
        </w:rPr>
        <w:br w:type="page"/>
      </w:r>
    </w:p>
    <w:p>
      <w:pPr>
        <w:outlineLvl w:val="1"/>
        <w:rPr>
          <w:rFonts w:hint="default" w:asciiTheme="minorEastAsia" w:hAnsiTheme="minorEastAsia" w:eastAsiaTheme="minorEastAsia"/>
          <w:sz w:val="24"/>
          <w:szCs w:val="24"/>
          <w:highlight w:val="none"/>
          <w:lang w:val="en-US" w:eastAsia="zh-CN"/>
        </w:rPr>
      </w:pPr>
      <w:r>
        <w:rPr>
          <w:rFonts w:hint="eastAsia" w:ascii="黑体" w:hAnsi="黑体" w:eastAsia="黑体"/>
          <w:sz w:val="24"/>
          <w:szCs w:val="22"/>
          <w:highlight w:val="none"/>
          <w:lang w:val="en-US" w:eastAsia="zh-CN"/>
        </w:rPr>
        <w:t>4.2集团公司</w:t>
      </w:r>
      <w:r>
        <w:rPr>
          <w:rFonts w:hint="eastAsia" w:ascii="黑体" w:hAnsi="黑体" w:eastAsia="黑体"/>
          <w:sz w:val="24"/>
          <w:highlight w:val="none"/>
        </w:rPr>
        <w:t>供应商处理情形和处理标准</w:t>
      </w:r>
    </w:p>
    <w:p>
      <w:pPr>
        <w:pStyle w:val="5"/>
        <w:rPr>
          <w:rFonts w:asciiTheme="minorEastAsia" w:hAnsiTheme="minorEastAsia"/>
          <w:sz w:val="24"/>
          <w:szCs w:val="24"/>
          <w:highlight w:val="none"/>
        </w:rPr>
      </w:pPr>
    </w:p>
    <w:tbl>
      <w:tblPr>
        <w:tblStyle w:val="12"/>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softHyphen/>
            </w:r>
            <w:r>
              <w:rPr>
                <w:rFonts w:hint="eastAsia" w:ascii="宋体" w:hAnsi="宋体" w:eastAsia="宋体" w:cs="宋体"/>
                <w:color w:val="000000" w:themeColor="text1"/>
                <w:kern w:val="0"/>
                <w:sz w:val="20"/>
                <w:szCs w:val="20"/>
                <w:highlight w:val="none"/>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根据专业机构调查结论，对供应商</w:t>
            </w:r>
            <w:r>
              <w:rPr>
                <w:rFonts w:hint="eastAsia" w:ascii="宋体" w:hAnsi="宋体" w:eastAsia="宋体" w:cs="宋体"/>
                <w:sz w:val="20"/>
                <w:szCs w:val="20"/>
                <w:highlight w:val="none"/>
              </w:rPr>
              <w:t>或相关品类</w:t>
            </w:r>
            <w:r>
              <w:rPr>
                <w:rFonts w:hint="eastAsia" w:ascii="宋体" w:hAnsi="宋体" w:eastAsia="宋体" w:cs="宋体"/>
                <w:color w:val="000000" w:themeColor="text1"/>
                <w:kern w:val="0"/>
                <w:sz w:val="20"/>
                <w:szCs w:val="20"/>
                <w:highlight w:val="none"/>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由工程与物装部组织相关管理部门及所属单位，对供应商问题性质及业务实际情况判定，进行相应处理。</w:t>
            </w:r>
          </w:p>
        </w:tc>
      </w:tr>
    </w:tbl>
    <w:p>
      <w:pPr>
        <w:pStyle w:val="7"/>
        <w:ind w:left="0" w:leftChars="0" w:firstLine="0" w:firstLineChars="0"/>
        <w:rPr>
          <w:rFonts w:hint="eastAsia" w:ascii="宋体" w:hAnsi="宋体" w:cs="宋体"/>
          <w:sz w:val="20"/>
          <w:szCs w:val="20"/>
          <w:highlight w:val="none"/>
          <w:lang w:eastAsia="zh-CN"/>
        </w:rPr>
      </w:pPr>
    </w:p>
    <w:p>
      <w:pPr>
        <w:pStyle w:val="5"/>
        <w:ind w:firstLine="0" w:firstLineChars="0"/>
        <w:rPr>
          <w:rFonts w:hint="default" w:eastAsia="宋体"/>
          <w:highlight w:val="none"/>
          <w:lang w:val="en-US" w:eastAsia="zh-CN"/>
        </w:rPr>
      </w:pPr>
      <w:r>
        <w:rPr>
          <w:rFonts w:hint="eastAsia" w:eastAsia="宋体"/>
          <w:highlight w:val="none"/>
          <w:lang w:val="en-US" w:eastAsia="zh-CN"/>
        </w:rPr>
        <w:t>供应商处理结果以集团公司审批为准，本附件仅作为风险提示。</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附件5：商务文件</w:t>
      </w:r>
    </w:p>
    <w:p>
      <w:pPr>
        <w:pStyle w:val="22"/>
        <w:rPr>
          <w:rFonts w:hint="eastAsia"/>
          <w:highlight w:val="none"/>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highlight w:val="none"/>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highlight w:val="none"/>
          <w:lang w:val="en-US" w:eastAsia="zh-CN"/>
        </w:rPr>
        <w:t>5.9： 制造商承诺书及相关支持文件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highlight w:val="none"/>
          <w:lang w:val="en-US" w:eastAsia="zh-CN" w:bidi="ar-SA"/>
        </w:rPr>
      </w:pPr>
      <w:r>
        <w:rPr>
          <w:rFonts w:hint="eastAsia" w:ascii="宋体" w:hAnsi="宋体" w:eastAsiaTheme="minorEastAsia"/>
          <w:color w:val="000000"/>
          <w:sz w:val="21"/>
          <w:szCs w:val="22"/>
          <w:highlight w:val="none"/>
          <w:lang w:val="en-US" w:eastAsia="zh-CN"/>
        </w:rPr>
        <w:t>5.</w:t>
      </w:r>
      <w:r>
        <w:rPr>
          <w:rFonts w:hint="eastAsia" w:ascii="宋体" w:hAnsi="宋体"/>
          <w:color w:val="000000"/>
          <w:sz w:val="21"/>
          <w:szCs w:val="22"/>
          <w:highlight w:val="none"/>
          <w:lang w:val="en-US" w:eastAsia="zh-CN"/>
        </w:rPr>
        <w:t>11</w:t>
      </w:r>
      <w:r>
        <w:rPr>
          <w:rFonts w:hint="eastAsia" w:ascii="宋体" w:hAnsi="宋体" w:eastAsiaTheme="minorEastAsia"/>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highlight w:val="none"/>
          <w:lang w:val="en-US" w:eastAsia="zh-CN" w:bidi="ar-SA"/>
        </w:rPr>
        <w:t>——详见附件</w:t>
      </w:r>
    </w:p>
    <w:p>
      <w:pPr>
        <w:pStyle w:val="22"/>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highlight w:val="none"/>
          <w:lang w:val="en-US" w:eastAsia="zh-CN" w:bidi="ar-SA"/>
        </w:rPr>
        <w:t>5.12：其他补充</w:t>
      </w: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rPr>
          <w:rFonts w:hint="eastAsia"/>
          <w:highlight w:val="none"/>
          <w:lang w:val="en-US" w:eastAsia="zh-CN"/>
        </w:rPr>
      </w:pPr>
    </w:p>
    <w:p>
      <w:pPr>
        <w:pStyle w:val="2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highlight w:val="none"/>
          <w:lang w:val="en-US" w:eastAsia="zh-CN"/>
        </w:rPr>
        <w:t>：法定代表人（单位负责人）身份证明</w:t>
      </w:r>
    </w:p>
    <w:p>
      <w:pPr>
        <w:pStyle w:val="7"/>
        <w:keepNext w:val="0"/>
        <w:keepLines w:val="0"/>
        <w:pageBreakBefore w:val="0"/>
        <w:widowControl w:val="0"/>
        <w:kinsoku/>
        <w:wordWrap/>
        <w:overflowPunct/>
        <w:topLinePunct w:val="0"/>
        <w:autoSpaceDE/>
        <w:autoSpaceDN/>
        <w:bidi w:val="0"/>
        <w:adjustRightInd/>
        <w:snapToGrid/>
        <w:ind w:left="782"/>
        <w:textAlignment w:val="auto"/>
        <w:rPr>
          <w:rFonts w:hint="eastAsia"/>
          <w:highlight w:val="none"/>
          <w:lang w:val="en-US" w:eastAsia="zh-CN"/>
        </w:rPr>
      </w:pPr>
    </w:p>
    <w:p>
      <w:pPr>
        <w:pStyle w:val="5"/>
        <w:rPr>
          <w:rFonts w:ascii="微软雅黑" w:hAnsi="微软雅黑" w:eastAsia="微软雅黑"/>
          <w:b/>
          <w:spacing w:val="2"/>
          <w:sz w:val="32"/>
          <w:szCs w:val="32"/>
          <w:highlight w:val="none"/>
        </w:rPr>
      </w:pPr>
    </w:p>
    <w:p>
      <w:pPr>
        <w:pStyle w:val="5"/>
        <w:rPr>
          <w:rFonts w:ascii="微软雅黑" w:hAnsi="微软雅黑" w:eastAsia="微软雅黑"/>
          <w:b/>
          <w:spacing w:val="2"/>
          <w:sz w:val="32"/>
          <w:szCs w:val="32"/>
          <w:highlight w:val="none"/>
        </w:rPr>
      </w:pPr>
    </w:p>
    <w:p>
      <w:pPr>
        <w:spacing w:before="120" w:beforeLines="50" w:after="120" w:afterLines="50"/>
        <w:ind w:right="11"/>
        <w:jc w:val="center"/>
        <w:rPr>
          <w:rFonts w:ascii="微软雅黑" w:hAnsi="微软雅黑" w:eastAsia="微软雅黑"/>
          <w:b/>
          <w:sz w:val="32"/>
          <w:szCs w:val="32"/>
          <w:highlight w:val="none"/>
        </w:rPr>
      </w:pPr>
      <w:r>
        <w:rPr>
          <w:rFonts w:ascii="微软雅黑" w:hAnsi="微软雅黑" w:eastAsia="微软雅黑"/>
          <w:b/>
          <w:spacing w:val="2"/>
          <w:sz w:val="32"/>
          <w:szCs w:val="32"/>
          <w:highlight w:val="none"/>
        </w:rPr>
        <w:t>法定代表</w:t>
      </w:r>
      <w:r>
        <w:rPr>
          <w:rFonts w:ascii="微软雅黑" w:hAnsi="微软雅黑" w:eastAsia="微软雅黑"/>
          <w:b/>
          <w:sz w:val="32"/>
          <w:szCs w:val="32"/>
          <w:highlight w:val="none"/>
        </w:rPr>
        <w:t>人</w:t>
      </w:r>
      <w:r>
        <w:rPr>
          <w:rFonts w:ascii="微软雅黑" w:hAnsi="微软雅黑" w:eastAsia="微软雅黑"/>
          <w:b/>
          <w:spacing w:val="2"/>
          <w:sz w:val="32"/>
          <w:szCs w:val="32"/>
          <w:highlight w:val="none"/>
        </w:rPr>
        <w:t>（单位负责人</w:t>
      </w:r>
      <w:r>
        <w:rPr>
          <w:rFonts w:ascii="微软雅黑" w:hAnsi="微软雅黑" w:eastAsia="微软雅黑"/>
          <w:b/>
          <w:sz w:val="32"/>
          <w:szCs w:val="32"/>
          <w:highlight w:val="none"/>
        </w:rPr>
        <w:t>）</w:t>
      </w:r>
      <w:r>
        <w:rPr>
          <w:rFonts w:ascii="微软雅黑" w:hAnsi="微软雅黑" w:eastAsia="微软雅黑"/>
          <w:b/>
          <w:spacing w:val="2"/>
          <w:sz w:val="32"/>
          <w:szCs w:val="32"/>
          <w:highlight w:val="none"/>
        </w:rPr>
        <w:t>身份证</w:t>
      </w:r>
      <w:r>
        <w:rPr>
          <w:rFonts w:ascii="微软雅黑" w:hAnsi="微软雅黑" w:eastAsia="微软雅黑"/>
          <w:b/>
          <w:sz w:val="32"/>
          <w:szCs w:val="32"/>
          <w:highlight w:val="none"/>
        </w:rPr>
        <w:t>明</w:t>
      </w:r>
    </w:p>
    <w:p>
      <w:pPr>
        <w:tabs>
          <w:tab w:val="left" w:pos="142"/>
        </w:tabs>
        <w:spacing w:line="200" w:lineRule="exact"/>
        <w:ind w:right="11"/>
        <w:jc w:val="center"/>
        <w:rPr>
          <w:rFonts w:ascii="微软雅黑" w:hAnsi="微软雅黑" w:eastAsia="微软雅黑"/>
          <w:sz w:val="20"/>
          <w:szCs w:val="20"/>
          <w:highlight w:val="none"/>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3"/>
          <w:kern w:val="0"/>
          <w:sz w:val="24"/>
          <w:szCs w:val="24"/>
          <w:highlight w:val="none"/>
          <w:lang w:val="en-US" w:eastAsia="zh-CN" w:bidi="ar-SA"/>
        </w:rPr>
        <w:t>称</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姓名</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性别</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年</w:t>
      </w:r>
      <w:r>
        <w:rPr>
          <w:rFonts w:ascii="微软雅黑" w:hAnsi="微软雅黑" w:eastAsia="微软雅黑" w:cstheme="minorBidi"/>
          <w:spacing w:val="-3"/>
          <w:kern w:val="0"/>
          <w:sz w:val="24"/>
          <w:szCs w:val="24"/>
          <w:highlight w:val="none"/>
          <w:lang w:val="en-US" w:eastAsia="zh-CN" w:bidi="ar-SA"/>
        </w:rPr>
        <w:t>龄</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职</w:t>
      </w:r>
      <w:r>
        <w:rPr>
          <w:rFonts w:ascii="微软雅黑" w:hAnsi="微软雅黑" w:eastAsia="微软雅黑" w:cstheme="minorBidi"/>
          <w:spacing w:val="-3"/>
          <w:kern w:val="0"/>
          <w:sz w:val="24"/>
          <w:szCs w:val="24"/>
          <w:highlight w:val="none"/>
          <w:lang w:val="en-US" w:eastAsia="zh-CN" w:bidi="ar-SA"/>
        </w:rPr>
        <w:t>务</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6"/>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特此</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w:t>
      </w:r>
      <w:r>
        <w:rPr>
          <w:rFonts w:ascii="微软雅黑" w:hAnsi="微软雅黑" w:eastAsia="微软雅黑" w:cstheme="minorBidi"/>
          <w:spacing w:val="-3"/>
          <w:kern w:val="0"/>
          <w:sz w:val="24"/>
          <w:szCs w:val="24"/>
          <w:highlight w:val="none"/>
          <w:lang w:val="en-US" w:eastAsia="zh-CN" w:bidi="ar-SA"/>
        </w:rPr>
        <w:t>本</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明</w:t>
      </w:r>
      <w:r>
        <w:rPr>
          <w:rFonts w:ascii="微软雅黑" w:hAnsi="微软雅黑" w:eastAsia="微软雅黑" w:cstheme="minorBidi"/>
          <w:kern w:val="0"/>
          <w:sz w:val="24"/>
          <w:szCs w:val="24"/>
          <w:highlight w:val="none"/>
          <w:lang w:val="en-US" w:eastAsia="zh-CN" w:bidi="ar-SA"/>
        </w:rPr>
        <w:t>需</w:t>
      </w:r>
      <w:r>
        <w:rPr>
          <w:rFonts w:ascii="微软雅黑" w:hAnsi="微软雅黑" w:eastAsia="微软雅黑" w:cstheme="minorBidi"/>
          <w:spacing w:val="-3"/>
          <w:kern w:val="0"/>
          <w:sz w:val="24"/>
          <w:szCs w:val="24"/>
          <w:highlight w:val="none"/>
          <w:lang w:val="en-US" w:eastAsia="zh-CN" w:bidi="ar-SA"/>
        </w:rPr>
        <w:t>由</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w:t>
      </w:r>
      <w:r>
        <w:rPr>
          <w:rFonts w:ascii="微软雅黑" w:hAnsi="微软雅黑" w:eastAsia="微软雅黑" w:cstheme="minorBidi"/>
          <w:spacing w:val="-3"/>
          <w:kern w:val="0"/>
          <w:sz w:val="24"/>
          <w:szCs w:val="24"/>
          <w:highlight w:val="none"/>
          <w:lang w:val="en-US" w:eastAsia="zh-CN" w:bidi="ar-SA"/>
        </w:rPr>
        <w:t>盖</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highlight w:val="none"/>
        </w:rPr>
      </w:pPr>
      <w:r>
        <w:rPr>
          <w:rFonts w:hint="eastAsia" w:ascii="微软雅黑" w:hAnsi="微软雅黑" w:eastAsia="微软雅黑" w:cstheme="minorBidi"/>
          <w:w w:val="225"/>
          <w:kern w:val="0"/>
          <w:sz w:val="24"/>
          <w:szCs w:val="24"/>
          <w:highlight w:val="none"/>
          <w:lang w:val="en-US" w:eastAsia="zh-CN" w:bidi="ar-SA"/>
        </w:rPr>
        <w:t>____</w:t>
      </w:r>
      <w:r>
        <w:rPr>
          <w:rFonts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lang w:val="en-US" w:eastAsia="zh-CN" w:bidi="ar-SA"/>
        </w:rPr>
        <w:t>_______</w:t>
      </w:r>
      <w:r>
        <w:rPr>
          <w:rFonts w:ascii="微软雅黑" w:hAnsi="微软雅黑" w:eastAsia="微软雅黑" w:cstheme="minorBidi"/>
          <w:kern w:val="0"/>
          <w:sz w:val="24"/>
          <w:szCs w:val="24"/>
          <w:highlight w:val="none"/>
          <w:lang w:val="en-US" w:eastAsia="zh-CN" w:bidi="ar-SA"/>
        </w:rPr>
        <w:t>月</w:t>
      </w:r>
      <w:r>
        <w:rPr>
          <w:rFonts w:hint="eastAsia" w:ascii="微软雅黑" w:hAnsi="微软雅黑" w:eastAsia="微软雅黑" w:cstheme="minorBidi"/>
          <w:kern w:val="0"/>
          <w:sz w:val="24"/>
          <w:szCs w:val="24"/>
          <w:highlight w:val="none"/>
          <w:lang w:val="en-US" w:eastAsia="zh-CN" w:bidi="ar-SA"/>
        </w:rPr>
        <w:t>______</w:t>
      </w:r>
      <w:r>
        <w:rPr>
          <w:rFonts w:ascii="微软雅黑" w:hAnsi="微软雅黑" w:eastAsia="微软雅黑" w:cstheme="minorBidi"/>
          <w:kern w:val="0"/>
          <w:sz w:val="24"/>
          <w:szCs w:val="24"/>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5.3：授权委托书</w:t>
      </w:r>
    </w:p>
    <w:p>
      <w:pPr>
        <w:pStyle w:val="2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p>
    <w:p>
      <w:pPr>
        <w:pStyle w:val="23"/>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r>
        <w:rPr>
          <w:rFonts w:ascii="微软雅黑" w:hAnsi="微软雅黑" w:eastAsia="微软雅黑"/>
          <w:b/>
          <w:spacing w:val="2"/>
          <w:highlight w:val="none"/>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本人</w:t>
      </w:r>
      <w:r>
        <w:rPr>
          <w:rFonts w:ascii="微软雅黑" w:hAnsi="微软雅黑" w:eastAsia="微软雅黑" w:cstheme="minorBidi"/>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姓</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单位负责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4"/>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现</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1"/>
          <w:kern w:val="0"/>
          <w:sz w:val="24"/>
          <w:szCs w:val="24"/>
          <w:highlight w:val="none"/>
          <w:lang w:val="en-US" w:eastAsia="zh-CN" w:bidi="ar-SA"/>
        </w:rPr>
        <w:t>托</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（姓名）为我</w:t>
      </w:r>
      <w:r>
        <w:rPr>
          <w:rFonts w:ascii="微软雅黑" w:hAnsi="微软雅黑" w:eastAsia="微软雅黑" w:cstheme="minorBidi"/>
          <w:spacing w:val="-3"/>
          <w:kern w:val="0"/>
          <w:sz w:val="24"/>
          <w:szCs w:val="24"/>
          <w:highlight w:val="none"/>
          <w:lang w:val="en-US" w:eastAsia="zh-CN" w:bidi="ar-SA"/>
        </w:rPr>
        <w:t>方代</w:t>
      </w:r>
      <w:r>
        <w:rPr>
          <w:rFonts w:ascii="微软雅黑" w:hAnsi="微软雅黑" w:eastAsia="微软雅黑" w:cstheme="minorBidi"/>
          <w:kern w:val="0"/>
          <w:sz w:val="24"/>
          <w:szCs w:val="24"/>
          <w:highlight w:val="none"/>
          <w:lang w:val="en-US" w:eastAsia="zh-CN" w:bidi="ar-SA"/>
        </w:rPr>
        <w:t>理人。代理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根据授</w:t>
      </w:r>
      <w:r>
        <w:rPr>
          <w:rFonts w:ascii="微软雅黑" w:hAnsi="微软雅黑" w:eastAsia="微软雅黑" w:cstheme="minorBidi"/>
          <w:spacing w:val="-3"/>
          <w:kern w:val="0"/>
          <w:sz w:val="24"/>
          <w:szCs w:val="24"/>
          <w:highlight w:val="none"/>
          <w:lang w:val="en-US" w:eastAsia="zh-CN" w:bidi="ar-SA"/>
        </w:rPr>
        <w:t>权，</w:t>
      </w:r>
      <w:r>
        <w:rPr>
          <w:rFonts w:ascii="微软雅黑" w:hAnsi="微软雅黑" w:eastAsia="微软雅黑" w:cstheme="minorBidi"/>
          <w:kern w:val="0"/>
          <w:sz w:val="24"/>
          <w:szCs w:val="24"/>
          <w:highlight w:val="none"/>
          <w:lang w:val="en-US" w:eastAsia="zh-CN" w:bidi="ar-SA"/>
        </w:rPr>
        <w:t>以我方名义</w:t>
      </w:r>
      <w:r>
        <w:rPr>
          <w:rFonts w:ascii="微软雅黑" w:hAnsi="微软雅黑" w:eastAsia="微软雅黑" w:cstheme="minorBidi"/>
          <w:spacing w:val="-3"/>
          <w:kern w:val="0"/>
          <w:sz w:val="24"/>
          <w:szCs w:val="24"/>
          <w:highlight w:val="none"/>
          <w:lang w:val="en-US" w:eastAsia="zh-CN" w:bidi="ar-SA"/>
        </w:rPr>
        <w:t>签</w:t>
      </w:r>
      <w:r>
        <w:rPr>
          <w:rFonts w:ascii="微软雅黑" w:hAnsi="微软雅黑" w:eastAsia="微软雅黑" w:cstheme="minorBidi"/>
          <w:kern w:val="0"/>
          <w:sz w:val="24"/>
          <w:szCs w:val="24"/>
          <w:highlight w:val="none"/>
          <w:lang w:val="en-US" w:eastAsia="zh-CN" w:bidi="ar-SA"/>
        </w:rPr>
        <w:t>署、澄清</w:t>
      </w:r>
      <w:r>
        <w:rPr>
          <w:rFonts w:hint="eastAsia"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确认、递交</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撤回</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修改</w:t>
      </w:r>
      <w:r>
        <w:rPr>
          <w:rFonts w:hint="eastAsia" w:ascii="微软雅黑" w:hAnsi="微软雅黑" w:eastAsia="微软雅黑" w:cstheme="minorBidi"/>
          <w:kern w:val="0"/>
          <w:sz w:val="24"/>
          <w:szCs w:val="24"/>
          <w:highlight w:val="none"/>
          <w:lang w:val="en-US" w:eastAsia="zh-CN" w:bidi="ar-SA"/>
        </w:rPr>
        <w:t>服务</w:t>
      </w:r>
      <w:r>
        <w:rPr>
          <w:rFonts w:ascii="微软雅黑" w:hAnsi="微软雅黑" w:eastAsia="微软雅黑" w:cstheme="minorBidi"/>
          <w:kern w:val="0"/>
          <w:sz w:val="24"/>
          <w:szCs w:val="24"/>
          <w:highlight w:val="none"/>
          <w:lang w:val="en-US" w:eastAsia="zh-CN" w:bidi="ar-SA"/>
        </w:rPr>
        <w:t>采购询价项目</w:t>
      </w:r>
      <w:r>
        <w:rPr>
          <w:rFonts w:hint="eastAsia" w:ascii="微软雅黑" w:hAnsi="微软雅黑" w:eastAsia="微软雅黑" w:cstheme="minorBidi"/>
          <w:kern w:val="0"/>
          <w:sz w:val="24"/>
          <w:szCs w:val="24"/>
          <w:highlight w:val="none"/>
          <w:lang w:val="en-US" w:eastAsia="zh-CN" w:bidi="ar-SA"/>
        </w:rPr>
        <w:t>报价</w:t>
      </w:r>
      <w:r>
        <w:rPr>
          <w:rFonts w:ascii="微软雅黑" w:hAnsi="微软雅黑" w:eastAsia="微软雅黑" w:cstheme="minorBidi"/>
          <w:kern w:val="0"/>
          <w:sz w:val="24"/>
          <w:szCs w:val="24"/>
          <w:highlight w:val="none"/>
          <w:lang w:val="en-US" w:eastAsia="zh-CN" w:bidi="ar-SA"/>
        </w:rPr>
        <w:t>文件、签订合</w:t>
      </w:r>
      <w:r>
        <w:rPr>
          <w:rFonts w:ascii="微软雅黑" w:hAnsi="微软雅黑" w:eastAsia="微软雅黑" w:cstheme="minorBidi"/>
          <w:spacing w:val="-3"/>
          <w:kern w:val="0"/>
          <w:sz w:val="24"/>
          <w:szCs w:val="24"/>
          <w:highlight w:val="none"/>
          <w:lang w:val="en-US" w:eastAsia="zh-CN" w:bidi="ar-SA"/>
        </w:rPr>
        <w:t>同</w:t>
      </w:r>
      <w:r>
        <w:rPr>
          <w:rFonts w:ascii="微软雅黑" w:hAnsi="微软雅黑" w:eastAsia="微软雅黑" w:cstheme="minorBidi"/>
          <w:kern w:val="0"/>
          <w:sz w:val="24"/>
          <w:szCs w:val="24"/>
          <w:highlight w:val="none"/>
          <w:lang w:val="en-US" w:eastAsia="zh-CN" w:bidi="ar-SA"/>
        </w:rPr>
        <w:t>和处</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有关事宜，其</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律后果</w:t>
      </w:r>
      <w:r>
        <w:rPr>
          <w:rFonts w:ascii="微软雅黑" w:hAnsi="微软雅黑" w:eastAsia="微软雅黑" w:cstheme="minorBidi"/>
          <w:spacing w:val="-3"/>
          <w:kern w:val="0"/>
          <w:sz w:val="24"/>
          <w:szCs w:val="24"/>
          <w:highlight w:val="none"/>
          <w:lang w:val="en-US" w:eastAsia="zh-CN" w:bidi="ar-SA"/>
        </w:rPr>
        <w:t>由</w:t>
      </w:r>
      <w:r>
        <w:rPr>
          <w:rFonts w:ascii="微软雅黑" w:hAnsi="微软雅黑" w:eastAsia="微软雅黑" w:cstheme="minorBidi"/>
          <w:kern w:val="0"/>
          <w:sz w:val="24"/>
          <w:szCs w:val="24"/>
          <w:highlight w:val="none"/>
          <w:lang w:val="en-US" w:eastAsia="zh-CN" w:bidi="ar-SA"/>
        </w:rPr>
        <w:t>我</w:t>
      </w:r>
      <w:r>
        <w:rPr>
          <w:rFonts w:ascii="微软雅黑" w:hAnsi="微软雅黑" w:eastAsia="微软雅黑" w:cstheme="minorBidi"/>
          <w:spacing w:val="-3"/>
          <w:kern w:val="0"/>
          <w:sz w:val="24"/>
          <w:szCs w:val="24"/>
          <w:highlight w:val="none"/>
          <w:lang w:val="en-US" w:eastAsia="zh-CN" w:bidi="ar-SA"/>
        </w:rPr>
        <w:t>方</w:t>
      </w:r>
      <w:r>
        <w:rPr>
          <w:rFonts w:ascii="微软雅黑" w:hAnsi="微软雅黑" w:eastAsia="微软雅黑" w:cstheme="minorBidi"/>
          <w:kern w:val="0"/>
          <w:sz w:val="24"/>
          <w:szCs w:val="24"/>
          <w:highlight w:val="none"/>
          <w:lang w:val="en-US" w:eastAsia="zh-CN" w:bidi="ar-SA"/>
        </w:rPr>
        <w:t>承</w:t>
      </w:r>
      <w:r>
        <w:rPr>
          <w:rFonts w:ascii="微软雅黑" w:hAnsi="微软雅黑" w:eastAsia="微软雅黑" w:cstheme="minorBidi"/>
          <w:spacing w:val="-3"/>
          <w:kern w:val="0"/>
          <w:sz w:val="24"/>
          <w:szCs w:val="24"/>
          <w:highlight w:val="none"/>
          <w:lang w:val="en-US" w:eastAsia="zh-CN" w:bidi="ar-SA"/>
        </w:rPr>
        <w:t>担</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期</w:t>
      </w:r>
      <w:r>
        <w:rPr>
          <w:rFonts w:ascii="微软雅黑" w:hAnsi="微软雅黑" w:eastAsia="微软雅黑" w:cstheme="minorBidi"/>
          <w:kern w:val="0"/>
          <w:sz w:val="24"/>
          <w:szCs w:val="24"/>
          <w:highlight w:val="none"/>
          <w:lang w:val="en-US" w:eastAsia="zh-CN" w:bidi="ar-SA"/>
        </w:rPr>
        <w:t>限</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无</w:t>
      </w:r>
      <w:r>
        <w:rPr>
          <w:rFonts w:ascii="微软雅黑" w:hAnsi="微软雅黑" w:eastAsia="微软雅黑" w:cstheme="minorBidi"/>
          <w:spacing w:val="-3"/>
          <w:kern w:val="0"/>
          <w:sz w:val="24"/>
          <w:szCs w:val="24"/>
          <w:highlight w:val="none"/>
          <w:lang w:val="en-US" w:eastAsia="zh-CN" w:bidi="ar-SA"/>
        </w:rPr>
        <w:t>转</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3"/>
          <w:kern w:val="0"/>
          <w:sz w:val="24"/>
          <w:szCs w:val="24"/>
          <w:highlight w:val="none"/>
          <w:lang w:val="en-US" w:eastAsia="zh-CN" w:bidi="ar-SA"/>
        </w:rPr>
        <w:t>托</w:t>
      </w:r>
      <w:r>
        <w:rPr>
          <w:rFonts w:ascii="微软雅黑" w:hAnsi="微软雅黑" w:eastAsia="微软雅黑" w:cstheme="minorBidi"/>
          <w:kern w:val="0"/>
          <w:sz w:val="24"/>
          <w:szCs w:val="24"/>
          <w:highlight w:val="none"/>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highlight w:val="none"/>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spacing w:val="-3"/>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法定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8"/>
          <w:kern w:val="0"/>
          <w:sz w:val="24"/>
          <w:szCs w:val="24"/>
          <w:highlight w:val="none"/>
          <w:lang w:val="en-US" w:eastAsia="zh-CN" w:bidi="ar-SA"/>
        </w:rPr>
        <w:t>）</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 xml:space="preserve"> </w:t>
      </w:r>
      <w:r>
        <w:rPr>
          <w:rFonts w:ascii="微软雅黑" w:hAnsi="微软雅黑" w:eastAsia="微软雅黑" w:cstheme="minorBidi"/>
          <w:kern w:val="0"/>
          <w:sz w:val="24"/>
          <w:szCs w:val="24"/>
          <w:highlight w:val="none"/>
          <w:lang w:val="en-US" w:eastAsia="zh-CN" w:bidi="ar-SA"/>
        </w:rPr>
        <w:t>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w w:val="225"/>
          <w:kern w:val="0"/>
          <w:sz w:val="24"/>
          <w:szCs w:val="24"/>
          <w:highlight w:val="none"/>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理</w:t>
      </w:r>
      <w:r>
        <w:rPr>
          <w:rFonts w:ascii="微软雅黑" w:hAnsi="微软雅黑" w:eastAsia="微软雅黑" w:cstheme="minorBidi"/>
          <w:spacing w:val="-3"/>
          <w:kern w:val="0"/>
          <w:sz w:val="24"/>
          <w:szCs w:val="24"/>
          <w:highlight w:val="none"/>
          <w:lang w:val="en-US" w:eastAsia="zh-CN" w:bidi="ar-SA"/>
        </w:rPr>
        <w:t>人：</w:t>
      </w:r>
      <w:r>
        <w:rPr>
          <w:rFonts w:hint="eastAsia" w:ascii="微软雅黑" w:hAnsi="微软雅黑" w:eastAsia="微软雅黑" w:cstheme="minorBidi"/>
          <w:spacing w:val="-3"/>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 xml:space="preserve">  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spacing w:val="-3"/>
          <w:kern w:val="0"/>
          <w:sz w:val="24"/>
          <w:szCs w:val="24"/>
          <w:highlight w:val="none"/>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highlight w:val="none"/>
        </w:rPr>
      </w:pP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hint="eastAsia"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spacing w:val="-3"/>
          <w:kern w:val="0"/>
          <w:sz w:val="24"/>
          <w:szCs w:val="24"/>
          <w:highlight w:val="none"/>
          <w:lang w:val="en-US" w:eastAsia="zh-CN" w:bidi="ar-SA"/>
        </w:rPr>
        <w:t>月</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日</w:t>
      </w:r>
    </w:p>
    <w:p>
      <w:pPr>
        <w:rPr>
          <w:rFonts w:hint="eastAsia"/>
          <w:highlight w:val="none"/>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highlight w:val="none"/>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highlight w:val="none"/>
          <w:lang w:val="en-US" w:eastAsia="zh-CN"/>
        </w:rPr>
      </w:pPr>
    </w:p>
    <w:p>
      <w:pPr>
        <w:rPr>
          <w:rFonts w:hint="eastAsia"/>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6、我公司如涉及雇用农民工，承诺与农民工签订劳动合同，及时、足额发放工资、缴纳社会保险费用。</w:t>
      </w:r>
    </w:p>
    <w:p>
      <w:pPr>
        <w:pStyle w:val="7"/>
        <w:ind w:left="0" w:firstLine="420" w:firstLineChars="200"/>
        <w:rPr>
          <w:rFonts w:hint="default" w:eastAsia="宋体"/>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highlight w:val="none"/>
          <w:lang w:eastAsia="zh-CN"/>
        </w:rPr>
        <w:t>积极响应国家节能减排和绿色环保政策，切实推进绿色供应链建设</w:t>
      </w:r>
      <w:r>
        <w:rPr>
          <w:rFonts w:hint="eastAsia"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3"/>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3"/>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7"/>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rPr>
          <w:highlight w:val="none"/>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highlight w:val="none"/>
          <w:lang w:val="en-US" w:eastAsia="zh-CN"/>
        </w:rPr>
      </w:pPr>
      <w:r>
        <w:rPr>
          <w:rFonts w:hint="eastAsia" w:ascii="黑体" w:hAnsi="黑体" w:eastAsia="黑体" w:cstheme="minorBidi"/>
          <w:b/>
          <w:bCs/>
          <w:color w:val="auto"/>
          <w:kern w:val="2"/>
          <w:sz w:val="24"/>
          <w:szCs w:val="24"/>
          <w:highlight w:val="none"/>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highlight w:val="none"/>
          <w:lang w:val="en-US" w:eastAsia="zh-CN"/>
        </w:rPr>
      </w:pPr>
    </w:p>
    <w:p>
      <w:pPr>
        <w:keepNext w:val="0"/>
        <w:keepLines w:val="0"/>
        <w:widowControl/>
        <w:suppressLineNumbers w:val="0"/>
        <w:jc w:val="center"/>
        <w:rPr>
          <w:rFonts w:hint="eastAsia" w:ascii="仿宋" w:hAnsi="仿宋" w:eastAsia="仿宋" w:cs="仿宋"/>
          <w:sz w:val="28"/>
          <w:szCs w:val="28"/>
          <w:highlight w:val="none"/>
          <w:lang w:val="en-US" w:eastAsia="zh-CN"/>
        </w:rPr>
      </w:pPr>
      <w:r>
        <w:rPr>
          <w:rFonts w:hint="eastAsia" w:ascii="仿宋" w:hAnsi="仿宋" w:eastAsia="仿宋" w:cs="仿宋"/>
          <w:b/>
          <w:bCs/>
          <w:sz w:val="44"/>
          <w:szCs w:val="44"/>
          <w:highlight w:val="none"/>
          <w:lang w:val="en-US" w:eastAsia="zh-CN"/>
        </w:rPr>
        <w:t>制造商承诺书</w:t>
      </w:r>
    </w:p>
    <w:p>
      <w:pPr>
        <w:keepNext w:val="0"/>
        <w:keepLines w:val="0"/>
        <w:widowControl/>
        <w:suppressLineNumbers w:val="0"/>
        <w:jc w:val="center"/>
        <w:rPr>
          <w:rFonts w:hint="eastAsia" w:ascii="仿宋" w:hAnsi="仿宋" w:eastAsia="仿宋" w:cs="仿宋"/>
          <w:sz w:val="28"/>
          <w:szCs w:val="28"/>
          <w:highlight w:val="none"/>
          <w:lang w:val="en-US" w:eastAsia="zh-CN"/>
        </w:rPr>
      </w:pP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致：</w:t>
      </w:r>
      <w:r>
        <w:rPr>
          <w:rFonts w:hint="eastAsia" w:ascii="仿宋" w:hAnsi="仿宋" w:eastAsia="仿宋" w:cs="仿宋"/>
          <w:sz w:val="28"/>
          <w:szCs w:val="28"/>
          <w:highlight w:val="none"/>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我们</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公司名称）</w:t>
      </w:r>
      <w:r>
        <w:rPr>
          <w:rFonts w:hint="eastAsia" w:ascii="仿宋" w:hAnsi="仿宋" w:eastAsia="仿宋" w:cs="仿宋"/>
          <w:sz w:val="28"/>
          <w:szCs w:val="28"/>
          <w:highlight w:val="none"/>
          <w:lang w:val="en-US" w:eastAsia="zh-CN"/>
        </w:rPr>
        <w:t>是按中华人民共和国法律于</w:t>
      </w:r>
      <w:r>
        <w:rPr>
          <w:rFonts w:hint="eastAsia" w:ascii="仿宋" w:hAnsi="仿宋" w:eastAsia="仿宋" w:cs="仿宋"/>
          <w:sz w:val="28"/>
          <w:szCs w:val="28"/>
          <w:highlight w:val="none"/>
          <w:u w:val="single"/>
          <w:lang w:val="en-US" w:eastAsia="zh-CN"/>
        </w:rPr>
        <w:t xml:space="preserve">    年 月 日</w:t>
      </w:r>
      <w:r>
        <w:rPr>
          <w:rFonts w:hint="eastAsia" w:ascii="仿宋" w:hAnsi="仿宋" w:eastAsia="仿宋" w:cs="仿宋"/>
          <w:sz w:val="28"/>
          <w:szCs w:val="28"/>
          <w:highlight w:val="none"/>
          <w:lang w:val="en-US" w:eastAsia="zh-CN"/>
        </w:rPr>
        <w:t>成立的一家制造商，主要营业地点设在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。兹声明我司就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项目(招标编号：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）使用我公司 □自行生产制造/ □</w:t>
      </w:r>
      <w:r>
        <w:rPr>
          <w:rFonts w:hint="eastAsia" w:ascii="仿宋" w:hAnsi="仿宋" w:eastAsia="仿宋" w:cs="仿宋"/>
          <w:sz w:val="28"/>
          <w:szCs w:val="28"/>
          <w:highlight w:val="none"/>
          <w:lang w:val="en-US" w:eastAsia="zh-Hans"/>
        </w:rPr>
        <w:t>代工方式</w:t>
      </w:r>
      <w:r>
        <w:rPr>
          <w:rFonts w:hint="eastAsia" w:ascii="仿宋" w:hAnsi="仿宋" w:eastAsia="仿宋" w:cs="仿宋"/>
          <w:sz w:val="28"/>
          <w:szCs w:val="28"/>
          <w:highlight w:val="none"/>
          <w:lang w:val="en-US" w:eastAsia="zh-CN"/>
        </w:rPr>
        <w:t>/□集成方式</w:t>
      </w:r>
      <w:r>
        <w:rPr>
          <w:rFonts w:hint="eastAsia" w:ascii="仿宋" w:hAnsi="仿宋" w:eastAsia="仿宋" w:cs="仿宋"/>
          <w:sz w:val="28"/>
          <w:szCs w:val="28"/>
          <w:highlight w:val="none"/>
          <w:lang w:val="en-US" w:eastAsia="zh-Hans"/>
        </w:rPr>
        <w:t>生产</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none"/>
          <w:lang w:val="en-US" w:eastAsia="zh-CN"/>
        </w:rPr>
        <w:t>产品</w:t>
      </w:r>
      <w:r>
        <w:rPr>
          <w:rFonts w:hint="eastAsia" w:ascii="仿宋" w:hAnsi="仿宋" w:eastAsia="仿宋" w:cs="仿宋"/>
          <w:sz w:val="28"/>
          <w:szCs w:val="28"/>
          <w:highlight w:val="none"/>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我公司就项目承诺如下：</w:t>
      </w: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 我公司为</w:t>
      </w:r>
      <w:r>
        <w:rPr>
          <w:rFonts w:hint="eastAsia" w:ascii="仿宋" w:hAnsi="仿宋" w:eastAsia="仿宋" w:cs="仿宋"/>
          <w:b/>
          <w:bCs/>
          <w:sz w:val="28"/>
          <w:szCs w:val="28"/>
          <w:highlight w:val="none"/>
          <w:lang w:val="en-US" w:eastAsia="zh-CN"/>
        </w:rPr>
        <w:t>传统型制造商，</w:t>
      </w:r>
      <w:r>
        <w:rPr>
          <w:rFonts w:hint="eastAsia" w:ascii="仿宋" w:hAnsi="仿宋" w:eastAsia="仿宋" w:cs="仿宋"/>
          <w:sz w:val="28"/>
          <w:szCs w:val="28"/>
          <w:highlight w:val="none"/>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OEM型制造商，</w:t>
      </w:r>
      <w:r>
        <w:rPr>
          <w:rFonts w:hint="eastAsia" w:ascii="仿宋" w:hAnsi="仿宋" w:eastAsia="仿宋" w:cs="仿宋"/>
          <w:sz w:val="28"/>
          <w:szCs w:val="28"/>
          <w:highlight w:val="none"/>
          <w:lang w:val="en-US" w:eastAsia="zh-CN"/>
        </w:rPr>
        <w:t>投标产品系我公司以</w:t>
      </w:r>
      <w:r>
        <w:rPr>
          <w:rFonts w:hint="eastAsia" w:ascii="仿宋" w:hAnsi="仿宋" w:eastAsia="仿宋" w:cs="仿宋"/>
          <w:sz w:val="28"/>
          <w:szCs w:val="28"/>
          <w:highlight w:val="none"/>
          <w:lang w:val="en-US" w:eastAsia="zh-Hans"/>
        </w:rPr>
        <w:t>代工方式生产</w:t>
      </w:r>
      <w:r>
        <w:rPr>
          <w:rFonts w:hint="eastAsia" w:ascii="仿宋" w:hAnsi="仿宋" w:eastAsia="仿宋" w:cs="仿宋"/>
          <w:sz w:val="28"/>
          <w:szCs w:val="28"/>
          <w:highlight w:val="none"/>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集成型制造商，</w:t>
      </w:r>
      <w:r>
        <w:rPr>
          <w:rFonts w:hint="eastAsia" w:ascii="仿宋" w:hAnsi="仿宋" w:eastAsia="仿宋" w:cs="仿宋"/>
          <w:sz w:val="28"/>
          <w:szCs w:val="28"/>
          <w:highlight w:val="none"/>
          <w:lang w:val="en-US" w:eastAsia="zh-CN"/>
        </w:rPr>
        <w:t>投标产品系我公司集成</w:t>
      </w:r>
      <w:r>
        <w:rPr>
          <w:rFonts w:hint="eastAsia" w:ascii="仿宋" w:hAnsi="仿宋" w:eastAsia="仿宋" w:cs="仿宋"/>
          <w:sz w:val="28"/>
          <w:szCs w:val="28"/>
          <w:highlight w:val="none"/>
          <w:lang w:val="en-US" w:eastAsia="zh-Hans"/>
        </w:rPr>
        <w:t>方式生产</w:t>
      </w:r>
      <w:r>
        <w:rPr>
          <w:rFonts w:hint="eastAsia" w:ascii="仿宋" w:hAnsi="仿宋" w:eastAsia="仿宋" w:cs="仿宋"/>
          <w:sz w:val="28"/>
          <w:szCs w:val="28"/>
          <w:highlight w:val="none"/>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投标人名称（盖章）：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法定代表人或授权人签章：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日   期：</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highlight w:val="none"/>
          <w:lang w:val="en-US" w:eastAsia="zh-CN"/>
        </w:rPr>
      </w:pPr>
      <w:r>
        <w:rPr>
          <w:rFonts w:hint="eastAsia" w:ascii="仿宋" w:hAnsi="仿宋" w:eastAsia="仿宋" w:cs="仿宋"/>
          <w:b w:val="0"/>
          <w:bCs w:val="0"/>
          <w:sz w:val="44"/>
          <w:szCs w:val="44"/>
          <w:highlight w:val="none"/>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3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3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3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3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生产工艺（需提供****工艺介绍和供流程图）：</w:t>
      </w:r>
    </w:p>
    <w:p>
      <w:pPr>
        <w:keepNext w:val="0"/>
        <w:keepLines w:val="0"/>
        <w:widowControl/>
        <w:numPr>
          <w:ilvl w:val="0"/>
          <w:numId w:val="3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34"/>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34"/>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34"/>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代工协议：</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35"/>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35"/>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35"/>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36"/>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17"/>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17"/>
        <w:adjustRightInd/>
        <w:jc w:val="center"/>
        <w:rPr>
          <w:rFonts w:hint="eastAsia" w:hAnsi="宋体" w:eastAsiaTheme="minorEastAsia" w:cstheme="minorBidi"/>
          <w:b w:val="0"/>
          <w:kern w:val="2"/>
          <w:sz w:val="21"/>
          <w:szCs w:val="22"/>
          <w:highlight w:val="none"/>
          <w:lang w:eastAsia="zh-CN"/>
        </w:rPr>
      </w:pPr>
      <w:r>
        <w:rPr>
          <w:rFonts w:hint="eastAsia" w:hAnsi="宋体"/>
          <w:b/>
          <w:sz w:val="21"/>
          <w:szCs w:val="21"/>
          <w:highlight w:val="none"/>
        </w:rPr>
        <w:t>商务偏离条款</w:t>
      </w:r>
      <w:r>
        <w:rPr>
          <w:rFonts w:hint="eastAsia" w:hAnsi="宋体" w:eastAsiaTheme="minorEastAsia" w:cstheme="minorBidi"/>
          <w:kern w:val="2"/>
          <w:sz w:val="21"/>
          <w:szCs w:val="22"/>
          <w:highlight w:val="none"/>
          <w:lang w:eastAsia="zh-CN"/>
        </w:rPr>
        <w:t>（</w:t>
      </w:r>
      <w:r>
        <w:rPr>
          <w:rFonts w:hint="eastAsia" w:hAnsi="宋体" w:eastAsiaTheme="minorEastAsia" w:cstheme="minorBidi"/>
          <w:kern w:val="2"/>
          <w:sz w:val="21"/>
          <w:szCs w:val="22"/>
          <w:highlight w:val="none"/>
          <w:lang w:val="en-US" w:eastAsia="zh-CN"/>
        </w:rPr>
        <w:t>内容仅供参考，具体业务具体编制</w:t>
      </w:r>
      <w:r>
        <w:rPr>
          <w:rFonts w:hint="eastAsia" w:hAnsi="宋体" w:eastAsiaTheme="minorEastAsia" w:cstheme="minorBidi"/>
          <w:kern w:val="2"/>
          <w:sz w:val="21"/>
          <w:szCs w:val="22"/>
          <w:highlight w:val="none"/>
          <w:lang w:eastAsia="zh-CN"/>
        </w:rPr>
        <w:t>）</w:t>
      </w:r>
    </w:p>
    <w:p>
      <w:pPr>
        <w:pStyle w:val="17"/>
        <w:adjustRightInd/>
        <w:jc w:val="center"/>
        <w:rPr>
          <w:rFonts w:hAnsi="宋体"/>
          <w:b/>
          <w:sz w:val="21"/>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序号</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商务参数</w:t>
            </w:r>
          </w:p>
        </w:tc>
        <w:tc>
          <w:tcPr>
            <w:tcW w:w="1560" w:type="dxa"/>
            <w:vAlign w:val="center"/>
          </w:tcPr>
          <w:p>
            <w:pPr>
              <w:spacing w:line="360" w:lineRule="auto"/>
              <w:jc w:val="center"/>
              <w:rPr>
                <w:rFonts w:ascii="宋体" w:hAnsi="宋体"/>
                <w:color w:val="000000"/>
                <w:highlight w:val="none"/>
              </w:rPr>
            </w:pPr>
            <w:r>
              <w:rPr>
                <w:rFonts w:hint="eastAsia" w:ascii="宋体" w:hAnsi="宋体"/>
                <w:color w:val="000000"/>
                <w:highlight w:val="none"/>
              </w:rPr>
              <w:t>是否存在异议</w:t>
            </w:r>
          </w:p>
        </w:tc>
        <w:tc>
          <w:tcPr>
            <w:tcW w:w="2979" w:type="dxa"/>
            <w:vAlign w:val="center"/>
          </w:tcPr>
          <w:p>
            <w:pPr>
              <w:spacing w:line="360" w:lineRule="auto"/>
              <w:jc w:val="center"/>
              <w:rPr>
                <w:rFonts w:ascii="宋体" w:hAnsi="宋体"/>
                <w:color w:val="000000"/>
                <w:highlight w:val="none"/>
              </w:rPr>
            </w:pPr>
            <w:r>
              <w:rPr>
                <w:rFonts w:hint="eastAsia" w:ascii="宋体" w:hAnsi="宋体"/>
                <w:color w:val="000000"/>
                <w:highlight w:val="none"/>
              </w:rPr>
              <w:t>解决方法</w:t>
            </w:r>
          </w:p>
          <w:p>
            <w:pPr>
              <w:spacing w:line="360" w:lineRule="auto"/>
              <w:jc w:val="center"/>
              <w:rPr>
                <w:rFonts w:ascii="宋体" w:hAnsi="宋体"/>
                <w:color w:val="000000"/>
                <w:highlight w:val="none"/>
              </w:rPr>
            </w:pPr>
            <w:r>
              <w:rPr>
                <w:rFonts w:hint="eastAsia" w:ascii="宋体" w:hAnsi="宋体"/>
                <w:color w:val="000000"/>
                <w:highlight w:val="none"/>
              </w:rPr>
              <w:t>（不接受/协商/接受询价方条件）</w:t>
            </w:r>
          </w:p>
        </w:tc>
        <w:tc>
          <w:tcPr>
            <w:tcW w:w="124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1</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违约条款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2</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付款方式</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3</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服务期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4</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报价有效期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5</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合同条款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6</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其他</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bl>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r>
        <w:rPr>
          <w:rFonts w:hint="eastAsia" w:ascii="宋体" w:hAnsi="宋体"/>
          <w:color w:val="000000"/>
          <w:szCs w:val="21"/>
          <w:highlight w:val="none"/>
        </w:rPr>
        <w:t>注：如果</w:t>
      </w:r>
      <w:r>
        <w:rPr>
          <w:rFonts w:hint="eastAsia" w:ascii="宋体" w:hAnsi="宋体"/>
          <w:color w:val="000000"/>
          <w:szCs w:val="21"/>
          <w:highlight w:val="none"/>
          <w:lang w:val="en-US" w:eastAsia="zh-CN"/>
        </w:rPr>
        <w:t>应答</w:t>
      </w:r>
      <w:r>
        <w:rPr>
          <w:rFonts w:hint="eastAsia" w:ascii="宋体" w:hAnsi="宋体"/>
          <w:color w:val="000000"/>
          <w:szCs w:val="21"/>
          <w:highlight w:val="none"/>
        </w:rPr>
        <w:t>人对询价文件的商务条款有异议，请在此处一一列出，</w:t>
      </w:r>
      <w:r>
        <w:rPr>
          <w:rFonts w:hint="eastAsia" w:ascii="宋体" w:hAnsi="宋体"/>
          <w:color w:val="000000"/>
          <w:szCs w:val="21"/>
          <w:highlight w:val="none"/>
          <w:lang w:val="en-US" w:eastAsia="zh-CN"/>
        </w:rPr>
        <w:t>应答</w:t>
      </w:r>
      <w:r>
        <w:rPr>
          <w:rFonts w:hint="eastAsia" w:ascii="宋体" w:hAnsi="宋体"/>
          <w:color w:val="000000"/>
          <w:szCs w:val="21"/>
          <w:highlight w:val="none"/>
        </w:rPr>
        <w:t>人的商务偏离条款将作为评标的依据之一；如若没有异议请标明“无”，否则视为放弃。</w:t>
      </w:r>
    </w:p>
    <w:p>
      <w:pPr>
        <w:spacing w:before="120" w:line="360" w:lineRule="auto"/>
        <w:rPr>
          <w:rFonts w:ascii="宋体" w:hAnsi="宋体"/>
          <w:b/>
          <w:bCs/>
          <w:color w:val="000000"/>
          <w:szCs w:val="21"/>
          <w:highlight w:val="none"/>
        </w:rPr>
      </w:pPr>
    </w:p>
    <w:p>
      <w:pPr>
        <w:spacing w:line="360" w:lineRule="auto"/>
        <w:rPr>
          <w:rFonts w:ascii="宋体" w:hAnsi="宋体"/>
          <w:color w:val="000000"/>
          <w:szCs w:val="21"/>
          <w:highlight w:val="none"/>
        </w:rPr>
      </w:pPr>
    </w:p>
    <w:p>
      <w:pPr>
        <w:spacing w:line="360" w:lineRule="auto"/>
        <w:ind w:right="840"/>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应答人</w:t>
      </w:r>
      <w:r>
        <w:rPr>
          <w:rFonts w:ascii="宋体" w:hAnsi="宋体"/>
          <w:color w:val="000000"/>
          <w:szCs w:val="21"/>
          <w:highlight w:val="none"/>
        </w:rPr>
        <w:t>：（盖章）</w:t>
      </w:r>
    </w:p>
    <w:p>
      <w:pPr>
        <w:spacing w:line="360" w:lineRule="auto"/>
        <w:jc w:val="right"/>
        <w:rPr>
          <w:rFonts w:ascii="宋体" w:hAnsi="宋体"/>
          <w:color w:val="000000"/>
          <w:szCs w:val="21"/>
          <w:highlight w:val="none"/>
        </w:rPr>
      </w:pPr>
    </w:p>
    <w:p>
      <w:pPr>
        <w:spacing w:line="360" w:lineRule="auto"/>
        <w:ind w:right="1680"/>
        <w:jc w:val="center"/>
        <w:rPr>
          <w:rFonts w:ascii="宋体" w:hAnsi="宋体"/>
          <w:color w:val="000000"/>
          <w:szCs w:val="21"/>
          <w:highlight w:val="none"/>
        </w:rPr>
      </w:pPr>
      <w:r>
        <w:rPr>
          <w:rFonts w:hint="eastAsia" w:ascii="宋体" w:hAnsi="宋体"/>
          <w:color w:val="000000"/>
          <w:szCs w:val="21"/>
          <w:highlight w:val="none"/>
        </w:rPr>
        <w:t xml:space="preserve">                               </w:t>
      </w:r>
      <w:r>
        <w:rPr>
          <w:rFonts w:ascii="宋体" w:hAnsi="宋体"/>
          <w:color w:val="000000"/>
          <w:szCs w:val="21"/>
          <w:highlight w:val="none"/>
        </w:rPr>
        <w:t>法定代表人或委托代理人：（签字）</w:t>
      </w:r>
    </w:p>
    <w:p>
      <w:pPr>
        <w:rPr>
          <w:highlight w:val="none"/>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rPr>
          <w:highlight w:val="none"/>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rPr>
        <w:t>附件</w:t>
      </w:r>
      <w:r>
        <w:rPr>
          <w:rFonts w:hint="eastAsia" w:ascii="黑体" w:hAnsi="黑体" w:eastAsia="黑体"/>
          <w:b/>
          <w:bCs/>
          <w:sz w:val="24"/>
          <w:szCs w:val="24"/>
          <w:highlight w:val="none"/>
          <w:lang w:val="en-US" w:eastAsia="zh-CN"/>
        </w:rPr>
        <w:t>6：</w:t>
      </w:r>
      <w:r>
        <w:rPr>
          <w:rFonts w:hint="eastAsia" w:ascii="黑体" w:hAnsi="黑体" w:eastAsia="黑体"/>
          <w:b/>
          <w:bCs/>
          <w:sz w:val="24"/>
          <w:szCs w:val="24"/>
          <w:highlight w:val="none"/>
        </w:rPr>
        <w:t xml:space="preserve"> </w:t>
      </w:r>
      <w:r>
        <w:rPr>
          <w:rFonts w:hint="eastAsia" w:ascii="黑体" w:hAnsi="黑体" w:eastAsia="黑体"/>
          <w:b/>
          <w:bCs/>
          <w:sz w:val="24"/>
          <w:szCs w:val="24"/>
          <w:highlight w:val="none"/>
          <w:lang w:val="en-US" w:eastAsia="zh-CN"/>
        </w:rPr>
        <w:t>技术文件</w:t>
      </w:r>
    </w:p>
    <w:p>
      <w:pPr>
        <w:rPr>
          <w:rFonts w:hint="eastAsia" w:ascii="黑体" w:hAnsi="黑体" w:eastAsia="黑体"/>
          <w:sz w:val="24"/>
          <w:szCs w:val="24"/>
          <w:highlight w:val="none"/>
          <w:lang w:val="en-US" w:eastAsia="zh-CN"/>
        </w:rPr>
      </w:pPr>
    </w:p>
    <w:p>
      <w:pPr>
        <w:widowControl w:val="0"/>
        <w:numPr>
          <w:ilvl w:val="0"/>
          <w:numId w:val="0"/>
        </w:numPr>
        <w:jc w:val="both"/>
        <w:rPr>
          <w:rFonts w:hint="default"/>
          <w:highlight w:val="none"/>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highlight w:val="none"/>
        </w:rPr>
      </w:pPr>
      <w:r>
        <w:rPr>
          <w:rFonts w:hint="eastAsia" w:ascii="宋体" w:hAnsi="宋体"/>
          <w:b/>
          <w:color w:val="000000"/>
          <w:szCs w:val="21"/>
          <w:highlight w:val="none"/>
        </w:rPr>
        <w:t>技术</w:t>
      </w:r>
      <w:r>
        <w:rPr>
          <w:rFonts w:hint="eastAsia" w:ascii="宋体" w:hAnsi="宋体"/>
          <w:b/>
          <w:color w:val="000000"/>
          <w:szCs w:val="21"/>
          <w:highlight w:val="none"/>
          <w:lang w:val="en-US" w:eastAsia="zh-CN"/>
        </w:rPr>
        <w:t>偏离</w:t>
      </w:r>
      <w:r>
        <w:rPr>
          <w:rFonts w:hint="eastAsia" w:ascii="宋体" w:hAnsi="宋体"/>
          <w:b/>
          <w:color w:val="000000"/>
          <w:szCs w:val="21"/>
          <w:highlight w:val="none"/>
        </w:rPr>
        <w:t>表</w:t>
      </w:r>
    </w:p>
    <w:tbl>
      <w:tblPr>
        <w:tblStyle w:val="12"/>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4"/>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4"/>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4"/>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highlight w:val="none"/>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highlight w:val="none"/>
        </w:rPr>
      </w:pPr>
      <w:r>
        <w:rPr>
          <w:rFonts w:hint="eastAsia" w:ascii="宋体" w:hAnsi="宋体"/>
          <w:color w:val="000000"/>
          <w:szCs w:val="21"/>
          <w:highlight w:val="none"/>
        </w:rPr>
        <w:t>说明：</w:t>
      </w:r>
    </w:p>
    <w:p>
      <w:pPr>
        <w:keepNext w:val="0"/>
        <w:keepLines w:val="0"/>
        <w:pageBreakBefore w:val="0"/>
        <w:widowControl w:val="0"/>
        <w:numPr>
          <w:ilvl w:val="0"/>
          <w:numId w:val="37"/>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以上技术如无偏差，则都填“无”字。</w:t>
      </w:r>
    </w:p>
    <w:p>
      <w:pPr>
        <w:keepNext w:val="0"/>
        <w:keepLines w:val="0"/>
        <w:pageBreakBefore w:val="0"/>
        <w:widowControl w:val="0"/>
        <w:numPr>
          <w:ilvl w:val="0"/>
          <w:numId w:val="37"/>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技术标准以技术要求为基准。</w:t>
      </w:r>
    </w:p>
    <w:p>
      <w:pPr>
        <w:keepNext w:val="0"/>
        <w:keepLines w:val="0"/>
        <w:pageBreakBefore w:val="0"/>
        <w:widowControl w:val="0"/>
        <w:numPr>
          <w:ilvl w:val="0"/>
          <w:numId w:val="37"/>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以上技术偏差将作为</w:t>
      </w:r>
      <w:r>
        <w:rPr>
          <w:rFonts w:hint="eastAsia" w:ascii="宋体" w:hAnsi="宋体"/>
          <w:color w:val="000000"/>
          <w:szCs w:val="21"/>
          <w:highlight w:val="none"/>
          <w:lang w:val="en-US" w:eastAsia="zh-CN"/>
        </w:rPr>
        <w:t>采购</w:t>
      </w:r>
      <w:r>
        <w:rPr>
          <w:rFonts w:hint="eastAsia" w:ascii="宋体" w:hAnsi="宋体"/>
          <w:color w:val="000000"/>
          <w:szCs w:val="21"/>
          <w:highlight w:val="none"/>
        </w:rPr>
        <w:t>人判断应答人报价的重要依据，请慎重考虑、酌情填写。</w:t>
      </w:r>
    </w:p>
    <w:p>
      <w:pPr>
        <w:spacing w:line="360" w:lineRule="auto"/>
        <w:rPr>
          <w:rFonts w:ascii="宋体" w:hAnsi="宋体"/>
          <w:color w:val="000000"/>
          <w:szCs w:val="21"/>
          <w:highlight w:val="none"/>
        </w:rPr>
      </w:pPr>
    </w:p>
    <w:p>
      <w:pPr>
        <w:tabs>
          <w:tab w:val="left" w:pos="0"/>
        </w:tabs>
        <w:spacing w:line="360" w:lineRule="auto"/>
        <w:ind w:firstLine="3570" w:firstLineChars="1700"/>
        <w:rPr>
          <w:rFonts w:ascii="宋体" w:hAnsi="宋体"/>
          <w:color w:val="000000"/>
          <w:szCs w:val="21"/>
          <w:highlight w:val="none"/>
          <w:u w:val="single"/>
        </w:rPr>
      </w:pPr>
      <w:r>
        <w:rPr>
          <w:rFonts w:hint="eastAsia" w:ascii="宋体" w:hAnsi="宋体"/>
          <w:color w:val="000000"/>
          <w:szCs w:val="21"/>
          <w:highlight w:val="none"/>
          <w:lang w:eastAsia="zh-CN"/>
        </w:rPr>
        <w:t>应答人</w:t>
      </w:r>
      <w:r>
        <w:rPr>
          <w:rFonts w:hint="eastAsia" w:ascii="宋体" w:hAnsi="宋体"/>
          <w:color w:val="000000"/>
          <w:szCs w:val="21"/>
          <w:highlight w:val="none"/>
        </w:rPr>
        <w:t>：（盖章）</w:t>
      </w:r>
    </w:p>
    <w:p>
      <w:pPr>
        <w:tabs>
          <w:tab w:val="left" w:pos="4320"/>
        </w:tabs>
        <w:spacing w:line="360" w:lineRule="auto"/>
        <w:ind w:firstLine="3465" w:firstLineChars="1650"/>
        <w:jc w:val="center"/>
        <w:rPr>
          <w:rFonts w:ascii="宋体" w:hAnsi="宋体"/>
          <w:color w:val="000000"/>
          <w:szCs w:val="21"/>
          <w:highlight w:val="none"/>
        </w:rPr>
      </w:pPr>
    </w:p>
    <w:p>
      <w:pPr>
        <w:tabs>
          <w:tab w:val="left" w:pos="4320"/>
        </w:tabs>
        <w:spacing w:line="360" w:lineRule="auto"/>
        <w:ind w:firstLine="3570" w:firstLineChars="1700"/>
        <w:rPr>
          <w:rFonts w:hint="eastAsia" w:ascii="宋体" w:hAnsi="宋体"/>
          <w:color w:val="000000"/>
          <w:szCs w:val="21"/>
          <w:highlight w:val="none"/>
        </w:rPr>
      </w:pPr>
      <w:r>
        <w:rPr>
          <w:rFonts w:ascii="宋体" w:hAnsi="宋体"/>
          <w:color w:val="000000"/>
          <w:szCs w:val="21"/>
          <w:highlight w:val="none"/>
        </w:rPr>
        <w:t>法定代表人或委托代理人：（签字</w:t>
      </w:r>
      <w:r>
        <w:rPr>
          <w:rFonts w:hint="eastAsia" w:ascii="宋体" w:hAnsi="宋体"/>
          <w:color w:val="000000"/>
          <w:szCs w:val="21"/>
          <w:highlight w:val="none"/>
        </w:rPr>
        <w:t>）</w:t>
      </w:r>
    </w:p>
    <w:p>
      <w:pPr>
        <w:rPr>
          <w:highlight w:val="none"/>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0"/>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0"/>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0"/>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2"/>
        <w:tblW w:w="96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3098"/>
        <w:gridCol w:w="738"/>
        <w:gridCol w:w="1221"/>
        <w:gridCol w:w="693"/>
        <w:gridCol w:w="1176"/>
        <w:gridCol w:w="1094"/>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费用明细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不含税单价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含税单价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不含税小计</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不含增值税总价</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增值税 </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含增值税总价</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工程类）服务期：合同签订之日起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天内完成，具体开工时间以甲方通知为准。</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0"/>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0"/>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0"/>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0"/>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0"/>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0"/>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20"/>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5"/>
        <w:ind w:firstLine="0" w:firstLineChars="0"/>
        <w:rPr>
          <w:highlight w:val="none"/>
          <w:lang w:val="en-US" w:eastAsia="zh-CN"/>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AF646"/>
    <w:multiLevelType w:val="singleLevel"/>
    <w:tmpl w:val="89CAF646"/>
    <w:lvl w:ilvl="0" w:tentative="0">
      <w:start w:val="1"/>
      <w:numFmt w:val="bullet"/>
      <w:suff w:val="space"/>
      <w:lvlText w:val=""/>
      <w:lvlJc w:val="left"/>
      <w:pPr>
        <w:ind w:left="420" w:hanging="420"/>
      </w:pPr>
      <w:rPr>
        <w:rFonts w:hint="default" w:ascii="Wingdings" w:hAnsi="Wingdings"/>
      </w:rPr>
    </w:lvl>
  </w:abstractNum>
  <w:abstractNum w:abstractNumId="1">
    <w:nsid w:val="B6569501"/>
    <w:multiLevelType w:val="singleLevel"/>
    <w:tmpl w:val="B6569501"/>
    <w:lvl w:ilvl="0" w:tentative="0">
      <w:start w:val="1"/>
      <w:numFmt w:val="chineseCounting"/>
      <w:suff w:val="nothing"/>
      <w:lvlText w:val="%1、"/>
      <w:lvlJc w:val="left"/>
      <w:pPr>
        <w:ind w:left="0" w:firstLine="420"/>
      </w:pPr>
      <w:rPr>
        <w:rFonts w:hint="eastAsia"/>
      </w:rPr>
    </w:lvl>
  </w:abstractNum>
  <w:abstractNum w:abstractNumId="2">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3">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18324A0E"/>
    <w:multiLevelType w:val="singleLevel"/>
    <w:tmpl w:val="18324A0E"/>
    <w:lvl w:ilvl="0" w:tentative="0">
      <w:start w:val="1"/>
      <w:numFmt w:val="decimal"/>
      <w:suff w:val="nothing"/>
      <w:lvlText w:val="%1、"/>
      <w:lvlJc w:val="left"/>
    </w:lvl>
  </w:abstractNum>
  <w:abstractNum w:abstractNumId="7">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13F27C5"/>
    <w:multiLevelType w:val="multilevel"/>
    <w:tmpl w:val="213F27C5"/>
    <w:lvl w:ilvl="0" w:tentative="0">
      <w:start w:val="1"/>
      <w:numFmt w:val="decimal"/>
      <w:lvlText w:val="(%1)"/>
      <w:lvlJc w:val="left"/>
      <w:pPr>
        <w:ind w:left="987" w:hanging="420"/>
      </w:pPr>
      <w:rPr>
        <w:rFonts w:hint="default" w:cs="Times New Roman"/>
        <w:b w:val="0"/>
        <w:i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6">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0B6C9A8"/>
    <w:multiLevelType w:val="singleLevel"/>
    <w:tmpl w:val="40B6C9A8"/>
    <w:lvl w:ilvl="0" w:tentative="0">
      <w:start w:val="1"/>
      <w:numFmt w:val="decimal"/>
      <w:suff w:val="nothing"/>
      <w:lvlText w:val="%1、"/>
      <w:lvlJc w:val="left"/>
    </w:lvl>
  </w:abstractNum>
  <w:abstractNum w:abstractNumId="20">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1">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5">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6">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0877252"/>
    <w:multiLevelType w:val="singleLevel"/>
    <w:tmpl w:val="60877252"/>
    <w:lvl w:ilvl="0" w:tentative="0">
      <w:start w:val="1"/>
      <w:numFmt w:val="decimal"/>
      <w:lvlText w:val="%1."/>
      <w:lvlJc w:val="left"/>
      <w:pPr>
        <w:tabs>
          <w:tab w:val="left" w:pos="312"/>
        </w:tabs>
      </w:pPr>
    </w:lvl>
  </w:abstractNum>
  <w:abstractNum w:abstractNumId="28">
    <w:nsid w:val="609F0A33"/>
    <w:multiLevelType w:val="multilevel"/>
    <w:tmpl w:val="609F0A3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61694D6C"/>
    <w:multiLevelType w:val="singleLevel"/>
    <w:tmpl w:val="61694D6C"/>
    <w:lvl w:ilvl="0" w:tentative="0">
      <w:start w:val="1"/>
      <w:numFmt w:val="decimal"/>
      <w:suff w:val="nothing"/>
      <w:lvlText w:val="%1、"/>
      <w:lvlJc w:val="left"/>
    </w:lvl>
  </w:abstractNum>
  <w:abstractNum w:abstractNumId="30">
    <w:nsid w:val="654D36CF"/>
    <w:multiLevelType w:val="singleLevel"/>
    <w:tmpl w:val="654D36CF"/>
    <w:lvl w:ilvl="0" w:tentative="0">
      <w:start w:val="4"/>
      <w:numFmt w:val="decimal"/>
      <w:lvlText w:val="%1."/>
      <w:lvlJc w:val="left"/>
      <w:pPr>
        <w:tabs>
          <w:tab w:val="left" w:pos="312"/>
        </w:tabs>
      </w:pPr>
    </w:lvl>
  </w:abstractNum>
  <w:abstractNum w:abstractNumId="31">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3">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4">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5">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ECC3C6B"/>
    <w:multiLevelType w:val="multilevel"/>
    <w:tmpl w:val="7ECC3C6B"/>
    <w:lvl w:ilvl="0" w:tentative="0">
      <w:start w:val="1"/>
      <w:numFmt w:val="decimal"/>
      <w:lvlText w:val="3.%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1"/>
  </w:num>
  <w:num w:numId="3">
    <w:abstractNumId w:val="27"/>
  </w:num>
  <w:num w:numId="4">
    <w:abstractNumId w:val="28"/>
  </w:num>
  <w:num w:numId="5">
    <w:abstractNumId w:val="0"/>
  </w:num>
  <w:num w:numId="6">
    <w:abstractNumId w:val="12"/>
  </w:num>
  <w:num w:numId="7">
    <w:abstractNumId w:val="17"/>
  </w:num>
  <w:num w:numId="8">
    <w:abstractNumId w:val="26"/>
  </w:num>
  <w:num w:numId="9">
    <w:abstractNumId w:val="36"/>
  </w:num>
  <w:num w:numId="10">
    <w:abstractNumId w:val="9"/>
  </w:num>
  <w:num w:numId="11">
    <w:abstractNumId w:val="18"/>
  </w:num>
  <w:num w:numId="12">
    <w:abstractNumId w:val="20"/>
  </w:num>
  <w:num w:numId="13">
    <w:abstractNumId w:val="34"/>
  </w:num>
  <w:num w:numId="14">
    <w:abstractNumId w:val="4"/>
  </w:num>
  <w:num w:numId="15">
    <w:abstractNumId w:val="35"/>
  </w:num>
  <w:num w:numId="16">
    <w:abstractNumId w:val="13"/>
  </w:num>
  <w:num w:numId="17">
    <w:abstractNumId w:val="5"/>
  </w:num>
  <w:num w:numId="18">
    <w:abstractNumId w:val="8"/>
  </w:num>
  <w:num w:numId="19">
    <w:abstractNumId w:val="2"/>
  </w:num>
  <w:num w:numId="20">
    <w:abstractNumId w:val="11"/>
  </w:num>
  <w:num w:numId="21">
    <w:abstractNumId w:val="3"/>
  </w:num>
  <w:num w:numId="22">
    <w:abstractNumId w:val="22"/>
  </w:num>
  <w:num w:numId="23">
    <w:abstractNumId w:val="23"/>
  </w:num>
  <w:num w:numId="24">
    <w:abstractNumId w:val="25"/>
  </w:num>
  <w:num w:numId="25">
    <w:abstractNumId w:val="10"/>
  </w:num>
  <w:num w:numId="26">
    <w:abstractNumId w:val="21"/>
  </w:num>
  <w:num w:numId="27">
    <w:abstractNumId w:val="16"/>
  </w:num>
  <w:num w:numId="28">
    <w:abstractNumId w:val="24"/>
  </w:num>
  <w:num w:numId="29">
    <w:abstractNumId w:val="14"/>
  </w:num>
  <w:num w:numId="30">
    <w:abstractNumId w:val="7"/>
  </w:num>
  <w:num w:numId="31">
    <w:abstractNumId w:val="15"/>
  </w:num>
  <w:num w:numId="32">
    <w:abstractNumId w:val="32"/>
  </w:num>
  <w:num w:numId="33">
    <w:abstractNumId w:val="33"/>
  </w:num>
  <w:num w:numId="34">
    <w:abstractNumId w:val="19"/>
  </w:num>
  <w:num w:numId="35">
    <w:abstractNumId w:val="6"/>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7084"/>
    <w:rsid w:val="08FE0A13"/>
    <w:rsid w:val="0AD0705D"/>
    <w:rsid w:val="0F095408"/>
    <w:rsid w:val="14727C56"/>
    <w:rsid w:val="18C145EC"/>
    <w:rsid w:val="190A4CA3"/>
    <w:rsid w:val="1D6943E3"/>
    <w:rsid w:val="1F3D2F18"/>
    <w:rsid w:val="26EB0464"/>
    <w:rsid w:val="315B18CE"/>
    <w:rsid w:val="32BA363D"/>
    <w:rsid w:val="339E0BDF"/>
    <w:rsid w:val="348C5B6B"/>
    <w:rsid w:val="377A0675"/>
    <w:rsid w:val="38C44830"/>
    <w:rsid w:val="3EB26453"/>
    <w:rsid w:val="3EFB5C2B"/>
    <w:rsid w:val="420753C7"/>
    <w:rsid w:val="4543390E"/>
    <w:rsid w:val="488B5641"/>
    <w:rsid w:val="4B876778"/>
    <w:rsid w:val="4C247BF1"/>
    <w:rsid w:val="4D8F76A6"/>
    <w:rsid w:val="4F45079D"/>
    <w:rsid w:val="50B435A3"/>
    <w:rsid w:val="5D764E65"/>
    <w:rsid w:val="650C577F"/>
    <w:rsid w:val="66394091"/>
    <w:rsid w:val="699B1BDB"/>
    <w:rsid w:val="6F77227B"/>
    <w:rsid w:val="72D53D98"/>
    <w:rsid w:val="77B92EBE"/>
    <w:rsid w:val="7AED09A3"/>
    <w:rsid w:val="7C8B6CF5"/>
    <w:rsid w:val="7E2C08D2"/>
    <w:rsid w:val="7F1F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文本）"/>
    <w:basedOn w:val="1"/>
    <w:next w:val="3"/>
    <w:qFormat/>
    <w:uiPriority w:val="0"/>
    <w:pPr>
      <w:snapToGrid w:val="0"/>
      <w:spacing w:beforeLines="20" w:line="360" w:lineRule="auto"/>
      <w:jc w:val="center"/>
    </w:pPr>
    <w:rPr>
      <w:rFonts w:ascii="Times New Roman" w:hAnsi="宋体" w:eastAsia="宋体" w:cs="Times New Roman"/>
      <w:kern w:val="2"/>
      <w:sz w:val="28"/>
      <w:szCs w:val="28"/>
      <w:lang w:eastAsia="zh-CN"/>
    </w:rPr>
  </w:style>
  <w:style w:type="paragraph" w:styleId="3">
    <w:name w:val="toc 6"/>
    <w:basedOn w:val="1"/>
    <w:next w:val="1"/>
    <w:qFormat/>
    <w:uiPriority w:val="0"/>
    <w:pPr>
      <w:ind w:left="2100" w:leftChars="1000"/>
      <w:jc w:val="both"/>
    </w:pPr>
    <w:rPr>
      <w:rFonts w:ascii="Calibri" w:hAnsi="Calibri" w:eastAsia="宋体" w:cs="Times New Roman"/>
      <w:kern w:val="2"/>
      <w:sz w:val="21"/>
      <w:szCs w:val="21"/>
      <w:lang w:eastAsia="zh-CN"/>
    </w:rPr>
  </w:style>
  <w:style w:type="paragraph" w:styleId="5">
    <w:name w:val="Normal Indent"/>
    <w:basedOn w:val="1"/>
    <w:next w:val="1"/>
    <w:qFormat/>
    <w:uiPriority w:val="0"/>
    <w:pPr>
      <w:ind w:firstLine="420" w:firstLineChars="200"/>
    </w:pPr>
    <w:rPr>
      <w:rFonts w:ascii="Times New Roman" w:hAnsi="Times New Roman"/>
      <w:szCs w:val="24"/>
    </w:rPr>
  </w:style>
  <w:style w:type="paragraph" w:styleId="6">
    <w:name w:val="annotation text"/>
    <w:basedOn w:val="1"/>
    <w:unhideWhenUsed/>
    <w:qFormat/>
    <w:uiPriority w:val="99"/>
    <w:pPr>
      <w:jc w:val="left"/>
    </w:pPr>
  </w:style>
  <w:style w:type="paragraph" w:styleId="7">
    <w:name w:val="Body Text"/>
    <w:basedOn w:val="1"/>
    <w:next w:val="1"/>
    <w:qFormat/>
    <w:uiPriority w:val="1"/>
    <w:pPr>
      <w:spacing w:before="36"/>
      <w:ind w:left="780"/>
      <w:jc w:val="left"/>
    </w:pPr>
    <w:rPr>
      <w:rFonts w:ascii="宋体" w:hAnsi="宋体" w:eastAsia="宋体"/>
      <w:kern w:val="0"/>
      <w:szCs w:val="21"/>
      <w:lang w:eastAsia="en-US"/>
    </w:rPr>
  </w:style>
  <w:style w:type="paragraph" w:styleId="8">
    <w:name w:val="footer"/>
    <w:basedOn w:val="1"/>
    <w:next w:val="5"/>
    <w:unhideWhenUsed/>
    <w:qFormat/>
    <w:uiPriority w:val="99"/>
    <w:pPr>
      <w:tabs>
        <w:tab w:val="center" w:pos="4153"/>
        <w:tab w:val="right" w:pos="8306"/>
      </w:tabs>
      <w:snapToGrid w:val="0"/>
      <w:jc w:val="left"/>
    </w:pPr>
    <w:rPr>
      <w:sz w:val="18"/>
      <w:szCs w:val="18"/>
    </w:rPr>
  </w:style>
  <w:style w:type="paragraph" w:styleId="9">
    <w:name w:val="toc 1"/>
    <w:basedOn w:val="1"/>
    <w:next w:val="1"/>
    <w:qFormat/>
    <w:uiPriority w:val="39"/>
    <w:pPr>
      <w:tabs>
        <w:tab w:val="right" w:leader="dot" w:pos="8608"/>
      </w:tabs>
      <w:spacing w:line="360" w:lineRule="auto"/>
      <w:ind w:firstLine="425" w:firstLineChars="177"/>
    </w:pPr>
  </w:style>
  <w:style w:type="paragraph" w:styleId="10">
    <w:name w:val="Title"/>
    <w:basedOn w:val="1"/>
    <w:qFormat/>
    <w:uiPriority w:val="0"/>
    <w:pPr>
      <w:spacing w:before="240" w:after="60"/>
      <w:jc w:val="center"/>
      <w:outlineLvl w:val="0"/>
    </w:pPr>
    <w:rPr>
      <w:rFonts w:ascii="Arial" w:hAnsi="Arial" w:eastAsia="楷体_GB2312"/>
      <w:b/>
      <w:bCs/>
      <w:sz w:val="32"/>
      <w:szCs w:val="32"/>
    </w:rPr>
  </w:style>
  <w:style w:type="paragraph" w:styleId="11">
    <w:name w:val="annotation subject"/>
    <w:next w:val="6"/>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Table Paragraph"/>
    <w:basedOn w:val="1"/>
    <w:qFormat/>
    <w:uiPriority w:val="0"/>
    <w:pPr>
      <w:jc w:val="left"/>
    </w:pPr>
    <w:rPr>
      <w:kern w:val="0"/>
      <w:sz w:val="22"/>
      <w:lang w:eastAsia="en-US"/>
    </w:rPr>
  </w:style>
  <w:style w:type="paragraph" w:customStyle="1" w:styleId="1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8">
    <w:name w:val="No Spacing"/>
    <w:qFormat/>
    <w:uiPriority w:val="1"/>
    <w:pPr>
      <w:widowControl w:val="0"/>
    </w:pPr>
    <w:rPr>
      <w:rFonts w:ascii="Calibri" w:hAnsi="Calibri" w:eastAsia="宋体" w:cs="Arial"/>
      <w:sz w:val="22"/>
      <w:szCs w:val="22"/>
      <w:lang w:val="en-US" w:eastAsia="zh-CN" w:bidi="ar-SA"/>
    </w:rPr>
  </w:style>
  <w:style w:type="paragraph" w:customStyle="1" w:styleId="19">
    <w:name w:val="表文"/>
    <w:qFormat/>
    <w:uiPriority w:val="0"/>
    <w:pPr>
      <w:widowControl w:val="0"/>
      <w:jc w:val="center"/>
    </w:pPr>
    <w:rPr>
      <w:rFonts w:eastAsia="楷体" w:cs="宋体" w:asciiTheme="minorHAnsi" w:hAnsiTheme="minorHAnsi"/>
      <w:sz w:val="22"/>
      <w:szCs w:val="22"/>
      <w:lang w:val="en-US" w:eastAsia="en-US" w:bidi="ar-SA"/>
    </w:rPr>
  </w:style>
  <w:style w:type="paragraph" w:styleId="20">
    <w:name w:val="List Paragraph"/>
    <w:basedOn w:val="1"/>
    <w:qFormat/>
    <w:uiPriority w:val="34"/>
    <w:pPr>
      <w:widowControl/>
      <w:ind w:firstLine="420"/>
    </w:pPr>
    <w:rPr>
      <w:rFonts w:ascii="Calibri" w:hAnsi="Calibri" w:eastAsia="宋体" w:cs="Calibri"/>
      <w:kern w:val="0"/>
      <w:szCs w:val="21"/>
    </w:rPr>
  </w:style>
  <w:style w:type="character" w:customStyle="1" w:styleId="21">
    <w:name w:val="font01"/>
    <w:basedOn w:val="14"/>
    <w:qFormat/>
    <w:uiPriority w:val="0"/>
    <w:rPr>
      <w:rFonts w:hint="eastAsia" w:ascii="宋体" w:hAnsi="宋体" w:eastAsia="宋体" w:cs="宋体"/>
      <w:color w:val="000000"/>
      <w:sz w:val="20"/>
      <w:szCs w:val="20"/>
      <w:u w:val="none"/>
    </w:rPr>
  </w:style>
  <w:style w:type="paragraph" w:customStyle="1" w:styleId="22">
    <w:name w:val="书目1"/>
    <w:basedOn w:val="1"/>
    <w:next w:val="1"/>
    <w:unhideWhenUsed/>
    <w:qFormat/>
    <w:uiPriority w:val="37"/>
  </w:style>
  <w:style w:type="paragraph" w:customStyle="1" w:styleId="23">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4">
    <w:name w:val="Normal_1"/>
    <w:next w:val="25"/>
    <w:qFormat/>
    <w:uiPriority w:val="0"/>
    <w:rPr>
      <w:rFonts w:ascii="Times New Roman" w:hAnsi="Times New Roman" w:eastAsia="Times New Roman" w:cs="Times New Roman"/>
      <w:sz w:val="24"/>
      <w:szCs w:val="24"/>
    </w:rPr>
  </w:style>
  <w:style w:type="paragraph" w:customStyle="1" w:styleId="25">
    <w:name w:val="默认段落字体 Para Char"/>
    <w:basedOn w:val="26"/>
    <w:next w:val="1"/>
    <w:qFormat/>
    <w:uiPriority w:val="0"/>
    <w:pPr>
      <w:widowControl w:val="0"/>
      <w:spacing w:before="80" w:after="80" w:line="360" w:lineRule="auto"/>
      <w:jc w:val="both"/>
    </w:pPr>
    <w:rPr>
      <w:rFonts w:ascii="Calibri" w:hAnsi="Calibri" w:cs="Times New Roman"/>
      <w:kern w:val="2"/>
      <w:szCs w:val="20"/>
    </w:rPr>
  </w:style>
  <w:style w:type="paragraph" w:customStyle="1" w:styleId="2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font11"/>
    <w:basedOn w:val="14"/>
    <w:qFormat/>
    <w:uiPriority w:val="0"/>
    <w:rPr>
      <w:rFonts w:hint="eastAsia" w:ascii="宋体" w:hAnsi="宋体" w:eastAsia="宋体" w:cs="宋体"/>
      <w:color w:val="000000"/>
      <w:sz w:val="24"/>
      <w:szCs w:val="24"/>
      <w:u w:val="none"/>
    </w:rPr>
  </w:style>
  <w:style w:type="paragraph" w:customStyle="1" w:styleId="28">
    <w:name w:val="AFTERTITLE"/>
    <w:basedOn w:val="1"/>
    <w:qFormat/>
    <w:uiPriority w:val="0"/>
    <w:pPr>
      <w:widowControl/>
      <w:spacing w:line="360" w:lineRule="atLeast"/>
      <w:jc w:val="center"/>
    </w:pPr>
    <w:rPr>
      <w:rFonts w:ascii="Calibri" w:hAnsi="Calibri" w:eastAsia="宋体" w:cs="Times New Roman"/>
      <w:b/>
      <w:caps/>
      <w:sz w:val="24"/>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2024-08-02T09:15:00Z</dcterms:created>
  <dc:creator>liuna</dc:creator>
  <cp:lastModifiedBy>刘娜</cp:lastModifiedBy>
  <dcterms:modified xsi:type="dcterms:W3CDTF">2024-09-12T00:56:16Z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5BDE556D9002450EA2D3CB6BE9B21D68</vt:lpwstr>
  </property>
</Properties>
</file>