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8"/>
          <w:szCs w:val="28"/>
          <w:highlight w:val="none"/>
        </w:rPr>
      </w:pPr>
      <w:r>
        <w:rPr>
          <w:rFonts w:asciiTheme="minorEastAsia" w:hAnsiTheme="minorEastAsia" w:eastAsiaTheme="minorEastAsia"/>
          <w:color w:val="auto"/>
          <w:spacing w:val="-3"/>
          <w:sz w:val="28"/>
          <w:szCs w:val="28"/>
          <w:highlight w:val="none"/>
        </w:rPr>
        <w:t>（</w:t>
      </w:r>
      <w:r>
        <w:rPr>
          <w:rFonts w:hint="eastAsia" w:asciiTheme="minorEastAsia" w:hAnsiTheme="minorEastAsia"/>
          <w:color w:val="auto"/>
          <w:spacing w:val="-3"/>
          <w:sz w:val="28"/>
          <w:szCs w:val="28"/>
          <w:highlight w:val="none"/>
          <w:lang w:val="en-US" w:eastAsia="zh-CN"/>
        </w:rPr>
        <w:t>项目名称</w:t>
      </w:r>
      <w:r>
        <w:rPr>
          <w:rFonts w:asciiTheme="minorEastAsia" w:hAnsiTheme="minorEastAsia" w:eastAsiaTheme="minorEastAsia"/>
          <w:color w:val="auto"/>
          <w:spacing w:val="-3"/>
          <w:sz w:val="28"/>
          <w:szCs w:val="28"/>
          <w:highlight w:val="none"/>
        </w:rPr>
        <w:t>：</w:t>
      </w:r>
      <w:r>
        <w:rPr>
          <w:rFonts w:hint="eastAsia" w:asciiTheme="minorEastAsia" w:hAnsiTheme="minorEastAsia"/>
          <w:color w:val="auto"/>
          <w:spacing w:val="-3"/>
          <w:sz w:val="28"/>
          <w:szCs w:val="28"/>
          <w:highlight w:val="none"/>
          <w:lang w:eastAsia="zh-CN"/>
        </w:rPr>
        <w:t>振海六号防台物资</w:t>
      </w:r>
      <w:r>
        <w:rPr>
          <w:rFonts w:hint="eastAsia" w:asciiTheme="minorEastAsia" w:hAnsiTheme="minorEastAsia" w:eastAsiaTheme="minorEastAsia"/>
          <w:color w:val="auto"/>
          <w:spacing w:val="-3"/>
          <w:sz w:val="28"/>
          <w:szCs w:val="28"/>
          <w:highlight w:val="none"/>
        </w:rPr>
        <w:t>采购</w:t>
      </w:r>
      <w:r>
        <w:rPr>
          <w:rFonts w:asciiTheme="minorEastAsia" w:hAnsiTheme="minorEastAsia" w:eastAsiaTheme="minorEastAsia"/>
          <w:color w:val="auto"/>
          <w:sz w:val="28"/>
          <w:szCs w:val="28"/>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pacing w:val="-3"/>
          <w:sz w:val="28"/>
          <w:szCs w:val="28"/>
          <w:highlight w:val="none"/>
          <w14:textFill>
            <w14:solidFill>
              <w14:schemeClr w14:val="tx1"/>
            </w14:solidFill>
          </w14:textFill>
        </w:rPr>
        <w:t>（采购编号：</w:t>
      </w:r>
      <w:r>
        <w:rPr>
          <w:rFonts w:hint="eastAsia" w:asciiTheme="minorEastAsia" w:hAnsiTheme="minorEastAsia"/>
          <w:color w:val="000000" w:themeColor="text1"/>
          <w:spacing w:val="-3"/>
          <w:sz w:val="28"/>
          <w:szCs w:val="28"/>
          <w:highlight w:val="none"/>
          <w:lang w:val="en-US" w:eastAsia="zh-CN"/>
          <w14:textFill>
            <w14:solidFill>
              <w14:schemeClr w14:val="tx1"/>
            </w14:solidFill>
          </w14:textFill>
        </w:rPr>
        <w:t>GKXJ-2024-XK-1861</w:t>
      </w:r>
      <w:r>
        <w:rPr>
          <w:rFonts w:asciiTheme="minorEastAsia" w:hAnsiTheme="minorEastAsia" w:eastAsiaTheme="minorEastAsia"/>
          <w:color w:val="000000" w:themeColor="text1"/>
          <w:sz w:val="28"/>
          <w:szCs w:val="28"/>
          <w:highlight w:val="none"/>
          <w14:textFill>
            <w14:solidFill>
              <w14:schemeClr w14:val="tx1"/>
            </w14:solidFill>
          </w14:textFill>
        </w:rPr>
        <w:t>）</w:t>
      </w:r>
    </w:p>
    <w:p>
      <w:pPr>
        <w:pStyle w:val="6"/>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u w:val="single"/>
          <w:lang w:eastAsia="zh-CN"/>
        </w:rPr>
        <w:t>中海油能源发展股份有限公司采办共享中心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7</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24</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sz w:val="24"/>
          <w:szCs w:val="24"/>
          <w:u w:val="single"/>
          <w:lang w:eastAsia="zh-CN"/>
        </w:rPr>
        <w:t>振海六号防台物资</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10:00</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sz w:val="24"/>
          <w:szCs w:val="24"/>
          <w:highlight w:val="none"/>
        </w:rPr>
        <w:t>请在规定报价截止时间前通过系</w:t>
      </w:r>
      <w:r>
        <w:rPr>
          <w:rFonts w:hint="eastAsia" w:asciiTheme="minorEastAsia" w:hAnsiTheme="minorEastAsia"/>
          <w:sz w:val="24"/>
          <w:szCs w:val="24"/>
        </w:rPr>
        <w:t>统报价及挂接PDF形式的电子报价文件</w:t>
      </w:r>
      <w:r>
        <w:rPr>
          <w:rFonts w:hint="eastAsia" w:asciiTheme="minorEastAsia" w:hAnsiTheme="minorEastAsia"/>
          <w:sz w:val="24"/>
          <w:szCs w:val="24"/>
          <w:highlight w:val="none"/>
        </w:rPr>
        <w:t>和</w:t>
      </w:r>
      <w:r>
        <w:rPr>
          <w:rFonts w:hint="eastAsia" w:asciiTheme="minorEastAsia" w:hAnsiTheme="minorEastAsia"/>
          <w:color w:val="FF0000"/>
          <w:sz w:val="24"/>
          <w:szCs w:val="24"/>
          <w:highlight w:val="none"/>
        </w:rPr>
        <w:t>不含价格的商务文件和技术文件</w:t>
      </w:r>
      <w:r>
        <w:rPr>
          <w:rFonts w:hint="eastAsia" w:asciiTheme="minorEastAsia" w:hAnsiTheme="minorEastAsia"/>
          <w:sz w:val="24"/>
          <w:szCs w:val="24"/>
        </w:rPr>
        <w:t>附件。挂接的电子报价文件</w:t>
      </w:r>
      <w:r>
        <w:rPr>
          <w:rFonts w:hint="eastAsia" w:asciiTheme="minorEastAsia" w:hAnsiTheme="minorEastAsia"/>
          <w:sz w:val="24"/>
          <w:szCs w:val="24"/>
          <w:highlight w:val="none"/>
        </w:rPr>
        <w:t>和</w:t>
      </w:r>
      <w:r>
        <w:rPr>
          <w:rFonts w:hint="eastAsia" w:asciiTheme="minorEastAsia" w:hAnsiTheme="minorEastAsia"/>
          <w:color w:val="FF0000"/>
          <w:sz w:val="24"/>
          <w:szCs w:val="24"/>
          <w:highlight w:val="none"/>
        </w:rPr>
        <w:t>不含价格的商务文件和技术文件</w:t>
      </w:r>
      <w:r>
        <w:rPr>
          <w:rFonts w:hint="eastAsia" w:asciiTheme="minorEastAsia" w:hAnsiTheme="minorEastAsia"/>
          <w:sz w:val="24"/>
          <w:szCs w:val="24"/>
          <w:highlight w:val="none"/>
        </w:rPr>
        <w:t>都</w:t>
      </w:r>
      <w:r>
        <w:rPr>
          <w:rFonts w:hint="eastAsia" w:asciiTheme="minorEastAsia" w:hAnsiTheme="minorEastAsia"/>
          <w:sz w:val="24"/>
          <w:szCs w:val="24"/>
        </w:rPr>
        <w:t>应加盖</w:t>
      </w:r>
      <w:r>
        <w:rPr>
          <w:rFonts w:asciiTheme="minorEastAsia" w:hAnsiTheme="minorEastAsia"/>
          <w:sz w:val="24"/>
          <w:szCs w:val="24"/>
        </w:rPr>
        <w:t>公章</w:t>
      </w:r>
      <w:r>
        <w:rPr>
          <w:rFonts w:hint="eastAsia" w:asciiTheme="minorEastAsia" w:hAnsiTheme="minorEastAsia"/>
          <w:sz w:val="24"/>
          <w:szCs w:val="24"/>
          <w:lang w:eastAsia="zh-CN"/>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4"/>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1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4"/>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4"/>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4"/>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4"/>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4"/>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1、采购人技术</w:t>
      </w:r>
      <w:r>
        <w:rPr>
          <w:rFonts w:hint="eastAsia" w:ascii="宋体" w:hAnsi="宋体" w:eastAsia="宋体" w:cs="宋体"/>
          <w:b w:val="0"/>
          <w:bCs w:val="0"/>
          <w:sz w:val="21"/>
          <w:szCs w:val="21"/>
          <w:highlight w:val="none"/>
        </w:rPr>
        <w:t>代表联系人与联系方式如下：</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联系单位：</w:t>
      </w:r>
      <w:r>
        <w:rPr>
          <w:rFonts w:hint="eastAsia" w:ascii="宋体" w:hAnsi="宋体" w:eastAsia="宋体" w:cs="宋体"/>
          <w:b w:val="0"/>
          <w:bCs w:val="0"/>
          <w:sz w:val="21"/>
          <w:szCs w:val="21"/>
          <w:highlight w:val="none"/>
          <w:lang w:eastAsia="zh-CN"/>
        </w:rPr>
        <w:t>中海油信息科技有限公司上海分公司</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联系人：</w:t>
      </w:r>
      <w:r>
        <w:rPr>
          <w:rFonts w:hint="eastAsia" w:ascii="宋体" w:hAnsi="宋体" w:eastAsia="宋体" w:cs="宋体"/>
          <w:b w:val="0"/>
          <w:bCs w:val="0"/>
          <w:sz w:val="21"/>
          <w:szCs w:val="21"/>
          <w:highlight w:val="none"/>
          <w:lang w:val="en-US" w:eastAsia="zh-CN"/>
        </w:rPr>
        <w:t>刘军</w:t>
      </w:r>
      <w:r>
        <w:rPr>
          <w:rFonts w:hint="eastAsia" w:ascii="宋体" w:hAnsi="宋体" w:eastAsia="宋体" w:cs="宋体"/>
          <w:b w:val="0"/>
          <w:bCs w:val="0"/>
          <w:sz w:val="21"/>
          <w:szCs w:val="21"/>
          <w:highlight w:val="none"/>
        </w:rPr>
        <w:t xml:space="preserve"> </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联系电话：</w:t>
      </w:r>
      <w:r>
        <w:rPr>
          <w:rFonts w:hint="eastAsia" w:ascii="宋体" w:hAnsi="宋体" w:eastAsia="宋体" w:cs="宋体"/>
          <w:b w:val="0"/>
          <w:bCs w:val="0"/>
          <w:sz w:val="21"/>
          <w:szCs w:val="21"/>
          <w:highlight w:val="none"/>
          <w:lang w:val="en-US" w:eastAsia="zh-CN"/>
        </w:rPr>
        <w:t xml:space="preserve">021-22833030  </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邮  箱：</w:t>
      </w:r>
      <w:r>
        <w:rPr>
          <w:rFonts w:hint="eastAsia" w:ascii="宋体" w:hAnsi="宋体" w:eastAsia="宋体" w:cs="宋体"/>
          <w:b w:val="0"/>
          <w:bCs w:val="0"/>
          <w:sz w:val="21"/>
          <w:szCs w:val="21"/>
          <w:highlight w:val="none"/>
          <w:lang w:val="en-US" w:eastAsia="zh-CN"/>
        </w:rPr>
        <w:t>liujun7</w:t>
      </w:r>
      <w:r>
        <w:rPr>
          <w:rFonts w:hint="eastAsia" w:ascii="宋体" w:hAnsi="宋体" w:eastAsia="宋体" w:cs="宋体"/>
          <w:b w:val="0"/>
          <w:bCs w:val="0"/>
          <w:sz w:val="21"/>
          <w:szCs w:val="21"/>
          <w:highlight w:val="none"/>
        </w:rPr>
        <w:t>@cnooc.com.cn</w:t>
      </w:r>
    </w:p>
    <w:p>
      <w:pPr>
        <w:spacing w:line="360" w:lineRule="auto"/>
        <w:ind w:firstLine="420" w:firstLineChars="200"/>
        <w:rPr>
          <w:rFonts w:hint="eastAsia" w:ascii="宋体" w:hAnsi="宋体" w:eastAsia="宋体" w:cs="宋体"/>
          <w:b w:val="0"/>
          <w:bCs w:val="0"/>
          <w:sz w:val="21"/>
          <w:szCs w:val="21"/>
          <w:highlight w:val="none"/>
        </w:rPr>
      </w:pPr>
    </w:p>
    <w:p>
      <w:pPr>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采购人</w:t>
      </w:r>
      <w:r>
        <w:rPr>
          <w:rFonts w:hint="eastAsia" w:ascii="宋体" w:hAnsi="宋体" w:eastAsia="宋体" w:cs="宋体"/>
          <w:b w:val="0"/>
          <w:bCs w:val="0"/>
          <w:sz w:val="21"/>
          <w:szCs w:val="21"/>
          <w:highlight w:val="none"/>
        </w:rPr>
        <w:t>商务代表联系人与联系方式如下：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联系单位：中海油能源发展股份有限公司采办共享中心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联系人：王颖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联系电话：021-22833359</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rPr>
        <w:t>邮  箱：</w:t>
      </w:r>
      <w:r>
        <w:rPr>
          <w:rFonts w:hint="eastAsia" w:ascii="宋体" w:hAnsi="宋体" w:eastAsia="宋体" w:cs="宋体"/>
          <w:szCs w:val="21"/>
        </w:rPr>
        <w:fldChar w:fldCharType="begin"/>
      </w:r>
      <w:r>
        <w:rPr>
          <w:rFonts w:hint="eastAsia" w:ascii="宋体" w:hAnsi="宋体" w:eastAsia="宋体" w:cs="宋体"/>
          <w:szCs w:val="21"/>
        </w:rPr>
        <w:instrText xml:space="preserve"> HYPERLINK "mailto:wangying1@cnooc.com.cn" </w:instrText>
      </w:r>
      <w:r>
        <w:rPr>
          <w:rFonts w:hint="eastAsia" w:ascii="宋体" w:hAnsi="宋体" w:eastAsia="宋体" w:cs="宋体"/>
          <w:szCs w:val="21"/>
        </w:rPr>
        <w:fldChar w:fldCharType="separate"/>
      </w:r>
      <w:r>
        <w:rPr>
          <w:rStyle w:val="13"/>
          <w:rFonts w:hint="eastAsia" w:ascii="宋体" w:hAnsi="宋体" w:eastAsia="宋体" w:cs="宋体"/>
          <w:sz w:val="21"/>
          <w:szCs w:val="21"/>
        </w:rPr>
        <w:t>wangying1@cnooc.com.cn</w:t>
      </w:r>
      <w:r>
        <w:rPr>
          <w:rStyle w:val="13"/>
          <w:rFonts w:hint="eastAsia" w:ascii="宋体" w:hAnsi="宋体" w:eastAsia="宋体" w:cs="宋体"/>
          <w:sz w:val="21"/>
          <w:szCs w:val="21"/>
        </w:rPr>
        <w:fldChar w:fldCharType="end"/>
      </w:r>
    </w:p>
    <w:p>
      <w:pPr>
        <w:pStyle w:val="6"/>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4"/>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4"/>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4"/>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4"/>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4"/>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4"/>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0"/>
        <w:tblW w:w="5595" w:type="pct"/>
        <w:jc w:val="center"/>
        <w:tblLayout w:type="autofit"/>
        <w:tblCellMar>
          <w:top w:w="0" w:type="dxa"/>
          <w:left w:w="0" w:type="dxa"/>
          <w:bottom w:w="0" w:type="dxa"/>
          <w:right w:w="0" w:type="dxa"/>
        </w:tblCellMar>
      </w:tblPr>
      <w:tblGrid>
        <w:gridCol w:w="616"/>
        <w:gridCol w:w="536"/>
        <w:gridCol w:w="2290"/>
        <w:gridCol w:w="5864"/>
      </w:tblGrid>
      <w:tr>
        <w:tblPrEx>
          <w:tblCellMar>
            <w:top w:w="0" w:type="dxa"/>
            <w:left w:w="0" w:type="dxa"/>
            <w:bottom w:w="0" w:type="dxa"/>
            <w:right w:w="0" w:type="dxa"/>
          </w:tblCellMar>
        </w:tblPrEx>
        <w:trPr>
          <w:trHeight w:val="454" w:hRule="atLeast"/>
          <w:jc w:val="center"/>
        </w:trPr>
        <w:tc>
          <w:tcPr>
            <w:tcW w:w="619" w:type="pct"/>
            <w:gridSpan w:val="2"/>
            <w:tcBorders>
              <w:top w:val="single" w:color="000000" w:sz="4" w:space="0"/>
              <w:left w:val="single" w:color="000000" w:sz="4"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1" w:type="pct"/>
            <w:vMerge w:val="restart"/>
            <w:tcBorders>
              <w:top w:val="nil"/>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1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0" w:type="pct"/>
            <w:tcBorders>
              <w:top w:val="single" w:color="000000" w:sz="4" w:space="0"/>
              <w:left w:val="nil"/>
              <w:bottom w:val="single" w:color="000000" w:sz="4" w:space="0"/>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0" w:type="pct"/>
            <w:tcBorders>
              <w:top w:val="single" w:color="000000" w:sz="4" w:space="0"/>
              <w:left w:val="nil"/>
              <w:bottom w:val="nil"/>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：报价单格式的规定；</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0" w:type="pct"/>
            <w:tcBorders>
              <w:top w:val="single" w:color="000000" w:sz="4" w:space="0"/>
              <w:left w:val="nil"/>
              <w:bottom w:val="single" w:color="000000" w:sz="4" w:space="0"/>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资质</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1.建筑业企业资质证书-电子和智能化工程专业承包资质。</w:t>
            </w:r>
          </w:p>
          <w:p>
            <w:pPr>
              <w:pStyle w:val="4"/>
              <w:numPr>
                <w:ilvl w:val="0"/>
                <w:numId w:val="0"/>
              </w:num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lang w:val="en-US" w:eastAsia="zh-CN"/>
              </w:rPr>
              <w:t>2.</w:t>
            </w:r>
            <w:r>
              <w:rPr>
                <w:rFonts w:hint="eastAsia" w:ascii="仿宋" w:hAnsi="仿宋" w:eastAsia="仿宋" w:cs="仿宋"/>
                <w:color w:val="auto"/>
                <w:kern w:val="2"/>
                <w:sz w:val="21"/>
                <w:szCs w:val="21"/>
                <w:highlight w:val="none"/>
                <w:lang w:val="en-US" w:eastAsia="zh-CN" w:bidi="ar-SA"/>
              </w:rPr>
              <w:t>应答人投标时提供企业资信证明或者资金证明等材料。</w:t>
            </w:r>
          </w:p>
        </w:tc>
      </w:tr>
      <w:tr>
        <w:tblPrEx>
          <w:tblCellMar>
            <w:top w:w="0" w:type="dxa"/>
            <w:left w:w="0" w:type="dxa"/>
            <w:bottom w:w="0" w:type="dxa"/>
            <w:right w:w="0" w:type="dxa"/>
          </w:tblCellMar>
        </w:tblPrEx>
        <w:trPr>
          <w:trHeight w:val="69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w:t>
            </w:r>
          </w:p>
          <w:p>
            <w:pPr>
              <w:pStyle w:val="14"/>
              <w:jc w:val="both"/>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ISO9001质量管理体系认证，可在中国国家认证认可监督管理委员会网站（</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1427"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0"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1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6"/>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r>
              <w:rPr>
                <w:rFonts w:hint="eastAsia" w:ascii="仿宋" w:hAnsi="仿宋" w:eastAsia="仿宋" w:cs="仿宋"/>
                <w:color w:val="auto"/>
                <w:kern w:val="2"/>
                <w:sz w:val="21"/>
                <w:szCs w:val="21"/>
                <w:highlight w:val="none"/>
                <w:lang w:val="en-US" w:eastAsia="zh-CN" w:bidi="ar-SA"/>
              </w:rPr>
              <w:t>（如涉及）</w:t>
            </w:r>
          </w:p>
        </w:tc>
        <w:tc>
          <w:tcPr>
            <w:tcW w:w="3150"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b w:val="0"/>
                <w:bCs w:val="0"/>
                <w:color w:val="auto"/>
                <w:sz w:val="21"/>
                <w:szCs w:val="21"/>
                <w:highlight w:val="none"/>
                <w:lang w:val="en-US" w:eastAsia="zh-CN"/>
              </w:rPr>
            </w:pPr>
            <w:r>
              <w:rPr>
                <w:rFonts w:hint="default" w:ascii="仿宋" w:hAnsi="仿宋" w:eastAsia="仿宋" w:cs="仿宋"/>
                <w:sz w:val="21"/>
                <w:szCs w:val="21"/>
                <w:lang w:val="en-US" w:eastAsia="zh-CN"/>
              </w:rPr>
              <w:t>制造商需满足：供应商可参照附件</w:t>
            </w:r>
            <w:r>
              <w:rPr>
                <w:rFonts w:hint="eastAsia" w:ascii="仿宋" w:hAnsi="仿宋" w:eastAsia="仿宋" w:cs="仿宋"/>
                <w:sz w:val="21"/>
                <w:szCs w:val="21"/>
                <w:lang w:val="en-US" w:eastAsia="zh-CN"/>
              </w:rPr>
              <w:t>5.</w:t>
            </w:r>
            <w:r>
              <w:rPr>
                <w:rFonts w:hint="default" w:ascii="仿宋" w:hAnsi="仿宋" w:eastAsia="仿宋" w:cs="仿宋"/>
                <w:sz w:val="21"/>
                <w:szCs w:val="21"/>
                <w:lang w:val="en-US" w:eastAsia="zh-CN"/>
              </w:rPr>
              <w:t>9格式要求提供承诺书，提供证明材料，保证提供证明材料真实有效;</w:t>
            </w:r>
          </w:p>
        </w:tc>
      </w:tr>
      <w:tr>
        <w:tblPrEx>
          <w:tblCellMar>
            <w:top w:w="0" w:type="dxa"/>
            <w:left w:w="0" w:type="dxa"/>
            <w:bottom w:w="0" w:type="dxa"/>
            <w:right w:w="0" w:type="dxa"/>
          </w:tblCellMar>
        </w:tblPrEx>
        <w:trPr>
          <w:trHeight w:val="391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6"/>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（资产负债表、利润表、现金流量表）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color w:val="auto"/>
                <w:sz w:val="21"/>
                <w:szCs w:val="21"/>
                <w:highlight w:val="none"/>
                <w:lang w:val="en-US" w:eastAsia="zh-CN"/>
              </w:rPr>
            </w:pP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（资产负债表、利润表、现金流量表）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p>
            <w:pPr>
              <w:ind w:firstLine="0" w:firstLineChars="0"/>
              <w:rPr>
                <w:rFonts w:hint="eastAsia"/>
                <w:color w:val="auto"/>
                <w:highlight w:val="none"/>
                <w:lang w:eastAsia="zh-CN"/>
              </w:rPr>
            </w:pPr>
          </w:p>
        </w:tc>
      </w:tr>
      <w:tr>
        <w:tblPrEx>
          <w:tblCellMar>
            <w:top w:w="0" w:type="dxa"/>
            <w:left w:w="0" w:type="dxa"/>
            <w:bottom w:w="0" w:type="dxa"/>
            <w:right w:w="0" w:type="dxa"/>
          </w:tblCellMar>
        </w:tblPrEx>
        <w:trPr>
          <w:trHeight w:val="2232"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货物类</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应答人应承揽过与项目相似的业绩，投标时提供至少一个相关业绩证明材料。</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应答人所提交的业绩证明文件必须至少体现以下内容：合同签署时间、合同签署页（应有双方盖章）、制造商名称、货物名称及到货验收材料。</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0" w:type="pct"/>
            <w:tcBorders>
              <w:top w:val="single" w:color="auto" w:sz="4" w:space="0"/>
              <w:left w:val="nil"/>
              <w:bottom w:val="nil"/>
              <w:right w:val="single" w:color="000000" w:sz="4" w:space="0"/>
            </w:tcBorders>
            <w:vAlign w:val="center"/>
          </w:tcPr>
          <w:p>
            <w:pPr>
              <w:tabs>
                <w:tab w:val="left" w:pos="567"/>
              </w:tabs>
              <w:spacing w:before="72" w:beforeLines="30" w:after="72" w:afterLines="30" w:line="360" w:lineRule="auto"/>
              <w:ind w:right="1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卖方在合同规定的期限内将全部货物运至交货地点，经买方验收合格后收到相关支持文件后，接买方通知开具全额13%增值税专用发票，收到发票后45日内支付合同总额70%。如付款到期日非为银行工作日，则付款到期日顺延至下一个银行工作日。</w:t>
            </w:r>
          </w:p>
          <w:p>
            <w:pPr>
              <w:tabs>
                <w:tab w:val="left" w:pos="567"/>
              </w:tabs>
              <w:spacing w:before="72" w:beforeLines="30" w:after="72" w:afterLines="30" w:line="360" w:lineRule="auto"/>
              <w:ind w:right="1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（2）安装调试验收合格后并提供相关支持文件，买方收到相关支持文件后45日内支付合同总价的25%。如付款到期日非为银行工作日，则付款到期日顺延至下一个银行工作日。</w:t>
            </w:r>
          </w:p>
          <w:p>
            <w:pPr>
              <w:tabs>
                <w:tab w:val="left" w:pos="567"/>
              </w:tabs>
              <w:spacing w:before="72" w:beforeLines="30" w:after="72" w:afterLines="30" w:line="360" w:lineRule="auto"/>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lang w:val="en-US" w:eastAsia="zh-CN"/>
              </w:rPr>
              <w:t>（3）合同总价的5%作为质保金，于质保期结束后，接卖方付款申请并确认无质量问题后，经确认无误后45日内买方支付该等质保金。如付款到期日非为银行工作日，则付款到期日顺延至下一个银行工作日</w:t>
            </w:r>
            <w:r>
              <w:rPr>
                <w:rFonts w:hint="eastAsia" w:ascii="仿宋" w:hAnsi="仿宋" w:eastAsia="仿宋" w:cs="仿宋"/>
                <w:color w:val="000000"/>
                <w:sz w:val="21"/>
                <w:szCs w:val="21"/>
                <w:lang w:val="en-US" w:eastAsia="zh-CN"/>
              </w:rPr>
              <w:t>。</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5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lang w:val="en-US" w:eastAsia="zh-CN"/>
              </w:rPr>
            </w:pPr>
            <w:r>
              <w:rPr>
                <w:rFonts w:hint="eastAsia" w:ascii="仿宋" w:hAnsi="仿宋" w:eastAsia="仿宋" w:cs="仿宋"/>
                <w:lang w:val="en-US" w:eastAsia="zh-CN"/>
              </w:rPr>
              <w:t>详见</w:t>
            </w:r>
            <w:r>
              <w:rPr>
                <w:rFonts w:hint="eastAsia" w:ascii="仿宋" w:hAnsi="仿宋" w:eastAsia="仿宋" w:cs="仿宋"/>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0"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1.一般商务指标偏离超过3项，则评议不合格。</w:t>
            </w:r>
          </w:p>
          <w:p>
            <w:pPr>
              <w:pStyle w:val="1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1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1" w:type="pct"/>
            <w:vMerge w:val="restar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详见附件2：采办内容及技术要求</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lang w:val="en-US" w:eastAsia="zh-CN"/>
              </w:rPr>
              <w:t>合同签订后，接买方通知20个工作日内完成交货，在采办设备时遇到不能及时供货或无法按要求供货时，卖方应在两天之内以邮件等书面方式将原厂不能按时供货的原因（供货方需要提供原厂商的原始通知函件（附日期））通知买方,并按要求提供解决方案，以便买方及时作相关变更，否则按延期处理。</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rPr>
            </w:pPr>
            <w:r>
              <w:rPr>
                <w:rFonts w:hint="eastAsia" w:ascii="仿宋" w:hAnsi="仿宋" w:eastAsia="仿宋" w:cs="仿宋"/>
              </w:rPr>
              <w:t>详见附件2：采办内容及技术要求</w:t>
            </w:r>
          </w:p>
          <w:p>
            <w:pPr>
              <w:pStyle w:val="4"/>
              <w:ind w:left="0" w:leftChars="0" w:firstLine="210" w:firstLineChars="100"/>
              <w:rPr>
                <w:rFonts w:hint="eastAsia"/>
                <w:lang w:eastAsia="zh-CN"/>
              </w:rPr>
            </w:pPr>
            <w:r>
              <w:rPr>
                <w:rFonts w:hint="eastAsia" w:ascii="仿宋" w:hAnsi="仿宋" w:eastAsia="仿宋" w:cs="仿宋"/>
                <w:color w:val="auto"/>
                <w:kern w:val="2"/>
                <w:sz w:val="21"/>
                <w:szCs w:val="21"/>
                <w:highlight w:val="none"/>
                <w:lang w:val="en-US" w:eastAsia="zh-CN" w:bidi="ar-SA"/>
              </w:rPr>
              <w:t>应答人在合同签定时需具备五小证等出海证件，费用由卖方承担。</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0" w:type="pct"/>
            <w:tcBorders>
              <w:top w:val="single" w:color="000000" w:sz="4" w:space="0"/>
              <w:left w:val="single" w:color="auto" w:sz="4" w:space="0"/>
              <w:bottom w:val="single" w:color="000000" w:sz="4" w:space="0"/>
              <w:right w:val="single" w:color="000000" w:sz="4" w:space="0"/>
            </w:tcBorders>
            <w:vAlign w:val="center"/>
          </w:tcPr>
          <w:p>
            <w:pPr>
              <w:pStyle w:val="14"/>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1、一般技术指标偏离超过3项，则评议不合格。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1669"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1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7" w:type="pct"/>
            <w:gridSpan w:val="2"/>
            <w:tcBorders>
              <w:top w:val="single" w:color="auto" w:sz="4" w:space="0"/>
              <w:left w:val="single" w:color="auto" w:sz="4" w:space="0"/>
              <w:bottom w:val="single" w:color="auto" w:sz="4" w:space="0"/>
              <w:right w:val="single" w:color="000000" w:sz="4" w:space="0"/>
            </w:tcBorders>
            <w:vAlign w:val="center"/>
          </w:tcPr>
          <w:p>
            <w:pPr>
              <w:pStyle w:val="14"/>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14"/>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《招标投标法实施条例》第四十条　串通投标的认定</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有下列情形之一的，视为投标人相互串通投标：</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(一)不同投标人的投标文件由同一单位或者个人编制；</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(二)不同投标人委托同一单位或者个人办理投标事宜；</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(三)不同投标人的投标文件载明的项目管理成员为同一人；</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(四)不同投标人的投标文件异常一致或者投标报价呈规律性差异；</w:t>
            </w:r>
          </w:p>
          <w:p>
            <w:pPr>
              <w:pStyle w:val="5"/>
              <w:ind w:right="11" w:firstLine="0" w:firstLineChars="0"/>
              <w:rPr>
                <w:rFonts w:hint="eastAsia" w:ascii="仿宋" w:hAnsi="仿宋" w:eastAsia="仿宋" w:cs="仿宋"/>
                <w:bCs/>
                <w:kern w:val="0"/>
                <w:sz w:val="21"/>
                <w:szCs w:val="21"/>
                <w:lang w:eastAsia="zh-CN"/>
              </w:rPr>
            </w:pPr>
            <w:r>
              <w:rPr>
                <w:rFonts w:hint="eastAsia" w:ascii="仿宋" w:hAnsi="仿宋" w:eastAsia="仿宋" w:cs="仿宋"/>
                <w:bCs/>
                <w:kern w:val="0"/>
                <w:sz w:val="21"/>
                <w:szCs w:val="21"/>
              </w:rPr>
              <w:t>　(五)不同投标人的投标文件相互混装</w:t>
            </w:r>
            <w:r>
              <w:rPr>
                <w:rFonts w:hint="eastAsia" w:ascii="仿宋" w:hAnsi="仿宋" w:eastAsia="仿宋" w:cs="仿宋"/>
                <w:bCs/>
                <w:kern w:val="0"/>
                <w:sz w:val="21"/>
                <w:szCs w:val="21"/>
                <w:lang w:eastAsia="zh-CN"/>
              </w:rPr>
              <w:t>。</w:t>
            </w:r>
          </w:p>
          <w:p>
            <w:pPr>
              <w:pStyle w:val="5"/>
              <w:ind w:right="11" w:firstLine="420" w:firstLineChars="20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kern w:val="0"/>
                <w:sz w:val="21"/>
                <w:szCs w:val="21"/>
              </w:rPr>
              <w:t>报价文件特征码：若发现不同投标人在采办信息系统上“报价文件特征码”环节里“文件制作机器码、文件创建标识码和MAC地址”中的任何一类内容一致时，视为投标人相互串通投标，否决所有涉及投标人的投标</w:t>
            </w:r>
            <w:r>
              <w:rPr>
                <w:rFonts w:hint="eastAsia" w:ascii="仿宋" w:hAnsi="仿宋" w:eastAsia="仿宋" w:cs="仿宋"/>
                <w:bCs/>
                <w:kern w:val="0"/>
                <w:sz w:val="21"/>
                <w:szCs w:val="21"/>
                <w:lang w:eastAsia="zh-CN"/>
              </w:rPr>
              <w:t>。</w:t>
            </w:r>
          </w:p>
        </w:tc>
      </w:tr>
    </w:tbl>
    <w:p/>
    <w:p>
      <w:pPr>
        <w:pStyle w:val="4"/>
      </w:pPr>
    </w:p>
    <w:p/>
    <w:p>
      <w:pPr>
        <w:pStyle w:val="4"/>
      </w:pPr>
    </w:p>
    <w:p>
      <w:pPr>
        <w:pStyle w:val="4"/>
        <w:ind w:firstLine="0" w:firstLineChars="0"/>
        <w:rPr>
          <w:lang w:val="en-US" w:eastAsia="zh-CN"/>
        </w:rPr>
      </w:pPr>
    </w:p>
    <w:p>
      <w:pPr>
        <w:rPr>
          <w:lang w:val="en-US" w:eastAsia="zh-CN"/>
        </w:rPr>
      </w:pPr>
    </w:p>
    <w:p>
      <w:pPr>
        <w:pStyle w:val="4"/>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default" w:ascii="Times New Roman" w:hAnsi="Times New Roman" w:eastAsia="Arial Unicode MS" w:cs="Times New Roman"/>
          <w:b/>
          <w:spacing w:val="2"/>
          <w:w w:val="99"/>
          <w:sz w:val="52"/>
          <w:szCs w:val="52"/>
          <w:lang w:eastAsia="zh-CN"/>
        </w:rPr>
        <w:drawing>
          <wp:anchor distT="0" distB="0" distL="114300" distR="114300" simplePos="0" relativeHeight="251659264" behindDoc="1" locked="0" layoutInCell="1" allowOverlap="1">
            <wp:simplePos x="0" y="0"/>
            <wp:positionH relativeFrom="column">
              <wp:posOffset>1614805</wp:posOffset>
            </wp:positionH>
            <wp:positionV relativeFrom="paragraph">
              <wp:posOffset>26670</wp:posOffset>
            </wp:positionV>
            <wp:extent cx="1596390" cy="1438275"/>
            <wp:effectExtent l="0" t="0" r="3810" b="9525"/>
            <wp:wrapTight wrapText="bothSides">
              <wp:wrapPolygon>
                <wp:start x="7475" y="0"/>
                <wp:lineTo x="2320" y="4577"/>
                <wp:lineTo x="1031" y="6294"/>
                <wp:lineTo x="0" y="8297"/>
                <wp:lineTo x="0" y="15163"/>
                <wp:lineTo x="1289" y="18310"/>
                <wp:lineTo x="1289" y="18596"/>
                <wp:lineTo x="5155" y="21457"/>
                <wp:lineTo x="5671" y="21457"/>
                <wp:lineTo x="11341" y="21457"/>
                <wp:lineTo x="12115" y="21457"/>
                <wp:lineTo x="15465" y="18882"/>
                <wp:lineTo x="17527" y="14305"/>
                <wp:lineTo x="17527" y="13732"/>
                <wp:lineTo x="21394" y="12016"/>
                <wp:lineTo x="21394" y="8869"/>
                <wp:lineTo x="14950" y="4577"/>
                <wp:lineTo x="9537" y="0"/>
                <wp:lineTo x="7475"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596390" cy="1438275"/>
                    </a:xfrm>
                    <a:prstGeom prst="rect">
                      <a:avLst/>
                    </a:prstGeom>
                    <a:noFill/>
                    <a:ln>
                      <a:noFill/>
                    </a:ln>
                  </pic:spPr>
                </pic:pic>
              </a:graphicData>
            </a:graphic>
          </wp:anchor>
        </w:drawing>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jc w:val="center"/>
        <w:rPr>
          <w:rFonts w:hint="default" w:ascii="Times New Roman" w:hAnsi="Times New Roman" w:eastAsia="微软雅黑" w:cs="Times New Roman"/>
          <w:spacing w:val="2"/>
          <w:w w:val="99"/>
          <w:sz w:val="52"/>
          <w:szCs w:val="52"/>
          <w:lang w:eastAsia="zh-CN"/>
        </w:rPr>
      </w:pPr>
      <w:r>
        <w:rPr>
          <w:rFonts w:hint="default" w:ascii="Times New Roman" w:hAnsi="Times New Roman" w:eastAsia="微软雅黑" w:cs="Times New Roman"/>
          <w:spacing w:val="2"/>
          <w:w w:val="99"/>
          <w:sz w:val="52"/>
          <w:szCs w:val="52"/>
          <w:lang w:eastAsia="zh-CN"/>
        </w:rPr>
        <w:t>中海油能源发展股份有限公司</w:t>
      </w:r>
    </w:p>
    <w:p>
      <w:pPr>
        <w:jc w:val="center"/>
        <w:rPr>
          <w:rFonts w:hint="default" w:ascii="Times New Roman" w:hAnsi="Times New Roman" w:eastAsia="微软雅黑" w:cs="Times New Roman"/>
          <w:b/>
          <w:spacing w:val="2"/>
          <w:w w:val="99"/>
          <w:sz w:val="52"/>
          <w:szCs w:val="52"/>
          <w:lang w:eastAsia="zh-CN"/>
        </w:rPr>
      </w:pPr>
    </w:p>
    <w:p>
      <w:pPr>
        <w:spacing w:line="700" w:lineRule="exact"/>
        <w:jc w:val="center"/>
        <w:rPr>
          <w:rFonts w:hint="default" w:ascii="Times New Roman" w:hAnsi="Times New Roman" w:eastAsia="微软雅黑" w:cs="Times New Roman"/>
          <w:spacing w:val="2"/>
          <w:w w:val="99"/>
          <w:sz w:val="52"/>
          <w:szCs w:val="52"/>
          <w:u w:val="single"/>
          <w:lang w:val="en-US" w:eastAsia="zh-CN"/>
        </w:rPr>
      </w:pPr>
      <w:r>
        <w:rPr>
          <w:rFonts w:hint="default" w:ascii="Times New Roman" w:hAnsi="Times New Roman" w:eastAsia="微软雅黑" w:cs="Times New Roman"/>
          <w:spacing w:val="2"/>
          <w:w w:val="99"/>
          <w:sz w:val="52"/>
          <w:szCs w:val="52"/>
          <w:u w:val="single"/>
          <w:lang w:eastAsia="zh-CN"/>
        </w:rPr>
        <w:t xml:space="preserve"> </w:t>
      </w:r>
      <w:r>
        <w:rPr>
          <w:rFonts w:hint="eastAsia" w:ascii="Times New Roman" w:hAnsi="Times New Roman" w:eastAsia="微软雅黑" w:cs="Times New Roman"/>
          <w:spacing w:val="2"/>
          <w:w w:val="99"/>
          <w:sz w:val="52"/>
          <w:szCs w:val="52"/>
          <w:u w:val="single"/>
          <w:lang w:val="en-US" w:eastAsia="zh-CN"/>
        </w:rPr>
        <w:t>振海六号防台物资</w:t>
      </w:r>
    </w:p>
    <w:p>
      <w:pPr>
        <w:spacing w:line="700" w:lineRule="exact"/>
        <w:jc w:val="center"/>
        <w:rPr>
          <w:rFonts w:hint="default" w:ascii="Times New Roman" w:hAnsi="Times New Roman" w:eastAsia="微软雅黑" w:cs="Times New Roman"/>
          <w:spacing w:val="2"/>
          <w:w w:val="99"/>
          <w:sz w:val="52"/>
          <w:szCs w:val="52"/>
          <w:u w:val="single"/>
          <w:lang w:eastAsia="zh-CN"/>
        </w:rPr>
      </w:pPr>
    </w:p>
    <w:p>
      <w:pPr>
        <w:jc w:val="center"/>
        <w:rPr>
          <w:rFonts w:hint="default" w:ascii="Times New Roman" w:hAnsi="Times New Roman" w:eastAsia="微软雅黑" w:cs="Times New Roman"/>
          <w:b/>
          <w:spacing w:val="2"/>
          <w:w w:val="99"/>
          <w:sz w:val="52"/>
          <w:szCs w:val="52"/>
          <w:lang w:eastAsia="zh-CN"/>
        </w:rPr>
      </w:pPr>
      <w:r>
        <w:rPr>
          <w:rFonts w:hint="default" w:ascii="Times New Roman" w:hAnsi="Times New Roman" w:eastAsia="微软雅黑" w:cs="Times New Roman"/>
          <w:b/>
          <w:spacing w:val="2"/>
          <w:w w:val="99"/>
          <w:sz w:val="52"/>
          <w:szCs w:val="52"/>
          <w:lang w:eastAsia="zh-CN"/>
        </w:rPr>
        <w:t>采购技术要求书</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outlineLvl w:val="0"/>
        <w:rPr>
          <w:rFonts w:hint="eastAsia" w:ascii="微软雅黑" w:hAnsi="微软雅黑" w:eastAsia="微软雅黑" w:cs="微软雅黑"/>
          <w:kern w:val="0"/>
          <w:sz w:val="28"/>
          <w:szCs w:val="28"/>
          <w:lang w:eastAsia="zh-CN"/>
        </w:rPr>
      </w:pPr>
      <w:bookmarkStart w:id="0" w:name="_Toc13248927"/>
      <w:bookmarkStart w:id="1" w:name="_Toc13249324"/>
      <w:bookmarkStart w:id="2" w:name="_Toc13249326"/>
      <w:bookmarkStart w:id="3" w:name="_Toc13248929"/>
      <w:r>
        <w:rPr>
          <w:rFonts w:hint="eastAsia" w:ascii="微软雅黑" w:hAnsi="微软雅黑" w:eastAsia="微软雅黑" w:cs="微软雅黑"/>
          <w:kern w:val="0"/>
          <w:sz w:val="28"/>
          <w:szCs w:val="28"/>
          <w:lang w:eastAsia="zh-CN"/>
        </w:rPr>
        <w:t>一、项目概况及总体要求</w:t>
      </w:r>
      <w:bookmarkEnd w:id="0"/>
      <w:bookmarkEnd w:id="1"/>
    </w:p>
    <w:p>
      <w:pPr>
        <w:pStyle w:val="6"/>
        <w:spacing w:line="360" w:lineRule="auto"/>
        <w:ind w:right="115" w:rightChars="55"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中海油信息科技有限公司上海分公司需采购一套六号海上</w:t>
      </w:r>
      <w:r>
        <w:rPr>
          <w:rFonts w:hint="eastAsia" w:ascii="宋体" w:hAnsi="宋体" w:eastAsia="宋体" w:cs="宋体"/>
          <w:kern w:val="0"/>
        </w:rPr>
        <w:t>平台</w:t>
      </w:r>
      <w:r>
        <w:rPr>
          <w:rFonts w:hint="eastAsia" w:ascii="宋体" w:hAnsi="宋体" w:eastAsia="宋体" w:cs="宋体"/>
          <w:kern w:val="0"/>
          <w:lang w:val="en-US" w:eastAsia="zh-CN"/>
        </w:rPr>
        <w:t>监控系统用于撤台期间监控使用；</w:t>
      </w:r>
    </w:p>
    <w:p>
      <w:pPr>
        <w:pStyle w:val="3"/>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outlineLvl w:val="0"/>
        <w:rPr>
          <w:rFonts w:hint="eastAsia" w:ascii="微软雅黑" w:hAnsi="微软雅黑" w:eastAsia="微软雅黑" w:cs="微软雅黑"/>
          <w:kern w:val="0"/>
          <w:sz w:val="28"/>
          <w:szCs w:val="28"/>
          <w:lang w:eastAsia="zh-CN"/>
        </w:rPr>
      </w:pPr>
      <w:bookmarkStart w:id="4" w:name="_Toc13248928"/>
      <w:bookmarkStart w:id="5" w:name="_Toc13249325"/>
      <w:r>
        <w:rPr>
          <w:rFonts w:hint="eastAsia" w:ascii="微软雅黑" w:hAnsi="微软雅黑" w:eastAsia="微软雅黑" w:cs="微软雅黑"/>
          <w:kern w:val="0"/>
          <w:sz w:val="28"/>
          <w:szCs w:val="28"/>
          <w:lang w:eastAsia="zh-CN"/>
        </w:rPr>
        <w:t>二、需求一览表</w:t>
      </w:r>
      <w:bookmarkEnd w:id="4"/>
      <w:bookmarkEnd w:id="5"/>
    </w:p>
    <w:tbl>
      <w:tblPr>
        <w:tblStyle w:val="11"/>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87"/>
        <w:gridCol w:w="3548"/>
        <w:gridCol w:w="96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Align w:val="center"/>
          </w:tcPr>
          <w:p>
            <w:pPr>
              <w:pStyle w:val="6"/>
              <w:spacing w:line="257" w:lineRule="auto"/>
              <w:ind w:left="0" w:leftChars="0" w:right="115" w:rightChars="55" w:firstLine="0" w:firstLineChars="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序号</w:t>
            </w:r>
          </w:p>
        </w:tc>
        <w:tc>
          <w:tcPr>
            <w:tcW w:w="2287" w:type="dxa"/>
            <w:vAlign w:val="center"/>
          </w:tcPr>
          <w:p>
            <w:pPr>
              <w:pStyle w:val="6"/>
              <w:spacing w:line="257" w:lineRule="auto"/>
              <w:ind w:right="115" w:rightChars="55" w:firstLine="0" w:firstLineChars="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名称</w:t>
            </w:r>
          </w:p>
        </w:tc>
        <w:tc>
          <w:tcPr>
            <w:tcW w:w="3548" w:type="dxa"/>
            <w:vAlign w:val="center"/>
          </w:tcPr>
          <w:p>
            <w:pPr>
              <w:pStyle w:val="6"/>
              <w:spacing w:line="257" w:lineRule="auto"/>
              <w:ind w:right="115" w:rightChars="55" w:firstLine="0" w:firstLineChars="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参数</w:t>
            </w:r>
          </w:p>
        </w:tc>
        <w:tc>
          <w:tcPr>
            <w:tcW w:w="960" w:type="dxa"/>
            <w:vAlign w:val="center"/>
          </w:tcPr>
          <w:p>
            <w:pPr>
              <w:pStyle w:val="6"/>
              <w:spacing w:line="257" w:lineRule="auto"/>
              <w:ind w:left="0" w:leftChars="0" w:right="115" w:rightChars="55" w:firstLine="0" w:firstLineChars="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单位</w:t>
            </w:r>
          </w:p>
        </w:tc>
        <w:tc>
          <w:tcPr>
            <w:tcW w:w="913" w:type="dxa"/>
            <w:vAlign w:val="center"/>
          </w:tcPr>
          <w:p>
            <w:pPr>
              <w:pStyle w:val="6"/>
              <w:spacing w:line="257" w:lineRule="auto"/>
              <w:ind w:left="0" w:leftChars="0" w:right="115" w:rightChars="55" w:firstLine="0" w:firstLineChars="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UPS主机</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双变换在线式设计，输入功率因数校正(PFC)技术,输入功因高达0.99；</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数字化控制,控制系统更加稳定可靠；</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ECO运行模式,高效节能,降低用户使用成本；</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用户可设定充电电流，恒流、恒压和浮充充电模式可自动平滑切换，充电电流可设置；</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宽广的输入电压和输入频率范围，避免频繁地切换至电池供电；</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支持接入燃油发电机稳定工作；</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具有开机自诊断功能；</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具有输出过载、输出短路,逆变器过温、电池欠压预警和电池过充电保护功能,静态电子旁路开关；</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直流启动功能；</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风扇智能调速设计,延长风扇寿命，高效节能；</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LCD/LED双重显示；</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标配EPO远程关机接口；</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标配RS232、USB通讯接口、并机接口；</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额定电压：12V</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额定容量：100Ah</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外形尺寸：407mm（长）*174mm（宽）*236mm（高）</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参考重量：33kg</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电池柜</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尺寸：780mm*880mm*1230mm，含开关</w:t>
            </w:r>
            <w:r>
              <w:rPr>
                <w:rFonts w:hint="eastAsia" w:ascii="宋体" w:hAnsi="宋体" w:eastAsia="宋体" w:cs="宋体"/>
                <w:i w:val="0"/>
                <w:iCs w:val="0"/>
                <w:color w:val="000000"/>
                <w:kern w:val="0"/>
                <w:sz w:val="24"/>
                <w:szCs w:val="24"/>
                <w:u w:val="none"/>
                <w:lang w:val="en-US" w:eastAsia="zh-CN" w:bidi="ar"/>
              </w:rPr>
              <w:t>，可容纳32块标准电池</w:t>
            </w:r>
          </w:p>
        </w:tc>
        <w:tc>
          <w:tcPr>
            <w:tcW w:w="9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电源线</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WDZ-YJV22船舶专用电缆，铜芯软丝线，3*4mm2+1*1.5mm2</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bl>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default" w:ascii="宋体" w:hAnsi="宋体" w:eastAsia="宋体" w:cs="宋体"/>
          <w:spacing w:val="0"/>
          <w:sz w:val="24"/>
          <w:szCs w:val="24"/>
          <w:lang w:val="en-US" w:eastAsia="zh-CN" w:bidi="en-US"/>
        </w:rPr>
      </w:pPr>
      <w:r>
        <w:rPr>
          <w:rFonts w:hint="eastAsia" w:ascii="宋体" w:hAnsi="宋体" w:eastAsia="宋体" w:cs="宋体"/>
          <w:spacing w:val="0"/>
          <w:sz w:val="24"/>
          <w:szCs w:val="24"/>
          <w:lang w:val="en-US" w:eastAsia="zh-CN" w:bidi="en-US"/>
        </w:rPr>
        <w:t>收货联系人及联系方式：刘谦 13636510769</w:t>
      </w:r>
    </w:p>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default" w:ascii="宋体" w:hAnsi="宋体" w:eastAsia="宋体" w:cs="宋体"/>
          <w:spacing w:val="0"/>
          <w:sz w:val="24"/>
          <w:szCs w:val="24"/>
          <w:lang w:val="en-US" w:eastAsia="zh-CN" w:bidi="en-US"/>
        </w:rPr>
      </w:pPr>
      <w:r>
        <w:rPr>
          <w:rFonts w:hint="eastAsia" w:ascii="宋体" w:hAnsi="宋体" w:eastAsia="宋体" w:cs="宋体"/>
          <w:spacing w:val="0"/>
          <w:sz w:val="24"/>
          <w:szCs w:val="24"/>
          <w:lang w:val="en-US" w:eastAsia="zh-CN" w:bidi="en-US"/>
        </w:rPr>
        <w:t>收货地址：上海市长宁区通协路388号中海油大厦B座410</w:t>
      </w:r>
    </w:p>
    <w:p>
      <w:pPr>
        <w:pStyle w:val="24"/>
        <w:snapToGrid w:val="0"/>
        <w:spacing w:line="360" w:lineRule="auto"/>
        <w:ind w:left="0" w:leftChars="0" w:firstLine="0" w:firstLineChars="0"/>
        <w:rPr>
          <w:rFonts w:hint="eastAsia" w:ascii="宋体" w:hAnsi="宋体" w:eastAsia="宋体" w:cs="宋体"/>
          <w:spacing w:val="0"/>
          <w:sz w:val="24"/>
          <w:szCs w:val="24"/>
          <w:lang w:val="en-US" w:eastAsia="zh-CN" w:bidi="en-US"/>
        </w:rPr>
      </w:pPr>
      <w:r>
        <w:rPr>
          <w:rFonts w:hint="eastAsia" w:ascii="宋体" w:hAnsi="宋体" w:eastAsia="宋体" w:cs="宋体"/>
          <w:spacing w:val="0"/>
          <w:sz w:val="24"/>
          <w:szCs w:val="24"/>
          <w:lang w:val="en-US" w:eastAsia="zh-CN" w:bidi="en-US"/>
        </w:rPr>
        <w:t>服务内容：六号海上钻井船安装防台摄像头、UPS蓄电池等配套设施在平台撤台期间为摄像机与网络设备供电，方便陆地可以远程监控平台井架状况。要求：需要厂家安排专业电气工程师上钻井船安装UPS蓄电池等设备（内容包括蓄电池安装、UPS安装连接线缆、电源线铺设、摄像头安装调试等）。中标方在合同签定时需具备五小证等出海证件，费用由卖方承担；</w:t>
      </w:r>
    </w:p>
    <w:p>
      <w:pPr>
        <w:rPr>
          <w:rFonts w:hint="default"/>
          <w:lang w:val="en-US" w:eastAsia="zh-CN"/>
        </w:rPr>
      </w:pPr>
    </w:p>
    <w:p>
      <w:pPr>
        <w:pStyle w:val="3"/>
        <w:keepNext w:val="0"/>
        <w:keepLines w:val="0"/>
        <w:pageBreakBefore w:val="0"/>
        <w:widowControl w:val="0"/>
        <w:numPr>
          <w:ilvl w:val="0"/>
          <w:numId w:val="2"/>
        </w:numPr>
        <w:kinsoku/>
        <w:wordWrap/>
        <w:overflowPunct/>
        <w:topLinePunct w:val="0"/>
        <w:autoSpaceDE/>
        <w:autoSpaceDN/>
        <w:bidi w:val="0"/>
        <w:adjustRightInd/>
        <w:snapToGrid/>
        <w:spacing w:line="480" w:lineRule="atLeast"/>
        <w:ind w:firstLine="0" w:firstLineChars="0"/>
        <w:textAlignment w:val="auto"/>
        <w:outlineLvl w:val="0"/>
        <w:rPr>
          <w:rFonts w:hint="default" w:ascii="宋体" w:hAnsi="宋体" w:eastAsia="宋体" w:cs="宋体"/>
          <w:b/>
          <w:bCs/>
          <w:spacing w:val="0"/>
          <w:sz w:val="21"/>
          <w:szCs w:val="21"/>
          <w:lang w:val="en-US" w:eastAsia="zh-CN" w:bidi="ar-SA"/>
        </w:rPr>
      </w:pPr>
      <w:r>
        <w:rPr>
          <w:rFonts w:hint="eastAsia" w:ascii="微软雅黑" w:hAnsi="微软雅黑" w:eastAsia="微软雅黑" w:cs="微软雅黑"/>
          <w:kern w:val="0"/>
          <w:sz w:val="28"/>
          <w:szCs w:val="28"/>
          <w:lang w:val="en-US" w:eastAsia="zh-CN"/>
        </w:rPr>
        <w:t>技术要求</w:t>
      </w:r>
      <w:bookmarkStart w:id="6" w:name="_Toc25186024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1、UPS主机</w:t>
      </w:r>
    </w:p>
    <w:p>
      <w:pPr>
        <w:spacing w:line="360" w:lineRule="auto"/>
        <w:rPr>
          <w:rFonts w:hint="eastAsia"/>
          <w:b/>
          <w:sz w:val="24"/>
          <w:szCs w:val="24"/>
        </w:rPr>
      </w:pPr>
      <w:r>
        <w:rPr>
          <w:rFonts w:hint="eastAsia"/>
          <w:b/>
          <w:sz w:val="24"/>
          <w:szCs w:val="24"/>
        </w:rPr>
        <w:t>功能特性</w:t>
      </w:r>
    </w:p>
    <w:p>
      <w:pPr>
        <w:spacing w:line="360" w:lineRule="auto"/>
        <w:rPr>
          <w:rFonts w:hint="eastAsia"/>
          <w:sz w:val="24"/>
          <w:szCs w:val="24"/>
        </w:rPr>
      </w:pPr>
      <w:r>
        <w:rPr>
          <w:rFonts w:hint="eastAsia"/>
          <w:sz w:val="24"/>
          <w:szCs w:val="24"/>
        </w:rPr>
        <w:t>双变换在线式设计，输入功率因数校正(PFC)技术,输入功因高达0.99；</w:t>
      </w:r>
    </w:p>
    <w:p>
      <w:pPr>
        <w:spacing w:line="360" w:lineRule="auto"/>
        <w:rPr>
          <w:rFonts w:hint="eastAsia"/>
          <w:sz w:val="24"/>
          <w:szCs w:val="24"/>
        </w:rPr>
      </w:pPr>
      <w:r>
        <w:rPr>
          <w:rFonts w:hint="eastAsia"/>
          <w:sz w:val="24"/>
          <w:szCs w:val="24"/>
        </w:rPr>
        <w:t>数字化控制,控制系统更加稳定可靠；</w:t>
      </w:r>
    </w:p>
    <w:p>
      <w:pPr>
        <w:spacing w:line="360" w:lineRule="auto"/>
        <w:rPr>
          <w:rFonts w:hint="eastAsia"/>
          <w:sz w:val="24"/>
          <w:szCs w:val="24"/>
        </w:rPr>
      </w:pPr>
      <w:r>
        <w:rPr>
          <w:rFonts w:hint="eastAsia"/>
          <w:sz w:val="24"/>
          <w:szCs w:val="24"/>
        </w:rPr>
        <w:t>ECO运行模式,高效节能,降低用户使用成本；</w:t>
      </w:r>
    </w:p>
    <w:p>
      <w:pPr>
        <w:spacing w:line="360" w:lineRule="auto"/>
        <w:rPr>
          <w:rFonts w:hint="eastAsia"/>
          <w:sz w:val="24"/>
          <w:szCs w:val="24"/>
        </w:rPr>
      </w:pPr>
      <w:r>
        <w:rPr>
          <w:rFonts w:hint="eastAsia"/>
          <w:sz w:val="24"/>
          <w:szCs w:val="24"/>
        </w:rPr>
        <w:t>用户可设定充电电流，恒流、恒压和浮充充电模式可自动平滑切换，充电电流可设置；</w:t>
      </w:r>
    </w:p>
    <w:p>
      <w:pPr>
        <w:spacing w:line="360" w:lineRule="auto"/>
        <w:rPr>
          <w:rFonts w:hint="eastAsia"/>
          <w:sz w:val="24"/>
          <w:szCs w:val="24"/>
        </w:rPr>
      </w:pPr>
      <w:r>
        <w:rPr>
          <w:rFonts w:hint="eastAsia"/>
          <w:sz w:val="24"/>
          <w:szCs w:val="24"/>
        </w:rPr>
        <w:t>宽广的输入电压和输入频率范围，避免频繁地切换至电池供电；</w:t>
      </w:r>
    </w:p>
    <w:p>
      <w:pPr>
        <w:spacing w:line="360" w:lineRule="auto"/>
        <w:rPr>
          <w:rFonts w:hint="eastAsia"/>
          <w:sz w:val="24"/>
          <w:szCs w:val="24"/>
        </w:rPr>
      </w:pPr>
      <w:r>
        <w:rPr>
          <w:rFonts w:hint="eastAsia"/>
          <w:sz w:val="24"/>
          <w:szCs w:val="24"/>
        </w:rPr>
        <w:t>支持接入燃油发电机稳定工作；</w:t>
      </w:r>
    </w:p>
    <w:p>
      <w:pPr>
        <w:spacing w:line="360" w:lineRule="auto"/>
        <w:rPr>
          <w:rFonts w:hint="eastAsia"/>
          <w:sz w:val="24"/>
          <w:szCs w:val="24"/>
        </w:rPr>
      </w:pPr>
      <w:r>
        <w:rPr>
          <w:rFonts w:hint="eastAsia"/>
          <w:sz w:val="24"/>
          <w:szCs w:val="24"/>
        </w:rPr>
        <w:t>具有开机自诊断功能；</w:t>
      </w:r>
    </w:p>
    <w:p>
      <w:pPr>
        <w:spacing w:line="360" w:lineRule="auto"/>
        <w:rPr>
          <w:rFonts w:hint="eastAsia"/>
          <w:sz w:val="24"/>
          <w:szCs w:val="24"/>
        </w:rPr>
      </w:pPr>
      <w:r>
        <w:rPr>
          <w:rFonts w:hint="eastAsia"/>
          <w:sz w:val="24"/>
          <w:szCs w:val="24"/>
        </w:rPr>
        <w:t>具有输出过载、输出短路,逆变器过温、电池欠压预警和电池过充电保护功能,静态电子旁路开关；</w:t>
      </w:r>
    </w:p>
    <w:p>
      <w:pPr>
        <w:spacing w:line="360" w:lineRule="auto"/>
        <w:rPr>
          <w:rFonts w:hint="eastAsia"/>
          <w:sz w:val="24"/>
          <w:szCs w:val="24"/>
        </w:rPr>
      </w:pPr>
      <w:r>
        <w:rPr>
          <w:rFonts w:hint="eastAsia"/>
          <w:sz w:val="24"/>
          <w:szCs w:val="24"/>
        </w:rPr>
        <w:t>直流启动功能；</w:t>
      </w:r>
    </w:p>
    <w:p>
      <w:pPr>
        <w:spacing w:line="360" w:lineRule="auto"/>
        <w:rPr>
          <w:rFonts w:hint="eastAsia"/>
          <w:sz w:val="24"/>
          <w:szCs w:val="24"/>
        </w:rPr>
      </w:pPr>
      <w:r>
        <w:rPr>
          <w:rFonts w:hint="eastAsia"/>
          <w:sz w:val="24"/>
          <w:szCs w:val="24"/>
        </w:rPr>
        <w:t>风扇智能调速设计,延长风扇寿命，高效节能；</w:t>
      </w:r>
    </w:p>
    <w:p>
      <w:pPr>
        <w:spacing w:line="360" w:lineRule="auto"/>
        <w:rPr>
          <w:rFonts w:hint="eastAsia"/>
          <w:sz w:val="24"/>
          <w:szCs w:val="24"/>
        </w:rPr>
      </w:pPr>
      <w:r>
        <w:rPr>
          <w:rFonts w:hint="eastAsia"/>
          <w:sz w:val="24"/>
          <w:szCs w:val="24"/>
        </w:rPr>
        <w:t>LCD/LED双重显示；</w:t>
      </w:r>
    </w:p>
    <w:p>
      <w:pPr>
        <w:spacing w:line="360" w:lineRule="auto"/>
        <w:rPr>
          <w:rFonts w:hint="eastAsia"/>
          <w:sz w:val="24"/>
          <w:szCs w:val="24"/>
        </w:rPr>
      </w:pPr>
      <w:r>
        <w:rPr>
          <w:rFonts w:hint="eastAsia"/>
          <w:sz w:val="24"/>
          <w:szCs w:val="24"/>
        </w:rPr>
        <w:t>标配EPO远程关机接口；</w:t>
      </w:r>
    </w:p>
    <w:p>
      <w:pPr>
        <w:spacing w:line="360" w:lineRule="auto"/>
        <w:rPr>
          <w:rFonts w:hint="eastAsia"/>
          <w:sz w:val="24"/>
          <w:szCs w:val="24"/>
        </w:rPr>
      </w:pPr>
      <w:r>
        <w:rPr>
          <w:rFonts w:hint="eastAsia"/>
          <w:sz w:val="24"/>
          <w:szCs w:val="24"/>
        </w:rPr>
        <w:t>标配RS232、USB通讯接口、并机接口；</w:t>
      </w:r>
    </w:p>
    <w:p>
      <w:pPr>
        <w:spacing w:line="360" w:lineRule="auto"/>
        <w:rPr>
          <w:rFonts w:hint="eastAsia"/>
          <w:b/>
          <w:sz w:val="24"/>
          <w:szCs w:val="24"/>
        </w:rPr>
      </w:pPr>
      <w:r>
        <w:rPr>
          <w:rFonts w:hint="eastAsia"/>
          <w:b/>
          <w:sz w:val="24"/>
          <w:szCs w:val="24"/>
        </w:rPr>
        <w:t>技术参数</w:t>
      </w:r>
    </w:p>
    <w:tbl>
      <w:tblPr>
        <w:tblStyle w:val="10"/>
        <w:tblW w:w="8280" w:type="dxa"/>
        <w:tblInd w:w="93" w:type="dxa"/>
        <w:tblLayout w:type="autofit"/>
        <w:tblCellMar>
          <w:top w:w="0" w:type="dxa"/>
          <w:left w:w="108" w:type="dxa"/>
          <w:bottom w:w="0" w:type="dxa"/>
          <w:right w:w="108" w:type="dxa"/>
        </w:tblCellMar>
      </w:tblPr>
      <w:tblGrid>
        <w:gridCol w:w="1490"/>
        <w:gridCol w:w="1360"/>
        <w:gridCol w:w="5430"/>
      </w:tblGrid>
      <w:tr>
        <w:tblPrEx>
          <w:tblCellMar>
            <w:top w:w="0" w:type="dxa"/>
            <w:left w:w="108" w:type="dxa"/>
            <w:bottom w:w="0" w:type="dxa"/>
            <w:right w:w="108" w:type="dxa"/>
          </w:tblCellMar>
        </w:tblPrEx>
        <w:trPr>
          <w:trHeight w:val="227" w:hRule="atLeast"/>
        </w:trPr>
        <w:tc>
          <w:tcPr>
            <w:tcW w:w="2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额定容量</w:t>
            </w:r>
          </w:p>
        </w:tc>
        <w:tc>
          <w:tcPr>
            <w:tcW w:w="54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6KVA</w:t>
            </w:r>
          </w:p>
        </w:tc>
      </w:tr>
      <w:tr>
        <w:tblPrEx>
          <w:tblCellMar>
            <w:top w:w="0" w:type="dxa"/>
            <w:left w:w="108" w:type="dxa"/>
            <w:bottom w:w="0" w:type="dxa"/>
            <w:right w:w="108" w:type="dxa"/>
          </w:tblCellMar>
        </w:tblPrEx>
        <w:trPr>
          <w:trHeight w:val="227" w:hRule="atLeast"/>
        </w:trPr>
        <w:tc>
          <w:tcPr>
            <w:tcW w:w="14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主路输入规格</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额定输入电压</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220V-240V AC</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输入电压范围</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110V-286V AC</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单相三线</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输入频率范围</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40-70Hz</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输入功率因数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≥0.99</w:t>
            </w:r>
          </w:p>
        </w:tc>
      </w:tr>
      <w:tr>
        <w:tblPrEx>
          <w:tblCellMar>
            <w:top w:w="0" w:type="dxa"/>
            <w:left w:w="108" w:type="dxa"/>
            <w:bottom w:w="0" w:type="dxa"/>
            <w:right w:w="108" w:type="dxa"/>
          </w:tblCellMar>
        </w:tblPrEx>
        <w:trPr>
          <w:trHeight w:val="227" w:hRule="atLeast"/>
        </w:trPr>
        <w:tc>
          <w:tcPr>
            <w:tcW w:w="149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旁路输入规格</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额定输入电压</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220V-240V AC</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单相三线</w:t>
            </w:r>
          </w:p>
        </w:tc>
      </w:tr>
      <w:tr>
        <w:tblPrEx>
          <w:tblCellMar>
            <w:top w:w="0" w:type="dxa"/>
            <w:left w:w="108" w:type="dxa"/>
            <w:bottom w:w="0" w:type="dxa"/>
            <w:right w:w="108" w:type="dxa"/>
          </w:tblCellMar>
        </w:tblPrEx>
        <w:trPr>
          <w:trHeight w:val="454"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旁路同步跟踪范围（Hz）</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r>
      <w:tr>
        <w:tblPrEx>
          <w:tblCellMar>
            <w:top w:w="0" w:type="dxa"/>
            <w:left w:w="108" w:type="dxa"/>
            <w:bottom w:w="0" w:type="dxa"/>
            <w:right w:w="108" w:type="dxa"/>
          </w:tblCellMar>
        </w:tblPrEx>
        <w:trPr>
          <w:trHeight w:val="307" w:hRule="atLeast"/>
        </w:trPr>
        <w:tc>
          <w:tcPr>
            <w:tcW w:w="149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输出规格</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电压（Vac）</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220-240V</w:t>
            </w:r>
          </w:p>
        </w:tc>
      </w:tr>
      <w:tr>
        <w:tblPrEx>
          <w:tblCellMar>
            <w:top w:w="0" w:type="dxa"/>
            <w:left w:w="108" w:type="dxa"/>
            <w:bottom w:w="0" w:type="dxa"/>
            <w:right w:w="108" w:type="dxa"/>
          </w:tblCellMar>
        </w:tblPrEx>
        <w:trPr>
          <w:trHeight w:val="680"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频率（Hz）</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市电模式:与输入同步;当市电频率超出最大士10%(可设置士1%、士2%、±4%、±5%)时,输出频率为50/60(±0.1%);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电池模式:50/60(士0.1%)</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波形</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正弦波</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电流峰值比</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3：1</w:t>
            </w:r>
          </w:p>
        </w:tc>
      </w:tr>
      <w:tr>
        <w:tblPrEx>
          <w:tblCellMar>
            <w:top w:w="0" w:type="dxa"/>
            <w:left w:w="108" w:type="dxa"/>
            <w:bottom w:w="0" w:type="dxa"/>
            <w:right w:w="108" w:type="dxa"/>
          </w:tblCellMar>
        </w:tblPrEx>
        <w:trPr>
          <w:trHeight w:val="454"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输出电压谐波（THD）</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&lt;1%(100%线性负载)</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切换时间(ms)</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整机效率</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高达95%</w:t>
            </w:r>
          </w:p>
        </w:tc>
      </w:tr>
      <w:tr>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过载能力</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≤110%,60min;≤125%,10min;≤150% lmin;&gt;150%立即转旁路</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功率因数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0.9</w:t>
            </w:r>
          </w:p>
        </w:tc>
      </w:tr>
      <w:tr>
        <w:trPr>
          <w:trHeight w:val="454" w:hRule="atLeast"/>
        </w:trPr>
        <w:tc>
          <w:tcPr>
            <w:tcW w:w="14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电池</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最大充电电流(A)</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227" w:hRule="atLeast"/>
        </w:trPr>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电池电压(Vdc)</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192-240(16-20节可选)</w:t>
            </w:r>
          </w:p>
        </w:tc>
      </w:tr>
      <w:tr>
        <w:tblPrEx>
          <w:tblCellMar>
            <w:top w:w="0" w:type="dxa"/>
            <w:left w:w="108" w:type="dxa"/>
            <w:bottom w:w="0" w:type="dxa"/>
            <w:right w:w="108" w:type="dxa"/>
          </w:tblCellMar>
        </w:tblPrEx>
        <w:trPr>
          <w:trHeight w:val="227" w:hRule="atLeast"/>
        </w:trPr>
        <w:tc>
          <w:tcPr>
            <w:tcW w:w="149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环境</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工作温度(℃)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0-40</w:t>
            </w:r>
          </w:p>
        </w:tc>
      </w:tr>
      <w:tr>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储存温度(℃)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-25~55(不含电池)</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相对湿度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0-95%(不凝露)</w:t>
            </w:r>
          </w:p>
        </w:tc>
      </w:tr>
      <w:tr>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工作海拔高度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&lt;1500m,超过1500m时降额使用</w:t>
            </w:r>
          </w:p>
        </w:tc>
      </w:tr>
      <w:tr>
        <w:trPr>
          <w:trHeight w:val="454"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噪音(dB)(1米距离)</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≤58</w:t>
            </w:r>
          </w:p>
        </w:tc>
      </w:tr>
      <w:tr>
        <w:trPr>
          <w:trHeight w:val="227" w:hRule="atLeast"/>
        </w:trPr>
        <w:tc>
          <w:tcPr>
            <w:tcW w:w="14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其他功能</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告警功能</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过载、市电异常、UPS故障、电池欠压等多种告警功能</w:t>
            </w:r>
          </w:p>
        </w:tc>
      </w:tr>
      <w:tr>
        <w:trPr>
          <w:trHeight w:val="227" w:hRule="atLeast"/>
        </w:trPr>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保护功能</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短路、过载、过温、电池欠压、输出过欠压、风扇故障告警</w:t>
            </w:r>
          </w:p>
        </w:tc>
      </w:tr>
      <w:tr>
        <w:tblPrEx>
          <w:tblCellMar>
            <w:top w:w="0" w:type="dxa"/>
            <w:left w:w="108" w:type="dxa"/>
            <w:bottom w:w="0" w:type="dxa"/>
            <w:right w:w="108" w:type="dxa"/>
          </w:tblCellMar>
        </w:tblPrEx>
        <w:trPr>
          <w:trHeight w:val="227" w:hRule="atLeast"/>
        </w:trPr>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通信功能</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RS232、USB、EPO接口、并机接口、SNMP(选配)、干接点卡(选配)</w:t>
            </w:r>
          </w:p>
        </w:tc>
      </w:tr>
    </w:tbl>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i w:val="0"/>
          <w:iCs w:val="0"/>
          <w:color w:val="000000"/>
          <w:kern w:val="0"/>
          <w:sz w:val="24"/>
          <w:szCs w:val="24"/>
          <w:u w:val="none"/>
          <w:lang w:val="en-US" w:eastAsia="zh-CN" w:bidi="ar"/>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2、蓄电池</w:t>
      </w:r>
    </w:p>
    <w:p>
      <w:pPr>
        <w:spacing w:line="360" w:lineRule="auto"/>
        <w:rPr>
          <w:rFonts w:hint="eastAsia"/>
          <w:sz w:val="24"/>
          <w:szCs w:val="24"/>
        </w:rPr>
      </w:pPr>
      <w:r>
        <w:rPr>
          <w:rFonts w:hint="eastAsia"/>
          <w:sz w:val="24"/>
          <w:szCs w:val="24"/>
        </w:rPr>
        <w:t>额定电压：12V</w:t>
      </w:r>
    </w:p>
    <w:p>
      <w:pPr>
        <w:spacing w:line="360" w:lineRule="auto"/>
        <w:rPr>
          <w:rFonts w:hint="eastAsia"/>
          <w:sz w:val="24"/>
          <w:szCs w:val="24"/>
        </w:rPr>
      </w:pPr>
      <w:r>
        <w:rPr>
          <w:rFonts w:hint="eastAsia"/>
          <w:sz w:val="24"/>
          <w:szCs w:val="24"/>
        </w:rPr>
        <w:t>额定容量：100Ah</w:t>
      </w:r>
    </w:p>
    <w:p>
      <w:pPr>
        <w:spacing w:line="360" w:lineRule="auto"/>
        <w:rPr>
          <w:rFonts w:hint="eastAsia"/>
          <w:sz w:val="24"/>
          <w:szCs w:val="24"/>
        </w:rPr>
      </w:pPr>
      <w:r>
        <w:rPr>
          <w:rFonts w:hint="eastAsia"/>
          <w:sz w:val="24"/>
          <w:szCs w:val="24"/>
        </w:rPr>
        <w:t>外形尺寸：407mm（长）*174mm（宽）*236mm（高）</w:t>
      </w:r>
    </w:p>
    <w:p>
      <w:pPr>
        <w:spacing w:line="360" w:lineRule="auto"/>
        <w:rPr>
          <w:sz w:val="24"/>
          <w:szCs w:val="24"/>
        </w:rPr>
      </w:pPr>
      <w:r>
        <w:rPr>
          <w:rFonts w:hint="eastAsia"/>
          <w:sz w:val="24"/>
          <w:szCs w:val="24"/>
        </w:rPr>
        <w:t>参考重量：33kg</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default" w:ascii="宋体" w:hAnsi="宋体" w:eastAsia="宋体" w:cs="宋体"/>
          <w:i w:val="0"/>
          <w:iCs w:val="0"/>
          <w:color w:val="000000"/>
          <w:kern w:val="0"/>
          <w:sz w:val="24"/>
          <w:szCs w:val="24"/>
          <w:u w:val="none"/>
          <w:lang w:val="en-US" w:eastAsia="zh-CN" w:bidi="ar"/>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3、电池柜</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240" w:firstLineChars="100"/>
        <w:jc w:val="left"/>
        <w:textAlignment w:val="auto"/>
        <w:rPr>
          <w:rFonts w:hint="default" w:ascii="宋体" w:hAnsi="宋体" w:eastAsia="宋体" w:cs="宋体"/>
          <w:b/>
          <w:bCs/>
          <w:spacing w:val="0"/>
          <w:sz w:val="21"/>
          <w:szCs w:val="21"/>
          <w:lang w:val="en-US" w:eastAsia="zh-CN" w:bidi="ar-SA"/>
        </w:rPr>
      </w:pPr>
      <w:r>
        <w:rPr>
          <w:rFonts w:hint="default" w:ascii="宋体" w:hAnsi="宋体" w:eastAsia="宋体" w:cs="宋体"/>
          <w:i w:val="0"/>
          <w:iCs w:val="0"/>
          <w:color w:val="000000"/>
          <w:kern w:val="0"/>
          <w:sz w:val="24"/>
          <w:szCs w:val="24"/>
          <w:u w:val="none"/>
          <w:lang w:val="en-US" w:eastAsia="zh-CN" w:bidi="ar"/>
        </w:rPr>
        <w:t>规格：A32</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尺寸：780mm*880mm*1230mm，含开关</w:t>
      </w:r>
      <w:r>
        <w:rPr>
          <w:rFonts w:hint="eastAsia" w:ascii="宋体" w:hAnsi="宋体" w:eastAsia="宋体" w:cs="宋体"/>
          <w:i w:val="0"/>
          <w:iCs w:val="0"/>
          <w:color w:val="000000"/>
          <w:kern w:val="0"/>
          <w:sz w:val="24"/>
          <w:szCs w:val="24"/>
          <w:u w:val="none"/>
          <w:lang w:val="en-US" w:eastAsia="zh-CN" w:bidi="ar"/>
        </w:rPr>
        <w:t>，可容纳32块标准电池</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4、电源线</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240" w:firstLineChars="100"/>
        <w:jc w:val="left"/>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WDZ-YJV22船舶专用电缆，铜芯软丝线，3*4mm2+1*1.5mm2</w:t>
      </w:r>
    </w:p>
    <w:bookmarkEnd w:id="6"/>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四、现场验收</w:t>
      </w:r>
    </w:p>
    <w:p>
      <w:pPr>
        <w:pStyle w:val="6"/>
        <w:keepNext w:val="0"/>
        <w:keepLines w:val="0"/>
        <w:pageBreakBefore w:val="0"/>
        <w:widowControl w:val="0"/>
        <w:kinsoku/>
        <w:wordWrap/>
        <w:overflowPunct/>
        <w:topLinePunct w:val="0"/>
        <w:autoSpaceDE/>
        <w:autoSpaceDN/>
        <w:bidi w:val="0"/>
        <w:adjustRightInd/>
        <w:snapToGrid/>
        <w:spacing w:line="360" w:lineRule="auto"/>
        <w:ind w:left="0" w:right="0" w:firstLine="42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1.到货验收：发货前需与收货人沟通收发货事宜并提供验收相关资料。如果未沟通，买方有权拒收货物。</w:t>
      </w:r>
    </w:p>
    <w:p>
      <w:pPr>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五、技术服务与售后服务</w:t>
      </w:r>
    </w:p>
    <w:p>
      <w:pPr>
        <w:pStyle w:val="24"/>
        <w:snapToGrid w:val="0"/>
        <w:spacing w:line="360" w:lineRule="auto"/>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安装、调试指导要求：设备到货后，厂家需提供技术支持，要求：需要厂家安排专业电气工程师上钻井船安装UPS蓄电池等设备（内容包括蓄电池安装、UPS安装连接线缆、电源线铺设、摄像头安装调试等）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2.技术联络与响应：质保期内，如设备发生故障时，投标方需在接到买方通知后，指派技术人员在3天内赶到场解决问题；质保期内投标方提供设备质保内的7*24电话响应服务。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3.中标方在合同签定时需具备五小证等出海证件，费用由卖方承担；</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六、质量保证</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投标方必须取得所投产品发的原厂商授予的合法供货资质。</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投标方须提供原厂商供货证明，保证所提供的产品均由指定制造商生产，产品质量符合国家标准和合同要求，且产品是崭新而从未使用过的原装产品；</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投标方保证全部货物均符合国家有关安全和环保的法律、法规要求，对环境和操作者安全无害；</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须出具厂商提供的售后服务保证书，承诺售后服务由原厂商或由原厂商指定的具备资质的服务商承担。在保修期内，硬件设备出现故障时，投标方须负责进行免费维修、更换故障零部件或整机。投标方保证更换的零部件或整机均是原制造商生产、与所维修设备同型号、同样规格配置的优质产品。如果故障设备维修超过3次（或20天）仍存在问题，招标方有权提出退货，投标方应按照原价给予退货；</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投标方必须严格按照招标书中参数和数量等配置需求的描述投标；</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投标方所选产品必须是原设备厂商的认证产品和原设备厂商的直接组装产品，不能是任何其它组装的产品，应为崭新的且从未使用过的原装产品；</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因设备停产无法实现招标书中描述的设备配置要求，投标方必须在征得招标方同意后，可以提出备选产品及解决方案，但必须满足招标方的整体需求，设备配置不能降低；</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投标方对招标产品描述改变或增加某些配置，必须征得招标方的同意；所有增加的配置如没有附加说明，必须为原厂配套配件；</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投标方提供的技术方案要详细、准确具有可操作性；对维护和技术服务条款要有专门的描述;</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所有硬件设备必须在原厂安装的，直接发货到招标方指定地点，不得出厂后安装和添加配置；</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所有硬件设备必须配置原厂标准服务，详见需求清单备注。所有硬件为一年原厂标准保修服务期限;</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所有硬件设备上安装的软件原则上是在原厂预装的。如原厂没有预装招标书上所要求的的操作系统版本，招标方可以要求供货方在用户现场安装所需的系统软件，安装内容必须符合最终用户的要求；</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方须在合同签订后，接买方通知20个工作日内完成交货，在采办设备时遇到不能及时供货或无法按要求供货时，供货方应在两天之内以邮件等书面方式将原厂不能按时供货的原因（供货方需要提供原厂商的原始通知函件（附日期））通知招标方,并按要求提供解决方案，以便招标方及时作相关变更，否则按延期处理；</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发现设备损坏、数量缺少、设备型号不符合招标要求以及有任何导致设备不能正常使用的等问题，招标方有权追责供货方，要求供货方必须尽快提供解决方案，在15天之内解决问题，最迟不得超过30天，否则按延期供货处理。同时，招标方保留向供货方追索由此而受到的所有损失的权利；</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质保期：质保期为12个月，于安装调试合格之日起开始计算。</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tLeast"/>
        <w:ind w:firstLine="0" w:firstLineChars="0"/>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其他要求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jc w:val="left"/>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付款方式要求：银行电汇；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jc w:val="left"/>
        <w:textAlignment w:val="auto"/>
        <w:outlineLvl w:val="1"/>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付款周期：收到发票后45日内；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jc w:val="left"/>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付款条件：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jc w:val="left"/>
        <w:textAlignment w:val="auto"/>
        <w:outlineLvl w:val="1"/>
        <w:rPr>
          <w:rFonts w:hint="eastAsia" w:ascii="宋体" w:hAnsi="宋体" w:eastAsia="宋体"/>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货到验收合格后</w:t>
      </w:r>
      <w:r>
        <w:rPr>
          <w:rFonts w:hint="eastAsia" w:asciiTheme="minorEastAsia" w:hAnsiTheme="minorEastAsia" w:eastAsiaTheme="minorEastAsia" w:cstheme="minorEastAsia"/>
          <w:sz w:val="21"/>
          <w:szCs w:val="21"/>
          <w:lang w:val="en-US" w:eastAsia="zh-CN"/>
        </w:rPr>
        <w:t>并提供相关支持文件后，接买方通知开具全额13%增值税专用发票，</w:t>
      </w:r>
      <w:r>
        <w:rPr>
          <w:rFonts w:hint="eastAsia" w:ascii="宋体" w:hAnsi="宋体" w:eastAsia="宋体"/>
          <w:lang w:val="en-US" w:eastAsia="zh-CN"/>
        </w:rPr>
        <w:t>收到发票后45天内</w:t>
      </w:r>
      <w:r>
        <w:rPr>
          <w:rFonts w:hint="eastAsia" w:ascii="宋体" w:hAnsi="宋体" w:eastAsia="宋体"/>
          <w:lang w:eastAsia="zh-CN"/>
        </w:rPr>
        <w:t>支付</w:t>
      </w:r>
      <w:r>
        <w:rPr>
          <w:rFonts w:hint="eastAsia" w:ascii="宋体" w:hAnsi="宋体" w:eastAsia="宋体"/>
          <w:lang w:val="en-US" w:eastAsia="zh-CN"/>
        </w:rPr>
        <w:t>合同</w:t>
      </w:r>
      <w:r>
        <w:rPr>
          <w:rFonts w:hint="eastAsia" w:ascii="宋体" w:hAnsi="宋体" w:eastAsia="宋体"/>
          <w:lang w:eastAsia="zh-CN"/>
        </w:rPr>
        <w:t>总额</w:t>
      </w:r>
      <w:r>
        <w:rPr>
          <w:rFonts w:hint="eastAsia" w:ascii="宋体" w:hAnsi="宋体" w:eastAsia="宋体"/>
          <w:lang w:val="en-US" w:eastAsia="zh-CN"/>
        </w:rPr>
        <w:t>70</w:t>
      </w:r>
      <w:r>
        <w:rPr>
          <w:rFonts w:hint="eastAsia" w:ascii="宋体" w:hAnsi="宋体" w:eastAsia="宋体"/>
          <w:lang w:eastAsia="zh-CN"/>
        </w:rPr>
        <w:t>%</w:t>
      </w:r>
      <w:r>
        <w:rPr>
          <w:rFonts w:hint="eastAsia" w:ascii="宋体" w:hAnsi="宋体" w:eastAsia="宋体"/>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textAlignment w:val="auto"/>
        <w:outlineLvl w:val="1"/>
        <w:rPr>
          <w:rFonts w:hint="eastAsia" w:ascii="宋体" w:hAnsi="宋体" w:eastAsia="宋体"/>
          <w:lang w:val="en-US" w:eastAsia="zh-CN"/>
        </w:rPr>
      </w:pPr>
      <w:r>
        <w:rPr>
          <w:rFonts w:hint="eastAsia" w:ascii="宋体" w:hAnsi="宋体" w:eastAsia="宋体"/>
          <w:lang w:val="en-US" w:eastAsia="zh-CN"/>
        </w:rPr>
        <w:t>2）</w:t>
      </w:r>
      <w:r>
        <w:rPr>
          <w:rFonts w:hint="eastAsia" w:ascii="宋体" w:hAnsi="宋体" w:eastAsia="宋体"/>
          <w:lang w:eastAsia="zh-CN"/>
        </w:rPr>
        <w:t>安装调试验收合格</w:t>
      </w:r>
      <w:r>
        <w:rPr>
          <w:rFonts w:hint="eastAsia" w:ascii="宋体" w:hAnsi="宋体" w:eastAsia="宋体"/>
          <w:lang w:val="en-US" w:eastAsia="zh-CN"/>
        </w:rPr>
        <w:t>后并提供相关支持文件后，45天内</w:t>
      </w:r>
      <w:r>
        <w:rPr>
          <w:rFonts w:hint="eastAsia" w:ascii="宋体" w:hAnsi="宋体" w:eastAsia="宋体"/>
          <w:lang w:eastAsia="zh-CN"/>
        </w:rPr>
        <w:t>支付</w:t>
      </w:r>
      <w:r>
        <w:rPr>
          <w:rFonts w:hint="eastAsia" w:ascii="宋体" w:hAnsi="宋体" w:eastAsia="宋体"/>
          <w:lang w:val="en-US" w:eastAsia="zh-CN"/>
        </w:rPr>
        <w:t>合同</w:t>
      </w:r>
      <w:r>
        <w:rPr>
          <w:rFonts w:hint="eastAsia" w:ascii="宋体" w:hAnsi="宋体" w:eastAsia="宋体"/>
          <w:lang w:eastAsia="zh-CN"/>
        </w:rPr>
        <w:t>总额</w:t>
      </w:r>
      <w:r>
        <w:rPr>
          <w:rFonts w:hint="eastAsia" w:ascii="宋体" w:hAnsi="宋体" w:eastAsia="宋体"/>
          <w:lang w:val="en-US" w:eastAsia="zh-CN"/>
        </w:rPr>
        <w:t>2</w:t>
      </w:r>
      <w:r>
        <w:rPr>
          <w:rFonts w:ascii="宋体" w:hAnsi="宋体" w:eastAsia="宋体"/>
          <w:lang w:eastAsia="zh-CN"/>
        </w:rPr>
        <w:t>5</w:t>
      </w:r>
      <w:r>
        <w:rPr>
          <w:rFonts w:hint="eastAsia" w:ascii="宋体" w:hAnsi="宋体" w:eastAsia="宋体"/>
          <w:lang w:eastAsia="zh-CN"/>
        </w:rPr>
        <w:t>%</w:t>
      </w:r>
      <w:r>
        <w:rPr>
          <w:rFonts w:hint="eastAsia" w:ascii="宋体" w:hAnsi="宋体" w:eastAsia="宋体"/>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lang w:val="en-US" w:eastAsia="zh-CN"/>
        </w:rPr>
        <w:t>3）</w:t>
      </w:r>
      <w:r>
        <w:rPr>
          <w:rFonts w:hint="eastAsia" w:ascii="宋体" w:hAnsi="宋体" w:eastAsia="宋体"/>
          <w:lang w:eastAsia="zh-CN"/>
        </w:rPr>
        <w:t>5%作为质保，于</w:t>
      </w:r>
      <w:r>
        <w:rPr>
          <w:rFonts w:hint="eastAsia" w:ascii="宋体" w:hAnsi="宋体" w:eastAsia="宋体"/>
          <w:lang w:val="en-US" w:eastAsia="zh-CN"/>
        </w:rPr>
        <w:t>质保期结束</w:t>
      </w:r>
      <w:r>
        <w:rPr>
          <w:rFonts w:hint="eastAsia" w:ascii="宋体" w:hAnsi="宋体" w:eastAsia="宋体"/>
          <w:lang w:eastAsia="zh-CN"/>
        </w:rPr>
        <w:t>后，</w:t>
      </w:r>
      <w:r>
        <w:rPr>
          <w:rFonts w:hint="eastAsia" w:ascii="宋体" w:hAnsi="宋体" w:eastAsia="宋体"/>
          <w:lang w:val="en-US" w:eastAsia="zh-CN"/>
        </w:rPr>
        <w:t>接卖方付款申请并确认无质量问题后，45天内</w:t>
      </w:r>
      <w:r>
        <w:rPr>
          <w:rFonts w:hint="eastAsia" w:ascii="宋体" w:hAnsi="宋体" w:eastAsia="宋体"/>
          <w:lang w:eastAsia="zh-CN"/>
        </w:rPr>
        <w:t>支付</w:t>
      </w:r>
      <w:r>
        <w:rPr>
          <w:rFonts w:hint="eastAsia" w:asciiTheme="minorEastAsia" w:hAnsiTheme="minorEastAsia" w:eastAsiaTheme="minorEastAsia" w:cstheme="minorEastAsia"/>
          <w:sz w:val="21"/>
          <w:szCs w:val="21"/>
          <w:lang w:val="en-US" w:eastAsia="zh-CN"/>
        </w:rPr>
        <w:t>。</w:t>
      </w:r>
      <w:bookmarkEnd w:id="2"/>
      <w:bookmarkEnd w:id="3"/>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
      <w:pPr>
        <w:pStyle w:val="6"/>
        <w:ind w:left="0"/>
        <w:rPr>
          <w:rFonts w:hint="default" w:eastAsia="宋体"/>
          <w:sz w:val="28"/>
          <w:szCs w:val="28"/>
          <w:lang w:val="en-US" w:eastAsia="zh-CN"/>
        </w:rPr>
      </w:pPr>
      <w:r>
        <w:rPr>
          <w:rFonts w:hint="eastAsia"/>
          <w:sz w:val="28"/>
          <w:szCs w:val="28"/>
          <w:lang w:val="en-US" w:eastAsia="zh-CN"/>
        </w:rPr>
        <w:t>详见附件</w:t>
      </w: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1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17"/>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17"/>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4"/>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4"/>
        <w:rPr>
          <w:rFonts w:asciiTheme="minorEastAsia" w:hAnsiTheme="minorEastAsia"/>
          <w:sz w:val="24"/>
          <w:szCs w:val="24"/>
        </w:rPr>
      </w:pPr>
    </w:p>
    <w:tbl>
      <w:tblPr>
        <w:tblStyle w:val="1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6"/>
        <w:ind w:left="0" w:leftChars="0" w:firstLine="0" w:firstLineChars="0"/>
        <w:rPr>
          <w:rFonts w:hint="eastAsia" w:ascii="宋体" w:hAnsi="宋体" w:cs="宋体"/>
          <w:sz w:val="20"/>
          <w:szCs w:val="20"/>
          <w:lang w:eastAsia="zh-CN"/>
        </w:rPr>
      </w:pPr>
    </w:p>
    <w:p>
      <w:pPr>
        <w:pStyle w:val="4"/>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18"/>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18"/>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6"/>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4"/>
        <w:rPr>
          <w:rFonts w:ascii="微软雅黑" w:hAnsi="微软雅黑" w:eastAsia="微软雅黑"/>
          <w:b/>
          <w:spacing w:val="2"/>
          <w:sz w:val="32"/>
          <w:szCs w:val="32"/>
        </w:rPr>
      </w:pPr>
    </w:p>
    <w:p>
      <w:pPr>
        <w:pStyle w:val="4"/>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1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1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6"/>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1"/>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6"/>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6"/>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6"/>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16"/>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16"/>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p>
    <w:p>
      <w:pPr>
        <w:pStyle w:val="16"/>
        <w:adjustRightInd/>
        <w:jc w:val="center"/>
        <w:rPr>
          <w:rFonts w:hAnsi="宋体"/>
          <w:b/>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需求一览表</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技术要求</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现场验收</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r>
              <w:rPr>
                <w:rFonts w:hint="default" w:ascii="宋体" w:hAnsi="宋体" w:eastAsiaTheme="minorEastAsia" w:cstheme="minorBidi"/>
                <w:color w:val="000000"/>
                <w:kern w:val="2"/>
                <w:sz w:val="18"/>
                <w:szCs w:val="18"/>
                <w:highlight w:val="none"/>
                <w:lang w:val="en-US" w:eastAsia="zh-CN" w:bidi="ar-SA"/>
              </w:rPr>
              <w:t>技术服务与售后服务</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宋体" w:cs="宋体"/>
                <w:bCs/>
                <w:color w:val="auto"/>
                <w:sz w:val="18"/>
                <w:szCs w:val="18"/>
                <w:lang w:val="en-US" w:eastAsia="zh-CN"/>
              </w:rPr>
              <w:t>质量保证</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r>
              <w:rPr>
                <w:rFonts w:hint="eastAsia" w:ascii="宋体" w:hAnsi="宋体" w:eastAsia="宋体" w:cs="宋体"/>
                <w:color w:val="000000"/>
                <w:kern w:val="2"/>
                <w:sz w:val="18"/>
                <w:szCs w:val="18"/>
                <w:lang w:val="en-US" w:eastAsia="zh-CN" w:bidi="ar-SA"/>
              </w:rPr>
              <w:t>以及询价文件附件2技术要求中其他要求。</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none"/>
                <w:lang w:val="en-US" w:eastAsia="zh-CN" w:bidi="ar-SA"/>
              </w:rPr>
              <w:t>7</w:t>
            </w:r>
          </w:p>
        </w:tc>
        <w:tc>
          <w:tcPr>
            <w:tcW w:w="3969" w:type="dxa"/>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r>
              <w:rPr>
                <w:rFonts w:hint="eastAsia" w:ascii="宋体" w:hAnsi="宋体" w:eastAsia="宋体" w:cs="宋体"/>
                <w:color w:val="000000"/>
                <w:kern w:val="2"/>
                <w:sz w:val="18"/>
                <w:szCs w:val="18"/>
                <w:lang w:val="en-US" w:eastAsia="zh-CN" w:bidi="ar-SA"/>
              </w:rPr>
              <w:t>........</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4"/>
        <w:ind w:firstLine="0" w:firstLineChars="0"/>
        <w:rPr>
          <w:lang w:val="en-US" w:eastAsia="zh-CN"/>
        </w:rPr>
      </w:pPr>
    </w:p>
    <w:p>
      <w:pPr>
        <w:pStyle w:val="4"/>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15"/>
        <w:spacing w:line="360" w:lineRule="auto"/>
        <w:ind w:firstLine="0"/>
        <w:jc w:val="center"/>
        <w:rPr>
          <w:rFonts w:hint="eastAsia"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1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sz w:val="21"/>
          <w:szCs w:val="21"/>
          <w:lang w:eastAsia="zh-CN"/>
        </w:rPr>
        <w:t>振海六号防台物资</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0"/>
        <w:tblpPr w:leftFromText="180" w:rightFromText="180" w:vertAnchor="text" w:horzAnchor="page" w:tblpXSpec="center" w:tblpY="183"/>
        <w:tblOverlap w:val="never"/>
        <w:tblW w:w="10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1054"/>
        <w:gridCol w:w="2484"/>
        <w:gridCol w:w="469"/>
        <w:gridCol w:w="675"/>
        <w:gridCol w:w="600"/>
        <w:gridCol w:w="1190"/>
        <w:gridCol w:w="1247"/>
        <w:gridCol w:w="1013"/>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货物名称</w:t>
            </w:r>
          </w:p>
        </w:tc>
        <w:tc>
          <w:tcPr>
            <w:tcW w:w="24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型号</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税率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不含税单价（元）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不含税总价（元）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含税总价（元）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05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UPS主机</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双变换在线式设计，输入功率因数校正(PFC)技术,输入功因高达0.99；</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数字化控制,控制系统更加稳定可靠；</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ECO运行模式,高效节能,降低用户使用成本；</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用户可设定充电电流，恒流、恒压和浮充充电模式可自动平滑切换，充电电流可设置；</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宽广的输入电压和输入频率范围，避免频繁地切换至电池供电；</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支持接入燃油发电机稳定工作；</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具有开机自诊断功能；</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具有输出过载、输出短路,逆变器过温、电池欠压预警和电池过充电保护功能,静态电子旁路开关；</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直流启动功能；</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风扇智能调速设计,延长风扇寿命，高效节能；</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LCD/LED双重显示；</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标配EPO远程关机接口；</w:t>
            </w:r>
          </w:p>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default" w:ascii="宋体" w:hAnsi="宋体" w:eastAsia="宋体" w:cs="宋体"/>
                <w:i w:val="0"/>
                <w:iCs w:val="0"/>
                <w:color w:val="000000"/>
                <w:kern w:val="0"/>
                <w:sz w:val="18"/>
                <w:szCs w:val="18"/>
                <w:u w:val="none"/>
                <w:lang w:val="en-US" w:eastAsia="zh-CN" w:bidi="ar"/>
              </w:rPr>
              <w:t>标配RS232、USB通讯接口、并机接口；</w:t>
            </w:r>
          </w:p>
        </w:tc>
        <w:tc>
          <w:tcPr>
            <w:tcW w:w="4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21" w:type="dxa"/>
            <w:vMerge w:val="restart"/>
            <w:tcBorders>
              <w:top w:val="single" w:color="000000" w:sz="4" w:space="0"/>
              <w:left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服务内容：六号海上钻井船安装防台摄像头、UPS蓄电池等配套设施在平台撤台期间为摄像机与网络设备供电，方便陆地可以远程监控平台井架状况。要求：需要厂家安排专业电气工程师上钻井船安装UPS蓄电池等设备（内容包括蓄电池安装、UPS安装连接线缆、电源线铺设、摄像头安装调试等）</w:t>
            </w:r>
            <w:r>
              <w:rPr>
                <w:rFonts w:hint="eastAsia" w:ascii="宋体" w:hAnsi="宋体" w:cs="宋体"/>
                <w:b w:val="0"/>
                <w:bCs w:val="0"/>
                <w:i w:val="0"/>
                <w:iCs w:val="0"/>
                <w:color w:val="000000" w:themeColor="text1"/>
                <w:sz w:val="18"/>
                <w:szCs w:val="18"/>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卖方在合同签定时需具备五小证等出海证件，费用由卖方承担。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pacing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5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蓄电池</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额定电压：12V</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额定容量：100Ah</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外形尺寸：407mm（长）*174mm（宽）*236mm（高）</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参考重量：33kg</w:t>
            </w:r>
          </w:p>
        </w:tc>
        <w:tc>
          <w:tcPr>
            <w:tcW w:w="4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21" w:type="dxa"/>
            <w:vMerge w:val="continue"/>
            <w:tcBorders>
              <w:left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pacing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5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电池柜</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尺寸：780mm*880mm*1230mm，含开关</w:t>
            </w:r>
            <w:r>
              <w:rPr>
                <w:rFonts w:hint="eastAsia" w:ascii="宋体" w:hAnsi="宋体" w:eastAsia="宋体" w:cs="宋体"/>
                <w:i w:val="0"/>
                <w:iCs w:val="0"/>
                <w:color w:val="000000"/>
                <w:kern w:val="0"/>
                <w:sz w:val="18"/>
                <w:szCs w:val="18"/>
                <w:u w:val="none"/>
                <w:lang w:val="en-US" w:eastAsia="zh-CN" w:bidi="ar"/>
              </w:rPr>
              <w:t>，可容纳32块标准电池</w:t>
            </w:r>
          </w:p>
        </w:tc>
        <w:tc>
          <w:tcPr>
            <w:tcW w:w="4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21" w:type="dxa"/>
            <w:vMerge w:val="continue"/>
            <w:tcBorders>
              <w:left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pacing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5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电源线</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WDZ-YJV22船舶专用电缆，铜芯软丝线，3*4mm2+1*1.5mm2</w:t>
            </w:r>
            <w:bookmarkStart w:id="7" w:name="_GoBack"/>
            <w:bookmarkEnd w:id="7"/>
          </w:p>
        </w:tc>
        <w:tc>
          <w:tcPr>
            <w:tcW w:w="4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21" w:type="dxa"/>
            <w:vMerge w:val="continue"/>
            <w:tcBorders>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56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总计：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2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不含增值税总价（大写人民币）：***********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02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含增值税总价（大写人民币）：**************</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合同签订后，接买方通知20个工作日内完成交货，在采办设备时遇到不能及时供货或无法按要求供货时，卖方应在两天之内以邮件等书面方式将原厂不能按时供货的原因（卖方需要提供原厂商的原始通知函件（附日期））通知买方,并按要求提供解决方案，以便买方及时作相关变更，否则按延期处理</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default" w:eastAsia="宋体"/>
          <w:lang w:val="en-US" w:eastAsia="zh-CN"/>
        </w:rPr>
      </w:pPr>
      <w:r>
        <w:rPr>
          <w:rFonts w:hint="eastAsia" w:asciiTheme="minorEastAsia" w:hAnsiTheme="minorEastAsia"/>
          <w:color w:val="000000" w:themeColor="text1"/>
          <w:sz w:val="21"/>
          <w:szCs w:val="21"/>
          <w:highlight w:val="none"/>
          <w:lang w:val="en-US" w:eastAsia="zh-CN"/>
          <w14:textFill>
            <w14:solidFill>
              <w14:schemeClr w14:val="tx1"/>
            </w14:solidFill>
          </w14:textFill>
        </w:rPr>
        <w:t xml:space="preserve">  </w:t>
      </w:r>
      <w:r>
        <w:rPr>
          <w:rFonts w:hint="eastAsia" w:ascii="宋体" w:hAnsi="宋体"/>
          <w:sz w:val="21"/>
          <w:szCs w:val="21"/>
          <w:lang w:val="en-US" w:eastAsia="zh-CN"/>
        </w:rPr>
        <w:t>交货地点：上海市长宁区通协路388号中海油大厦B座410。</w:t>
      </w:r>
      <w:r>
        <w:rPr>
          <w:rFonts w:hint="eastAsia" w:ascii="宋体" w:hAnsi="宋体"/>
          <w:sz w:val="21"/>
          <w:szCs w:val="21"/>
        </w:rPr>
        <w:t>（请应答人响应）</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5"/>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5"/>
        <w:spacing w:line="276" w:lineRule="auto"/>
        <w:ind w:firstLine="0"/>
        <w:jc w:val="lef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可接受付款方式：（请应答人响应）</w:t>
      </w:r>
    </w:p>
    <w:p>
      <w:pPr>
        <w:pStyle w:val="15"/>
        <w:spacing w:line="276" w:lineRule="auto"/>
        <w:ind w:firstLine="0"/>
        <w:jc w:val="left"/>
        <w:rPr>
          <w:rFonts w:hint="eastAsia" w:ascii="宋体" w:hAnsi="宋体"/>
          <w:sz w:val="21"/>
          <w:szCs w:val="21"/>
          <w:lang w:val="en-US" w:eastAsia="zh-CN"/>
        </w:rPr>
      </w:pPr>
      <w:r>
        <w:rPr>
          <w:rFonts w:hint="eastAsia" w:ascii="宋体" w:hAnsi="宋体"/>
          <w:sz w:val="21"/>
          <w:szCs w:val="21"/>
          <w:lang w:val="en-US" w:eastAsia="zh-CN"/>
        </w:rPr>
        <w:t>(1)卖方在合同规定的期限内将全部货物运至交货地点，经买方验收合格后收到相关支持文件后，接买方通知开具全额13%增值税专用发票，收到发票后45日内支付合同总额70%。如付款到期日非为银行工作日，则付款到期日顺延至下一个银行工作日。</w:t>
      </w:r>
    </w:p>
    <w:p>
      <w:pPr>
        <w:pStyle w:val="15"/>
        <w:spacing w:line="276" w:lineRule="auto"/>
        <w:ind w:firstLine="0"/>
        <w:jc w:val="left"/>
        <w:rPr>
          <w:rFonts w:hint="eastAsia" w:ascii="宋体" w:hAnsi="宋体"/>
          <w:sz w:val="21"/>
          <w:szCs w:val="21"/>
          <w:lang w:val="en-US" w:eastAsia="zh-CN"/>
        </w:rPr>
      </w:pPr>
      <w:r>
        <w:rPr>
          <w:rFonts w:hint="eastAsia" w:ascii="宋体" w:hAnsi="宋体"/>
          <w:sz w:val="21"/>
          <w:szCs w:val="21"/>
          <w:lang w:val="en-US" w:eastAsia="zh-CN"/>
        </w:rPr>
        <w:t>（2）安装调试验收合格后并提供相关支持文件，买方收到相关支持文件后45日内支付合同总价的25%。如付款到期日非为银行工作日，则付款到期日顺延至下一个银行工作日。</w:t>
      </w:r>
    </w:p>
    <w:p>
      <w:pPr>
        <w:pStyle w:val="15"/>
        <w:spacing w:line="276" w:lineRule="auto"/>
        <w:ind w:firstLine="0"/>
        <w:jc w:val="left"/>
        <w:rPr>
          <w:rFonts w:hint="eastAsia" w:ascii="宋体" w:hAnsi="宋体"/>
          <w:sz w:val="21"/>
          <w:szCs w:val="21"/>
        </w:rPr>
      </w:pPr>
      <w:r>
        <w:rPr>
          <w:rFonts w:hint="eastAsia" w:ascii="宋体" w:hAnsi="宋体"/>
          <w:sz w:val="21"/>
          <w:szCs w:val="21"/>
          <w:lang w:val="en-US" w:eastAsia="zh-CN"/>
        </w:rPr>
        <w:t>（3）合同总价的5%作为质保金，于质保期结束后，接卖方付款申请并确认无质量问题后，经确认无误后45日内买方支付该等质保金。如付款到期日非为银行工作日，则付款到期日顺延至下一个银行工作日。</w:t>
      </w:r>
    </w:p>
    <w:p>
      <w:pPr>
        <w:snapToGrid w:val="0"/>
        <w:spacing w:line="276" w:lineRule="auto"/>
        <w:rPr>
          <w:rFonts w:ascii="Calibri" w:hAnsi="Calibri"/>
          <w:b/>
          <w:color w:val="FF0000"/>
          <w:sz w:val="21"/>
          <w:szCs w:val="21"/>
        </w:rPr>
      </w:pPr>
      <w:r>
        <w:rPr>
          <w:rFonts w:hint="eastAsia" w:ascii="宋体" w:hAnsi="宋体"/>
          <w:b w:val="0"/>
          <w:bCs/>
          <w:color w:val="auto"/>
          <w:sz w:val="21"/>
          <w:szCs w:val="21"/>
          <w:lang w:val="en-US" w:eastAsia="zh-CN"/>
        </w:rPr>
        <w:t>6、</w:t>
      </w:r>
      <w:r>
        <w:rPr>
          <w:rFonts w:hint="eastAsia" w:ascii="宋体" w:hAnsi="宋体"/>
          <w:b/>
          <w:color w:val="FF0000"/>
          <w:sz w:val="21"/>
          <w:szCs w:val="21"/>
        </w:rPr>
        <w:t>请以不含税单价计算不含税总价和含税总价。</w:t>
      </w:r>
    </w:p>
    <w:p>
      <w:pPr>
        <w:pStyle w:val="15"/>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b/>
          <w:sz w:val="21"/>
          <w:szCs w:val="21"/>
        </w:rPr>
        <w:t>“含税总价”计算公式：含税总价 = 不含税单价</w:t>
      </w:r>
      <w:r>
        <w:rPr>
          <w:rFonts w:hint="eastAsia" w:ascii="宋体" w:hAnsi="宋体"/>
          <w:b/>
          <w:color w:val="FF0000"/>
          <w:sz w:val="21"/>
          <w:szCs w:val="21"/>
        </w:rPr>
        <w:t>（请确保采办系统上填写的不含税单价与系统挂接的纸质报价上的不含税单价需一致，若不一致，</w:t>
      </w:r>
      <w:r>
        <w:rPr>
          <w:rFonts w:hint="eastAsia" w:ascii="宋体" w:hAnsi="宋体"/>
          <w:b/>
          <w:color w:val="FF0000"/>
          <w:sz w:val="21"/>
          <w:szCs w:val="21"/>
          <w:lang w:val="en-US" w:eastAsia="zh-CN"/>
        </w:rPr>
        <w:t>以</w:t>
      </w:r>
      <w:r>
        <w:rPr>
          <w:rFonts w:hint="eastAsia" w:ascii="宋体" w:hAnsi="宋体" w:eastAsia="宋体" w:cs="宋体"/>
          <w:b/>
          <w:color w:val="FF0000"/>
          <w:kern w:val="0"/>
          <w:sz w:val="21"/>
          <w:szCs w:val="21"/>
          <w:highlight w:val="none"/>
        </w:rPr>
        <w:t>采办业务系统中挂接的PDF报价文件</w:t>
      </w:r>
      <w:r>
        <w:rPr>
          <w:rFonts w:hint="eastAsia" w:ascii="宋体" w:hAnsi="宋体" w:eastAsia="宋体"/>
          <w:b/>
          <w:color w:val="FF0000"/>
          <w:sz w:val="21"/>
          <w:szCs w:val="21"/>
          <w:lang w:val="en-US" w:eastAsia="zh-CN"/>
        </w:rPr>
        <w:t>中</w:t>
      </w:r>
      <w:r>
        <w:rPr>
          <w:rFonts w:hint="eastAsia" w:ascii="宋体" w:hAnsi="宋体"/>
          <w:b/>
          <w:color w:val="FF0000"/>
          <w:sz w:val="21"/>
          <w:szCs w:val="21"/>
        </w:rPr>
        <w:t>的不含税单价为准。）</w:t>
      </w:r>
      <w:r>
        <w:rPr>
          <w:rFonts w:hint="eastAsia" w:ascii="宋体" w:hAnsi="宋体"/>
          <w:b/>
          <w:sz w:val="21"/>
          <w:szCs w:val="21"/>
        </w:rPr>
        <w:t>×数量×1.</w:t>
      </w:r>
      <w:r>
        <w:rPr>
          <w:rFonts w:hint="eastAsia" w:ascii="宋体" w:hAnsi="宋体"/>
          <w:b/>
          <w:sz w:val="21"/>
          <w:szCs w:val="21"/>
          <w:lang w:val="en-US" w:eastAsia="zh-CN"/>
        </w:rPr>
        <w:t>13</w:t>
      </w:r>
      <w:r>
        <w:rPr>
          <w:rFonts w:hint="eastAsia" w:ascii="宋体" w:hAnsi="宋体"/>
          <w:b/>
          <w:sz w:val="21"/>
          <w:szCs w:val="21"/>
        </w:rPr>
        <w:t>。</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1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5"/>
        <w:spacing w:line="360" w:lineRule="auto"/>
        <w:ind w:right="840" w:firstLine="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auto"/>
          <w:sz w:val="21"/>
          <w:szCs w:val="21"/>
          <w:highlight w:val="none"/>
          <w:lang w:eastAsia="zh-CN"/>
        </w:rPr>
        <w:t>法定代表人（单位负责人）或其委托代理人签字：</w:t>
      </w:r>
    </w:p>
    <w:p>
      <w:pPr>
        <w:pStyle w:val="1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CED64"/>
    <w:multiLevelType w:val="singleLevel"/>
    <w:tmpl w:val="104CED64"/>
    <w:lvl w:ilvl="0" w:tentative="0">
      <w:start w:val="1"/>
      <w:numFmt w:val="decimal"/>
      <w:lvlText w:val="%1."/>
      <w:lvlJc w:val="left"/>
      <w:pPr>
        <w:tabs>
          <w:tab w:val="left" w:pos="312"/>
        </w:tabs>
      </w:pPr>
    </w:lvl>
  </w:abstractNum>
  <w:abstractNum w:abstractNumId="1">
    <w:nsid w:val="18324A0E"/>
    <w:multiLevelType w:val="singleLevel"/>
    <w:tmpl w:val="18324A0E"/>
    <w:lvl w:ilvl="0" w:tentative="0">
      <w:start w:val="1"/>
      <w:numFmt w:val="decimal"/>
      <w:suff w:val="nothing"/>
      <w:lvlText w:val="%1、"/>
      <w:lvlJc w:val="left"/>
    </w:lvl>
  </w:abstractNum>
  <w:abstractNum w:abstractNumId="2">
    <w:nsid w:val="1DA15D88"/>
    <w:multiLevelType w:val="singleLevel"/>
    <w:tmpl w:val="1DA15D88"/>
    <w:lvl w:ilvl="0" w:tentative="0">
      <w:start w:val="1"/>
      <w:numFmt w:val="decimal"/>
      <w:suff w:val="nothing"/>
      <w:lvlText w:val="%1．"/>
      <w:lvlJc w:val="left"/>
      <w:pPr>
        <w:ind w:left="0" w:firstLine="400"/>
      </w:pPr>
      <w:rPr>
        <w:rFonts w:hint="default"/>
      </w:rPr>
    </w:lvl>
  </w:abstractNum>
  <w:abstractNum w:abstractNumId="3">
    <w:nsid w:val="40B6C9A8"/>
    <w:multiLevelType w:val="singleLevel"/>
    <w:tmpl w:val="40B6C9A8"/>
    <w:lvl w:ilvl="0" w:tentative="0">
      <w:start w:val="1"/>
      <w:numFmt w:val="decimal"/>
      <w:suff w:val="nothing"/>
      <w:lvlText w:val="%1、"/>
      <w:lvlJc w:val="left"/>
    </w:lvl>
  </w:abstractNum>
  <w:abstractNum w:abstractNumId="4">
    <w:nsid w:val="61694D6C"/>
    <w:multiLevelType w:val="singleLevel"/>
    <w:tmpl w:val="61694D6C"/>
    <w:lvl w:ilvl="0" w:tentative="0">
      <w:start w:val="1"/>
      <w:numFmt w:val="decimal"/>
      <w:suff w:val="nothing"/>
      <w:lvlText w:val="%1、"/>
      <w:lvlJc w:val="left"/>
    </w:lvl>
  </w:abstractNum>
  <w:abstractNum w:abstractNumId="5">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A4E7FCC"/>
    <w:multiLevelType w:val="singleLevel"/>
    <w:tmpl w:val="7A4E7FCC"/>
    <w:lvl w:ilvl="0" w:tentative="0">
      <w:start w:val="3"/>
      <w:numFmt w:val="chineseCounting"/>
      <w:suff w:val="nothing"/>
      <w:lvlText w:val="%1、"/>
      <w:lvlJc w:val="left"/>
      <w:rPr>
        <w:rFonts w:hint="eastAsia"/>
      </w:rPr>
    </w:lvl>
  </w:abstractNum>
  <w:abstractNum w:abstractNumId="7">
    <w:nsid w:val="7E660E4D"/>
    <w:multiLevelType w:val="singleLevel"/>
    <w:tmpl w:val="7E660E4D"/>
    <w:lvl w:ilvl="0" w:tentative="0">
      <w:start w:val="7"/>
      <w:numFmt w:val="chineseCounting"/>
      <w:suff w:val="nothing"/>
      <w:lvlText w:val="%1、"/>
      <w:lvlJc w:val="left"/>
      <w:rPr>
        <w:rFonts w:hint="eastAsia"/>
      </w:rPr>
    </w:lvl>
  </w:abstractNum>
  <w:num w:numId="1">
    <w:abstractNumId w:val="0"/>
  </w:num>
  <w:num w:numId="2">
    <w:abstractNumId w:val="6"/>
  </w:num>
  <w:num w:numId="3">
    <w:abstractNumId w:val="2"/>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6246A"/>
    <w:rsid w:val="00762B36"/>
    <w:rsid w:val="03AF786B"/>
    <w:rsid w:val="0D914B32"/>
    <w:rsid w:val="0FEE2832"/>
    <w:rsid w:val="107A4B9C"/>
    <w:rsid w:val="1097128D"/>
    <w:rsid w:val="11154812"/>
    <w:rsid w:val="12522CD2"/>
    <w:rsid w:val="1716246A"/>
    <w:rsid w:val="19E954D2"/>
    <w:rsid w:val="1A435AC4"/>
    <w:rsid w:val="1F102085"/>
    <w:rsid w:val="1FE6673A"/>
    <w:rsid w:val="237452AB"/>
    <w:rsid w:val="256F3379"/>
    <w:rsid w:val="28D66B8D"/>
    <w:rsid w:val="33051DC0"/>
    <w:rsid w:val="33302612"/>
    <w:rsid w:val="35720A87"/>
    <w:rsid w:val="363B3D03"/>
    <w:rsid w:val="377B3594"/>
    <w:rsid w:val="3828435B"/>
    <w:rsid w:val="38EC3030"/>
    <w:rsid w:val="38EC46EF"/>
    <w:rsid w:val="39B52B77"/>
    <w:rsid w:val="3C0B455A"/>
    <w:rsid w:val="3EF21D6B"/>
    <w:rsid w:val="40575891"/>
    <w:rsid w:val="40AD420F"/>
    <w:rsid w:val="42821E8A"/>
    <w:rsid w:val="46C83EB8"/>
    <w:rsid w:val="48AA0A8A"/>
    <w:rsid w:val="48F77743"/>
    <w:rsid w:val="4B2068DC"/>
    <w:rsid w:val="4B2D3001"/>
    <w:rsid w:val="4CDF7D39"/>
    <w:rsid w:val="4ECE1A58"/>
    <w:rsid w:val="4F714AE4"/>
    <w:rsid w:val="4FF70CEB"/>
    <w:rsid w:val="51826DFB"/>
    <w:rsid w:val="52B520C7"/>
    <w:rsid w:val="59292657"/>
    <w:rsid w:val="59BD3A9E"/>
    <w:rsid w:val="5CFE5595"/>
    <w:rsid w:val="5ED905AA"/>
    <w:rsid w:val="632E0ADE"/>
    <w:rsid w:val="64801634"/>
    <w:rsid w:val="64CE6DCB"/>
    <w:rsid w:val="65AD3BA8"/>
    <w:rsid w:val="674E548A"/>
    <w:rsid w:val="678B74EE"/>
    <w:rsid w:val="69256362"/>
    <w:rsid w:val="693D6EB4"/>
    <w:rsid w:val="69B51E7C"/>
    <w:rsid w:val="6C0F0DFC"/>
    <w:rsid w:val="6C6A15EA"/>
    <w:rsid w:val="6DAF5CF8"/>
    <w:rsid w:val="6EA84328"/>
    <w:rsid w:val="70A17A56"/>
    <w:rsid w:val="725268F2"/>
    <w:rsid w:val="72F242CD"/>
    <w:rsid w:val="76F42D38"/>
    <w:rsid w:val="79803888"/>
    <w:rsid w:val="7B47744F"/>
    <w:rsid w:val="7BDE24FE"/>
    <w:rsid w:val="7CAD403A"/>
    <w:rsid w:val="7EE457C3"/>
    <w:rsid w:val="7F2C5AB1"/>
    <w:rsid w:val="7FA4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Indent"/>
    <w:basedOn w:val="1"/>
    <w:next w:val="1"/>
    <w:qFormat/>
    <w:uiPriority w:val="0"/>
    <w:pPr>
      <w:ind w:firstLine="420" w:firstLineChars="200"/>
    </w:pPr>
    <w:rPr>
      <w:rFonts w:ascii="Times New Roman" w:hAnsi="Times New Roman"/>
      <w:szCs w:val="24"/>
    </w:rPr>
  </w:style>
  <w:style w:type="paragraph" w:styleId="5">
    <w:name w:val="annotation text"/>
    <w:basedOn w:val="1"/>
    <w:unhideWhenUsed/>
    <w:qFormat/>
    <w:uiPriority w:val="99"/>
    <w:pPr>
      <w:jc w:val="left"/>
    </w:pPr>
  </w:style>
  <w:style w:type="paragraph" w:styleId="6">
    <w:name w:val="Body Text"/>
    <w:basedOn w:val="1"/>
    <w:next w:val="7"/>
    <w:qFormat/>
    <w:uiPriority w:val="1"/>
    <w:pPr>
      <w:spacing w:before="36"/>
      <w:ind w:left="780"/>
      <w:jc w:val="left"/>
    </w:pPr>
    <w:rPr>
      <w:rFonts w:ascii="宋体" w:hAnsi="宋体" w:eastAsia="宋体"/>
      <w:kern w:val="0"/>
      <w:szCs w:val="21"/>
      <w:lang w:eastAsia="en-US"/>
    </w:rPr>
  </w:style>
  <w:style w:type="paragraph" w:styleId="7">
    <w:name w:val="Body Text First Indent"/>
    <w:basedOn w:val="6"/>
    <w:qFormat/>
    <w:uiPriority w:val="0"/>
    <w:pPr>
      <w:widowControl/>
      <w:spacing w:before="0" w:after="120"/>
      <w:ind w:left="0" w:firstLine="420" w:firstLineChars="100"/>
    </w:pPr>
    <w:rPr>
      <w:rFonts w:ascii="Arial" w:hAnsi="Arial" w:cs="Times New Roman"/>
      <w:szCs w:val="20"/>
      <w:lang w:val="zh-CN"/>
    </w:rPr>
  </w:style>
  <w:style w:type="paragraph" w:styleId="8">
    <w:name w:val="toc 6"/>
    <w:basedOn w:val="1"/>
    <w:next w:val="1"/>
    <w:qFormat/>
    <w:uiPriority w:val="0"/>
    <w:pPr>
      <w:ind w:left="105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Table Paragraph"/>
    <w:basedOn w:val="1"/>
    <w:qFormat/>
    <w:uiPriority w:val="0"/>
    <w:pPr>
      <w:jc w:val="left"/>
    </w:pPr>
    <w:rPr>
      <w:kern w:val="0"/>
      <w:sz w:val="22"/>
      <w:lang w:eastAsia="en-US"/>
    </w:rPr>
  </w:style>
  <w:style w:type="paragraph" w:styleId="15">
    <w:name w:val="List Paragraph"/>
    <w:basedOn w:val="1"/>
    <w:qFormat/>
    <w:uiPriority w:val="34"/>
    <w:pPr>
      <w:widowControl/>
      <w:ind w:firstLine="420"/>
    </w:pPr>
    <w:rPr>
      <w:rFonts w:ascii="Calibri" w:hAnsi="Calibri" w:eastAsia="宋体" w:cs="Calibri"/>
      <w:kern w:val="0"/>
      <w:szCs w:val="21"/>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font01"/>
    <w:basedOn w:val="12"/>
    <w:qFormat/>
    <w:uiPriority w:val="0"/>
    <w:rPr>
      <w:rFonts w:hint="eastAsia" w:ascii="宋体" w:hAnsi="宋体" w:eastAsia="宋体" w:cs="宋体"/>
      <w:color w:val="000000"/>
      <w:sz w:val="20"/>
      <w:szCs w:val="20"/>
      <w:u w:val="none"/>
    </w:rPr>
  </w:style>
  <w:style w:type="paragraph" w:customStyle="1" w:styleId="18">
    <w:name w:val="书目1"/>
    <w:basedOn w:val="1"/>
    <w:next w:val="1"/>
    <w:unhideWhenUsed/>
    <w:qFormat/>
    <w:uiPriority w:val="37"/>
  </w:style>
  <w:style w:type="paragraph" w:customStyle="1" w:styleId="19">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0">
    <w:name w:val="Normal_1"/>
    <w:next w:val="21"/>
    <w:qFormat/>
    <w:uiPriority w:val="0"/>
    <w:rPr>
      <w:rFonts w:ascii="Times New Roman" w:hAnsi="Times New Roman" w:eastAsia="Times New Roman" w:cs="Times New Roman"/>
      <w:sz w:val="24"/>
      <w:szCs w:val="24"/>
    </w:rPr>
  </w:style>
  <w:style w:type="paragraph" w:customStyle="1" w:styleId="21">
    <w:name w:val="默认段落字体 Para Char"/>
    <w:basedOn w:val="22"/>
    <w:next w:val="20"/>
    <w:qFormat/>
    <w:uiPriority w:val="0"/>
    <w:pPr>
      <w:widowControl w:val="0"/>
      <w:spacing w:before="80" w:after="80" w:line="360" w:lineRule="auto"/>
      <w:jc w:val="both"/>
    </w:pPr>
    <w:rPr>
      <w:rFonts w:ascii="Calibri" w:hAnsi="Calibri" w:cs="Times New Roman"/>
      <w:kern w:val="2"/>
      <w:szCs w:val="20"/>
    </w:rPr>
  </w:style>
  <w:style w:type="paragraph" w:customStyle="1" w:styleId="2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文本）"/>
    <w:next w:val="8"/>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4">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2024-06-11T04:30:00Z</dcterms:created>
  <dc:creator>wangying1</dc:creator>
  <cp:lastModifiedBy>wangying1</cp:lastModifiedBy>
  <dcterms:modified xsi:type="dcterms:W3CDTF">2024-07-25T08:52:01Z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D20590C759EB4B288A9299EBB318068F</vt:lpwstr>
  </property>
</Properties>
</file>