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黑体" w:hAnsi="黑体" w:eastAsia="黑体"/>
          <w:b/>
          <w:sz w:val="48"/>
          <w:szCs w:val="48"/>
          <w:highlight w:val="none"/>
        </w:rPr>
      </w:pPr>
      <w:r>
        <w:rPr>
          <w:rFonts w:hint="eastAsia" w:ascii="黑体" w:hAnsi="黑体" w:eastAsia="黑体"/>
          <w:b/>
          <w:sz w:val="48"/>
          <w:szCs w:val="48"/>
          <w:highlight w:val="none"/>
        </w:rPr>
        <w:t>询价文件</w:t>
      </w:r>
    </w:p>
    <w:p>
      <w:pPr>
        <w:spacing w:line="360" w:lineRule="auto"/>
        <w:jc w:val="center"/>
        <w:outlineLvl w:val="0"/>
        <w:rPr>
          <w:rFonts w:hint="default"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cstheme="minorBidi"/>
          <w:kern w:val="2"/>
          <w:sz w:val="24"/>
          <w:szCs w:val="24"/>
          <w:highlight w:val="none"/>
          <w:lang w:val="en-US" w:eastAsia="zh-CN" w:bidi="ar-SA"/>
        </w:rPr>
        <w:t>（询价编号：</w:t>
      </w:r>
      <w:r>
        <w:rPr>
          <w:rFonts w:hint="eastAsia" w:asciiTheme="minorEastAsia" w:hAnsiTheme="minorEastAsia" w:cstheme="minorBidi"/>
          <w:kern w:val="2"/>
          <w:sz w:val="24"/>
          <w:szCs w:val="24"/>
          <w:highlight w:val="none"/>
          <w:lang w:val="en-US" w:eastAsia="zh-CN" w:bidi="ar-SA"/>
        </w:rPr>
        <w:t xml:space="preserve">HXCF-250089）    </w:t>
      </w:r>
    </w:p>
    <w:p>
      <w:pPr>
        <w:spacing w:line="360" w:lineRule="auto"/>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lang w:val="en-US" w:eastAsia="zh-CN"/>
        </w:rPr>
        <w:t>海洋石油富岛有限公司</w:t>
      </w:r>
      <w:r>
        <w:rPr>
          <w:rFonts w:asciiTheme="minorEastAsia" w:hAnsiTheme="minorEastAsia"/>
          <w:sz w:val="24"/>
          <w:szCs w:val="24"/>
          <w:highlight w:val="none"/>
        </w:rPr>
        <w:t>对</w:t>
      </w:r>
      <w:r>
        <w:rPr>
          <w:rFonts w:hint="eastAsia" w:cs="Arial" w:asciiTheme="minorEastAsia" w:hAnsiTheme="minorEastAsia" w:eastAsiaTheme="minorEastAsia"/>
          <w:color w:val="FF0000"/>
          <w:sz w:val="24"/>
          <w:szCs w:val="24"/>
          <w:highlight w:val="none"/>
        </w:rPr>
        <w:t>2025-2028年海油富岛液压工具维修长期服务项目</w:t>
      </w:r>
      <w:r>
        <w:rPr>
          <w:rFonts w:hint="eastAsia" w:asciiTheme="minorEastAsia" w:hAnsiTheme="minorEastAsia"/>
          <w:sz w:val="24"/>
          <w:szCs w:val="24"/>
          <w:highlight w:val="none"/>
        </w:rPr>
        <w:t>进行公开询价采购，欢迎合格的供应商参加。现将有关事项明确如下：</w:t>
      </w:r>
    </w:p>
    <w:p>
      <w:pPr>
        <w:spacing w:line="360" w:lineRule="auto"/>
        <w:ind w:firstLine="420"/>
        <w:outlineLvl w:val="0"/>
        <w:rPr>
          <w:rFonts w:asciiTheme="minorEastAsia" w:hAnsiTheme="minorEastAsia"/>
          <w:b/>
          <w:sz w:val="24"/>
          <w:szCs w:val="24"/>
          <w:highlight w:val="none"/>
        </w:rPr>
      </w:pPr>
      <w:r>
        <w:rPr>
          <w:rFonts w:hint="eastAsia" w:asciiTheme="minorEastAsia" w:hAnsiTheme="minorEastAsia"/>
          <w:b/>
          <w:sz w:val="24"/>
          <w:szCs w:val="24"/>
          <w:highlight w:val="none"/>
        </w:rPr>
        <w:t>一、总则</w:t>
      </w:r>
    </w:p>
    <w:p>
      <w:pPr>
        <w:spacing w:line="360" w:lineRule="auto"/>
        <w:ind w:firstLine="420"/>
        <w:rPr>
          <w:rFonts w:asciiTheme="minorEastAsia" w:hAnsiTheme="minorEastAsia"/>
          <w:sz w:val="24"/>
          <w:szCs w:val="24"/>
          <w:highlight w:val="none"/>
        </w:rPr>
      </w:pPr>
      <w:r>
        <w:rPr>
          <w:rFonts w:asciiTheme="minorEastAsia" w:hAnsiTheme="minorEastAsia"/>
          <w:sz w:val="24"/>
          <w:szCs w:val="24"/>
          <w:highlight w:val="none"/>
        </w:rPr>
        <w:t>1</w:t>
      </w:r>
      <w:r>
        <w:rPr>
          <w:rFonts w:hint="eastAsia" w:asciiTheme="minorEastAsia" w:hAnsiTheme="minorEastAsia"/>
          <w:sz w:val="24"/>
          <w:szCs w:val="24"/>
          <w:highlight w:val="none"/>
        </w:rPr>
        <w:t>.合格的响应人：符合询价公告的供应商资格条件。</w:t>
      </w:r>
    </w:p>
    <w:p>
      <w:pPr>
        <w:spacing w:line="360" w:lineRule="auto"/>
        <w:ind w:firstLine="420"/>
        <w:rPr>
          <w:rFonts w:asciiTheme="minorEastAsia" w:hAnsiTheme="minorEastAsia"/>
          <w:sz w:val="24"/>
          <w:szCs w:val="24"/>
          <w:highlight w:val="none"/>
        </w:rPr>
      </w:pPr>
      <w:r>
        <w:rPr>
          <w:rFonts w:hint="eastAsia" w:asciiTheme="minorEastAsia" w:hAnsiTheme="minorEastAsia"/>
          <w:sz w:val="24"/>
          <w:szCs w:val="24"/>
          <w:highlight w:val="none"/>
        </w:rPr>
        <w:t>2.</w:t>
      </w:r>
      <w:r>
        <w:rPr>
          <w:rFonts w:hint="eastAsia" w:asciiTheme="minorEastAsia" w:hAnsiTheme="minorEastAsia"/>
          <w:sz w:val="24"/>
          <w:szCs w:val="24"/>
          <w:highlight w:val="none"/>
          <w:lang w:val="en-US" w:eastAsia="zh-CN"/>
        </w:rPr>
        <w:t>技术</w:t>
      </w:r>
      <w:r>
        <w:rPr>
          <w:rFonts w:hint="eastAsia" w:asciiTheme="minorEastAsia" w:hAnsiTheme="minorEastAsia"/>
          <w:sz w:val="24"/>
          <w:szCs w:val="24"/>
          <w:highlight w:val="none"/>
        </w:rPr>
        <w:t>采购内容、技术参数及要求：见本询价文件附件</w:t>
      </w:r>
      <w:r>
        <w:rPr>
          <w:rFonts w:asciiTheme="minorEastAsia" w:hAnsiTheme="minorEastAsia"/>
          <w:sz w:val="24"/>
          <w:szCs w:val="24"/>
          <w:highlight w:val="none"/>
        </w:rPr>
        <w:t>2</w:t>
      </w:r>
      <w:r>
        <w:rPr>
          <w:rFonts w:hint="eastAsia" w:asciiTheme="minorEastAsia" w:hAnsiTheme="minorEastAsia"/>
          <w:sz w:val="24"/>
          <w:szCs w:val="24"/>
          <w:highlight w:val="none"/>
        </w:rPr>
        <w:t>。</w:t>
      </w:r>
    </w:p>
    <w:p>
      <w:pPr>
        <w:spacing w:line="360" w:lineRule="auto"/>
        <w:ind w:firstLine="420"/>
        <w:rPr>
          <w:rFonts w:asciiTheme="minorEastAsia" w:hAnsiTheme="minorEastAsia"/>
          <w:sz w:val="24"/>
          <w:szCs w:val="24"/>
          <w:highlight w:val="none"/>
        </w:rPr>
      </w:pPr>
      <w:r>
        <w:rPr>
          <w:rFonts w:asciiTheme="minorEastAsia" w:hAnsiTheme="minorEastAsia"/>
          <w:sz w:val="24"/>
          <w:szCs w:val="24"/>
          <w:highlight w:val="none"/>
        </w:rPr>
        <w:t>3</w:t>
      </w:r>
      <w:r>
        <w:rPr>
          <w:rFonts w:hint="eastAsia" w:asciiTheme="minorEastAsia" w:hAnsiTheme="minorEastAsia"/>
          <w:sz w:val="24"/>
          <w:szCs w:val="24"/>
          <w:highlight w:val="none"/>
        </w:rPr>
        <w:t>.公告时间：自</w:t>
      </w:r>
      <w:r>
        <w:rPr>
          <w:rFonts w:hint="eastAsia" w:asciiTheme="minorEastAsia" w:hAnsiTheme="minorEastAsia"/>
          <w:color w:val="FF0000"/>
          <w:sz w:val="24"/>
          <w:szCs w:val="24"/>
          <w:highlight w:val="none"/>
          <w:u w:val="single"/>
          <w:lang w:val="en-US" w:eastAsia="zh-CN"/>
        </w:rPr>
        <w:t>2025年3</w:t>
      </w:r>
      <w:r>
        <w:rPr>
          <w:rFonts w:hint="eastAsia" w:asciiTheme="minorEastAsia" w:hAnsiTheme="minorEastAsia"/>
          <w:color w:val="FF0000"/>
          <w:sz w:val="24"/>
          <w:szCs w:val="24"/>
          <w:highlight w:val="none"/>
          <w:u w:val="single"/>
        </w:rPr>
        <w:t>月</w:t>
      </w:r>
      <w:r>
        <w:rPr>
          <w:rFonts w:hint="eastAsia" w:asciiTheme="minorEastAsia" w:hAnsiTheme="minorEastAsia"/>
          <w:color w:val="FF0000"/>
          <w:sz w:val="24"/>
          <w:szCs w:val="24"/>
          <w:highlight w:val="none"/>
          <w:u w:val="single"/>
          <w:lang w:val="en-US" w:eastAsia="zh-CN"/>
        </w:rPr>
        <w:t>20</w:t>
      </w:r>
      <w:r>
        <w:rPr>
          <w:rFonts w:hint="eastAsia" w:asciiTheme="minorEastAsia" w:hAnsiTheme="minorEastAsia"/>
          <w:color w:val="FF0000"/>
          <w:sz w:val="24"/>
          <w:szCs w:val="24"/>
          <w:highlight w:val="none"/>
          <w:u w:val="single"/>
        </w:rPr>
        <w:t>日</w:t>
      </w:r>
      <w:r>
        <w:rPr>
          <w:rFonts w:hint="eastAsia" w:asciiTheme="minorEastAsia" w:hAnsiTheme="minorEastAsia"/>
          <w:color w:val="FF0000"/>
          <w:sz w:val="24"/>
          <w:szCs w:val="24"/>
          <w:highlight w:val="none"/>
        </w:rPr>
        <w:t>起至</w:t>
      </w:r>
      <w:r>
        <w:rPr>
          <w:rFonts w:hint="eastAsia" w:asciiTheme="minorEastAsia" w:hAnsiTheme="minorEastAsia"/>
          <w:color w:val="FF0000"/>
          <w:sz w:val="24"/>
          <w:szCs w:val="24"/>
          <w:highlight w:val="none"/>
          <w:u w:val="single"/>
        </w:rPr>
        <w:t xml:space="preserve"> </w:t>
      </w:r>
      <w:r>
        <w:rPr>
          <w:rFonts w:hint="eastAsia" w:asciiTheme="minorEastAsia" w:hAnsiTheme="minorEastAsia"/>
          <w:color w:val="FF0000"/>
          <w:sz w:val="24"/>
          <w:szCs w:val="24"/>
          <w:highlight w:val="none"/>
          <w:u w:val="single"/>
          <w:lang w:val="en-US" w:eastAsia="zh-CN"/>
        </w:rPr>
        <w:t>2025年4</w:t>
      </w:r>
      <w:r>
        <w:rPr>
          <w:rFonts w:hint="eastAsia" w:asciiTheme="minorEastAsia" w:hAnsiTheme="minorEastAsia"/>
          <w:color w:val="FF0000"/>
          <w:sz w:val="24"/>
          <w:szCs w:val="24"/>
          <w:highlight w:val="none"/>
          <w:u w:val="single"/>
        </w:rPr>
        <w:t>月</w:t>
      </w:r>
      <w:r>
        <w:rPr>
          <w:rFonts w:hint="eastAsia" w:asciiTheme="minorEastAsia" w:hAnsiTheme="minorEastAsia"/>
          <w:color w:val="FF0000"/>
          <w:sz w:val="24"/>
          <w:szCs w:val="24"/>
          <w:highlight w:val="none"/>
          <w:u w:val="single"/>
          <w:lang w:val="en-US" w:eastAsia="zh-CN"/>
        </w:rPr>
        <w:t>2</w:t>
      </w:r>
      <w:r>
        <w:rPr>
          <w:rFonts w:hint="eastAsia" w:asciiTheme="minorEastAsia" w:hAnsiTheme="minorEastAsia"/>
          <w:color w:val="FF0000"/>
          <w:sz w:val="24"/>
          <w:szCs w:val="24"/>
          <w:highlight w:val="none"/>
          <w:u w:val="single"/>
        </w:rPr>
        <w:t>日</w:t>
      </w:r>
      <w:r>
        <w:rPr>
          <w:rFonts w:hint="eastAsia" w:asciiTheme="minorEastAsia" w:hAnsiTheme="minorEastAsia"/>
          <w:color w:val="FF0000"/>
          <w:sz w:val="24"/>
          <w:szCs w:val="24"/>
          <w:highlight w:val="none"/>
        </w:rPr>
        <w:t>止</w:t>
      </w:r>
      <w:r>
        <w:rPr>
          <w:rFonts w:hint="eastAsia" w:asciiTheme="minorEastAsia" w:hAnsiTheme="minorEastAsia"/>
          <w:sz w:val="24"/>
          <w:szCs w:val="24"/>
          <w:highlight w:val="none"/>
        </w:rPr>
        <w:t>。</w:t>
      </w:r>
    </w:p>
    <w:p>
      <w:pPr>
        <w:spacing w:line="360" w:lineRule="auto"/>
        <w:ind w:firstLine="720" w:firstLineChars="300"/>
        <w:jc w:val="left"/>
        <w:rPr>
          <w:rFonts w:asciiTheme="minorEastAsia" w:hAnsiTheme="minorEastAsia"/>
          <w:sz w:val="24"/>
          <w:szCs w:val="24"/>
          <w:highlight w:val="none"/>
        </w:rPr>
      </w:pPr>
      <w:r>
        <w:rPr>
          <w:rFonts w:hint="eastAsia" w:asciiTheme="minorEastAsia" w:hAnsiTheme="minorEastAsia"/>
          <w:sz w:val="24"/>
          <w:szCs w:val="24"/>
          <w:highlight w:val="none"/>
        </w:rPr>
        <w:t>询价人</w:t>
      </w:r>
      <w:r>
        <w:rPr>
          <w:rFonts w:asciiTheme="minorEastAsia" w:hAnsiTheme="minorEastAsia"/>
          <w:sz w:val="24"/>
          <w:szCs w:val="24"/>
          <w:highlight w:val="none"/>
        </w:rPr>
        <w:t>于</w:t>
      </w:r>
      <w:r>
        <w:rPr>
          <w:rFonts w:hint="eastAsia" w:asciiTheme="minorEastAsia" w:hAnsiTheme="minorEastAsia"/>
          <w:color w:val="FF0000"/>
          <w:sz w:val="24"/>
          <w:szCs w:val="24"/>
          <w:highlight w:val="none"/>
          <w:u w:val="single"/>
          <w:lang w:val="en-US" w:eastAsia="zh-CN"/>
        </w:rPr>
        <w:t>2025年3</w:t>
      </w:r>
      <w:r>
        <w:rPr>
          <w:rFonts w:asciiTheme="minorEastAsia" w:hAnsiTheme="minorEastAsia"/>
          <w:color w:val="FF0000"/>
          <w:sz w:val="24"/>
          <w:szCs w:val="24"/>
          <w:highlight w:val="none"/>
          <w:u w:val="single"/>
        </w:rPr>
        <w:t>月</w:t>
      </w:r>
      <w:r>
        <w:rPr>
          <w:rFonts w:hint="eastAsia" w:asciiTheme="minorEastAsia" w:hAnsiTheme="minorEastAsia"/>
          <w:color w:val="FF0000"/>
          <w:sz w:val="24"/>
          <w:szCs w:val="24"/>
          <w:highlight w:val="none"/>
          <w:u w:val="single"/>
          <w:lang w:val="en-US" w:eastAsia="zh-CN"/>
        </w:rPr>
        <w:t>20</w:t>
      </w:r>
      <w:r>
        <w:rPr>
          <w:rFonts w:asciiTheme="minorEastAsia" w:hAnsiTheme="minorEastAsia"/>
          <w:color w:val="FF0000"/>
          <w:sz w:val="24"/>
          <w:szCs w:val="24"/>
          <w:highlight w:val="none"/>
          <w:u w:val="single"/>
        </w:rPr>
        <w:t>日</w:t>
      </w:r>
      <w:r>
        <w:rPr>
          <w:rFonts w:asciiTheme="minorEastAsia" w:hAnsiTheme="minorEastAsia"/>
          <w:sz w:val="24"/>
          <w:szCs w:val="24"/>
          <w:highlight w:val="none"/>
        </w:rPr>
        <w:t>（北京时间</w:t>
      </w:r>
      <w:r>
        <w:rPr>
          <w:rFonts w:hint="eastAsia" w:asciiTheme="minorEastAsia" w:hAnsiTheme="minorEastAsia"/>
          <w:sz w:val="24"/>
          <w:szCs w:val="24"/>
          <w:highlight w:val="none"/>
        </w:rPr>
        <w:t>）将询价文件发布至中国海洋石油集团有限公司采办业务管理与交易系统（以下简称“系统”）https://buy.cnooc.com.cn，请登陆并下载。</w:t>
      </w:r>
    </w:p>
    <w:p>
      <w:pPr>
        <w:spacing w:line="360" w:lineRule="auto"/>
        <w:ind w:firstLine="420"/>
        <w:rPr>
          <w:rFonts w:hint="eastAsia" w:asciiTheme="minorEastAsia" w:hAnsiTheme="minorEastAsia"/>
          <w:color w:val="auto"/>
          <w:sz w:val="24"/>
          <w:szCs w:val="24"/>
          <w:highlight w:val="none"/>
        </w:rPr>
      </w:pPr>
      <w:r>
        <w:rPr>
          <w:rFonts w:asciiTheme="minorEastAsia" w:hAnsiTheme="minorEastAsia"/>
          <w:sz w:val="24"/>
          <w:szCs w:val="24"/>
          <w:highlight w:val="none"/>
        </w:rPr>
        <w:t>4.递交响应文件的截止时间及地点：递交</w:t>
      </w:r>
      <w:r>
        <w:rPr>
          <w:rFonts w:hint="eastAsia" w:asciiTheme="minorEastAsia" w:hAnsiTheme="minorEastAsia"/>
          <w:sz w:val="24"/>
          <w:szCs w:val="24"/>
          <w:highlight w:val="none"/>
        </w:rPr>
        <w:t>报价</w:t>
      </w:r>
      <w:r>
        <w:rPr>
          <w:rFonts w:asciiTheme="minorEastAsia" w:hAnsiTheme="minorEastAsia"/>
          <w:sz w:val="24"/>
          <w:szCs w:val="24"/>
          <w:highlight w:val="none"/>
        </w:rPr>
        <w:t>文件的截止时间为</w:t>
      </w:r>
      <w:r>
        <w:rPr>
          <w:rFonts w:hint="eastAsia" w:asciiTheme="minorEastAsia" w:hAnsiTheme="minorEastAsia"/>
          <w:color w:val="FF0000"/>
          <w:sz w:val="24"/>
          <w:szCs w:val="24"/>
          <w:highlight w:val="none"/>
          <w:u w:val="single"/>
          <w:lang w:val="en-US" w:eastAsia="zh-CN"/>
        </w:rPr>
        <w:t>2025年4</w:t>
      </w:r>
      <w:r>
        <w:rPr>
          <w:rFonts w:hint="eastAsia" w:asciiTheme="minorEastAsia" w:hAnsiTheme="minorEastAsia"/>
          <w:color w:val="FF0000"/>
          <w:sz w:val="24"/>
          <w:szCs w:val="24"/>
          <w:highlight w:val="none"/>
          <w:u w:val="single"/>
        </w:rPr>
        <w:t>月</w:t>
      </w:r>
      <w:r>
        <w:rPr>
          <w:rFonts w:hint="eastAsia" w:asciiTheme="minorEastAsia" w:hAnsiTheme="minorEastAsia"/>
          <w:color w:val="FF0000"/>
          <w:sz w:val="24"/>
          <w:szCs w:val="24"/>
          <w:highlight w:val="none"/>
          <w:u w:val="single"/>
          <w:lang w:val="en-US" w:eastAsia="zh-CN"/>
        </w:rPr>
        <w:t>2</w:t>
      </w:r>
      <w:r>
        <w:rPr>
          <w:rFonts w:hint="eastAsia" w:asciiTheme="minorEastAsia" w:hAnsiTheme="minorEastAsia"/>
          <w:color w:val="FF0000"/>
          <w:sz w:val="24"/>
          <w:szCs w:val="24"/>
          <w:highlight w:val="none"/>
          <w:u w:val="single"/>
        </w:rPr>
        <w:t>日</w:t>
      </w:r>
      <w:r>
        <w:rPr>
          <w:rFonts w:hint="eastAsia" w:asciiTheme="minorEastAsia" w:hAnsiTheme="minorEastAsia"/>
          <w:color w:val="FF0000"/>
          <w:sz w:val="24"/>
          <w:szCs w:val="24"/>
          <w:highlight w:val="none"/>
          <w:u w:val="single"/>
          <w:lang w:val="en-US" w:eastAsia="zh-CN"/>
        </w:rPr>
        <w:t>9：00</w:t>
      </w:r>
      <w:r>
        <w:rPr>
          <w:rFonts w:asciiTheme="minorEastAsia" w:hAnsiTheme="minorEastAsia"/>
          <w:sz w:val="24"/>
          <w:szCs w:val="24"/>
          <w:highlight w:val="none"/>
        </w:rPr>
        <w:t>，</w:t>
      </w:r>
      <w:r>
        <w:rPr>
          <w:rFonts w:hint="eastAsia" w:asciiTheme="minorEastAsia" w:hAnsiTheme="minorEastAsia"/>
          <w:color w:val="auto"/>
          <w:sz w:val="24"/>
          <w:szCs w:val="24"/>
          <w:highlight w:val="none"/>
        </w:rPr>
        <w:t>请在规定报价截止时间前通过系统报价及挂接PDF形式</w:t>
      </w:r>
      <w:r>
        <w:rPr>
          <w:rFonts w:hint="eastAsia" w:asciiTheme="minorEastAsia" w:hAnsiTheme="minorEastAsia"/>
          <w:color w:val="auto"/>
          <w:sz w:val="24"/>
          <w:szCs w:val="24"/>
          <w:highlight w:val="none"/>
          <w:lang w:val="en-US" w:eastAsia="zh-CN"/>
        </w:rPr>
        <w:t>有电子公章</w:t>
      </w:r>
      <w:r>
        <w:rPr>
          <w:rFonts w:hint="eastAsia" w:asciiTheme="minorEastAsia" w:hAnsiTheme="minorEastAsia"/>
          <w:color w:val="auto"/>
          <w:sz w:val="24"/>
          <w:szCs w:val="24"/>
          <w:highlight w:val="none"/>
        </w:rPr>
        <w:t>的</w:t>
      </w:r>
      <w:r>
        <w:rPr>
          <w:rFonts w:hint="eastAsia" w:asciiTheme="minorEastAsia" w:hAnsiTheme="minorEastAsia"/>
          <w:color w:val="auto"/>
          <w:sz w:val="24"/>
          <w:szCs w:val="24"/>
          <w:highlight w:val="none"/>
          <w:lang w:val="en-US" w:eastAsia="zh-CN"/>
        </w:rPr>
        <w:t>技术文件、</w:t>
      </w:r>
      <w:r>
        <w:rPr>
          <w:rFonts w:hint="eastAsia" w:asciiTheme="minorEastAsia" w:hAnsiTheme="minorEastAsia"/>
          <w:color w:val="auto"/>
          <w:sz w:val="24"/>
          <w:szCs w:val="24"/>
          <w:highlight w:val="none"/>
        </w:rPr>
        <w:t>商务文件</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无价格</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rPr>
        <w:t>、报价文件附件。挂接的电子报价文件应加盖</w:t>
      </w:r>
      <w:r>
        <w:rPr>
          <w:rFonts w:asciiTheme="minorEastAsia" w:hAnsiTheme="minorEastAsia"/>
          <w:color w:val="auto"/>
          <w:sz w:val="24"/>
          <w:szCs w:val="24"/>
          <w:highlight w:val="none"/>
        </w:rPr>
        <w:t>公章</w:t>
      </w:r>
      <w:r>
        <w:rPr>
          <w:rFonts w:hint="eastAsia" w:asciiTheme="minorEastAsia" w:hAnsiTheme="minorEastAsia"/>
          <w:color w:val="auto"/>
          <w:sz w:val="24"/>
          <w:szCs w:val="24"/>
          <w:highlight w:val="none"/>
          <w:lang w:val="en-US" w:eastAsia="zh-CN"/>
        </w:rPr>
        <w:t>等</w:t>
      </w:r>
      <w:r>
        <w:rPr>
          <w:rFonts w:hint="eastAsia" w:asciiTheme="minorEastAsia" w:hAnsiTheme="minorEastAsia"/>
          <w:color w:val="auto"/>
          <w:sz w:val="24"/>
          <w:szCs w:val="24"/>
          <w:highlight w:val="none"/>
        </w:rPr>
        <w:t>。</w:t>
      </w:r>
    </w:p>
    <w:p>
      <w:pPr>
        <w:numPr>
          <w:ilvl w:val="0"/>
          <w:numId w:val="0"/>
        </w:numPr>
        <w:spacing w:line="360" w:lineRule="auto"/>
        <w:ind w:firstLine="480" w:firstLineChars="200"/>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5</w:t>
      </w:r>
      <w:r>
        <w:rPr>
          <w:rFonts w:asciiTheme="minorEastAsia" w:hAnsiTheme="minorEastAsia"/>
          <w:color w:val="auto"/>
          <w:sz w:val="24"/>
          <w:szCs w:val="24"/>
          <w:highlight w:val="none"/>
        </w:rPr>
        <w:t>.</w:t>
      </w:r>
      <w:r>
        <w:rPr>
          <w:rFonts w:hint="eastAsia" w:asciiTheme="minorEastAsia" w:hAnsiTheme="minorEastAsia"/>
          <w:color w:val="auto"/>
          <w:sz w:val="24"/>
          <w:szCs w:val="24"/>
          <w:highlight w:val="none"/>
          <w:lang w:val="en-US" w:eastAsia="zh-CN"/>
        </w:rPr>
        <w:t>应答</w:t>
      </w:r>
      <w:r>
        <w:rPr>
          <w:rFonts w:hint="eastAsia" w:asciiTheme="minorEastAsia" w:hAnsiTheme="minorEastAsia"/>
          <w:color w:val="auto"/>
          <w:sz w:val="24"/>
          <w:szCs w:val="24"/>
          <w:highlight w:val="none"/>
          <w:lang w:eastAsia="zh-CN"/>
        </w:rPr>
        <w:t>人或</w:t>
      </w:r>
      <w:r>
        <w:rPr>
          <w:rFonts w:hint="eastAsia" w:asciiTheme="minorEastAsia" w:hAnsiTheme="minorEastAsia"/>
          <w:color w:val="auto"/>
          <w:sz w:val="24"/>
          <w:szCs w:val="24"/>
          <w:highlight w:val="none"/>
          <w:lang w:val="en-US" w:eastAsia="zh-CN"/>
        </w:rPr>
        <w:t>应答人</w:t>
      </w:r>
      <w:r>
        <w:rPr>
          <w:rFonts w:hint="eastAsia" w:asciiTheme="minorEastAsia" w:hAnsiTheme="minorEastAsia"/>
          <w:color w:val="auto"/>
          <w:sz w:val="24"/>
          <w:szCs w:val="24"/>
          <w:highlight w:val="none"/>
          <w:lang w:eastAsia="zh-CN"/>
        </w:rPr>
        <w:t>所提供的第三方不得存在的其他情形：</w:t>
      </w:r>
    </w:p>
    <w:p>
      <w:pPr>
        <w:widowControl/>
        <w:snapToGrid w:val="0"/>
        <w:spacing w:line="460" w:lineRule="exact"/>
        <w:ind w:firstLine="480" w:firstLineChars="200"/>
        <w:jc w:val="left"/>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lang w:eastAsia="zh-CN"/>
        </w:rPr>
        <w:t>1）投标人自202</w:t>
      </w:r>
      <w:r>
        <w:rPr>
          <w:rFonts w:hint="eastAsia" w:asciiTheme="minorEastAsia" w:hAnsiTheme="minorEastAsia"/>
          <w:color w:val="auto"/>
          <w:sz w:val="24"/>
          <w:szCs w:val="24"/>
          <w:highlight w:val="none"/>
          <w:lang w:val="en-US" w:eastAsia="zh-CN"/>
        </w:rPr>
        <w:t>2</w:t>
      </w:r>
      <w:r>
        <w:rPr>
          <w:rFonts w:hint="eastAsia" w:asciiTheme="minorEastAsia" w:hAnsiTheme="minorEastAsia"/>
          <w:color w:val="auto"/>
          <w:sz w:val="24"/>
          <w:szCs w:val="24"/>
          <w:highlight w:val="none"/>
          <w:lang w:eastAsia="zh-CN"/>
        </w:rPr>
        <w:t>年1月1日起至投标截止时间止（以事故书面认定材料出具时间为准）所承担的服务项目出现重大及以上安全事故，且经过官方机构或第三方权威机构调查并出具了明确的书面证据，认定应由投标人承担重大及以上安全事故责任并对投标人进行处理的；</w:t>
      </w:r>
    </w:p>
    <w:p>
      <w:pPr>
        <w:widowControl/>
        <w:snapToGrid w:val="0"/>
        <w:spacing w:line="460" w:lineRule="exact"/>
        <w:ind w:firstLine="480" w:firstLineChars="200"/>
        <w:jc w:val="left"/>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lang w:eastAsia="zh-CN"/>
        </w:rPr>
        <w:t>2）投标人或投标人本次招标相关业务范围被中国海洋石油集团有限公司或本次招标的所属单位禁用的；在处罚期或处罚期满但在系统中的供应商档案中的“档案状态”为“采购冻结”或“业务状态”为“冻结”的；</w:t>
      </w:r>
    </w:p>
    <w:p>
      <w:pPr>
        <w:widowControl/>
        <w:numPr>
          <w:ilvl w:val="0"/>
          <w:numId w:val="1"/>
        </w:numPr>
        <w:snapToGrid w:val="0"/>
        <w:spacing w:line="460" w:lineRule="exact"/>
        <w:ind w:firstLine="480" w:firstLineChars="200"/>
        <w:jc w:val="left"/>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lang w:eastAsia="zh-CN"/>
        </w:rPr>
        <w:t>投标人a)处于责令整顿、停业或b)财产已被接管、冻结或c)处于破产状态的；</w:t>
      </w:r>
    </w:p>
    <w:p>
      <w:pPr>
        <w:widowControl/>
        <w:numPr>
          <w:ilvl w:val="0"/>
          <w:numId w:val="0"/>
        </w:numPr>
        <w:snapToGrid w:val="0"/>
        <w:spacing w:line="460" w:lineRule="exact"/>
        <w:ind w:firstLine="480" w:firstLineChars="200"/>
        <w:jc w:val="left"/>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lang w:eastAsia="zh-CN"/>
        </w:rPr>
        <w:t>4）投标人在“信用中国”网站（https://www.creditchina.gov.cn/）被列入严重失信主体名单；</w:t>
      </w:r>
    </w:p>
    <w:p>
      <w:pPr>
        <w:widowControl/>
        <w:snapToGrid w:val="0"/>
        <w:spacing w:line="460" w:lineRule="exact"/>
        <w:ind w:firstLine="480" w:firstLineChars="200"/>
        <w:jc w:val="left"/>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lang w:eastAsia="zh-CN"/>
        </w:rPr>
        <w:t>5）投标人在全国企业信用信息公示系统（http://www.gsxt.gov.cn）被列入严重违法失信名单（黑名单）信息或营业执照登记状态为吊销或注销的；</w:t>
      </w:r>
    </w:p>
    <w:p>
      <w:pPr>
        <w:widowControl/>
        <w:snapToGrid w:val="0"/>
        <w:spacing w:line="460" w:lineRule="exact"/>
        <w:ind w:firstLine="480" w:firstLineChars="200"/>
        <w:jc w:val="left"/>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lang w:eastAsia="zh-CN"/>
        </w:rPr>
        <w:t>6）投标人在“中国执行信息公开网”网站（http://zxgk.court.gov.cn/）被列入失信被执行人名单；</w:t>
      </w:r>
    </w:p>
    <w:p>
      <w:pPr>
        <w:widowControl/>
        <w:snapToGrid w:val="0"/>
        <w:spacing w:line="460" w:lineRule="exact"/>
        <w:ind w:firstLine="480" w:firstLineChars="200"/>
        <w:jc w:val="left"/>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lang w:eastAsia="zh-CN"/>
        </w:rPr>
        <w:t>7）投标人与本招标项目其他投标人单位负责人为同一人或存在控股、管理关系的；</w:t>
      </w:r>
    </w:p>
    <w:p>
      <w:pPr>
        <w:widowControl/>
        <w:snapToGrid w:val="0"/>
        <w:spacing w:line="460" w:lineRule="exact"/>
        <w:ind w:firstLine="480" w:firstLineChars="200"/>
        <w:jc w:val="left"/>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lang w:eastAsia="zh-CN"/>
        </w:rPr>
        <w:t>8）投标人与招标人、招标机构有利害关系且可能影响招标公正性的；</w:t>
      </w:r>
    </w:p>
    <w:p>
      <w:pPr>
        <w:widowControl/>
        <w:snapToGrid w:val="0"/>
        <w:spacing w:line="460" w:lineRule="exact"/>
        <w:ind w:firstLine="480" w:firstLineChars="200"/>
        <w:jc w:val="left"/>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lang w:eastAsia="zh-CN"/>
        </w:rPr>
        <w:t>9）投标人存在危害国家安全和损害中海油合法权益的情形，在涉及国家机密或商业秘密的项目中存在不遵守相关法律法规及政府主管部门要求的情形。</w:t>
      </w:r>
    </w:p>
    <w:p>
      <w:pPr>
        <w:widowControl/>
        <w:snapToGrid w:val="0"/>
        <w:spacing w:line="4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1"/>
          <w:highlight w:val="none"/>
          <w:lang w:val="en-US" w:eastAsia="zh-CN"/>
        </w:rPr>
        <w:t>6</w:t>
      </w:r>
      <w:r>
        <w:rPr>
          <w:rFonts w:hint="eastAsia" w:ascii="宋体" w:hAnsi="宋体" w:eastAsia="宋体" w:cs="宋体"/>
          <w:color w:val="auto"/>
          <w:kern w:val="0"/>
          <w:sz w:val="24"/>
          <w:szCs w:val="21"/>
          <w:highlight w:val="none"/>
        </w:rPr>
        <w:t>.</w:t>
      </w:r>
      <w:r>
        <w:rPr>
          <w:rFonts w:hint="default" w:ascii="宋体" w:hAnsi="宋体" w:eastAsia="宋体" w:cs="宋体"/>
          <w:color w:val="auto"/>
          <w:kern w:val="0"/>
          <w:sz w:val="24"/>
          <w:szCs w:val="21"/>
          <w:highlight w:val="none"/>
        </w:rPr>
        <w:t>注意事项</w:t>
      </w:r>
      <w:r>
        <w:rPr>
          <w:rFonts w:hint="eastAsia" w:ascii="宋体" w:hAnsi="宋体" w:eastAsia="宋体" w:cs="宋体"/>
          <w:color w:val="auto"/>
          <w:kern w:val="0"/>
          <w:sz w:val="24"/>
          <w:szCs w:val="21"/>
          <w:highlight w:val="none"/>
        </w:rPr>
        <w:t>：</w:t>
      </w:r>
    </w:p>
    <w:p>
      <w:pPr>
        <w:widowControl/>
        <w:snapToGrid w:val="0"/>
        <w:spacing w:line="460" w:lineRule="exact"/>
        <w:ind w:firstLine="482" w:firstLineChars="200"/>
        <w:jc w:val="left"/>
        <w:rPr>
          <w:rFonts w:ascii="宋体" w:hAnsi="宋体" w:eastAsia="宋体" w:cs="宋体"/>
          <w:b/>
          <w:color w:val="auto"/>
          <w:kern w:val="0"/>
          <w:sz w:val="24"/>
          <w:szCs w:val="21"/>
          <w:highlight w:val="none"/>
        </w:rPr>
      </w:pPr>
      <w:r>
        <w:rPr>
          <w:rFonts w:hint="eastAsia" w:ascii="宋体" w:hAnsi="宋体" w:eastAsia="宋体" w:cs="宋体"/>
          <w:b/>
          <w:color w:val="auto"/>
          <w:kern w:val="0"/>
          <w:sz w:val="24"/>
          <w:szCs w:val="21"/>
          <w:highlight w:val="none"/>
        </w:rPr>
        <w:t>（1）采</w:t>
      </w:r>
      <w:r>
        <w:rPr>
          <w:rFonts w:ascii="宋体" w:hAnsi="宋体" w:eastAsia="宋体" w:cs="宋体"/>
          <w:b/>
          <w:color w:val="auto"/>
          <w:kern w:val="0"/>
          <w:sz w:val="24"/>
          <w:szCs w:val="21"/>
          <w:highlight w:val="none"/>
        </w:rPr>
        <w:t>办业务系统中报价与系统中挂接</w:t>
      </w:r>
      <w:r>
        <w:rPr>
          <w:rFonts w:hint="eastAsia" w:ascii="宋体" w:hAnsi="宋体" w:eastAsia="宋体" w:cs="宋体"/>
          <w:b/>
          <w:color w:val="auto"/>
          <w:kern w:val="0"/>
          <w:sz w:val="24"/>
          <w:szCs w:val="21"/>
          <w:highlight w:val="none"/>
        </w:rPr>
        <w:t>PDF形式</w:t>
      </w:r>
      <w:r>
        <w:rPr>
          <w:rFonts w:ascii="宋体" w:hAnsi="宋体" w:eastAsia="宋体" w:cs="宋体"/>
          <w:b/>
          <w:color w:val="auto"/>
          <w:kern w:val="0"/>
          <w:sz w:val="24"/>
          <w:szCs w:val="21"/>
          <w:highlight w:val="none"/>
        </w:rPr>
        <w:t>价格应保持一致</w:t>
      </w:r>
      <w:r>
        <w:rPr>
          <w:rFonts w:hint="eastAsia" w:ascii="宋体" w:hAnsi="宋体" w:eastAsia="宋体" w:cs="宋体"/>
          <w:b/>
          <w:color w:val="auto"/>
          <w:kern w:val="0"/>
          <w:sz w:val="24"/>
          <w:szCs w:val="21"/>
          <w:highlight w:val="none"/>
        </w:rPr>
        <w:t>；当</w:t>
      </w:r>
      <w:r>
        <w:rPr>
          <w:rFonts w:ascii="宋体" w:hAnsi="宋体" w:eastAsia="宋体" w:cs="宋体"/>
          <w:b/>
          <w:color w:val="auto"/>
          <w:kern w:val="0"/>
          <w:sz w:val="24"/>
          <w:szCs w:val="21"/>
          <w:highlight w:val="none"/>
        </w:rPr>
        <w:t>系统报价与挂接</w:t>
      </w:r>
      <w:r>
        <w:rPr>
          <w:rFonts w:hint="eastAsia" w:ascii="宋体" w:hAnsi="宋体" w:eastAsia="宋体" w:cs="宋体"/>
          <w:b/>
          <w:color w:val="auto"/>
          <w:kern w:val="0"/>
          <w:sz w:val="24"/>
          <w:szCs w:val="21"/>
          <w:highlight w:val="none"/>
        </w:rPr>
        <w:t>PDF形式报</w:t>
      </w:r>
      <w:r>
        <w:rPr>
          <w:rFonts w:ascii="宋体" w:hAnsi="宋体" w:eastAsia="宋体" w:cs="宋体"/>
          <w:b/>
          <w:color w:val="auto"/>
          <w:kern w:val="0"/>
          <w:sz w:val="24"/>
          <w:szCs w:val="21"/>
          <w:highlight w:val="none"/>
        </w:rPr>
        <w:t>价不一致的，以“</w:t>
      </w:r>
      <w:r>
        <w:rPr>
          <w:rFonts w:hint="eastAsia" w:ascii="宋体" w:hAnsi="宋体" w:eastAsia="宋体" w:cs="宋体"/>
          <w:b/>
          <w:color w:val="auto"/>
          <w:kern w:val="0"/>
          <w:sz w:val="24"/>
          <w:szCs w:val="21"/>
          <w:highlight w:val="none"/>
        </w:rPr>
        <w:t>采</w:t>
      </w:r>
      <w:r>
        <w:rPr>
          <w:rFonts w:ascii="宋体" w:hAnsi="宋体" w:eastAsia="宋体" w:cs="宋体"/>
          <w:b/>
          <w:color w:val="auto"/>
          <w:kern w:val="0"/>
          <w:sz w:val="24"/>
          <w:szCs w:val="21"/>
          <w:highlight w:val="none"/>
        </w:rPr>
        <w:t>办业务系统</w:t>
      </w:r>
      <w:r>
        <w:rPr>
          <w:rFonts w:hint="eastAsia" w:ascii="宋体" w:hAnsi="宋体" w:eastAsia="宋体" w:cs="宋体"/>
          <w:b/>
          <w:color w:val="auto"/>
          <w:kern w:val="0"/>
          <w:sz w:val="24"/>
          <w:szCs w:val="21"/>
          <w:highlight w:val="none"/>
        </w:rPr>
        <w:t>报价</w:t>
      </w:r>
      <w:r>
        <w:rPr>
          <w:rFonts w:ascii="宋体" w:hAnsi="宋体" w:eastAsia="宋体" w:cs="宋体"/>
          <w:b/>
          <w:color w:val="auto"/>
          <w:kern w:val="0"/>
          <w:sz w:val="24"/>
          <w:szCs w:val="21"/>
          <w:highlight w:val="none"/>
        </w:rPr>
        <w:t>”为准；</w:t>
      </w:r>
    </w:p>
    <w:p>
      <w:pPr>
        <w:widowControl/>
        <w:spacing w:line="420" w:lineRule="atLeast"/>
        <w:ind w:firstLine="482" w:firstLineChars="200"/>
        <w:jc w:val="left"/>
        <w:rPr>
          <w:rFonts w:ascii="宋体" w:hAnsi="宋体" w:eastAsia="宋体" w:cs="宋体"/>
          <w:color w:val="auto"/>
          <w:kern w:val="0"/>
          <w:sz w:val="24"/>
          <w:szCs w:val="24"/>
          <w:highlight w:val="none"/>
        </w:rPr>
      </w:pPr>
      <w:r>
        <w:rPr>
          <w:rFonts w:hint="eastAsia" w:ascii="宋体" w:hAnsi="宋体" w:eastAsia="宋体" w:cs="宋体"/>
          <w:b/>
          <w:color w:val="auto"/>
          <w:kern w:val="0"/>
          <w:sz w:val="24"/>
          <w:szCs w:val="21"/>
          <w:highlight w:val="none"/>
        </w:rPr>
        <w:t>（2</w:t>
      </w:r>
      <w:r>
        <w:rPr>
          <w:rFonts w:ascii="宋体" w:hAnsi="宋体" w:eastAsia="宋体" w:cs="宋体"/>
          <w:b/>
          <w:color w:val="auto"/>
          <w:kern w:val="0"/>
          <w:sz w:val="24"/>
          <w:szCs w:val="21"/>
          <w:highlight w:val="none"/>
        </w:rPr>
        <w:t>）</w:t>
      </w:r>
      <w:r>
        <w:rPr>
          <w:rFonts w:hint="eastAsia" w:ascii="宋体" w:hAnsi="宋体" w:eastAsia="宋体" w:cs="宋体"/>
          <w:b/>
          <w:color w:val="auto"/>
          <w:kern w:val="0"/>
          <w:sz w:val="24"/>
          <w:szCs w:val="21"/>
          <w:highlight w:val="none"/>
        </w:rPr>
        <w:t>响应人如发现询价文件及其评审办法中存在含糊不清、相互矛盾、多种含义以及歧视性不公正条款或违法违规内容时，</w:t>
      </w:r>
      <w:r>
        <w:rPr>
          <w:rFonts w:hint="eastAsia" w:ascii="宋体" w:hAnsi="宋体" w:eastAsia="宋体" w:cs="宋体"/>
          <w:b/>
          <w:color w:val="FF0000"/>
          <w:kern w:val="0"/>
          <w:sz w:val="24"/>
          <w:szCs w:val="21"/>
          <w:highlight w:val="none"/>
        </w:rPr>
        <w:t>请在</w:t>
      </w:r>
      <w:r>
        <w:rPr>
          <w:rFonts w:hint="eastAsia" w:ascii="宋体" w:hAnsi="宋体" w:eastAsia="宋体" w:cs="宋体"/>
          <w:b/>
          <w:color w:val="FF0000"/>
          <w:kern w:val="0"/>
          <w:sz w:val="24"/>
          <w:szCs w:val="21"/>
          <w:highlight w:val="none"/>
          <w:lang w:val="en-US" w:eastAsia="zh-CN"/>
        </w:rPr>
        <w:t>2025年4月1</w:t>
      </w:r>
      <w:bookmarkStart w:id="0" w:name="_GoBack"/>
      <w:bookmarkEnd w:id="0"/>
      <w:r>
        <w:rPr>
          <w:rFonts w:hint="eastAsia" w:ascii="宋体" w:hAnsi="宋体" w:eastAsia="宋体" w:cs="宋体"/>
          <w:b/>
          <w:color w:val="FF0000"/>
          <w:kern w:val="0"/>
          <w:sz w:val="24"/>
          <w:szCs w:val="21"/>
          <w:highlight w:val="none"/>
          <w:lang w:val="en-US" w:eastAsia="zh-CN"/>
        </w:rPr>
        <w:t>日9：00</w:t>
      </w:r>
      <w:r>
        <w:rPr>
          <w:rFonts w:ascii="宋体" w:hAnsi="宋体" w:eastAsia="宋体" w:cs="宋体"/>
          <w:b/>
          <w:color w:val="FF0000"/>
          <w:kern w:val="0"/>
          <w:sz w:val="24"/>
          <w:szCs w:val="21"/>
          <w:highlight w:val="none"/>
        </w:rPr>
        <w:t>前</w:t>
      </w:r>
      <w:r>
        <w:rPr>
          <w:rFonts w:hint="eastAsia" w:ascii="宋体" w:hAnsi="宋体" w:eastAsia="宋体" w:cs="宋体"/>
          <w:b/>
          <w:color w:val="FF0000"/>
          <w:kern w:val="0"/>
          <w:sz w:val="24"/>
          <w:szCs w:val="21"/>
          <w:highlight w:val="none"/>
          <w:lang w:val="en-US" w:eastAsia="zh-CN"/>
        </w:rPr>
        <w:t>以</w:t>
      </w:r>
      <w:r>
        <w:rPr>
          <w:rFonts w:hint="eastAsia" w:ascii="宋体" w:hAnsi="宋体" w:eastAsia="宋体" w:cs="宋体"/>
          <w:b/>
          <w:color w:val="FF0000"/>
          <w:kern w:val="0"/>
          <w:sz w:val="24"/>
          <w:szCs w:val="21"/>
          <w:highlight w:val="none"/>
        </w:rPr>
        <w:t>书面形式</w:t>
      </w:r>
      <w:r>
        <w:rPr>
          <w:rFonts w:hint="eastAsia" w:ascii="宋体" w:hAnsi="宋体" w:eastAsia="宋体" w:cs="宋体"/>
          <w:b/>
          <w:color w:val="FF0000"/>
          <w:kern w:val="0"/>
          <w:sz w:val="24"/>
          <w:szCs w:val="21"/>
          <w:highlight w:val="none"/>
          <w:lang w:eastAsia="zh-CN"/>
        </w:rPr>
        <w:t>（</w:t>
      </w:r>
      <w:r>
        <w:rPr>
          <w:rFonts w:hint="eastAsia" w:ascii="宋体" w:hAnsi="宋体" w:eastAsia="宋体" w:cs="宋体"/>
          <w:b/>
          <w:color w:val="FF0000"/>
          <w:kern w:val="0"/>
          <w:sz w:val="24"/>
          <w:szCs w:val="21"/>
          <w:highlight w:val="none"/>
          <w:lang w:val="en-US" w:eastAsia="zh-CN"/>
        </w:rPr>
        <w:t>通过系统澄清</w:t>
      </w:r>
      <w:r>
        <w:rPr>
          <w:rFonts w:hint="eastAsia" w:ascii="宋体" w:hAnsi="宋体" w:eastAsia="宋体" w:cs="宋体"/>
          <w:b/>
          <w:color w:val="FF0000"/>
          <w:kern w:val="0"/>
          <w:sz w:val="24"/>
          <w:szCs w:val="21"/>
          <w:highlight w:val="none"/>
          <w:lang w:eastAsia="zh-CN"/>
        </w:rPr>
        <w:t>）</w:t>
      </w:r>
      <w:r>
        <w:rPr>
          <w:rFonts w:hint="eastAsia" w:ascii="宋体" w:hAnsi="宋体" w:eastAsia="宋体" w:cs="宋体"/>
          <w:b/>
          <w:color w:val="FF0000"/>
          <w:kern w:val="0"/>
          <w:sz w:val="24"/>
          <w:szCs w:val="21"/>
          <w:highlight w:val="none"/>
        </w:rPr>
        <w:t>反映，</w:t>
      </w:r>
      <w:r>
        <w:rPr>
          <w:rFonts w:hint="eastAsia" w:ascii="宋体" w:hAnsi="宋体" w:eastAsia="宋体" w:cs="宋体"/>
          <w:b/>
          <w:color w:val="auto"/>
          <w:kern w:val="0"/>
          <w:sz w:val="24"/>
          <w:szCs w:val="21"/>
          <w:highlight w:val="none"/>
        </w:rPr>
        <w:t>未对询价文件提出异议或要求澄清的，将视为完全理解并默认询价文件所有条款，并同意放弃对询价文件有不明或误解而询问、质疑、投诉的权利；</w:t>
      </w:r>
    </w:p>
    <w:p>
      <w:pPr>
        <w:widowControl/>
        <w:snapToGrid w:val="0"/>
        <w:spacing w:line="460" w:lineRule="exact"/>
        <w:ind w:firstLine="482" w:firstLineChars="200"/>
        <w:jc w:val="left"/>
        <w:rPr>
          <w:rFonts w:hint="eastAsia" w:ascii="宋体" w:hAnsi="宋体" w:eastAsia="宋体" w:cs="宋体"/>
          <w:b/>
          <w:color w:val="auto"/>
          <w:kern w:val="0"/>
          <w:sz w:val="24"/>
          <w:szCs w:val="21"/>
          <w:highlight w:val="none"/>
        </w:rPr>
      </w:pPr>
      <w:r>
        <w:rPr>
          <w:rFonts w:hint="eastAsia" w:ascii="宋体" w:hAnsi="宋体" w:eastAsia="宋体" w:cs="宋体"/>
          <w:b/>
          <w:color w:val="auto"/>
          <w:kern w:val="0"/>
          <w:sz w:val="24"/>
          <w:szCs w:val="21"/>
          <w:highlight w:val="none"/>
        </w:rPr>
        <w:t>（</w:t>
      </w:r>
      <w:r>
        <w:rPr>
          <w:rFonts w:ascii="宋体" w:hAnsi="宋体" w:eastAsia="宋体" w:cs="宋体"/>
          <w:b/>
          <w:color w:val="auto"/>
          <w:kern w:val="0"/>
          <w:sz w:val="24"/>
          <w:szCs w:val="21"/>
          <w:highlight w:val="none"/>
        </w:rPr>
        <w:t>3</w:t>
      </w:r>
      <w:r>
        <w:rPr>
          <w:rFonts w:hint="eastAsia" w:ascii="宋体" w:hAnsi="宋体" w:eastAsia="宋体" w:cs="宋体"/>
          <w:b/>
          <w:color w:val="auto"/>
          <w:kern w:val="0"/>
          <w:sz w:val="24"/>
          <w:szCs w:val="21"/>
          <w:highlight w:val="none"/>
        </w:rPr>
        <w:t>）凡参加的响应人均视作认同本次询价的各项约定事宜(包括供应商资格、技术参数、相关日期等)响应人不得以各类约定事宜提出质疑。</w:t>
      </w:r>
    </w:p>
    <w:p>
      <w:pPr>
        <w:pStyle w:val="7"/>
        <w:rPr>
          <w:rFonts w:hint="eastAsia"/>
          <w:highlight w:val="none"/>
        </w:rPr>
      </w:pPr>
    </w:p>
    <w:p>
      <w:pPr>
        <w:widowControl/>
        <w:tabs>
          <w:tab w:val="left" w:pos="3544"/>
        </w:tabs>
        <w:snapToGrid w:val="0"/>
        <w:spacing w:line="460" w:lineRule="exact"/>
        <w:ind w:firstLine="241" w:firstLineChars="100"/>
        <w:jc w:val="left"/>
        <w:outlineLvl w:val="0"/>
        <w:rPr>
          <w:rFonts w:ascii="宋体" w:hAnsi="宋体" w:eastAsia="宋体" w:cs="宋体"/>
          <w:b/>
          <w:kern w:val="0"/>
          <w:sz w:val="24"/>
          <w:szCs w:val="24"/>
          <w:highlight w:val="none"/>
        </w:rPr>
      </w:pPr>
      <w:r>
        <w:rPr>
          <w:rFonts w:hint="eastAsia" w:ascii="宋体" w:hAnsi="宋体" w:eastAsia="宋体" w:cs="宋体"/>
          <w:b/>
          <w:kern w:val="0"/>
          <w:sz w:val="24"/>
          <w:szCs w:val="21"/>
          <w:highlight w:val="none"/>
        </w:rPr>
        <w:t>二、询价文件及评审</w:t>
      </w:r>
    </w:p>
    <w:p>
      <w:pPr>
        <w:widowControl/>
        <w:snapToGrid w:val="0"/>
        <w:spacing w:line="460" w:lineRule="exact"/>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1"/>
          <w:highlight w:val="none"/>
        </w:rPr>
        <w:t>1．询价文件构成：</w:t>
      </w:r>
    </w:p>
    <w:p>
      <w:pPr>
        <w:spacing w:line="360" w:lineRule="auto"/>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本</w:t>
      </w:r>
      <w:r>
        <w:rPr>
          <w:rFonts w:asciiTheme="minorEastAsia" w:hAnsiTheme="minorEastAsia"/>
          <w:sz w:val="24"/>
          <w:szCs w:val="24"/>
          <w:highlight w:val="none"/>
        </w:rPr>
        <w:t>询价文件</w:t>
      </w:r>
      <w:r>
        <w:rPr>
          <w:rFonts w:hint="eastAsia" w:asciiTheme="minorEastAsia" w:hAnsiTheme="minorEastAsia"/>
          <w:sz w:val="24"/>
          <w:szCs w:val="24"/>
          <w:highlight w:val="none"/>
        </w:rPr>
        <w:t>包括</w:t>
      </w:r>
      <w:r>
        <w:rPr>
          <w:rFonts w:hint="eastAsia" w:asciiTheme="minorEastAsia" w:hAnsiTheme="minorEastAsia"/>
          <w:sz w:val="24"/>
          <w:szCs w:val="24"/>
          <w:highlight w:val="none"/>
          <w:lang w:val="en-US" w:eastAsia="zh-CN"/>
        </w:rPr>
        <w:t>10</w:t>
      </w:r>
      <w:r>
        <w:rPr>
          <w:rFonts w:asciiTheme="minorEastAsia" w:hAnsiTheme="minorEastAsia"/>
          <w:sz w:val="24"/>
          <w:szCs w:val="24"/>
          <w:highlight w:val="none"/>
        </w:rPr>
        <w:t>部分</w:t>
      </w:r>
      <w:r>
        <w:rPr>
          <w:rFonts w:hint="eastAsia" w:asciiTheme="minorEastAsia" w:hAnsiTheme="minorEastAsia"/>
          <w:sz w:val="24"/>
          <w:szCs w:val="24"/>
          <w:highlight w:val="none"/>
        </w:rPr>
        <w:t>，</w:t>
      </w:r>
      <w:r>
        <w:rPr>
          <w:rFonts w:asciiTheme="minorEastAsia" w:hAnsiTheme="minorEastAsia"/>
          <w:sz w:val="24"/>
          <w:szCs w:val="24"/>
          <w:highlight w:val="none"/>
        </w:rPr>
        <w:t>请仔细阅读</w:t>
      </w:r>
      <w:r>
        <w:rPr>
          <w:rFonts w:hint="eastAsia" w:asciiTheme="minorEastAsia" w:hAnsiTheme="minorEastAsia"/>
          <w:sz w:val="24"/>
          <w:szCs w:val="24"/>
          <w:highlight w:val="none"/>
        </w:rPr>
        <w:t>和检查询价文件的全部内容：</w:t>
      </w:r>
    </w:p>
    <w:p>
      <w:pPr>
        <w:spacing w:line="360" w:lineRule="auto"/>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附件1</w:t>
      </w:r>
      <w:r>
        <w:rPr>
          <w:rFonts w:asciiTheme="minorEastAsia" w:hAnsiTheme="minorEastAsia"/>
          <w:sz w:val="24"/>
          <w:szCs w:val="24"/>
          <w:highlight w:val="none"/>
        </w:rPr>
        <w:t>：本次询价的基本要求；</w:t>
      </w:r>
    </w:p>
    <w:p>
      <w:pPr>
        <w:spacing w:line="360" w:lineRule="auto"/>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附件2</w:t>
      </w:r>
      <w:r>
        <w:rPr>
          <w:rFonts w:asciiTheme="minorEastAsia" w:hAnsiTheme="minorEastAsia"/>
          <w:sz w:val="24"/>
          <w:szCs w:val="24"/>
          <w:highlight w:val="none"/>
        </w:rPr>
        <w:t>：</w:t>
      </w:r>
      <w:r>
        <w:rPr>
          <w:rFonts w:hint="eastAsia" w:asciiTheme="minorEastAsia" w:hAnsiTheme="minorEastAsia"/>
          <w:sz w:val="24"/>
          <w:szCs w:val="24"/>
          <w:highlight w:val="none"/>
          <w:lang w:val="en-US" w:eastAsia="zh-CN"/>
        </w:rPr>
        <w:t>技术询价文件</w:t>
      </w:r>
      <w:r>
        <w:rPr>
          <w:rFonts w:asciiTheme="minorEastAsia" w:hAnsiTheme="minorEastAsia"/>
          <w:sz w:val="24"/>
          <w:szCs w:val="24"/>
          <w:highlight w:val="none"/>
        </w:rPr>
        <w:t>；</w:t>
      </w:r>
    </w:p>
    <w:p>
      <w:pPr>
        <w:spacing w:line="360" w:lineRule="auto"/>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附件</w:t>
      </w:r>
      <w:r>
        <w:rPr>
          <w:rFonts w:asciiTheme="minorEastAsia" w:hAnsiTheme="minorEastAsia"/>
          <w:sz w:val="24"/>
          <w:szCs w:val="24"/>
          <w:highlight w:val="none"/>
        </w:rPr>
        <w:t>3：</w:t>
      </w:r>
      <w:r>
        <w:rPr>
          <w:rFonts w:hint="eastAsia" w:asciiTheme="minorEastAsia" w:hAnsiTheme="minorEastAsia"/>
          <w:sz w:val="24"/>
          <w:szCs w:val="24"/>
          <w:highlight w:val="none"/>
        </w:rPr>
        <w:t>报价单</w:t>
      </w:r>
      <w:r>
        <w:rPr>
          <w:rFonts w:asciiTheme="minorEastAsia" w:hAnsiTheme="minorEastAsia"/>
          <w:sz w:val="24"/>
          <w:szCs w:val="24"/>
          <w:highlight w:val="none"/>
        </w:rPr>
        <w:t>格式；</w:t>
      </w:r>
    </w:p>
    <w:p>
      <w:pPr>
        <w:spacing w:line="360" w:lineRule="auto"/>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附件</w:t>
      </w:r>
      <w:r>
        <w:rPr>
          <w:rFonts w:asciiTheme="minorEastAsia" w:hAnsiTheme="minorEastAsia"/>
          <w:sz w:val="24"/>
          <w:szCs w:val="24"/>
          <w:highlight w:val="none"/>
        </w:rPr>
        <w:t>4：合同文本；</w:t>
      </w:r>
    </w:p>
    <w:p>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附件</w:t>
      </w:r>
      <w:r>
        <w:rPr>
          <w:rFonts w:hint="eastAsia" w:asciiTheme="minorEastAsia" w:hAnsiTheme="minorEastAsia"/>
          <w:color w:val="auto"/>
          <w:sz w:val="24"/>
          <w:szCs w:val="24"/>
          <w:highlight w:val="none"/>
          <w:lang w:val="en-US" w:eastAsia="zh-CN"/>
        </w:rPr>
        <w:t>5</w:t>
      </w:r>
      <w:r>
        <w:rPr>
          <w:rFonts w:hint="eastAsia" w:asciiTheme="minorEastAsia" w:hAnsiTheme="minorEastAsia"/>
          <w:color w:val="auto"/>
          <w:sz w:val="24"/>
          <w:szCs w:val="24"/>
          <w:highlight w:val="none"/>
        </w:rPr>
        <w:t>：</w:t>
      </w:r>
      <w:r>
        <w:rPr>
          <w:rFonts w:hint="eastAsia" w:asciiTheme="minorEastAsia" w:hAnsiTheme="minorEastAsia"/>
          <w:color w:val="auto"/>
          <w:sz w:val="24"/>
          <w:szCs w:val="24"/>
          <w:highlight w:val="none"/>
          <w:lang w:val="en-US" w:eastAsia="zh-CN"/>
        </w:rPr>
        <w:t>供应商</w:t>
      </w:r>
      <w:r>
        <w:rPr>
          <w:rFonts w:hint="eastAsia" w:asciiTheme="minorEastAsia" w:hAnsiTheme="minorEastAsia"/>
          <w:color w:val="auto"/>
          <w:sz w:val="24"/>
          <w:szCs w:val="24"/>
          <w:highlight w:val="none"/>
        </w:rPr>
        <w:t>承诺书</w:t>
      </w:r>
      <w:r>
        <w:rPr>
          <w:rFonts w:asciiTheme="minorEastAsia" w:hAnsiTheme="minorEastAsia"/>
          <w:sz w:val="24"/>
          <w:szCs w:val="24"/>
          <w:highlight w:val="none"/>
        </w:rPr>
        <w:t>；</w:t>
      </w:r>
    </w:p>
    <w:p>
      <w:pPr>
        <w:spacing w:line="360" w:lineRule="auto"/>
        <w:ind w:firstLine="480" w:firstLineChars="200"/>
        <w:rPr>
          <w:rFonts w:hint="eastAsia" w:asciiTheme="minorEastAsia" w:hAnsiTheme="minorEastAsia"/>
          <w:color w:val="auto"/>
          <w:sz w:val="24"/>
          <w:szCs w:val="24"/>
          <w:highlight w:val="none"/>
        </w:rPr>
      </w:pPr>
      <w:r>
        <w:rPr>
          <w:rFonts w:asciiTheme="minorEastAsia" w:hAnsiTheme="minorEastAsia"/>
          <w:color w:val="auto"/>
          <w:sz w:val="24"/>
          <w:szCs w:val="24"/>
          <w:highlight w:val="none"/>
        </w:rPr>
        <w:t>附件</w:t>
      </w:r>
      <w:r>
        <w:rPr>
          <w:rFonts w:hint="eastAsia" w:asciiTheme="minorEastAsia" w:hAnsiTheme="minorEastAsia"/>
          <w:color w:val="auto"/>
          <w:sz w:val="24"/>
          <w:szCs w:val="24"/>
          <w:highlight w:val="none"/>
          <w:lang w:val="en-US" w:eastAsia="zh-CN"/>
        </w:rPr>
        <w:t>6</w:t>
      </w:r>
      <w:r>
        <w:rPr>
          <w:rFonts w:hint="eastAsia" w:asciiTheme="minorEastAsia" w:hAnsiTheme="minorEastAsia"/>
          <w:color w:val="auto"/>
          <w:sz w:val="24"/>
          <w:szCs w:val="24"/>
          <w:highlight w:val="none"/>
        </w:rPr>
        <w:t>：供应商履约异常处罚方式</w:t>
      </w:r>
      <w:r>
        <w:rPr>
          <w:rFonts w:asciiTheme="minorEastAsia" w:hAnsiTheme="minorEastAsia"/>
          <w:sz w:val="24"/>
          <w:szCs w:val="24"/>
          <w:highlight w:val="none"/>
        </w:rPr>
        <w:t>；</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附件7：供应商绿色环保承诺书</w:t>
      </w:r>
      <w:r>
        <w:rPr>
          <w:rFonts w:asciiTheme="minorEastAsia" w:hAnsiTheme="minorEastAsia"/>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auto"/>
          <w:sz w:val="24"/>
          <w:szCs w:val="24"/>
          <w:highlight w:val="none"/>
          <w:lang w:eastAsia="zh-CN"/>
        </w:rPr>
      </w:pPr>
      <w:r>
        <w:rPr>
          <w:rFonts w:hint="default" w:ascii="宋体" w:hAnsi="宋体"/>
          <w:color w:val="auto"/>
          <w:sz w:val="24"/>
          <w:szCs w:val="24"/>
          <w:highlight w:val="none"/>
          <w:lang w:eastAsia="zh-CN"/>
        </w:rPr>
        <w:t>附件8：HSE协议</w:t>
      </w:r>
      <w:r>
        <w:rPr>
          <w:rFonts w:asciiTheme="minorEastAsia" w:hAnsiTheme="minorEastAsia"/>
          <w:sz w:val="24"/>
          <w:szCs w:val="24"/>
          <w:highlight w:val="none"/>
        </w:rPr>
        <w:t>；</w:t>
      </w:r>
    </w:p>
    <w:p>
      <w:pPr>
        <w:pStyle w:val="7"/>
        <w:ind w:left="0" w:leftChars="0"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附件9：供应商一单一考评表</w:t>
      </w:r>
      <w:r>
        <w:rPr>
          <w:rFonts w:asciiTheme="minorEastAsia" w:hAnsiTheme="minorEastAsia"/>
          <w:sz w:val="24"/>
          <w:szCs w:val="24"/>
          <w:highlight w:val="none"/>
        </w:rPr>
        <w:t>；</w:t>
      </w:r>
    </w:p>
    <w:p>
      <w:pPr>
        <w:ind w:firstLine="480" w:firstLineChars="200"/>
        <w:rPr>
          <w:rFonts w:hint="default"/>
          <w:lang w:val="en-US" w:eastAsia="zh-CN"/>
        </w:rPr>
      </w:pPr>
      <w:r>
        <w:rPr>
          <w:rFonts w:hint="eastAsia" w:ascii="宋体" w:hAnsi="宋体"/>
          <w:color w:val="auto"/>
          <w:sz w:val="24"/>
          <w:szCs w:val="24"/>
          <w:highlight w:val="none"/>
          <w:lang w:val="en-US" w:eastAsia="zh-CN"/>
        </w:rPr>
        <w:t>附件10：供应商报价须知</w:t>
      </w:r>
      <w:r>
        <w:rPr>
          <w:rFonts w:asciiTheme="minorEastAsia" w:hAnsiTheme="minorEastAsia"/>
          <w:sz w:val="24"/>
          <w:szCs w:val="24"/>
          <w:highlight w:val="none"/>
        </w:rPr>
        <w:t>；</w:t>
      </w:r>
    </w:p>
    <w:p>
      <w:pPr>
        <w:spacing w:line="360" w:lineRule="auto"/>
        <w:ind w:firstLine="482" w:firstLineChars="200"/>
        <w:rPr>
          <w:rFonts w:asciiTheme="minorEastAsia" w:hAnsiTheme="minorEastAsia"/>
          <w:color w:val="FF0000"/>
          <w:sz w:val="24"/>
          <w:szCs w:val="24"/>
          <w:highlight w:val="none"/>
        </w:rPr>
      </w:pPr>
      <w:r>
        <w:rPr>
          <w:rFonts w:asciiTheme="minorEastAsia" w:hAnsiTheme="minorEastAsia"/>
          <w:b/>
          <w:bCs/>
          <w:color w:val="FF0000"/>
          <w:sz w:val="24"/>
          <w:szCs w:val="24"/>
          <w:highlight w:val="none"/>
        </w:rPr>
        <w:t>2</w:t>
      </w:r>
      <w:r>
        <w:rPr>
          <w:rFonts w:hint="eastAsia" w:asciiTheme="minorEastAsia" w:hAnsiTheme="minorEastAsia"/>
          <w:b/>
          <w:bCs/>
          <w:color w:val="FF0000"/>
          <w:sz w:val="24"/>
          <w:szCs w:val="24"/>
          <w:highlight w:val="none"/>
        </w:rPr>
        <w:t>．评审原则：本次采用响应询价文件要求且报价最低</w:t>
      </w:r>
      <w:r>
        <w:rPr>
          <w:rFonts w:hint="eastAsia" w:asciiTheme="minorEastAsia" w:hAnsiTheme="minorEastAsia"/>
          <w:b/>
          <w:bCs/>
          <w:color w:val="FF0000"/>
          <w:sz w:val="24"/>
          <w:szCs w:val="24"/>
          <w:highlight w:val="none"/>
          <w:lang w:val="en-US" w:eastAsia="zh-CN"/>
        </w:rPr>
        <w:t>中标</w:t>
      </w:r>
      <w:r>
        <w:rPr>
          <w:rFonts w:hint="eastAsia" w:asciiTheme="minorEastAsia" w:hAnsiTheme="minorEastAsia"/>
          <w:b/>
          <w:bCs/>
          <w:color w:val="FF0000"/>
          <w:sz w:val="24"/>
          <w:szCs w:val="24"/>
          <w:highlight w:val="none"/>
        </w:rPr>
        <w:t>原则</w:t>
      </w:r>
      <w:r>
        <w:rPr>
          <w:rFonts w:hint="eastAsia" w:asciiTheme="minorEastAsia" w:hAnsiTheme="minorEastAsia"/>
          <w:b/>
          <w:bCs/>
          <w:color w:val="FF0000"/>
          <w:sz w:val="24"/>
          <w:szCs w:val="24"/>
          <w:highlight w:val="none"/>
          <w:lang w:eastAsia="zh-CN"/>
        </w:rPr>
        <w:t>，</w:t>
      </w:r>
      <w:r>
        <w:rPr>
          <w:rFonts w:hint="eastAsia" w:asciiTheme="minorEastAsia" w:hAnsiTheme="minorEastAsia"/>
          <w:b/>
          <w:bCs/>
          <w:color w:val="FF0000"/>
          <w:sz w:val="24"/>
          <w:szCs w:val="24"/>
          <w:highlight w:val="none"/>
          <w:lang w:val="en-US" w:eastAsia="zh-CN"/>
        </w:rPr>
        <w:t>即最低评标价中标原则</w:t>
      </w:r>
      <w:r>
        <w:rPr>
          <w:rFonts w:hint="eastAsia" w:asciiTheme="minorEastAsia" w:hAnsiTheme="minorEastAsia"/>
          <w:b/>
          <w:bCs/>
          <w:color w:val="FF0000"/>
          <w:sz w:val="24"/>
          <w:szCs w:val="24"/>
          <w:highlight w:val="none"/>
        </w:rPr>
        <w:t>。如</w:t>
      </w:r>
      <w:r>
        <w:rPr>
          <w:rFonts w:hint="eastAsia" w:asciiTheme="minorEastAsia" w:hAnsiTheme="minorEastAsia"/>
          <w:b/>
          <w:bCs/>
          <w:color w:val="FF0000"/>
          <w:sz w:val="24"/>
          <w:szCs w:val="24"/>
          <w:highlight w:val="none"/>
          <w:lang w:val="en-US" w:eastAsia="zh-CN"/>
        </w:rPr>
        <w:t>存在最低评标价一致情形，则投标价低的优先；若投标报价也相等，则技术条款偏离少的优先；若技术条款偏离相等</w:t>
      </w:r>
      <w:r>
        <w:rPr>
          <w:rFonts w:hint="eastAsia" w:asciiTheme="minorEastAsia" w:hAnsiTheme="minorEastAsia"/>
          <w:b/>
          <w:bCs/>
          <w:color w:val="FF0000"/>
          <w:sz w:val="24"/>
          <w:szCs w:val="24"/>
          <w:highlight w:val="none"/>
        </w:rPr>
        <w:t>，</w:t>
      </w:r>
      <w:r>
        <w:rPr>
          <w:rFonts w:hint="eastAsia" w:asciiTheme="minorEastAsia" w:hAnsiTheme="minorEastAsia"/>
          <w:b/>
          <w:bCs/>
          <w:color w:val="FF0000"/>
          <w:sz w:val="24"/>
          <w:szCs w:val="24"/>
          <w:highlight w:val="none"/>
          <w:lang w:val="en-US" w:eastAsia="zh-CN"/>
        </w:rPr>
        <w:t>则</w:t>
      </w:r>
      <w:r>
        <w:rPr>
          <w:rFonts w:hint="eastAsia" w:asciiTheme="minorEastAsia" w:hAnsiTheme="minorEastAsia"/>
          <w:b/>
          <w:bCs/>
          <w:color w:val="FF0000"/>
          <w:sz w:val="24"/>
          <w:szCs w:val="24"/>
          <w:highlight w:val="none"/>
        </w:rPr>
        <w:t>注册资金</w:t>
      </w:r>
      <w:r>
        <w:rPr>
          <w:rFonts w:hint="eastAsia" w:asciiTheme="minorEastAsia" w:hAnsiTheme="minorEastAsia"/>
          <w:b/>
          <w:bCs/>
          <w:color w:val="FF0000"/>
          <w:sz w:val="24"/>
          <w:szCs w:val="24"/>
          <w:highlight w:val="none"/>
          <w:lang w:val="en-US" w:eastAsia="zh-CN"/>
        </w:rPr>
        <w:t>高的优先；若前述规则均无法确定中标人，则由招标人自行确定中标人</w:t>
      </w:r>
      <w:r>
        <w:rPr>
          <w:rFonts w:hint="eastAsia" w:asciiTheme="minorEastAsia" w:hAnsiTheme="minorEastAsia"/>
          <w:color w:val="FF0000"/>
          <w:sz w:val="24"/>
          <w:szCs w:val="24"/>
          <w:highlight w:val="none"/>
        </w:rPr>
        <w:t>。</w:t>
      </w:r>
    </w:p>
    <w:p>
      <w:pPr>
        <w:spacing w:line="360" w:lineRule="auto"/>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 xml:space="preserve">3．响应报价有算术错误及其他错误的，评审小组按以下原则要求报价人对响应报价进行修正，并要求供应商澄清确认。供应商拒不澄清确认的，评审小组应当否决其响应文件： </w:t>
      </w:r>
    </w:p>
    <w:p>
      <w:pPr>
        <w:spacing w:line="360" w:lineRule="auto"/>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 xml:space="preserve">(1) 响应文件中的大写金额与小写金额不一致的，以大写金额为准； </w:t>
      </w:r>
    </w:p>
    <w:p>
      <w:pPr>
        <w:spacing w:line="360" w:lineRule="auto"/>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 xml:space="preserve">(2）总价金额与单价金额不一致的，以单价金额为准，但单价金额小数点有明显错误的除外； </w:t>
      </w:r>
    </w:p>
    <w:p>
      <w:pPr>
        <w:spacing w:line="360" w:lineRule="auto"/>
        <w:ind w:firstLine="480" w:firstLineChars="200"/>
        <w:rPr>
          <w:rFonts w:hint="eastAsia" w:asciiTheme="minorEastAsia" w:hAnsiTheme="minorEastAsia"/>
          <w:sz w:val="24"/>
          <w:szCs w:val="24"/>
          <w:highlight w:val="none"/>
        </w:rPr>
      </w:pPr>
      <w:r>
        <w:rPr>
          <w:rFonts w:hint="eastAsia" w:asciiTheme="minorEastAsia" w:hAnsiTheme="minorEastAsia"/>
          <w:sz w:val="24"/>
          <w:szCs w:val="24"/>
          <w:highlight w:val="none"/>
        </w:rPr>
        <w:t>(3) 响应报价为各分项报价金额之和，响应报价与分项报价的合价不一致的， 应以各分项合价累计数为准，修正响应报价。</w:t>
      </w:r>
    </w:p>
    <w:p>
      <w:pPr>
        <w:spacing w:line="360" w:lineRule="auto"/>
        <w:ind w:firstLine="480" w:firstLineChars="200"/>
        <w:rPr>
          <w:rFonts w:hint="eastAsia" w:asciiTheme="minorEastAsia" w:hAnsiTheme="minorEastAsia"/>
          <w:sz w:val="24"/>
          <w:szCs w:val="24"/>
          <w:highlight w:val="none"/>
        </w:rPr>
      </w:pPr>
      <w:r>
        <w:rPr>
          <w:rFonts w:hint="eastAsia" w:asciiTheme="minorEastAsia" w:hAnsiTheme="minorEastAsia"/>
          <w:sz w:val="24"/>
          <w:szCs w:val="24"/>
          <w:highlight w:val="none"/>
          <w:lang w:eastAsia="zh-CN"/>
        </w:rPr>
        <w:t>（</w:t>
      </w:r>
      <w:r>
        <w:rPr>
          <w:rFonts w:hint="eastAsia" w:asciiTheme="minorEastAsia" w:hAnsiTheme="minorEastAsia"/>
          <w:sz w:val="24"/>
          <w:szCs w:val="24"/>
          <w:highlight w:val="none"/>
          <w:lang w:val="en-US" w:eastAsia="zh-CN"/>
        </w:rPr>
        <w:t>4）</w:t>
      </w:r>
      <w:r>
        <w:rPr>
          <w:rFonts w:hint="eastAsia" w:asciiTheme="minorEastAsia" w:hAnsiTheme="minorEastAsia"/>
          <w:sz w:val="24"/>
          <w:szCs w:val="24"/>
          <w:highlight w:val="none"/>
        </w:rPr>
        <w:t xml:space="preserve"> 响应文件</w:t>
      </w:r>
      <w:r>
        <w:rPr>
          <w:rFonts w:hint="eastAsia" w:asciiTheme="minorEastAsia" w:hAnsiTheme="minorEastAsia"/>
          <w:sz w:val="24"/>
          <w:szCs w:val="24"/>
          <w:highlight w:val="none"/>
          <w:lang w:eastAsia="zh-CN"/>
        </w:rPr>
        <w:t>中</w:t>
      </w:r>
      <w:r>
        <w:rPr>
          <w:rFonts w:hint="eastAsia" w:asciiTheme="minorEastAsia" w:hAnsiTheme="minorEastAsia"/>
          <w:sz w:val="24"/>
          <w:szCs w:val="24"/>
          <w:highlight w:val="none"/>
        </w:rPr>
        <w:t>响应</w:t>
      </w:r>
      <w:r>
        <w:rPr>
          <w:rFonts w:hint="eastAsia" w:asciiTheme="minorEastAsia" w:hAnsiTheme="minorEastAsia"/>
          <w:sz w:val="24"/>
          <w:szCs w:val="24"/>
          <w:highlight w:val="none"/>
          <w:lang w:eastAsia="zh-CN"/>
        </w:rPr>
        <w:t>报价有疏漏项，则视其疏漏项包含在其他分项报价中，并要求</w:t>
      </w:r>
      <w:r>
        <w:rPr>
          <w:rFonts w:hint="eastAsia" w:asciiTheme="minorEastAsia" w:hAnsiTheme="minorEastAsia"/>
          <w:sz w:val="24"/>
          <w:szCs w:val="24"/>
          <w:highlight w:val="none"/>
          <w:lang w:val="en-US" w:eastAsia="zh-CN"/>
        </w:rPr>
        <w:t>应答人</w:t>
      </w:r>
      <w:r>
        <w:rPr>
          <w:rFonts w:hint="eastAsia" w:asciiTheme="minorEastAsia" w:hAnsiTheme="minorEastAsia"/>
          <w:sz w:val="24"/>
          <w:szCs w:val="24"/>
          <w:highlight w:val="none"/>
          <w:lang w:eastAsia="zh-CN"/>
        </w:rPr>
        <w:t>书面澄清确认，</w:t>
      </w:r>
      <w:r>
        <w:rPr>
          <w:rFonts w:hint="eastAsia" w:asciiTheme="minorEastAsia" w:hAnsiTheme="minorEastAsia"/>
          <w:sz w:val="24"/>
          <w:szCs w:val="24"/>
          <w:highlight w:val="none"/>
          <w:lang w:val="en-US" w:eastAsia="zh-CN"/>
        </w:rPr>
        <w:t>应答人</w:t>
      </w:r>
      <w:r>
        <w:rPr>
          <w:rFonts w:hint="eastAsia" w:asciiTheme="minorEastAsia" w:hAnsiTheme="minorEastAsia"/>
          <w:sz w:val="24"/>
          <w:szCs w:val="24"/>
          <w:highlight w:val="none"/>
          <w:lang w:eastAsia="zh-CN"/>
        </w:rPr>
        <w:t>不按规定回复澄清确认或确认缺漏项价格不包含在</w:t>
      </w:r>
      <w:r>
        <w:rPr>
          <w:rFonts w:hint="eastAsia" w:asciiTheme="minorEastAsia" w:hAnsiTheme="minorEastAsia"/>
          <w:sz w:val="24"/>
          <w:szCs w:val="24"/>
          <w:highlight w:val="none"/>
        </w:rPr>
        <w:t>响应文件</w:t>
      </w:r>
      <w:r>
        <w:rPr>
          <w:rFonts w:hint="eastAsia" w:asciiTheme="minorEastAsia" w:hAnsiTheme="minorEastAsia"/>
          <w:sz w:val="24"/>
          <w:szCs w:val="24"/>
          <w:highlight w:val="none"/>
          <w:lang w:eastAsia="zh-CN"/>
        </w:rPr>
        <w:t>中的，</w:t>
      </w:r>
      <w:r>
        <w:rPr>
          <w:rFonts w:hint="eastAsia" w:asciiTheme="minorEastAsia" w:hAnsiTheme="minorEastAsia"/>
          <w:sz w:val="24"/>
          <w:szCs w:val="24"/>
          <w:highlight w:val="none"/>
        </w:rPr>
        <w:t>评审小组</w:t>
      </w:r>
      <w:r>
        <w:rPr>
          <w:rFonts w:hint="eastAsia" w:asciiTheme="minorEastAsia" w:hAnsiTheme="minorEastAsia"/>
          <w:sz w:val="24"/>
          <w:szCs w:val="24"/>
          <w:highlight w:val="none"/>
          <w:lang w:eastAsia="zh-CN"/>
        </w:rPr>
        <w:t>应当否决其</w:t>
      </w:r>
      <w:r>
        <w:rPr>
          <w:rFonts w:hint="eastAsia" w:asciiTheme="minorEastAsia" w:hAnsiTheme="minorEastAsia"/>
          <w:sz w:val="24"/>
          <w:szCs w:val="24"/>
          <w:highlight w:val="none"/>
        </w:rPr>
        <w:t>报价</w:t>
      </w:r>
      <w:r>
        <w:rPr>
          <w:rFonts w:hint="eastAsia" w:asciiTheme="minorEastAsia" w:hAnsiTheme="minorEastAsia"/>
          <w:sz w:val="24"/>
          <w:szCs w:val="24"/>
          <w:highlight w:val="none"/>
          <w:lang w:eastAsia="zh-CN"/>
        </w:rPr>
        <w:t>。</w:t>
      </w:r>
    </w:p>
    <w:p>
      <w:pPr>
        <w:spacing w:line="360" w:lineRule="auto"/>
        <w:ind w:firstLine="600" w:firstLineChars="200"/>
        <w:rPr>
          <w:rFonts w:asciiTheme="minorEastAsia" w:hAnsiTheme="minorEastAsia"/>
          <w:sz w:val="24"/>
          <w:szCs w:val="24"/>
          <w:highlight w:val="none"/>
        </w:rPr>
      </w:pPr>
      <w:r>
        <w:rPr>
          <w:rFonts w:hint="eastAsia" w:asciiTheme="minorEastAsia" w:hAnsiTheme="minorEastAsia"/>
          <w:color w:val="FF0000"/>
          <w:sz w:val="30"/>
          <w:szCs w:val="30"/>
          <w:highlight w:val="none"/>
        </w:rPr>
        <w:t>4．响应文件有下列情形之一的作无效报价处理：（特别提醒：以下废标条款必须仔细阅读和执行，否则按废标处理</w:t>
      </w:r>
      <w:r>
        <w:rPr>
          <w:rFonts w:asciiTheme="minorEastAsia" w:hAnsiTheme="minorEastAsia"/>
          <w:color w:val="FF0000"/>
          <w:sz w:val="30"/>
          <w:szCs w:val="30"/>
          <w:highlight w:val="none"/>
        </w:rPr>
        <w:t>）</w:t>
      </w:r>
    </w:p>
    <w:p>
      <w:pPr>
        <w:spacing w:line="360" w:lineRule="auto"/>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w:t>
      </w:r>
      <w:r>
        <w:rPr>
          <w:rFonts w:asciiTheme="minorEastAsia" w:hAnsiTheme="minorEastAsia"/>
          <w:sz w:val="24"/>
          <w:szCs w:val="24"/>
          <w:highlight w:val="none"/>
        </w:rPr>
        <w:t>1</w:t>
      </w:r>
      <w:r>
        <w:rPr>
          <w:rFonts w:hint="eastAsia" w:asciiTheme="minorEastAsia" w:hAnsiTheme="minorEastAsia"/>
          <w:sz w:val="24"/>
          <w:szCs w:val="24"/>
          <w:highlight w:val="none"/>
        </w:rPr>
        <w:t>）报价文件未加盖公章的；</w:t>
      </w:r>
    </w:p>
    <w:p>
      <w:pPr>
        <w:spacing w:line="360" w:lineRule="auto"/>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w:t>
      </w:r>
      <w:r>
        <w:rPr>
          <w:rFonts w:asciiTheme="minorEastAsia" w:hAnsiTheme="minorEastAsia"/>
          <w:sz w:val="24"/>
          <w:szCs w:val="24"/>
          <w:highlight w:val="none"/>
        </w:rPr>
        <w:t>2</w:t>
      </w:r>
      <w:r>
        <w:rPr>
          <w:rFonts w:hint="eastAsia" w:asciiTheme="minorEastAsia" w:hAnsiTheme="minorEastAsia"/>
          <w:sz w:val="24"/>
          <w:szCs w:val="24"/>
          <w:highlight w:val="none"/>
        </w:rPr>
        <w:t>）报价文件无法定代表人或者负责人签字,也没有授权委托人签字的；</w:t>
      </w:r>
    </w:p>
    <w:p>
      <w:pPr>
        <w:spacing w:line="360" w:lineRule="auto"/>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w:t>
      </w:r>
      <w:r>
        <w:rPr>
          <w:rFonts w:asciiTheme="minorEastAsia" w:hAnsiTheme="minorEastAsia"/>
          <w:sz w:val="24"/>
          <w:szCs w:val="24"/>
          <w:highlight w:val="none"/>
        </w:rPr>
        <w:t>3</w:t>
      </w:r>
      <w:r>
        <w:rPr>
          <w:rFonts w:hint="eastAsia" w:asciiTheme="minorEastAsia" w:hAnsiTheme="minorEastAsia"/>
          <w:sz w:val="24"/>
          <w:szCs w:val="24"/>
          <w:highlight w:val="none"/>
        </w:rPr>
        <w:t>）委托他人办理而未提供授权委托书和委托代理人身份证复印件的；</w:t>
      </w:r>
    </w:p>
    <w:p>
      <w:pPr>
        <w:spacing w:line="360" w:lineRule="auto"/>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w:t>
      </w:r>
      <w:r>
        <w:rPr>
          <w:rFonts w:asciiTheme="minorEastAsia" w:hAnsiTheme="minorEastAsia"/>
          <w:sz w:val="24"/>
          <w:szCs w:val="24"/>
          <w:highlight w:val="none"/>
        </w:rPr>
        <w:t>4</w:t>
      </w:r>
      <w:r>
        <w:rPr>
          <w:rFonts w:hint="eastAsia" w:asciiTheme="minorEastAsia" w:hAnsiTheme="minorEastAsia"/>
          <w:sz w:val="24"/>
          <w:szCs w:val="24"/>
          <w:highlight w:val="none"/>
        </w:rPr>
        <w:t>）报价一经涂改，未在涂改处加盖公章或者未经法定代表人或授权委托人签字或盖章的；</w:t>
      </w:r>
    </w:p>
    <w:p>
      <w:pPr>
        <w:spacing w:line="360" w:lineRule="auto"/>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w:t>
      </w:r>
      <w:r>
        <w:rPr>
          <w:rFonts w:asciiTheme="minorEastAsia" w:hAnsiTheme="minorEastAsia"/>
          <w:sz w:val="24"/>
          <w:szCs w:val="24"/>
          <w:highlight w:val="none"/>
        </w:rPr>
        <w:t>5</w:t>
      </w:r>
      <w:r>
        <w:rPr>
          <w:rFonts w:hint="eastAsia" w:asciiTheme="minorEastAsia" w:hAnsiTheme="minorEastAsia"/>
          <w:sz w:val="24"/>
          <w:szCs w:val="24"/>
          <w:highlight w:val="none"/>
        </w:rPr>
        <w:t>）对技术要求未详细应答或未能说明报价标的内容有关技术要求、偏离情况的，致使其响应文件无法评审的；</w:t>
      </w:r>
    </w:p>
    <w:p>
      <w:pPr>
        <w:spacing w:line="360" w:lineRule="auto"/>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w:t>
      </w:r>
      <w:r>
        <w:rPr>
          <w:rFonts w:asciiTheme="minorEastAsia" w:hAnsiTheme="minorEastAsia"/>
          <w:sz w:val="24"/>
          <w:szCs w:val="24"/>
          <w:highlight w:val="none"/>
        </w:rPr>
        <w:t>6</w:t>
      </w:r>
      <w:r>
        <w:rPr>
          <w:rFonts w:hint="eastAsia" w:asciiTheme="minorEastAsia" w:hAnsiTheme="minorEastAsia"/>
          <w:sz w:val="24"/>
          <w:szCs w:val="24"/>
          <w:highlight w:val="none"/>
        </w:rPr>
        <w:t>）报价文件未实质性响应询价文件要求的；</w:t>
      </w:r>
    </w:p>
    <w:p>
      <w:pPr>
        <w:spacing w:line="360" w:lineRule="auto"/>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w:t>
      </w:r>
      <w:r>
        <w:rPr>
          <w:rFonts w:asciiTheme="minorEastAsia" w:hAnsiTheme="minorEastAsia"/>
          <w:sz w:val="24"/>
          <w:szCs w:val="24"/>
          <w:highlight w:val="none"/>
        </w:rPr>
        <w:t>7</w:t>
      </w:r>
      <w:r>
        <w:rPr>
          <w:rFonts w:hint="eastAsia" w:asciiTheme="minorEastAsia" w:hAnsiTheme="minorEastAsia"/>
          <w:sz w:val="24"/>
          <w:szCs w:val="24"/>
          <w:highlight w:val="none"/>
        </w:rPr>
        <w:t>）评审小组认定有重大偏差的；</w:t>
      </w:r>
    </w:p>
    <w:p>
      <w:pPr>
        <w:spacing w:line="360" w:lineRule="auto"/>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w:t>
      </w:r>
      <w:r>
        <w:rPr>
          <w:rFonts w:asciiTheme="minorEastAsia" w:hAnsiTheme="minorEastAsia"/>
          <w:sz w:val="24"/>
          <w:szCs w:val="24"/>
          <w:highlight w:val="none"/>
        </w:rPr>
        <w:t>8</w:t>
      </w:r>
      <w:r>
        <w:rPr>
          <w:rFonts w:hint="eastAsia" w:asciiTheme="minorEastAsia" w:hAnsiTheme="minorEastAsia"/>
          <w:sz w:val="24"/>
          <w:szCs w:val="24"/>
          <w:highlight w:val="none"/>
        </w:rPr>
        <w:t>）其他违反法律、法规的情形。</w:t>
      </w:r>
    </w:p>
    <w:p>
      <w:pPr>
        <w:spacing w:line="360" w:lineRule="auto"/>
        <w:ind w:firstLine="480" w:firstLineChars="200"/>
        <w:rPr>
          <w:rFonts w:asciiTheme="minorEastAsia" w:hAnsiTheme="minorEastAsia"/>
          <w:sz w:val="24"/>
          <w:szCs w:val="24"/>
          <w:highlight w:val="none"/>
        </w:rPr>
      </w:pPr>
      <w:r>
        <w:rPr>
          <w:rFonts w:asciiTheme="minorEastAsia" w:hAnsiTheme="minorEastAsia"/>
          <w:sz w:val="24"/>
          <w:szCs w:val="24"/>
          <w:highlight w:val="none"/>
        </w:rPr>
        <w:t>5</w:t>
      </w:r>
      <w:r>
        <w:rPr>
          <w:rFonts w:hint="eastAsia" w:asciiTheme="minorEastAsia" w:hAnsiTheme="minorEastAsia"/>
          <w:sz w:val="24"/>
          <w:szCs w:val="24"/>
          <w:highlight w:val="none"/>
        </w:rPr>
        <w:t>．本次询价采购，采购人有权根据市场调查情况对采购结果进行对比，如有异常情况，采购人可以暂不采购。若认为本次采购确与市场调查不符的，可另行组织采购，无须向报价人解释具体原因。</w:t>
      </w:r>
    </w:p>
    <w:p>
      <w:pPr>
        <w:spacing w:line="360" w:lineRule="auto"/>
        <w:ind w:firstLine="480" w:firstLineChars="200"/>
        <w:rPr>
          <w:rFonts w:hint="eastAsia" w:asciiTheme="minorEastAsia" w:hAnsiTheme="minorEastAsia"/>
          <w:sz w:val="24"/>
          <w:szCs w:val="24"/>
          <w:highlight w:val="none"/>
          <w:lang w:eastAsia="zh-CN"/>
        </w:rPr>
      </w:pPr>
      <w:r>
        <w:rPr>
          <w:rFonts w:hint="eastAsia" w:asciiTheme="minorEastAsia" w:hAnsiTheme="minorEastAsia"/>
          <w:sz w:val="24"/>
          <w:szCs w:val="24"/>
          <w:highlight w:val="none"/>
        </w:rPr>
        <w:t>6</w:t>
      </w:r>
      <w:r>
        <w:rPr>
          <w:rFonts w:hint="eastAsia" w:asciiTheme="minorEastAsia" w:hAnsiTheme="minorEastAsia"/>
          <w:sz w:val="24"/>
          <w:szCs w:val="24"/>
          <w:highlight w:val="none"/>
          <w:lang w:eastAsia="zh-CN"/>
        </w:rPr>
        <w:t>.资质、</w:t>
      </w:r>
      <w:r>
        <w:rPr>
          <w:rFonts w:hint="eastAsia" w:asciiTheme="minorEastAsia" w:hAnsiTheme="minorEastAsia"/>
          <w:sz w:val="24"/>
          <w:szCs w:val="24"/>
          <w:highlight w:val="none"/>
          <w:lang w:val="en-US" w:eastAsia="zh-CN"/>
        </w:rPr>
        <w:t>业绩及信誉</w:t>
      </w:r>
      <w:r>
        <w:rPr>
          <w:rFonts w:hint="eastAsia" w:asciiTheme="minorEastAsia" w:hAnsiTheme="minorEastAsia"/>
          <w:sz w:val="24"/>
          <w:szCs w:val="24"/>
          <w:highlight w:val="none"/>
          <w:lang w:eastAsia="zh-CN"/>
        </w:rPr>
        <w:t>要求：</w:t>
      </w:r>
    </w:p>
    <w:p>
      <w:pPr>
        <w:spacing w:line="360" w:lineRule="auto"/>
        <w:ind w:firstLine="480" w:firstLineChars="200"/>
        <w:rPr>
          <w:rFonts w:asciiTheme="minorEastAsia" w:hAnsiTheme="minorEastAsia"/>
          <w:sz w:val="24"/>
          <w:szCs w:val="24"/>
          <w:highlight w:val="none"/>
          <w:lang w:eastAsia="zh-CN"/>
        </w:rPr>
      </w:pPr>
      <w:r>
        <w:rPr>
          <w:rFonts w:hint="eastAsia" w:asciiTheme="minorEastAsia" w:hAnsiTheme="minorEastAsia"/>
          <w:sz w:val="24"/>
          <w:szCs w:val="24"/>
          <w:highlight w:val="none"/>
          <w:lang w:eastAsia="zh-CN"/>
        </w:rPr>
        <w:t>（1）资质要求：</w:t>
      </w:r>
      <w:r>
        <w:rPr>
          <w:rFonts w:asciiTheme="minorEastAsia" w:hAnsiTheme="minorEastAsia"/>
          <w:sz w:val="24"/>
          <w:szCs w:val="24"/>
          <w:highlight w:val="none"/>
          <w:lang w:eastAsia="zh-CN"/>
        </w:rPr>
        <w:t xml:space="preserve"> </w:t>
      </w:r>
    </w:p>
    <w:p>
      <w:pPr>
        <w:spacing w:line="360" w:lineRule="auto"/>
        <w:ind w:firstLine="480" w:firstLineChars="200"/>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A</w:t>
      </w:r>
      <w:r>
        <w:rPr>
          <w:rFonts w:hint="eastAsia" w:asciiTheme="minorEastAsia" w:hAnsiTheme="minorEastAsia"/>
          <w:color w:val="auto"/>
          <w:sz w:val="24"/>
          <w:szCs w:val="24"/>
          <w:highlight w:val="none"/>
          <w:lang w:eastAsia="zh-CN"/>
        </w:rPr>
        <w:t>、</w:t>
      </w:r>
      <w:r>
        <w:rPr>
          <w:rFonts w:hint="eastAsia" w:asciiTheme="minorEastAsia" w:hAnsiTheme="minorEastAsia"/>
          <w:color w:val="auto"/>
          <w:kern w:val="2"/>
          <w:sz w:val="24"/>
          <w:szCs w:val="24"/>
          <w:highlight w:val="none"/>
          <w:lang w:eastAsia="zh-CN"/>
        </w:rPr>
        <w:t>投标人具有合法有效的企业法人营业执照、税务登记证及组织机构代码证或证照合一的营业执照，投标时需提供原件扫描件（原件备查）。</w:t>
      </w:r>
    </w:p>
    <w:p>
      <w:pPr>
        <w:spacing w:line="360" w:lineRule="auto"/>
        <w:ind w:firstLine="480" w:firstLineChars="200"/>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B</w:t>
      </w:r>
      <w:r>
        <w:rPr>
          <w:rFonts w:hint="eastAsia" w:asciiTheme="minorEastAsia" w:hAnsiTheme="minorEastAsia"/>
          <w:color w:val="auto"/>
          <w:sz w:val="24"/>
          <w:szCs w:val="24"/>
          <w:highlight w:val="none"/>
          <w:lang w:eastAsia="zh-CN"/>
        </w:rPr>
        <w:t>、投标人应</w:t>
      </w:r>
      <w:r>
        <w:rPr>
          <w:rFonts w:hint="eastAsia" w:asciiTheme="minorEastAsia" w:hAnsiTheme="minorEastAsia"/>
          <w:color w:val="auto"/>
          <w:sz w:val="24"/>
          <w:szCs w:val="24"/>
          <w:highlight w:val="none"/>
          <w:lang w:val="en-US" w:eastAsia="zh-CN"/>
        </w:rPr>
        <w:t>提供附件2技术询价文件中要求的相关资质</w:t>
      </w:r>
      <w:r>
        <w:rPr>
          <w:rFonts w:hint="eastAsia" w:asciiTheme="minorEastAsia" w:hAnsiTheme="minorEastAsia"/>
          <w:color w:val="auto"/>
          <w:sz w:val="24"/>
          <w:szCs w:val="24"/>
          <w:highlight w:val="none"/>
          <w:lang w:eastAsia="zh-CN"/>
        </w:rPr>
        <w:t>，投标时须提供原件扫描件（原件备查）。</w:t>
      </w:r>
    </w:p>
    <w:p>
      <w:pPr>
        <w:pStyle w:val="2"/>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2</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业绩要求：</w:t>
      </w:r>
      <w:r>
        <w:rPr>
          <w:rFonts w:hint="eastAsia" w:asciiTheme="minorEastAsia" w:hAnsiTheme="minorEastAsia"/>
          <w:color w:val="auto"/>
          <w:sz w:val="24"/>
          <w:szCs w:val="24"/>
          <w:highlight w:val="none"/>
          <w:lang w:eastAsia="zh-CN"/>
        </w:rPr>
        <w:t>投标人应</w:t>
      </w:r>
      <w:r>
        <w:rPr>
          <w:rFonts w:hint="eastAsia" w:asciiTheme="minorEastAsia" w:hAnsiTheme="minorEastAsia"/>
          <w:color w:val="auto"/>
          <w:sz w:val="24"/>
          <w:szCs w:val="24"/>
          <w:highlight w:val="none"/>
          <w:lang w:val="en-US" w:eastAsia="zh-CN"/>
        </w:rPr>
        <w:t>提供附件2技术询价文件中要求的相关业绩。</w:t>
      </w:r>
    </w:p>
    <w:p>
      <w:pPr>
        <w:pStyle w:val="2"/>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eastAsiaTheme="minorEastAsia" w:cstheme="minorBidi"/>
          <w:color w:val="auto"/>
          <w:kern w:val="2"/>
          <w:sz w:val="24"/>
          <w:szCs w:val="24"/>
          <w:highlight w:val="none"/>
          <w:lang w:val="en-US" w:eastAsia="zh-CN" w:bidi="ar-SA"/>
        </w:rPr>
        <w:t>投标人须按规定格式提交业绩表，并提交相关业绩证明文件。业绩证明文件包括但不限于：1）合同复印件（含相关技术附件）和2）服务验收证明材料。投标人所提交的业绩证明文件必须至少体现以下内容：合同签署时间、合同名称、合同签字盖章、合同金额、服务内容及服务验收证明材料，服务验收证明材料应体现合同金额或结算金额（需提供相关结算票据作证）。</w:t>
      </w:r>
    </w:p>
    <w:p>
      <w:pPr>
        <w:pStyle w:val="2"/>
        <w:rPr>
          <w:rFonts w:hint="default"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eastAsiaTheme="minorEastAsia" w:cstheme="minorBidi"/>
          <w:color w:val="auto"/>
          <w:kern w:val="2"/>
          <w:sz w:val="24"/>
          <w:szCs w:val="24"/>
          <w:highlight w:val="none"/>
          <w:lang w:val="en-US" w:eastAsia="zh-CN" w:bidi="ar-SA"/>
        </w:rPr>
        <w:t>未提交业绩证明文件，或所提供的业绩证明文件无法体现满足上述业绩要求的，均视为无效业绩。</w:t>
      </w:r>
    </w:p>
    <w:p>
      <w:pPr>
        <w:pStyle w:val="36"/>
        <w:widowControl/>
        <w:spacing w:line="360" w:lineRule="auto"/>
        <w:ind w:left="420"/>
        <w:rPr>
          <w:rFonts w:hint="eastAsia" w:asciiTheme="minorEastAsia" w:hAnsiTheme="minorEastAsia"/>
          <w:kern w:val="2"/>
          <w:sz w:val="24"/>
          <w:szCs w:val="24"/>
          <w:highlight w:val="none"/>
          <w:lang w:eastAsia="zh-CN"/>
        </w:rPr>
      </w:pPr>
      <w:r>
        <w:rPr>
          <w:rFonts w:hint="eastAsia" w:asciiTheme="minorEastAsia" w:hAnsiTheme="minorEastAsia"/>
          <w:kern w:val="2"/>
          <w:sz w:val="24"/>
          <w:szCs w:val="24"/>
          <w:highlight w:val="none"/>
          <w:lang w:eastAsia="zh-CN"/>
        </w:rPr>
        <w:t>（</w:t>
      </w:r>
      <w:r>
        <w:rPr>
          <w:rFonts w:hint="eastAsia" w:asciiTheme="minorEastAsia" w:hAnsiTheme="minorEastAsia"/>
          <w:kern w:val="2"/>
          <w:sz w:val="24"/>
          <w:szCs w:val="24"/>
          <w:highlight w:val="none"/>
          <w:lang w:val="en-US" w:eastAsia="zh-CN"/>
        </w:rPr>
        <w:t>3</w:t>
      </w:r>
      <w:r>
        <w:rPr>
          <w:rFonts w:hint="eastAsia" w:asciiTheme="minorEastAsia" w:hAnsiTheme="minorEastAsia"/>
          <w:kern w:val="2"/>
          <w:sz w:val="24"/>
          <w:szCs w:val="24"/>
          <w:highlight w:val="none"/>
          <w:lang w:eastAsia="zh-CN"/>
        </w:rPr>
        <w:t>）信誉要求：</w:t>
      </w:r>
    </w:p>
    <w:p>
      <w:pPr>
        <w:pStyle w:val="36"/>
        <w:widowControl/>
        <w:spacing w:line="360" w:lineRule="auto"/>
        <w:ind w:left="420"/>
        <w:rPr>
          <w:rFonts w:asciiTheme="minorEastAsia" w:hAnsiTheme="minorEastAsia"/>
          <w:kern w:val="2"/>
          <w:sz w:val="24"/>
          <w:szCs w:val="24"/>
          <w:highlight w:val="none"/>
          <w:lang w:eastAsia="zh-CN"/>
        </w:rPr>
      </w:pPr>
      <w:r>
        <w:rPr>
          <w:rFonts w:hint="eastAsia" w:asciiTheme="minorEastAsia" w:hAnsiTheme="minorEastAsia"/>
          <w:sz w:val="24"/>
          <w:szCs w:val="24"/>
          <w:highlight w:val="none"/>
          <w:lang w:val="en-US" w:eastAsia="zh-CN"/>
        </w:rPr>
        <w:t>A</w:t>
      </w:r>
      <w:r>
        <w:rPr>
          <w:rFonts w:hint="eastAsia" w:asciiTheme="minorEastAsia" w:hAnsiTheme="minorEastAsia"/>
          <w:kern w:val="2"/>
          <w:sz w:val="24"/>
          <w:szCs w:val="24"/>
          <w:highlight w:val="none"/>
          <w:lang w:eastAsia="zh-CN"/>
        </w:rPr>
        <w:t>、申请人不得是最高人民法院在“信用中国”网站（</w:t>
      </w:r>
      <w:r>
        <w:rPr>
          <w:highlight w:val="none"/>
        </w:rPr>
        <w:fldChar w:fldCharType="begin"/>
      </w:r>
      <w:r>
        <w:rPr>
          <w:highlight w:val="none"/>
        </w:rPr>
        <w:instrText xml:space="preserve"> HYPERLINK "http://www.creditchina.gov.cn）或" </w:instrText>
      </w:r>
      <w:r>
        <w:rPr>
          <w:highlight w:val="none"/>
        </w:rPr>
        <w:fldChar w:fldCharType="separate"/>
      </w:r>
      <w:r>
        <w:rPr>
          <w:rFonts w:hint="eastAsia" w:asciiTheme="minorEastAsia" w:hAnsiTheme="minorEastAsia"/>
          <w:kern w:val="2"/>
          <w:sz w:val="24"/>
          <w:szCs w:val="24"/>
          <w:highlight w:val="none"/>
          <w:lang w:eastAsia="zh-CN"/>
        </w:rPr>
        <w:t>www.creditchina.gov.cn）或“中国执行信息公开网</w:t>
      </w:r>
      <w:r>
        <w:rPr>
          <w:rFonts w:hint="eastAsia" w:asciiTheme="minorEastAsia" w:hAnsiTheme="minorEastAsia"/>
          <w:kern w:val="2"/>
          <w:sz w:val="24"/>
          <w:szCs w:val="24"/>
          <w:highlight w:val="none"/>
          <w:lang w:eastAsia="zh-CN"/>
        </w:rPr>
        <w:fldChar w:fldCharType="end"/>
      </w:r>
      <w:r>
        <w:rPr>
          <w:rFonts w:hint="eastAsia" w:asciiTheme="minorEastAsia" w:hAnsiTheme="minorEastAsia"/>
          <w:kern w:val="2"/>
          <w:sz w:val="24"/>
          <w:szCs w:val="24"/>
          <w:highlight w:val="none"/>
          <w:lang w:eastAsia="zh-CN"/>
        </w:rPr>
        <w:t>”（</w:t>
      </w:r>
      <w:r>
        <w:rPr>
          <w:highlight w:val="none"/>
        </w:rPr>
        <w:fldChar w:fldCharType="begin"/>
      </w:r>
      <w:r>
        <w:rPr>
          <w:highlight w:val="none"/>
        </w:rPr>
        <w:instrText xml:space="preserve"> HYPERLINK "http://zxgk.court.gov.cn/）列入失信被执行人名单（应附查询结果复印件并加盖单位章" </w:instrText>
      </w:r>
      <w:r>
        <w:rPr>
          <w:highlight w:val="none"/>
        </w:rPr>
        <w:fldChar w:fldCharType="separate"/>
      </w:r>
      <w:r>
        <w:rPr>
          <w:rFonts w:hint="eastAsia" w:asciiTheme="minorEastAsia" w:hAnsiTheme="minorEastAsia"/>
          <w:kern w:val="2"/>
          <w:sz w:val="24"/>
          <w:szCs w:val="24"/>
          <w:highlight w:val="none"/>
          <w:lang w:eastAsia="zh-CN"/>
        </w:rPr>
        <w:t>http://zxgk.court.gov.cn/）列入失信被执行人名单（应附查询结果复印件并加盖单位章</w:t>
      </w:r>
      <w:r>
        <w:rPr>
          <w:rFonts w:hint="eastAsia" w:asciiTheme="minorEastAsia" w:hAnsiTheme="minorEastAsia"/>
          <w:kern w:val="2"/>
          <w:sz w:val="24"/>
          <w:szCs w:val="24"/>
          <w:highlight w:val="none"/>
          <w:lang w:eastAsia="zh-CN"/>
        </w:rPr>
        <w:fldChar w:fldCharType="end"/>
      </w:r>
      <w:r>
        <w:rPr>
          <w:rFonts w:hint="eastAsia" w:asciiTheme="minorEastAsia" w:hAnsiTheme="minorEastAsia"/>
          <w:kern w:val="2"/>
          <w:sz w:val="24"/>
          <w:szCs w:val="24"/>
          <w:highlight w:val="none"/>
          <w:lang w:eastAsia="zh-CN"/>
        </w:rPr>
        <w:t>）。</w:t>
      </w:r>
    </w:p>
    <w:p>
      <w:pPr>
        <w:pStyle w:val="36"/>
        <w:widowControl/>
        <w:spacing w:line="360" w:lineRule="auto"/>
        <w:ind w:firstLine="420"/>
        <w:rPr>
          <w:rFonts w:asciiTheme="minorEastAsia" w:hAnsiTheme="minorEastAsia"/>
          <w:kern w:val="2"/>
          <w:sz w:val="24"/>
          <w:szCs w:val="24"/>
          <w:highlight w:val="none"/>
          <w:lang w:eastAsia="zh-CN"/>
        </w:rPr>
      </w:pPr>
      <w:r>
        <w:rPr>
          <w:rFonts w:hint="eastAsia" w:asciiTheme="minorEastAsia" w:hAnsiTheme="minorEastAsia"/>
          <w:sz w:val="24"/>
          <w:szCs w:val="24"/>
          <w:highlight w:val="none"/>
          <w:lang w:val="en-US" w:eastAsia="zh-CN"/>
        </w:rPr>
        <w:t>B</w:t>
      </w:r>
      <w:r>
        <w:rPr>
          <w:rFonts w:hint="eastAsia" w:asciiTheme="minorEastAsia" w:hAnsiTheme="minorEastAsia"/>
          <w:kern w:val="2"/>
          <w:sz w:val="24"/>
          <w:szCs w:val="24"/>
          <w:highlight w:val="none"/>
          <w:lang w:eastAsia="zh-CN"/>
        </w:rPr>
        <w:t>、近三年（20</w:t>
      </w:r>
      <w:r>
        <w:rPr>
          <w:rFonts w:hint="eastAsia" w:asciiTheme="minorEastAsia" w:hAnsiTheme="minorEastAsia"/>
          <w:kern w:val="2"/>
          <w:sz w:val="24"/>
          <w:szCs w:val="24"/>
          <w:highlight w:val="none"/>
          <w:lang w:val="en-US" w:eastAsia="zh-CN"/>
        </w:rPr>
        <w:t>21</w:t>
      </w:r>
      <w:r>
        <w:rPr>
          <w:rFonts w:hint="eastAsia" w:asciiTheme="minorEastAsia" w:hAnsiTheme="minorEastAsia"/>
          <w:kern w:val="2"/>
          <w:sz w:val="24"/>
          <w:szCs w:val="24"/>
          <w:highlight w:val="none"/>
          <w:lang w:eastAsia="zh-CN"/>
        </w:rPr>
        <w:t>年-报价截止日前）内申请人或其法定代表人、拟委任的项目负责人不得有行贿犯罪行为（应附查询结果复印件并加盖单位章）。</w:t>
      </w:r>
    </w:p>
    <w:p>
      <w:pPr>
        <w:pStyle w:val="6"/>
        <w:widowControl/>
        <w:spacing w:line="360" w:lineRule="auto"/>
        <w:ind w:right="11" w:firstLine="420"/>
        <w:rPr>
          <w:rFonts w:asciiTheme="minorEastAsia" w:hAnsiTheme="minorEastAsia"/>
          <w:sz w:val="24"/>
          <w:szCs w:val="24"/>
          <w:highlight w:val="none"/>
        </w:rPr>
      </w:pPr>
      <w:r>
        <w:rPr>
          <w:rFonts w:hint="eastAsia" w:asciiTheme="minorEastAsia" w:hAnsiTheme="minorEastAsia"/>
          <w:sz w:val="24"/>
          <w:szCs w:val="24"/>
          <w:highlight w:val="none"/>
          <w:lang w:val="en-US" w:eastAsia="zh-CN"/>
        </w:rPr>
        <w:t>C</w:t>
      </w:r>
      <w:r>
        <w:rPr>
          <w:rFonts w:hint="eastAsia" w:asciiTheme="minorEastAsia" w:hAnsiTheme="minorEastAsia"/>
          <w:kern w:val="2"/>
          <w:sz w:val="24"/>
          <w:szCs w:val="24"/>
          <w:highlight w:val="none"/>
          <w:lang w:eastAsia="zh-CN"/>
        </w:rPr>
        <w:t>、</w:t>
      </w:r>
      <w:r>
        <w:rPr>
          <w:rFonts w:hint="eastAsia" w:asciiTheme="minorEastAsia" w:hAnsiTheme="minorEastAsia"/>
          <w:sz w:val="24"/>
          <w:szCs w:val="24"/>
          <w:highlight w:val="none"/>
        </w:rPr>
        <w:t>申请人不得被工商行政管理机关在全国企业信用信息公示系统（</w:t>
      </w:r>
      <w:r>
        <w:rPr>
          <w:highlight w:val="none"/>
        </w:rPr>
        <w:fldChar w:fldCharType="begin"/>
      </w:r>
      <w:r>
        <w:rPr>
          <w:highlight w:val="none"/>
        </w:rPr>
        <w:instrText xml:space="preserve"> HYPERLINK "http://www.gsxt.gov.cn）中列入严重违法失信企业名（应附查询结果复印件并加盖单位章" </w:instrText>
      </w:r>
      <w:r>
        <w:rPr>
          <w:highlight w:val="none"/>
        </w:rPr>
        <w:fldChar w:fldCharType="separate"/>
      </w:r>
      <w:r>
        <w:rPr>
          <w:rFonts w:hint="eastAsia" w:asciiTheme="minorEastAsia" w:hAnsiTheme="minorEastAsia"/>
          <w:sz w:val="24"/>
          <w:szCs w:val="24"/>
          <w:highlight w:val="none"/>
        </w:rPr>
        <w:t>http://www.gsxt.gov.cn）中列入严重违法失信企业名（应附查询结果复印件并加盖单位章</w:t>
      </w:r>
      <w:r>
        <w:rPr>
          <w:rFonts w:hint="eastAsia" w:asciiTheme="minorEastAsia" w:hAnsiTheme="minorEastAsia"/>
          <w:sz w:val="24"/>
          <w:szCs w:val="24"/>
          <w:highlight w:val="none"/>
        </w:rPr>
        <w:fldChar w:fldCharType="end"/>
      </w:r>
      <w:r>
        <w:rPr>
          <w:rFonts w:hint="eastAsia" w:asciiTheme="minorEastAsia" w:hAnsiTheme="minorEastAsia"/>
          <w:sz w:val="24"/>
          <w:szCs w:val="24"/>
          <w:highlight w:val="none"/>
        </w:rPr>
        <w:t>）。</w:t>
      </w:r>
    </w:p>
    <w:p>
      <w:pPr>
        <w:pStyle w:val="6"/>
        <w:widowControl/>
        <w:spacing w:line="360" w:lineRule="auto"/>
        <w:ind w:right="11" w:firstLine="420"/>
        <w:rPr>
          <w:rFonts w:hint="eastAsia" w:asciiTheme="minorEastAsia" w:hAnsiTheme="minorEastAsia"/>
          <w:sz w:val="24"/>
          <w:szCs w:val="24"/>
          <w:highlight w:val="none"/>
        </w:rPr>
      </w:pPr>
      <w:r>
        <w:rPr>
          <w:rFonts w:hint="eastAsia" w:asciiTheme="minorEastAsia" w:hAnsiTheme="minorEastAsia"/>
          <w:sz w:val="24"/>
          <w:szCs w:val="24"/>
          <w:highlight w:val="none"/>
          <w:lang w:val="en-US" w:eastAsia="zh-CN"/>
        </w:rPr>
        <w:t>D</w:t>
      </w:r>
      <w:r>
        <w:rPr>
          <w:rFonts w:hint="eastAsia" w:asciiTheme="minorEastAsia" w:hAnsiTheme="minorEastAsia"/>
          <w:kern w:val="2"/>
          <w:sz w:val="24"/>
          <w:szCs w:val="24"/>
          <w:highlight w:val="none"/>
          <w:lang w:eastAsia="zh-CN"/>
        </w:rPr>
        <w:t>、</w:t>
      </w:r>
      <w:r>
        <w:rPr>
          <w:rFonts w:hint="eastAsia" w:asciiTheme="minorEastAsia" w:hAnsiTheme="minorEastAsia"/>
          <w:sz w:val="24"/>
          <w:szCs w:val="24"/>
          <w:highlight w:val="none"/>
        </w:rPr>
        <w:t>申请人单位负责人为同一人或者存在控股、管理关系的不同单位，参加同一标段或者未划分标段的同一项目报价，则存在关联关系的申请人报价均视为无效。</w:t>
      </w:r>
    </w:p>
    <w:p>
      <w:pPr>
        <w:pStyle w:val="6"/>
        <w:widowControl/>
        <w:spacing w:line="360" w:lineRule="auto"/>
        <w:ind w:right="11" w:firstLine="420"/>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E、申请人在《中国海洋石油集团有限公司采办业务管理与交易系统》填报供应商注册信息，并在注册审核通过后，方可具备参与采办业务的基本资格，未通过注册审核的申请人应答均视为无效。</w:t>
      </w:r>
    </w:p>
    <w:p>
      <w:pPr>
        <w:pStyle w:val="6"/>
        <w:widowControl/>
        <w:spacing w:line="360" w:lineRule="auto"/>
        <w:ind w:right="11" w:firstLine="420"/>
        <w:rPr>
          <w:rFonts w:hint="default"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F、</w:t>
      </w:r>
      <w:r>
        <w:rPr>
          <w:rFonts w:hint="default" w:asciiTheme="minorEastAsia" w:hAnsiTheme="minorEastAsia"/>
          <w:sz w:val="24"/>
          <w:szCs w:val="24"/>
          <w:highlight w:val="none"/>
          <w:lang w:val="en-US" w:eastAsia="zh-CN"/>
        </w:rPr>
        <w:t>申请人应在应答文件中提供其公司章程或其他能够体现出资人、股东信息的法定文件，作为评标/评审时的依据。</w:t>
      </w:r>
    </w:p>
    <w:p>
      <w:pPr>
        <w:pStyle w:val="6"/>
        <w:widowControl/>
        <w:spacing w:line="360" w:lineRule="auto"/>
        <w:ind w:right="11" w:firstLine="420"/>
        <w:rPr>
          <w:rFonts w:hint="eastAsia" w:asciiTheme="minorEastAsia" w:hAnsiTheme="minorEastAsia"/>
          <w:sz w:val="24"/>
          <w:szCs w:val="24"/>
          <w:highlight w:val="none"/>
        </w:rPr>
      </w:pPr>
      <w:r>
        <w:rPr>
          <w:rFonts w:hint="eastAsia" w:asciiTheme="minorEastAsia" w:hAnsiTheme="minorEastAsia"/>
          <w:sz w:val="24"/>
          <w:szCs w:val="24"/>
          <w:highlight w:val="none"/>
          <w:lang w:val="en-US" w:eastAsia="zh-CN"/>
        </w:rPr>
        <w:t>G、申请人</w:t>
      </w:r>
      <w:r>
        <w:rPr>
          <w:rFonts w:hint="default" w:asciiTheme="minorEastAsia" w:hAnsiTheme="minorEastAsia"/>
          <w:sz w:val="24"/>
          <w:szCs w:val="24"/>
          <w:highlight w:val="none"/>
          <w:lang w:val="en-US" w:eastAsia="zh-CN"/>
        </w:rPr>
        <w:t>承诺：中国海油在职员工（不含正式派出的）未有在投标人单位担任股东、法人代表、董事、监事和其他任职人员的情形。</w:t>
      </w:r>
    </w:p>
    <w:p>
      <w:pPr>
        <w:pStyle w:val="7"/>
        <w:tabs>
          <w:tab w:val="left" w:pos="770"/>
        </w:tabs>
        <w:spacing w:before="0" w:line="360" w:lineRule="auto"/>
        <w:ind w:left="139" w:leftChars="0" w:right="134" w:firstLine="340" w:firstLineChars="142"/>
        <w:rPr>
          <w:rFonts w:hint="default" w:cs="宋体" w:asciiTheme="minorEastAsia" w:hAnsiTheme="minorEastAsia" w:eastAsiaTheme="minorEastAsia"/>
          <w:highlight w:val="none"/>
          <w:lang w:val="en-US" w:eastAsia="zh-CN"/>
        </w:rPr>
      </w:pPr>
      <w:r>
        <w:rPr>
          <w:rFonts w:hint="eastAsia" w:asciiTheme="minorEastAsia" w:hAnsiTheme="minorEastAsia"/>
          <w:sz w:val="24"/>
          <w:szCs w:val="24"/>
          <w:highlight w:val="none"/>
          <w:lang w:val="en-US" w:eastAsia="zh-CN"/>
        </w:rPr>
        <w:t xml:space="preserve">7. </w:t>
      </w:r>
      <w:r>
        <w:rPr>
          <w:rFonts w:hint="eastAsia" w:asciiTheme="minorEastAsia" w:hAnsiTheme="minorEastAsia" w:eastAsiaTheme="minorEastAsia" w:cstheme="minorBidi"/>
          <w:kern w:val="2"/>
          <w:sz w:val="24"/>
          <w:szCs w:val="24"/>
          <w:highlight w:val="none"/>
          <w:lang w:val="en-US" w:eastAsia="zh-CN" w:bidi="ar-SA"/>
        </w:rPr>
        <w:t>申请人在《中国海洋石油集团有限公司采办业务管理与交易系统》填报供应商注册信息，并在注册审核通过后，方可具备参与采办业务的基本资格，未通过注册审核的申请人无法进行投标报价。</w:t>
      </w:r>
    </w:p>
    <w:p>
      <w:pPr>
        <w:spacing w:line="360" w:lineRule="auto"/>
        <w:ind w:firstLine="480" w:firstLineChars="200"/>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8</w:t>
      </w:r>
      <w:r>
        <w:rPr>
          <w:rFonts w:hint="eastAsia" w:asciiTheme="minorEastAsia" w:hAnsiTheme="minorEastAsia"/>
          <w:sz w:val="24"/>
          <w:szCs w:val="24"/>
          <w:highlight w:val="none"/>
        </w:rPr>
        <w:t xml:space="preserve">. 申请人应于中标后 </w:t>
      </w:r>
      <w:r>
        <w:rPr>
          <w:rFonts w:asciiTheme="minorEastAsia" w:hAnsiTheme="minorEastAsia"/>
          <w:sz w:val="24"/>
          <w:szCs w:val="24"/>
          <w:highlight w:val="none"/>
        </w:rPr>
        <w:t>2 日内按照准入名录的资料提报要求完成资料准备和上传工作</w:t>
      </w:r>
      <w:r>
        <w:rPr>
          <w:rFonts w:hint="eastAsia" w:asciiTheme="minorEastAsia" w:hAnsiTheme="minorEastAsia"/>
          <w:sz w:val="24"/>
          <w:szCs w:val="24"/>
          <w:highlight w:val="none"/>
          <w:lang w:val="en-US" w:eastAsia="zh-CN"/>
        </w:rPr>
        <w:t>。</w:t>
      </w:r>
    </w:p>
    <w:p>
      <w:pPr>
        <w:spacing w:line="360" w:lineRule="auto"/>
        <w:ind w:firstLine="480" w:firstLineChars="200"/>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9. 询价文件中明确要求资质需要在评议阶段通过权威网站查询的，以权威网站查询结果为准。响应文件中已提供查询结果证明但未查询到的，可以澄清。响应文件中未明确要求通过权威网站查询的，以响应文件为准。</w:t>
      </w:r>
    </w:p>
    <w:p>
      <w:pPr>
        <w:spacing w:line="360" w:lineRule="auto"/>
        <w:ind w:firstLine="480" w:firstLineChars="200"/>
        <w:outlineLvl w:val="0"/>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三、联系方式</w:t>
      </w:r>
    </w:p>
    <w:p>
      <w:pPr>
        <w:spacing w:line="360" w:lineRule="auto"/>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联系单位：</w:t>
      </w:r>
      <w:r>
        <w:rPr>
          <w:rFonts w:hint="eastAsia" w:asciiTheme="minorEastAsia" w:hAnsiTheme="minorEastAsia"/>
          <w:sz w:val="24"/>
          <w:szCs w:val="24"/>
          <w:highlight w:val="none"/>
          <w:lang w:val="en-US" w:eastAsia="zh-CN"/>
        </w:rPr>
        <w:t>中海石油化学股份有限公司采办共享中心</w:t>
      </w:r>
      <w:r>
        <w:rPr>
          <w:rFonts w:hint="eastAsia" w:asciiTheme="minorEastAsia" w:hAnsiTheme="minorEastAsia"/>
          <w:sz w:val="24"/>
          <w:szCs w:val="24"/>
          <w:highlight w:val="none"/>
          <w:lang w:eastAsia="zh-CN"/>
        </w:rPr>
        <w:t xml:space="preserve"> </w:t>
      </w:r>
    </w:p>
    <w:p>
      <w:pPr>
        <w:spacing w:line="360" w:lineRule="auto"/>
        <w:ind w:firstLine="480" w:firstLineChars="200"/>
        <w:rPr>
          <w:rFonts w:hint="eastAsia" w:asciiTheme="minorEastAsia" w:hAnsiTheme="minorEastAsia" w:eastAsiaTheme="minorEastAsia"/>
          <w:sz w:val="24"/>
          <w:szCs w:val="24"/>
          <w:highlight w:val="none"/>
          <w:lang w:eastAsia="zh-CN"/>
        </w:rPr>
      </w:pPr>
      <w:r>
        <w:rPr>
          <w:rFonts w:hint="eastAsia" w:asciiTheme="minorEastAsia" w:hAnsiTheme="minorEastAsia"/>
          <w:sz w:val="24"/>
          <w:szCs w:val="24"/>
          <w:highlight w:val="none"/>
        </w:rPr>
        <w:t>联系人：</w:t>
      </w:r>
      <w:r>
        <w:rPr>
          <w:rFonts w:hint="eastAsia" w:asciiTheme="minorEastAsia" w:hAnsiTheme="minorEastAsia"/>
          <w:sz w:val="24"/>
          <w:szCs w:val="24"/>
          <w:highlight w:val="none"/>
          <w:lang w:val="en-US" w:eastAsia="zh-CN"/>
        </w:rPr>
        <w:t>郭超</w:t>
      </w:r>
    </w:p>
    <w:p>
      <w:pPr>
        <w:spacing w:line="360" w:lineRule="auto"/>
        <w:ind w:firstLine="480" w:firstLineChars="200"/>
        <w:rPr>
          <w:rFonts w:hint="default"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rPr>
        <w:t>联系电话：</w:t>
      </w:r>
      <w:r>
        <w:rPr>
          <w:rFonts w:hint="eastAsia" w:asciiTheme="minorEastAsia" w:hAnsiTheme="minorEastAsia"/>
          <w:sz w:val="24"/>
          <w:szCs w:val="24"/>
          <w:highlight w:val="none"/>
          <w:lang w:val="en-US" w:eastAsia="zh-CN"/>
        </w:rPr>
        <w:t>0898-25690396</w:t>
      </w:r>
    </w:p>
    <w:p>
      <w:pPr>
        <w:spacing w:line="360" w:lineRule="auto"/>
        <w:ind w:firstLine="480" w:firstLineChars="200"/>
        <w:rPr>
          <w:rFonts w:ascii="黑体" w:hAnsi="黑体" w:eastAsia="黑体"/>
          <w:sz w:val="24"/>
          <w:szCs w:val="24"/>
          <w:highlight w:val="none"/>
        </w:rPr>
      </w:pPr>
      <w:r>
        <w:rPr>
          <w:rFonts w:hint="eastAsia" w:asciiTheme="minorEastAsia" w:hAnsiTheme="minorEastAsia"/>
          <w:sz w:val="24"/>
          <w:szCs w:val="24"/>
          <w:highlight w:val="none"/>
        </w:rPr>
        <w:t>邮箱</w:t>
      </w:r>
      <w:r>
        <w:rPr>
          <w:rFonts w:asciiTheme="minorEastAsia" w:hAnsiTheme="minorEastAsia"/>
          <w:sz w:val="24"/>
          <w:szCs w:val="24"/>
          <w:highlight w:val="none"/>
        </w:rPr>
        <w:t>：</w:t>
      </w:r>
      <w:r>
        <w:rPr>
          <w:rFonts w:hint="eastAsia" w:asciiTheme="minorEastAsia" w:hAnsiTheme="minorEastAsia"/>
          <w:sz w:val="24"/>
          <w:szCs w:val="24"/>
          <w:highlight w:val="none"/>
          <w:lang w:val="en-US" w:eastAsia="zh-CN"/>
        </w:rPr>
        <w:t>guochao</w:t>
      </w:r>
      <w:r>
        <w:rPr>
          <w:rFonts w:hint="eastAsia" w:asciiTheme="minorEastAsia" w:hAnsiTheme="minorEastAsia"/>
          <w:sz w:val="24"/>
          <w:szCs w:val="24"/>
          <w:highlight w:val="none"/>
        </w:rPr>
        <w:t>@cnooc.com.cn</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7"/>
        <w:ind w:left="0" w:leftChars="0" w:firstLine="0" w:firstLineChars="0"/>
        <w:rPr>
          <w:highlight w:val="none"/>
        </w:rPr>
      </w:pPr>
    </w:p>
    <w:p>
      <w:pPr>
        <w:rPr>
          <w:highlight w:val="none"/>
        </w:rPr>
      </w:pPr>
    </w:p>
    <w:p>
      <w:pPr>
        <w:outlineLvl w:val="1"/>
        <w:rPr>
          <w:rFonts w:ascii="黑体" w:hAnsi="黑体" w:eastAsia="黑体"/>
          <w:sz w:val="24"/>
          <w:szCs w:val="24"/>
          <w:highlight w:val="none"/>
        </w:rPr>
      </w:pPr>
      <w:r>
        <w:rPr>
          <w:rFonts w:hint="eastAsia" w:ascii="黑体" w:hAnsi="黑体" w:eastAsia="黑体"/>
          <w:sz w:val="24"/>
          <w:szCs w:val="24"/>
          <w:highlight w:val="none"/>
        </w:rPr>
        <w:t xml:space="preserve">附件1  </w:t>
      </w:r>
      <w:r>
        <w:rPr>
          <w:rFonts w:ascii="黑体" w:hAnsi="黑体" w:eastAsia="黑体"/>
          <w:sz w:val="24"/>
          <w:szCs w:val="24"/>
          <w:highlight w:val="none"/>
        </w:rPr>
        <w:t xml:space="preserve">                     </w:t>
      </w:r>
    </w:p>
    <w:p>
      <w:pPr>
        <w:ind w:firstLine="281" w:firstLineChars="100"/>
        <w:jc w:val="center"/>
        <w:rPr>
          <w:rFonts w:ascii="仿宋" w:hAnsi="仿宋" w:eastAsia="仿宋" w:cs="Calibri"/>
          <w:b/>
          <w:bCs/>
          <w:sz w:val="28"/>
          <w:szCs w:val="28"/>
          <w:highlight w:val="none"/>
        </w:rPr>
      </w:pPr>
      <w:r>
        <w:rPr>
          <w:rFonts w:hint="eastAsia" w:ascii="仿宋" w:hAnsi="仿宋" w:eastAsia="仿宋" w:cs="Calibri"/>
          <w:b/>
          <w:bCs/>
          <w:sz w:val="28"/>
          <w:szCs w:val="28"/>
          <w:highlight w:val="none"/>
        </w:rPr>
        <w:t>基本要求</w:t>
      </w:r>
    </w:p>
    <w:tbl>
      <w:tblPr>
        <w:tblStyle w:val="16"/>
        <w:tblW w:w="5644" w:type="pct"/>
        <w:jc w:val="center"/>
        <w:tblLayout w:type="autofit"/>
        <w:tblCellMar>
          <w:top w:w="0" w:type="dxa"/>
          <w:left w:w="0" w:type="dxa"/>
          <w:bottom w:w="0" w:type="dxa"/>
          <w:right w:w="0" w:type="dxa"/>
        </w:tblCellMar>
      </w:tblPr>
      <w:tblGrid>
        <w:gridCol w:w="614"/>
        <w:gridCol w:w="873"/>
        <w:gridCol w:w="1382"/>
        <w:gridCol w:w="6518"/>
      </w:tblGrid>
      <w:tr>
        <w:tblPrEx>
          <w:tblCellMar>
            <w:top w:w="0" w:type="dxa"/>
            <w:left w:w="0" w:type="dxa"/>
            <w:bottom w:w="0" w:type="dxa"/>
            <w:right w:w="0" w:type="dxa"/>
          </w:tblCellMar>
        </w:tblPrEx>
        <w:trPr>
          <w:trHeight w:val="397" w:hRule="atLeast"/>
          <w:jc w:val="center"/>
        </w:trPr>
        <w:tc>
          <w:tcPr>
            <w:tcW w:w="792" w:type="pct"/>
            <w:gridSpan w:val="2"/>
            <w:tcBorders>
              <w:top w:val="single" w:color="000000" w:sz="4" w:space="0"/>
              <w:left w:val="single" w:color="000000" w:sz="4" w:space="0"/>
              <w:bottom w:val="single" w:color="000000" w:sz="4" w:space="0"/>
              <w:right w:val="single" w:color="000000" w:sz="4" w:space="0"/>
            </w:tcBorders>
            <w:vAlign w:val="center"/>
          </w:tcPr>
          <w:p>
            <w:pPr>
              <w:pStyle w:val="36"/>
              <w:spacing w:line="300" w:lineRule="exact"/>
              <w:jc w:val="center"/>
              <w:rPr>
                <w:rFonts w:ascii="仿宋" w:hAnsi="仿宋" w:eastAsia="仿宋" w:cs="Calibri"/>
                <w:b/>
                <w:bCs/>
                <w:sz w:val="21"/>
                <w:szCs w:val="21"/>
                <w:highlight w:val="none"/>
                <w:lang w:eastAsia="zh-CN"/>
              </w:rPr>
            </w:pPr>
            <w:r>
              <w:rPr>
                <w:rFonts w:hint="eastAsia" w:ascii="仿宋" w:hAnsi="仿宋" w:eastAsia="仿宋" w:cs="Calibri"/>
                <w:b/>
                <w:bCs/>
                <w:sz w:val="21"/>
                <w:szCs w:val="21"/>
                <w:highlight w:val="none"/>
                <w:lang w:eastAsia="zh-CN"/>
              </w:rPr>
              <w:t>序号</w:t>
            </w:r>
          </w:p>
        </w:tc>
        <w:tc>
          <w:tcPr>
            <w:tcW w:w="736" w:type="pct"/>
            <w:tcBorders>
              <w:top w:val="single" w:color="000000" w:sz="4" w:space="0"/>
              <w:left w:val="nil"/>
              <w:bottom w:val="single" w:color="000000" w:sz="4" w:space="0"/>
              <w:right w:val="single" w:color="000000" w:sz="4" w:space="0"/>
            </w:tcBorders>
            <w:vAlign w:val="center"/>
          </w:tcPr>
          <w:p>
            <w:pPr>
              <w:pStyle w:val="36"/>
              <w:spacing w:line="300" w:lineRule="exact"/>
              <w:jc w:val="center"/>
              <w:rPr>
                <w:rFonts w:ascii="仿宋" w:hAnsi="仿宋" w:eastAsia="仿宋" w:cs="Calibri"/>
                <w:b/>
                <w:bCs/>
                <w:sz w:val="21"/>
                <w:szCs w:val="21"/>
                <w:highlight w:val="none"/>
                <w:lang w:eastAsia="zh-CN"/>
              </w:rPr>
            </w:pPr>
            <w:r>
              <w:rPr>
                <w:rFonts w:hint="eastAsia" w:ascii="仿宋" w:hAnsi="仿宋" w:eastAsia="仿宋" w:cs="Calibri"/>
                <w:b/>
                <w:bCs/>
                <w:sz w:val="21"/>
                <w:szCs w:val="21"/>
                <w:highlight w:val="none"/>
                <w:lang w:eastAsia="zh-CN"/>
              </w:rPr>
              <w:t>内容</w:t>
            </w:r>
          </w:p>
        </w:tc>
        <w:tc>
          <w:tcPr>
            <w:tcW w:w="3470" w:type="pct"/>
            <w:tcBorders>
              <w:top w:val="single" w:color="000000" w:sz="4" w:space="0"/>
              <w:left w:val="nil"/>
              <w:bottom w:val="single" w:color="000000" w:sz="4" w:space="0"/>
              <w:right w:val="single" w:color="000000" w:sz="4" w:space="0"/>
            </w:tcBorders>
            <w:vAlign w:val="center"/>
          </w:tcPr>
          <w:p>
            <w:pPr>
              <w:pStyle w:val="36"/>
              <w:spacing w:line="300" w:lineRule="exact"/>
              <w:jc w:val="center"/>
              <w:rPr>
                <w:rFonts w:ascii="仿宋" w:hAnsi="仿宋" w:eastAsia="仿宋" w:cs="Calibri"/>
                <w:b/>
                <w:bCs/>
                <w:sz w:val="21"/>
                <w:szCs w:val="21"/>
                <w:highlight w:val="none"/>
                <w:lang w:eastAsia="zh-CN"/>
              </w:rPr>
            </w:pPr>
            <w:r>
              <w:rPr>
                <w:rFonts w:hint="eastAsia" w:ascii="仿宋" w:hAnsi="仿宋" w:eastAsia="仿宋" w:cs="Calibri"/>
                <w:b/>
                <w:bCs/>
                <w:sz w:val="21"/>
                <w:szCs w:val="21"/>
                <w:highlight w:val="none"/>
                <w:lang w:eastAsia="zh-CN"/>
              </w:rPr>
              <w:t>标准</w:t>
            </w:r>
          </w:p>
        </w:tc>
      </w:tr>
      <w:tr>
        <w:tblPrEx>
          <w:tblCellMar>
            <w:top w:w="0" w:type="dxa"/>
            <w:left w:w="0" w:type="dxa"/>
            <w:bottom w:w="0" w:type="dxa"/>
            <w:right w:w="0" w:type="dxa"/>
          </w:tblCellMar>
        </w:tblPrEx>
        <w:trPr>
          <w:trHeight w:val="337" w:hRule="atLeast"/>
          <w:jc w:val="center"/>
        </w:trPr>
        <w:tc>
          <w:tcPr>
            <w:tcW w:w="327" w:type="pct"/>
            <w:vMerge w:val="restart"/>
            <w:tcBorders>
              <w:top w:val="nil"/>
              <w:left w:val="single" w:color="000000" w:sz="6" w:space="0"/>
              <w:right w:val="single" w:color="000000" w:sz="6" w:space="0"/>
            </w:tcBorders>
            <w:vAlign w:val="center"/>
          </w:tcPr>
          <w:p>
            <w:pPr>
              <w:pStyle w:val="36"/>
              <w:spacing w:line="300" w:lineRule="exact"/>
              <w:jc w:val="center"/>
              <w:rPr>
                <w:rFonts w:ascii="仿宋" w:hAnsi="仿宋" w:eastAsia="仿宋" w:cs="Calibri"/>
                <w:bCs/>
                <w:sz w:val="21"/>
                <w:szCs w:val="21"/>
                <w:highlight w:val="none"/>
                <w:lang w:eastAsia="zh-CN"/>
              </w:rPr>
            </w:pPr>
            <w:r>
              <w:rPr>
                <w:rFonts w:ascii="仿宋" w:hAnsi="仿宋" w:eastAsia="仿宋" w:cs="Calibri"/>
                <w:bCs/>
                <w:sz w:val="21"/>
                <w:szCs w:val="21"/>
                <w:highlight w:val="none"/>
                <w:lang w:eastAsia="zh-CN"/>
              </w:rPr>
              <w:t>1</w:t>
            </w:r>
          </w:p>
          <w:p>
            <w:pPr>
              <w:spacing w:line="300" w:lineRule="exact"/>
              <w:jc w:val="center"/>
              <w:rPr>
                <w:rFonts w:ascii="仿宋" w:hAnsi="仿宋" w:eastAsia="仿宋" w:cs="Calibri"/>
                <w:bCs/>
                <w:szCs w:val="21"/>
                <w:highlight w:val="none"/>
              </w:rPr>
            </w:pPr>
          </w:p>
        </w:tc>
        <w:tc>
          <w:tcPr>
            <w:tcW w:w="464" w:type="pct"/>
            <w:vMerge w:val="restart"/>
            <w:tcBorders>
              <w:top w:val="nil"/>
              <w:left w:val="nil"/>
              <w:right w:val="single" w:color="000000" w:sz="6" w:space="0"/>
            </w:tcBorders>
            <w:textDirection w:val="tbRlV"/>
            <w:vAlign w:val="center"/>
          </w:tcPr>
          <w:p>
            <w:pPr>
              <w:pStyle w:val="36"/>
              <w:spacing w:line="300" w:lineRule="exact"/>
              <w:ind w:left="113" w:right="113"/>
              <w:jc w:val="center"/>
              <w:rPr>
                <w:rFonts w:ascii="仿宋" w:hAnsi="仿宋" w:eastAsia="仿宋" w:cs="Calibri"/>
                <w:bCs/>
                <w:sz w:val="21"/>
                <w:szCs w:val="21"/>
                <w:highlight w:val="none"/>
                <w:lang w:eastAsia="zh-CN"/>
              </w:rPr>
            </w:pPr>
            <w:r>
              <w:rPr>
                <w:rFonts w:hint="eastAsia" w:ascii="仿宋" w:hAnsi="仿宋" w:eastAsia="仿宋" w:cs="Calibri"/>
                <w:bCs/>
                <w:sz w:val="21"/>
                <w:szCs w:val="21"/>
                <w:highlight w:val="none"/>
                <w:lang w:eastAsia="zh-CN"/>
              </w:rPr>
              <w:t>商务标准</w:t>
            </w:r>
          </w:p>
        </w:tc>
        <w:tc>
          <w:tcPr>
            <w:tcW w:w="736" w:type="pct"/>
            <w:tcBorders>
              <w:top w:val="single" w:color="000000" w:sz="4" w:space="0"/>
              <w:left w:val="nil"/>
              <w:bottom w:val="single" w:color="000000" w:sz="4" w:space="0"/>
              <w:right w:val="single" w:color="000000" w:sz="4" w:space="0"/>
            </w:tcBorders>
            <w:vAlign w:val="center"/>
          </w:tcPr>
          <w:p>
            <w:pPr>
              <w:pStyle w:val="36"/>
              <w:spacing w:line="300" w:lineRule="exact"/>
              <w:jc w:val="center"/>
              <w:rPr>
                <w:rFonts w:ascii="仿宋" w:hAnsi="仿宋" w:eastAsia="仿宋" w:cs="Calibri"/>
                <w:bCs/>
                <w:sz w:val="21"/>
                <w:szCs w:val="21"/>
                <w:highlight w:val="none"/>
                <w:lang w:eastAsia="zh-CN"/>
              </w:rPr>
            </w:pPr>
            <w:r>
              <w:rPr>
                <w:rFonts w:hint="eastAsia" w:ascii="仿宋" w:hAnsi="仿宋" w:eastAsia="仿宋" w:cs="Calibri"/>
                <w:bCs/>
                <w:sz w:val="21"/>
                <w:szCs w:val="21"/>
                <w:highlight w:val="none"/>
                <w:lang w:val="en-US" w:eastAsia="zh-CN"/>
              </w:rPr>
              <w:t>★</w:t>
            </w:r>
            <w:r>
              <w:rPr>
                <w:rFonts w:hint="eastAsia" w:ascii="仿宋" w:hAnsi="仿宋" w:eastAsia="仿宋" w:cs="Calibri"/>
                <w:bCs/>
                <w:sz w:val="21"/>
                <w:szCs w:val="21"/>
                <w:highlight w:val="none"/>
                <w:lang w:eastAsia="zh-CN"/>
              </w:rPr>
              <w:t>申请人名称</w:t>
            </w:r>
          </w:p>
        </w:tc>
        <w:tc>
          <w:tcPr>
            <w:tcW w:w="3470" w:type="pct"/>
            <w:tcBorders>
              <w:top w:val="single" w:color="000000" w:sz="4" w:space="0"/>
              <w:left w:val="nil"/>
              <w:bottom w:val="single" w:color="000000" w:sz="4" w:space="0"/>
              <w:right w:val="single" w:color="000000" w:sz="4" w:space="0"/>
            </w:tcBorders>
            <w:vAlign w:val="center"/>
          </w:tcPr>
          <w:p>
            <w:pPr>
              <w:pStyle w:val="36"/>
              <w:spacing w:line="300" w:lineRule="exact"/>
              <w:jc w:val="both"/>
              <w:rPr>
                <w:rFonts w:ascii="仿宋" w:hAnsi="仿宋" w:eastAsia="仿宋" w:cs="Calibri"/>
                <w:bCs/>
                <w:sz w:val="21"/>
                <w:szCs w:val="21"/>
                <w:highlight w:val="none"/>
                <w:lang w:eastAsia="zh-CN"/>
              </w:rPr>
            </w:pPr>
            <w:r>
              <w:rPr>
                <w:rFonts w:hint="eastAsia" w:ascii="仿宋" w:hAnsi="仿宋" w:eastAsia="仿宋" w:cs="Calibri"/>
                <w:bCs/>
                <w:sz w:val="21"/>
                <w:szCs w:val="21"/>
                <w:highlight w:val="none"/>
                <w:lang w:eastAsia="zh-CN"/>
              </w:rPr>
              <w:t>与营业执照、资质证书一致；</w:t>
            </w:r>
          </w:p>
        </w:tc>
      </w:tr>
      <w:tr>
        <w:tblPrEx>
          <w:tblCellMar>
            <w:top w:w="0" w:type="dxa"/>
            <w:left w:w="0" w:type="dxa"/>
            <w:bottom w:w="0" w:type="dxa"/>
            <w:right w:w="0" w:type="dxa"/>
          </w:tblCellMar>
        </w:tblPrEx>
        <w:trPr>
          <w:trHeight w:val="1289" w:hRule="atLeast"/>
          <w:jc w:val="center"/>
        </w:trPr>
        <w:tc>
          <w:tcPr>
            <w:tcW w:w="327" w:type="pct"/>
            <w:vMerge w:val="continue"/>
            <w:tcBorders>
              <w:left w:val="single" w:color="000000" w:sz="6" w:space="0"/>
              <w:right w:val="single" w:color="000000" w:sz="6" w:space="0"/>
            </w:tcBorders>
            <w:vAlign w:val="center"/>
          </w:tcPr>
          <w:p>
            <w:pPr>
              <w:spacing w:line="300" w:lineRule="exact"/>
              <w:jc w:val="center"/>
              <w:rPr>
                <w:rFonts w:ascii="仿宋" w:hAnsi="仿宋" w:eastAsia="仿宋" w:cs="Calibri"/>
                <w:bCs/>
                <w:kern w:val="0"/>
                <w:szCs w:val="21"/>
                <w:highlight w:val="none"/>
              </w:rPr>
            </w:pPr>
          </w:p>
        </w:tc>
        <w:tc>
          <w:tcPr>
            <w:tcW w:w="464" w:type="pct"/>
            <w:vMerge w:val="continue"/>
            <w:tcBorders>
              <w:left w:val="nil"/>
              <w:right w:val="single" w:color="000000" w:sz="6" w:space="0"/>
            </w:tcBorders>
            <w:vAlign w:val="center"/>
          </w:tcPr>
          <w:p>
            <w:pPr>
              <w:widowControl/>
              <w:rPr>
                <w:rFonts w:ascii="仿宋" w:hAnsi="仿宋" w:eastAsia="仿宋" w:cs="Calibri"/>
                <w:bCs/>
                <w:kern w:val="0"/>
                <w:szCs w:val="21"/>
                <w:highlight w:val="none"/>
              </w:rPr>
            </w:pPr>
          </w:p>
        </w:tc>
        <w:tc>
          <w:tcPr>
            <w:tcW w:w="736" w:type="pct"/>
            <w:tcBorders>
              <w:top w:val="single" w:color="000000" w:sz="4" w:space="0"/>
              <w:left w:val="nil"/>
              <w:bottom w:val="nil"/>
              <w:right w:val="single" w:color="000000" w:sz="4" w:space="0"/>
            </w:tcBorders>
            <w:vAlign w:val="center"/>
          </w:tcPr>
          <w:p>
            <w:pPr>
              <w:pStyle w:val="36"/>
              <w:spacing w:line="300" w:lineRule="exact"/>
              <w:jc w:val="center"/>
              <w:rPr>
                <w:rFonts w:ascii="仿宋" w:hAnsi="仿宋" w:eastAsia="仿宋" w:cs="Calibri"/>
                <w:bCs/>
                <w:sz w:val="21"/>
                <w:szCs w:val="21"/>
                <w:highlight w:val="none"/>
                <w:lang w:eastAsia="zh-CN"/>
              </w:rPr>
            </w:pPr>
            <w:r>
              <w:rPr>
                <w:rFonts w:hint="eastAsia" w:ascii="仿宋" w:hAnsi="仿宋" w:eastAsia="仿宋" w:cs="Calibri"/>
                <w:bCs/>
                <w:sz w:val="21"/>
                <w:szCs w:val="21"/>
                <w:highlight w:val="none"/>
                <w:lang w:val="en-US" w:eastAsia="zh-CN"/>
              </w:rPr>
              <w:t>★</w:t>
            </w:r>
            <w:r>
              <w:rPr>
                <w:rFonts w:hint="eastAsia" w:ascii="仿宋" w:hAnsi="仿宋" w:eastAsia="仿宋" w:cs="Calibri"/>
                <w:bCs/>
                <w:sz w:val="21"/>
                <w:szCs w:val="21"/>
                <w:highlight w:val="none"/>
                <w:lang w:eastAsia="zh-CN"/>
              </w:rPr>
              <w:t>报价文件签字盖章</w:t>
            </w:r>
          </w:p>
        </w:tc>
        <w:tc>
          <w:tcPr>
            <w:tcW w:w="3470" w:type="pct"/>
            <w:tcBorders>
              <w:top w:val="single" w:color="000000" w:sz="4" w:space="0"/>
              <w:left w:val="nil"/>
              <w:bottom w:val="nil"/>
              <w:right w:val="single" w:color="000000" w:sz="4" w:space="0"/>
            </w:tcBorders>
            <w:vAlign w:val="center"/>
          </w:tcPr>
          <w:p>
            <w:pPr>
              <w:pStyle w:val="36"/>
              <w:spacing w:line="300" w:lineRule="exact"/>
              <w:jc w:val="both"/>
              <w:rPr>
                <w:rFonts w:ascii="仿宋" w:hAnsi="仿宋" w:eastAsia="仿宋" w:cs="Calibri"/>
                <w:bCs/>
                <w:sz w:val="21"/>
                <w:szCs w:val="21"/>
                <w:highlight w:val="none"/>
                <w:lang w:eastAsia="zh-CN"/>
              </w:rPr>
            </w:pPr>
            <w:r>
              <w:rPr>
                <w:rFonts w:hint="eastAsia" w:ascii="仿宋" w:hAnsi="仿宋" w:eastAsia="仿宋" w:cs="Calibri"/>
                <w:bCs/>
                <w:sz w:val="21"/>
                <w:szCs w:val="21"/>
                <w:highlight w:val="none"/>
                <w:lang w:eastAsia="zh-CN"/>
              </w:rPr>
              <w:t>有法定代表人（单位负责人）或其委托代理人签字并加盖单位章。由法定代表人（单位负责人）签字的，应附法定代表人（单位负责人）身份证明，由代理人签字的，应附授权委托书，身份证明或授权委托书；</w:t>
            </w:r>
          </w:p>
        </w:tc>
      </w:tr>
      <w:tr>
        <w:tblPrEx>
          <w:tblCellMar>
            <w:top w:w="0" w:type="dxa"/>
            <w:left w:w="0" w:type="dxa"/>
            <w:bottom w:w="0" w:type="dxa"/>
            <w:right w:w="0" w:type="dxa"/>
          </w:tblCellMar>
        </w:tblPrEx>
        <w:trPr>
          <w:trHeight w:val="409" w:hRule="atLeast"/>
          <w:jc w:val="center"/>
        </w:trPr>
        <w:tc>
          <w:tcPr>
            <w:tcW w:w="327" w:type="pct"/>
            <w:vMerge w:val="continue"/>
            <w:tcBorders>
              <w:left w:val="single" w:color="000000" w:sz="6" w:space="0"/>
              <w:right w:val="single" w:color="000000" w:sz="6" w:space="0"/>
            </w:tcBorders>
            <w:vAlign w:val="center"/>
          </w:tcPr>
          <w:p>
            <w:pPr>
              <w:spacing w:line="300" w:lineRule="exact"/>
              <w:jc w:val="center"/>
              <w:rPr>
                <w:rFonts w:ascii="仿宋" w:hAnsi="仿宋" w:eastAsia="仿宋" w:cs="Calibri"/>
                <w:bCs/>
                <w:kern w:val="0"/>
                <w:szCs w:val="21"/>
                <w:highlight w:val="none"/>
              </w:rPr>
            </w:pPr>
          </w:p>
        </w:tc>
        <w:tc>
          <w:tcPr>
            <w:tcW w:w="464" w:type="pct"/>
            <w:vMerge w:val="continue"/>
            <w:tcBorders>
              <w:left w:val="nil"/>
              <w:right w:val="single" w:color="000000" w:sz="6" w:space="0"/>
            </w:tcBorders>
            <w:vAlign w:val="center"/>
          </w:tcPr>
          <w:p>
            <w:pPr>
              <w:widowControl/>
              <w:rPr>
                <w:rFonts w:ascii="仿宋" w:hAnsi="仿宋" w:eastAsia="仿宋" w:cs="Calibri"/>
                <w:bCs/>
                <w:kern w:val="0"/>
                <w:szCs w:val="21"/>
                <w:highlight w:val="none"/>
              </w:rPr>
            </w:pPr>
          </w:p>
        </w:tc>
        <w:tc>
          <w:tcPr>
            <w:tcW w:w="736" w:type="pct"/>
            <w:tcBorders>
              <w:top w:val="single" w:color="000000" w:sz="4" w:space="0"/>
              <w:left w:val="nil"/>
              <w:bottom w:val="single" w:color="000000" w:sz="4" w:space="0"/>
              <w:right w:val="single" w:color="000000" w:sz="4" w:space="0"/>
            </w:tcBorders>
            <w:vAlign w:val="center"/>
          </w:tcPr>
          <w:p>
            <w:pPr>
              <w:pStyle w:val="36"/>
              <w:spacing w:line="300" w:lineRule="exact"/>
              <w:jc w:val="center"/>
              <w:rPr>
                <w:rFonts w:hint="eastAsia" w:ascii="仿宋" w:hAnsi="仿宋" w:eastAsia="仿宋" w:cs="Calibri"/>
                <w:bCs/>
                <w:sz w:val="21"/>
                <w:szCs w:val="21"/>
                <w:highlight w:val="none"/>
                <w:lang w:eastAsia="zh-CN"/>
              </w:rPr>
            </w:pPr>
            <w:r>
              <w:rPr>
                <w:rFonts w:hint="eastAsia" w:ascii="仿宋" w:hAnsi="仿宋" w:eastAsia="仿宋" w:cs="Calibri"/>
                <w:bCs/>
                <w:sz w:val="21"/>
                <w:szCs w:val="21"/>
                <w:highlight w:val="none"/>
                <w:lang w:val="en-US" w:eastAsia="zh-CN"/>
              </w:rPr>
              <w:t>★</w:t>
            </w:r>
            <w:r>
              <w:rPr>
                <w:rFonts w:hint="eastAsia" w:ascii="仿宋" w:hAnsi="仿宋" w:eastAsia="仿宋" w:cs="Calibri"/>
                <w:bCs/>
                <w:sz w:val="21"/>
                <w:szCs w:val="21"/>
                <w:highlight w:val="none"/>
                <w:lang w:eastAsia="zh-CN"/>
              </w:rPr>
              <w:t>报价文件</w:t>
            </w:r>
          </w:p>
          <w:p>
            <w:pPr>
              <w:pStyle w:val="36"/>
              <w:spacing w:line="300" w:lineRule="exact"/>
              <w:jc w:val="center"/>
              <w:rPr>
                <w:rFonts w:ascii="仿宋" w:hAnsi="仿宋" w:eastAsia="仿宋" w:cs="Calibri"/>
                <w:bCs/>
                <w:sz w:val="21"/>
                <w:szCs w:val="21"/>
                <w:highlight w:val="none"/>
                <w:lang w:eastAsia="zh-CN"/>
              </w:rPr>
            </w:pPr>
            <w:r>
              <w:rPr>
                <w:rFonts w:hint="eastAsia" w:ascii="仿宋" w:hAnsi="仿宋" w:eastAsia="仿宋" w:cs="Calibri"/>
                <w:bCs/>
                <w:sz w:val="21"/>
                <w:szCs w:val="21"/>
                <w:highlight w:val="none"/>
                <w:lang w:eastAsia="zh-CN"/>
              </w:rPr>
              <w:t>格式</w:t>
            </w:r>
          </w:p>
        </w:tc>
        <w:tc>
          <w:tcPr>
            <w:tcW w:w="3470" w:type="pct"/>
            <w:tcBorders>
              <w:top w:val="single" w:color="000000" w:sz="4" w:space="0"/>
              <w:left w:val="nil"/>
              <w:bottom w:val="single" w:color="000000" w:sz="4" w:space="0"/>
              <w:right w:val="single" w:color="000000" w:sz="4" w:space="0"/>
            </w:tcBorders>
            <w:vAlign w:val="center"/>
          </w:tcPr>
          <w:p>
            <w:pPr>
              <w:rPr>
                <w:rFonts w:ascii="黑体" w:hAnsi="黑体" w:eastAsia="黑体"/>
                <w:sz w:val="24"/>
                <w:szCs w:val="24"/>
                <w:highlight w:val="none"/>
              </w:rPr>
            </w:pPr>
            <w:r>
              <w:rPr>
                <w:rFonts w:hint="eastAsia" w:ascii="仿宋" w:hAnsi="仿宋" w:eastAsia="仿宋" w:cs="Calibri"/>
                <w:bCs/>
                <w:szCs w:val="21"/>
                <w:highlight w:val="none"/>
              </w:rPr>
              <w:t>符合附件</w:t>
            </w:r>
            <w:r>
              <w:rPr>
                <w:rFonts w:ascii="仿宋" w:hAnsi="仿宋" w:eastAsia="仿宋" w:cs="Calibri"/>
                <w:bCs/>
                <w:szCs w:val="21"/>
                <w:highlight w:val="none"/>
              </w:rPr>
              <w:t>3</w:t>
            </w:r>
            <w:r>
              <w:rPr>
                <w:rFonts w:hint="eastAsia" w:ascii="仿宋" w:hAnsi="仿宋" w:eastAsia="仿宋" w:cs="Calibri"/>
                <w:bCs/>
                <w:szCs w:val="21"/>
                <w:highlight w:val="none"/>
              </w:rPr>
              <w:t>：报价单</w:t>
            </w:r>
            <w:r>
              <w:rPr>
                <w:rFonts w:ascii="仿宋" w:hAnsi="仿宋" w:eastAsia="仿宋" w:cs="Calibri"/>
                <w:bCs/>
                <w:szCs w:val="21"/>
                <w:highlight w:val="none"/>
              </w:rPr>
              <w:t>格式</w:t>
            </w:r>
            <w:r>
              <w:rPr>
                <w:rFonts w:hint="eastAsia" w:ascii="仿宋" w:hAnsi="仿宋" w:eastAsia="仿宋" w:cs="Calibri"/>
                <w:bCs/>
                <w:szCs w:val="21"/>
                <w:highlight w:val="none"/>
              </w:rPr>
              <w:t>的规定；</w:t>
            </w:r>
          </w:p>
        </w:tc>
      </w:tr>
      <w:tr>
        <w:tblPrEx>
          <w:tblCellMar>
            <w:top w:w="0" w:type="dxa"/>
            <w:left w:w="0" w:type="dxa"/>
            <w:bottom w:w="0" w:type="dxa"/>
            <w:right w:w="0" w:type="dxa"/>
          </w:tblCellMar>
        </w:tblPrEx>
        <w:trPr>
          <w:trHeight w:val="519" w:hRule="atLeast"/>
          <w:jc w:val="center"/>
        </w:trPr>
        <w:tc>
          <w:tcPr>
            <w:tcW w:w="327" w:type="pct"/>
            <w:vMerge w:val="continue"/>
            <w:tcBorders>
              <w:left w:val="single" w:color="000000" w:sz="6" w:space="0"/>
              <w:right w:val="single" w:color="000000" w:sz="6" w:space="0"/>
            </w:tcBorders>
            <w:vAlign w:val="center"/>
          </w:tcPr>
          <w:p>
            <w:pPr>
              <w:spacing w:line="300" w:lineRule="exact"/>
              <w:jc w:val="center"/>
              <w:rPr>
                <w:rFonts w:ascii="仿宋" w:hAnsi="仿宋" w:eastAsia="仿宋" w:cs="Calibri"/>
                <w:bCs/>
                <w:kern w:val="0"/>
                <w:szCs w:val="21"/>
                <w:highlight w:val="none"/>
              </w:rPr>
            </w:pPr>
          </w:p>
        </w:tc>
        <w:tc>
          <w:tcPr>
            <w:tcW w:w="464" w:type="pct"/>
            <w:vMerge w:val="continue"/>
            <w:tcBorders>
              <w:left w:val="nil"/>
              <w:right w:val="single" w:color="000000" w:sz="6" w:space="0"/>
            </w:tcBorders>
            <w:vAlign w:val="center"/>
          </w:tcPr>
          <w:p>
            <w:pPr>
              <w:widowControl/>
              <w:rPr>
                <w:rFonts w:ascii="仿宋" w:hAnsi="仿宋" w:eastAsia="仿宋" w:cs="Calibri"/>
                <w:bCs/>
                <w:kern w:val="0"/>
                <w:szCs w:val="21"/>
                <w:highlight w:val="none"/>
              </w:rPr>
            </w:pPr>
          </w:p>
        </w:tc>
        <w:tc>
          <w:tcPr>
            <w:tcW w:w="736" w:type="pct"/>
            <w:tcBorders>
              <w:top w:val="single" w:color="000000" w:sz="4" w:space="0"/>
              <w:left w:val="nil"/>
              <w:bottom w:val="single" w:color="000000" w:sz="4" w:space="0"/>
              <w:right w:val="single" w:color="000000" w:sz="4" w:space="0"/>
            </w:tcBorders>
            <w:vAlign w:val="center"/>
          </w:tcPr>
          <w:p>
            <w:pPr>
              <w:pStyle w:val="36"/>
              <w:spacing w:line="300" w:lineRule="exact"/>
              <w:jc w:val="center"/>
              <w:rPr>
                <w:rFonts w:ascii="仿宋" w:hAnsi="仿宋" w:eastAsia="仿宋" w:cs="Calibri"/>
                <w:bCs/>
                <w:sz w:val="21"/>
                <w:szCs w:val="21"/>
                <w:highlight w:val="none"/>
                <w:lang w:eastAsia="zh-CN"/>
              </w:rPr>
            </w:pPr>
            <w:r>
              <w:rPr>
                <w:rFonts w:hint="eastAsia" w:ascii="仿宋" w:hAnsi="仿宋" w:eastAsia="仿宋" w:cs="Calibri"/>
                <w:bCs/>
                <w:sz w:val="21"/>
                <w:szCs w:val="21"/>
                <w:highlight w:val="none"/>
                <w:lang w:val="en-US" w:eastAsia="zh-CN"/>
              </w:rPr>
              <w:t>★</w:t>
            </w:r>
            <w:r>
              <w:rPr>
                <w:rFonts w:hint="eastAsia" w:ascii="仿宋" w:hAnsi="仿宋" w:eastAsia="仿宋" w:cs="Calibri"/>
                <w:bCs/>
                <w:sz w:val="21"/>
                <w:szCs w:val="21"/>
                <w:highlight w:val="none"/>
                <w:lang w:eastAsia="zh-CN"/>
              </w:rPr>
              <w:t>报价有效期</w:t>
            </w:r>
          </w:p>
        </w:tc>
        <w:tc>
          <w:tcPr>
            <w:tcW w:w="3470" w:type="pct"/>
            <w:tcBorders>
              <w:top w:val="single" w:color="000000" w:sz="4" w:space="0"/>
              <w:left w:val="nil"/>
              <w:bottom w:val="single" w:color="000000" w:sz="4" w:space="0"/>
              <w:right w:val="single" w:color="000000" w:sz="4" w:space="0"/>
            </w:tcBorders>
            <w:vAlign w:val="center"/>
          </w:tcPr>
          <w:p>
            <w:pPr>
              <w:pStyle w:val="36"/>
              <w:spacing w:line="300" w:lineRule="exact"/>
              <w:jc w:val="both"/>
              <w:rPr>
                <w:rFonts w:ascii="仿宋" w:hAnsi="仿宋" w:eastAsia="仿宋" w:cs="Calibri"/>
                <w:bCs/>
                <w:sz w:val="21"/>
                <w:szCs w:val="21"/>
                <w:highlight w:val="none"/>
                <w:lang w:eastAsia="zh-CN"/>
              </w:rPr>
            </w:pPr>
            <w:r>
              <w:rPr>
                <w:rFonts w:hint="eastAsia" w:ascii="仿宋" w:hAnsi="仿宋" w:eastAsia="仿宋" w:cs="Calibri"/>
                <w:bCs/>
                <w:sz w:val="21"/>
                <w:szCs w:val="21"/>
                <w:highlight w:val="none"/>
                <w:lang w:eastAsia="zh-CN"/>
              </w:rPr>
              <w:t>报价截止之日起</w:t>
            </w:r>
            <w:r>
              <w:rPr>
                <w:rFonts w:hint="eastAsia" w:ascii="仿宋" w:hAnsi="仿宋" w:eastAsia="仿宋" w:cs="Calibri"/>
                <w:bCs/>
                <w:sz w:val="21"/>
                <w:szCs w:val="21"/>
                <w:highlight w:val="none"/>
                <w:lang w:val="en-US" w:eastAsia="zh-CN"/>
              </w:rPr>
              <w:t>120</w:t>
            </w:r>
            <w:r>
              <w:rPr>
                <w:rFonts w:hint="eastAsia" w:ascii="仿宋" w:hAnsi="仿宋" w:eastAsia="仿宋" w:cs="Calibri"/>
                <w:bCs/>
                <w:sz w:val="21"/>
                <w:szCs w:val="21"/>
                <w:highlight w:val="none"/>
                <w:lang w:eastAsia="zh-CN"/>
              </w:rPr>
              <w:t>天内保持有效（</w:t>
            </w:r>
            <w:r>
              <w:rPr>
                <w:rFonts w:hint="eastAsia" w:ascii="仿宋" w:hAnsi="仿宋" w:eastAsia="仿宋" w:cs="Calibri"/>
                <w:bCs/>
                <w:sz w:val="21"/>
                <w:szCs w:val="21"/>
                <w:highlight w:val="none"/>
                <w:lang w:val="en-US" w:eastAsia="zh-CN"/>
              </w:rPr>
              <w:t>在报价文件中列明，或条款偏离表中明确无偏离</w:t>
            </w:r>
            <w:r>
              <w:rPr>
                <w:rFonts w:hint="eastAsia" w:ascii="仿宋" w:hAnsi="仿宋" w:eastAsia="仿宋" w:cs="Calibri"/>
                <w:bCs/>
                <w:sz w:val="21"/>
                <w:szCs w:val="21"/>
                <w:highlight w:val="none"/>
                <w:lang w:eastAsia="zh-CN"/>
              </w:rPr>
              <w:t>）；</w:t>
            </w:r>
          </w:p>
        </w:tc>
      </w:tr>
      <w:tr>
        <w:tblPrEx>
          <w:tblCellMar>
            <w:top w:w="0" w:type="dxa"/>
            <w:left w:w="0" w:type="dxa"/>
            <w:bottom w:w="0" w:type="dxa"/>
            <w:right w:w="0" w:type="dxa"/>
          </w:tblCellMar>
        </w:tblPrEx>
        <w:trPr>
          <w:trHeight w:val="6649" w:hRule="atLeast"/>
          <w:jc w:val="center"/>
        </w:trPr>
        <w:tc>
          <w:tcPr>
            <w:tcW w:w="327" w:type="pct"/>
            <w:vMerge w:val="continue"/>
            <w:tcBorders>
              <w:left w:val="single" w:color="000000" w:sz="6" w:space="0"/>
              <w:right w:val="single" w:color="000000" w:sz="6" w:space="0"/>
            </w:tcBorders>
            <w:vAlign w:val="center"/>
          </w:tcPr>
          <w:p>
            <w:pPr>
              <w:spacing w:line="300" w:lineRule="exact"/>
              <w:jc w:val="center"/>
              <w:rPr>
                <w:rFonts w:ascii="仿宋" w:hAnsi="仿宋" w:eastAsia="仿宋" w:cs="Calibri"/>
                <w:bCs/>
                <w:kern w:val="0"/>
                <w:szCs w:val="21"/>
                <w:highlight w:val="none"/>
              </w:rPr>
            </w:pPr>
          </w:p>
        </w:tc>
        <w:tc>
          <w:tcPr>
            <w:tcW w:w="464" w:type="pct"/>
            <w:vMerge w:val="continue"/>
            <w:tcBorders>
              <w:left w:val="single" w:color="000000" w:sz="6" w:space="0"/>
              <w:right w:val="single" w:color="000000" w:sz="6" w:space="0"/>
            </w:tcBorders>
            <w:vAlign w:val="center"/>
          </w:tcPr>
          <w:p>
            <w:pPr>
              <w:pStyle w:val="36"/>
              <w:spacing w:line="300" w:lineRule="exact"/>
              <w:jc w:val="center"/>
              <w:rPr>
                <w:rFonts w:ascii="仿宋" w:hAnsi="仿宋" w:eastAsia="仿宋" w:cs="Calibri"/>
                <w:bCs/>
                <w:sz w:val="21"/>
                <w:szCs w:val="21"/>
                <w:highlight w:val="none"/>
                <w:lang w:eastAsia="zh-CN"/>
              </w:rPr>
            </w:pPr>
          </w:p>
        </w:tc>
        <w:tc>
          <w:tcPr>
            <w:tcW w:w="736" w:type="pct"/>
            <w:tcBorders>
              <w:top w:val="single" w:color="000000" w:sz="4" w:space="0"/>
              <w:left w:val="single" w:color="000000" w:sz="6" w:space="0"/>
              <w:bottom w:val="single" w:color="000000" w:sz="4" w:space="0"/>
              <w:right w:val="single" w:color="000000" w:sz="4" w:space="0"/>
            </w:tcBorders>
            <w:vAlign w:val="center"/>
          </w:tcPr>
          <w:p>
            <w:pPr>
              <w:pStyle w:val="36"/>
              <w:spacing w:line="300" w:lineRule="exact"/>
              <w:jc w:val="center"/>
              <w:rPr>
                <w:rFonts w:hint="eastAsia" w:ascii="仿宋" w:hAnsi="仿宋" w:eastAsia="仿宋" w:cs="Calibri"/>
                <w:bCs/>
                <w:kern w:val="0"/>
                <w:sz w:val="21"/>
                <w:szCs w:val="21"/>
                <w:highlight w:val="none"/>
                <w:lang w:val="en-US" w:eastAsia="zh-CN" w:bidi="ar-SA"/>
              </w:rPr>
            </w:pPr>
            <w:r>
              <w:rPr>
                <w:rFonts w:hint="eastAsia" w:ascii="仿宋" w:hAnsi="仿宋" w:eastAsia="仿宋" w:cs="Calibri"/>
                <w:bCs/>
                <w:sz w:val="21"/>
                <w:szCs w:val="21"/>
                <w:highlight w:val="none"/>
                <w:lang w:val="en-US" w:eastAsia="zh-CN"/>
              </w:rPr>
              <w:t>★</w:t>
            </w:r>
            <w:r>
              <w:rPr>
                <w:rFonts w:hint="eastAsia" w:ascii="仿宋" w:hAnsi="仿宋" w:eastAsia="仿宋" w:cs="Calibri"/>
                <w:bCs/>
                <w:kern w:val="0"/>
                <w:sz w:val="21"/>
                <w:szCs w:val="21"/>
                <w:highlight w:val="none"/>
                <w:lang w:val="en-US" w:eastAsia="zh-CN" w:bidi="ar-SA"/>
              </w:rPr>
              <w:t>资质要求</w:t>
            </w:r>
          </w:p>
        </w:tc>
        <w:tc>
          <w:tcPr>
            <w:tcW w:w="3470" w:type="pct"/>
            <w:tcBorders>
              <w:top w:val="single" w:color="000000" w:sz="4" w:space="0"/>
              <w:left w:val="nil"/>
              <w:bottom w:val="single" w:color="000000" w:sz="4" w:space="0"/>
              <w:right w:val="single" w:color="000000" w:sz="4" w:space="0"/>
            </w:tcBorders>
            <w:vAlign w:val="center"/>
          </w:tcPr>
          <w:p>
            <w:pPr>
              <w:pStyle w:val="36"/>
              <w:spacing w:line="300" w:lineRule="exact"/>
              <w:jc w:val="both"/>
              <w:rPr>
                <w:rFonts w:hint="eastAsia" w:ascii="仿宋" w:hAnsi="仿宋" w:eastAsia="仿宋" w:cs="Calibri"/>
                <w:bCs/>
                <w:sz w:val="21"/>
                <w:szCs w:val="21"/>
                <w:highlight w:val="none"/>
                <w:lang w:val="en-US" w:eastAsia="zh-CN"/>
              </w:rPr>
            </w:pPr>
            <w:r>
              <w:rPr>
                <w:rFonts w:hint="eastAsia"/>
                <w:highlight w:val="none"/>
                <w:lang w:val="en-US" w:eastAsia="zh-CN"/>
              </w:rPr>
              <w:t>1</w:t>
            </w:r>
            <w:r>
              <w:rPr>
                <w:rFonts w:hint="eastAsia" w:ascii="仿宋" w:hAnsi="仿宋" w:eastAsia="仿宋" w:cs="Calibri"/>
                <w:bCs/>
                <w:sz w:val="21"/>
                <w:szCs w:val="21"/>
                <w:highlight w:val="none"/>
                <w:lang w:val="en-US" w:eastAsia="zh-CN"/>
              </w:rPr>
              <w:t>）1、申请人须是中华人民共和国境内注册的独立法人单位，具有合法有效的企业法人营业执照、税务登记证及组织机构代码证或证照合一的营业执照；2、申请人须是中华人民共和国境内具有独立承担民事责任能力的法人，或具备国家认可经营资格的其他组织。</w:t>
            </w:r>
          </w:p>
          <w:p>
            <w:pPr>
              <w:pStyle w:val="36"/>
              <w:spacing w:line="300" w:lineRule="exact"/>
              <w:jc w:val="both"/>
              <w:rPr>
                <w:rFonts w:hint="eastAsia" w:ascii="仿宋" w:hAnsi="仿宋" w:eastAsia="仿宋" w:cs="Calibri"/>
                <w:bCs/>
                <w:sz w:val="21"/>
                <w:szCs w:val="21"/>
                <w:highlight w:val="none"/>
                <w:lang w:val="en-US" w:eastAsia="zh-CN"/>
              </w:rPr>
            </w:pPr>
            <w:r>
              <w:rPr>
                <w:rFonts w:hint="eastAsia" w:ascii="仿宋" w:hAnsi="仿宋" w:eastAsia="仿宋" w:cs="Calibri"/>
                <w:bCs/>
                <w:sz w:val="21"/>
                <w:szCs w:val="21"/>
                <w:highlight w:val="none"/>
                <w:lang w:val="en-US" w:eastAsia="zh-CN"/>
              </w:rPr>
              <w:t>2）信誉要求：1、申请人不得是最高人民法院在“信用中国”网站（www.creditchina.gov.cn）或各级法院列入失信被执行人名单（应附查询结果复印件并加盖单位章）；</w:t>
            </w:r>
          </w:p>
          <w:p>
            <w:pPr>
              <w:pStyle w:val="36"/>
              <w:spacing w:line="300" w:lineRule="exact"/>
              <w:jc w:val="both"/>
              <w:rPr>
                <w:rFonts w:hint="eastAsia" w:ascii="仿宋" w:hAnsi="仿宋" w:eastAsia="仿宋" w:cs="Calibri"/>
                <w:bCs/>
                <w:sz w:val="21"/>
                <w:szCs w:val="21"/>
                <w:highlight w:val="none"/>
                <w:lang w:val="en-US" w:eastAsia="zh-CN"/>
              </w:rPr>
            </w:pPr>
            <w:r>
              <w:rPr>
                <w:rFonts w:hint="eastAsia" w:ascii="仿宋" w:hAnsi="仿宋" w:eastAsia="仿宋" w:cs="Calibri"/>
                <w:bCs/>
                <w:sz w:val="21"/>
                <w:szCs w:val="21"/>
                <w:highlight w:val="none"/>
                <w:lang w:val="en-US" w:eastAsia="zh-CN"/>
              </w:rPr>
              <w:t>3）近三年（2022年-报价截止日前）内申请人或其法定代表人、拟委任的项目负责人不得有行贿犯罪行为（应附查询结果复印件并加盖单位章）；</w:t>
            </w:r>
          </w:p>
          <w:p>
            <w:pPr>
              <w:pStyle w:val="36"/>
              <w:spacing w:line="300" w:lineRule="exact"/>
              <w:jc w:val="both"/>
              <w:rPr>
                <w:rFonts w:hint="eastAsia" w:ascii="仿宋" w:hAnsi="仿宋" w:eastAsia="仿宋" w:cs="Calibri"/>
                <w:bCs/>
                <w:sz w:val="21"/>
                <w:szCs w:val="21"/>
                <w:highlight w:val="none"/>
                <w:lang w:val="en-US" w:eastAsia="zh-CN"/>
              </w:rPr>
            </w:pPr>
            <w:r>
              <w:rPr>
                <w:rFonts w:hint="eastAsia" w:ascii="仿宋" w:hAnsi="仿宋" w:eastAsia="仿宋" w:cs="Calibri"/>
                <w:bCs/>
                <w:sz w:val="21"/>
                <w:szCs w:val="21"/>
                <w:highlight w:val="none"/>
                <w:lang w:val="en-US" w:eastAsia="zh-CN"/>
              </w:rPr>
              <w:t>4）申请人不得被工商行政管理机关在全国企业信用信息公示系统（http://www.gsxt.gov.cn）中列入严重违法失信企业名（应附查询结果复印件并加盖单位章）；</w:t>
            </w:r>
          </w:p>
          <w:p>
            <w:pPr>
              <w:pStyle w:val="36"/>
              <w:spacing w:line="300" w:lineRule="exact"/>
              <w:jc w:val="both"/>
              <w:rPr>
                <w:rFonts w:hint="eastAsia" w:ascii="仿宋" w:hAnsi="仿宋" w:eastAsia="仿宋" w:cs="Calibri"/>
                <w:bCs/>
                <w:sz w:val="21"/>
                <w:szCs w:val="21"/>
                <w:highlight w:val="none"/>
                <w:lang w:val="en-US" w:eastAsia="zh-CN"/>
              </w:rPr>
            </w:pPr>
            <w:r>
              <w:rPr>
                <w:rFonts w:hint="eastAsia" w:ascii="仿宋" w:hAnsi="仿宋" w:eastAsia="仿宋" w:cs="Calibri"/>
                <w:bCs/>
                <w:sz w:val="21"/>
                <w:szCs w:val="21"/>
                <w:highlight w:val="none"/>
                <w:lang w:val="en-US" w:eastAsia="zh-CN"/>
              </w:rPr>
              <w:t>5）如申请人单位负责人为同一人或者存在控股、管理关系的不同单位，参加同一标段或者未划分标段的同一项目报价，则存在关联关系的申请人报价均视为无效。</w:t>
            </w:r>
          </w:p>
          <w:p>
            <w:pPr>
              <w:pStyle w:val="36"/>
              <w:spacing w:line="300" w:lineRule="exact"/>
              <w:jc w:val="both"/>
              <w:rPr>
                <w:rFonts w:hint="eastAsia" w:ascii="仿宋" w:hAnsi="仿宋" w:eastAsia="仿宋" w:cs="Calibri"/>
                <w:bCs/>
                <w:sz w:val="21"/>
                <w:szCs w:val="21"/>
                <w:highlight w:val="none"/>
                <w:lang w:val="en-US" w:eastAsia="zh-CN"/>
              </w:rPr>
            </w:pPr>
            <w:r>
              <w:rPr>
                <w:rFonts w:hint="eastAsia" w:ascii="仿宋" w:hAnsi="仿宋" w:eastAsia="仿宋" w:cs="Calibri"/>
                <w:bCs/>
                <w:sz w:val="21"/>
                <w:szCs w:val="21"/>
                <w:highlight w:val="none"/>
                <w:lang w:val="en-US" w:eastAsia="zh-CN"/>
              </w:rPr>
              <w:t>6) 申请人在《中国海洋石油集团有限公司采办业务管理与交易系统》填报供应商注册信息，并在注册审核通过后，方可具备参与采办业务的基本资格，未通过注册审核的申请人应答均视为无效。被禁用供应商（包括已生效的、审批过程中的）参与报价，视为报价无效</w:t>
            </w:r>
          </w:p>
          <w:p>
            <w:pPr>
              <w:pStyle w:val="36"/>
              <w:spacing w:line="300" w:lineRule="exact"/>
              <w:jc w:val="both"/>
              <w:rPr>
                <w:rFonts w:hint="default"/>
                <w:highlight w:val="none"/>
                <w:lang w:val="en-US" w:eastAsia="zh-CN"/>
              </w:rPr>
            </w:pPr>
            <w:r>
              <w:rPr>
                <w:rFonts w:hint="eastAsia" w:ascii="仿宋" w:hAnsi="仿宋" w:eastAsia="仿宋" w:cs="Calibri"/>
                <w:bCs/>
                <w:sz w:val="21"/>
                <w:szCs w:val="21"/>
                <w:highlight w:val="none"/>
                <w:lang w:val="en-US" w:eastAsia="zh-CN"/>
              </w:rPr>
              <w:t>7）询价文件中明确要求资质需要在评议阶段通过权威网站查询的，以权威网站查询结果为准。响应文件中已提供查询结果证明但未查询到的，可以澄清。响应文件中未明确要求通过权威网站查询的，以响应文件为准。</w:t>
            </w:r>
          </w:p>
        </w:tc>
      </w:tr>
      <w:tr>
        <w:tblPrEx>
          <w:tblCellMar>
            <w:top w:w="0" w:type="dxa"/>
            <w:left w:w="0" w:type="dxa"/>
            <w:bottom w:w="0" w:type="dxa"/>
            <w:right w:w="0" w:type="dxa"/>
          </w:tblCellMar>
        </w:tblPrEx>
        <w:trPr>
          <w:trHeight w:val="384" w:hRule="atLeast"/>
          <w:jc w:val="center"/>
        </w:trPr>
        <w:tc>
          <w:tcPr>
            <w:tcW w:w="327" w:type="pct"/>
            <w:vMerge w:val="continue"/>
            <w:tcBorders>
              <w:left w:val="single" w:color="000000" w:sz="6" w:space="0"/>
              <w:right w:val="single" w:color="000000" w:sz="6" w:space="0"/>
            </w:tcBorders>
            <w:vAlign w:val="center"/>
          </w:tcPr>
          <w:p>
            <w:pPr>
              <w:widowControl/>
              <w:rPr>
                <w:rFonts w:ascii="仿宋" w:hAnsi="仿宋" w:eastAsia="仿宋" w:cs="Calibri"/>
                <w:bCs/>
                <w:kern w:val="0"/>
                <w:szCs w:val="21"/>
                <w:highlight w:val="none"/>
              </w:rPr>
            </w:pPr>
          </w:p>
        </w:tc>
        <w:tc>
          <w:tcPr>
            <w:tcW w:w="464" w:type="pct"/>
            <w:vMerge w:val="continue"/>
            <w:tcBorders>
              <w:left w:val="single" w:color="000000" w:sz="6" w:space="0"/>
              <w:right w:val="single" w:color="000000" w:sz="6" w:space="0"/>
            </w:tcBorders>
            <w:vAlign w:val="center"/>
          </w:tcPr>
          <w:p>
            <w:pPr>
              <w:widowControl/>
              <w:rPr>
                <w:rFonts w:ascii="仿宋" w:hAnsi="仿宋" w:eastAsia="仿宋" w:cs="Calibri"/>
                <w:bCs/>
                <w:kern w:val="0"/>
                <w:szCs w:val="21"/>
                <w:highlight w:val="none"/>
              </w:rPr>
            </w:pPr>
          </w:p>
        </w:tc>
        <w:tc>
          <w:tcPr>
            <w:tcW w:w="736" w:type="pct"/>
            <w:tcBorders>
              <w:top w:val="single" w:color="auto" w:sz="4" w:space="0"/>
              <w:left w:val="single" w:color="000000" w:sz="6" w:space="0"/>
              <w:bottom w:val="nil"/>
              <w:right w:val="single" w:color="000000" w:sz="4" w:space="0"/>
            </w:tcBorders>
            <w:vAlign w:val="center"/>
          </w:tcPr>
          <w:p>
            <w:pPr>
              <w:pStyle w:val="36"/>
              <w:spacing w:line="300" w:lineRule="exact"/>
              <w:jc w:val="center"/>
              <w:rPr>
                <w:rFonts w:ascii="仿宋" w:hAnsi="仿宋" w:eastAsia="仿宋" w:cs="Calibri"/>
                <w:bCs/>
                <w:sz w:val="21"/>
                <w:szCs w:val="21"/>
                <w:highlight w:val="none"/>
                <w:lang w:eastAsia="zh-CN"/>
              </w:rPr>
            </w:pPr>
            <w:r>
              <w:rPr>
                <w:rFonts w:hint="eastAsia" w:ascii="仿宋" w:hAnsi="仿宋" w:eastAsia="仿宋" w:cs="Calibri"/>
                <w:bCs/>
                <w:sz w:val="21"/>
                <w:szCs w:val="21"/>
                <w:highlight w:val="none"/>
                <w:lang w:val="en-US" w:eastAsia="zh-CN"/>
              </w:rPr>
              <w:t>★</w:t>
            </w:r>
            <w:r>
              <w:rPr>
                <w:rFonts w:ascii="仿宋" w:hAnsi="仿宋" w:eastAsia="仿宋" w:cs="Calibri"/>
                <w:bCs/>
                <w:sz w:val="21"/>
                <w:szCs w:val="21"/>
                <w:highlight w:val="none"/>
                <w:lang w:eastAsia="zh-CN"/>
              </w:rPr>
              <w:t>付款条款</w:t>
            </w:r>
          </w:p>
        </w:tc>
        <w:tc>
          <w:tcPr>
            <w:tcW w:w="3470" w:type="pct"/>
            <w:tcBorders>
              <w:top w:val="single" w:color="auto" w:sz="4" w:space="0"/>
              <w:left w:val="nil"/>
              <w:bottom w:val="nil"/>
              <w:right w:val="single" w:color="000000" w:sz="4" w:space="0"/>
            </w:tcBorders>
            <w:vAlign w:val="center"/>
          </w:tcPr>
          <w:p>
            <w:pPr>
              <w:pStyle w:val="6"/>
              <w:ind w:right="11" w:rightChars="0"/>
              <w:rPr>
                <w:rFonts w:hint="eastAsia" w:ascii="仿宋" w:hAnsi="仿宋" w:eastAsia="仿宋" w:cs="Calibri"/>
                <w:bCs/>
                <w:kern w:val="0"/>
                <w:sz w:val="21"/>
                <w:szCs w:val="21"/>
                <w:highlight w:val="none"/>
                <w:lang w:val="en-US" w:eastAsia="zh-CN" w:bidi="ar-SA"/>
              </w:rPr>
            </w:pPr>
            <w:r>
              <w:rPr>
                <w:rFonts w:hint="eastAsia" w:ascii="仿宋" w:hAnsi="仿宋" w:eastAsia="仿宋" w:cs="Calibri"/>
                <w:bCs/>
                <w:color w:val="auto"/>
                <w:kern w:val="0"/>
                <w:sz w:val="21"/>
                <w:szCs w:val="21"/>
                <w:highlight w:val="none"/>
                <w:lang w:val="en-US" w:eastAsia="zh-CN" w:bidi="ar-SA"/>
              </w:rPr>
              <w:t>付款条件和方法：本合同不支付预付款，每年完工验收合格后结算当期费用。</w:t>
            </w:r>
          </w:p>
        </w:tc>
      </w:tr>
      <w:tr>
        <w:tblPrEx>
          <w:tblCellMar>
            <w:top w:w="0" w:type="dxa"/>
            <w:left w:w="0" w:type="dxa"/>
            <w:bottom w:w="0" w:type="dxa"/>
            <w:right w:w="0" w:type="dxa"/>
          </w:tblCellMar>
        </w:tblPrEx>
        <w:trPr>
          <w:trHeight w:val="90" w:hRule="atLeast"/>
          <w:jc w:val="center"/>
        </w:trPr>
        <w:tc>
          <w:tcPr>
            <w:tcW w:w="327" w:type="pct"/>
            <w:vMerge w:val="continue"/>
            <w:tcBorders>
              <w:left w:val="single" w:color="000000" w:sz="6" w:space="0"/>
              <w:right w:val="single" w:color="000000" w:sz="6" w:space="0"/>
            </w:tcBorders>
            <w:vAlign w:val="center"/>
          </w:tcPr>
          <w:p>
            <w:pPr>
              <w:widowControl/>
              <w:rPr>
                <w:rFonts w:ascii="仿宋" w:hAnsi="仿宋" w:eastAsia="仿宋" w:cs="Calibri"/>
                <w:bCs/>
                <w:kern w:val="0"/>
                <w:szCs w:val="21"/>
                <w:highlight w:val="none"/>
              </w:rPr>
            </w:pPr>
          </w:p>
        </w:tc>
        <w:tc>
          <w:tcPr>
            <w:tcW w:w="464" w:type="pct"/>
            <w:vMerge w:val="continue"/>
            <w:tcBorders>
              <w:left w:val="single" w:color="000000" w:sz="6" w:space="0"/>
              <w:right w:val="single" w:color="000000" w:sz="6" w:space="0"/>
            </w:tcBorders>
            <w:vAlign w:val="center"/>
          </w:tcPr>
          <w:p>
            <w:pPr>
              <w:widowControl/>
              <w:rPr>
                <w:rFonts w:ascii="仿宋" w:hAnsi="仿宋" w:eastAsia="仿宋" w:cs="Calibri"/>
                <w:bCs/>
                <w:kern w:val="0"/>
                <w:szCs w:val="21"/>
                <w:highlight w:val="none"/>
              </w:rPr>
            </w:pPr>
          </w:p>
        </w:tc>
        <w:tc>
          <w:tcPr>
            <w:tcW w:w="736" w:type="pct"/>
            <w:tcBorders>
              <w:top w:val="single" w:color="000000" w:sz="4" w:space="0"/>
              <w:left w:val="single" w:color="000000" w:sz="6" w:space="0"/>
              <w:bottom w:val="single" w:color="000000" w:sz="4" w:space="0"/>
              <w:right w:val="single" w:color="000000" w:sz="4" w:space="0"/>
            </w:tcBorders>
            <w:vAlign w:val="center"/>
          </w:tcPr>
          <w:p>
            <w:pPr>
              <w:pStyle w:val="36"/>
              <w:spacing w:line="300" w:lineRule="exact"/>
              <w:jc w:val="center"/>
              <w:rPr>
                <w:rFonts w:ascii="仿宋" w:hAnsi="仿宋" w:eastAsia="仿宋" w:cs="Calibri"/>
                <w:bCs/>
                <w:sz w:val="21"/>
                <w:szCs w:val="21"/>
                <w:highlight w:val="none"/>
                <w:lang w:eastAsia="zh-CN"/>
              </w:rPr>
            </w:pPr>
            <w:r>
              <w:rPr>
                <w:rFonts w:hint="eastAsia" w:ascii="仿宋" w:hAnsi="仿宋" w:eastAsia="仿宋" w:cs="Calibri"/>
                <w:bCs/>
                <w:sz w:val="21"/>
                <w:szCs w:val="21"/>
                <w:highlight w:val="none"/>
                <w:lang w:val="en-US" w:eastAsia="zh-CN"/>
              </w:rPr>
              <w:t>项目</w:t>
            </w:r>
            <w:r>
              <w:rPr>
                <w:rFonts w:hint="eastAsia" w:ascii="仿宋" w:hAnsi="仿宋" w:eastAsia="仿宋" w:cs="Calibri"/>
                <w:bCs/>
                <w:sz w:val="21"/>
                <w:szCs w:val="21"/>
                <w:highlight w:val="none"/>
                <w:lang w:eastAsia="zh-CN"/>
              </w:rPr>
              <w:t>地点</w:t>
            </w:r>
          </w:p>
        </w:tc>
        <w:tc>
          <w:tcPr>
            <w:tcW w:w="3470" w:type="pct"/>
            <w:tcBorders>
              <w:top w:val="single" w:color="000000" w:sz="4" w:space="0"/>
              <w:left w:val="nil"/>
              <w:bottom w:val="single" w:color="000000" w:sz="4" w:space="0"/>
              <w:right w:val="single" w:color="000000" w:sz="4" w:space="0"/>
            </w:tcBorders>
            <w:vAlign w:val="center"/>
          </w:tcPr>
          <w:p>
            <w:pPr>
              <w:rPr>
                <w:rFonts w:hint="default" w:ascii="仿宋" w:hAnsi="仿宋" w:eastAsia="仿宋" w:cs="Calibri"/>
                <w:bCs/>
                <w:kern w:val="0"/>
                <w:sz w:val="21"/>
                <w:szCs w:val="21"/>
                <w:highlight w:val="none"/>
                <w:lang w:val="en-US" w:eastAsia="zh-CN" w:bidi="ar-SA"/>
              </w:rPr>
            </w:pPr>
            <w:r>
              <w:rPr>
                <w:rFonts w:hint="eastAsia" w:ascii="仿宋" w:hAnsi="仿宋" w:eastAsia="仿宋" w:cs="Calibri"/>
                <w:bCs/>
                <w:kern w:val="0"/>
                <w:sz w:val="21"/>
                <w:szCs w:val="21"/>
                <w:highlight w:val="none"/>
                <w:lang w:val="en-US" w:eastAsia="zh-CN" w:bidi="ar-SA"/>
              </w:rPr>
              <w:t>海南省东方市八所镇园区三路。</w:t>
            </w:r>
          </w:p>
        </w:tc>
      </w:tr>
      <w:tr>
        <w:tblPrEx>
          <w:tblCellMar>
            <w:top w:w="0" w:type="dxa"/>
            <w:left w:w="0" w:type="dxa"/>
            <w:bottom w:w="0" w:type="dxa"/>
            <w:right w:w="0" w:type="dxa"/>
          </w:tblCellMar>
        </w:tblPrEx>
        <w:trPr>
          <w:trHeight w:val="484" w:hRule="atLeast"/>
          <w:jc w:val="center"/>
        </w:trPr>
        <w:tc>
          <w:tcPr>
            <w:tcW w:w="327" w:type="pct"/>
            <w:vMerge w:val="restart"/>
            <w:tcBorders>
              <w:top w:val="single" w:color="auto" w:sz="4" w:space="0"/>
              <w:left w:val="single" w:color="auto" w:sz="4" w:space="0"/>
              <w:right w:val="single" w:color="auto" w:sz="4" w:space="0"/>
            </w:tcBorders>
            <w:vAlign w:val="center"/>
          </w:tcPr>
          <w:p>
            <w:pPr>
              <w:pStyle w:val="36"/>
              <w:spacing w:line="300" w:lineRule="exact"/>
              <w:jc w:val="center"/>
              <w:rPr>
                <w:rFonts w:ascii="仿宋" w:hAnsi="仿宋" w:eastAsia="仿宋" w:cs="Calibri"/>
                <w:bCs/>
                <w:szCs w:val="21"/>
                <w:highlight w:val="none"/>
              </w:rPr>
            </w:pPr>
            <w:r>
              <w:rPr>
                <w:rFonts w:ascii="仿宋" w:hAnsi="仿宋" w:eastAsia="仿宋" w:cs="Calibri"/>
                <w:bCs/>
                <w:sz w:val="21"/>
                <w:szCs w:val="21"/>
                <w:highlight w:val="none"/>
                <w:lang w:eastAsia="zh-CN"/>
              </w:rPr>
              <w:t>2</w:t>
            </w:r>
          </w:p>
        </w:tc>
        <w:tc>
          <w:tcPr>
            <w:tcW w:w="464" w:type="pct"/>
            <w:vMerge w:val="restart"/>
            <w:tcBorders>
              <w:top w:val="single" w:color="auto" w:sz="4" w:space="0"/>
              <w:left w:val="single" w:color="auto" w:sz="4" w:space="0"/>
              <w:right w:val="single" w:color="auto" w:sz="4" w:space="0"/>
            </w:tcBorders>
            <w:textDirection w:val="tbLrV"/>
            <w:vAlign w:val="center"/>
          </w:tcPr>
          <w:p>
            <w:pPr>
              <w:pStyle w:val="36"/>
              <w:spacing w:line="300" w:lineRule="exact"/>
              <w:ind w:left="113" w:right="113"/>
              <w:jc w:val="center"/>
              <w:rPr>
                <w:rFonts w:ascii="仿宋" w:hAnsi="仿宋" w:eastAsia="仿宋" w:cs="Calibri"/>
                <w:bCs/>
                <w:sz w:val="21"/>
                <w:szCs w:val="21"/>
                <w:highlight w:val="none"/>
                <w:lang w:eastAsia="zh-CN"/>
              </w:rPr>
            </w:pPr>
            <w:r>
              <w:rPr>
                <w:rFonts w:hint="eastAsia" w:ascii="仿宋" w:hAnsi="仿宋" w:eastAsia="仿宋" w:cs="Calibri"/>
                <w:bCs/>
                <w:sz w:val="21"/>
                <w:szCs w:val="21"/>
                <w:highlight w:val="none"/>
                <w:lang w:eastAsia="zh-CN"/>
              </w:rPr>
              <w:t>技术标准</w:t>
            </w:r>
          </w:p>
        </w:tc>
        <w:tc>
          <w:tcPr>
            <w:tcW w:w="736" w:type="pct"/>
            <w:tcBorders>
              <w:top w:val="single" w:color="000000" w:sz="4" w:space="0"/>
              <w:left w:val="single" w:color="auto" w:sz="4" w:space="0"/>
              <w:right w:val="single" w:color="000000" w:sz="4" w:space="0"/>
            </w:tcBorders>
            <w:vAlign w:val="center"/>
          </w:tcPr>
          <w:p>
            <w:pPr>
              <w:pStyle w:val="36"/>
              <w:spacing w:line="300" w:lineRule="exact"/>
              <w:jc w:val="center"/>
              <w:rPr>
                <w:rFonts w:hint="eastAsia" w:ascii="仿宋" w:hAnsi="仿宋" w:eastAsia="仿宋" w:cs="Calibri"/>
                <w:bCs/>
                <w:kern w:val="0"/>
                <w:sz w:val="21"/>
                <w:szCs w:val="21"/>
                <w:highlight w:val="none"/>
                <w:lang w:val="en-US" w:eastAsia="zh-CN" w:bidi="ar-SA"/>
              </w:rPr>
            </w:pPr>
            <w:r>
              <w:rPr>
                <w:rFonts w:hint="eastAsia" w:ascii="仿宋" w:hAnsi="仿宋" w:eastAsia="仿宋" w:cs="Calibri"/>
                <w:bCs/>
                <w:kern w:val="0"/>
                <w:sz w:val="21"/>
                <w:szCs w:val="21"/>
                <w:highlight w:val="none"/>
                <w:lang w:val="en-US" w:eastAsia="zh-CN" w:bidi="ar-SA"/>
              </w:rPr>
              <w:t>服务时间</w:t>
            </w:r>
          </w:p>
        </w:tc>
        <w:tc>
          <w:tcPr>
            <w:tcW w:w="3470" w:type="pct"/>
            <w:tcBorders>
              <w:top w:val="single" w:color="000000" w:sz="4" w:space="0"/>
              <w:left w:val="nil"/>
              <w:bottom w:val="single" w:color="000000" w:sz="4" w:space="0"/>
              <w:right w:val="single" w:color="000000" w:sz="4" w:space="0"/>
            </w:tcBorders>
            <w:vAlign w:val="center"/>
          </w:tcPr>
          <w:p>
            <w:pPr>
              <w:pStyle w:val="36"/>
              <w:spacing w:line="300" w:lineRule="exact"/>
              <w:jc w:val="both"/>
              <w:rPr>
                <w:rFonts w:hint="default" w:ascii="仿宋" w:hAnsi="仿宋" w:eastAsia="仿宋" w:cs="Calibri"/>
                <w:bCs/>
                <w:kern w:val="0"/>
                <w:sz w:val="21"/>
                <w:szCs w:val="21"/>
                <w:highlight w:val="none"/>
                <w:lang w:val="en-US" w:eastAsia="zh-CN" w:bidi="ar-SA"/>
              </w:rPr>
            </w:pPr>
            <w:r>
              <w:rPr>
                <w:rFonts w:hint="eastAsia" w:ascii="仿宋" w:hAnsi="仿宋" w:eastAsia="仿宋" w:cs="Calibri"/>
                <w:bCs/>
                <w:kern w:val="0"/>
                <w:sz w:val="21"/>
                <w:szCs w:val="21"/>
                <w:highlight w:val="none"/>
                <w:lang w:val="en-US" w:eastAsia="zh-CN" w:bidi="ar-SA"/>
              </w:rPr>
              <w:t>详见附件2技术询价文件中要求。</w:t>
            </w:r>
          </w:p>
        </w:tc>
      </w:tr>
      <w:tr>
        <w:tblPrEx>
          <w:tblCellMar>
            <w:top w:w="0" w:type="dxa"/>
            <w:left w:w="0" w:type="dxa"/>
            <w:bottom w:w="0" w:type="dxa"/>
            <w:right w:w="0" w:type="dxa"/>
          </w:tblCellMar>
        </w:tblPrEx>
        <w:trPr>
          <w:trHeight w:val="484" w:hRule="atLeast"/>
          <w:jc w:val="center"/>
        </w:trPr>
        <w:tc>
          <w:tcPr>
            <w:tcW w:w="327" w:type="pct"/>
            <w:vMerge w:val="continue"/>
            <w:tcBorders>
              <w:left w:val="single" w:color="auto" w:sz="4" w:space="0"/>
              <w:right w:val="single" w:color="auto" w:sz="4" w:space="0"/>
            </w:tcBorders>
            <w:vAlign w:val="center"/>
          </w:tcPr>
          <w:p>
            <w:pPr>
              <w:widowControl/>
              <w:rPr>
                <w:rFonts w:ascii="仿宋" w:hAnsi="仿宋" w:eastAsia="仿宋" w:cs="Calibri"/>
                <w:bCs/>
                <w:kern w:val="0"/>
                <w:szCs w:val="21"/>
                <w:highlight w:val="none"/>
              </w:rPr>
            </w:pPr>
          </w:p>
        </w:tc>
        <w:tc>
          <w:tcPr>
            <w:tcW w:w="464" w:type="pct"/>
            <w:vMerge w:val="continue"/>
            <w:tcBorders>
              <w:left w:val="single" w:color="auto" w:sz="4" w:space="0"/>
              <w:right w:val="single" w:color="auto" w:sz="4" w:space="0"/>
            </w:tcBorders>
            <w:vAlign w:val="center"/>
          </w:tcPr>
          <w:p>
            <w:pPr>
              <w:pStyle w:val="36"/>
              <w:spacing w:line="300" w:lineRule="exact"/>
              <w:ind w:left="113" w:right="113"/>
              <w:jc w:val="center"/>
              <w:rPr>
                <w:rFonts w:ascii="仿宋" w:hAnsi="仿宋" w:eastAsia="仿宋" w:cs="Calibri"/>
                <w:bCs/>
                <w:sz w:val="21"/>
                <w:szCs w:val="21"/>
                <w:highlight w:val="none"/>
                <w:lang w:eastAsia="zh-CN"/>
              </w:rPr>
            </w:pPr>
          </w:p>
        </w:tc>
        <w:tc>
          <w:tcPr>
            <w:tcW w:w="736" w:type="pct"/>
            <w:tcBorders>
              <w:top w:val="single" w:color="000000" w:sz="4" w:space="0"/>
              <w:left w:val="single" w:color="auto" w:sz="4" w:space="0"/>
              <w:bottom w:val="single" w:color="000000" w:sz="4" w:space="0"/>
              <w:right w:val="single" w:color="000000" w:sz="4" w:space="0"/>
            </w:tcBorders>
            <w:vAlign w:val="center"/>
          </w:tcPr>
          <w:p>
            <w:pPr>
              <w:widowControl/>
              <w:ind w:right="11" w:rightChars="0"/>
              <w:jc w:val="center"/>
              <w:rPr>
                <w:rFonts w:hint="eastAsia" w:ascii="仿宋" w:hAnsi="仿宋" w:eastAsia="仿宋" w:cs="Calibri"/>
                <w:bCs/>
                <w:kern w:val="0"/>
                <w:sz w:val="21"/>
                <w:szCs w:val="21"/>
                <w:highlight w:val="none"/>
                <w:lang w:val="en-US" w:eastAsia="zh-CN" w:bidi="ar-SA"/>
              </w:rPr>
            </w:pPr>
            <w:r>
              <w:rPr>
                <w:rFonts w:hint="eastAsia" w:ascii="仿宋" w:hAnsi="仿宋" w:eastAsia="仿宋" w:cs="Calibri"/>
                <w:bCs/>
                <w:kern w:val="0"/>
                <w:sz w:val="21"/>
                <w:szCs w:val="21"/>
                <w:highlight w:val="none"/>
                <w:lang w:val="en-US" w:eastAsia="zh-CN" w:bidi="ar-SA"/>
              </w:rPr>
              <w:t>质量要求</w:t>
            </w:r>
          </w:p>
        </w:tc>
        <w:tc>
          <w:tcPr>
            <w:tcW w:w="3470" w:type="pct"/>
            <w:tcBorders>
              <w:top w:val="single" w:color="000000" w:sz="4" w:space="0"/>
              <w:left w:val="nil"/>
              <w:bottom w:val="single" w:color="000000" w:sz="4" w:space="0"/>
              <w:right w:val="single" w:color="000000" w:sz="4" w:space="0"/>
            </w:tcBorders>
            <w:vAlign w:val="center"/>
          </w:tcPr>
          <w:p>
            <w:pPr>
              <w:pStyle w:val="41"/>
              <w:ind w:firstLine="0" w:firstLineChars="0"/>
              <w:rPr>
                <w:rFonts w:hint="default" w:ascii="仿宋" w:hAnsi="仿宋" w:eastAsia="仿宋" w:cs="Calibri"/>
                <w:bCs/>
                <w:kern w:val="0"/>
                <w:sz w:val="21"/>
                <w:szCs w:val="21"/>
                <w:highlight w:val="none"/>
                <w:lang w:val="en-US" w:eastAsia="zh-CN" w:bidi="ar-SA"/>
              </w:rPr>
            </w:pPr>
            <w:r>
              <w:rPr>
                <w:rFonts w:hint="eastAsia" w:ascii="仿宋" w:hAnsi="仿宋" w:eastAsia="仿宋" w:cs="Calibri"/>
                <w:bCs/>
                <w:kern w:val="0"/>
                <w:sz w:val="21"/>
                <w:szCs w:val="21"/>
                <w:highlight w:val="none"/>
                <w:lang w:val="en-US" w:eastAsia="zh-CN" w:bidi="ar-SA"/>
              </w:rPr>
              <w:t>详见附件2技术询价文件中要求。</w:t>
            </w:r>
          </w:p>
        </w:tc>
      </w:tr>
      <w:tr>
        <w:tblPrEx>
          <w:tblCellMar>
            <w:top w:w="0" w:type="dxa"/>
            <w:left w:w="0" w:type="dxa"/>
            <w:bottom w:w="0" w:type="dxa"/>
            <w:right w:w="0" w:type="dxa"/>
          </w:tblCellMar>
        </w:tblPrEx>
        <w:trPr>
          <w:trHeight w:val="484" w:hRule="atLeast"/>
          <w:jc w:val="center"/>
        </w:trPr>
        <w:tc>
          <w:tcPr>
            <w:tcW w:w="327" w:type="pct"/>
            <w:vMerge w:val="continue"/>
            <w:tcBorders>
              <w:left w:val="single" w:color="auto" w:sz="4" w:space="0"/>
              <w:bottom w:val="single" w:color="auto" w:sz="4" w:space="0"/>
              <w:right w:val="single" w:color="auto" w:sz="4" w:space="0"/>
            </w:tcBorders>
            <w:vAlign w:val="center"/>
          </w:tcPr>
          <w:p>
            <w:pPr>
              <w:widowControl/>
              <w:rPr>
                <w:rFonts w:ascii="仿宋" w:hAnsi="仿宋" w:eastAsia="仿宋" w:cs="Calibri"/>
                <w:bCs/>
                <w:kern w:val="0"/>
                <w:szCs w:val="21"/>
                <w:highlight w:val="none"/>
              </w:rPr>
            </w:pPr>
          </w:p>
        </w:tc>
        <w:tc>
          <w:tcPr>
            <w:tcW w:w="464" w:type="pct"/>
            <w:vMerge w:val="continue"/>
            <w:tcBorders>
              <w:left w:val="single" w:color="auto" w:sz="4" w:space="0"/>
              <w:bottom w:val="single" w:color="auto" w:sz="4" w:space="0"/>
              <w:right w:val="single" w:color="auto" w:sz="4" w:space="0"/>
            </w:tcBorders>
            <w:vAlign w:val="center"/>
          </w:tcPr>
          <w:p>
            <w:pPr>
              <w:widowControl/>
              <w:rPr>
                <w:rFonts w:ascii="仿宋" w:hAnsi="仿宋" w:eastAsia="仿宋" w:cs="Calibri"/>
                <w:bCs/>
                <w:kern w:val="0"/>
                <w:szCs w:val="21"/>
                <w:highlight w:val="none"/>
              </w:rPr>
            </w:pPr>
          </w:p>
        </w:tc>
        <w:tc>
          <w:tcPr>
            <w:tcW w:w="736" w:type="pct"/>
            <w:tcBorders>
              <w:top w:val="single" w:color="000000" w:sz="4" w:space="0"/>
              <w:left w:val="single" w:color="auto" w:sz="4" w:space="0"/>
              <w:bottom w:val="single" w:color="auto" w:sz="4" w:space="0"/>
              <w:right w:val="single" w:color="000000" w:sz="4" w:space="0"/>
            </w:tcBorders>
            <w:vAlign w:val="center"/>
          </w:tcPr>
          <w:p>
            <w:pPr>
              <w:widowControl/>
              <w:ind w:right="11" w:rightChars="0"/>
              <w:jc w:val="center"/>
              <w:rPr>
                <w:rFonts w:hint="eastAsia" w:ascii="仿宋" w:hAnsi="仿宋" w:eastAsia="仿宋" w:cs="Calibri"/>
                <w:bCs/>
                <w:kern w:val="0"/>
                <w:sz w:val="21"/>
                <w:szCs w:val="21"/>
                <w:highlight w:val="none"/>
                <w:lang w:val="en-US" w:eastAsia="zh-CN" w:bidi="ar-SA"/>
              </w:rPr>
            </w:pPr>
            <w:r>
              <w:rPr>
                <w:rFonts w:hint="eastAsia" w:ascii="仿宋" w:hAnsi="仿宋" w:eastAsia="仿宋" w:cs="Calibri"/>
                <w:bCs/>
                <w:kern w:val="0"/>
                <w:sz w:val="21"/>
                <w:szCs w:val="21"/>
                <w:highlight w:val="none"/>
                <w:lang w:val="en-US" w:eastAsia="zh-CN" w:bidi="ar-SA"/>
              </w:rPr>
              <w:t>验收要求</w:t>
            </w:r>
          </w:p>
        </w:tc>
        <w:tc>
          <w:tcPr>
            <w:tcW w:w="3470" w:type="pct"/>
            <w:tcBorders>
              <w:top w:val="single" w:color="000000" w:sz="4" w:space="0"/>
              <w:left w:val="nil"/>
              <w:bottom w:val="single" w:color="auto" w:sz="4" w:space="0"/>
              <w:right w:val="single" w:color="000000" w:sz="4" w:space="0"/>
            </w:tcBorders>
            <w:vAlign w:val="center"/>
          </w:tcPr>
          <w:p>
            <w:pPr>
              <w:pStyle w:val="7"/>
              <w:tabs>
                <w:tab w:val="left" w:pos="1175"/>
              </w:tabs>
              <w:ind w:left="0" w:leftChars="0"/>
              <w:rPr>
                <w:rFonts w:hint="eastAsia" w:ascii="仿宋" w:hAnsi="仿宋" w:eastAsia="仿宋" w:cs="Calibri"/>
                <w:bCs/>
                <w:kern w:val="0"/>
                <w:sz w:val="21"/>
                <w:szCs w:val="21"/>
                <w:highlight w:val="none"/>
                <w:lang w:val="en-US" w:eastAsia="zh-CN" w:bidi="ar-SA"/>
              </w:rPr>
            </w:pPr>
            <w:r>
              <w:rPr>
                <w:rFonts w:hint="eastAsia" w:ascii="仿宋" w:hAnsi="仿宋" w:eastAsia="仿宋" w:cs="Calibri"/>
                <w:bCs/>
                <w:kern w:val="0"/>
                <w:sz w:val="21"/>
                <w:szCs w:val="21"/>
                <w:highlight w:val="none"/>
                <w:lang w:val="en-US" w:eastAsia="zh-CN" w:bidi="ar-SA"/>
              </w:rPr>
              <w:t>详见附件2技术询价文件中要求。</w:t>
            </w:r>
          </w:p>
        </w:tc>
      </w:tr>
      <w:tr>
        <w:tblPrEx>
          <w:tblCellMar>
            <w:top w:w="0" w:type="dxa"/>
            <w:left w:w="0" w:type="dxa"/>
            <w:bottom w:w="0" w:type="dxa"/>
            <w:right w:w="0" w:type="dxa"/>
          </w:tblCellMar>
        </w:tblPrEx>
        <w:trPr>
          <w:trHeight w:val="265" w:hRule="atLeast"/>
          <w:jc w:val="center"/>
        </w:trPr>
        <w:tc>
          <w:tcPr>
            <w:tcW w:w="32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Calibri"/>
                <w:bCs/>
                <w:kern w:val="0"/>
                <w:szCs w:val="21"/>
                <w:highlight w:val="none"/>
                <w:lang w:val="en-US" w:eastAsia="zh-CN"/>
              </w:rPr>
            </w:pPr>
            <w:r>
              <w:rPr>
                <w:rFonts w:hint="eastAsia" w:ascii="仿宋" w:hAnsi="仿宋" w:eastAsia="仿宋" w:cs="Calibri"/>
                <w:bCs/>
                <w:kern w:val="0"/>
                <w:szCs w:val="21"/>
                <w:highlight w:val="none"/>
                <w:lang w:val="en-US" w:eastAsia="zh-CN"/>
              </w:rPr>
              <w:t>3</w:t>
            </w:r>
          </w:p>
        </w:tc>
        <w:tc>
          <w:tcPr>
            <w:tcW w:w="1201" w:type="pct"/>
            <w:gridSpan w:val="2"/>
            <w:tcBorders>
              <w:top w:val="single" w:color="auto" w:sz="4" w:space="0"/>
              <w:left w:val="single" w:color="auto" w:sz="4" w:space="0"/>
              <w:bottom w:val="single" w:color="auto" w:sz="4" w:space="0"/>
              <w:right w:val="single" w:color="000000" w:sz="4" w:space="0"/>
            </w:tcBorders>
            <w:vAlign w:val="center"/>
          </w:tcPr>
          <w:p>
            <w:pPr>
              <w:widowControl/>
              <w:ind w:right="11"/>
              <w:jc w:val="center"/>
              <w:rPr>
                <w:rFonts w:hint="eastAsia" w:ascii="仿宋" w:hAnsi="仿宋" w:eastAsia="仿宋" w:cs="Calibri"/>
                <w:bCs/>
                <w:kern w:val="0"/>
                <w:szCs w:val="21"/>
                <w:highlight w:val="none"/>
              </w:rPr>
            </w:pPr>
            <w:r>
              <w:rPr>
                <w:rFonts w:hint="eastAsia" w:ascii="仿宋" w:hAnsi="仿宋" w:eastAsia="仿宋" w:cs="Calibri"/>
                <w:bCs/>
                <w:kern w:val="0"/>
                <w:szCs w:val="21"/>
                <w:highlight w:val="none"/>
                <w:lang w:val="en-US" w:eastAsia="zh-CN"/>
              </w:rPr>
              <w:t>其他补充要求</w:t>
            </w:r>
          </w:p>
        </w:tc>
        <w:tc>
          <w:tcPr>
            <w:tcW w:w="3470" w:type="pct"/>
            <w:tcBorders>
              <w:top w:val="single" w:color="auto" w:sz="4" w:space="0"/>
              <w:left w:val="nil"/>
              <w:bottom w:val="single" w:color="auto" w:sz="4" w:space="0"/>
              <w:right w:val="single" w:color="auto" w:sz="4" w:space="0"/>
            </w:tcBorders>
            <w:vAlign w:val="center"/>
          </w:tcPr>
          <w:p>
            <w:pPr>
              <w:pStyle w:val="6"/>
              <w:ind w:right="11"/>
              <w:rPr>
                <w:rFonts w:hint="eastAsia" w:ascii="仿宋" w:hAnsi="仿宋" w:eastAsia="仿宋" w:cs="Calibri"/>
                <w:bCs/>
                <w:kern w:val="0"/>
                <w:sz w:val="21"/>
                <w:szCs w:val="21"/>
                <w:highlight w:val="none"/>
                <w:lang w:val="en-US" w:eastAsia="zh-CN" w:bidi="ar-SA"/>
              </w:rPr>
            </w:pPr>
            <w:r>
              <w:rPr>
                <w:rFonts w:hint="eastAsia" w:ascii="仿宋" w:hAnsi="仿宋" w:eastAsia="仿宋" w:cs="Calibri"/>
                <w:bCs/>
                <w:kern w:val="0"/>
                <w:sz w:val="21"/>
                <w:szCs w:val="21"/>
                <w:highlight w:val="none"/>
                <w:lang w:val="en-US" w:eastAsia="zh-CN" w:bidi="ar-SA"/>
              </w:rPr>
              <w:t>《招标投标法实施条例》第四十条　串通投标的认定有下列情形之一的，视为投标人相互串通投标：</w:t>
            </w:r>
          </w:p>
          <w:p>
            <w:pPr>
              <w:pStyle w:val="6"/>
              <w:ind w:right="11"/>
              <w:rPr>
                <w:rFonts w:hint="eastAsia" w:ascii="仿宋" w:hAnsi="仿宋" w:eastAsia="仿宋" w:cs="Calibri"/>
                <w:bCs/>
                <w:kern w:val="0"/>
                <w:sz w:val="21"/>
                <w:szCs w:val="21"/>
                <w:highlight w:val="none"/>
                <w:lang w:val="en-US" w:eastAsia="zh-CN" w:bidi="ar-SA"/>
              </w:rPr>
            </w:pPr>
            <w:r>
              <w:rPr>
                <w:rFonts w:hint="eastAsia" w:ascii="仿宋" w:hAnsi="仿宋" w:eastAsia="仿宋" w:cs="Calibri"/>
                <w:bCs/>
                <w:kern w:val="0"/>
                <w:sz w:val="21"/>
                <w:szCs w:val="21"/>
                <w:highlight w:val="none"/>
                <w:lang w:val="en-US" w:eastAsia="zh-CN" w:bidi="ar-SA"/>
              </w:rPr>
              <w:t>　　(一)不同投标人的投标文件由同一单位或者个人编制；</w:t>
            </w:r>
          </w:p>
          <w:p>
            <w:pPr>
              <w:pStyle w:val="6"/>
              <w:ind w:right="11"/>
              <w:rPr>
                <w:rFonts w:hint="eastAsia" w:ascii="仿宋" w:hAnsi="仿宋" w:eastAsia="仿宋" w:cs="Calibri"/>
                <w:bCs/>
                <w:kern w:val="0"/>
                <w:sz w:val="21"/>
                <w:szCs w:val="21"/>
                <w:highlight w:val="none"/>
                <w:lang w:val="en-US" w:eastAsia="zh-CN" w:bidi="ar-SA"/>
              </w:rPr>
            </w:pPr>
            <w:r>
              <w:rPr>
                <w:rFonts w:hint="eastAsia" w:ascii="仿宋" w:hAnsi="仿宋" w:eastAsia="仿宋" w:cs="Calibri"/>
                <w:bCs/>
                <w:kern w:val="0"/>
                <w:sz w:val="21"/>
                <w:szCs w:val="21"/>
                <w:highlight w:val="none"/>
                <w:lang w:val="en-US" w:eastAsia="zh-CN" w:bidi="ar-SA"/>
              </w:rPr>
              <w:t>　　(二)不同投标人委托同一单位或者个人办理投标事宜；</w:t>
            </w:r>
          </w:p>
          <w:p>
            <w:pPr>
              <w:pStyle w:val="6"/>
              <w:ind w:right="11"/>
              <w:rPr>
                <w:rFonts w:hint="eastAsia" w:ascii="仿宋" w:hAnsi="仿宋" w:eastAsia="仿宋" w:cs="Calibri"/>
                <w:bCs/>
                <w:kern w:val="0"/>
                <w:sz w:val="21"/>
                <w:szCs w:val="21"/>
                <w:highlight w:val="none"/>
                <w:lang w:val="en-US" w:eastAsia="zh-CN" w:bidi="ar-SA"/>
              </w:rPr>
            </w:pPr>
            <w:r>
              <w:rPr>
                <w:rFonts w:hint="eastAsia" w:ascii="仿宋" w:hAnsi="仿宋" w:eastAsia="仿宋" w:cs="Calibri"/>
                <w:bCs/>
                <w:kern w:val="0"/>
                <w:sz w:val="21"/>
                <w:szCs w:val="21"/>
                <w:highlight w:val="none"/>
                <w:lang w:val="en-US" w:eastAsia="zh-CN" w:bidi="ar-SA"/>
              </w:rPr>
              <w:t>　　(三)不同投标人的投标文件载明的项目管理成员为同一人；</w:t>
            </w:r>
          </w:p>
          <w:p>
            <w:pPr>
              <w:pStyle w:val="6"/>
              <w:ind w:right="11"/>
              <w:rPr>
                <w:rFonts w:hint="eastAsia" w:ascii="仿宋" w:hAnsi="仿宋" w:eastAsia="仿宋" w:cs="Calibri"/>
                <w:bCs/>
                <w:kern w:val="0"/>
                <w:sz w:val="21"/>
                <w:szCs w:val="21"/>
                <w:highlight w:val="none"/>
                <w:lang w:val="en-US" w:eastAsia="zh-CN" w:bidi="ar-SA"/>
              </w:rPr>
            </w:pPr>
            <w:r>
              <w:rPr>
                <w:rFonts w:hint="eastAsia" w:ascii="仿宋" w:hAnsi="仿宋" w:eastAsia="仿宋" w:cs="Calibri"/>
                <w:bCs/>
                <w:kern w:val="0"/>
                <w:sz w:val="21"/>
                <w:szCs w:val="21"/>
                <w:highlight w:val="none"/>
                <w:lang w:val="en-US" w:eastAsia="zh-CN" w:bidi="ar-SA"/>
              </w:rPr>
              <w:t>　　(四)不同投标人的投标文件异常一致或者投标报价呈规律性差异；</w:t>
            </w:r>
          </w:p>
          <w:p>
            <w:pPr>
              <w:pStyle w:val="6"/>
              <w:ind w:right="11"/>
              <w:rPr>
                <w:rFonts w:hint="eastAsia" w:ascii="仿宋" w:hAnsi="仿宋" w:eastAsia="仿宋" w:cs="Calibri"/>
                <w:bCs/>
                <w:kern w:val="0"/>
                <w:sz w:val="21"/>
                <w:szCs w:val="21"/>
                <w:highlight w:val="none"/>
                <w:lang w:val="en-US" w:eastAsia="zh-CN" w:bidi="ar-SA"/>
              </w:rPr>
            </w:pPr>
            <w:r>
              <w:rPr>
                <w:rFonts w:hint="eastAsia" w:ascii="仿宋" w:hAnsi="仿宋" w:eastAsia="仿宋" w:cs="Calibri"/>
                <w:bCs/>
                <w:kern w:val="0"/>
                <w:sz w:val="21"/>
                <w:szCs w:val="21"/>
                <w:highlight w:val="none"/>
                <w:lang w:val="en-US" w:eastAsia="zh-CN" w:bidi="ar-SA"/>
              </w:rPr>
              <w:t>　　(五)不同投标人的投标文件相互混装；</w:t>
            </w:r>
          </w:p>
          <w:p>
            <w:pPr>
              <w:pStyle w:val="6"/>
              <w:ind w:right="11"/>
              <w:rPr>
                <w:rFonts w:hint="eastAsia" w:ascii="仿宋" w:hAnsi="仿宋" w:eastAsia="仿宋" w:cs="Calibri"/>
                <w:bCs/>
                <w:kern w:val="0"/>
                <w:sz w:val="21"/>
                <w:szCs w:val="21"/>
                <w:highlight w:val="none"/>
                <w:lang w:val="en-US" w:eastAsia="zh-CN" w:bidi="ar-SA"/>
              </w:rPr>
            </w:pPr>
            <w:r>
              <w:rPr>
                <w:rFonts w:hint="eastAsia" w:ascii="仿宋" w:hAnsi="仿宋" w:eastAsia="仿宋" w:cs="Calibri"/>
                <w:bCs/>
                <w:kern w:val="0"/>
                <w:sz w:val="21"/>
                <w:szCs w:val="21"/>
                <w:highlight w:val="none"/>
                <w:lang w:val="en-US" w:eastAsia="zh-CN" w:bidi="ar-SA"/>
              </w:rPr>
              <w:t>　　(六)不同投标人的投标保证金从同一单位或者个人的账户转出；</w:t>
            </w:r>
          </w:p>
          <w:p>
            <w:pPr>
              <w:pStyle w:val="6"/>
              <w:ind w:right="11"/>
              <w:rPr>
                <w:rFonts w:ascii="仿宋" w:hAnsi="仿宋" w:eastAsia="仿宋" w:cs="Calibri"/>
                <w:bCs/>
                <w:kern w:val="0"/>
                <w:szCs w:val="21"/>
                <w:highlight w:val="none"/>
              </w:rPr>
            </w:pPr>
            <w:r>
              <w:rPr>
                <w:rFonts w:hint="eastAsia" w:ascii="仿宋" w:hAnsi="仿宋" w:eastAsia="仿宋" w:cs="Calibri"/>
                <w:bCs/>
                <w:kern w:val="0"/>
                <w:sz w:val="21"/>
                <w:szCs w:val="21"/>
                <w:highlight w:val="none"/>
                <w:lang w:val="en-US" w:eastAsia="zh-CN" w:bidi="ar-SA"/>
              </w:rPr>
              <w:t>报价文件特征码：若发现不同投标人在采办信息系统上“报价文件特征码”环节里“文件制作机器码、文件创建标识码和MAC地址”中的任何一类内容一致时，视为投标人相互串通投标，否决所有涉及投标人的投标。</w:t>
            </w:r>
          </w:p>
        </w:tc>
      </w:tr>
      <w:tr>
        <w:tblPrEx>
          <w:tblCellMar>
            <w:top w:w="0" w:type="dxa"/>
            <w:left w:w="0" w:type="dxa"/>
            <w:bottom w:w="0" w:type="dxa"/>
            <w:right w:w="0" w:type="dxa"/>
          </w:tblCellMar>
        </w:tblPrEx>
        <w:trPr>
          <w:trHeight w:val="265" w:hRule="atLeast"/>
          <w:jc w:val="center"/>
        </w:trPr>
        <w:tc>
          <w:tcPr>
            <w:tcW w:w="327"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Calibri"/>
                <w:bCs/>
                <w:kern w:val="0"/>
                <w:szCs w:val="21"/>
                <w:highlight w:val="none"/>
                <w:lang w:val="en-US" w:eastAsia="zh-CN"/>
              </w:rPr>
            </w:pPr>
            <w:r>
              <w:rPr>
                <w:rFonts w:hint="eastAsia" w:ascii="仿宋" w:hAnsi="仿宋" w:eastAsia="仿宋" w:cs="Calibri"/>
                <w:bCs/>
                <w:kern w:val="0"/>
                <w:szCs w:val="21"/>
                <w:highlight w:val="none"/>
                <w:lang w:val="en-US" w:eastAsia="zh-CN"/>
              </w:rPr>
              <w:t>4</w:t>
            </w:r>
          </w:p>
        </w:tc>
        <w:tc>
          <w:tcPr>
            <w:tcW w:w="1201" w:type="pct"/>
            <w:gridSpan w:val="2"/>
            <w:tcBorders>
              <w:top w:val="single" w:color="auto" w:sz="4" w:space="0"/>
              <w:left w:val="single" w:color="auto" w:sz="4" w:space="0"/>
              <w:bottom w:val="single" w:color="auto" w:sz="4" w:space="0"/>
              <w:right w:val="single" w:color="000000" w:sz="4" w:space="0"/>
            </w:tcBorders>
            <w:vAlign w:val="center"/>
          </w:tcPr>
          <w:p>
            <w:pPr>
              <w:widowControl/>
              <w:ind w:right="11"/>
              <w:jc w:val="center"/>
              <w:rPr>
                <w:rFonts w:hint="default" w:ascii="仿宋" w:hAnsi="仿宋" w:eastAsia="仿宋" w:cs="Calibri"/>
                <w:bCs/>
                <w:kern w:val="0"/>
                <w:szCs w:val="21"/>
                <w:highlight w:val="none"/>
                <w:lang w:val="en-US" w:eastAsia="zh-CN"/>
              </w:rPr>
            </w:pPr>
            <w:r>
              <w:rPr>
                <w:rFonts w:hint="eastAsia" w:ascii="仿宋" w:hAnsi="仿宋" w:eastAsia="仿宋" w:cs="Calibri"/>
                <w:bCs/>
                <w:kern w:val="0"/>
                <w:szCs w:val="21"/>
                <w:highlight w:val="none"/>
                <w:lang w:val="en-US" w:eastAsia="zh-CN"/>
              </w:rPr>
              <w:t>★交接承诺</w:t>
            </w:r>
          </w:p>
        </w:tc>
        <w:tc>
          <w:tcPr>
            <w:tcW w:w="3470" w:type="pct"/>
            <w:tcBorders>
              <w:top w:val="single" w:color="auto" w:sz="4" w:space="0"/>
              <w:left w:val="nil"/>
              <w:bottom w:val="single" w:color="auto" w:sz="4" w:space="0"/>
              <w:right w:val="single" w:color="auto" w:sz="4" w:space="0"/>
            </w:tcBorders>
            <w:vAlign w:val="center"/>
          </w:tcPr>
          <w:p>
            <w:pPr>
              <w:pStyle w:val="6"/>
              <w:ind w:right="11"/>
              <w:rPr>
                <w:rFonts w:hint="default" w:ascii="仿宋" w:hAnsi="仿宋" w:eastAsia="仿宋" w:cs="Calibri"/>
                <w:bCs/>
                <w:kern w:val="0"/>
                <w:sz w:val="21"/>
                <w:szCs w:val="21"/>
                <w:highlight w:val="none"/>
                <w:lang w:val="en-US" w:eastAsia="zh-CN" w:bidi="ar-SA"/>
              </w:rPr>
            </w:pPr>
            <w:r>
              <w:rPr>
                <w:rFonts w:hint="eastAsia" w:ascii="仿宋" w:hAnsi="仿宋" w:eastAsia="仿宋" w:cs="Calibri"/>
                <w:bCs/>
                <w:kern w:val="0"/>
                <w:sz w:val="21"/>
                <w:szCs w:val="21"/>
                <w:highlight w:val="none"/>
                <w:lang w:val="en-US" w:eastAsia="zh-CN" w:bidi="ar-SA"/>
              </w:rPr>
              <w:t>不适用</w:t>
            </w:r>
          </w:p>
        </w:tc>
      </w:tr>
    </w:tbl>
    <w:p>
      <w:pPr>
        <w:rPr>
          <w:rFonts w:hint="eastAsia" w:ascii="黑体" w:hAnsi="黑体" w:eastAsia="黑体"/>
          <w:sz w:val="24"/>
          <w:szCs w:val="24"/>
          <w:highlight w:val="none"/>
        </w:rPr>
      </w:pPr>
      <w:r>
        <w:rPr>
          <w:rFonts w:hint="eastAsia" w:ascii="黑体" w:hAnsi="黑体" w:eastAsia="黑体"/>
          <w:sz w:val="24"/>
          <w:szCs w:val="24"/>
          <w:highlight w:val="none"/>
        </w:rPr>
        <w:br w:type="page"/>
      </w:r>
    </w:p>
    <w:p>
      <w:pPr>
        <w:rPr>
          <w:rFonts w:hint="default"/>
          <w:color w:val="auto"/>
          <w:highlight w:val="none"/>
          <w:lang w:val="en-US"/>
        </w:rPr>
      </w:pPr>
      <w:r>
        <w:rPr>
          <w:rFonts w:hint="eastAsia" w:ascii="黑体" w:hAnsi="黑体" w:eastAsia="黑体"/>
          <w:color w:val="auto"/>
          <w:sz w:val="24"/>
          <w:szCs w:val="24"/>
          <w:highlight w:val="none"/>
        </w:rPr>
        <w:t>附件</w:t>
      </w:r>
      <w:r>
        <w:rPr>
          <w:rFonts w:ascii="黑体" w:hAnsi="黑体" w:eastAsia="黑体"/>
          <w:color w:val="auto"/>
          <w:sz w:val="24"/>
          <w:szCs w:val="24"/>
          <w:highlight w:val="none"/>
        </w:rPr>
        <w:t>2</w:t>
      </w:r>
      <w:r>
        <w:rPr>
          <w:rFonts w:hint="eastAsia" w:ascii="黑体" w:hAnsi="黑体" w:eastAsia="黑体"/>
          <w:color w:val="auto"/>
          <w:sz w:val="24"/>
          <w:szCs w:val="24"/>
          <w:highlight w:val="none"/>
          <w:lang w:val="en-US" w:eastAsia="zh-CN"/>
        </w:rPr>
        <w:t>： 技术询价文件（另附）</w:t>
      </w:r>
      <w:r>
        <w:rPr>
          <w:rFonts w:hint="eastAsia" w:cs="Arial" w:asciiTheme="minorEastAsia" w:hAnsiTheme="minorEastAsia" w:eastAsiaTheme="minorEastAsia"/>
          <w:color w:val="FF0000"/>
          <w:kern w:val="0"/>
          <w:sz w:val="22"/>
          <w:szCs w:val="22"/>
          <w:highlight w:val="none"/>
          <w:lang w:val="en-US" w:eastAsia="zh-CN" w:bidi="ar-SA"/>
        </w:rPr>
        <w:t>以签字扫描版内容为准</w:t>
      </w:r>
    </w:p>
    <w:p>
      <w:pPr>
        <w:rPr>
          <w:rFonts w:hint="eastAsia" w:eastAsia="黑体" w:asciiTheme="minorEastAsia" w:hAnsiTheme="minorEastAsia"/>
          <w:sz w:val="24"/>
          <w:szCs w:val="24"/>
          <w:highlight w:val="none"/>
          <w:lang w:eastAsia="zh-CN"/>
        </w:rPr>
      </w:pPr>
      <w:r>
        <w:rPr>
          <w:rFonts w:hint="eastAsia" w:ascii="黑体" w:hAnsi="黑体" w:eastAsia="黑体"/>
          <w:sz w:val="24"/>
          <w:szCs w:val="24"/>
          <w:highlight w:val="none"/>
        </w:rPr>
        <w:t>附件</w:t>
      </w:r>
      <w:r>
        <w:rPr>
          <w:rFonts w:ascii="黑体" w:hAnsi="黑体" w:eastAsia="黑体"/>
          <w:sz w:val="24"/>
          <w:szCs w:val="24"/>
          <w:highlight w:val="none"/>
        </w:rPr>
        <w:t>3</w:t>
      </w:r>
      <w:r>
        <w:rPr>
          <w:rFonts w:hint="eastAsia" w:ascii="黑体" w:hAnsi="黑体" w:eastAsia="黑体"/>
          <w:sz w:val="24"/>
          <w:szCs w:val="24"/>
          <w:highlight w:val="none"/>
          <w:lang w:eastAsia="zh-CN"/>
        </w:rPr>
        <w:t>：</w:t>
      </w:r>
      <w:r>
        <w:rPr>
          <w:rFonts w:hint="eastAsia" w:ascii="黑体" w:hAnsi="黑体" w:eastAsia="黑体"/>
          <w:sz w:val="24"/>
          <w:szCs w:val="24"/>
          <w:highlight w:val="none"/>
        </w:rPr>
        <w:t xml:space="preserve"> 报价单</w:t>
      </w:r>
      <w:r>
        <w:rPr>
          <w:rFonts w:ascii="黑体" w:hAnsi="黑体" w:eastAsia="黑体"/>
          <w:sz w:val="24"/>
          <w:szCs w:val="24"/>
          <w:highlight w:val="none"/>
        </w:rPr>
        <w:t>格式</w:t>
      </w:r>
    </w:p>
    <w:p>
      <w:pPr>
        <w:pStyle w:val="31"/>
        <w:spacing w:line="360" w:lineRule="auto"/>
        <w:ind w:firstLine="0"/>
        <w:jc w:val="cente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报 价 单</w:t>
      </w:r>
    </w:p>
    <w:p>
      <w:pPr>
        <w:pStyle w:val="31"/>
        <w:spacing w:line="360" w:lineRule="auto"/>
        <w:ind w:left="0" w:leftChars="-67" w:hanging="141" w:hangingChars="59"/>
        <w:rPr>
          <w:rFonts w:hint="eastAsia" w:cs="Arial" w:asciiTheme="minorEastAsia" w:hAnsiTheme="minorEastAsia" w:eastAsiaTheme="minorEastAsia"/>
          <w:sz w:val="24"/>
          <w:szCs w:val="24"/>
          <w:highlight w:val="none"/>
        </w:rPr>
      </w:pPr>
      <w:r>
        <w:rPr>
          <w:rFonts w:hint="eastAsia" w:cs="Arial" w:asciiTheme="minorEastAsia" w:hAnsiTheme="minorEastAsia" w:eastAsiaTheme="minorEastAsia"/>
          <w:sz w:val="24"/>
          <w:szCs w:val="24"/>
          <w:highlight w:val="none"/>
        </w:rPr>
        <w:t>项目</w:t>
      </w:r>
      <w:r>
        <w:rPr>
          <w:rFonts w:cs="Arial" w:asciiTheme="minorEastAsia" w:hAnsiTheme="minorEastAsia" w:eastAsiaTheme="minorEastAsia"/>
          <w:sz w:val="24"/>
          <w:szCs w:val="24"/>
          <w:highlight w:val="none"/>
        </w:rPr>
        <w:t>名称：</w:t>
      </w:r>
      <w:r>
        <w:rPr>
          <w:rFonts w:hint="eastAsia" w:cs="Arial" w:asciiTheme="minorEastAsia" w:hAnsiTheme="minorEastAsia" w:eastAsiaTheme="minorEastAsia"/>
          <w:color w:val="FF0000"/>
          <w:sz w:val="24"/>
          <w:szCs w:val="24"/>
          <w:highlight w:val="none"/>
        </w:rPr>
        <w:t>2025-2028年海油富岛液压工具维修长期服务项目</w:t>
      </w:r>
    </w:p>
    <w:p>
      <w:pPr>
        <w:pStyle w:val="31"/>
        <w:spacing w:line="360" w:lineRule="auto"/>
        <w:ind w:left="0" w:leftChars="-67" w:hanging="141" w:hangingChars="59"/>
        <w:rPr>
          <w:rFonts w:hint="eastAsia" w:asciiTheme="minorEastAsia" w:hAnsiTheme="minorEastAsia" w:eastAsiaTheme="minorEastAsia"/>
          <w:sz w:val="24"/>
          <w:szCs w:val="24"/>
          <w:highlight w:val="none"/>
        </w:rPr>
      </w:pPr>
      <w:r>
        <w:rPr>
          <w:rFonts w:asciiTheme="minorEastAsia" w:hAnsiTheme="minorEastAsia" w:eastAsiaTheme="minorEastAsia"/>
          <w:sz w:val="24"/>
          <w:szCs w:val="24"/>
          <w:highlight w:val="none"/>
        </w:rPr>
        <w:t>报价</w:t>
      </w:r>
      <w:r>
        <w:rPr>
          <w:rFonts w:hint="eastAsia" w:asciiTheme="minorEastAsia" w:hAnsiTheme="minorEastAsia" w:eastAsiaTheme="minorEastAsia"/>
          <w:sz w:val="24"/>
          <w:szCs w:val="24"/>
          <w:highlight w:val="none"/>
        </w:rPr>
        <w:t xml:space="preserve">单位：元；    </w:t>
      </w:r>
      <w:r>
        <w:rPr>
          <w:rFonts w:hint="eastAsia" w:asciiTheme="minorEastAsia" w:hAnsiTheme="minorEastAsia" w:eastAsiaTheme="minorEastAsia"/>
          <w:sz w:val="24"/>
          <w:szCs w:val="24"/>
          <w:highlight w:val="none"/>
          <w:lang w:val="en-US" w:eastAsia="zh-CN"/>
        </w:rPr>
        <w:t xml:space="preserve">      </w:t>
      </w:r>
      <w:r>
        <w:rPr>
          <w:rFonts w:hint="eastAsia" w:asciiTheme="minorEastAsia" w:hAnsiTheme="minorEastAsia" w:eastAsiaTheme="minorEastAsia"/>
          <w:sz w:val="24"/>
          <w:szCs w:val="24"/>
          <w:highlight w:val="none"/>
        </w:rPr>
        <w:t>货币</w:t>
      </w:r>
      <w:r>
        <w:rPr>
          <w:rFonts w:asciiTheme="minorEastAsia" w:hAnsiTheme="minorEastAsia" w:eastAsiaTheme="minorEastAsia"/>
          <w:sz w:val="24"/>
          <w:szCs w:val="24"/>
          <w:highlight w:val="none"/>
        </w:rPr>
        <w:t>单位：</w:t>
      </w:r>
      <w:r>
        <w:rPr>
          <w:rFonts w:hint="eastAsia" w:asciiTheme="minorEastAsia" w:hAnsiTheme="minorEastAsia" w:eastAsiaTheme="minorEastAsia"/>
          <w:sz w:val="24"/>
          <w:szCs w:val="24"/>
          <w:highlight w:val="none"/>
        </w:rPr>
        <w:t>人民币</w:t>
      </w:r>
    </w:p>
    <w:tbl>
      <w:tblPr>
        <w:tblStyle w:val="16"/>
        <w:tblpPr w:leftFromText="180" w:rightFromText="180" w:vertAnchor="text" w:horzAnchor="page" w:tblpX="1671" w:tblpY="171"/>
        <w:tblOverlap w:val="never"/>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5398"/>
        <w:gridCol w:w="1414"/>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17" w:type="dxa"/>
            <w:noWrap w:val="0"/>
            <w:vAlign w:val="top"/>
          </w:tcPr>
          <w:p>
            <w:pPr>
              <w:jc w:val="center"/>
              <w:rPr>
                <w:rFonts w:hint="eastAsia" w:cs="Arial" w:asciiTheme="minorEastAsia" w:hAnsiTheme="minorEastAsia" w:eastAsiaTheme="minorEastAsia"/>
                <w:b/>
                <w:bCs/>
                <w:kern w:val="0"/>
                <w:sz w:val="24"/>
                <w:szCs w:val="24"/>
                <w:highlight w:val="none"/>
                <w:lang w:val="en-US" w:eastAsia="zh-CN" w:bidi="ar-SA"/>
              </w:rPr>
            </w:pPr>
            <w:r>
              <w:rPr>
                <w:rFonts w:hint="eastAsia" w:cs="Arial" w:asciiTheme="minorEastAsia" w:hAnsiTheme="minorEastAsia" w:eastAsiaTheme="minorEastAsia"/>
                <w:b/>
                <w:bCs/>
                <w:kern w:val="0"/>
                <w:sz w:val="24"/>
                <w:szCs w:val="24"/>
                <w:highlight w:val="none"/>
                <w:lang w:val="en-US" w:eastAsia="zh-CN" w:bidi="ar-SA"/>
              </w:rPr>
              <w:t>序号</w:t>
            </w:r>
          </w:p>
        </w:tc>
        <w:tc>
          <w:tcPr>
            <w:tcW w:w="5398" w:type="dxa"/>
            <w:noWrap w:val="0"/>
            <w:vAlign w:val="center"/>
          </w:tcPr>
          <w:p>
            <w:pPr>
              <w:jc w:val="center"/>
              <w:rPr>
                <w:rFonts w:hint="default" w:cs="Arial" w:asciiTheme="minorEastAsia" w:hAnsiTheme="minorEastAsia"/>
                <w:b/>
                <w:bCs/>
                <w:kern w:val="0"/>
                <w:sz w:val="24"/>
                <w:szCs w:val="24"/>
                <w:highlight w:val="none"/>
                <w:lang w:val="en-US" w:eastAsia="zh-CN" w:bidi="ar-SA"/>
              </w:rPr>
            </w:pPr>
            <w:r>
              <w:rPr>
                <w:rFonts w:hint="eastAsia" w:cs="Arial" w:asciiTheme="minorEastAsia" w:hAnsiTheme="minorEastAsia"/>
                <w:b/>
                <w:bCs/>
                <w:kern w:val="0"/>
                <w:sz w:val="24"/>
                <w:szCs w:val="24"/>
                <w:highlight w:val="none"/>
                <w:lang w:val="en-US" w:eastAsia="zh-CN" w:bidi="ar-SA"/>
              </w:rPr>
              <w:t>服务内容</w:t>
            </w:r>
          </w:p>
        </w:tc>
        <w:tc>
          <w:tcPr>
            <w:tcW w:w="1414" w:type="dxa"/>
            <w:noWrap w:val="0"/>
            <w:vAlign w:val="top"/>
          </w:tcPr>
          <w:p>
            <w:pPr>
              <w:jc w:val="center"/>
              <w:rPr>
                <w:rFonts w:hint="default" w:cs="Arial" w:asciiTheme="minorEastAsia" w:hAnsiTheme="minorEastAsia" w:eastAsiaTheme="minorEastAsia"/>
                <w:b/>
                <w:bCs/>
                <w:kern w:val="0"/>
                <w:sz w:val="24"/>
                <w:szCs w:val="24"/>
                <w:highlight w:val="none"/>
                <w:lang w:val="en-US" w:eastAsia="zh-CN" w:bidi="ar-SA"/>
              </w:rPr>
            </w:pPr>
            <w:r>
              <w:rPr>
                <w:rFonts w:hint="eastAsia" w:cs="Arial" w:asciiTheme="minorEastAsia" w:hAnsiTheme="minorEastAsia"/>
                <w:b/>
                <w:bCs/>
                <w:kern w:val="0"/>
                <w:sz w:val="24"/>
                <w:szCs w:val="24"/>
                <w:highlight w:val="none"/>
                <w:lang w:val="en-US" w:eastAsia="zh-CN" w:bidi="ar-SA"/>
              </w:rPr>
              <w:t>金额</w:t>
            </w:r>
            <w:r>
              <w:rPr>
                <w:rFonts w:hint="eastAsia" w:cs="Arial" w:asciiTheme="minorEastAsia" w:hAnsiTheme="minorEastAsia" w:eastAsiaTheme="minorEastAsia"/>
                <w:b/>
                <w:bCs/>
                <w:kern w:val="0"/>
                <w:sz w:val="24"/>
                <w:szCs w:val="24"/>
                <w:highlight w:val="none"/>
                <w:lang w:val="en-US" w:eastAsia="zh-CN" w:bidi="ar-SA"/>
              </w:rPr>
              <w:t>（元）</w:t>
            </w:r>
          </w:p>
        </w:tc>
        <w:tc>
          <w:tcPr>
            <w:tcW w:w="1382" w:type="dxa"/>
            <w:noWrap w:val="0"/>
            <w:vAlign w:val="top"/>
          </w:tcPr>
          <w:p>
            <w:pPr>
              <w:jc w:val="center"/>
              <w:rPr>
                <w:rFonts w:hint="eastAsia" w:cs="Arial" w:asciiTheme="minorEastAsia" w:hAnsiTheme="minorEastAsia" w:eastAsiaTheme="minorEastAsia"/>
                <w:b/>
                <w:bCs/>
                <w:kern w:val="0"/>
                <w:sz w:val="24"/>
                <w:szCs w:val="24"/>
                <w:highlight w:val="none"/>
                <w:lang w:val="en-US" w:eastAsia="zh-CN" w:bidi="ar-SA"/>
              </w:rPr>
            </w:pPr>
            <w:r>
              <w:rPr>
                <w:rFonts w:hint="eastAsia" w:cs="Arial" w:asciiTheme="minorEastAsia" w:hAnsiTheme="minorEastAsia"/>
                <w:b/>
                <w:bCs/>
                <w:kern w:val="0"/>
                <w:sz w:val="24"/>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17" w:type="dxa"/>
            <w:noWrap w:val="0"/>
            <w:vAlign w:val="top"/>
          </w:tcPr>
          <w:p>
            <w:pPr>
              <w:jc w:val="center"/>
              <w:rPr>
                <w:rFonts w:hint="eastAsia" w:ascii="宋体" w:hAnsi="宋体" w:eastAsia="宋体" w:cs="宋体"/>
                <w:kern w:val="2"/>
                <w:sz w:val="21"/>
                <w:szCs w:val="24"/>
                <w:lang w:val="en-US" w:eastAsia="zh-CN"/>
              </w:rPr>
            </w:pPr>
            <w:r>
              <w:rPr>
                <w:rFonts w:hint="eastAsia" w:ascii="宋体" w:hAnsi="宋体" w:eastAsia="宋体" w:cs="宋体"/>
                <w:kern w:val="2"/>
                <w:sz w:val="21"/>
                <w:szCs w:val="24"/>
                <w:lang w:val="en-US" w:eastAsia="zh-CN"/>
              </w:rPr>
              <w:t>1</w:t>
            </w:r>
          </w:p>
        </w:tc>
        <w:tc>
          <w:tcPr>
            <w:tcW w:w="5398" w:type="dxa"/>
            <w:noWrap w:val="0"/>
            <w:vAlign w:val="center"/>
          </w:tcPr>
          <w:p>
            <w:pPr>
              <w:jc w:val="center"/>
              <w:rPr>
                <w:rFonts w:hint="default" w:ascii="宋体" w:hAnsi="宋体" w:eastAsia="宋体" w:cs="宋体"/>
                <w:kern w:val="2"/>
                <w:sz w:val="21"/>
                <w:szCs w:val="24"/>
                <w:lang w:val="en-US" w:eastAsia="zh-CN"/>
              </w:rPr>
            </w:pPr>
            <w:r>
              <w:rPr>
                <w:rFonts w:hint="default" w:ascii="宋体" w:hAnsi="宋体" w:eastAsia="宋体" w:cs="宋体"/>
                <w:kern w:val="2"/>
                <w:sz w:val="21"/>
                <w:szCs w:val="24"/>
                <w:lang w:val="en-US" w:eastAsia="zh-CN"/>
              </w:rPr>
              <w:t>液压拉伸器更换整套拉伸器活塞密封件</w:t>
            </w:r>
          </w:p>
        </w:tc>
        <w:tc>
          <w:tcPr>
            <w:tcW w:w="1414" w:type="dxa"/>
            <w:noWrap w:val="0"/>
            <w:vAlign w:val="center"/>
          </w:tcPr>
          <w:p>
            <w:pPr>
              <w:jc w:val="center"/>
              <w:rPr>
                <w:rFonts w:hint="default" w:ascii="宋体" w:hAnsi="宋体" w:eastAsia="宋体" w:cs="宋体"/>
                <w:kern w:val="2"/>
                <w:sz w:val="21"/>
                <w:szCs w:val="24"/>
                <w:lang w:val="en-US" w:eastAsia="zh-CN"/>
              </w:rPr>
            </w:pPr>
          </w:p>
        </w:tc>
        <w:tc>
          <w:tcPr>
            <w:tcW w:w="1382" w:type="dxa"/>
            <w:noWrap w:val="0"/>
            <w:vAlign w:val="top"/>
          </w:tcPr>
          <w:p>
            <w:pPr>
              <w:jc w:val="center"/>
              <w:rPr>
                <w:rFonts w:hint="default" w:ascii="宋体" w:hAnsi="宋体" w:eastAsia="宋体" w:cs="宋体"/>
                <w:kern w:val="2"/>
                <w:sz w:val="21"/>
                <w:szCs w:val="24"/>
                <w:lang w:val="en-US" w:eastAsia="zh-CN"/>
              </w:rPr>
            </w:pPr>
            <w:r>
              <w:rPr>
                <w:rFonts w:hint="eastAsia" w:ascii="宋体" w:hAnsi="宋体" w:eastAsia="宋体" w:cs="宋体"/>
                <w:kern w:val="2"/>
                <w:sz w:val="21"/>
                <w:szCs w:val="24"/>
                <w:lang w:val="en-US" w:eastAsia="zh-CN"/>
              </w:rPr>
              <w:t>清单见表一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17" w:type="dxa"/>
            <w:noWrap w:val="0"/>
            <w:vAlign w:val="top"/>
          </w:tcPr>
          <w:p>
            <w:pPr>
              <w:jc w:val="center"/>
              <w:rPr>
                <w:rFonts w:hint="eastAsia" w:ascii="宋体" w:hAnsi="宋体" w:eastAsia="宋体" w:cs="宋体"/>
                <w:kern w:val="2"/>
                <w:sz w:val="21"/>
                <w:szCs w:val="24"/>
                <w:lang w:val="en-US" w:eastAsia="zh-CN"/>
              </w:rPr>
            </w:pPr>
            <w:r>
              <w:rPr>
                <w:rFonts w:hint="eastAsia" w:ascii="宋体" w:hAnsi="宋体" w:eastAsia="宋体" w:cs="宋体"/>
                <w:kern w:val="2"/>
                <w:sz w:val="21"/>
                <w:szCs w:val="24"/>
                <w:lang w:val="en-US" w:eastAsia="zh-CN"/>
              </w:rPr>
              <w:t>2</w:t>
            </w:r>
          </w:p>
        </w:tc>
        <w:tc>
          <w:tcPr>
            <w:tcW w:w="5398" w:type="dxa"/>
            <w:noWrap w:val="0"/>
            <w:vAlign w:val="center"/>
          </w:tcPr>
          <w:p>
            <w:pPr>
              <w:jc w:val="center"/>
              <w:rPr>
                <w:rFonts w:hint="default" w:ascii="宋体" w:hAnsi="宋体" w:eastAsia="宋体" w:cs="宋体"/>
                <w:kern w:val="2"/>
                <w:sz w:val="21"/>
                <w:szCs w:val="24"/>
                <w:lang w:val="en-US" w:eastAsia="zh-CN"/>
              </w:rPr>
            </w:pPr>
            <w:r>
              <w:rPr>
                <w:rFonts w:hint="default" w:ascii="宋体" w:hAnsi="宋体" w:eastAsia="宋体" w:cs="宋体"/>
                <w:kern w:val="2"/>
                <w:sz w:val="21"/>
                <w:szCs w:val="24"/>
                <w:lang w:val="en-US" w:eastAsia="zh-CN"/>
              </w:rPr>
              <w:t>液压扳手更换整套液压扳手活塞密封件</w:t>
            </w:r>
          </w:p>
        </w:tc>
        <w:tc>
          <w:tcPr>
            <w:tcW w:w="1414" w:type="dxa"/>
            <w:noWrap w:val="0"/>
            <w:vAlign w:val="center"/>
          </w:tcPr>
          <w:p>
            <w:pPr>
              <w:jc w:val="center"/>
              <w:rPr>
                <w:rFonts w:hint="default" w:ascii="宋体" w:hAnsi="宋体" w:eastAsia="宋体" w:cs="宋体"/>
                <w:kern w:val="2"/>
                <w:sz w:val="21"/>
                <w:szCs w:val="24"/>
                <w:lang w:val="en-US" w:eastAsia="zh-CN"/>
              </w:rPr>
            </w:pPr>
          </w:p>
        </w:tc>
        <w:tc>
          <w:tcPr>
            <w:tcW w:w="1382" w:type="dxa"/>
            <w:noWrap w:val="0"/>
            <w:vAlign w:val="top"/>
          </w:tcPr>
          <w:p>
            <w:pPr>
              <w:jc w:val="center"/>
              <w:rPr>
                <w:rFonts w:hint="default" w:ascii="宋体" w:hAnsi="宋体" w:eastAsia="宋体" w:cs="宋体"/>
                <w:kern w:val="2"/>
                <w:sz w:val="21"/>
                <w:szCs w:val="24"/>
                <w:lang w:val="en-US" w:eastAsia="zh-CN"/>
              </w:rPr>
            </w:pPr>
            <w:r>
              <w:rPr>
                <w:rFonts w:hint="eastAsia" w:ascii="宋体" w:hAnsi="宋体" w:eastAsia="宋体" w:cs="宋体"/>
                <w:kern w:val="2"/>
                <w:sz w:val="21"/>
                <w:szCs w:val="24"/>
                <w:lang w:val="en-US" w:eastAsia="zh-CN"/>
              </w:rPr>
              <w:t>清单见表二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17" w:type="dxa"/>
            <w:noWrap w:val="0"/>
            <w:vAlign w:val="top"/>
          </w:tcPr>
          <w:p>
            <w:pPr>
              <w:jc w:val="center"/>
              <w:rPr>
                <w:rFonts w:hint="default" w:ascii="宋体" w:hAnsi="宋体" w:eastAsia="宋体" w:cs="宋体"/>
                <w:kern w:val="2"/>
                <w:sz w:val="21"/>
                <w:szCs w:val="24"/>
                <w:lang w:val="en-US" w:eastAsia="zh-CN"/>
              </w:rPr>
            </w:pPr>
            <w:r>
              <w:rPr>
                <w:rFonts w:hint="eastAsia" w:ascii="宋体" w:hAnsi="宋体" w:eastAsia="宋体" w:cs="宋体"/>
                <w:kern w:val="2"/>
                <w:sz w:val="21"/>
                <w:szCs w:val="24"/>
                <w:lang w:val="en-US" w:eastAsia="zh-CN"/>
              </w:rPr>
              <w:t>3</w:t>
            </w:r>
          </w:p>
        </w:tc>
        <w:tc>
          <w:tcPr>
            <w:tcW w:w="5398" w:type="dxa"/>
            <w:noWrap w:val="0"/>
            <w:vAlign w:val="center"/>
          </w:tcPr>
          <w:p>
            <w:pPr>
              <w:jc w:val="center"/>
              <w:rPr>
                <w:rFonts w:hint="eastAsia" w:ascii="宋体" w:hAnsi="宋体" w:eastAsia="宋体" w:cs="宋体"/>
                <w:kern w:val="2"/>
                <w:sz w:val="21"/>
                <w:szCs w:val="24"/>
                <w:lang w:val="en-US" w:eastAsia="zh-CN"/>
              </w:rPr>
            </w:pPr>
            <w:r>
              <w:rPr>
                <w:rFonts w:hint="eastAsia" w:ascii="宋体" w:hAnsi="宋体" w:eastAsia="宋体" w:cs="宋体"/>
                <w:kern w:val="2"/>
                <w:sz w:val="21"/>
                <w:szCs w:val="24"/>
                <w:lang w:val="en-US" w:eastAsia="zh-CN"/>
              </w:rPr>
              <w:t>液压泵站及油缸更换油泵、油缸活塞密封件</w:t>
            </w:r>
          </w:p>
        </w:tc>
        <w:tc>
          <w:tcPr>
            <w:tcW w:w="1414" w:type="dxa"/>
            <w:noWrap w:val="0"/>
            <w:vAlign w:val="center"/>
          </w:tcPr>
          <w:p>
            <w:pPr>
              <w:jc w:val="center"/>
              <w:rPr>
                <w:rFonts w:hint="eastAsia" w:ascii="宋体" w:hAnsi="宋体" w:eastAsia="宋体" w:cs="宋体"/>
                <w:kern w:val="2"/>
                <w:sz w:val="21"/>
                <w:szCs w:val="24"/>
                <w:lang w:val="en-US" w:eastAsia="zh-CN"/>
              </w:rPr>
            </w:pPr>
          </w:p>
        </w:tc>
        <w:tc>
          <w:tcPr>
            <w:tcW w:w="1382" w:type="dxa"/>
            <w:noWrap w:val="0"/>
            <w:vAlign w:val="top"/>
          </w:tcPr>
          <w:p>
            <w:pPr>
              <w:jc w:val="center"/>
              <w:rPr>
                <w:rFonts w:hint="default" w:ascii="宋体" w:hAnsi="宋体" w:eastAsia="宋体" w:cs="宋体"/>
                <w:kern w:val="2"/>
                <w:sz w:val="21"/>
                <w:szCs w:val="24"/>
                <w:lang w:val="en-US" w:eastAsia="zh-CN"/>
              </w:rPr>
            </w:pPr>
            <w:r>
              <w:rPr>
                <w:rFonts w:hint="eastAsia" w:ascii="宋体" w:hAnsi="宋体" w:eastAsia="宋体" w:cs="宋体"/>
                <w:kern w:val="2"/>
                <w:sz w:val="21"/>
                <w:szCs w:val="24"/>
                <w:lang w:val="en-US" w:eastAsia="zh-CN"/>
              </w:rPr>
              <w:t>清单见表三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17" w:type="dxa"/>
            <w:noWrap w:val="0"/>
            <w:vAlign w:val="top"/>
          </w:tcPr>
          <w:p>
            <w:pPr>
              <w:jc w:val="center"/>
              <w:rPr>
                <w:rFonts w:hint="default" w:ascii="宋体" w:hAnsi="宋体" w:eastAsia="宋体" w:cs="宋体"/>
                <w:kern w:val="2"/>
                <w:sz w:val="21"/>
                <w:szCs w:val="24"/>
                <w:lang w:val="en-US" w:eastAsia="zh-CN"/>
              </w:rPr>
            </w:pPr>
            <w:r>
              <w:rPr>
                <w:rFonts w:hint="eastAsia" w:ascii="宋体" w:hAnsi="宋体" w:eastAsia="宋体" w:cs="宋体"/>
                <w:kern w:val="2"/>
                <w:sz w:val="21"/>
                <w:szCs w:val="24"/>
                <w:lang w:val="en-US" w:eastAsia="zh-CN"/>
              </w:rPr>
              <w:t>4</w:t>
            </w:r>
          </w:p>
        </w:tc>
        <w:tc>
          <w:tcPr>
            <w:tcW w:w="5398" w:type="dxa"/>
            <w:noWrap w:val="0"/>
            <w:vAlign w:val="center"/>
          </w:tcPr>
          <w:p>
            <w:pPr>
              <w:jc w:val="center"/>
              <w:rPr>
                <w:rFonts w:hint="eastAsia" w:ascii="宋体" w:hAnsi="宋体" w:eastAsia="宋体" w:cs="宋体"/>
                <w:kern w:val="2"/>
                <w:sz w:val="21"/>
                <w:szCs w:val="24"/>
                <w:lang w:val="en-US" w:eastAsia="zh-CN"/>
              </w:rPr>
            </w:pPr>
            <w:r>
              <w:rPr>
                <w:rFonts w:hint="eastAsia" w:ascii="宋体" w:hAnsi="宋体" w:eastAsia="宋体" w:cs="宋体"/>
                <w:kern w:val="2"/>
                <w:sz w:val="21"/>
                <w:szCs w:val="24"/>
                <w:lang w:val="en-US" w:eastAsia="zh-CN"/>
              </w:rPr>
              <w:t>液压工具其他常用消耗配件材料</w:t>
            </w:r>
          </w:p>
        </w:tc>
        <w:tc>
          <w:tcPr>
            <w:tcW w:w="1414" w:type="dxa"/>
            <w:noWrap w:val="0"/>
            <w:vAlign w:val="center"/>
          </w:tcPr>
          <w:p>
            <w:pPr>
              <w:jc w:val="center"/>
              <w:rPr>
                <w:rFonts w:hint="eastAsia" w:ascii="宋体" w:hAnsi="宋体" w:eastAsia="宋体" w:cs="宋体"/>
                <w:kern w:val="2"/>
                <w:sz w:val="21"/>
                <w:szCs w:val="24"/>
                <w:lang w:val="en-US" w:eastAsia="zh-CN"/>
              </w:rPr>
            </w:pPr>
          </w:p>
        </w:tc>
        <w:tc>
          <w:tcPr>
            <w:tcW w:w="1382" w:type="dxa"/>
            <w:noWrap w:val="0"/>
            <w:vAlign w:val="top"/>
          </w:tcPr>
          <w:p>
            <w:pPr>
              <w:jc w:val="center"/>
              <w:rPr>
                <w:rFonts w:hint="default" w:ascii="宋体" w:hAnsi="宋体" w:eastAsia="宋体" w:cs="宋体"/>
                <w:kern w:val="2"/>
                <w:sz w:val="21"/>
                <w:szCs w:val="24"/>
                <w:lang w:val="en-US" w:eastAsia="zh-CN"/>
              </w:rPr>
            </w:pPr>
            <w:r>
              <w:rPr>
                <w:rFonts w:hint="eastAsia" w:ascii="宋体" w:hAnsi="宋体" w:eastAsia="宋体" w:cs="宋体"/>
                <w:kern w:val="2"/>
                <w:sz w:val="21"/>
                <w:szCs w:val="24"/>
                <w:lang w:val="en-US" w:eastAsia="zh-CN"/>
              </w:rPr>
              <w:t>清单见表四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17" w:type="dxa"/>
            <w:noWrap w:val="0"/>
            <w:vAlign w:val="top"/>
          </w:tcPr>
          <w:p>
            <w:pPr>
              <w:jc w:val="center"/>
              <w:rPr>
                <w:rFonts w:hint="default" w:ascii="宋体" w:hAnsi="宋体" w:eastAsia="宋体" w:cs="宋体"/>
                <w:kern w:val="2"/>
                <w:sz w:val="21"/>
                <w:szCs w:val="24"/>
                <w:lang w:val="en-US" w:eastAsia="zh-CN"/>
              </w:rPr>
            </w:pPr>
            <w:r>
              <w:rPr>
                <w:rFonts w:hint="eastAsia" w:ascii="宋体" w:hAnsi="宋体" w:eastAsia="宋体" w:cs="宋体"/>
                <w:kern w:val="2"/>
                <w:sz w:val="21"/>
                <w:szCs w:val="24"/>
                <w:lang w:val="en-US" w:eastAsia="zh-CN"/>
              </w:rPr>
              <w:t>5</w:t>
            </w:r>
          </w:p>
        </w:tc>
        <w:tc>
          <w:tcPr>
            <w:tcW w:w="5398" w:type="dxa"/>
            <w:noWrap w:val="0"/>
            <w:vAlign w:val="center"/>
          </w:tcPr>
          <w:p>
            <w:pPr>
              <w:jc w:val="center"/>
              <w:rPr>
                <w:rFonts w:hint="eastAsia" w:ascii="宋体" w:hAnsi="宋体" w:eastAsia="宋体" w:cs="宋体"/>
                <w:kern w:val="2"/>
                <w:sz w:val="21"/>
                <w:szCs w:val="24"/>
                <w:lang w:val="en-US" w:eastAsia="zh-CN"/>
              </w:rPr>
            </w:pPr>
            <w:r>
              <w:rPr>
                <w:rFonts w:hint="eastAsia" w:ascii="宋体" w:hAnsi="宋体" w:eastAsia="宋体" w:cs="宋体"/>
                <w:kern w:val="2"/>
                <w:sz w:val="21"/>
                <w:szCs w:val="24"/>
                <w:lang w:val="en-US" w:eastAsia="zh-CN"/>
              </w:rPr>
              <w:t>邮寄费</w:t>
            </w:r>
          </w:p>
        </w:tc>
        <w:tc>
          <w:tcPr>
            <w:tcW w:w="1414" w:type="dxa"/>
            <w:noWrap w:val="0"/>
            <w:vAlign w:val="center"/>
          </w:tcPr>
          <w:p>
            <w:pPr>
              <w:jc w:val="center"/>
              <w:rPr>
                <w:rFonts w:hint="eastAsia" w:ascii="宋体" w:hAnsi="宋体" w:eastAsia="宋体" w:cs="宋体"/>
                <w:kern w:val="2"/>
                <w:sz w:val="21"/>
                <w:szCs w:val="24"/>
                <w:lang w:val="en-US" w:eastAsia="zh-CN"/>
              </w:rPr>
            </w:pPr>
          </w:p>
        </w:tc>
        <w:tc>
          <w:tcPr>
            <w:tcW w:w="1382" w:type="dxa"/>
            <w:noWrap w:val="0"/>
            <w:vAlign w:val="top"/>
          </w:tcPr>
          <w:p>
            <w:pPr>
              <w:pStyle w:val="4"/>
              <w:bidi w:val="0"/>
              <w:rPr>
                <w:rFonts w:hint="default"/>
                <w:lang w:val="en-US" w:eastAsia="zh-CN"/>
              </w:rPr>
            </w:pPr>
            <w:r>
              <w:rPr>
                <w:rFonts w:hint="eastAsia"/>
                <w:lang w:val="en-US" w:eastAsia="zh-CN"/>
              </w:rPr>
              <w:t>清单见表五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17" w:type="dxa"/>
            <w:noWrap w:val="0"/>
            <w:vAlign w:val="top"/>
          </w:tcPr>
          <w:p>
            <w:pPr>
              <w:jc w:val="center"/>
              <w:rPr>
                <w:rFonts w:hint="default" w:ascii="宋体" w:hAnsi="宋体" w:eastAsia="宋体" w:cs="宋体"/>
                <w:kern w:val="2"/>
                <w:sz w:val="21"/>
                <w:szCs w:val="24"/>
                <w:lang w:val="en-US" w:eastAsia="zh-CN"/>
              </w:rPr>
            </w:pPr>
            <w:r>
              <w:rPr>
                <w:rFonts w:hint="eastAsia" w:ascii="宋体" w:hAnsi="宋体" w:eastAsia="宋体" w:cs="宋体"/>
                <w:kern w:val="2"/>
                <w:sz w:val="21"/>
                <w:szCs w:val="24"/>
                <w:lang w:val="en-US" w:eastAsia="zh-CN"/>
              </w:rPr>
              <w:t>6</w:t>
            </w:r>
          </w:p>
        </w:tc>
        <w:tc>
          <w:tcPr>
            <w:tcW w:w="5398" w:type="dxa"/>
            <w:noWrap w:val="0"/>
            <w:vAlign w:val="center"/>
          </w:tcPr>
          <w:p>
            <w:pPr>
              <w:jc w:val="center"/>
              <w:rPr>
                <w:rFonts w:hint="eastAsia" w:ascii="宋体" w:hAnsi="宋体" w:eastAsia="宋体" w:cs="宋体"/>
                <w:kern w:val="2"/>
                <w:sz w:val="21"/>
                <w:szCs w:val="24"/>
                <w:lang w:val="en-US" w:eastAsia="zh-CN"/>
              </w:rPr>
            </w:pPr>
            <w:r>
              <w:rPr>
                <w:rFonts w:hint="eastAsia" w:ascii="宋体" w:hAnsi="宋体" w:eastAsia="宋体" w:cs="宋体"/>
                <w:kern w:val="2"/>
                <w:sz w:val="21"/>
                <w:szCs w:val="24"/>
                <w:lang w:val="en-US" w:eastAsia="zh-CN"/>
              </w:rPr>
              <w:t>动员、服务</w:t>
            </w:r>
          </w:p>
        </w:tc>
        <w:tc>
          <w:tcPr>
            <w:tcW w:w="1414" w:type="dxa"/>
            <w:noWrap w:val="0"/>
            <w:vAlign w:val="center"/>
          </w:tcPr>
          <w:p>
            <w:pPr>
              <w:jc w:val="center"/>
              <w:rPr>
                <w:rFonts w:hint="eastAsia" w:ascii="宋体" w:hAnsi="宋体" w:eastAsia="宋体" w:cs="宋体"/>
                <w:kern w:val="2"/>
                <w:sz w:val="21"/>
                <w:szCs w:val="24"/>
                <w:lang w:val="en-US" w:eastAsia="zh-CN"/>
              </w:rPr>
            </w:pPr>
          </w:p>
        </w:tc>
        <w:tc>
          <w:tcPr>
            <w:tcW w:w="1382" w:type="dxa"/>
            <w:noWrap w:val="0"/>
            <w:vAlign w:val="top"/>
          </w:tcPr>
          <w:p>
            <w:pPr>
              <w:jc w:val="center"/>
              <w:rPr>
                <w:rFonts w:hint="default" w:ascii="宋体" w:hAnsi="宋体" w:eastAsia="宋体" w:cs="宋体"/>
                <w:kern w:val="2"/>
                <w:sz w:val="21"/>
                <w:szCs w:val="24"/>
                <w:lang w:val="en-US" w:eastAsia="zh-CN"/>
              </w:rPr>
            </w:pPr>
            <w:r>
              <w:rPr>
                <w:rFonts w:hint="eastAsia" w:ascii="宋体" w:hAnsi="宋体" w:eastAsia="宋体" w:cs="宋体"/>
                <w:kern w:val="2"/>
                <w:sz w:val="21"/>
                <w:szCs w:val="24"/>
                <w:lang w:val="en-US" w:eastAsia="zh-CN"/>
              </w:rPr>
              <w:t>清单见表六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717" w:type="dxa"/>
            <w:noWrap w:val="0"/>
            <w:vAlign w:val="top"/>
          </w:tcPr>
          <w:p>
            <w:pPr>
              <w:jc w:val="center"/>
              <w:rPr>
                <w:rFonts w:hint="eastAsia" w:ascii="宋体" w:hAnsi="宋体" w:eastAsia="宋体" w:cs="宋体"/>
                <w:kern w:val="2"/>
                <w:sz w:val="21"/>
                <w:szCs w:val="24"/>
                <w:lang w:val="en-US" w:eastAsia="zh-CN"/>
              </w:rPr>
            </w:pPr>
          </w:p>
        </w:tc>
        <w:tc>
          <w:tcPr>
            <w:tcW w:w="5398" w:type="dxa"/>
            <w:noWrap w:val="0"/>
            <w:vAlign w:val="center"/>
          </w:tcPr>
          <w:p>
            <w:pPr>
              <w:jc w:val="center"/>
              <w:rPr>
                <w:rFonts w:hint="eastAsia" w:ascii="宋体" w:hAnsi="宋体" w:eastAsia="宋体" w:cs="宋体"/>
                <w:kern w:val="2"/>
                <w:sz w:val="21"/>
                <w:szCs w:val="24"/>
                <w:lang w:val="en-US" w:eastAsia="zh-CN"/>
              </w:rPr>
            </w:pPr>
            <w:r>
              <w:rPr>
                <w:rFonts w:hint="eastAsia" w:ascii="宋体" w:hAnsi="宋体" w:eastAsia="宋体" w:cs="宋体"/>
                <w:kern w:val="2"/>
                <w:sz w:val="21"/>
                <w:szCs w:val="24"/>
                <w:lang w:val="en-US" w:eastAsia="zh-CN"/>
              </w:rPr>
              <w:t>不含税</w:t>
            </w:r>
            <w:r>
              <w:rPr>
                <w:rFonts w:hint="eastAsia" w:ascii="宋体" w:hAnsi="宋体" w:eastAsia="宋体" w:cs="宋体"/>
                <w:kern w:val="2"/>
                <w:sz w:val="21"/>
                <w:szCs w:val="24"/>
              </w:rPr>
              <w:t>投标总价</w:t>
            </w:r>
            <w:r>
              <w:rPr>
                <w:rFonts w:hint="eastAsia" w:ascii="宋体" w:hAnsi="宋体" w:eastAsia="宋体" w:cs="宋体"/>
                <w:kern w:val="2"/>
                <w:sz w:val="21"/>
                <w:szCs w:val="24"/>
                <w:lang w:eastAsia="zh-CN"/>
              </w:rPr>
              <w:t>：</w:t>
            </w:r>
          </w:p>
        </w:tc>
        <w:tc>
          <w:tcPr>
            <w:tcW w:w="1414" w:type="dxa"/>
            <w:noWrap w:val="0"/>
            <w:vAlign w:val="center"/>
          </w:tcPr>
          <w:p>
            <w:pPr>
              <w:jc w:val="center"/>
              <w:rPr>
                <w:rFonts w:hint="eastAsia" w:ascii="宋体" w:hAnsi="宋体" w:eastAsia="宋体" w:cs="宋体"/>
                <w:kern w:val="2"/>
                <w:sz w:val="21"/>
                <w:szCs w:val="24"/>
                <w:lang w:val="en-US" w:eastAsia="zh-CN"/>
              </w:rPr>
            </w:pPr>
          </w:p>
        </w:tc>
        <w:tc>
          <w:tcPr>
            <w:tcW w:w="1382" w:type="dxa"/>
            <w:noWrap w:val="0"/>
            <w:vAlign w:val="top"/>
          </w:tcPr>
          <w:p>
            <w:pPr>
              <w:jc w:val="center"/>
              <w:rPr>
                <w:rFonts w:hint="eastAsia" w:ascii="宋体" w:hAnsi="宋体" w:eastAsia="宋体" w:cs="宋体"/>
                <w:kern w:val="2"/>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717" w:type="dxa"/>
            <w:noWrap w:val="0"/>
            <w:vAlign w:val="top"/>
          </w:tcPr>
          <w:p>
            <w:pPr>
              <w:jc w:val="center"/>
              <w:rPr>
                <w:rFonts w:hint="eastAsia" w:cs="Arial" w:asciiTheme="minorEastAsia" w:hAnsiTheme="minorEastAsia"/>
                <w:kern w:val="0"/>
                <w:sz w:val="22"/>
                <w:szCs w:val="22"/>
                <w:highlight w:val="none"/>
                <w:lang w:val="en-US" w:eastAsia="zh-CN" w:bidi="ar-SA"/>
              </w:rPr>
            </w:pPr>
          </w:p>
        </w:tc>
        <w:tc>
          <w:tcPr>
            <w:tcW w:w="5398" w:type="dxa"/>
            <w:noWrap w:val="0"/>
            <w:vAlign w:val="top"/>
          </w:tcPr>
          <w:p>
            <w:pPr>
              <w:jc w:val="center"/>
              <w:rPr>
                <w:rFonts w:hint="eastAsia" w:ascii="宋体" w:hAnsi="宋体" w:eastAsia="宋体" w:cs="宋体"/>
                <w:kern w:val="2"/>
                <w:sz w:val="21"/>
                <w:szCs w:val="24"/>
                <w:lang w:val="en-US" w:eastAsia="zh-CN"/>
              </w:rPr>
            </w:pPr>
            <w:r>
              <w:rPr>
                <w:rFonts w:hint="eastAsia" w:ascii="宋体" w:hAnsi="宋体" w:eastAsia="宋体" w:cs="宋体"/>
                <w:kern w:val="2"/>
                <w:sz w:val="21"/>
                <w:szCs w:val="24"/>
                <w:lang w:val="en-US" w:eastAsia="zh-CN"/>
              </w:rPr>
              <w:t>税金（</w:t>
            </w:r>
            <w:r>
              <w:rPr>
                <w:rFonts w:hint="eastAsia" w:ascii="宋体" w:hAnsi="宋体" w:cs="宋体"/>
                <w:kern w:val="2"/>
                <w:sz w:val="21"/>
                <w:szCs w:val="24"/>
                <w:lang w:bidi="ar"/>
              </w:rPr>
              <w:t>增值税专用发票，发票税率</w:t>
            </w:r>
            <w:r>
              <w:rPr>
                <w:rFonts w:hint="eastAsia" w:ascii="宋体" w:hAnsi="宋体" w:cs="宋体"/>
                <w:kern w:val="2"/>
                <w:sz w:val="21"/>
                <w:szCs w:val="24"/>
                <w:u w:val="single"/>
                <w:lang w:bidi="ar"/>
              </w:rPr>
              <w:t xml:space="preserve">  </w:t>
            </w:r>
            <w:r>
              <w:rPr>
                <w:rFonts w:hint="eastAsia" w:ascii="宋体" w:hAnsi="宋体" w:cs="宋体"/>
                <w:kern w:val="2"/>
                <w:sz w:val="21"/>
                <w:szCs w:val="24"/>
                <w:lang w:bidi="ar"/>
              </w:rPr>
              <w:t>%</w:t>
            </w:r>
            <w:r>
              <w:rPr>
                <w:rFonts w:hint="eastAsia" w:ascii="宋体" w:hAnsi="宋体" w:eastAsia="宋体" w:cs="宋体"/>
                <w:kern w:val="2"/>
                <w:sz w:val="21"/>
                <w:szCs w:val="24"/>
                <w:lang w:val="en-US" w:eastAsia="zh-CN"/>
              </w:rPr>
              <w:t>）：</w:t>
            </w:r>
          </w:p>
        </w:tc>
        <w:tc>
          <w:tcPr>
            <w:tcW w:w="1414" w:type="dxa"/>
            <w:noWrap w:val="0"/>
            <w:vAlign w:val="top"/>
          </w:tcPr>
          <w:p>
            <w:pPr>
              <w:jc w:val="center"/>
              <w:rPr>
                <w:rFonts w:hint="eastAsia" w:cs="Arial" w:asciiTheme="minorEastAsia" w:hAnsiTheme="minorEastAsia" w:eastAsiaTheme="minorEastAsia"/>
                <w:kern w:val="0"/>
                <w:sz w:val="22"/>
                <w:szCs w:val="22"/>
                <w:highlight w:val="none"/>
                <w:lang w:val="en-US" w:eastAsia="zh-CN" w:bidi="ar-SA"/>
              </w:rPr>
            </w:pPr>
          </w:p>
        </w:tc>
        <w:tc>
          <w:tcPr>
            <w:tcW w:w="1382" w:type="dxa"/>
            <w:noWrap w:val="0"/>
            <w:vAlign w:val="top"/>
          </w:tcPr>
          <w:p>
            <w:pPr>
              <w:jc w:val="center"/>
              <w:rPr>
                <w:rFonts w:hint="eastAsia" w:cs="Arial" w:asciiTheme="minorEastAsia" w:hAnsiTheme="minorEastAsia" w:eastAsiaTheme="minorEastAsia"/>
                <w:kern w:val="0"/>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17" w:type="dxa"/>
            <w:noWrap w:val="0"/>
            <w:vAlign w:val="top"/>
          </w:tcPr>
          <w:p>
            <w:pPr>
              <w:jc w:val="center"/>
              <w:rPr>
                <w:rFonts w:hint="eastAsia" w:cs="Arial" w:asciiTheme="minorEastAsia" w:hAnsiTheme="minorEastAsia"/>
                <w:kern w:val="0"/>
                <w:sz w:val="22"/>
                <w:szCs w:val="22"/>
                <w:highlight w:val="none"/>
                <w:lang w:val="en-US" w:eastAsia="zh-CN" w:bidi="ar-SA"/>
              </w:rPr>
            </w:pPr>
          </w:p>
        </w:tc>
        <w:tc>
          <w:tcPr>
            <w:tcW w:w="5398" w:type="dxa"/>
            <w:noWrap w:val="0"/>
            <w:vAlign w:val="top"/>
          </w:tcPr>
          <w:p>
            <w:pPr>
              <w:jc w:val="center"/>
              <w:rPr>
                <w:rFonts w:hint="eastAsia" w:ascii="宋体" w:hAnsi="宋体" w:eastAsia="宋体" w:cs="宋体"/>
                <w:kern w:val="2"/>
                <w:sz w:val="21"/>
                <w:szCs w:val="24"/>
                <w:lang w:val="en-US" w:eastAsia="zh-CN"/>
              </w:rPr>
            </w:pPr>
            <w:r>
              <w:rPr>
                <w:rFonts w:hint="eastAsia" w:ascii="宋体" w:hAnsi="宋体" w:eastAsia="宋体" w:cs="宋体"/>
                <w:kern w:val="2"/>
                <w:sz w:val="21"/>
                <w:szCs w:val="24"/>
                <w:lang w:val="en-US" w:eastAsia="zh-CN"/>
              </w:rPr>
              <w:t>含税投标总价：</w:t>
            </w:r>
          </w:p>
        </w:tc>
        <w:tc>
          <w:tcPr>
            <w:tcW w:w="1414" w:type="dxa"/>
            <w:noWrap w:val="0"/>
            <w:vAlign w:val="top"/>
          </w:tcPr>
          <w:p>
            <w:pPr>
              <w:jc w:val="center"/>
              <w:rPr>
                <w:rFonts w:hint="eastAsia" w:cs="Arial" w:asciiTheme="minorEastAsia" w:hAnsiTheme="minorEastAsia" w:eastAsiaTheme="minorEastAsia"/>
                <w:kern w:val="0"/>
                <w:sz w:val="22"/>
                <w:szCs w:val="22"/>
                <w:highlight w:val="none"/>
                <w:lang w:val="en-US" w:eastAsia="zh-CN" w:bidi="ar-SA"/>
              </w:rPr>
            </w:pPr>
          </w:p>
        </w:tc>
        <w:tc>
          <w:tcPr>
            <w:tcW w:w="1382" w:type="dxa"/>
            <w:noWrap w:val="0"/>
            <w:vAlign w:val="top"/>
          </w:tcPr>
          <w:p>
            <w:pPr>
              <w:jc w:val="center"/>
              <w:rPr>
                <w:rFonts w:hint="eastAsia" w:cs="Arial" w:asciiTheme="minorEastAsia" w:hAnsiTheme="minorEastAsia" w:eastAsiaTheme="minorEastAsia"/>
                <w:kern w:val="0"/>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911" w:type="dxa"/>
            <w:gridSpan w:val="4"/>
            <w:noWrap w:val="0"/>
            <w:vAlign w:val="top"/>
          </w:tcPr>
          <w:p>
            <w:pPr>
              <w:jc w:val="center"/>
              <w:rPr>
                <w:rFonts w:hint="default" w:cs="Arial" w:asciiTheme="minorEastAsia" w:hAnsiTheme="minorEastAsia" w:eastAsiaTheme="minorEastAsia"/>
                <w:kern w:val="0"/>
                <w:sz w:val="22"/>
                <w:szCs w:val="22"/>
                <w:highlight w:val="none"/>
                <w:lang w:val="en-US" w:eastAsia="zh-CN" w:bidi="ar-SA"/>
              </w:rPr>
            </w:pPr>
            <w:r>
              <w:rPr>
                <w:rFonts w:hint="eastAsia" w:cs="Arial" w:asciiTheme="minorEastAsia" w:hAnsiTheme="minorEastAsia"/>
                <w:kern w:val="0"/>
                <w:sz w:val="22"/>
                <w:szCs w:val="22"/>
                <w:highlight w:val="none"/>
                <w:lang w:val="en-US" w:eastAsia="zh-CN" w:bidi="ar-SA"/>
              </w:rPr>
              <w:t>备注：报价明细表内容以签字版技术询价文件清单内容为准。</w:t>
            </w:r>
          </w:p>
        </w:tc>
      </w:tr>
    </w:tbl>
    <w:p>
      <w:pPr>
        <w:pStyle w:val="31"/>
        <w:spacing w:line="360" w:lineRule="auto"/>
        <w:ind w:left="0" w:leftChars="-67" w:hanging="141" w:hangingChars="59"/>
        <w:rPr>
          <w:rFonts w:hint="eastAsia" w:asciiTheme="minorEastAsia" w:hAnsiTheme="minorEastAsia" w:eastAsiaTheme="minorEastAsia"/>
          <w:sz w:val="24"/>
          <w:szCs w:val="24"/>
          <w:highlight w:val="none"/>
        </w:rPr>
      </w:pPr>
    </w:p>
    <w:p>
      <w:pPr>
        <w:pStyle w:val="31"/>
        <w:spacing w:line="360" w:lineRule="auto"/>
        <w:ind w:right="840" w:firstLine="2640" w:firstLineChars="1100"/>
        <w:jc w:val="both"/>
        <w:rPr>
          <w:rFonts w:hint="eastAsia" w:asciiTheme="minorEastAsia" w:hAnsiTheme="minorEastAsia" w:eastAsiaTheme="minorEastAsia"/>
          <w:sz w:val="24"/>
          <w:szCs w:val="24"/>
          <w:highlight w:val="none"/>
        </w:rPr>
      </w:pPr>
    </w:p>
    <w:p>
      <w:pPr>
        <w:pStyle w:val="31"/>
        <w:spacing w:line="360" w:lineRule="auto"/>
        <w:ind w:right="840" w:firstLine="2640" w:firstLineChars="1100"/>
        <w:jc w:val="both"/>
        <w:rPr>
          <w:rFonts w:hint="eastAsia" w:asciiTheme="minorEastAsia" w:hAnsiTheme="minorEastAsia" w:eastAsiaTheme="minorEastAsia"/>
          <w:sz w:val="24"/>
          <w:szCs w:val="24"/>
          <w:highlight w:val="none"/>
        </w:rPr>
      </w:pPr>
    </w:p>
    <w:p>
      <w:pPr>
        <w:pStyle w:val="31"/>
        <w:spacing w:line="360" w:lineRule="auto"/>
        <w:ind w:right="840" w:firstLine="2640" w:firstLineChars="1100"/>
        <w:jc w:val="both"/>
        <w:rPr>
          <w:rFonts w:hint="eastAsia" w:asciiTheme="minorEastAsia" w:hAnsiTheme="minorEastAsia" w:eastAsiaTheme="minorEastAsia"/>
          <w:sz w:val="24"/>
          <w:szCs w:val="24"/>
          <w:highlight w:val="none"/>
        </w:rPr>
      </w:pPr>
    </w:p>
    <w:p>
      <w:pPr>
        <w:pStyle w:val="31"/>
        <w:spacing w:line="360" w:lineRule="auto"/>
        <w:ind w:right="840" w:firstLine="2640" w:firstLineChars="1100"/>
        <w:jc w:val="both"/>
        <w:rPr>
          <w:rFonts w:hint="default" w:asciiTheme="minorEastAsia" w:hAnsiTheme="minorEastAsia" w:eastAsiaTheme="minorEastAsia"/>
          <w:sz w:val="24"/>
          <w:szCs w:val="24"/>
          <w:highlight w:val="none"/>
          <w:u w:val="single"/>
          <w:lang w:val="en-US" w:eastAsia="zh-CN"/>
        </w:rPr>
      </w:pPr>
      <w:r>
        <w:rPr>
          <w:rFonts w:hint="eastAsia" w:asciiTheme="minorEastAsia" w:hAnsiTheme="minorEastAsia" w:eastAsiaTheme="minorEastAsia"/>
          <w:sz w:val="24"/>
          <w:szCs w:val="24"/>
          <w:highlight w:val="none"/>
        </w:rPr>
        <w:t>报价单位</w:t>
      </w:r>
      <w:r>
        <w:rPr>
          <w:rFonts w:asciiTheme="minorEastAsia" w:hAnsiTheme="minorEastAsia" w:eastAsiaTheme="minorEastAsia"/>
          <w:sz w:val="24"/>
          <w:szCs w:val="24"/>
          <w:highlight w:val="none"/>
        </w:rPr>
        <w:t>名称：</w:t>
      </w:r>
      <w:r>
        <w:rPr>
          <w:rFonts w:hint="eastAsia" w:asciiTheme="minorEastAsia" w:hAnsiTheme="minorEastAsia" w:eastAsiaTheme="minorEastAsia"/>
          <w:sz w:val="24"/>
          <w:szCs w:val="24"/>
          <w:highlight w:val="none"/>
          <w:u w:val="single"/>
          <w:lang w:val="en-US" w:eastAsia="zh-CN"/>
        </w:rPr>
        <w:t xml:space="preserve">                                 </w:t>
      </w:r>
    </w:p>
    <w:p>
      <w:pPr>
        <w:pStyle w:val="31"/>
        <w:spacing w:line="360" w:lineRule="auto"/>
        <w:ind w:right="840" w:firstLine="2400" w:firstLineChars="1000"/>
        <w:jc w:val="right"/>
        <w:rPr>
          <w:rFonts w:hint="eastAsia" w:eastAsia="宋体" w:asciiTheme="minorEastAsia" w:hAnsiTheme="minorEastAsia"/>
          <w:sz w:val="24"/>
          <w:szCs w:val="24"/>
          <w:highlight w:val="none"/>
          <w:lang w:val="en-US" w:eastAsia="zh-CN"/>
        </w:rPr>
      </w:pPr>
      <w:r>
        <w:rPr>
          <w:rFonts w:hint="eastAsia" w:ascii="宋体" w:hAnsi="宋体" w:eastAsia="宋体"/>
          <w:color w:val="FF0000"/>
          <w:sz w:val="24"/>
          <w:highlight w:val="none"/>
        </w:rPr>
        <w:t>（加盖公章</w:t>
      </w:r>
      <w:r>
        <w:rPr>
          <w:rFonts w:hint="eastAsia" w:ascii="宋体" w:hAnsi="宋体" w:eastAsia="宋体"/>
          <w:color w:val="FF0000"/>
          <w:sz w:val="24"/>
          <w:highlight w:val="none"/>
          <w:lang w:val="en-US" w:eastAsia="zh-CN"/>
        </w:rPr>
        <w:t>和</w:t>
      </w:r>
      <w:r>
        <w:rPr>
          <w:rFonts w:hint="eastAsia" w:ascii="宋体" w:hAnsi="宋体"/>
          <w:color w:val="FF0000"/>
          <w:sz w:val="24"/>
          <w:highlight w:val="none"/>
        </w:rPr>
        <w:t>法定代表人或者授权代表签字</w:t>
      </w:r>
      <w:r>
        <w:rPr>
          <w:rFonts w:hint="eastAsia" w:ascii="宋体" w:hAnsi="宋体"/>
          <w:color w:val="FF0000"/>
          <w:sz w:val="24"/>
          <w:highlight w:val="none"/>
          <w:lang w:eastAsia="zh-CN"/>
        </w:rPr>
        <w:t>）</w:t>
      </w:r>
    </w:p>
    <w:p>
      <w:pPr>
        <w:pStyle w:val="31"/>
        <w:spacing w:line="360" w:lineRule="auto"/>
        <w:ind w:right="560" w:firstLine="3840" w:firstLineChars="1600"/>
        <w:rPr>
          <w:rFonts w:hint="eastAsia"/>
          <w:highlight w:val="none"/>
        </w:rPr>
      </w:pPr>
      <w:r>
        <w:rPr>
          <w:rFonts w:hint="eastAsia" w:asciiTheme="minorEastAsia" w:hAnsiTheme="minorEastAsia" w:eastAsiaTheme="minorEastAsia"/>
          <w:sz w:val="24"/>
          <w:szCs w:val="24"/>
          <w:highlight w:val="none"/>
        </w:rPr>
        <w:t>报价日期</w:t>
      </w:r>
      <w:r>
        <w:rPr>
          <w:rFonts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u w:val="single"/>
          <w:lang w:val="en-US" w:eastAsia="zh-CN"/>
        </w:rPr>
        <w:t xml:space="preserve">    </w:t>
      </w:r>
      <w:r>
        <w:rPr>
          <w:rFonts w:asciiTheme="minorEastAsia" w:hAnsiTheme="minorEastAsia" w:eastAsiaTheme="minorEastAsia"/>
          <w:sz w:val="24"/>
          <w:szCs w:val="24"/>
          <w:highlight w:val="none"/>
        </w:rPr>
        <w:t>年</w:t>
      </w:r>
      <w:r>
        <w:rPr>
          <w:rFonts w:hint="eastAsia" w:asciiTheme="minorEastAsia" w:hAnsiTheme="minorEastAsia" w:eastAsiaTheme="minorEastAsia"/>
          <w:sz w:val="24"/>
          <w:szCs w:val="24"/>
          <w:highlight w:val="none"/>
          <w:u w:val="single"/>
          <w:lang w:val="en-US" w:eastAsia="zh-CN"/>
        </w:rPr>
        <w:t xml:space="preserve">      </w:t>
      </w:r>
      <w:r>
        <w:rPr>
          <w:rFonts w:asciiTheme="minorEastAsia" w:hAnsiTheme="minorEastAsia" w:eastAsiaTheme="minorEastAsia"/>
          <w:sz w:val="24"/>
          <w:szCs w:val="24"/>
          <w:highlight w:val="none"/>
        </w:rPr>
        <w:t>月</w:t>
      </w:r>
      <w:r>
        <w:rPr>
          <w:rFonts w:hint="eastAsia" w:asciiTheme="minorEastAsia" w:hAnsiTheme="minorEastAsia" w:eastAsiaTheme="minorEastAsia"/>
          <w:sz w:val="24"/>
          <w:szCs w:val="24"/>
          <w:highlight w:val="none"/>
          <w:lang w:val="en-US" w:eastAsia="zh-CN"/>
        </w:rPr>
        <w:t xml:space="preserve"> </w:t>
      </w:r>
      <w:r>
        <w:rPr>
          <w:rFonts w:hint="eastAsia" w:asciiTheme="minorEastAsia" w:hAnsiTheme="minorEastAsia" w:eastAsiaTheme="minorEastAsia"/>
          <w:sz w:val="24"/>
          <w:szCs w:val="24"/>
          <w:highlight w:val="none"/>
          <w:u w:val="single"/>
          <w:lang w:val="en-US" w:eastAsia="zh-CN"/>
        </w:rPr>
        <w:t xml:space="preserve">     </w:t>
      </w:r>
      <w:r>
        <w:rPr>
          <w:rFonts w:asciiTheme="minorEastAsia" w:hAnsiTheme="minorEastAsia" w:eastAsiaTheme="minorEastAsia"/>
          <w:sz w:val="24"/>
          <w:szCs w:val="24"/>
          <w:highlight w:val="none"/>
        </w:rPr>
        <w:t>日</w:t>
      </w:r>
    </w:p>
    <w:p>
      <w:pPr>
        <w:rPr>
          <w:rFonts w:hint="eastAsia" w:ascii="黑体" w:hAnsi="黑体" w:eastAsia="黑体"/>
          <w:sz w:val="24"/>
          <w:szCs w:val="24"/>
          <w:highlight w:val="none"/>
        </w:rPr>
      </w:pPr>
    </w:p>
    <w:p>
      <w:pPr>
        <w:pStyle w:val="2"/>
        <w:rPr>
          <w:rFonts w:hint="eastAsia" w:ascii="黑体" w:hAnsi="黑体" w:eastAsia="黑体"/>
          <w:sz w:val="24"/>
          <w:szCs w:val="24"/>
          <w:highlight w:val="none"/>
        </w:rPr>
      </w:pPr>
    </w:p>
    <w:p>
      <w:pPr>
        <w:pStyle w:val="2"/>
        <w:rPr>
          <w:rFonts w:hint="eastAsia" w:ascii="黑体" w:hAnsi="黑体" w:eastAsia="黑体"/>
          <w:sz w:val="24"/>
          <w:szCs w:val="24"/>
          <w:highlight w:val="none"/>
        </w:rPr>
      </w:pPr>
    </w:p>
    <w:p>
      <w:pPr>
        <w:pStyle w:val="2"/>
        <w:rPr>
          <w:rFonts w:hint="eastAsia" w:ascii="黑体" w:hAnsi="黑体" w:eastAsia="黑体"/>
          <w:sz w:val="24"/>
          <w:szCs w:val="24"/>
          <w:highlight w:val="none"/>
        </w:rPr>
      </w:pPr>
    </w:p>
    <w:p>
      <w:pPr>
        <w:pStyle w:val="2"/>
        <w:rPr>
          <w:rFonts w:hint="eastAsia" w:ascii="黑体" w:hAnsi="黑体" w:eastAsia="黑体"/>
          <w:sz w:val="24"/>
          <w:szCs w:val="24"/>
          <w:highlight w:val="none"/>
        </w:rPr>
      </w:pPr>
    </w:p>
    <w:p>
      <w:pPr>
        <w:pStyle w:val="2"/>
        <w:rPr>
          <w:rFonts w:hint="eastAsia" w:ascii="黑体" w:hAnsi="黑体" w:eastAsia="黑体"/>
          <w:sz w:val="24"/>
          <w:szCs w:val="24"/>
          <w:highlight w:val="none"/>
        </w:rPr>
      </w:pPr>
    </w:p>
    <w:p>
      <w:pPr>
        <w:pStyle w:val="2"/>
        <w:rPr>
          <w:rFonts w:hint="eastAsia" w:ascii="黑体" w:hAnsi="黑体" w:eastAsia="黑体"/>
          <w:sz w:val="24"/>
          <w:szCs w:val="24"/>
          <w:highlight w:val="none"/>
        </w:rPr>
      </w:pPr>
    </w:p>
    <w:p>
      <w:pPr>
        <w:pStyle w:val="2"/>
        <w:rPr>
          <w:rFonts w:hint="eastAsia" w:ascii="黑体" w:hAnsi="黑体" w:eastAsia="黑体"/>
          <w:sz w:val="24"/>
          <w:szCs w:val="24"/>
          <w:highlight w:val="none"/>
        </w:rPr>
      </w:pPr>
    </w:p>
    <w:p>
      <w:pPr>
        <w:pStyle w:val="2"/>
        <w:rPr>
          <w:rFonts w:hint="eastAsia" w:ascii="黑体" w:hAnsi="黑体" w:eastAsia="黑体"/>
          <w:sz w:val="24"/>
          <w:szCs w:val="24"/>
          <w:highlight w:val="none"/>
        </w:rPr>
      </w:pPr>
    </w:p>
    <w:p>
      <w:pPr>
        <w:pStyle w:val="2"/>
        <w:rPr>
          <w:rFonts w:hint="eastAsia" w:ascii="黑体" w:hAnsi="黑体" w:eastAsia="黑体"/>
          <w:sz w:val="24"/>
          <w:szCs w:val="24"/>
          <w:highlight w:val="none"/>
        </w:rPr>
      </w:pPr>
    </w:p>
    <w:p>
      <w:pPr>
        <w:pStyle w:val="2"/>
        <w:rPr>
          <w:rFonts w:hint="eastAsia" w:ascii="黑体" w:hAnsi="黑体" w:eastAsia="黑体"/>
          <w:sz w:val="24"/>
          <w:szCs w:val="24"/>
          <w:highlight w:val="none"/>
        </w:rPr>
      </w:pPr>
    </w:p>
    <w:p>
      <w:pPr>
        <w:pStyle w:val="2"/>
        <w:rPr>
          <w:rFonts w:hint="eastAsia" w:ascii="黑体" w:hAnsi="黑体" w:eastAsia="黑体"/>
          <w:sz w:val="24"/>
          <w:szCs w:val="24"/>
          <w:highlight w:val="none"/>
        </w:rPr>
      </w:pPr>
    </w:p>
    <w:tbl>
      <w:tblPr>
        <w:tblStyle w:val="16"/>
        <w:tblW w:w="11125" w:type="dxa"/>
        <w:jc w:val="center"/>
        <w:tblLayout w:type="fixed"/>
        <w:tblCellMar>
          <w:top w:w="0" w:type="dxa"/>
          <w:left w:w="108" w:type="dxa"/>
          <w:bottom w:w="0" w:type="dxa"/>
          <w:right w:w="108" w:type="dxa"/>
        </w:tblCellMar>
      </w:tblPr>
      <w:tblGrid>
        <w:gridCol w:w="426"/>
        <w:gridCol w:w="1039"/>
        <w:gridCol w:w="1644"/>
        <w:gridCol w:w="1596"/>
        <w:gridCol w:w="1380"/>
        <w:gridCol w:w="432"/>
        <w:gridCol w:w="432"/>
        <w:gridCol w:w="960"/>
        <w:gridCol w:w="888"/>
        <w:gridCol w:w="825"/>
        <w:gridCol w:w="759"/>
        <w:gridCol w:w="744"/>
      </w:tblGrid>
      <w:tr>
        <w:tblPrEx>
          <w:tblCellMar>
            <w:top w:w="0" w:type="dxa"/>
            <w:left w:w="108" w:type="dxa"/>
            <w:bottom w:w="0" w:type="dxa"/>
            <w:right w:w="108" w:type="dxa"/>
          </w:tblCellMar>
        </w:tblPrEx>
        <w:trPr>
          <w:trHeight w:val="390" w:hRule="atLeast"/>
          <w:jc w:val="center"/>
        </w:trPr>
        <w:tc>
          <w:tcPr>
            <w:tcW w:w="11125"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kern w:val="0"/>
                <w:szCs w:val="21"/>
              </w:rPr>
            </w:pPr>
            <w:r>
              <w:rPr>
                <w:rFonts w:hint="eastAsia" w:ascii="宋体" w:hAnsi="宋体" w:cs="宋体"/>
                <w:b/>
                <w:kern w:val="0"/>
                <w:szCs w:val="21"/>
                <w:lang w:val="en-US" w:eastAsia="zh-CN"/>
              </w:rPr>
              <w:t>表一</w:t>
            </w:r>
            <w:r>
              <w:rPr>
                <w:rFonts w:hint="eastAsia" w:ascii="宋体" w:hAnsi="宋体" w:cs="宋体"/>
                <w:b/>
                <w:kern w:val="0"/>
                <w:szCs w:val="21"/>
              </w:rPr>
              <w:t>、液压拉伸器台账</w:t>
            </w:r>
            <w:r>
              <w:rPr>
                <w:rFonts w:hint="eastAsia" w:ascii="宋体" w:hAnsi="宋体" w:cs="宋体"/>
                <w:b/>
                <w:kern w:val="0"/>
                <w:szCs w:val="21"/>
                <w:lang w:eastAsia="zh-CN"/>
              </w:rPr>
              <w:t>（</w:t>
            </w:r>
            <w:r>
              <w:rPr>
                <w:rFonts w:hint="eastAsia" w:ascii="宋体" w:hAnsi="宋体" w:cs="宋体"/>
                <w:b/>
                <w:kern w:val="0"/>
                <w:szCs w:val="21"/>
                <w:lang w:val="en-US" w:eastAsia="zh-CN"/>
              </w:rPr>
              <w:t>更换整套拉伸器活塞密封件</w:t>
            </w:r>
            <w:r>
              <w:rPr>
                <w:rFonts w:hint="eastAsia" w:ascii="宋体" w:hAnsi="宋体" w:cs="宋体"/>
                <w:b/>
                <w:kern w:val="0"/>
                <w:szCs w:val="21"/>
                <w:lang w:eastAsia="zh-CN"/>
              </w:rPr>
              <w:t>）</w:t>
            </w:r>
          </w:p>
        </w:tc>
      </w:tr>
      <w:tr>
        <w:tblPrEx>
          <w:tblCellMar>
            <w:top w:w="0" w:type="dxa"/>
            <w:left w:w="108" w:type="dxa"/>
            <w:bottom w:w="0" w:type="dxa"/>
            <w:right w:w="108" w:type="dxa"/>
          </w:tblCellMar>
        </w:tblPrEx>
        <w:trPr>
          <w:trHeight w:val="390"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序号</w:t>
            </w:r>
          </w:p>
        </w:tc>
        <w:tc>
          <w:tcPr>
            <w:tcW w:w="103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品牌</w:t>
            </w:r>
          </w:p>
        </w:tc>
        <w:tc>
          <w:tcPr>
            <w:tcW w:w="164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油缸型号</w:t>
            </w:r>
          </w:p>
        </w:tc>
        <w:tc>
          <w:tcPr>
            <w:tcW w:w="159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螺纹套型号</w:t>
            </w:r>
          </w:p>
        </w:tc>
        <w:tc>
          <w:tcPr>
            <w:tcW w:w="138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螺纹套尺寸</w:t>
            </w:r>
          </w:p>
        </w:tc>
        <w:tc>
          <w:tcPr>
            <w:tcW w:w="43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单位</w:t>
            </w:r>
          </w:p>
        </w:tc>
        <w:tc>
          <w:tcPr>
            <w:tcW w:w="43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数量</w:t>
            </w:r>
          </w:p>
        </w:tc>
        <w:tc>
          <w:tcPr>
            <w:tcW w:w="96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压力等级</w:t>
            </w:r>
          </w:p>
        </w:tc>
        <w:tc>
          <w:tcPr>
            <w:tcW w:w="888"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接头螺纹</w:t>
            </w:r>
          </w:p>
        </w:tc>
        <w:tc>
          <w:tcPr>
            <w:tcW w:w="82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单价（元）</w:t>
            </w:r>
          </w:p>
        </w:tc>
        <w:tc>
          <w:tcPr>
            <w:tcW w:w="75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总价（元）</w:t>
            </w:r>
          </w:p>
        </w:tc>
        <w:tc>
          <w:tcPr>
            <w:tcW w:w="74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trHeight w:val="319" w:hRule="atLeast"/>
          <w:jc w:val="center"/>
        </w:trPr>
        <w:tc>
          <w:tcPr>
            <w:tcW w:w="426"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03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阿特拉斯</w:t>
            </w:r>
          </w:p>
          <w:p>
            <w:pPr>
              <w:widowControl/>
              <w:jc w:val="center"/>
              <w:rPr>
                <w:rFonts w:hint="eastAsia" w:ascii="宋体" w:hAnsi="宋体" w:cs="宋体"/>
                <w:kern w:val="0"/>
                <w:szCs w:val="21"/>
              </w:rPr>
            </w:pPr>
            <w:r>
              <w:rPr>
                <w:rFonts w:hint="eastAsia" w:ascii="宋体" w:hAnsi="宋体" w:cs="宋体"/>
                <w:kern w:val="0"/>
                <w:szCs w:val="21"/>
              </w:rPr>
              <w:t>（TENTEC）</w:t>
            </w:r>
          </w:p>
        </w:tc>
        <w:tc>
          <w:tcPr>
            <w:tcW w:w="164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HTT:5290.007A</w:t>
            </w:r>
          </w:p>
          <w:p>
            <w:pPr>
              <w:widowControl/>
              <w:jc w:val="center"/>
              <w:rPr>
                <w:rFonts w:hint="eastAsia" w:ascii="宋体" w:hAnsi="宋体" w:cs="宋体"/>
                <w:kern w:val="0"/>
                <w:szCs w:val="21"/>
              </w:rPr>
            </w:pPr>
            <w:r>
              <w:rPr>
                <w:rFonts w:hint="eastAsia" w:ascii="宋体" w:hAnsi="宋体" w:cs="宋体"/>
                <w:kern w:val="0"/>
                <w:szCs w:val="21"/>
              </w:rPr>
              <w:t>(21281)</w:t>
            </w:r>
          </w:p>
        </w:tc>
        <w:tc>
          <w:tcPr>
            <w:tcW w:w="159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HTT:5290.010A</w:t>
            </w:r>
          </w:p>
        </w:tc>
        <w:tc>
          <w:tcPr>
            <w:tcW w:w="13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2〞-8UN</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件</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960"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1500Bar</w:t>
            </w:r>
          </w:p>
        </w:tc>
        <w:tc>
          <w:tcPr>
            <w:tcW w:w="88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G1/4〞</w:t>
            </w:r>
          </w:p>
        </w:tc>
        <w:tc>
          <w:tcPr>
            <w:tcW w:w="82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759"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744"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19" w:hRule="atLeast"/>
          <w:jc w:val="center"/>
        </w:trPr>
        <w:tc>
          <w:tcPr>
            <w:tcW w:w="4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0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6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59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HTT:5290.011A</w:t>
            </w:r>
          </w:p>
        </w:tc>
        <w:tc>
          <w:tcPr>
            <w:tcW w:w="13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2-1/4〞-8UN</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件</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9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88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G1/4〞</w:t>
            </w:r>
          </w:p>
        </w:tc>
        <w:tc>
          <w:tcPr>
            <w:tcW w:w="82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759"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744"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19" w:hRule="atLeast"/>
          <w:jc w:val="center"/>
        </w:trPr>
        <w:tc>
          <w:tcPr>
            <w:tcW w:w="4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0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6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59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HTT:5290.000A</w:t>
            </w:r>
          </w:p>
        </w:tc>
        <w:tc>
          <w:tcPr>
            <w:tcW w:w="13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1-7/8〞-8UN</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件</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9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88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G1/4〞</w:t>
            </w:r>
          </w:p>
        </w:tc>
        <w:tc>
          <w:tcPr>
            <w:tcW w:w="82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759"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744"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19" w:hRule="atLeast"/>
          <w:jc w:val="center"/>
        </w:trPr>
        <w:tc>
          <w:tcPr>
            <w:tcW w:w="426"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0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64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HTT:5291.008A</w:t>
            </w:r>
          </w:p>
          <w:p>
            <w:pPr>
              <w:widowControl/>
              <w:jc w:val="center"/>
              <w:rPr>
                <w:rFonts w:hint="eastAsia" w:ascii="宋体" w:hAnsi="宋体" w:cs="宋体"/>
                <w:kern w:val="0"/>
                <w:szCs w:val="21"/>
              </w:rPr>
            </w:pPr>
            <w:r>
              <w:rPr>
                <w:rFonts w:hint="eastAsia" w:ascii="宋体" w:hAnsi="宋体" w:cs="宋体"/>
                <w:kern w:val="0"/>
                <w:szCs w:val="21"/>
              </w:rPr>
              <w:t>(21280)</w:t>
            </w:r>
          </w:p>
        </w:tc>
        <w:tc>
          <w:tcPr>
            <w:tcW w:w="159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HTT:5291.010A</w:t>
            </w:r>
          </w:p>
        </w:tc>
        <w:tc>
          <w:tcPr>
            <w:tcW w:w="13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1-7/8〞-8UN</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件</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960"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1500Bar</w:t>
            </w:r>
          </w:p>
        </w:tc>
        <w:tc>
          <w:tcPr>
            <w:tcW w:w="88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G1/4〞</w:t>
            </w:r>
          </w:p>
        </w:tc>
        <w:tc>
          <w:tcPr>
            <w:tcW w:w="82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759"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744"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19" w:hRule="atLeast"/>
          <w:jc w:val="center"/>
        </w:trPr>
        <w:tc>
          <w:tcPr>
            <w:tcW w:w="4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0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6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59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HTT:5291.011A</w:t>
            </w:r>
          </w:p>
        </w:tc>
        <w:tc>
          <w:tcPr>
            <w:tcW w:w="13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2〞-8UN</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件</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9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88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G1/4〞</w:t>
            </w:r>
          </w:p>
        </w:tc>
        <w:tc>
          <w:tcPr>
            <w:tcW w:w="82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759"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744"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19" w:hRule="atLeast"/>
          <w:jc w:val="center"/>
        </w:trPr>
        <w:tc>
          <w:tcPr>
            <w:tcW w:w="4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0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6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59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HTT:5291.012A</w:t>
            </w:r>
          </w:p>
        </w:tc>
        <w:tc>
          <w:tcPr>
            <w:tcW w:w="13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2-1/4〞-8UN</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件</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9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88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G1/4〞</w:t>
            </w:r>
          </w:p>
        </w:tc>
        <w:tc>
          <w:tcPr>
            <w:tcW w:w="82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759"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744"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19" w:hRule="atLeast"/>
          <w:jc w:val="center"/>
        </w:trPr>
        <w:tc>
          <w:tcPr>
            <w:tcW w:w="4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0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6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59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HTT:5291.013A</w:t>
            </w:r>
          </w:p>
        </w:tc>
        <w:tc>
          <w:tcPr>
            <w:tcW w:w="13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2-1/2〞-8UN</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件</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9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88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G1/4〞</w:t>
            </w:r>
          </w:p>
        </w:tc>
        <w:tc>
          <w:tcPr>
            <w:tcW w:w="82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759"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744"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19" w:hRule="atLeast"/>
          <w:jc w:val="center"/>
        </w:trPr>
        <w:tc>
          <w:tcPr>
            <w:tcW w:w="426"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0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644" w:type="dxa"/>
            <w:vMerge w:val="restart"/>
            <w:tcBorders>
              <w:top w:val="nil"/>
              <w:left w:val="nil"/>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HTT:529</w:t>
            </w:r>
            <w:r>
              <w:rPr>
                <w:rFonts w:hint="eastAsia" w:ascii="宋体" w:hAnsi="宋体" w:cs="宋体"/>
                <w:kern w:val="0"/>
                <w:szCs w:val="21"/>
                <w:lang w:val="en-US" w:eastAsia="zh-CN"/>
              </w:rPr>
              <w:t>3</w:t>
            </w:r>
            <w:r>
              <w:rPr>
                <w:rFonts w:hint="eastAsia" w:ascii="宋体" w:hAnsi="宋体" w:cs="宋体"/>
                <w:kern w:val="0"/>
                <w:szCs w:val="21"/>
              </w:rPr>
              <w:t>.004A</w:t>
            </w:r>
          </w:p>
          <w:p>
            <w:pPr>
              <w:widowControl/>
              <w:jc w:val="center"/>
              <w:rPr>
                <w:rFonts w:hint="eastAsia" w:ascii="宋体" w:hAnsi="宋体" w:cs="宋体"/>
                <w:kern w:val="0"/>
                <w:szCs w:val="21"/>
              </w:rPr>
            </w:pPr>
            <w:r>
              <w:rPr>
                <w:rFonts w:hint="eastAsia" w:ascii="宋体" w:hAnsi="宋体" w:cs="宋体"/>
                <w:kern w:val="0"/>
                <w:szCs w:val="21"/>
              </w:rPr>
              <w:t>HTT:529</w:t>
            </w:r>
            <w:r>
              <w:rPr>
                <w:rFonts w:hint="eastAsia" w:ascii="宋体" w:hAnsi="宋体" w:cs="宋体"/>
                <w:kern w:val="0"/>
                <w:szCs w:val="21"/>
                <w:lang w:val="en-US" w:eastAsia="zh-CN"/>
              </w:rPr>
              <w:t>3</w:t>
            </w:r>
            <w:r>
              <w:rPr>
                <w:rFonts w:hint="eastAsia" w:ascii="宋体" w:hAnsi="宋体" w:cs="宋体"/>
                <w:kern w:val="0"/>
                <w:szCs w:val="21"/>
              </w:rPr>
              <w:t>.008A</w:t>
            </w:r>
          </w:p>
          <w:p>
            <w:pPr>
              <w:widowControl/>
              <w:jc w:val="center"/>
              <w:rPr>
                <w:rFonts w:hint="eastAsia" w:ascii="宋体" w:hAnsi="宋体" w:cs="宋体"/>
                <w:kern w:val="0"/>
                <w:szCs w:val="21"/>
              </w:rPr>
            </w:pPr>
            <w:r>
              <w:rPr>
                <w:rFonts w:hint="eastAsia" w:ascii="宋体" w:hAnsi="宋体" w:cs="宋体"/>
                <w:kern w:val="0"/>
                <w:szCs w:val="21"/>
              </w:rPr>
              <w:t>(21281)</w:t>
            </w:r>
          </w:p>
        </w:tc>
        <w:tc>
          <w:tcPr>
            <w:tcW w:w="159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HTT:5293.010A</w:t>
            </w:r>
          </w:p>
        </w:tc>
        <w:tc>
          <w:tcPr>
            <w:tcW w:w="13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2-1/2〞-8UN</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件</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960"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1500Bar</w:t>
            </w:r>
          </w:p>
        </w:tc>
        <w:tc>
          <w:tcPr>
            <w:tcW w:w="88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G1/4〞</w:t>
            </w:r>
          </w:p>
        </w:tc>
        <w:tc>
          <w:tcPr>
            <w:tcW w:w="82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759"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744"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19" w:hRule="atLeast"/>
          <w:jc w:val="center"/>
        </w:trPr>
        <w:tc>
          <w:tcPr>
            <w:tcW w:w="4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0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644" w:type="dxa"/>
            <w:vMerge w:val="continue"/>
            <w:tcBorders>
              <w:left w:val="nil"/>
              <w:right w:val="single" w:color="auto" w:sz="4" w:space="0"/>
            </w:tcBorders>
            <w:noWrap w:val="0"/>
            <w:vAlign w:val="center"/>
          </w:tcPr>
          <w:p>
            <w:pPr>
              <w:widowControl/>
              <w:jc w:val="center"/>
              <w:rPr>
                <w:rFonts w:hint="eastAsia" w:ascii="宋体" w:hAnsi="宋体" w:cs="宋体"/>
                <w:kern w:val="0"/>
                <w:szCs w:val="21"/>
              </w:rPr>
            </w:pPr>
          </w:p>
        </w:tc>
        <w:tc>
          <w:tcPr>
            <w:tcW w:w="159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HTT:5293.012A</w:t>
            </w:r>
          </w:p>
        </w:tc>
        <w:tc>
          <w:tcPr>
            <w:tcW w:w="13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3〞-8UN</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件</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9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88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G1/4〞</w:t>
            </w:r>
          </w:p>
        </w:tc>
        <w:tc>
          <w:tcPr>
            <w:tcW w:w="82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759"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744"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19" w:hRule="atLeast"/>
          <w:jc w:val="center"/>
        </w:trPr>
        <w:tc>
          <w:tcPr>
            <w:tcW w:w="4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0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644" w:type="dxa"/>
            <w:vMerge w:val="continue"/>
            <w:tcBorders>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159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HTT:5293.013A</w:t>
            </w:r>
          </w:p>
        </w:tc>
        <w:tc>
          <w:tcPr>
            <w:tcW w:w="13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M76*3</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件</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9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88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G1/4〞</w:t>
            </w:r>
          </w:p>
        </w:tc>
        <w:tc>
          <w:tcPr>
            <w:tcW w:w="82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759"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744"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19" w:hRule="atLeast"/>
          <w:jc w:val="center"/>
        </w:trPr>
        <w:tc>
          <w:tcPr>
            <w:tcW w:w="426"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0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64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HTT:5306.006A</w:t>
            </w:r>
          </w:p>
          <w:p>
            <w:pPr>
              <w:widowControl/>
              <w:jc w:val="center"/>
              <w:rPr>
                <w:rFonts w:hint="eastAsia" w:ascii="宋体" w:hAnsi="宋体" w:cs="宋体"/>
                <w:kern w:val="0"/>
                <w:szCs w:val="21"/>
              </w:rPr>
            </w:pPr>
            <w:r>
              <w:rPr>
                <w:rFonts w:hint="eastAsia" w:ascii="宋体" w:hAnsi="宋体" w:cs="宋体"/>
                <w:kern w:val="0"/>
                <w:szCs w:val="21"/>
              </w:rPr>
              <w:t>(21281)</w:t>
            </w:r>
          </w:p>
        </w:tc>
        <w:tc>
          <w:tcPr>
            <w:tcW w:w="159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HTT:5306.008A</w:t>
            </w:r>
          </w:p>
        </w:tc>
        <w:tc>
          <w:tcPr>
            <w:tcW w:w="13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3-1/2〞-8UN</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件</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960"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1500Bar</w:t>
            </w:r>
          </w:p>
        </w:tc>
        <w:tc>
          <w:tcPr>
            <w:tcW w:w="88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G1/4〞</w:t>
            </w:r>
          </w:p>
        </w:tc>
        <w:tc>
          <w:tcPr>
            <w:tcW w:w="82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759"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744"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19" w:hRule="atLeast"/>
          <w:jc w:val="center"/>
        </w:trPr>
        <w:tc>
          <w:tcPr>
            <w:tcW w:w="4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0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6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59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HTT:5306.009A</w:t>
            </w:r>
          </w:p>
        </w:tc>
        <w:tc>
          <w:tcPr>
            <w:tcW w:w="13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3-3/4〞-8UN</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件</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9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88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G1/4〞</w:t>
            </w:r>
          </w:p>
        </w:tc>
        <w:tc>
          <w:tcPr>
            <w:tcW w:w="82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759"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744"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19" w:hRule="atLeast"/>
          <w:jc w:val="center"/>
        </w:trPr>
        <w:tc>
          <w:tcPr>
            <w:tcW w:w="4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0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6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59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HTT:5306.010A</w:t>
            </w:r>
          </w:p>
        </w:tc>
        <w:tc>
          <w:tcPr>
            <w:tcW w:w="13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4〞-8UN</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件</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9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88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G1/4〞</w:t>
            </w:r>
          </w:p>
        </w:tc>
        <w:tc>
          <w:tcPr>
            <w:tcW w:w="82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759"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744"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19" w:hRule="atLeast"/>
          <w:jc w:val="center"/>
        </w:trPr>
        <w:tc>
          <w:tcPr>
            <w:tcW w:w="4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0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6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59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HTT:5306.011A</w:t>
            </w:r>
          </w:p>
        </w:tc>
        <w:tc>
          <w:tcPr>
            <w:tcW w:w="13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3-1/2〞-8UN</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件</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9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88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G1/4〞</w:t>
            </w:r>
          </w:p>
        </w:tc>
        <w:tc>
          <w:tcPr>
            <w:tcW w:w="82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759"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744"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19" w:hRule="atLeast"/>
          <w:jc w:val="center"/>
        </w:trPr>
        <w:tc>
          <w:tcPr>
            <w:tcW w:w="426"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0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64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HTT:5310.003A</w:t>
            </w:r>
          </w:p>
          <w:p>
            <w:pPr>
              <w:widowControl/>
              <w:jc w:val="center"/>
              <w:rPr>
                <w:rFonts w:hint="eastAsia" w:ascii="宋体" w:hAnsi="宋体" w:cs="宋体"/>
                <w:kern w:val="0"/>
                <w:szCs w:val="21"/>
              </w:rPr>
            </w:pPr>
            <w:r>
              <w:rPr>
                <w:rFonts w:hint="eastAsia" w:ascii="宋体" w:hAnsi="宋体" w:cs="宋体"/>
                <w:kern w:val="0"/>
                <w:szCs w:val="21"/>
              </w:rPr>
              <w:t>(21281)</w:t>
            </w:r>
          </w:p>
        </w:tc>
        <w:tc>
          <w:tcPr>
            <w:tcW w:w="159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HTT:5310.005A</w:t>
            </w:r>
          </w:p>
        </w:tc>
        <w:tc>
          <w:tcPr>
            <w:tcW w:w="13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4-1/4〞-8UN</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件</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960"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1500Bar</w:t>
            </w:r>
          </w:p>
        </w:tc>
        <w:tc>
          <w:tcPr>
            <w:tcW w:w="88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G1/4〞</w:t>
            </w:r>
          </w:p>
        </w:tc>
        <w:tc>
          <w:tcPr>
            <w:tcW w:w="82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759"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744"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21281</w:t>
            </w:r>
          </w:p>
        </w:tc>
      </w:tr>
      <w:tr>
        <w:tblPrEx>
          <w:tblCellMar>
            <w:top w:w="0" w:type="dxa"/>
            <w:left w:w="108" w:type="dxa"/>
            <w:bottom w:w="0" w:type="dxa"/>
            <w:right w:w="108" w:type="dxa"/>
          </w:tblCellMar>
        </w:tblPrEx>
        <w:trPr>
          <w:trHeight w:val="319" w:hRule="atLeast"/>
          <w:jc w:val="center"/>
        </w:trPr>
        <w:tc>
          <w:tcPr>
            <w:tcW w:w="4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0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6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59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HTT:5310.005B</w:t>
            </w:r>
          </w:p>
        </w:tc>
        <w:tc>
          <w:tcPr>
            <w:tcW w:w="13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4-1/4〞-8UN</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件</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9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88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G1/4〞</w:t>
            </w:r>
          </w:p>
        </w:tc>
        <w:tc>
          <w:tcPr>
            <w:tcW w:w="82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759"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744"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31071</w:t>
            </w:r>
          </w:p>
        </w:tc>
      </w:tr>
      <w:tr>
        <w:tblPrEx>
          <w:tblCellMar>
            <w:top w:w="0" w:type="dxa"/>
            <w:left w:w="108" w:type="dxa"/>
            <w:bottom w:w="0" w:type="dxa"/>
            <w:right w:w="108" w:type="dxa"/>
          </w:tblCellMar>
        </w:tblPrEx>
        <w:trPr>
          <w:trHeight w:val="319" w:hRule="atLeast"/>
          <w:jc w:val="center"/>
        </w:trPr>
        <w:tc>
          <w:tcPr>
            <w:tcW w:w="42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6</w:t>
            </w:r>
          </w:p>
        </w:tc>
        <w:tc>
          <w:tcPr>
            <w:tcW w:w="10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6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HTT:1115.001A</w:t>
            </w:r>
          </w:p>
        </w:tc>
        <w:tc>
          <w:tcPr>
            <w:tcW w:w="159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HTT:1115.402A</w:t>
            </w:r>
          </w:p>
        </w:tc>
        <w:tc>
          <w:tcPr>
            <w:tcW w:w="13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M64*4</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件</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96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1500Bar</w:t>
            </w:r>
          </w:p>
        </w:tc>
        <w:tc>
          <w:tcPr>
            <w:tcW w:w="88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G1/4〞</w:t>
            </w:r>
          </w:p>
        </w:tc>
        <w:tc>
          <w:tcPr>
            <w:tcW w:w="82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759"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744"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19" w:hRule="atLeast"/>
          <w:jc w:val="center"/>
        </w:trPr>
        <w:tc>
          <w:tcPr>
            <w:tcW w:w="42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lang w:val="en-US" w:eastAsia="zh-CN" w:bidi="ar-SA"/>
              </w:rPr>
            </w:pPr>
            <w:r>
              <w:rPr>
                <w:rFonts w:ascii="宋体" w:hAnsi="宋体" w:cs="宋体"/>
                <w:kern w:val="0"/>
                <w:szCs w:val="21"/>
              </w:rPr>
              <w:t>7</w:t>
            </w:r>
          </w:p>
        </w:tc>
        <w:tc>
          <w:tcPr>
            <w:tcW w:w="10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6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ascii="宋体" w:hAnsi="宋体" w:cs="宋体"/>
                <w:kern w:val="0"/>
                <w:szCs w:val="21"/>
              </w:rPr>
              <w:t>HTT:9663.006A</w:t>
            </w:r>
          </w:p>
        </w:tc>
        <w:tc>
          <w:tcPr>
            <w:tcW w:w="159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13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M8</w:t>
            </w:r>
            <w:r>
              <w:rPr>
                <w:rFonts w:ascii="宋体" w:hAnsi="宋体" w:cs="宋体"/>
                <w:kern w:val="0"/>
                <w:szCs w:val="21"/>
              </w:rPr>
              <w:t>0</w:t>
            </w:r>
            <w:r>
              <w:rPr>
                <w:rFonts w:hint="eastAsia" w:ascii="宋体" w:hAnsi="宋体" w:cs="宋体"/>
                <w:kern w:val="0"/>
                <w:szCs w:val="21"/>
              </w:rPr>
              <w:t>*</w:t>
            </w:r>
            <w:r>
              <w:rPr>
                <w:rFonts w:ascii="宋体" w:hAnsi="宋体" w:cs="宋体"/>
                <w:kern w:val="0"/>
                <w:szCs w:val="21"/>
              </w:rPr>
              <w:t>4</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件</w:t>
            </w:r>
          </w:p>
        </w:tc>
        <w:tc>
          <w:tcPr>
            <w:tcW w:w="432"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12</w:t>
            </w:r>
          </w:p>
        </w:tc>
        <w:tc>
          <w:tcPr>
            <w:tcW w:w="96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1500Bar</w:t>
            </w:r>
          </w:p>
        </w:tc>
        <w:tc>
          <w:tcPr>
            <w:tcW w:w="88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G1/4〞</w:t>
            </w:r>
          </w:p>
        </w:tc>
        <w:tc>
          <w:tcPr>
            <w:tcW w:w="82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759"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744"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19" w:hRule="atLeast"/>
          <w:jc w:val="center"/>
        </w:trPr>
        <w:tc>
          <w:tcPr>
            <w:tcW w:w="42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8</w:t>
            </w:r>
          </w:p>
        </w:tc>
        <w:tc>
          <w:tcPr>
            <w:tcW w:w="10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highlight w:val="none"/>
              </w:rPr>
            </w:pPr>
          </w:p>
        </w:tc>
        <w:tc>
          <w:tcPr>
            <w:tcW w:w="1644"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95240(红)</w:t>
            </w:r>
          </w:p>
        </w:tc>
        <w:tc>
          <w:tcPr>
            <w:tcW w:w="159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c>
          <w:tcPr>
            <w:tcW w:w="13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M85*3</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件</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4</w:t>
            </w:r>
          </w:p>
        </w:tc>
        <w:tc>
          <w:tcPr>
            <w:tcW w:w="96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1500Bar</w:t>
            </w:r>
          </w:p>
        </w:tc>
        <w:tc>
          <w:tcPr>
            <w:tcW w:w="88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G1/4〞</w:t>
            </w:r>
          </w:p>
        </w:tc>
        <w:tc>
          <w:tcPr>
            <w:tcW w:w="82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p>
        </w:tc>
        <w:tc>
          <w:tcPr>
            <w:tcW w:w="759"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p>
        </w:tc>
        <w:tc>
          <w:tcPr>
            <w:tcW w:w="744"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r>
      <w:tr>
        <w:tblPrEx>
          <w:tblCellMar>
            <w:top w:w="0" w:type="dxa"/>
            <w:left w:w="108" w:type="dxa"/>
            <w:bottom w:w="0" w:type="dxa"/>
            <w:right w:w="108" w:type="dxa"/>
          </w:tblCellMar>
        </w:tblPrEx>
        <w:trPr>
          <w:trHeight w:val="319" w:hRule="atLeast"/>
          <w:jc w:val="center"/>
        </w:trPr>
        <w:tc>
          <w:tcPr>
            <w:tcW w:w="42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highlight w:val="none"/>
                <w:lang w:val="en-US" w:eastAsia="zh-CN" w:bidi="ar-SA"/>
              </w:rPr>
            </w:pPr>
            <w:r>
              <w:rPr>
                <w:rFonts w:ascii="宋体" w:hAnsi="宋体" w:cs="宋体"/>
                <w:kern w:val="0"/>
                <w:szCs w:val="21"/>
                <w:highlight w:val="none"/>
              </w:rPr>
              <w:t>9</w:t>
            </w:r>
          </w:p>
        </w:tc>
        <w:tc>
          <w:tcPr>
            <w:tcW w:w="10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highlight w:val="none"/>
              </w:rPr>
            </w:pPr>
          </w:p>
        </w:tc>
        <w:tc>
          <w:tcPr>
            <w:tcW w:w="1644"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94567(红)</w:t>
            </w:r>
          </w:p>
        </w:tc>
        <w:tc>
          <w:tcPr>
            <w:tcW w:w="159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c>
          <w:tcPr>
            <w:tcW w:w="13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M110*3</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件</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4</w:t>
            </w:r>
          </w:p>
        </w:tc>
        <w:tc>
          <w:tcPr>
            <w:tcW w:w="96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1500Bar</w:t>
            </w:r>
          </w:p>
        </w:tc>
        <w:tc>
          <w:tcPr>
            <w:tcW w:w="88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G1/4〞</w:t>
            </w:r>
          </w:p>
        </w:tc>
        <w:tc>
          <w:tcPr>
            <w:tcW w:w="82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FF0000"/>
                <w:kern w:val="0"/>
                <w:szCs w:val="21"/>
                <w:highlight w:val="none"/>
              </w:rPr>
            </w:pPr>
          </w:p>
        </w:tc>
        <w:tc>
          <w:tcPr>
            <w:tcW w:w="759"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FF0000"/>
                <w:kern w:val="0"/>
                <w:szCs w:val="21"/>
                <w:highlight w:val="none"/>
              </w:rPr>
            </w:pPr>
          </w:p>
        </w:tc>
        <w:tc>
          <w:tcPr>
            <w:tcW w:w="744"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FF0000"/>
                <w:kern w:val="0"/>
                <w:szCs w:val="21"/>
                <w:highlight w:val="none"/>
              </w:rPr>
            </w:pPr>
            <w:r>
              <w:rPr>
                <w:rFonts w:hint="eastAsia" w:ascii="宋体" w:hAnsi="宋体" w:cs="宋体"/>
                <w:color w:val="FF0000"/>
                <w:kern w:val="0"/>
                <w:szCs w:val="21"/>
                <w:highlight w:val="none"/>
              </w:rPr>
              <w:t>　</w:t>
            </w:r>
          </w:p>
        </w:tc>
      </w:tr>
      <w:tr>
        <w:tblPrEx>
          <w:tblCellMar>
            <w:top w:w="0" w:type="dxa"/>
            <w:left w:w="108" w:type="dxa"/>
            <w:bottom w:w="0" w:type="dxa"/>
            <w:right w:w="108" w:type="dxa"/>
          </w:tblCellMar>
        </w:tblPrEx>
        <w:trPr>
          <w:trHeight w:val="319" w:hRule="atLeast"/>
          <w:jc w:val="center"/>
        </w:trPr>
        <w:tc>
          <w:tcPr>
            <w:tcW w:w="42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Cs w:val="21"/>
                <w:highlight w:val="none"/>
              </w:rPr>
              <w:t>1</w:t>
            </w:r>
            <w:r>
              <w:rPr>
                <w:rFonts w:ascii="宋体" w:hAnsi="宋体" w:cs="宋体"/>
                <w:kern w:val="0"/>
                <w:szCs w:val="21"/>
                <w:highlight w:val="none"/>
              </w:rPr>
              <w:t>0</w:t>
            </w:r>
          </w:p>
        </w:tc>
        <w:tc>
          <w:tcPr>
            <w:tcW w:w="103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实用动力</w:t>
            </w:r>
          </w:p>
          <w:p>
            <w:pPr>
              <w:widowControl/>
              <w:jc w:val="center"/>
              <w:rPr>
                <w:rFonts w:hint="eastAsia" w:ascii="宋体" w:hAnsi="宋体" w:cs="宋体"/>
                <w:kern w:val="0"/>
                <w:szCs w:val="21"/>
                <w:highlight w:val="none"/>
              </w:rPr>
            </w:pPr>
            <w:r>
              <w:rPr>
                <w:rFonts w:hint="eastAsia" w:ascii="宋体" w:hAnsi="宋体" w:cs="宋体"/>
                <w:kern w:val="0"/>
                <w:szCs w:val="21"/>
                <w:highlight w:val="none"/>
              </w:rPr>
              <w:t>（海卓泰特）</w:t>
            </w:r>
          </w:p>
        </w:tc>
        <w:tc>
          <w:tcPr>
            <w:tcW w:w="1644"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HT1719</w:t>
            </w:r>
          </w:p>
        </w:tc>
        <w:tc>
          <w:tcPr>
            <w:tcW w:w="159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c>
          <w:tcPr>
            <w:tcW w:w="13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M85*3</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件</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4</w:t>
            </w:r>
          </w:p>
        </w:tc>
        <w:tc>
          <w:tcPr>
            <w:tcW w:w="96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1500Bar</w:t>
            </w:r>
          </w:p>
        </w:tc>
        <w:tc>
          <w:tcPr>
            <w:tcW w:w="88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G1/4〞</w:t>
            </w:r>
          </w:p>
        </w:tc>
        <w:tc>
          <w:tcPr>
            <w:tcW w:w="82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p>
        </w:tc>
        <w:tc>
          <w:tcPr>
            <w:tcW w:w="759"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p>
        </w:tc>
        <w:tc>
          <w:tcPr>
            <w:tcW w:w="744"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r>
      <w:tr>
        <w:tblPrEx>
          <w:tblCellMar>
            <w:top w:w="0" w:type="dxa"/>
            <w:left w:w="108" w:type="dxa"/>
            <w:bottom w:w="0" w:type="dxa"/>
            <w:right w:w="108" w:type="dxa"/>
          </w:tblCellMar>
        </w:tblPrEx>
        <w:trPr>
          <w:trHeight w:val="319" w:hRule="atLeast"/>
          <w:jc w:val="center"/>
        </w:trPr>
        <w:tc>
          <w:tcPr>
            <w:tcW w:w="42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Cs w:val="21"/>
                <w:highlight w:val="none"/>
              </w:rPr>
              <w:t>1</w:t>
            </w:r>
            <w:r>
              <w:rPr>
                <w:rFonts w:ascii="宋体" w:hAnsi="宋体" w:cs="宋体"/>
                <w:kern w:val="0"/>
                <w:szCs w:val="21"/>
                <w:highlight w:val="none"/>
              </w:rPr>
              <w:t>1</w:t>
            </w:r>
          </w:p>
        </w:tc>
        <w:tc>
          <w:tcPr>
            <w:tcW w:w="10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highlight w:val="none"/>
              </w:rPr>
            </w:pPr>
          </w:p>
        </w:tc>
        <w:tc>
          <w:tcPr>
            <w:tcW w:w="1644"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HT1716</w:t>
            </w:r>
          </w:p>
        </w:tc>
        <w:tc>
          <w:tcPr>
            <w:tcW w:w="159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c>
          <w:tcPr>
            <w:tcW w:w="13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M64*4</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件</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4</w:t>
            </w:r>
          </w:p>
        </w:tc>
        <w:tc>
          <w:tcPr>
            <w:tcW w:w="96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1500Bar</w:t>
            </w:r>
          </w:p>
        </w:tc>
        <w:tc>
          <w:tcPr>
            <w:tcW w:w="88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G1/4〞</w:t>
            </w:r>
          </w:p>
        </w:tc>
        <w:tc>
          <w:tcPr>
            <w:tcW w:w="82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p>
        </w:tc>
        <w:tc>
          <w:tcPr>
            <w:tcW w:w="759"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p>
        </w:tc>
        <w:tc>
          <w:tcPr>
            <w:tcW w:w="744"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r>
      <w:tr>
        <w:tblPrEx>
          <w:tblCellMar>
            <w:top w:w="0" w:type="dxa"/>
            <w:left w:w="108" w:type="dxa"/>
            <w:bottom w:w="0" w:type="dxa"/>
            <w:right w:w="108" w:type="dxa"/>
          </w:tblCellMar>
        </w:tblPrEx>
        <w:trPr>
          <w:trHeight w:val="319" w:hRule="atLeast"/>
          <w:jc w:val="center"/>
        </w:trPr>
        <w:tc>
          <w:tcPr>
            <w:tcW w:w="42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Cs w:val="21"/>
                <w:highlight w:val="none"/>
              </w:rPr>
              <w:t>1</w:t>
            </w:r>
            <w:r>
              <w:rPr>
                <w:rFonts w:ascii="宋体" w:hAnsi="宋体" w:cs="宋体"/>
                <w:kern w:val="0"/>
                <w:szCs w:val="21"/>
                <w:highlight w:val="none"/>
              </w:rPr>
              <w:t>2</w:t>
            </w:r>
          </w:p>
        </w:tc>
        <w:tc>
          <w:tcPr>
            <w:tcW w:w="10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highlight w:val="none"/>
              </w:rPr>
            </w:pPr>
          </w:p>
        </w:tc>
        <w:tc>
          <w:tcPr>
            <w:tcW w:w="1644"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HT6P2500</w:t>
            </w:r>
          </w:p>
        </w:tc>
        <w:tc>
          <w:tcPr>
            <w:tcW w:w="159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c>
          <w:tcPr>
            <w:tcW w:w="13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2-1/2〞-8UN</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件</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4</w:t>
            </w:r>
          </w:p>
        </w:tc>
        <w:tc>
          <w:tcPr>
            <w:tcW w:w="96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1500Bar</w:t>
            </w:r>
          </w:p>
        </w:tc>
        <w:tc>
          <w:tcPr>
            <w:tcW w:w="88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G1/4〞</w:t>
            </w:r>
          </w:p>
        </w:tc>
        <w:tc>
          <w:tcPr>
            <w:tcW w:w="82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p>
        </w:tc>
        <w:tc>
          <w:tcPr>
            <w:tcW w:w="759"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p>
        </w:tc>
        <w:tc>
          <w:tcPr>
            <w:tcW w:w="744"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r>
      <w:tr>
        <w:tblPrEx>
          <w:tblCellMar>
            <w:top w:w="0" w:type="dxa"/>
            <w:left w:w="108" w:type="dxa"/>
            <w:bottom w:w="0" w:type="dxa"/>
            <w:right w:w="108" w:type="dxa"/>
          </w:tblCellMar>
        </w:tblPrEx>
        <w:trPr>
          <w:trHeight w:val="319" w:hRule="atLeast"/>
          <w:jc w:val="center"/>
        </w:trPr>
        <w:tc>
          <w:tcPr>
            <w:tcW w:w="42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Cs w:val="21"/>
                <w:highlight w:val="none"/>
              </w:rPr>
              <w:t>1</w:t>
            </w:r>
            <w:r>
              <w:rPr>
                <w:rFonts w:ascii="宋体" w:hAnsi="宋体" w:cs="宋体"/>
                <w:kern w:val="0"/>
                <w:szCs w:val="21"/>
                <w:highlight w:val="none"/>
              </w:rPr>
              <w:t>3</w:t>
            </w:r>
          </w:p>
        </w:tc>
        <w:tc>
          <w:tcPr>
            <w:tcW w:w="10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highlight w:val="none"/>
              </w:rPr>
            </w:pPr>
          </w:p>
        </w:tc>
        <w:tc>
          <w:tcPr>
            <w:tcW w:w="1644"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HT8P3000</w:t>
            </w:r>
          </w:p>
        </w:tc>
        <w:tc>
          <w:tcPr>
            <w:tcW w:w="159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c>
          <w:tcPr>
            <w:tcW w:w="13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3〞-8UN</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件</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4</w:t>
            </w:r>
          </w:p>
        </w:tc>
        <w:tc>
          <w:tcPr>
            <w:tcW w:w="96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1500Bar</w:t>
            </w:r>
          </w:p>
        </w:tc>
        <w:tc>
          <w:tcPr>
            <w:tcW w:w="88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G1/4〞</w:t>
            </w:r>
          </w:p>
        </w:tc>
        <w:tc>
          <w:tcPr>
            <w:tcW w:w="82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p>
        </w:tc>
        <w:tc>
          <w:tcPr>
            <w:tcW w:w="759"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p>
        </w:tc>
        <w:tc>
          <w:tcPr>
            <w:tcW w:w="744"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r>
      <w:tr>
        <w:tblPrEx>
          <w:tblCellMar>
            <w:top w:w="0" w:type="dxa"/>
            <w:left w:w="108" w:type="dxa"/>
            <w:bottom w:w="0" w:type="dxa"/>
            <w:right w:w="108" w:type="dxa"/>
          </w:tblCellMar>
        </w:tblPrEx>
        <w:trPr>
          <w:trHeight w:val="319" w:hRule="atLeast"/>
          <w:jc w:val="center"/>
        </w:trPr>
        <w:tc>
          <w:tcPr>
            <w:tcW w:w="42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Cs w:val="21"/>
                <w:highlight w:val="none"/>
              </w:rPr>
              <w:t>1</w:t>
            </w:r>
            <w:r>
              <w:rPr>
                <w:rFonts w:ascii="宋体" w:hAnsi="宋体" w:cs="宋体"/>
                <w:kern w:val="0"/>
                <w:szCs w:val="21"/>
                <w:highlight w:val="none"/>
              </w:rPr>
              <w:t>4</w:t>
            </w:r>
          </w:p>
        </w:tc>
        <w:tc>
          <w:tcPr>
            <w:tcW w:w="10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highlight w:val="none"/>
              </w:rPr>
            </w:pPr>
          </w:p>
        </w:tc>
        <w:tc>
          <w:tcPr>
            <w:tcW w:w="1644"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HL85PUM09060</w:t>
            </w:r>
          </w:p>
        </w:tc>
        <w:tc>
          <w:tcPr>
            <w:tcW w:w="159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c>
          <w:tcPr>
            <w:tcW w:w="13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M90*6</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件</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7</w:t>
            </w:r>
          </w:p>
        </w:tc>
        <w:tc>
          <w:tcPr>
            <w:tcW w:w="96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1500Bar</w:t>
            </w:r>
          </w:p>
        </w:tc>
        <w:tc>
          <w:tcPr>
            <w:tcW w:w="88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G1/4〞</w:t>
            </w:r>
          </w:p>
        </w:tc>
        <w:tc>
          <w:tcPr>
            <w:tcW w:w="82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p>
        </w:tc>
        <w:tc>
          <w:tcPr>
            <w:tcW w:w="759"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p>
        </w:tc>
        <w:tc>
          <w:tcPr>
            <w:tcW w:w="744"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r>
      <w:tr>
        <w:tblPrEx>
          <w:tblCellMar>
            <w:top w:w="0" w:type="dxa"/>
            <w:left w:w="108" w:type="dxa"/>
            <w:bottom w:w="0" w:type="dxa"/>
            <w:right w:w="108" w:type="dxa"/>
          </w:tblCellMar>
        </w:tblPrEx>
        <w:trPr>
          <w:trHeight w:val="319" w:hRule="atLeast"/>
          <w:jc w:val="center"/>
        </w:trPr>
        <w:tc>
          <w:tcPr>
            <w:tcW w:w="42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Cs w:val="21"/>
                <w:highlight w:val="none"/>
              </w:rPr>
              <w:t>1</w:t>
            </w:r>
            <w:r>
              <w:rPr>
                <w:rFonts w:ascii="宋体" w:hAnsi="宋体" w:cs="宋体"/>
                <w:kern w:val="0"/>
                <w:szCs w:val="21"/>
                <w:highlight w:val="none"/>
              </w:rPr>
              <w:t>5</w:t>
            </w:r>
          </w:p>
        </w:tc>
        <w:tc>
          <w:tcPr>
            <w:tcW w:w="103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雷蒙赛博</w:t>
            </w:r>
          </w:p>
          <w:p>
            <w:pPr>
              <w:widowControl/>
              <w:jc w:val="center"/>
              <w:rPr>
                <w:rFonts w:hint="eastAsia" w:ascii="宋体" w:hAnsi="宋体" w:cs="宋体"/>
                <w:kern w:val="0"/>
                <w:szCs w:val="21"/>
                <w:highlight w:val="none"/>
              </w:rPr>
            </w:pPr>
            <w:r>
              <w:rPr>
                <w:rFonts w:hint="eastAsia" w:ascii="宋体" w:hAnsi="宋体" w:cs="宋体"/>
                <w:kern w:val="0"/>
                <w:szCs w:val="21"/>
                <w:highlight w:val="none"/>
              </w:rPr>
              <w:t>CBE</w:t>
            </w:r>
          </w:p>
        </w:tc>
        <w:tc>
          <w:tcPr>
            <w:tcW w:w="1644"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OCTST 4000T-250</w:t>
            </w:r>
          </w:p>
        </w:tc>
        <w:tc>
          <w:tcPr>
            <w:tcW w:w="159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c>
          <w:tcPr>
            <w:tcW w:w="13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4〞-8UN</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件</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4</w:t>
            </w:r>
          </w:p>
        </w:tc>
        <w:tc>
          <w:tcPr>
            <w:tcW w:w="96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2500Bar</w:t>
            </w:r>
          </w:p>
        </w:tc>
        <w:tc>
          <w:tcPr>
            <w:tcW w:w="88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G1/4〞</w:t>
            </w:r>
          </w:p>
        </w:tc>
        <w:tc>
          <w:tcPr>
            <w:tcW w:w="82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p>
        </w:tc>
        <w:tc>
          <w:tcPr>
            <w:tcW w:w="759"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p>
        </w:tc>
        <w:tc>
          <w:tcPr>
            <w:tcW w:w="744"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r>
      <w:tr>
        <w:tblPrEx>
          <w:tblCellMar>
            <w:top w:w="0" w:type="dxa"/>
            <w:left w:w="108" w:type="dxa"/>
            <w:bottom w:w="0" w:type="dxa"/>
            <w:right w:w="108" w:type="dxa"/>
          </w:tblCellMar>
        </w:tblPrEx>
        <w:trPr>
          <w:trHeight w:val="319" w:hRule="atLeast"/>
          <w:jc w:val="center"/>
        </w:trPr>
        <w:tc>
          <w:tcPr>
            <w:tcW w:w="42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Cs w:val="21"/>
                <w:highlight w:val="none"/>
              </w:rPr>
              <w:t>1</w:t>
            </w:r>
            <w:r>
              <w:rPr>
                <w:rFonts w:ascii="宋体" w:hAnsi="宋体" w:cs="宋体"/>
                <w:kern w:val="0"/>
                <w:szCs w:val="21"/>
                <w:highlight w:val="none"/>
              </w:rPr>
              <w:t>6</w:t>
            </w:r>
          </w:p>
        </w:tc>
        <w:tc>
          <w:tcPr>
            <w:tcW w:w="1039"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OJ</w:t>
            </w:r>
          </w:p>
        </w:tc>
        <w:tc>
          <w:tcPr>
            <w:tcW w:w="164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highlight w:val="none"/>
                <w:lang w:val="en-US" w:eastAsia="zh-CN" w:bidi="ar-SA"/>
              </w:rPr>
            </w:pPr>
          </w:p>
        </w:tc>
        <w:tc>
          <w:tcPr>
            <w:tcW w:w="159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c>
          <w:tcPr>
            <w:tcW w:w="13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M64*3</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件</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4</w:t>
            </w:r>
          </w:p>
        </w:tc>
        <w:tc>
          <w:tcPr>
            <w:tcW w:w="96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700Bar</w:t>
            </w:r>
          </w:p>
        </w:tc>
        <w:tc>
          <w:tcPr>
            <w:tcW w:w="88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Rc3/8〞</w:t>
            </w:r>
          </w:p>
        </w:tc>
        <w:tc>
          <w:tcPr>
            <w:tcW w:w="82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p>
        </w:tc>
        <w:tc>
          <w:tcPr>
            <w:tcW w:w="759"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p>
        </w:tc>
        <w:tc>
          <w:tcPr>
            <w:tcW w:w="744"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r>
      <w:tr>
        <w:tblPrEx>
          <w:tblCellMar>
            <w:top w:w="0" w:type="dxa"/>
            <w:left w:w="108" w:type="dxa"/>
            <w:bottom w:w="0" w:type="dxa"/>
            <w:right w:w="108" w:type="dxa"/>
          </w:tblCellMar>
        </w:tblPrEx>
        <w:trPr>
          <w:trHeight w:val="319" w:hRule="atLeast"/>
          <w:jc w:val="center"/>
        </w:trPr>
        <w:tc>
          <w:tcPr>
            <w:tcW w:w="42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Cs w:val="21"/>
                <w:highlight w:val="none"/>
              </w:rPr>
              <w:t>1</w:t>
            </w:r>
            <w:r>
              <w:rPr>
                <w:rFonts w:ascii="宋体" w:hAnsi="宋体" w:cs="宋体"/>
                <w:kern w:val="0"/>
                <w:szCs w:val="21"/>
                <w:highlight w:val="none"/>
              </w:rPr>
              <w:t>7</w:t>
            </w:r>
          </w:p>
        </w:tc>
        <w:tc>
          <w:tcPr>
            <w:tcW w:w="1039"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不详</w:t>
            </w:r>
          </w:p>
        </w:tc>
        <w:tc>
          <w:tcPr>
            <w:tcW w:w="1644"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152X30</w:t>
            </w:r>
          </w:p>
        </w:tc>
        <w:tc>
          <w:tcPr>
            <w:tcW w:w="159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c>
          <w:tcPr>
            <w:tcW w:w="13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M52*3</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件</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4</w:t>
            </w:r>
          </w:p>
        </w:tc>
        <w:tc>
          <w:tcPr>
            <w:tcW w:w="96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1500Bar</w:t>
            </w:r>
          </w:p>
        </w:tc>
        <w:tc>
          <w:tcPr>
            <w:tcW w:w="88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G1/4〞</w:t>
            </w:r>
          </w:p>
        </w:tc>
        <w:tc>
          <w:tcPr>
            <w:tcW w:w="82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p>
        </w:tc>
        <w:tc>
          <w:tcPr>
            <w:tcW w:w="759"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p>
        </w:tc>
        <w:tc>
          <w:tcPr>
            <w:tcW w:w="744"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　</w:t>
            </w:r>
          </w:p>
        </w:tc>
      </w:tr>
      <w:tr>
        <w:tblPrEx>
          <w:tblCellMar>
            <w:top w:w="0" w:type="dxa"/>
            <w:left w:w="108" w:type="dxa"/>
            <w:bottom w:w="0" w:type="dxa"/>
            <w:right w:w="108" w:type="dxa"/>
          </w:tblCellMar>
        </w:tblPrEx>
        <w:trPr>
          <w:trHeight w:val="319" w:hRule="atLeast"/>
          <w:jc w:val="center"/>
        </w:trPr>
        <w:tc>
          <w:tcPr>
            <w:tcW w:w="426" w:type="dxa"/>
            <w:tcBorders>
              <w:top w:val="nil"/>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kern w:val="0"/>
                <w:sz w:val="21"/>
                <w:szCs w:val="21"/>
                <w:highlight w:val="none"/>
                <w:lang w:val="en-US" w:eastAsia="zh-CN" w:bidi="ar-SA"/>
              </w:rPr>
            </w:pPr>
            <w:r>
              <w:rPr>
                <w:rFonts w:hint="eastAsia" w:ascii="宋体" w:hAnsi="宋体" w:cs="宋体"/>
                <w:kern w:val="0"/>
                <w:szCs w:val="21"/>
                <w:highlight w:val="none"/>
              </w:rPr>
              <w:t>1</w:t>
            </w:r>
            <w:r>
              <w:rPr>
                <w:rFonts w:ascii="宋体" w:hAnsi="宋体" w:cs="宋体"/>
                <w:kern w:val="0"/>
                <w:szCs w:val="21"/>
                <w:highlight w:val="none"/>
              </w:rPr>
              <w:t>8</w:t>
            </w:r>
          </w:p>
        </w:tc>
        <w:tc>
          <w:tcPr>
            <w:tcW w:w="1039"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BOLTIGHT</w:t>
            </w:r>
          </w:p>
        </w:tc>
        <w:tc>
          <w:tcPr>
            <w:tcW w:w="1644"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TDF-4000-08</w:t>
            </w:r>
          </w:p>
        </w:tc>
        <w:tc>
          <w:tcPr>
            <w:tcW w:w="159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p>
        </w:tc>
        <w:tc>
          <w:tcPr>
            <w:tcW w:w="13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4〞-8UN</w:t>
            </w:r>
          </w:p>
        </w:tc>
        <w:tc>
          <w:tcPr>
            <w:tcW w:w="432"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件</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4</w:t>
            </w:r>
          </w:p>
        </w:tc>
        <w:tc>
          <w:tcPr>
            <w:tcW w:w="960"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2500Bar</w:t>
            </w:r>
          </w:p>
        </w:tc>
        <w:tc>
          <w:tcPr>
            <w:tcW w:w="88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G1/4〞</w:t>
            </w:r>
          </w:p>
        </w:tc>
        <w:tc>
          <w:tcPr>
            <w:tcW w:w="82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p>
        </w:tc>
        <w:tc>
          <w:tcPr>
            <w:tcW w:w="759"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p>
        </w:tc>
        <w:tc>
          <w:tcPr>
            <w:tcW w:w="744"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p>
        </w:tc>
      </w:tr>
      <w:tr>
        <w:tblPrEx>
          <w:tblCellMar>
            <w:top w:w="0" w:type="dxa"/>
            <w:left w:w="108" w:type="dxa"/>
            <w:bottom w:w="0" w:type="dxa"/>
            <w:right w:w="108" w:type="dxa"/>
          </w:tblCellMar>
        </w:tblPrEx>
        <w:trPr>
          <w:trHeight w:val="319" w:hRule="atLeast"/>
          <w:jc w:val="center"/>
        </w:trPr>
        <w:tc>
          <w:tcPr>
            <w:tcW w:w="426" w:type="dxa"/>
            <w:tcBorders>
              <w:top w:val="nil"/>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19</w:t>
            </w:r>
          </w:p>
        </w:tc>
        <w:tc>
          <w:tcPr>
            <w:tcW w:w="1039"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lang w:val="en-US" w:eastAsia="zh-CN"/>
              </w:rPr>
              <w:t>BOLTIGHT</w:t>
            </w:r>
          </w:p>
        </w:tc>
        <w:tc>
          <w:tcPr>
            <w:tcW w:w="1644" w:type="dxa"/>
            <w:tcBorders>
              <w:top w:val="nil"/>
              <w:left w:val="nil"/>
              <w:bottom w:val="single" w:color="auto" w:sz="4" w:space="0"/>
              <w:right w:val="single" w:color="auto" w:sz="4" w:space="0"/>
            </w:tcBorders>
            <w:noWrap/>
            <w:vAlign w:val="center"/>
          </w:tcPr>
          <w:p>
            <w:pPr>
              <w:widowControl/>
              <w:jc w:val="center"/>
              <w:rPr>
                <w:rFonts w:hint="default" w:ascii="宋体" w:hAnsi="宋体" w:cs="宋体"/>
                <w:kern w:val="0"/>
                <w:szCs w:val="21"/>
                <w:highlight w:val="none"/>
                <w:lang w:val="en-US"/>
              </w:rPr>
            </w:pPr>
            <w:r>
              <w:rPr>
                <w:rFonts w:hint="eastAsia" w:ascii="宋体" w:hAnsi="宋体" w:cs="宋体"/>
                <w:kern w:val="0"/>
                <w:szCs w:val="21"/>
                <w:highlight w:val="none"/>
                <w:lang w:val="en-US" w:eastAsia="zh-CN"/>
              </w:rPr>
              <w:t>TDF-3500-06</w:t>
            </w:r>
          </w:p>
        </w:tc>
        <w:tc>
          <w:tcPr>
            <w:tcW w:w="159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p>
        </w:tc>
        <w:tc>
          <w:tcPr>
            <w:tcW w:w="13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4〞-8UN</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lang w:val="en-US" w:eastAsia="zh-CN"/>
              </w:rPr>
              <w:t>件</w:t>
            </w:r>
          </w:p>
        </w:tc>
        <w:tc>
          <w:tcPr>
            <w:tcW w:w="43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lang w:val="en-US" w:eastAsia="zh-CN"/>
              </w:rPr>
              <w:t>4</w:t>
            </w:r>
          </w:p>
        </w:tc>
        <w:tc>
          <w:tcPr>
            <w:tcW w:w="96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2500Bar</w:t>
            </w:r>
          </w:p>
        </w:tc>
        <w:tc>
          <w:tcPr>
            <w:tcW w:w="88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G1/4〞</w:t>
            </w:r>
          </w:p>
        </w:tc>
        <w:tc>
          <w:tcPr>
            <w:tcW w:w="82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p>
        </w:tc>
        <w:tc>
          <w:tcPr>
            <w:tcW w:w="759"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p>
        </w:tc>
        <w:tc>
          <w:tcPr>
            <w:tcW w:w="744"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p>
        </w:tc>
      </w:tr>
      <w:tr>
        <w:tblPrEx>
          <w:tblCellMar>
            <w:top w:w="0" w:type="dxa"/>
            <w:left w:w="108" w:type="dxa"/>
            <w:bottom w:w="0" w:type="dxa"/>
            <w:right w:w="108" w:type="dxa"/>
          </w:tblCellMar>
        </w:tblPrEx>
        <w:trPr>
          <w:trHeight w:val="679" w:hRule="atLeast"/>
          <w:jc w:val="center"/>
        </w:trPr>
        <w:tc>
          <w:tcPr>
            <w:tcW w:w="9622" w:type="dxa"/>
            <w:gridSpan w:val="10"/>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不含税合计：</w:t>
            </w:r>
          </w:p>
        </w:tc>
        <w:tc>
          <w:tcPr>
            <w:tcW w:w="75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lang w:val="en-US" w:eastAsia="zh-CN"/>
              </w:rPr>
            </w:pPr>
          </w:p>
        </w:tc>
        <w:tc>
          <w:tcPr>
            <w:tcW w:w="74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lang w:val="en-US" w:eastAsia="zh-CN"/>
              </w:rPr>
            </w:pPr>
          </w:p>
        </w:tc>
      </w:tr>
    </w:tbl>
    <w:p>
      <w:pPr>
        <w:pStyle w:val="2"/>
        <w:rPr>
          <w:rFonts w:hint="eastAsia" w:ascii="黑体" w:hAnsi="黑体" w:eastAsia="黑体"/>
          <w:sz w:val="24"/>
          <w:szCs w:val="24"/>
          <w:highlight w:val="none"/>
        </w:rPr>
      </w:pPr>
    </w:p>
    <w:p>
      <w:pPr>
        <w:pStyle w:val="2"/>
        <w:rPr>
          <w:rFonts w:hint="eastAsia" w:ascii="黑体" w:hAnsi="黑体" w:eastAsia="黑体"/>
          <w:sz w:val="24"/>
          <w:szCs w:val="24"/>
          <w:highlight w:val="none"/>
        </w:rPr>
      </w:pPr>
    </w:p>
    <w:tbl>
      <w:tblPr>
        <w:tblStyle w:val="16"/>
        <w:tblW w:w="9780" w:type="dxa"/>
        <w:tblInd w:w="-759" w:type="dxa"/>
        <w:tblLayout w:type="fixed"/>
        <w:tblCellMar>
          <w:top w:w="0" w:type="dxa"/>
          <w:left w:w="108" w:type="dxa"/>
          <w:bottom w:w="0" w:type="dxa"/>
          <w:right w:w="108" w:type="dxa"/>
        </w:tblCellMar>
      </w:tblPr>
      <w:tblGrid>
        <w:gridCol w:w="673"/>
        <w:gridCol w:w="1069"/>
        <w:gridCol w:w="1058"/>
        <w:gridCol w:w="1236"/>
        <w:gridCol w:w="2272"/>
        <w:gridCol w:w="573"/>
        <w:gridCol w:w="595"/>
        <w:gridCol w:w="1169"/>
        <w:gridCol w:w="1135"/>
      </w:tblGrid>
      <w:tr>
        <w:tblPrEx>
          <w:tblCellMar>
            <w:top w:w="0" w:type="dxa"/>
            <w:left w:w="108" w:type="dxa"/>
            <w:bottom w:w="0" w:type="dxa"/>
            <w:right w:w="108" w:type="dxa"/>
          </w:tblCellMar>
        </w:tblPrEx>
        <w:trPr>
          <w:trHeight w:val="970" w:hRule="atLeast"/>
        </w:trPr>
        <w:tc>
          <w:tcPr>
            <w:tcW w:w="9780" w:type="dxa"/>
            <w:gridSpan w:val="9"/>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Cs w:val="21"/>
              </w:rPr>
            </w:pPr>
            <w:r>
              <w:rPr>
                <w:rFonts w:hint="eastAsia" w:ascii="宋体" w:hAnsi="宋体" w:cs="宋体"/>
                <w:b/>
                <w:kern w:val="0"/>
                <w:szCs w:val="21"/>
                <w:lang w:val="en-US" w:eastAsia="zh-CN"/>
              </w:rPr>
              <w:t>表二</w:t>
            </w:r>
            <w:r>
              <w:rPr>
                <w:rFonts w:hint="eastAsia" w:ascii="宋体" w:hAnsi="宋体" w:cs="宋体"/>
                <w:b/>
                <w:kern w:val="0"/>
                <w:szCs w:val="21"/>
              </w:rPr>
              <w:t>、液压扳手</w:t>
            </w:r>
            <w:r>
              <w:rPr>
                <w:rFonts w:hint="eastAsia" w:ascii="宋体" w:hAnsi="宋体" w:cs="宋体"/>
                <w:b/>
                <w:kern w:val="0"/>
                <w:szCs w:val="21"/>
                <w:lang w:val="en-US" w:eastAsia="zh-CN"/>
              </w:rPr>
              <w:t>更换整套液压扳手活塞密封件</w:t>
            </w:r>
          </w:p>
        </w:tc>
      </w:tr>
      <w:tr>
        <w:tblPrEx>
          <w:tblCellMar>
            <w:top w:w="0" w:type="dxa"/>
            <w:left w:w="108" w:type="dxa"/>
            <w:bottom w:w="0" w:type="dxa"/>
            <w:right w:w="108" w:type="dxa"/>
          </w:tblCellMar>
        </w:tblPrEx>
        <w:trPr>
          <w:trHeight w:val="1059" w:hRule="atLeast"/>
        </w:trPr>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lang w:val="en-US" w:eastAsia="zh-CN"/>
              </w:rPr>
              <w:t>序</w:t>
            </w:r>
            <w:r>
              <w:rPr>
                <w:rFonts w:hint="eastAsia" w:ascii="宋体" w:hAnsi="宋体" w:cs="宋体"/>
                <w:kern w:val="0"/>
                <w:szCs w:val="21"/>
              </w:rPr>
              <w:t>号</w:t>
            </w:r>
          </w:p>
        </w:tc>
        <w:tc>
          <w:tcPr>
            <w:tcW w:w="106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品牌</w:t>
            </w:r>
          </w:p>
        </w:tc>
        <w:tc>
          <w:tcPr>
            <w:tcW w:w="1058"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产品型号</w:t>
            </w: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扭矩范围</w:t>
            </w:r>
          </w:p>
        </w:tc>
        <w:tc>
          <w:tcPr>
            <w:tcW w:w="22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方头尺寸/工作头对边</w:t>
            </w:r>
          </w:p>
        </w:tc>
        <w:tc>
          <w:tcPr>
            <w:tcW w:w="57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单位</w:t>
            </w:r>
          </w:p>
        </w:tc>
        <w:tc>
          <w:tcPr>
            <w:tcW w:w="59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数量</w:t>
            </w:r>
          </w:p>
        </w:tc>
        <w:tc>
          <w:tcPr>
            <w:tcW w:w="116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lang w:val="en-US" w:eastAsia="zh-CN"/>
              </w:rPr>
              <w:t>单价（元）</w:t>
            </w:r>
          </w:p>
        </w:tc>
        <w:tc>
          <w:tcPr>
            <w:tcW w:w="113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lang w:val="en-US" w:eastAsia="zh-CN"/>
              </w:rPr>
              <w:t>总价（元）</w:t>
            </w:r>
          </w:p>
        </w:tc>
      </w:tr>
      <w:tr>
        <w:tblPrEx>
          <w:tblCellMar>
            <w:top w:w="0" w:type="dxa"/>
            <w:left w:w="108" w:type="dxa"/>
            <w:bottom w:w="0" w:type="dxa"/>
            <w:right w:w="108" w:type="dxa"/>
          </w:tblCellMar>
        </w:tblPrEx>
        <w:trPr>
          <w:trHeight w:val="555"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069"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雷蒙赛博</w:t>
            </w:r>
          </w:p>
          <w:p>
            <w:pPr>
              <w:widowControl/>
              <w:jc w:val="center"/>
              <w:rPr>
                <w:rFonts w:hint="eastAsia" w:ascii="宋体" w:hAnsi="宋体" w:cs="宋体"/>
                <w:kern w:val="0"/>
                <w:szCs w:val="21"/>
              </w:rPr>
            </w:pPr>
            <w:r>
              <w:rPr>
                <w:rFonts w:hint="eastAsia" w:ascii="宋体" w:hAnsi="宋体" w:cs="宋体"/>
                <w:kern w:val="0"/>
                <w:szCs w:val="21"/>
              </w:rPr>
              <w:t>CBE</w:t>
            </w:r>
          </w:p>
        </w:tc>
        <w:tc>
          <w:tcPr>
            <w:tcW w:w="105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LT-7</w:t>
            </w:r>
          </w:p>
        </w:tc>
        <w:tc>
          <w:tcPr>
            <w:tcW w:w="123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27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1-1/2〞</w:t>
            </w:r>
          </w:p>
        </w:tc>
        <w:tc>
          <w:tcPr>
            <w:tcW w:w="573"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台</w:t>
            </w:r>
          </w:p>
        </w:tc>
        <w:tc>
          <w:tcPr>
            <w:tcW w:w="59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16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113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543"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0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05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TMNS-3</w:t>
            </w:r>
          </w:p>
        </w:tc>
        <w:tc>
          <w:tcPr>
            <w:tcW w:w="123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4392NM</w:t>
            </w:r>
          </w:p>
        </w:tc>
        <w:tc>
          <w:tcPr>
            <w:tcW w:w="227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573" w:type="dxa"/>
            <w:tcBorders>
              <w:top w:val="nil"/>
              <w:left w:val="nil"/>
              <w:bottom w:val="single" w:color="auto" w:sz="4" w:space="0"/>
              <w:right w:val="single" w:color="auto" w:sz="4" w:space="0"/>
            </w:tcBorders>
            <w:noWrap/>
            <w:vAlign w:val="top"/>
          </w:tcPr>
          <w:p>
            <w:r>
              <w:rPr>
                <w:rFonts w:hint="eastAsia" w:ascii="宋体" w:hAnsi="宋体" w:cs="宋体"/>
                <w:kern w:val="0"/>
                <w:szCs w:val="21"/>
              </w:rPr>
              <w:t>台</w:t>
            </w:r>
          </w:p>
        </w:tc>
        <w:tc>
          <w:tcPr>
            <w:tcW w:w="59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169"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572"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0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05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TMNS-8</w:t>
            </w:r>
          </w:p>
        </w:tc>
        <w:tc>
          <w:tcPr>
            <w:tcW w:w="123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10823NM</w:t>
            </w:r>
          </w:p>
        </w:tc>
        <w:tc>
          <w:tcPr>
            <w:tcW w:w="227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1-1/2〞</w:t>
            </w:r>
          </w:p>
        </w:tc>
        <w:tc>
          <w:tcPr>
            <w:tcW w:w="573" w:type="dxa"/>
            <w:tcBorders>
              <w:top w:val="nil"/>
              <w:left w:val="nil"/>
              <w:bottom w:val="single" w:color="auto" w:sz="4" w:space="0"/>
              <w:right w:val="single" w:color="auto" w:sz="4" w:space="0"/>
            </w:tcBorders>
            <w:noWrap/>
            <w:vAlign w:val="top"/>
          </w:tcPr>
          <w:p>
            <w:r>
              <w:rPr>
                <w:rFonts w:hint="eastAsia" w:ascii="宋体" w:hAnsi="宋体" w:cs="宋体"/>
                <w:kern w:val="0"/>
                <w:szCs w:val="21"/>
              </w:rPr>
              <w:t>台</w:t>
            </w:r>
          </w:p>
        </w:tc>
        <w:tc>
          <w:tcPr>
            <w:tcW w:w="59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16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113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543"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0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05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TMNS-15</w:t>
            </w:r>
          </w:p>
        </w:tc>
        <w:tc>
          <w:tcPr>
            <w:tcW w:w="123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21034NM</w:t>
            </w:r>
          </w:p>
        </w:tc>
        <w:tc>
          <w:tcPr>
            <w:tcW w:w="227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2-1/2〞</w:t>
            </w:r>
          </w:p>
        </w:tc>
        <w:tc>
          <w:tcPr>
            <w:tcW w:w="573" w:type="dxa"/>
            <w:tcBorders>
              <w:top w:val="nil"/>
              <w:left w:val="nil"/>
              <w:bottom w:val="single" w:color="auto" w:sz="4" w:space="0"/>
              <w:right w:val="single" w:color="auto" w:sz="4" w:space="0"/>
            </w:tcBorders>
            <w:noWrap/>
            <w:vAlign w:val="top"/>
          </w:tcPr>
          <w:p>
            <w:r>
              <w:rPr>
                <w:rFonts w:hint="eastAsia" w:ascii="宋体" w:hAnsi="宋体" w:cs="宋体"/>
                <w:kern w:val="0"/>
                <w:szCs w:val="21"/>
              </w:rPr>
              <w:t>台</w:t>
            </w:r>
          </w:p>
        </w:tc>
        <w:tc>
          <w:tcPr>
            <w:tcW w:w="59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169"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543"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0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05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TMCS-15</w:t>
            </w:r>
          </w:p>
        </w:tc>
        <w:tc>
          <w:tcPr>
            <w:tcW w:w="123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21034NM</w:t>
            </w:r>
          </w:p>
        </w:tc>
        <w:tc>
          <w:tcPr>
            <w:tcW w:w="227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2-1/2〞</w:t>
            </w:r>
          </w:p>
        </w:tc>
        <w:tc>
          <w:tcPr>
            <w:tcW w:w="573" w:type="dxa"/>
            <w:tcBorders>
              <w:top w:val="nil"/>
              <w:left w:val="nil"/>
              <w:bottom w:val="single" w:color="auto" w:sz="4" w:space="0"/>
              <w:right w:val="single" w:color="auto" w:sz="4" w:space="0"/>
            </w:tcBorders>
            <w:noWrap/>
            <w:vAlign w:val="top"/>
          </w:tcPr>
          <w:p>
            <w:r>
              <w:rPr>
                <w:rFonts w:hint="eastAsia" w:ascii="宋体" w:hAnsi="宋体" w:cs="宋体"/>
                <w:kern w:val="0"/>
                <w:szCs w:val="21"/>
              </w:rPr>
              <w:t>台</w:t>
            </w:r>
          </w:p>
        </w:tc>
        <w:tc>
          <w:tcPr>
            <w:tcW w:w="59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169"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543"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10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05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TMCS-25</w:t>
            </w:r>
          </w:p>
        </w:tc>
        <w:tc>
          <w:tcPr>
            <w:tcW w:w="123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36365NM</w:t>
            </w:r>
          </w:p>
        </w:tc>
        <w:tc>
          <w:tcPr>
            <w:tcW w:w="227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2-1/2〞</w:t>
            </w:r>
          </w:p>
        </w:tc>
        <w:tc>
          <w:tcPr>
            <w:tcW w:w="573" w:type="dxa"/>
            <w:tcBorders>
              <w:top w:val="nil"/>
              <w:left w:val="nil"/>
              <w:bottom w:val="single" w:color="auto" w:sz="4" w:space="0"/>
              <w:right w:val="single" w:color="auto" w:sz="4" w:space="0"/>
            </w:tcBorders>
            <w:noWrap/>
            <w:vAlign w:val="top"/>
          </w:tcPr>
          <w:p>
            <w:r>
              <w:rPr>
                <w:rFonts w:hint="eastAsia" w:ascii="宋体" w:hAnsi="宋体" w:cs="宋体"/>
                <w:kern w:val="0"/>
                <w:szCs w:val="21"/>
              </w:rPr>
              <w:t>台</w:t>
            </w:r>
          </w:p>
        </w:tc>
        <w:tc>
          <w:tcPr>
            <w:tcW w:w="59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169"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555"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1069"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阿特拉斯</w:t>
            </w:r>
          </w:p>
          <w:p>
            <w:pPr>
              <w:widowControl/>
              <w:jc w:val="center"/>
              <w:rPr>
                <w:rFonts w:hint="eastAsia" w:ascii="宋体" w:hAnsi="宋体" w:cs="宋体"/>
                <w:kern w:val="0"/>
                <w:szCs w:val="21"/>
              </w:rPr>
            </w:pPr>
            <w:r>
              <w:rPr>
                <w:rFonts w:hint="eastAsia" w:ascii="宋体" w:hAnsi="宋体" w:cs="宋体"/>
                <w:i w:val="0"/>
                <w:iCs w:val="0"/>
                <w:color w:val="000000"/>
                <w:kern w:val="0"/>
                <w:sz w:val="24"/>
                <w:szCs w:val="24"/>
                <w:highlight w:val="none"/>
                <w:u w:val="none"/>
                <w:lang w:val="en-US" w:eastAsia="zh-CN" w:bidi="ar"/>
              </w:rPr>
              <w:t>Atlas</w:t>
            </w:r>
          </w:p>
        </w:tc>
        <w:tc>
          <w:tcPr>
            <w:tcW w:w="105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RTX-08</w:t>
            </w:r>
          </w:p>
        </w:tc>
        <w:tc>
          <w:tcPr>
            <w:tcW w:w="123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11051NM</w:t>
            </w:r>
          </w:p>
        </w:tc>
        <w:tc>
          <w:tcPr>
            <w:tcW w:w="227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S75/80/80/90</w:t>
            </w:r>
          </w:p>
        </w:tc>
        <w:tc>
          <w:tcPr>
            <w:tcW w:w="573" w:type="dxa"/>
            <w:tcBorders>
              <w:top w:val="nil"/>
              <w:left w:val="nil"/>
              <w:bottom w:val="single" w:color="auto" w:sz="4" w:space="0"/>
              <w:right w:val="single" w:color="auto" w:sz="4" w:space="0"/>
            </w:tcBorders>
            <w:noWrap/>
            <w:vAlign w:val="top"/>
          </w:tcPr>
          <w:p>
            <w:r>
              <w:rPr>
                <w:rFonts w:hint="eastAsia" w:ascii="宋体" w:hAnsi="宋体" w:cs="宋体"/>
                <w:kern w:val="0"/>
                <w:szCs w:val="21"/>
              </w:rPr>
              <w:t>台</w:t>
            </w:r>
          </w:p>
        </w:tc>
        <w:tc>
          <w:tcPr>
            <w:tcW w:w="59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16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113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543"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10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05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RL-08</w:t>
            </w:r>
          </w:p>
        </w:tc>
        <w:tc>
          <w:tcPr>
            <w:tcW w:w="123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11049NM</w:t>
            </w:r>
          </w:p>
        </w:tc>
        <w:tc>
          <w:tcPr>
            <w:tcW w:w="227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S85</w:t>
            </w:r>
          </w:p>
        </w:tc>
        <w:tc>
          <w:tcPr>
            <w:tcW w:w="573" w:type="dxa"/>
            <w:tcBorders>
              <w:top w:val="nil"/>
              <w:left w:val="nil"/>
              <w:bottom w:val="single" w:color="auto" w:sz="4" w:space="0"/>
              <w:right w:val="single" w:color="auto" w:sz="4" w:space="0"/>
            </w:tcBorders>
            <w:noWrap/>
            <w:vAlign w:val="top"/>
          </w:tcPr>
          <w:p>
            <w:r>
              <w:rPr>
                <w:rFonts w:hint="eastAsia" w:ascii="宋体" w:hAnsi="宋体" w:cs="宋体"/>
                <w:kern w:val="0"/>
                <w:szCs w:val="21"/>
              </w:rPr>
              <w:t>台</w:t>
            </w:r>
          </w:p>
        </w:tc>
        <w:tc>
          <w:tcPr>
            <w:tcW w:w="59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169"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543"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10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05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TX-32</w:t>
            </w:r>
          </w:p>
        </w:tc>
        <w:tc>
          <w:tcPr>
            <w:tcW w:w="123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43108NM</w:t>
            </w:r>
          </w:p>
        </w:tc>
        <w:tc>
          <w:tcPr>
            <w:tcW w:w="227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S115</w:t>
            </w:r>
          </w:p>
        </w:tc>
        <w:tc>
          <w:tcPr>
            <w:tcW w:w="573" w:type="dxa"/>
            <w:tcBorders>
              <w:top w:val="nil"/>
              <w:left w:val="nil"/>
              <w:bottom w:val="single" w:color="auto" w:sz="4" w:space="0"/>
              <w:right w:val="single" w:color="auto" w:sz="4" w:space="0"/>
            </w:tcBorders>
            <w:noWrap/>
            <w:vAlign w:val="top"/>
          </w:tcPr>
          <w:p>
            <w:r>
              <w:rPr>
                <w:rFonts w:hint="eastAsia" w:ascii="宋体" w:hAnsi="宋体" w:cs="宋体"/>
                <w:kern w:val="0"/>
                <w:szCs w:val="21"/>
              </w:rPr>
              <w:t>台</w:t>
            </w:r>
          </w:p>
        </w:tc>
        <w:tc>
          <w:tcPr>
            <w:tcW w:w="59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169"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543"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10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05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TX-32</w:t>
            </w:r>
          </w:p>
        </w:tc>
        <w:tc>
          <w:tcPr>
            <w:tcW w:w="123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43108NM</w:t>
            </w:r>
          </w:p>
        </w:tc>
        <w:tc>
          <w:tcPr>
            <w:tcW w:w="227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S135</w:t>
            </w:r>
          </w:p>
        </w:tc>
        <w:tc>
          <w:tcPr>
            <w:tcW w:w="573" w:type="dxa"/>
            <w:tcBorders>
              <w:top w:val="nil"/>
              <w:left w:val="nil"/>
              <w:bottom w:val="single" w:color="auto" w:sz="4" w:space="0"/>
              <w:right w:val="single" w:color="auto" w:sz="4" w:space="0"/>
            </w:tcBorders>
            <w:noWrap/>
            <w:vAlign w:val="top"/>
          </w:tcPr>
          <w:p>
            <w:r>
              <w:rPr>
                <w:rFonts w:hint="eastAsia" w:ascii="宋体" w:hAnsi="宋体" w:cs="宋体"/>
                <w:kern w:val="0"/>
                <w:szCs w:val="21"/>
              </w:rPr>
              <w:t>台</w:t>
            </w:r>
          </w:p>
        </w:tc>
        <w:tc>
          <w:tcPr>
            <w:tcW w:w="59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169"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543"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10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05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RT-50</w:t>
            </w:r>
          </w:p>
        </w:tc>
        <w:tc>
          <w:tcPr>
            <w:tcW w:w="123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71169NM</w:t>
            </w:r>
          </w:p>
        </w:tc>
        <w:tc>
          <w:tcPr>
            <w:tcW w:w="227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2-1/2〞</w:t>
            </w:r>
          </w:p>
        </w:tc>
        <w:tc>
          <w:tcPr>
            <w:tcW w:w="573" w:type="dxa"/>
            <w:tcBorders>
              <w:top w:val="nil"/>
              <w:left w:val="nil"/>
              <w:bottom w:val="single" w:color="auto" w:sz="4" w:space="0"/>
              <w:right w:val="single" w:color="auto" w:sz="4" w:space="0"/>
            </w:tcBorders>
            <w:noWrap/>
            <w:vAlign w:val="top"/>
          </w:tcPr>
          <w:p>
            <w:r>
              <w:rPr>
                <w:rFonts w:hint="eastAsia" w:ascii="宋体" w:hAnsi="宋体" w:cs="宋体"/>
                <w:kern w:val="0"/>
                <w:szCs w:val="21"/>
              </w:rPr>
              <w:t>台</w:t>
            </w:r>
          </w:p>
        </w:tc>
        <w:tc>
          <w:tcPr>
            <w:tcW w:w="59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169"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543"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12</w:t>
            </w:r>
          </w:p>
        </w:tc>
        <w:tc>
          <w:tcPr>
            <w:tcW w:w="1069"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HYTORC</w:t>
            </w:r>
          </w:p>
        </w:tc>
        <w:tc>
          <w:tcPr>
            <w:tcW w:w="105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XLCT-18</w:t>
            </w:r>
          </w:p>
        </w:tc>
        <w:tc>
          <w:tcPr>
            <w:tcW w:w="123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19100NM</w:t>
            </w:r>
          </w:p>
        </w:tc>
        <w:tc>
          <w:tcPr>
            <w:tcW w:w="227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S115/S125</w:t>
            </w:r>
          </w:p>
        </w:tc>
        <w:tc>
          <w:tcPr>
            <w:tcW w:w="573" w:type="dxa"/>
            <w:tcBorders>
              <w:top w:val="nil"/>
              <w:left w:val="nil"/>
              <w:bottom w:val="single" w:color="auto" w:sz="4" w:space="0"/>
              <w:right w:val="single" w:color="auto" w:sz="4" w:space="0"/>
            </w:tcBorders>
            <w:noWrap/>
            <w:vAlign w:val="top"/>
          </w:tcPr>
          <w:p>
            <w:r>
              <w:rPr>
                <w:rFonts w:hint="eastAsia" w:ascii="宋体" w:hAnsi="宋体" w:cs="宋体"/>
                <w:kern w:val="0"/>
                <w:szCs w:val="21"/>
              </w:rPr>
              <w:t>台</w:t>
            </w:r>
          </w:p>
        </w:tc>
        <w:tc>
          <w:tcPr>
            <w:tcW w:w="59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169"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543"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13</w:t>
            </w:r>
          </w:p>
        </w:tc>
        <w:tc>
          <w:tcPr>
            <w:tcW w:w="1069"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TITAN</w:t>
            </w:r>
          </w:p>
        </w:tc>
        <w:tc>
          <w:tcPr>
            <w:tcW w:w="105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T-5</w:t>
            </w:r>
          </w:p>
        </w:tc>
        <w:tc>
          <w:tcPr>
            <w:tcW w:w="123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7182NM</w:t>
            </w:r>
          </w:p>
        </w:tc>
        <w:tc>
          <w:tcPr>
            <w:tcW w:w="227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1-1/2〞</w:t>
            </w:r>
          </w:p>
        </w:tc>
        <w:tc>
          <w:tcPr>
            <w:tcW w:w="573" w:type="dxa"/>
            <w:tcBorders>
              <w:top w:val="nil"/>
              <w:left w:val="nil"/>
              <w:bottom w:val="single" w:color="auto" w:sz="4" w:space="0"/>
              <w:right w:val="single" w:color="auto" w:sz="4" w:space="0"/>
            </w:tcBorders>
            <w:noWrap/>
            <w:vAlign w:val="top"/>
          </w:tcPr>
          <w:p>
            <w:r>
              <w:rPr>
                <w:rFonts w:hint="eastAsia" w:ascii="宋体" w:hAnsi="宋体" w:cs="宋体"/>
                <w:kern w:val="0"/>
                <w:szCs w:val="21"/>
              </w:rPr>
              <w:t>台</w:t>
            </w:r>
          </w:p>
        </w:tc>
        <w:tc>
          <w:tcPr>
            <w:tcW w:w="59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169"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543"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14</w:t>
            </w:r>
          </w:p>
        </w:tc>
        <w:tc>
          <w:tcPr>
            <w:tcW w:w="10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05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T-8</w:t>
            </w:r>
          </w:p>
        </w:tc>
        <w:tc>
          <w:tcPr>
            <w:tcW w:w="123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10593NM</w:t>
            </w:r>
          </w:p>
        </w:tc>
        <w:tc>
          <w:tcPr>
            <w:tcW w:w="227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1-1/2〞</w:t>
            </w:r>
          </w:p>
        </w:tc>
        <w:tc>
          <w:tcPr>
            <w:tcW w:w="573" w:type="dxa"/>
            <w:tcBorders>
              <w:top w:val="nil"/>
              <w:left w:val="nil"/>
              <w:bottom w:val="single" w:color="auto" w:sz="4" w:space="0"/>
              <w:right w:val="single" w:color="auto" w:sz="4" w:space="0"/>
            </w:tcBorders>
            <w:noWrap/>
            <w:vAlign w:val="top"/>
          </w:tcPr>
          <w:p>
            <w:r>
              <w:rPr>
                <w:rFonts w:hint="eastAsia" w:ascii="宋体" w:hAnsi="宋体" w:cs="宋体"/>
                <w:kern w:val="0"/>
                <w:szCs w:val="21"/>
              </w:rPr>
              <w:t>台</w:t>
            </w:r>
          </w:p>
        </w:tc>
        <w:tc>
          <w:tcPr>
            <w:tcW w:w="59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169"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11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543" w:hRule="atLeast"/>
        </w:trPr>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15</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highlight w:val="none"/>
                <w:lang w:val="en-US" w:eastAsia="zh-CN"/>
              </w:rPr>
              <w:t>BOLTIGHT</w:t>
            </w:r>
          </w:p>
        </w:tc>
        <w:tc>
          <w:tcPr>
            <w:tcW w:w="105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15MXT</w:t>
            </w:r>
          </w:p>
        </w:tc>
        <w:tc>
          <w:tcPr>
            <w:tcW w:w="12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20108</w:t>
            </w:r>
          </w:p>
        </w:tc>
        <w:tc>
          <w:tcPr>
            <w:tcW w:w="22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1-1/2〞</w:t>
            </w:r>
          </w:p>
        </w:tc>
        <w:tc>
          <w:tcPr>
            <w:tcW w:w="573" w:type="dxa"/>
            <w:tcBorders>
              <w:top w:val="single" w:color="auto" w:sz="4" w:space="0"/>
              <w:left w:val="single" w:color="auto" w:sz="4" w:space="0"/>
              <w:bottom w:val="single" w:color="auto" w:sz="4" w:space="0"/>
              <w:right w:val="single" w:color="auto" w:sz="4" w:space="0"/>
            </w:tcBorders>
            <w:noWrap/>
            <w:vAlign w:val="top"/>
          </w:tcPr>
          <w:p>
            <w:pPr>
              <w:rPr>
                <w:rFonts w:hint="eastAsia" w:ascii="宋体" w:hAnsi="宋体" w:eastAsia="宋体" w:cs="宋体"/>
                <w:kern w:val="0"/>
                <w:szCs w:val="21"/>
                <w:lang w:val="en-US" w:eastAsia="zh-CN"/>
              </w:rPr>
            </w:pPr>
            <w:r>
              <w:rPr>
                <w:rFonts w:hint="eastAsia" w:ascii="宋体" w:hAnsi="宋体" w:cs="宋体"/>
                <w:kern w:val="0"/>
                <w:szCs w:val="21"/>
                <w:lang w:val="en-US" w:eastAsia="zh-CN"/>
              </w:rPr>
              <w:t>台</w:t>
            </w:r>
          </w:p>
        </w:tc>
        <w:tc>
          <w:tcPr>
            <w:tcW w:w="5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c>
          <w:tcPr>
            <w:tcW w:w="116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11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570" w:hRule="atLeast"/>
        </w:trPr>
        <w:tc>
          <w:tcPr>
            <w:tcW w:w="8645" w:type="dxa"/>
            <w:gridSpan w:val="8"/>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highlight w:val="none"/>
                <w:lang w:val="en-US" w:eastAsia="zh-CN"/>
              </w:rPr>
              <w:t>不含税合计：</w:t>
            </w:r>
          </w:p>
        </w:tc>
        <w:tc>
          <w:tcPr>
            <w:tcW w:w="11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Cs w:val="21"/>
              </w:rPr>
            </w:pPr>
          </w:p>
        </w:tc>
      </w:tr>
    </w:tbl>
    <w:p>
      <w:pPr>
        <w:pStyle w:val="2"/>
        <w:rPr>
          <w:rFonts w:hint="eastAsia" w:ascii="黑体" w:hAnsi="黑体" w:eastAsia="黑体"/>
          <w:sz w:val="24"/>
          <w:szCs w:val="24"/>
          <w:highlight w:val="none"/>
        </w:rPr>
      </w:pPr>
    </w:p>
    <w:p>
      <w:pPr>
        <w:pStyle w:val="2"/>
        <w:rPr>
          <w:rFonts w:hint="eastAsia" w:ascii="黑体" w:hAnsi="黑体" w:eastAsia="黑体"/>
          <w:sz w:val="24"/>
          <w:szCs w:val="24"/>
          <w:highlight w:val="none"/>
        </w:rPr>
      </w:pPr>
    </w:p>
    <w:p>
      <w:pPr>
        <w:pStyle w:val="2"/>
        <w:rPr>
          <w:rFonts w:hint="eastAsia" w:ascii="黑体" w:hAnsi="黑体" w:eastAsia="黑体"/>
          <w:sz w:val="24"/>
          <w:szCs w:val="24"/>
          <w:highlight w:val="none"/>
        </w:rPr>
      </w:pPr>
    </w:p>
    <w:p>
      <w:pPr>
        <w:pStyle w:val="2"/>
        <w:rPr>
          <w:rFonts w:hint="eastAsia" w:ascii="黑体" w:hAnsi="黑体" w:eastAsia="黑体"/>
          <w:sz w:val="24"/>
          <w:szCs w:val="24"/>
          <w:highlight w:val="none"/>
        </w:rPr>
      </w:pPr>
    </w:p>
    <w:p>
      <w:pPr>
        <w:pStyle w:val="2"/>
        <w:rPr>
          <w:rFonts w:hint="eastAsia" w:ascii="黑体" w:hAnsi="黑体" w:eastAsia="黑体"/>
          <w:sz w:val="24"/>
          <w:szCs w:val="24"/>
          <w:highlight w:val="none"/>
        </w:rPr>
      </w:pPr>
    </w:p>
    <w:p>
      <w:pPr>
        <w:pStyle w:val="2"/>
        <w:rPr>
          <w:rFonts w:hint="eastAsia" w:ascii="黑体" w:hAnsi="黑体" w:eastAsia="黑体"/>
          <w:sz w:val="24"/>
          <w:szCs w:val="24"/>
          <w:highlight w:val="none"/>
        </w:rPr>
      </w:pPr>
    </w:p>
    <w:p>
      <w:pPr>
        <w:pStyle w:val="2"/>
        <w:rPr>
          <w:rFonts w:hint="eastAsia" w:ascii="黑体" w:hAnsi="黑体" w:eastAsia="黑体"/>
          <w:sz w:val="24"/>
          <w:szCs w:val="24"/>
          <w:highlight w:val="none"/>
        </w:rPr>
      </w:pPr>
    </w:p>
    <w:p>
      <w:pPr>
        <w:pStyle w:val="2"/>
        <w:rPr>
          <w:rFonts w:hint="eastAsia" w:ascii="黑体" w:hAnsi="黑体" w:eastAsia="黑体"/>
          <w:sz w:val="24"/>
          <w:szCs w:val="24"/>
          <w:highlight w:val="none"/>
        </w:rPr>
      </w:pPr>
    </w:p>
    <w:p>
      <w:pPr>
        <w:pStyle w:val="2"/>
        <w:rPr>
          <w:rFonts w:hint="eastAsia" w:ascii="黑体" w:hAnsi="黑体" w:eastAsia="黑体"/>
          <w:sz w:val="24"/>
          <w:szCs w:val="24"/>
          <w:highlight w:val="none"/>
        </w:rPr>
      </w:pPr>
    </w:p>
    <w:p>
      <w:pPr>
        <w:pStyle w:val="2"/>
        <w:rPr>
          <w:rFonts w:hint="eastAsia" w:ascii="黑体" w:hAnsi="黑体" w:eastAsia="黑体"/>
          <w:sz w:val="24"/>
          <w:szCs w:val="24"/>
          <w:highlight w:val="none"/>
        </w:rPr>
      </w:pPr>
    </w:p>
    <w:tbl>
      <w:tblPr>
        <w:tblStyle w:val="16"/>
        <w:tblpPr w:leftFromText="180" w:rightFromText="180" w:vertAnchor="text" w:horzAnchor="page" w:tblpX="1443" w:tblpY="748"/>
        <w:tblOverlap w:val="never"/>
        <w:tblW w:w="9560" w:type="dxa"/>
        <w:tblInd w:w="0" w:type="dxa"/>
        <w:tblLayout w:type="fixed"/>
        <w:tblCellMar>
          <w:top w:w="0" w:type="dxa"/>
          <w:left w:w="108" w:type="dxa"/>
          <w:bottom w:w="0" w:type="dxa"/>
          <w:right w:w="108" w:type="dxa"/>
        </w:tblCellMar>
      </w:tblPr>
      <w:tblGrid>
        <w:gridCol w:w="881"/>
        <w:gridCol w:w="1386"/>
        <w:gridCol w:w="1240"/>
        <w:gridCol w:w="1240"/>
        <w:gridCol w:w="1200"/>
        <w:gridCol w:w="653"/>
        <w:gridCol w:w="680"/>
        <w:gridCol w:w="1147"/>
        <w:gridCol w:w="1133"/>
      </w:tblGrid>
      <w:tr>
        <w:tblPrEx>
          <w:tblCellMar>
            <w:top w:w="0" w:type="dxa"/>
            <w:left w:w="108" w:type="dxa"/>
            <w:bottom w:w="0" w:type="dxa"/>
            <w:right w:w="108" w:type="dxa"/>
          </w:tblCellMar>
        </w:tblPrEx>
        <w:trPr>
          <w:trHeight w:val="714" w:hRule="atLeast"/>
        </w:trPr>
        <w:tc>
          <w:tcPr>
            <w:tcW w:w="9560" w:type="dxa"/>
            <w:gridSpan w:val="9"/>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Cs w:val="21"/>
              </w:rPr>
            </w:pPr>
            <w:r>
              <w:rPr>
                <w:rFonts w:hint="eastAsia" w:ascii="宋体" w:hAnsi="宋体" w:cs="宋体"/>
                <w:b/>
                <w:kern w:val="0"/>
                <w:szCs w:val="21"/>
                <w:lang w:val="en-US" w:eastAsia="zh-CN"/>
              </w:rPr>
              <w:t>表三</w:t>
            </w:r>
            <w:r>
              <w:rPr>
                <w:rFonts w:hint="eastAsia" w:ascii="宋体" w:hAnsi="宋体" w:cs="宋体"/>
                <w:b/>
                <w:kern w:val="0"/>
                <w:szCs w:val="21"/>
              </w:rPr>
              <w:t>、液压泵站及油缸</w:t>
            </w:r>
            <w:r>
              <w:rPr>
                <w:rFonts w:hint="eastAsia" w:ascii="宋体" w:hAnsi="宋体" w:cs="宋体"/>
                <w:b/>
                <w:kern w:val="0"/>
                <w:szCs w:val="21"/>
                <w:lang w:val="en-US" w:eastAsia="zh-CN"/>
              </w:rPr>
              <w:t>更换油泵、油缸活塞密封件</w:t>
            </w:r>
          </w:p>
        </w:tc>
      </w:tr>
      <w:tr>
        <w:tblPrEx>
          <w:tblCellMar>
            <w:top w:w="0" w:type="dxa"/>
            <w:left w:w="108" w:type="dxa"/>
            <w:bottom w:w="0" w:type="dxa"/>
            <w:right w:w="108" w:type="dxa"/>
          </w:tblCellMar>
        </w:tblPrEx>
        <w:trPr>
          <w:trHeight w:val="767" w:hRule="atLeast"/>
        </w:trPr>
        <w:tc>
          <w:tcPr>
            <w:tcW w:w="8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38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品牌</w:t>
            </w:r>
          </w:p>
        </w:tc>
        <w:tc>
          <w:tcPr>
            <w:tcW w:w="124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产品型号</w:t>
            </w:r>
          </w:p>
        </w:tc>
        <w:tc>
          <w:tcPr>
            <w:tcW w:w="124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电压</w:t>
            </w:r>
          </w:p>
        </w:tc>
        <w:tc>
          <w:tcPr>
            <w:tcW w:w="120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最大工作压力</w:t>
            </w:r>
          </w:p>
        </w:tc>
        <w:tc>
          <w:tcPr>
            <w:tcW w:w="65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单位</w:t>
            </w:r>
          </w:p>
        </w:tc>
        <w:tc>
          <w:tcPr>
            <w:tcW w:w="68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数量</w:t>
            </w:r>
          </w:p>
        </w:tc>
        <w:tc>
          <w:tcPr>
            <w:tcW w:w="114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lang w:val="en-US" w:eastAsia="zh-CN"/>
              </w:rPr>
              <w:t>单价（元）</w:t>
            </w:r>
          </w:p>
        </w:tc>
        <w:tc>
          <w:tcPr>
            <w:tcW w:w="113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lang w:val="en-US" w:eastAsia="zh-CN"/>
              </w:rPr>
              <w:t>总价（元）</w:t>
            </w:r>
          </w:p>
        </w:tc>
      </w:tr>
      <w:tr>
        <w:tblPrEx>
          <w:tblCellMar>
            <w:top w:w="0" w:type="dxa"/>
            <w:left w:w="108" w:type="dxa"/>
            <w:bottom w:w="0" w:type="dxa"/>
            <w:right w:w="108" w:type="dxa"/>
          </w:tblCellMar>
        </w:tblPrEx>
        <w:trPr>
          <w:trHeight w:val="406" w:hRule="atLeast"/>
        </w:trPr>
        <w:tc>
          <w:tcPr>
            <w:tcW w:w="88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38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HYTORC</w:t>
            </w:r>
          </w:p>
        </w:tc>
        <w:tc>
          <w:tcPr>
            <w:tcW w:w="124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HY-230</w:t>
            </w:r>
          </w:p>
        </w:tc>
        <w:tc>
          <w:tcPr>
            <w:tcW w:w="124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220V</w:t>
            </w:r>
          </w:p>
        </w:tc>
        <w:tc>
          <w:tcPr>
            <w:tcW w:w="120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700Bar</w:t>
            </w:r>
          </w:p>
        </w:tc>
        <w:tc>
          <w:tcPr>
            <w:tcW w:w="653"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台</w:t>
            </w:r>
          </w:p>
        </w:tc>
        <w:tc>
          <w:tcPr>
            <w:tcW w:w="6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147"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1133"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406" w:hRule="atLeast"/>
        </w:trPr>
        <w:tc>
          <w:tcPr>
            <w:tcW w:w="88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38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TITAN</w:t>
            </w:r>
          </w:p>
        </w:tc>
        <w:tc>
          <w:tcPr>
            <w:tcW w:w="124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PE55</w:t>
            </w:r>
          </w:p>
        </w:tc>
        <w:tc>
          <w:tcPr>
            <w:tcW w:w="124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220V</w:t>
            </w:r>
          </w:p>
        </w:tc>
        <w:tc>
          <w:tcPr>
            <w:tcW w:w="120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700Bar</w:t>
            </w:r>
          </w:p>
        </w:tc>
        <w:tc>
          <w:tcPr>
            <w:tcW w:w="653"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台</w:t>
            </w:r>
          </w:p>
        </w:tc>
        <w:tc>
          <w:tcPr>
            <w:tcW w:w="6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147"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1133"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767" w:hRule="atLeast"/>
        </w:trPr>
        <w:tc>
          <w:tcPr>
            <w:tcW w:w="88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386" w:type="dxa"/>
            <w:tcBorders>
              <w:top w:val="nil"/>
              <w:left w:val="nil"/>
              <w:bottom w:val="nil"/>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雷蒙赛博</w:t>
            </w:r>
          </w:p>
          <w:p>
            <w:pPr>
              <w:widowControl/>
              <w:jc w:val="center"/>
              <w:rPr>
                <w:rFonts w:hint="eastAsia" w:ascii="宋体" w:hAnsi="宋体" w:cs="宋体"/>
                <w:kern w:val="0"/>
                <w:szCs w:val="21"/>
              </w:rPr>
            </w:pPr>
            <w:r>
              <w:rPr>
                <w:rFonts w:hint="eastAsia" w:ascii="宋体" w:hAnsi="宋体" w:cs="宋体"/>
                <w:kern w:val="0"/>
                <w:szCs w:val="21"/>
              </w:rPr>
              <w:t>CBE</w:t>
            </w:r>
          </w:p>
        </w:tc>
        <w:tc>
          <w:tcPr>
            <w:tcW w:w="124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HPE-420</w:t>
            </w:r>
          </w:p>
        </w:tc>
        <w:tc>
          <w:tcPr>
            <w:tcW w:w="124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220V</w:t>
            </w:r>
          </w:p>
        </w:tc>
        <w:tc>
          <w:tcPr>
            <w:tcW w:w="120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700Bar</w:t>
            </w:r>
          </w:p>
        </w:tc>
        <w:tc>
          <w:tcPr>
            <w:tcW w:w="653"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台</w:t>
            </w:r>
          </w:p>
        </w:tc>
        <w:tc>
          <w:tcPr>
            <w:tcW w:w="6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14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113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406" w:hRule="atLeast"/>
        </w:trPr>
        <w:tc>
          <w:tcPr>
            <w:tcW w:w="88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4</w:t>
            </w:r>
          </w:p>
        </w:tc>
        <w:tc>
          <w:tcPr>
            <w:tcW w:w="138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恩派克</w:t>
            </w:r>
          </w:p>
        </w:tc>
        <w:tc>
          <w:tcPr>
            <w:tcW w:w="124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YPE2906</w:t>
            </w:r>
          </w:p>
        </w:tc>
        <w:tc>
          <w:tcPr>
            <w:tcW w:w="124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220V</w:t>
            </w:r>
          </w:p>
        </w:tc>
        <w:tc>
          <w:tcPr>
            <w:tcW w:w="120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700Bar</w:t>
            </w:r>
          </w:p>
        </w:tc>
        <w:tc>
          <w:tcPr>
            <w:tcW w:w="65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台</w:t>
            </w:r>
          </w:p>
        </w:tc>
        <w:tc>
          <w:tcPr>
            <w:tcW w:w="6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1</w:t>
            </w:r>
          </w:p>
        </w:tc>
        <w:tc>
          <w:tcPr>
            <w:tcW w:w="1147"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lang w:val="en-US" w:eastAsia="zh-CN" w:bidi="ar-SA"/>
              </w:rPr>
            </w:pPr>
          </w:p>
        </w:tc>
        <w:tc>
          <w:tcPr>
            <w:tcW w:w="1133"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406" w:hRule="atLeast"/>
        </w:trPr>
        <w:tc>
          <w:tcPr>
            <w:tcW w:w="88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5</w:t>
            </w:r>
          </w:p>
        </w:tc>
        <w:tc>
          <w:tcPr>
            <w:tcW w:w="138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Cs w:val="21"/>
                <w:highlight w:val="none"/>
              </w:rPr>
              <w:t>恩派克</w:t>
            </w:r>
          </w:p>
        </w:tc>
        <w:tc>
          <w:tcPr>
            <w:tcW w:w="124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ENERPAC</w:t>
            </w:r>
          </w:p>
        </w:tc>
        <w:tc>
          <w:tcPr>
            <w:tcW w:w="124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Cs w:val="21"/>
                <w:highlight w:val="none"/>
              </w:rPr>
              <w:t>220V</w:t>
            </w:r>
          </w:p>
        </w:tc>
        <w:tc>
          <w:tcPr>
            <w:tcW w:w="120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Cs w:val="21"/>
                <w:highlight w:val="none"/>
              </w:rPr>
              <w:t>700Bar</w:t>
            </w:r>
          </w:p>
        </w:tc>
        <w:tc>
          <w:tcPr>
            <w:tcW w:w="65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台</w:t>
            </w:r>
          </w:p>
        </w:tc>
        <w:tc>
          <w:tcPr>
            <w:tcW w:w="6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1</w:t>
            </w:r>
          </w:p>
        </w:tc>
        <w:tc>
          <w:tcPr>
            <w:tcW w:w="1147"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highlight w:val="none"/>
                <w:lang w:val="en-US" w:eastAsia="zh-CN" w:bidi="ar-SA"/>
              </w:rPr>
            </w:pPr>
          </w:p>
        </w:tc>
        <w:tc>
          <w:tcPr>
            <w:tcW w:w="1133"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lang w:val="en-US" w:eastAsia="zh-CN"/>
              </w:rPr>
            </w:pPr>
          </w:p>
        </w:tc>
      </w:tr>
      <w:tr>
        <w:tblPrEx>
          <w:tblCellMar>
            <w:top w:w="0" w:type="dxa"/>
            <w:left w:w="108" w:type="dxa"/>
            <w:bottom w:w="0" w:type="dxa"/>
            <w:right w:w="108" w:type="dxa"/>
          </w:tblCellMar>
        </w:tblPrEx>
        <w:trPr>
          <w:trHeight w:val="406" w:hRule="atLeast"/>
        </w:trPr>
        <w:tc>
          <w:tcPr>
            <w:tcW w:w="88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6</w:t>
            </w:r>
          </w:p>
        </w:tc>
        <w:tc>
          <w:tcPr>
            <w:tcW w:w="138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Cs w:val="21"/>
                <w:highlight w:val="none"/>
              </w:rPr>
              <w:t>派尔迪</w:t>
            </w:r>
          </w:p>
        </w:tc>
        <w:tc>
          <w:tcPr>
            <w:tcW w:w="124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PE55</w:t>
            </w:r>
          </w:p>
        </w:tc>
        <w:tc>
          <w:tcPr>
            <w:tcW w:w="124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220V</w:t>
            </w:r>
          </w:p>
        </w:tc>
        <w:tc>
          <w:tcPr>
            <w:tcW w:w="120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Cs w:val="21"/>
                <w:highlight w:val="none"/>
              </w:rPr>
              <w:t>700Bar</w:t>
            </w:r>
          </w:p>
        </w:tc>
        <w:tc>
          <w:tcPr>
            <w:tcW w:w="65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台</w:t>
            </w:r>
          </w:p>
        </w:tc>
        <w:tc>
          <w:tcPr>
            <w:tcW w:w="6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2</w:t>
            </w:r>
          </w:p>
        </w:tc>
        <w:tc>
          <w:tcPr>
            <w:tcW w:w="1147"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highlight w:val="none"/>
                <w:lang w:val="en-US" w:eastAsia="zh-CN" w:bidi="ar-SA"/>
              </w:rPr>
            </w:pPr>
          </w:p>
        </w:tc>
        <w:tc>
          <w:tcPr>
            <w:tcW w:w="113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highlight w:val="none"/>
                <w:lang w:val="en-US" w:eastAsia="zh-CN" w:bidi="ar-SA"/>
              </w:rPr>
            </w:pPr>
          </w:p>
        </w:tc>
      </w:tr>
      <w:tr>
        <w:tblPrEx>
          <w:tblCellMar>
            <w:top w:w="0" w:type="dxa"/>
            <w:left w:w="108" w:type="dxa"/>
            <w:bottom w:w="0" w:type="dxa"/>
            <w:right w:w="108" w:type="dxa"/>
          </w:tblCellMar>
        </w:tblPrEx>
        <w:trPr>
          <w:trHeight w:val="406" w:hRule="atLeast"/>
        </w:trPr>
        <w:tc>
          <w:tcPr>
            <w:tcW w:w="88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7</w:t>
            </w:r>
          </w:p>
        </w:tc>
        <w:tc>
          <w:tcPr>
            <w:tcW w:w="138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老旧不详</w:t>
            </w:r>
          </w:p>
        </w:tc>
        <w:tc>
          <w:tcPr>
            <w:tcW w:w="124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PB26-265</w:t>
            </w:r>
          </w:p>
        </w:tc>
        <w:tc>
          <w:tcPr>
            <w:tcW w:w="124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气源</w:t>
            </w:r>
          </w:p>
        </w:tc>
        <w:tc>
          <w:tcPr>
            <w:tcW w:w="120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700Bar</w:t>
            </w:r>
          </w:p>
        </w:tc>
        <w:tc>
          <w:tcPr>
            <w:tcW w:w="653"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台</w:t>
            </w:r>
          </w:p>
        </w:tc>
        <w:tc>
          <w:tcPr>
            <w:tcW w:w="68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147"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1133"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406" w:hRule="atLeast"/>
        </w:trPr>
        <w:tc>
          <w:tcPr>
            <w:tcW w:w="8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8</w:t>
            </w:r>
          </w:p>
        </w:tc>
        <w:tc>
          <w:tcPr>
            <w:tcW w:w="138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老旧不详</w:t>
            </w:r>
          </w:p>
        </w:tc>
        <w:tc>
          <w:tcPr>
            <w:tcW w:w="124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HPA-520/2</w:t>
            </w:r>
          </w:p>
        </w:tc>
        <w:tc>
          <w:tcPr>
            <w:tcW w:w="124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气源</w:t>
            </w:r>
          </w:p>
        </w:tc>
        <w:tc>
          <w:tcPr>
            <w:tcW w:w="120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700Bar</w:t>
            </w:r>
          </w:p>
        </w:tc>
        <w:tc>
          <w:tcPr>
            <w:tcW w:w="65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台</w:t>
            </w:r>
          </w:p>
        </w:tc>
        <w:tc>
          <w:tcPr>
            <w:tcW w:w="68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14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113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714" w:hRule="atLeast"/>
        </w:trPr>
        <w:tc>
          <w:tcPr>
            <w:tcW w:w="8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9</w:t>
            </w:r>
          </w:p>
        </w:tc>
        <w:tc>
          <w:tcPr>
            <w:tcW w:w="138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OJ</w:t>
            </w:r>
          </w:p>
        </w:tc>
        <w:tc>
          <w:tcPr>
            <w:tcW w:w="124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AB--2.5-P</w:t>
            </w:r>
          </w:p>
        </w:tc>
        <w:tc>
          <w:tcPr>
            <w:tcW w:w="124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气源</w:t>
            </w:r>
          </w:p>
        </w:tc>
        <w:tc>
          <w:tcPr>
            <w:tcW w:w="120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700Bar</w:t>
            </w:r>
          </w:p>
        </w:tc>
        <w:tc>
          <w:tcPr>
            <w:tcW w:w="65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台</w:t>
            </w:r>
          </w:p>
        </w:tc>
        <w:tc>
          <w:tcPr>
            <w:tcW w:w="68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14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113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767" w:hRule="atLeast"/>
        </w:trPr>
        <w:tc>
          <w:tcPr>
            <w:tcW w:w="8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138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阿特拉斯--TENTEC</w:t>
            </w:r>
          </w:p>
        </w:tc>
        <w:tc>
          <w:tcPr>
            <w:tcW w:w="124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HTT.6271</w:t>
            </w:r>
          </w:p>
          <w:p>
            <w:pPr>
              <w:widowControl/>
              <w:jc w:val="center"/>
              <w:rPr>
                <w:rFonts w:hint="eastAsia" w:ascii="宋体" w:hAnsi="宋体" w:cs="宋体"/>
                <w:kern w:val="0"/>
                <w:szCs w:val="21"/>
              </w:rPr>
            </w:pPr>
            <w:r>
              <w:rPr>
                <w:rFonts w:hint="eastAsia" w:ascii="宋体" w:hAnsi="宋体" w:cs="宋体"/>
                <w:kern w:val="0"/>
                <w:szCs w:val="21"/>
              </w:rPr>
              <w:t>/6272</w:t>
            </w:r>
          </w:p>
        </w:tc>
        <w:tc>
          <w:tcPr>
            <w:tcW w:w="124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气源</w:t>
            </w:r>
          </w:p>
        </w:tc>
        <w:tc>
          <w:tcPr>
            <w:tcW w:w="120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1500Bar</w:t>
            </w:r>
          </w:p>
        </w:tc>
        <w:tc>
          <w:tcPr>
            <w:tcW w:w="65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台</w:t>
            </w:r>
          </w:p>
        </w:tc>
        <w:tc>
          <w:tcPr>
            <w:tcW w:w="68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ascii="宋体" w:hAnsi="宋体" w:cs="宋体"/>
                <w:kern w:val="0"/>
                <w:szCs w:val="21"/>
              </w:rPr>
              <w:t>4</w:t>
            </w:r>
          </w:p>
        </w:tc>
        <w:tc>
          <w:tcPr>
            <w:tcW w:w="114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113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767" w:hRule="atLeast"/>
        </w:trPr>
        <w:tc>
          <w:tcPr>
            <w:tcW w:w="8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11</w:t>
            </w:r>
          </w:p>
        </w:tc>
        <w:tc>
          <w:tcPr>
            <w:tcW w:w="138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麦格思维特MAXIMATOR</w:t>
            </w:r>
          </w:p>
        </w:tc>
        <w:tc>
          <w:tcPr>
            <w:tcW w:w="124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AHP-3000</w:t>
            </w:r>
          </w:p>
        </w:tc>
        <w:tc>
          <w:tcPr>
            <w:tcW w:w="124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气源</w:t>
            </w:r>
          </w:p>
        </w:tc>
        <w:tc>
          <w:tcPr>
            <w:tcW w:w="120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2320Bar</w:t>
            </w:r>
          </w:p>
        </w:tc>
        <w:tc>
          <w:tcPr>
            <w:tcW w:w="65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台</w:t>
            </w:r>
          </w:p>
        </w:tc>
        <w:tc>
          <w:tcPr>
            <w:tcW w:w="68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14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113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714" w:hRule="atLeast"/>
        </w:trPr>
        <w:tc>
          <w:tcPr>
            <w:tcW w:w="8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12</w:t>
            </w:r>
          </w:p>
        </w:tc>
        <w:tc>
          <w:tcPr>
            <w:tcW w:w="138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阿特拉斯--TENTEC</w:t>
            </w:r>
          </w:p>
        </w:tc>
        <w:tc>
          <w:tcPr>
            <w:tcW w:w="124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lang w:val="en-US" w:eastAsia="zh-CN" w:bidi="ar-SA"/>
              </w:rPr>
            </w:pPr>
          </w:p>
        </w:tc>
        <w:tc>
          <w:tcPr>
            <w:tcW w:w="124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手动</w:t>
            </w:r>
          </w:p>
        </w:tc>
        <w:tc>
          <w:tcPr>
            <w:tcW w:w="120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1500Bar</w:t>
            </w:r>
          </w:p>
        </w:tc>
        <w:tc>
          <w:tcPr>
            <w:tcW w:w="65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台</w:t>
            </w:r>
          </w:p>
        </w:tc>
        <w:tc>
          <w:tcPr>
            <w:tcW w:w="68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1</w:t>
            </w:r>
          </w:p>
        </w:tc>
        <w:tc>
          <w:tcPr>
            <w:tcW w:w="114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lang w:val="en-US" w:eastAsia="zh-CN" w:bidi="ar-SA"/>
              </w:rPr>
            </w:pPr>
          </w:p>
        </w:tc>
        <w:tc>
          <w:tcPr>
            <w:tcW w:w="113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406" w:hRule="atLeast"/>
        </w:trPr>
        <w:tc>
          <w:tcPr>
            <w:tcW w:w="8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1</w:t>
            </w:r>
            <w:r>
              <w:rPr>
                <w:rFonts w:ascii="宋体" w:hAnsi="宋体" w:cs="宋体"/>
                <w:kern w:val="0"/>
                <w:szCs w:val="21"/>
              </w:rPr>
              <w:t>3</w:t>
            </w:r>
          </w:p>
        </w:tc>
        <w:tc>
          <w:tcPr>
            <w:tcW w:w="138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恩派克</w:t>
            </w:r>
          </w:p>
        </w:tc>
        <w:tc>
          <w:tcPr>
            <w:tcW w:w="124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P-462</w:t>
            </w:r>
          </w:p>
        </w:tc>
        <w:tc>
          <w:tcPr>
            <w:tcW w:w="124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手动</w:t>
            </w:r>
          </w:p>
        </w:tc>
        <w:tc>
          <w:tcPr>
            <w:tcW w:w="120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700Bar</w:t>
            </w:r>
          </w:p>
        </w:tc>
        <w:tc>
          <w:tcPr>
            <w:tcW w:w="65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台</w:t>
            </w:r>
          </w:p>
        </w:tc>
        <w:tc>
          <w:tcPr>
            <w:tcW w:w="68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1</w:t>
            </w:r>
          </w:p>
        </w:tc>
        <w:tc>
          <w:tcPr>
            <w:tcW w:w="114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lang w:val="en-US" w:eastAsia="zh-CN" w:bidi="ar-SA"/>
              </w:rPr>
            </w:pPr>
          </w:p>
        </w:tc>
        <w:tc>
          <w:tcPr>
            <w:tcW w:w="113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406" w:hRule="atLeast"/>
        </w:trPr>
        <w:tc>
          <w:tcPr>
            <w:tcW w:w="8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1</w:t>
            </w:r>
            <w:r>
              <w:rPr>
                <w:rFonts w:ascii="宋体" w:hAnsi="宋体" w:cs="宋体"/>
                <w:kern w:val="0"/>
                <w:szCs w:val="21"/>
              </w:rPr>
              <w:t>4</w:t>
            </w:r>
          </w:p>
        </w:tc>
        <w:tc>
          <w:tcPr>
            <w:tcW w:w="138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恩派克</w:t>
            </w:r>
          </w:p>
        </w:tc>
        <w:tc>
          <w:tcPr>
            <w:tcW w:w="124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P142</w:t>
            </w:r>
          </w:p>
        </w:tc>
        <w:tc>
          <w:tcPr>
            <w:tcW w:w="124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手动</w:t>
            </w:r>
          </w:p>
        </w:tc>
        <w:tc>
          <w:tcPr>
            <w:tcW w:w="120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700Bar</w:t>
            </w:r>
          </w:p>
        </w:tc>
        <w:tc>
          <w:tcPr>
            <w:tcW w:w="65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台</w:t>
            </w:r>
          </w:p>
        </w:tc>
        <w:tc>
          <w:tcPr>
            <w:tcW w:w="68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14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113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406" w:hRule="atLeast"/>
        </w:trPr>
        <w:tc>
          <w:tcPr>
            <w:tcW w:w="8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1</w:t>
            </w:r>
            <w:r>
              <w:rPr>
                <w:rFonts w:ascii="宋体" w:hAnsi="宋体" w:cs="宋体"/>
                <w:kern w:val="0"/>
                <w:szCs w:val="21"/>
              </w:rPr>
              <w:t>5</w:t>
            </w:r>
          </w:p>
        </w:tc>
        <w:tc>
          <w:tcPr>
            <w:tcW w:w="138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恩派克</w:t>
            </w:r>
          </w:p>
        </w:tc>
        <w:tc>
          <w:tcPr>
            <w:tcW w:w="124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PATG1102N</w:t>
            </w:r>
          </w:p>
        </w:tc>
        <w:tc>
          <w:tcPr>
            <w:tcW w:w="124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手动</w:t>
            </w:r>
          </w:p>
        </w:tc>
        <w:tc>
          <w:tcPr>
            <w:tcW w:w="120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700Bar</w:t>
            </w:r>
          </w:p>
        </w:tc>
        <w:tc>
          <w:tcPr>
            <w:tcW w:w="65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台</w:t>
            </w:r>
          </w:p>
        </w:tc>
        <w:tc>
          <w:tcPr>
            <w:tcW w:w="68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14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113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608" w:hRule="atLeast"/>
        </w:trPr>
        <w:tc>
          <w:tcPr>
            <w:tcW w:w="8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1</w:t>
            </w:r>
            <w:r>
              <w:rPr>
                <w:rFonts w:hint="eastAsia" w:ascii="宋体" w:hAnsi="宋体" w:cs="宋体"/>
                <w:kern w:val="0"/>
                <w:szCs w:val="21"/>
                <w:lang w:val="en-US" w:eastAsia="zh-CN"/>
              </w:rPr>
              <w:t>6</w:t>
            </w:r>
          </w:p>
        </w:tc>
        <w:tc>
          <w:tcPr>
            <w:tcW w:w="138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恩派克</w:t>
            </w:r>
          </w:p>
        </w:tc>
        <w:tc>
          <w:tcPr>
            <w:tcW w:w="124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lang w:val="en-US" w:eastAsia="zh-CN"/>
              </w:rPr>
              <w:t>液压千斤顶</w:t>
            </w:r>
          </w:p>
        </w:tc>
        <w:tc>
          <w:tcPr>
            <w:tcW w:w="124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120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90T</w:t>
            </w:r>
          </w:p>
        </w:tc>
        <w:tc>
          <w:tcPr>
            <w:tcW w:w="65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件</w:t>
            </w:r>
          </w:p>
        </w:tc>
        <w:tc>
          <w:tcPr>
            <w:tcW w:w="68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147"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s="宋体"/>
                <w:kern w:val="0"/>
                <w:szCs w:val="21"/>
                <w:lang w:val="en-US" w:eastAsia="zh-CN"/>
              </w:rPr>
            </w:pPr>
          </w:p>
        </w:tc>
        <w:tc>
          <w:tcPr>
            <w:tcW w:w="1133"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s="宋体"/>
                <w:kern w:val="0"/>
                <w:szCs w:val="21"/>
                <w:lang w:val="en-US" w:eastAsia="zh-CN"/>
              </w:rPr>
            </w:pPr>
          </w:p>
        </w:tc>
      </w:tr>
      <w:tr>
        <w:tblPrEx>
          <w:tblCellMar>
            <w:top w:w="0" w:type="dxa"/>
            <w:left w:w="108" w:type="dxa"/>
            <w:bottom w:w="0" w:type="dxa"/>
            <w:right w:w="108" w:type="dxa"/>
          </w:tblCellMar>
        </w:tblPrEx>
        <w:trPr>
          <w:trHeight w:val="608" w:hRule="atLeast"/>
        </w:trPr>
        <w:tc>
          <w:tcPr>
            <w:tcW w:w="8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1</w:t>
            </w:r>
            <w:r>
              <w:rPr>
                <w:rFonts w:hint="eastAsia" w:ascii="宋体" w:hAnsi="宋体" w:cs="宋体"/>
                <w:kern w:val="0"/>
                <w:szCs w:val="21"/>
                <w:lang w:val="en-US" w:eastAsia="zh-CN"/>
              </w:rPr>
              <w:t>7</w:t>
            </w:r>
          </w:p>
        </w:tc>
        <w:tc>
          <w:tcPr>
            <w:tcW w:w="138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恩派克</w:t>
            </w:r>
          </w:p>
        </w:tc>
        <w:tc>
          <w:tcPr>
            <w:tcW w:w="124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lang w:val="en-US" w:eastAsia="zh-CN"/>
              </w:rPr>
              <w:t>液压千斤顶</w:t>
            </w:r>
          </w:p>
        </w:tc>
        <w:tc>
          <w:tcPr>
            <w:tcW w:w="124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120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140T</w:t>
            </w:r>
          </w:p>
        </w:tc>
        <w:tc>
          <w:tcPr>
            <w:tcW w:w="65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件</w:t>
            </w:r>
          </w:p>
        </w:tc>
        <w:tc>
          <w:tcPr>
            <w:tcW w:w="68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14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c>
          <w:tcPr>
            <w:tcW w:w="113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735" w:hRule="atLeast"/>
        </w:trPr>
        <w:tc>
          <w:tcPr>
            <w:tcW w:w="8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18</w:t>
            </w:r>
          </w:p>
        </w:tc>
        <w:tc>
          <w:tcPr>
            <w:tcW w:w="138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法兰撑开器</w:t>
            </w:r>
          </w:p>
          <w:p>
            <w:pPr>
              <w:widowControl/>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EQUALIZER</w:t>
            </w:r>
          </w:p>
        </w:tc>
        <w:tc>
          <w:tcPr>
            <w:tcW w:w="1240"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2328817B</w:t>
            </w:r>
          </w:p>
        </w:tc>
        <w:tc>
          <w:tcPr>
            <w:tcW w:w="124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手动</w:t>
            </w:r>
          </w:p>
        </w:tc>
        <w:tc>
          <w:tcPr>
            <w:tcW w:w="120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700Bar</w:t>
            </w:r>
          </w:p>
        </w:tc>
        <w:tc>
          <w:tcPr>
            <w:tcW w:w="65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台</w:t>
            </w:r>
          </w:p>
        </w:tc>
        <w:tc>
          <w:tcPr>
            <w:tcW w:w="680"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7</w:t>
            </w:r>
          </w:p>
        </w:tc>
        <w:tc>
          <w:tcPr>
            <w:tcW w:w="114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lang w:val="en-US" w:eastAsia="zh-CN"/>
              </w:rPr>
            </w:pPr>
          </w:p>
        </w:tc>
        <w:tc>
          <w:tcPr>
            <w:tcW w:w="113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lang w:val="en-US" w:eastAsia="zh-CN"/>
              </w:rPr>
            </w:pPr>
          </w:p>
        </w:tc>
      </w:tr>
      <w:tr>
        <w:tblPrEx>
          <w:tblCellMar>
            <w:top w:w="0" w:type="dxa"/>
            <w:left w:w="108" w:type="dxa"/>
            <w:bottom w:w="0" w:type="dxa"/>
            <w:right w:w="108" w:type="dxa"/>
          </w:tblCellMar>
        </w:tblPrEx>
        <w:trPr>
          <w:trHeight w:val="735" w:hRule="atLeast"/>
        </w:trPr>
        <w:tc>
          <w:tcPr>
            <w:tcW w:w="8427" w:type="dxa"/>
            <w:gridSpan w:val="8"/>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不含税合计：</w:t>
            </w:r>
          </w:p>
        </w:tc>
        <w:tc>
          <w:tcPr>
            <w:tcW w:w="113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lang w:val="en-US" w:eastAsia="zh-CN"/>
              </w:rPr>
            </w:pPr>
          </w:p>
        </w:tc>
      </w:tr>
    </w:tbl>
    <w:p>
      <w:pPr>
        <w:pStyle w:val="2"/>
        <w:rPr>
          <w:rFonts w:hint="eastAsia" w:ascii="黑体" w:hAnsi="黑体" w:eastAsia="黑体"/>
          <w:sz w:val="24"/>
          <w:szCs w:val="24"/>
          <w:highlight w:val="none"/>
        </w:rPr>
      </w:pPr>
    </w:p>
    <w:p>
      <w:pPr>
        <w:pStyle w:val="2"/>
        <w:rPr>
          <w:rFonts w:hint="eastAsia" w:ascii="黑体" w:hAnsi="黑体" w:eastAsia="黑体"/>
          <w:sz w:val="24"/>
          <w:szCs w:val="24"/>
          <w:highlight w:val="none"/>
        </w:rPr>
      </w:pPr>
    </w:p>
    <w:p>
      <w:pPr>
        <w:pStyle w:val="2"/>
        <w:rPr>
          <w:rFonts w:hint="eastAsia" w:ascii="黑体" w:hAnsi="黑体" w:eastAsia="黑体"/>
          <w:sz w:val="24"/>
          <w:szCs w:val="24"/>
          <w:highlight w:val="none"/>
        </w:rPr>
      </w:pPr>
    </w:p>
    <w:p>
      <w:pPr>
        <w:pStyle w:val="2"/>
        <w:rPr>
          <w:rFonts w:hint="eastAsia" w:ascii="黑体" w:hAnsi="黑体" w:eastAsia="黑体"/>
          <w:sz w:val="24"/>
          <w:szCs w:val="24"/>
          <w:highlight w:val="none"/>
        </w:rPr>
      </w:pPr>
    </w:p>
    <w:p>
      <w:pPr>
        <w:pStyle w:val="2"/>
        <w:rPr>
          <w:rFonts w:hint="eastAsia" w:ascii="黑体" w:hAnsi="黑体" w:eastAsia="黑体"/>
          <w:sz w:val="24"/>
          <w:szCs w:val="24"/>
          <w:highlight w:val="none"/>
        </w:rPr>
      </w:pPr>
    </w:p>
    <w:p>
      <w:pPr>
        <w:pStyle w:val="2"/>
        <w:rPr>
          <w:rFonts w:hint="eastAsia" w:ascii="黑体" w:hAnsi="黑体" w:eastAsia="黑体"/>
          <w:sz w:val="24"/>
          <w:szCs w:val="24"/>
          <w:highlight w:val="none"/>
        </w:rPr>
      </w:pPr>
    </w:p>
    <w:p>
      <w:pPr>
        <w:pStyle w:val="2"/>
        <w:rPr>
          <w:rFonts w:hint="eastAsia" w:ascii="黑体" w:hAnsi="黑体" w:eastAsia="黑体"/>
          <w:sz w:val="24"/>
          <w:szCs w:val="24"/>
          <w:highlight w:val="none"/>
        </w:rPr>
      </w:pPr>
    </w:p>
    <w:tbl>
      <w:tblPr>
        <w:tblStyle w:val="16"/>
        <w:tblpPr w:leftFromText="180" w:rightFromText="180" w:vertAnchor="text" w:horzAnchor="page" w:tblpX="1041" w:tblpY="1"/>
        <w:tblOverlap w:val="never"/>
        <w:tblW w:w="9930" w:type="dxa"/>
        <w:tblInd w:w="0" w:type="dxa"/>
        <w:tblLayout w:type="fixed"/>
        <w:tblCellMar>
          <w:top w:w="0" w:type="dxa"/>
          <w:left w:w="108" w:type="dxa"/>
          <w:bottom w:w="0" w:type="dxa"/>
          <w:right w:w="108" w:type="dxa"/>
        </w:tblCellMar>
      </w:tblPr>
      <w:tblGrid>
        <w:gridCol w:w="690"/>
        <w:gridCol w:w="1980"/>
        <w:gridCol w:w="1245"/>
        <w:gridCol w:w="1860"/>
        <w:gridCol w:w="1545"/>
        <w:gridCol w:w="1380"/>
        <w:gridCol w:w="1230"/>
      </w:tblGrid>
      <w:tr>
        <w:tblPrEx>
          <w:tblCellMar>
            <w:top w:w="0" w:type="dxa"/>
            <w:left w:w="108" w:type="dxa"/>
            <w:bottom w:w="0" w:type="dxa"/>
            <w:right w:w="108" w:type="dxa"/>
          </w:tblCellMar>
        </w:tblPrEx>
        <w:trPr>
          <w:trHeight w:val="485" w:hRule="atLeast"/>
        </w:trPr>
        <w:tc>
          <w:tcPr>
            <w:tcW w:w="9930" w:type="dxa"/>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kern w:val="0"/>
                <w:szCs w:val="21"/>
                <w:lang w:val="en-US" w:eastAsia="zh-CN"/>
              </w:rPr>
            </w:pPr>
            <w:r>
              <w:rPr>
                <w:rFonts w:hint="eastAsia" w:ascii="宋体" w:hAnsi="宋体" w:eastAsia="宋体" w:cs="宋体"/>
                <w:b/>
                <w:kern w:val="0"/>
                <w:szCs w:val="21"/>
                <w:lang w:val="en-US" w:eastAsia="zh-CN"/>
              </w:rPr>
              <w:t>表四、液压工具其他常用消耗配件材料</w:t>
            </w:r>
          </w:p>
        </w:tc>
      </w:tr>
      <w:tr>
        <w:tblPrEx>
          <w:tblCellMar>
            <w:top w:w="0" w:type="dxa"/>
            <w:left w:w="108" w:type="dxa"/>
            <w:bottom w:w="0" w:type="dxa"/>
            <w:right w:w="108" w:type="dxa"/>
          </w:tblCellMar>
        </w:tblPrEx>
        <w:trPr>
          <w:trHeight w:val="863"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序号</w:t>
            </w:r>
          </w:p>
        </w:tc>
        <w:tc>
          <w:tcPr>
            <w:tcW w:w="1980"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名称</w:t>
            </w:r>
          </w:p>
        </w:tc>
        <w:tc>
          <w:tcPr>
            <w:tcW w:w="124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品牌</w:t>
            </w:r>
          </w:p>
        </w:tc>
        <w:tc>
          <w:tcPr>
            <w:tcW w:w="1860"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型号</w:t>
            </w:r>
          </w:p>
        </w:tc>
        <w:tc>
          <w:tcPr>
            <w:tcW w:w="154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预估使用数量</w:t>
            </w:r>
          </w:p>
        </w:tc>
        <w:tc>
          <w:tcPr>
            <w:tcW w:w="138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lang w:val="en-US" w:eastAsia="zh-CN"/>
              </w:rPr>
            </w:pPr>
            <w:r>
              <w:rPr>
                <w:rFonts w:hint="eastAsia" w:ascii="宋体" w:hAnsi="宋体" w:cs="宋体"/>
                <w:kern w:val="0"/>
                <w:szCs w:val="21"/>
                <w:lang w:val="en-US" w:eastAsia="zh-CN"/>
              </w:rPr>
              <w:t>单价（元）</w:t>
            </w:r>
          </w:p>
        </w:tc>
        <w:tc>
          <w:tcPr>
            <w:tcW w:w="123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lang w:val="en-US" w:eastAsia="zh-CN"/>
              </w:rPr>
            </w:pPr>
            <w:r>
              <w:rPr>
                <w:rFonts w:hint="eastAsia" w:ascii="宋体" w:hAnsi="宋体" w:cs="宋体"/>
                <w:kern w:val="0"/>
                <w:szCs w:val="21"/>
                <w:lang w:val="en-US" w:eastAsia="zh-CN"/>
              </w:rPr>
              <w:t>总价（元）</w:t>
            </w:r>
          </w:p>
        </w:tc>
      </w:tr>
      <w:tr>
        <w:tblPrEx>
          <w:tblCellMar>
            <w:top w:w="0" w:type="dxa"/>
            <w:left w:w="108" w:type="dxa"/>
            <w:bottom w:w="0" w:type="dxa"/>
            <w:right w:w="108" w:type="dxa"/>
          </w:tblCellMar>
        </w:tblPrEx>
        <w:trPr>
          <w:trHeight w:val="803"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1</w:t>
            </w:r>
          </w:p>
        </w:tc>
        <w:tc>
          <w:tcPr>
            <w:tcW w:w="198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拉伸器专用液压油管（3米）</w:t>
            </w:r>
          </w:p>
        </w:tc>
        <w:tc>
          <w:tcPr>
            <w:tcW w:w="124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ENERPAC</w:t>
            </w:r>
          </w:p>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CEJN</w:t>
            </w:r>
          </w:p>
        </w:tc>
        <w:tc>
          <w:tcPr>
            <w:tcW w:w="186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180MPa(3米)</w:t>
            </w:r>
          </w:p>
        </w:tc>
        <w:tc>
          <w:tcPr>
            <w:tcW w:w="154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w:t>
            </w:r>
            <w:r>
              <w:rPr>
                <w:rFonts w:hint="eastAsia" w:ascii="宋体" w:hAnsi="宋体" w:cs="宋体"/>
                <w:i w:val="0"/>
                <w:iCs w:val="0"/>
                <w:color w:val="000000"/>
                <w:kern w:val="0"/>
                <w:sz w:val="21"/>
                <w:szCs w:val="21"/>
                <w:highlight w:val="none"/>
                <w:u w:val="none"/>
                <w:lang w:val="en-US" w:eastAsia="zh-CN" w:bidi="ar"/>
              </w:rPr>
              <w:t>根</w:t>
            </w:r>
          </w:p>
        </w:tc>
        <w:tc>
          <w:tcPr>
            <w:tcW w:w="138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23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CellMar>
            <w:top w:w="0" w:type="dxa"/>
            <w:left w:w="108" w:type="dxa"/>
            <w:bottom w:w="0" w:type="dxa"/>
            <w:right w:w="108" w:type="dxa"/>
          </w:tblCellMar>
        </w:tblPrEx>
        <w:trPr>
          <w:trHeight w:val="809"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rPr>
              <w:t>2</w:t>
            </w:r>
          </w:p>
        </w:tc>
        <w:tc>
          <w:tcPr>
            <w:tcW w:w="198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拉伸器专用液压油管（3米）</w:t>
            </w:r>
          </w:p>
        </w:tc>
        <w:tc>
          <w:tcPr>
            <w:tcW w:w="124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ENERPAC</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CEJN</w:t>
            </w:r>
          </w:p>
        </w:tc>
        <w:tc>
          <w:tcPr>
            <w:tcW w:w="186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250MPa(3米)</w:t>
            </w:r>
          </w:p>
        </w:tc>
        <w:tc>
          <w:tcPr>
            <w:tcW w:w="154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w:t>
            </w:r>
            <w:r>
              <w:rPr>
                <w:rFonts w:hint="eastAsia" w:ascii="宋体" w:hAnsi="宋体" w:cs="宋体"/>
                <w:i w:val="0"/>
                <w:iCs w:val="0"/>
                <w:color w:val="000000"/>
                <w:kern w:val="0"/>
                <w:sz w:val="21"/>
                <w:szCs w:val="21"/>
                <w:highlight w:val="none"/>
                <w:u w:val="none"/>
                <w:lang w:val="en-US" w:eastAsia="zh-CN" w:bidi="ar"/>
              </w:rPr>
              <w:t>根</w:t>
            </w:r>
          </w:p>
        </w:tc>
        <w:tc>
          <w:tcPr>
            <w:tcW w:w="138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23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CellMar>
            <w:top w:w="0" w:type="dxa"/>
            <w:left w:w="108" w:type="dxa"/>
            <w:bottom w:w="0" w:type="dxa"/>
            <w:right w:w="108" w:type="dxa"/>
          </w:tblCellMar>
        </w:tblPrEx>
        <w:trPr>
          <w:trHeight w:val="978"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rPr>
              <w:t>3</w:t>
            </w:r>
          </w:p>
        </w:tc>
        <w:tc>
          <w:tcPr>
            <w:tcW w:w="198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2"/>
                <w:sz w:val="21"/>
                <w:szCs w:val="21"/>
                <w:highlight w:val="none"/>
                <w:u w:val="none"/>
                <w:lang w:val="en-US" w:eastAsia="zh-CN" w:bidi="ar-SA"/>
              </w:rPr>
              <w:t>超高压适配器</w:t>
            </w:r>
          </w:p>
          <w:p>
            <w:pPr>
              <w:keepNext w:val="0"/>
              <w:keepLines w:val="0"/>
              <w:widowControl/>
              <w:suppressLineNumbers w:val="0"/>
              <w:jc w:val="center"/>
              <w:textAlignment w:val="center"/>
              <w:rPr>
                <w:rFonts w:hint="default" w:ascii="宋体" w:hAnsi="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2"/>
                <w:sz w:val="21"/>
                <w:szCs w:val="21"/>
                <w:highlight w:val="none"/>
                <w:u w:val="none"/>
                <w:lang w:val="en-US" w:eastAsia="zh-CN" w:bidi="ar-SA"/>
              </w:rPr>
              <w:t>（接头）</w:t>
            </w:r>
          </w:p>
        </w:tc>
        <w:tc>
          <w:tcPr>
            <w:tcW w:w="124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2"/>
                <w:sz w:val="21"/>
                <w:szCs w:val="21"/>
                <w:highlight w:val="none"/>
                <w:u w:val="none"/>
                <w:lang w:val="en-US" w:eastAsia="zh-CN" w:bidi="ar-SA"/>
              </w:rPr>
              <w:t>CEJN</w:t>
            </w:r>
          </w:p>
        </w:tc>
        <w:tc>
          <w:tcPr>
            <w:tcW w:w="186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2"/>
                <w:sz w:val="21"/>
                <w:szCs w:val="21"/>
                <w:highlight w:val="none"/>
                <w:u w:val="none"/>
                <w:lang w:val="en-US" w:eastAsia="zh-CN" w:bidi="ar-SA"/>
              </w:rPr>
              <w:t>G 1/4转G 1/4</w:t>
            </w:r>
          </w:p>
          <w:p>
            <w:pPr>
              <w:keepNext w:val="0"/>
              <w:keepLines w:val="0"/>
              <w:widowControl/>
              <w:suppressLineNumbers w:val="0"/>
              <w:jc w:val="center"/>
              <w:textAlignment w:val="center"/>
              <w:rPr>
                <w:rFonts w:hint="default" w:ascii="宋体" w:hAnsi="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2"/>
                <w:sz w:val="21"/>
                <w:szCs w:val="21"/>
                <w:highlight w:val="none"/>
                <w:u w:val="none"/>
                <w:lang w:val="en-US" w:eastAsia="zh-CN" w:bidi="ar-SA"/>
              </w:rPr>
              <w:t>（货号199501601）</w:t>
            </w:r>
          </w:p>
        </w:tc>
        <w:tc>
          <w:tcPr>
            <w:tcW w:w="154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50个</w:t>
            </w:r>
          </w:p>
        </w:tc>
        <w:tc>
          <w:tcPr>
            <w:tcW w:w="138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23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CellMar>
            <w:top w:w="0" w:type="dxa"/>
            <w:left w:w="108" w:type="dxa"/>
            <w:bottom w:w="0" w:type="dxa"/>
            <w:right w:w="108" w:type="dxa"/>
          </w:tblCellMar>
        </w:tblPrEx>
        <w:trPr>
          <w:trHeight w:val="784"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rPr>
              <w:t>4</w:t>
            </w:r>
          </w:p>
        </w:tc>
        <w:tc>
          <w:tcPr>
            <w:tcW w:w="198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快插式接头（公母两端为一套）</w:t>
            </w:r>
          </w:p>
        </w:tc>
        <w:tc>
          <w:tcPr>
            <w:tcW w:w="124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CEJN</w:t>
            </w:r>
          </w:p>
        </w:tc>
        <w:tc>
          <w:tcPr>
            <w:tcW w:w="1860" w:type="dxa"/>
            <w:tcBorders>
              <w:top w:val="single" w:color="auto" w:sz="4" w:space="0"/>
              <w:left w:val="nil"/>
              <w:bottom w:val="single" w:color="auto" w:sz="4" w:space="0"/>
              <w:right w:val="single" w:color="auto" w:sz="4" w:space="0"/>
            </w:tcBorders>
            <w:noWrap/>
            <w:vAlign w:val="center"/>
          </w:tcPr>
          <w:p>
            <w:pPr>
              <w:pStyle w:val="5"/>
              <w:keepNext w:val="0"/>
              <w:keepLines w:val="0"/>
              <w:widowControl/>
              <w:suppressLineNumbers w:val="0"/>
              <w:shd w:val="clear" w:color="auto" w:fill="FFFFFF"/>
              <w:spacing w:before="0" w:beforeAutospacing="0" w:line="18" w:lineRule="atLeast"/>
              <w:ind w:left="0" w:firstLine="0"/>
              <w:rPr>
                <w:rFonts w:hint="eastAsia" w:ascii="宋体" w:hAnsi="宋体" w:eastAsia="宋体" w:cs="宋体"/>
                <w:i w:val="0"/>
                <w:iCs w:val="0"/>
                <w:color w:val="000000"/>
                <w:kern w:val="2"/>
                <w:sz w:val="21"/>
                <w:szCs w:val="21"/>
                <w:highlight w:val="none"/>
                <w:u w:val="none"/>
                <w:lang w:val="en-US" w:eastAsia="zh-CN" w:bidi="ar-SA"/>
              </w:rPr>
            </w:pPr>
            <w:r>
              <w:rPr>
                <w:rFonts w:hint="default" w:ascii="宋体" w:hAnsi="宋体" w:eastAsia="宋体" w:cs="宋体"/>
                <w:b w:val="0"/>
                <w:bCs w:val="0"/>
                <w:i w:val="0"/>
                <w:iCs w:val="0"/>
                <w:color w:val="000000"/>
                <w:kern w:val="0"/>
                <w:sz w:val="21"/>
                <w:szCs w:val="21"/>
                <w:highlight w:val="none"/>
                <w:u w:val="none"/>
                <w:lang w:val="en-US" w:eastAsia="zh-CN" w:bidi="ar"/>
              </w:rPr>
              <w:t>125系列, 250 MPa</w:t>
            </w:r>
          </w:p>
        </w:tc>
        <w:tc>
          <w:tcPr>
            <w:tcW w:w="154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10套</w:t>
            </w:r>
          </w:p>
        </w:tc>
        <w:tc>
          <w:tcPr>
            <w:tcW w:w="138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23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CellMar>
            <w:top w:w="0" w:type="dxa"/>
            <w:left w:w="108" w:type="dxa"/>
            <w:bottom w:w="0" w:type="dxa"/>
            <w:right w:w="108" w:type="dxa"/>
          </w:tblCellMar>
        </w:tblPrEx>
        <w:trPr>
          <w:trHeight w:val="847"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rPr>
              <w:t>5</w:t>
            </w:r>
          </w:p>
        </w:tc>
        <w:tc>
          <w:tcPr>
            <w:tcW w:w="198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快插式接头（公母两端为一套）</w:t>
            </w:r>
          </w:p>
        </w:tc>
        <w:tc>
          <w:tcPr>
            <w:tcW w:w="124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CEJN</w:t>
            </w:r>
          </w:p>
        </w:tc>
        <w:tc>
          <w:tcPr>
            <w:tcW w:w="1860" w:type="dxa"/>
            <w:tcBorders>
              <w:top w:val="single" w:color="auto" w:sz="4" w:space="0"/>
              <w:left w:val="nil"/>
              <w:bottom w:val="single" w:color="auto" w:sz="4" w:space="0"/>
              <w:right w:val="single" w:color="auto" w:sz="4" w:space="0"/>
            </w:tcBorders>
            <w:noWrap/>
            <w:vAlign w:val="center"/>
          </w:tcPr>
          <w:p>
            <w:pPr>
              <w:pStyle w:val="5"/>
              <w:keepNext w:val="0"/>
              <w:keepLines w:val="0"/>
              <w:widowControl/>
              <w:suppressLineNumbers w:val="0"/>
              <w:shd w:val="clear" w:color="auto" w:fill="FFFFFF"/>
              <w:spacing w:before="0" w:beforeAutospacing="0" w:line="18" w:lineRule="atLeast"/>
              <w:ind w:left="0" w:firstLine="0"/>
              <w:rPr>
                <w:rFonts w:hint="default" w:ascii="宋体" w:hAnsi="宋体" w:eastAsia="宋体" w:cs="宋体"/>
                <w:i w:val="0"/>
                <w:iCs w:val="0"/>
                <w:color w:val="000000"/>
                <w:kern w:val="2"/>
                <w:sz w:val="21"/>
                <w:szCs w:val="21"/>
                <w:highlight w:val="none"/>
                <w:u w:val="none"/>
                <w:lang w:val="en-US" w:eastAsia="zh-CN" w:bidi="ar-SA"/>
              </w:rPr>
            </w:pPr>
            <w:r>
              <w:rPr>
                <w:rFonts w:hint="default" w:ascii="宋体" w:hAnsi="宋体" w:eastAsia="宋体" w:cs="宋体"/>
                <w:b w:val="0"/>
                <w:bCs w:val="0"/>
                <w:i w:val="0"/>
                <w:iCs w:val="0"/>
                <w:color w:val="000000"/>
                <w:kern w:val="0"/>
                <w:sz w:val="21"/>
                <w:szCs w:val="21"/>
                <w:highlight w:val="none"/>
                <w:u w:val="none"/>
                <w:lang w:val="en-US" w:eastAsia="zh-CN" w:bidi="ar"/>
              </w:rPr>
              <w:t>116 系列，150 MPa</w:t>
            </w:r>
          </w:p>
        </w:tc>
        <w:tc>
          <w:tcPr>
            <w:tcW w:w="154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rPr>
              <w:t>20套</w:t>
            </w:r>
          </w:p>
        </w:tc>
        <w:tc>
          <w:tcPr>
            <w:tcW w:w="138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23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CellMar>
            <w:top w:w="0" w:type="dxa"/>
            <w:left w:w="108" w:type="dxa"/>
            <w:bottom w:w="0" w:type="dxa"/>
            <w:right w:w="108" w:type="dxa"/>
          </w:tblCellMar>
        </w:tblPrEx>
        <w:trPr>
          <w:trHeight w:val="793"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rPr>
              <w:t>6</w:t>
            </w:r>
          </w:p>
        </w:tc>
        <w:tc>
          <w:tcPr>
            <w:tcW w:w="198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液压扳手专用旋转式快速接头</w:t>
            </w:r>
          </w:p>
        </w:tc>
        <w:tc>
          <w:tcPr>
            <w:tcW w:w="124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ENERPAC</w:t>
            </w:r>
          </w:p>
        </w:tc>
        <w:tc>
          <w:tcPr>
            <w:tcW w:w="186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KZE-10212</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（700bar）</w:t>
            </w:r>
          </w:p>
        </w:tc>
        <w:tc>
          <w:tcPr>
            <w:tcW w:w="154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套</w:t>
            </w:r>
          </w:p>
        </w:tc>
        <w:tc>
          <w:tcPr>
            <w:tcW w:w="138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23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CellMar>
            <w:top w:w="0" w:type="dxa"/>
            <w:left w:w="108" w:type="dxa"/>
            <w:bottom w:w="0" w:type="dxa"/>
            <w:right w:w="108" w:type="dxa"/>
          </w:tblCellMar>
        </w:tblPrEx>
        <w:trPr>
          <w:trHeight w:val="1068"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rPr>
              <w:t>7</w:t>
            </w:r>
          </w:p>
        </w:tc>
        <w:tc>
          <w:tcPr>
            <w:tcW w:w="198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液压扳手专用液压油管（6米双联）</w:t>
            </w:r>
          </w:p>
        </w:tc>
        <w:tc>
          <w:tcPr>
            <w:tcW w:w="124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ENERPAC</w:t>
            </w:r>
          </w:p>
        </w:tc>
        <w:tc>
          <w:tcPr>
            <w:tcW w:w="186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THQ706T</w:t>
            </w:r>
          </w:p>
        </w:tc>
        <w:tc>
          <w:tcPr>
            <w:tcW w:w="154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3套</w:t>
            </w:r>
          </w:p>
        </w:tc>
        <w:tc>
          <w:tcPr>
            <w:tcW w:w="138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23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CellMar>
            <w:top w:w="0" w:type="dxa"/>
            <w:left w:w="108" w:type="dxa"/>
            <w:bottom w:w="0" w:type="dxa"/>
            <w:right w:w="108" w:type="dxa"/>
          </w:tblCellMar>
        </w:tblPrEx>
        <w:trPr>
          <w:trHeight w:val="863"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rPr>
              <w:t>8</w:t>
            </w:r>
          </w:p>
        </w:tc>
        <w:tc>
          <w:tcPr>
            <w:tcW w:w="198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液压扳手泵控制手柄</w:t>
            </w:r>
          </w:p>
        </w:tc>
        <w:tc>
          <w:tcPr>
            <w:tcW w:w="124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ENERPAC</w:t>
            </w:r>
          </w:p>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/POWERTEAM</w:t>
            </w:r>
          </w:p>
        </w:tc>
        <w:tc>
          <w:tcPr>
            <w:tcW w:w="186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6米线缆</w:t>
            </w:r>
          </w:p>
        </w:tc>
        <w:tc>
          <w:tcPr>
            <w:tcW w:w="154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2套</w:t>
            </w:r>
          </w:p>
        </w:tc>
        <w:tc>
          <w:tcPr>
            <w:tcW w:w="138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3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CellMar>
            <w:top w:w="0" w:type="dxa"/>
            <w:left w:w="108" w:type="dxa"/>
            <w:bottom w:w="0" w:type="dxa"/>
            <w:right w:w="108" w:type="dxa"/>
          </w:tblCellMar>
        </w:tblPrEx>
        <w:trPr>
          <w:trHeight w:val="485"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rPr>
              <w:t>9</w:t>
            </w:r>
          </w:p>
        </w:tc>
        <w:tc>
          <w:tcPr>
            <w:tcW w:w="198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液压扳手油缸</w:t>
            </w:r>
          </w:p>
        </w:tc>
        <w:tc>
          <w:tcPr>
            <w:tcW w:w="124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Atlas(RT)</w:t>
            </w:r>
          </w:p>
        </w:tc>
        <w:tc>
          <w:tcPr>
            <w:tcW w:w="186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RTX-08</w:t>
            </w:r>
          </w:p>
        </w:tc>
        <w:tc>
          <w:tcPr>
            <w:tcW w:w="154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2套</w:t>
            </w:r>
          </w:p>
        </w:tc>
        <w:tc>
          <w:tcPr>
            <w:tcW w:w="138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p>
        </w:tc>
        <w:tc>
          <w:tcPr>
            <w:tcW w:w="123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p>
        </w:tc>
      </w:tr>
      <w:tr>
        <w:tblPrEx>
          <w:tblCellMar>
            <w:top w:w="0" w:type="dxa"/>
            <w:left w:w="108" w:type="dxa"/>
            <w:bottom w:w="0" w:type="dxa"/>
            <w:right w:w="108" w:type="dxa"/>
          </w:tblCellMar>
        </w:tblPrEx>
        <w:trPr>
          <w:trHeight w:val="877"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rPr>
              <w:t>10</w:t>
            </w:r>
          </w:p>
        </w:tc>
        <w:tc>
          <w:tcPr>
            <w:tcW w:w="198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液压工具专用液压油</w:t>
            </w:r>
          </w:p>
        </w:tc>
        <w:tc>
          <w:tcPr>
            <w:tcW w:w="124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ENERPAC</w:t>
            </w:r>
          </w:p>
        </w:tc>
        <w:tc>
          <w:tcPr>
            <w:tcW w:w="186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ascii="宋体" w:hAnsi="宋体" w:eastAsia="宋体" w:cs="宋体"/>
                <w:sz w:val="21"/>
                <w:szCs w:val="21"/>
              </w:rPr>
              <w:t> HF-103\10L/</w:t>
            </w:r>
            <w:r>
              <w:rPr>
                <w:rFonts w:hint="eastAsia" w:ascii="宋体" w:hAnsi="宋体" w:cs="宋体"/>
                <w:sz w:val="21"/>
                <w:szCs w:val="21"/>
                <w:lang w:val="en-US" w:eastAsia="zh-CN"/>
              </w:rPr>
              <w:t>桶</w:t>
            </w:r>
          </w:p>
        </w:tc>
        <w:tc>
          <w:tcPr>
            <w:tcW w:w="154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10桶</w:t>
            </w:r>
          </w:p>
        </w:tc>
        <w:tc>
          <w:tcPr>
            <w:tcW w:w="138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3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CellMar>
            <w:top w:w="0" w:type="dxa"/>
            <w:left w:w="108" w:type="dxa"/>
            <w:bottom w:w="0" w:type="dxa"/>
            <w:right w:w="108" w:type="dxa"/>
          </w:tblCellMar>
        </w:tblPrEx>
        <w:trPr>
          <w:trHeight w:val="877" w:hRule="atLeast"/>
        </w:trPr>
        <w:tc>
          <w:tcPr>
            <w:tcW w:w="8700"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kern w:val="0"/>
                <w:szCs w:val="21"/>
                <w:highlight w:val="none"/>
                <w:lang w:val="en-US" w:eastAsia="zh-CN"/>
              </w:rPr>
              <w:t>不含税合计：</w:t>
            </w:r>
          </w:p>
        </w:tc>
        <w:tc>
          <w:tcPr>
            <w:tcW w:w="123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bl>
    <w:p>
      <w:pPr>
        <w:pStyle w:val="2"/>
        <w:rPr>
          <w:rFonts w:hint="eastAsia" w:ascii="黑体" w:hAnsi="黑体" w:eastAsia="黑体"/>
          <w:sz w:val="24"/>
          <w:szCs w:val="24"/>
          <w:highlight w:val="none"/>
        </w:rPr>
      </w:pPr>
    </w:p>
    <w:p>
      <w:pPr>
        <w:pStyle w:val="2"/>
        <w:rPr>
          <w:rFonts w:hint="eastAsia" w:ascii="黑体" w:hAnsi="黑体" w:eastAsia="黑体"/>
          <w:sz w:val="24"/>
          <w:szCs w:val="24"/>
          <w:highlight w:val="none"/>
        </w:rPr>
      </w:pPr>
    </w:p>
    <w:p>
      <w:pPr>
        <w:pStyle w:val="2"/>
        <w:rPr>
          <w:rFonts w:hint="eastAsia" w:ascii="黑体" w:hAnsi="黑体" w:eastAsia="黑体"/>
          <w:sz w:val="24"/>
          <w:szCs w:val="24"/>
          <w:highlight w:val="none"/>
        </w:rPr>
      </w:pPr>
    </w:p>
    <w:p>
      <w:pPr>
        <w:pStyle w:val="2"/>
        <w:rPr>
          <w:rFonts w:hint="eastAsia" w:ascii="黑体" w:hAnsi="黑体" w:eastAsia="黑体"/>
          <w:sz w:val="24"/>
          <w:szCs w:val="24"/>
          <w:highlight w:val="none"/>
        </w:rPr>
      </w:pPr>
    </w:p>
    <w:p>
      <w:pPr>
        <w:pStyle w:val="2"/>
        <w:rPr>
          <w:rFonts w:hint="eastAsia" w:ascii="黑体" w:hAnsi="黑体" w:eastAsia="黑体"/>
          <w:sz w:val="24"/>
          <w:szCs w:val="24"/>
          <w:highlight w:val="none"/>
        </w:rPr>
      </w:pPr>
    </w:p>
    <w:p>
      <w:pPr>
        <w:pStyle w:val="2"/>
        <w:rPr>
          <w:rFonts w:hint="eastAsia" w:ascii="黑体" w:hAnsi="黑体" w:eastAsia="黑体"/>
          <w:sz w:val="24"/>
          <w:szCs w:val="24"/>
          <w:highlight w:val="none"/>
        </w:rPr>
      </w:pPr>
    </w:p>
    <w:p>
      <w:pPr>
        <w:pStyle w:val="2"/>
        <w:rPr>
          <w:rFonts w:hint="eastAsia" w:ascii="黑体" w:hAnsi="黑体" w:eastAsia="黑体"/>
          <w:sz w:val="24"/>
          <w:szCs w:val="24"/>
          <w:highlight w:val="none"/>
        </w:rPr>
      </w:pPr>
    </w:p>
    <w:p>
      <w:pPr>
        <w:pStyle w:val="2"/>
        <w:rPr>
          <w:rFonts w:hint="eastAsia" w:ascii="黑体" w:hAnsi="黑体" w:eastAsia="黑体"/>
          <w:sz w:val="24"/>
          <w:szCs w:val="24"/>
          <w:highlight w:val="none"/>
        </w:rPr>
      </w:pPr>
    </w:p>
    <w:p>
      <w:pPr>
        <w:pStyle w:val="2"/>
        <w:rPr>
          <w:rFonts w:hint="eastAsia" w:ascii="黑体" w:hAnsi="黑体" w:eastAsia="黑体"/>
          <w:sz w:val="24"/>
          <w:szCs w:val="24"/>
          <w:highlight w:val="none"/>
        </w:rPr>
      </w:pPr>
    </w:p>
    <w:p>
      <w:pPr>
        <w:pStyle w:val="2"/>
        <w:rPr>
          <w:rFonts w:hint="eastAsia" w:ascii="黑体" w:hAnsi="黑体" w:eastAsia="黑体"/>
          <w:sz w:val="24"/>
          <w:szCs w:val="24"/>
          <w:highlight w:val="none"/>
        </w:rPr>
      </w:pPr>
    </w:p>
    <w:tbl>
      <w:tblPr>
        <w:tblStyle w:val="16"/>
        <w:tblpPr w:leftFromText="180" w:rightFromText="180" w:vertAnchor="text" w:horzAnchor="page" w:tblpX="1410" w:tblpY="1"/>
        <w:tblOverlap w:val="never"/>
        <w:tblW w:w="9835" w:type="dxa"/>
        <w:tblInd w:w="0" w:type="dxa"/>
        <w:tblLayout w:type="fixed"/>
        <w:tblCellMar>
          <w:top w:w="0" w:type="dxa"/>
          <w:left w:w="108" w:type="dxa"/>
          <w:bottom w:w="0" w:type="dxa"/>
          <w:right w:w="108" w:type="dxa"/>
        </w:tblCellMar>
      </w:tblPr>
      <w:tblGrid>
        <w:gridCol w:w="843"/>
        <w:gridCol w:w="2337"/>
        <w:gridCol w:w="1230"/>
        <w:gridCol w:w="1635"/>
        <w:gridCol w:w="2010"/>
        <w:gridCol w:w="1780"/>
      </w:tblGrid>
      <w:tr>
        <w:tblPrEx>
          <w:tblCellMar>
            <w:top w:w="0" w:type="dxa"/>
            <w:left w:w="108" w:type="dxa"/>
            <w:bottom w:w="0" w:type="dxa"/>
            <w:right w:w="108" w:type="dxa"/>
          </w:tblCellMar>
        </w:tblPrEx>
        <w:trPr>
          <w:trHeight w:val="842" w:hRule="atLeast"/>
        </w:trPr>
        <w:tc>
          <w:tcPr>
            <w:tcW w:w="9835" w:type="dxa"/>
            <w:gridSpan w:val="6"/>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kern w:val="0"/>
                <w:szCs w:val="21"/>
                <w:lang w:val="en-US" w:eastAsia="zh-CN"/>
              </w:rPr>
            </w:pPr>
            <w:r>
              <w:rPr>
                <w:rFonts w:hint="eastAsia" w:ascii="宋体" w:hAnsi="宋体" w:eastAsia="宋体" w:cs="宋体"/>
                <w:b/>
                <w:kern w:val="0"/>
                <w:szCs w:val="21"/>
                <w:lang w:val="en-US" w:eastAsia="zh-CN"/>
              </w:rPr>
              <w:t>表五、邮寄</w:t>
            </w:r>
          </w:p>
        </w:tc>
      </w:tr>
      <w:tr>
        <w:tblPrEx>
          <w:tblCellMar>
            <w:top w:w="0" w:type="dxa"/>
            <w:left w:w="108" w:type="dxa"/>
            <w:bottom w:w="0" w:type="dxa"/>
            <w:right w:w="108" w:type="dxa"/>
          </w:tblCellMar>
        </w:tblPrEx>
        <w:trPr>
          <w:trHeight w:val="842" w:hRule="atLeast"/>
        </w:trPr>
        <w:tc>
          <w:tcPr>
            <w:tcW w:w="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序号</w:t>
            </w:r>
          </w:p>
        </w:tc>
        <w:tc>
          <w:tcPr>
            <w:tcW w:w="2337"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名称</w:t>
            </w:r>
          </w:p>
        </w:tc>
        <w:tc>
          <w:tcPr>
            <w:tcW w:w="1230"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单位</w:t>
            </w:r>
          </w:p>
        </w:tc>
        <w:tc>
          <w:tcPr>
            <w:tcW w:w="163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预估数量</w:t>
            </w:r>
          </w:p>
        </w:tc>
        <w:tc>
          <w:tcPr>
            <w:tcW w:w="201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lang w:val="en-US" w:eastAsia="zh-CN"/>
              </w:rPr>
            </w:pPr>
            <w:r>
              <w:rPr>
                <w:rFonts w:hint="eastAsia" w:ascii="宋体" w:hAnsi="宋体" w:cs="宋体"/>
                <w:kern w:val="0"/>
                <w:szCs w:val="21"/>
                <w:lang w:val="en-US" w:eastAsia="zh-CN"/>
              </w:rPr>
              <w:t>单价（元）</w:t>
            </w:r>
          </w:p>
        </w:tc>
        <w:tc>
          <w:tcPr>
            <w:tcW w:w="178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lang w:val="en-US" w:eastAsia="zh-CN"/>
              </w:rPr>
            </w:pPr>
            <w:r>
              <w:rPr>
                <w:rFonts w:hint="eastAsia" w:ascii="宋体" w:hAnsi="宋体" w:cs="宋体"/>
                <w:kern w:val="0"/>
                <w:szCs w:val="21"/>
                <w:lang w:val="en-US" w:eastAsia="zh-CN"/>
              </w:rPr>
              <w:t>总价（元）</w:t>
            </w:r>
          </w:p>
        </w:tc>
      </w:tr>
      <w:tr>
        <w:tblPrEx>
          <w:tblCellMar>
            <w:top w:w="0" w:type="dxa"/>
            <w:left w:w="108" w:type="dxa"/>
            <w:bottom w:w="0" w:type="dxa"/>
            <w:right w:w="108" w:type="dxa"/>
          </w:tblCellMar>
        </w:tblPrEx>
        <w:trPr>
          <w:trHeight w:val="842" w:hRule="atLeast"/>
        </w:trPr>
        <w:tc>
          <w:tcPr>
            <w:tcW w:w="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1</w:t>
            </w:r>
          </w:p>
        </w:tc>
        <w:tc>
          <w:tcPr>
            <w:tcW w:w="233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2"/>
                <w:sz w:val="21"/>
                <w:szCs w:val="21"/>
                <w:highlight w:val="none"/>
                <w:u w:val="none"/>
                <w:lang w:val="en-US" w:eastAsia="zh-CN" w:bidi="ar-SA"/>
              </w:rPr>
              <w:t>顺丰快递</w:t>
            </w:r>
          </w:p>
        </w:tc>
        <w:tc>
          <w:tcPr>
            <w:tcW w:w="123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/KG</w:t>
            </w:r>
          </w:p>
        </w:tc>
        <w:tc>
          <w:tcPr>
            <w:tcW w:w="163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1000KG</w:t>
            </w:r>
          </w:p>
        </w:tc>
        <w:tc>
          <w:tcPr>
            <w:tcW w:w="201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p>
        </w:tc>
        <w:tc>
          <w:tcPr>
            <w:tcW w:w="178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2"/>
                <w:sz w:val="21"/>
                <w:szCs w:val="21"/>
                <w:highlight w:val="none"/>
                <w:u w:val="none"/>
                <w:lang w:val="en-US" w:eastAsia="zh-CN" w:bidi="ar-SA"/>
              </w:rPr>
            </w:pPr>
          </w:p>
        </w:tc>
      </w:tr>
      <w:tr>
        <w:tblPrEx>
          <w:tblCellMar>
            <w:top w:w="0" w:type="dxa"/>
            <w:left w:w="108" w:type="dxa"/>
            <w:bottom w:w="0" w:type="dxa"/>
            <w:right w:w="108" w:type="dxa"/>
          </w:tblCellMar>
        </w:tblPrEx>
        <w:trPr>
          <w:trHeight w:val="842" w:hRule="atLeast"/>
        </w:trPr>
        <w:tc>
          <w:tcPr>
            <w:tcW w:w="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2</w:t>
            </w:r>
          </w:p>
        </w:tc>
        <w:tc>
          <w:tcPr>
            <w:tcW w:w="233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2"/>
                <w:sz w:val="21"/>
                <w:szCs w:val="21"/>
                <w:highlight w:val="none"/>
                <w:u w:val="none"/>
                <w:lang w:val="en-US" w:eastAsia="zh-CN" w:bidi="ar-SA"/>
              </w:rPr>
              <w:t>其他物流、快递</w:t>
            </w:r>
          </w:p>
        </w:tc>
        <w:tc>
          <w:tcPr>
            <w:tcW w:w="123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/KG</w:t>
            </w:r>
          </w:p>
        </w:tc>
        <w:tc>
          <w:tcPr>
            <w:tcW w:w="163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500KG</w:t>
            </w:r>
          </w:p>
        </w:tc>
        <w:tc>
          <w:tcPr>
            <w:tcW w:w="201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p>
        </w:tc>
        <w:tc>
          <w:tcPr>
            <w:tcW w:w="178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2"/>
                <w:sz w:val="21"/>
                <w:szCs w:val="21"/>
                <w:highlight w:val="none"/>
                <w:u w:val="none"/>
                <w:lang w:val="en-US" w:eastAsia="zh-CN" w:bidi="ar-SA"/>
              </w:rPr>
            </w:pPr>
          </w:p>
        </w:tc>
      </w:tr>
      <w:tr>
        <w:tblPrEx>
          <w:tblCellMar>
            <w:top w:w="0" w:type="dxa"/>
            <w:left w:w="108" w:type="dxa"/>
            <w:bottom w:w="0" w:type="dxa"/>
            <w:right w:w="108" w:type="dxa"/>
          </w:tblCellMar>
        </w:tblPrEx>
        <w:trPr>
          <w:trHeight w:val="878" w:hRule="atLeast"/>
        </w:trPr>
        <w:tc>
          <w:tcPr>
            <w:tcW w:w="8055"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2"/>
                <w:sz w:val="21"/>
                <w:szCs w:val="21"/>
                <w:highlight w:val="none"/>
                <w:u w:val="none"/>
                <w:lang w:val="en-US" w:eastAsia="zh-CN" w:bidi="ar-SA"/>
              </w:rPr>
            </w:pPr>
            <w:r>
              <w:rPr>
                <w:rFonts w:hint="eastAsia" w:ascii="宋体" w:hAnsi="宋体" w:cs="宋体"/>
                <w:kern w:val="0"/>
                <w:szCs w:val="21"/>
                <w:highlight w:val="none"/>
                <w:lang w:val="en-US" w:eastAsia="zh-CN"/>
              </w:rPr>
              <w:t>不含税合计：</w:t>
            </w:r>
          </w:p>
        </w:tc>
        <w:tc>
          <w:tcPr>
            <w:tcW w:w="178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2"/>
                <w:sz w:val="21"/>
                <w:szCs w:val="21"/>
                <w:highlight w:val="none"/>
                <w:u w:val="none"/>
                <w:lang w:val="en-US" w:eastAsia="zh-CN" w:bidi="ar-SA"/>
              </w:rPr>
            </w:pPr>
          </w:p>
        </w:tc>
      </w:tr>
    </w:tbl>
    <w:p>
      <w:pPr>
        <w:pStyle w:val="2"/>
        <w:rPr>
          <w:rFonts w:hint="eastAsia" w:ascii="黑体" w:hAnsi="黑体" w:eastAsia="黑体"/>
          <w:sz w:val="24"/>
          <w:szCs w:val="24"/>
          <w:highlight w:val="none"/>
        </w:rPr>
      </w:pPr>
    </w:p>
    <w:p>
      <w:pPr>
        <w:pStyle w:val="2"/>
        <w:rPr>
          <w:rFonts w:hint="eastAsia" w:ascii="黑体" w:hAnsi="黑体" w:eastAsia="黑体"/>
          <w:sz w:val="24"/>
          <w:szCs w:val="24"/>
          <w:highlight w:val="none"/>
        </w:rPr>
      </w:pPr>
    </w:p>
    <w:p>
      <w:pPr>
        <w:pStyle w:val="2"/>
        <w:rPr>
          <w:rFonts w:hint="eastAsia" w:ascii="黑体" w:hAnsi="黑体" w:eastAsia="黑体"/>
          <w:sz w:val="24"/>
          <w:szCs w:val="24"/>
          <w:highlight w:val="none"/>
        </w:rPr>
      </w:pPr>
    </w:p>
    <w:p>
      <w:pPr>
        <w:pStyle w:val="2"/>
        <w:rPr>
          <w:rFonts w:hint="eastAsia" w:ascii="黑体" w:hAnsi="黑体" w:eastAsia="黑体"/>
          <w:sz w:val="24"/>
          <w:szCs w:val="24"/>
          <w:highlight w:val="none"/>
        </w:rPr>
      </w:pPr>
    </w:p>
    <w:tbl>
      <w:tblPr>
        <w:tblStyle w:val="16"/>
        <w:tblpPr w:leftFromText="180" w:rightFromText="180" w:vertAnchor="text" w:horzAnchor="page" w:tblpX="1410" w:tblpY="1"/>
        <w:tblOverlap w:val="never"/>
        <w:tblW w:w="9835" w:type="dxa"/>
        <w:tblInd w:w="0" w:type="dxa"/>
        <w:tblLayout w:type="fixed"/>
        <w:tblCellMar>
          <w:top w:w="0" w:type="dxa"/>
          <w:left w:w="108" w:type="dxa"/>
          <w:bottom w:w="0" w:type="dxa"/>
          <w:right w:w="108" w:type="dxa"/>
        </w:tblCellMar>
      </w:tblPr>
      <w:tblGrid>
        <w:gridCol w:w="843"/>
        <w:gridCol w:w="2337"/>
        <w:gridCol w:w="1230"/>
        <w:gridCol w:w="1635"/>
        <w:gridCol w:w="2010"/>
        <w:gridCol w:w="1780"/>
      </w:tblGrid>
      <w:tr>
        <w:tblPrEx>
          <w:tblCellMar>
            <w:top w:w="0" w:type="dxa"/>
            <w:left w:w="108" w:type="dxa"/>
            <w:bottom w:w="0" w:type="dxa"/>
            <w:right w:w="108" w:type="dxa"/>
          </w:tblCellMar>
        </w:tblPrEx>
        <w:trPr>
          <w:trHeight w:val="842" w:hRule="atLeast"/>
        </w:trPr>
        <w:tc>
          <w:tcPr>
            <w:tcW w:w="9835" w:type="dxa"/>
            <w:gridSpan w:val="6"/>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kern w:val="0"/>
                <w:szCs w:val="21"/>
                <w:lang w:val="en-US" w:eastAsia="zh-CN"/>
              </w:rPr>
            </w:pPr>
            <w:r>
              <w:rPr>
                <w:rFonts w:hint="eastAsia" w:ascii="宋体" w:hAnsi="宋体" w:eastAsia="宋体" w:cs="宋体"/>
                <w:b/>
                <w:kern w:val="0"/>
                <w:szCs w:val="21"/>
                <w:lang w:val="en-US" w:eastAsia="zh-CN"/>
              </w:rPr>
              <w:t>表六、动员、服务</w:t>
            </w:r>
          </w:p>
        </w:tc>
      </w:tr>
      <w:tr>
        <w:tblPrEx>
          <w:tblCellMar>
            <w:top w:w="0" w:type="dxa"/>
            <w:left w:w="108" w:type="dxa"/>
            <w:bottom w:w="0" w:type="dxa"/>
            <w:right w:w="108" w:type="dxa"/>
          </w:tblCellMar>
        </w:tblPrEx>
        <w:trPr>
          <w:trHeight w:val="842" w:hRule="atLeast"/>
        </w:trPr>
        <w:tc>
          <w:tcPr>
            <w:tcW w:w="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序号</w:t>
            </w:r>
          </w:p>
        </w:tc>
        <w:tc>
          <w:tcPr>
            <w:tcW w:w="2337"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名称</w:t>
            </w:r>
          </w:p>
        </w:tc>
        <w:tc>
          <w:tcPr>
            <w:tcW w:w="1230"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单位</w:t>
            </w:r>
          </w:p>
        </w:tc>
        <w:tc>
          <w:tcPr>
            <w:tcW w:w="163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预估数量</w:t>
            </w:r>
          </w:p>
        </w:tc>
        <w:tc>
          <w:tcPr>
            <w:tcW w:w="201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lang w:val="en-US" w:eastAsia="zh-CN"/>
              </w:rPr>
            </w:pPr>
            <w:r>
              <w:rPr>
                <w:rFonts w:hint="eastAsia" w:ascii="宋体" w:hAnsi="宋体" w:cs="宋体"/>
                <w:kern w:val="0"/>
                <w:szCs w:val="21"/>
                <w:lang w:val="en-US" w:eastAsia="zh-CN"/>
              </w:rPr>
              <w:t>单价（元）</w:t>
            </w:r>
          </w:p>
        </w:tc>
        <w:tc>
          <w:tcPr>
            <w:tcW w:w="178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highlight w:val="none"/>
                <w:lang w:val="en-US" w:eastAsia="zh-CN"/>
              </w:rPr>
            </w:pPr>
            <w:r>
              <w:rPr>
                <w:rFonts w:hint="eastAsia" w:ascii="宋体" w:hAnsi="宋体" w:cs="宋体"/>
                <w:kern w:val="0"/>
                <w:szCs w:val="21"/>
                <w:lang w:val="en-US" w:eastAsia="zh-CN"/>
              </w:rPr>
              <w:t>总价（元）</w:t>
            </w:r>
          </w:p>
        </w:tc>
      </w:tr>
      <w:tr>
        <w:tblPrEx>
          <w:tblCellMar>
            <w:top w:w="0" w:type="dxa"/>
            <w:left w:w="108" w:type="dxa"/>
            <w:bottom w:w="0" w:type="dxa"/>
            <w:right w:w="108" w:type="dxa"/>
          </w:tblCellMar>
        </w:tblPrEx>
        <w:trPr>
          <w:trHeight w:val="842" w:hRule="atLeast"/>
        </w:trPr>
        <w:tc>
          <w:tcPr>
            <w:tcW w:w="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1</w:t>
            </w:r>
          </w:p>
        </w:tc>
        <w:tc>
          <w:tcPr>
            <w:tcW w:w="233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2"/>
                <w:sz w:val="21"/>
                <w:szCs w:val="21"/>
                <w:highlight w:val="none"/>
                <w:u w:val="none"/>
                <w:lang w:val="en-US" w:eastAsia="zh-CN" w:bidi="ar-SA"/>
              </w:rPr>
              <w:t>往返东方市人员动员</w:t>
            </w:r>
          </w:p>
        </w:tc>
        <w:tc>
          <w:tcPr>
            <w:tcW w:w="123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/人</w:t>
            </w:r>
          </w:p>
        </w:tc>
        <w:tc>
          <w:tcPr>
            <w:tcW w:w="163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6人</w:t>
            </w:r>
          </w:p>
        </w:tc>
        <w:tc>
          <w:tcPr>
            <w:tcW w:w="201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p>
        </w:tc>
        <w:tc>
          <w:tcPr>
            <w:tcW w:w="178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2"/>
                <w:sz w:val="21"/>
                <w:szCs w:val="21"/>
                <w:highlight w:val="none"/>
                <w:u w:val="none"/>
                <w:lang w:val="en-US" w:eastAsia="zh-CN" w:bidi="ar-SA"/>
              </w:rPr>
            </w:pPr>
          </w:p>
        </w:tc>
      </w:tr>
      <w:tr>
        <w:tblPrEx>
          <w:tblCellMar>
            <w:top w:w="0" w:type="dxa"/>
            <w:left w:w="108" w:type="dxa"/>
            <w:bottom w:w="0" w:type="dxa"/>
            <w:right w:w="108" w:type="dxa"/>
          </w:tblCellMar>
        </w:tblPrEx>
        <w:trPr>
          <w:trHeight w:val="842" w:hRule="atLeast"/>
        </w:trPr>
        <w:tc>
          <w:tcPr>
            <w:tcW w:w="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2</w:t>
            </w:r>
          </w:p>
        </w:tc>
        <w:tc>
          <w:tcPr>
            <w:tcW w:w="233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2"/>
                <w:sz w:val="21"/>
                <w:szCs w:val="21"/>
                <w:highlight w:val="none"/>
                <w:u w:val="none"/>
                <w:lang w:val="en-US" w:eastAsia="zh-CN" w:bidi="ar-SA"/>
              </w:rPr>
              <w:t>人员现场服务</w:t>
            </w:r>
          </w:p>
        </w:tc>
        <w:tc>
          <w:tcPr>
            <w:tcW w:w="123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/人.天</w:t>
            </w:r>
          </w:p>
        </w:tc>
        <w:tc>
          <w:tcPr>
            <w:tcW w:w="163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60人.天</w:t>
            </w:r>
          </w:p>
        </w:tc>
        <w:tc>
          <w:tcPr>
            <w:tcW w:w="201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p>
        </w:tc>
        <w:tc>
          <w:tcPr>
            <w:tcW w:w="178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2"/>
                <w:sz w:val="21"/>
                <w:szCs w:val="21"/>
                <w:highlight w:val="none"/>
                <w:u w:val="none"/>
                <w:lang w:val="en-US" w:eastAsia="zh-CN" w:bidi="ar-SA"/>
              </w:rPr>
            </w:pPr>
          </w:p>
        </w:tc>
      </w:tr>
      <w:tr>
        <w:tblPrEx>
          <w:tblCellMar>
            <w:top w:w="0" w:type="dxa"/>
            <w:left w:w="108" w:type="dxa"/>
            <w:bottom w:w="0" w:type="dxa"/>
            <w:right w:w="108" w:type="dxa"/>
          </w:tblCellMar>
        </w:tblPrEx>
        <w:trPr>
          <w:trHeight w:val="878" w:hRule="atLeast"/>
        </w:trPr>
        <w:tc>
          <w:tcPr>
            <w:tcW w:w="8055"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2"/>
                <w:sz w:val="21"/>
                <w:szCs w:val="21"/>
                <w:highlight w:val="none"/>
                <w:u w:val="none"/>
                <w:lang w:val="en-US" w:eastAsia="zh-CN" w:bidi="ar-SA"/>
              </w:rPr>
            </w:pPr>
            <w:r>
              <w:rPr>
                <w:rFonts w:hint="eastAsia" w:ascii="宋体" w:hAnsi="宋体" w:cs="宋体"/>
                <w:kern w:val="0"/>
                <w:szCs w:val="21"/>
                <w:highlight w:val="none"/>
                <w:lang w:val="en-US" w:eastAsia="zh-CN"/>
              </w:rPr>
              <w:t>不含税合计：</w:t>
            </w:r>
          </w:p>
        </w:tc>
        <w:tc>
          <w:tcPr>
            <w:tcW w:w="178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2"/>
                <w:sz w:val="21"/>
                <w:szCs w:val="21"/>
                <w:highlight w:val="none"/>
                <w:u w:val="none"/>
                <w:lang w:val="en-US" w:eastAsia="zh-CN" w:bidi="ar-SA"/>
              </w:rPr>
            </w:pPr>
          </w:p>
        </w:tc>
      </w:tr>
    </w:tbl>
    <w:p>
      <w:pPr>
        <w:pStyle w:val="2"/>
        <w:rPr>
          <w:rFonts w:hint="eastAsia" w:ascii="黑体" w:hAnsi="黑体" w:eastAsia="黑体"/>
          <w:sz w:val="24"/>
          <w:szCs w:val="24"/>
          <w:highlight w:val="none"/>
        </w:rPr>
      </w:pPr>
    </w:p>
    <w:p>
      <w:pPr>
        <w:pStyle w:val="2"/>
        <w:rPr>
          <w:rFonts w:hint="eastAsia" w:ascii="黑体" w:hAnsi="黑体" w:eastAsia="黑体"/>
          <w:sz w:val="24"/>
          <w:szCs w:val="24"/>
          <w:highlight w:val="none"/>
        </w:rPr>
      </w:pPr>
    </w:p>
    <w:p>
      <w:pPr>
        <w:pStyle w:val="2"/>
        <w:rPr>
          <w:rFonts w:hint="eastAsia" w:ascii="黑体" w:hAnsi="黑体" w:eastAsia="黑体"/>
          <w:sz w:val="24"/>
          <w:szCs w:val="24"/>
          <w:highlight w:val="none"/>
        </w:rPr>
      </w:pPr>
    </w:p>
    <w:p>
      <w:pPr>
        <w:pStyle w:val="2"/>
        <w:rPr>
          <w:rFonts w:hint="eastAsia" w:ascii="黑体" w:hAnsi="黑体" w:eastAsia="黑体"/>
          <w:sz w:val="24"/>
          <w:szCs w:val="24"/>
          <w:highlight w:val="none"/>
        </w:rPr>
      </w:pPr>
    </w:p>
    <w:p>
      <w:pPr>
        <w:pStyle w:val="2"/>
        <w:rPr>
          <w:rFonts w:hint="eastAsia" w:ascii="黑体" w:hAnsi="黑体" w:eastAsia="黑体"/>
          <w:sz w:val="24"/>
          <w:szCs w:val="24"/>
          <w:highlight w:val="none"/>
        </w:rPr>
      </w:pPr>
    </w:p>
    <w:p>
      <w:pPr>
        <w:pStyle w:val="2"/>
        <w:rPr>
          <w:rFonts w:hint="eastAsia" w:ascii="黑体" w:hAnsi="黑体" w:eastAsia="黑体"/>
          <w:sz w:val="24"/>
          <w:szCs w:val="24"/>
          <w:highlight w:val="none"/>
        </w:rPr>
      </w:pPr>
    </w:p>
    <w:p>
      <w:pPr>
        <w:pStyle w:val="2"/>
        <w:rPr>
          <w:rFonts w:hint="eastAsia" w:ascii="黑体" w:hAnsi="黑体" w:eastAsia="黑体"/>
          <w:sz w:val="24"/>
          <w:szCs w:val="24"/>
          <w:highlight w:val="none"/>
        </w:rPr>
      </w:pPr>
    </w:p>
    <w:p>
      <w:pPr>
        <w:pStyle w:val="2"/>
        <w:rPr>
          <w:rFonts w:hint="eastAsia" w:ascii="黑体" w:hAnsi="黑体" w:eastAsia="黑体"/>
          <w:sz w:val="24"/>
          <w:szCs w:val="24"/>
          <w:highlight w:val="none"/>
        </w:rPr>
      </w:pPr>
    </w:p>
    <w:p>
      <w:pPr>
        <w:pStyle w:val="2"/>
        <w:rPr>
          <w:rFonts w:hint="eastAsia" w:ascii="黑体" w:hAnsi="黑体" w:eastAsia="黑体"/>
          <w:sz w:val="24"/>
          <w:szCs w:val="24"/>
          <w:highlight w:val="none"/>
        </w:rPr>
      </w:pPr>
    </w:p>
    <w:p>
      <w:pPr>
        <w:rPr>
          <w:rFonts w:hint="eastAsia" w:ascii="黑体" w:hAnsi="黑体" w:eastAsia="黑体"/>
          <w:sz w:val="24"/>
          <w:szCs w:val="24"/>
          <w:highlight w:val="none"/>
        </w:rPr>
      </w:pPr>
    </w:p>
    <w:p>
      <w:pPr>
        <w:rPr>
          <w:rFonts w:hint="eastAsia"/>
        </w:rPr>
      </w:pPr>
      <w:r>
        <w:rPr>
          <w:rFonts w:hint="eastAsia" w:ascii="黑体" w:hAnsi="黑体" w:eastAsia="黑体"/>
          <w:sz w:val="24"/>
          <w:szCs w:val="24"/>
          <w:highlight w:val="none"/>
        </w:rPr>
        <w:t>附件</w:t>
      </w:r>
      <w:r>
        <w:rPr>
          <w:rFonts w:ascii="黑体" w:hAnsi="黑体" w:eastAsia="黑体"/>
          <w:sz w:val="24"/>
          <w:szCs w:val="24"/>
          <w:highlight w:val="none"/>
        </w:rPr>
        <w:t>4</w:t>
      </w:r>
      <w:r>
        <w:rPr>
          <w:rFonts w:hint="eastAsia" w:ascii="黑体" w:hAnsi="黑体" w:eastAsia="黑体"/>
          <w:sz w:val="24"/>
          <w:szCs w:val="24"/>
          <w:highlight w:val="none"/>
          <w:lang w:eastAsia="zh-CN"/>
        </w:rPr>
        <w:t>：</w:t>
      </w:r>
      <w:r>
        <w:rPr>
          <w:rFonts w:hint="eastAsia" w:asciiTheme="minorEastAsia" w:hAnsiTheme="minorEastAsia"/>
          <w:b/>
          <w:bCs/>
          <w:sz w:val="24"/>
          <w:szCs w:val="24"/>
          <w:highlight w:val="none"/>
          <w:lang w:val="en-US" w:eastAsia="zh-CN"/>
        </w:rPr>
        <w:t>合同文本（另附）</w:t>
      </w:r>
    </w:p>
    <w:p>
      <w:pPr>
        <w:spacing w:before="240" w:after="240" w:line="360" w:lineRule="auto"/>
        <w:jc w:val="left"/>
        <w:outlineLvl w:val="0"/>
        <w:rPr>
          <w:rFonts w:hint="default" w:asciiTheme="minorEastAsia" w:hAnsiTheme="minorEastAsia" w:eastAsiaTheme="minorEastAsia"/>
          <w:b/>
          <w:bCs/>
          <w:sz w:val="24"/>
          <w:szCs w:val="24"/>
          <w:highlight w:val="none"/>
          <w:lang w:val="en-US" w:eastAsia="zh-CN"/>
        </w:rPr>
      </w:pPr>
      <w:r>
        <w:rPr>
          <w:rFonts w:hint="eastAsia" w:ascii="黑体" w:hAnsi="黑体" w:eastAsia="黑体"/>
          <w:sz w:val="24"/>
          <w:szCs w:val="24"/>
          <w:highlight w:val="none"/>
        </w:rPr>
        <w:t>附件</w:t>
      </w:r>
      <w:r>
        <w:rPr>
          <w:rFonts w:hint="eastAsia" w:ascii="黑体" w:hAnsi="黑体" w:eastAsia="黑体"/>
          <w:sz w:val="24"/>
          <w:szCs w:val="24"/>
          <w:highlight w:val="none"/>
          <w:lang w:val="en-US" w:eastAsia="zh-CN"/>
        </w:rPr>
        <w:t>5</w:t>
      </w:r>
      <w:r>
        <w:rPr>
          <w:rFonts w:hint="eastAsia" w:ascii="黑体" w:hAnsi="黑体" w:eastAsia="黑体"/>
          <w:sz w:val="24"/>
          <w:szCs w:val="24"/>
          <w:highlight w:val="none"/>
        </w:rPr>
        <w:t>：</w:t>
      </w:r>
      <w:r>
        <w:rPr>
          <w:rFonts w:hint="eastAsia" w:asciiTheme="minorEastAsia" w:hAnsiTheme="minorEastAsia"/>
          <w:b/>
          <w:bCs/>
          <w:sz w:val="24"/>
          <w:szCs w:val="24"/>
          <w:highlight w:val="none"/>
          <w:lang w:val="en-US" w:eastAsia="zh-CN"/>
        </w:rPr>
        <w:t>供应商承诺书</w:t>
      </w:r>
    </w:p>
    <w:p>
      <w:pPr>
        <w:jc w:val="center"/>
        <w:rPr>
          <w:rFonts w:ascii="黑体" w:hAnsi="黑体" w:eastAsia="黑体"/>
          <w:b/>
          <w:sz w:val="36"/>
          <w:szCs w:val="36"/>
          <w:highlight w:val="none"/>
        </w:rPr>
      </w:pPr>
      <w:r>
        <w:rPr>
          <w:rFonts w:hint="eastAsia" w:ascii="黑体" w:hAnsi="黑体" w:eastAsia="黑体"/>
          <w:b/>
          <w:sz w:val="36"/>
          <w:szCs w:val="36"/>
          <w:highlight w:val="none"/>
          <w:lang w:val="en-US" w:eastAsia="zh-CN"/>
        </w:rPr>
        <w:t>供应商</w:t>
      </w:r>
      <w:r>
        <w:rPr>
          <w:rFonts w:hint="eastAsia" w:ascii="黑体" w:hAnsi="黑体" w:eastAsia="黑体"/>
          <w:b/>
          <w:sz w:val="36"/>
          <w:szCs w:val="36"/>
          <w:highlight w:val="none"/>
        </w:rPr>
        <w:t>承诺书</w:t>
      </w:r>
    </w:p>
    <w:p>
      <w:pPr>
        <w:rPr>
          <w:highlight w:val="none"/>
        </w:rPr>
      </w:pPr>
    </w:p>
    <w:p>
      <w:pPr>
        <w:spacing w:line="360" w:lineRule="auto"/>
        <w:rPr>
          <w:rFonts w:hint="eastAsia" w:ascii="宋体" w:hAnsi="宋体" w:eastAsia="宋体" w:cs="宋体"/>
          <w:b/>
          <w:sz w:val="21"/>
          <w:szCs w:val="21"/>
          <w:highlight w:val="none"/>
        </w:rPr>
      </w:pPr>
      <w:r>
        <w:rPr>
          <w:rFonts w:hint="eastAsia" w:ascii="宋体" w:hAnsi="宋体" w:eastAsia="宋体" w:cs="宋体"/>
          <w:b/>
          <w:color w:val="auto"/>
          <w:sz w:val="21"/>
          <w:szCs w:val="21"/>
          <w:highlight w:val="none"/>
          <w:lang w:val="en-US" w:eastAsia="zh-CN"/>
        </w:rPr>
        <w:t>中海石油化学股份有限公司</w:t>
      </w:r>
      <w:r>
        <w:rPr>
          <w:rFonts w:hint="eastAsia" w:ascii="宋体" w:hAnsi="宋体" w:eastAsia="宋体" w:cs="宋体"/>
          <w:b/>
          <w:sz w:val="21"/>
          <w:szCs w:val="21"/>
          <w:highlight w:val="none"/>
        </w:rPr>
        <w:t>：</w:t>
      </w:r>
    </w:p>
    <w:p>
      <w:pPr>
        <w:spacing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我公司</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sym w:font="Wingdings 2" w:char="00A3"/>
      </w:r>
      <w:r>
        <w:rPr>
          <w:rFonts w:hint="eastAsia" w:ascii="宋体" w:hAnsi="宋体" w:eastAsia="宋体" w:cs="宋体"/>
          <w:sz w:val="21"/>
          <w:szCs w:val="21"/>
          <w:highlight w:val="none"/>
        </w:rPr>
        <w:t xml:space="preserve">存在 / </w:t>
      </w:r>
      <w:r>
        <w:rPr>
          <w:rFonts w:hint="eastAsia" w:ascii="宋体" w:hAnsi="宋体" w:eastAsia="宋体" w:cs="宋体"/>
          <w:sz w:val="21"/>
          <w:szCs w:val="21"/>
          <w:highlight w:val="none"/>
        </w:rPr>
        <w:sym w:font="Wingdings 2" w:char="00A3"/>
      </w:r>
      <w:r>
        <w:rPr>
          <w:rFonts w:hint="eastAsia" w:ascii="宋体" w:hAnsi="宋体" w:eastAsia="宋体" w:cs="宋体"/>
          <w:sz w:val="21"/>
          <w:szCs w:val="21"/>
          <w:highlight w:val="none"/>
        </w:rPr>
        <w:t>不存在 以下情况</w:t>
      </w:r>
      <w:r>
        <w:rPr>
          <w:rFonts w:hint="eastAsia" w:ascii="宋体" w:hAnsi="宋体" w:eastAsia="宋体" w:cs="宋体"/>
          <w:sz w:val="21"/>
          <w:szCs w:val="21"/>
          <w:highlight w:val="none"/>
          <w:u w:val="single"/>
        </w:rPr>
        <w:t>（</w:t>
      </w:r>
      <w:r>
        <w:rPr>
          <w:rFonts w:hint="eastAsia" w:ascii="宋体" w:hAnsi="宋体" w:eastAsia="宋体" w:cs="宋体"/>
          <w:b/>
          <w:sz w:val="21"/>
          <w:szCs w:val="21"/>
          <w:highlight w:val="none"/>
          <w:u w:val="single"/>
          <w:shd w:val="pct10" w:color="auto" w:fill="FFFFFF"/>
        </w:rPr>
        <w:t>以下所有框内都需要标记，不存在的打×，存在的情况打√并附详细信息在表格中</w:t>
      </w:r>
      <w:r>
        <w:rPr>
          <w:rFonts w:hint="eastAsia" w:ascii="宋体" w:hAnsi="宋体" w:eastAsia="宋体" w:cs="宋体"/>
          <w:sz w:val="21"/>
          <w:szCs w:val="21"/>
          <w:highlight w:val="none"/>
          <w:u w:val="single"/>
          <w:shd w:val="pct10" w:color="auto" w:fill="FFFFFF"/>
        </w:rPr>
        <w:t>）</w:t>
      </w:r>
      <w:r>
        <w:rPr>
          <w:rFonts w:hint="eastAsia" w:ascii="宋体" w:hAnsi="宋体" w:eastAsia="宋体" w:cs="宋体"/>
          <w:sz w:val="21"/>
          <w:szCs w:val="21"/>
          <w:highlight w:val="none"/>
        </w:rPr>
        <w:t>：</w:t>
      </w:r>
    </w:p>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□经查询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信用中国”网站（https://www.creditchina.gov.cn/）和</w:t>
      </w:r>
      <w:r>
        <w:rPr>
          <w:rFonts w:hint="eastAsia" w:ascii="宋体" w:hAnsi="宋体" w:eastAsia="宋体" w:cs="宋体"/>
          <w:sz w:val="21"/>
          <w:szCs w:val="21"/>
          <w:highlight w:val="none"/>
        </w:rPr>
        <w:t>“中国执行信息公开</w:t>
      </w:r>
    </w:p>
    <w:p>
      <w:pPr>
        <w:spacing w:line="360" w:lineRule="auto"/>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网”网站（http://zxgk.court.gov.cn/），被列入失信被执行人名单；</w:t>
      </w:r>
    </w:p>
    <w:p>
      <w:pPr>
        <w:numPr>
          <w:ilvl w:val="255"/>
          <w:numId w:val="0"/>
        </w:numPr>
        <w:spacing w:line="360" w:lineRule="auto"/>
        <w:ind w:left="240" w:hanging="210" w:hanging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□经查询“国家企业信用信息公示系统”（http://www.gsxt.gov.cn），被列入严重违法失信企业名单；</w:t>
      </w:r>
    </w:p>
    <w:p>
      <w:pPr>
        <w:numPr>
          <w:ilvl w:val="255"/>
          <w:numId w:val="0"/>
        </w:num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2" w:char="00A3"/>
      </w:r>
      <w:r>
        <w:rPr>
          <w:rFonts w:hint="eastAsia" w:ascii="宋体" w:hAnsi="宋体" w:eastAsia="宋体" w:cs="宋体"/>
          <w:sz w:val="21"/>
          <w:szCs w:val="21"/>
          <w:highlight w:val="none"/>
        </w:rPr>
        <w:t>经查询“中国裁判文书网”（http://wenshu.court.gov.cn），</w:t>
      </w:r>
      <w:r>
        <w:rPr>
          <w:rFonts w:hint="eastAsia" w:ascii="宋体" w:hAnsi="宋体" w:eastAsia="宋体" w:cs="宋体"/>
          <w:sz w:val="21"/>
          <w:szCs w:val="21"/>
          <w:highlight w:val="none"/>
          <w:lang w:val="en-US" w:eastAsia="zh-CN"/>
        </w:rPr>
        <w:t>近三年</w:t>
      </w:r>
      <w:r>
        <w:rPr>
          <w:rFonts w:hint="eastAsia" w:ascii="宋体" w:hAnsi="宋体" w:eastAsia="宋体" w:cs="宋体"/>
          <w:sz w:val="21"/>
          <w:szCs w:val="21"/>
          <w:highlight w:val="none"/>
        </w:rPr>
        <w:t>存在行贿犯罪记录；</w:t>
      </w:r>
    </w:p>
    <w:p>
      <w:pPr>
        <w:spacing w:line="360" w:lineRule="auto"/>
        <w:ind w:left="240" w:hanging="210" w:hangingChars="100"/>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2" w:char="00A3"/>
      </w:r>
      <w:r>
        <w:rPr>
          <w:rFonts w:hint="eastAsia" w:ascii="宋体" w:hAnsi="宋体" w:eastAsia="宋体" w:cs="宋体"/>
          <w:sz w:val="21"/>
          <w:szCs w:val="21"/>
          <w:highlight w:val="none"/>
        </w:rPr>
        <w:t>经</w:t>
      </w:r>
      <w:r>
        <w:rPr>
          <w:rFonts w:hint="eastAsia" w:ascii="宋体" w:hAnsi="宋体" w:eastAsia="宋体" w:cs="宋体"/>
          <w:sz w:val="21"/>
          <w:szCs w:val="21"/>
          <w:highlight w:val="none"/>
          <w:lang w:val="en-US" w:eastAsia="zh-CN"/>
        </w:rPr>
        <w:t>确认，中国海油员工</w:t>
      </w:r>
      <w:r>
        <w:rPr>
          <w:rFonts w:hint="eastAsia" w:eastAsia="宋体" w:cs="宋体"/>
          <w:color w:val="auto"/>
          <w:sz w:val="22"/>
          <w:szCs w:val="22"/>
          <w:highlight w:val="none"/>
          <w:lang w:val="en-US" w:eastAsia="zh-CN"/>
        </w:rPr>
        <w:t>（不含中国海油正式派出的）</w:t>
      </w:r>
      <w:r>
        <w:rPr>
          <w:rFonts w:hint="eastAsia" w:ascii="宋体" w:hAnsi="宋体" w:eastAsia="宋体" w:cs="宋体"/>
          <w:sz w:val="21"/>
          <w:szCs w:val="21"/>
          <w:highlight w:val="none"/>
          <w:lang w:val="en-US" w:eastAsia="zh-CN"/>
        </w:rPr>
        <w:t>在我公司担任股东、法人代表、董事、监事和其他任职人员</w:t>
      </w:r>
      <w:r>
        <w:rPr>
          <w:rFonts w:hint="eastAsia" w:ascii="宋体" w:hAnsi="宋体" w:eastAsia="宋体" w:cs="宋体"/>
          <w:sz w:val="21"/>
          <w:szCs w:val="21"/>
          <w:highlight w:val="none"/>
        </w:rPr>
        <w:t>。</w:t>
      </w:r>
    </w:p>
    <w:p>
      <w:pPr>
        <w:spacing w:line="360" w:lineRule="auto"/>
        <w:ind w:left="240" w:hanging="210" w:hangingChars="100"/>
        <w:rPr>
          <w:rFonts w:hint="eastAsia" w:ascii="宋体" w:hAnsi="宋体" w:eastAsia="宋体" w:cs="宋体"/>
          <w:sz w:val="21"/>
          <w:szCs w:val="21"/>
          <w:highlight w:val="none"/>
          <w:lang w:val="en-US" w:eastAsia="zh-CN"/>
        </w:rPr>
      </w:pPr>
    </w:p>
    <w:p>
      <w:pPr>
        <w:spacing w:line="348" w:lineRule="auto"/>
        <w:ind w:firstLine="422" w:firstLineChars="200"/>
        <w:rPr>
          <w:rFonts w:hint="eastAsia"/>
          <w:sz w:val="24"/>
          <w:szCs w:val="24"/>
          <w:highlight w:val="none"/>
        </w:rPr>
      </w:pPr>
      <w:r>
        <w:rPr>
          <w:rFonts w:hint="eastAsia" w:ascii="宋体" w:hAnsi="宋体" w:eastAsia="宋体" w:cs="宋体"/>
          <w:b/>
          <w:bCs/>
          <w:sz w:val="21"/>
          <w:szCs w:val="21"/>
          <w:highlight w:val="none"/>
        </w:rPr>
        <w:t>郑重承诺：</w:t>
      </w:r>
      <w:r>
        <w:rPr>
          <w:rFonts w:hint="eastAsia" w:ascii="宋体" w:hAnsi="宋体" w:eastAsia="宋体" w:cs="宋体"/>
          <w:sz w:val="21"/>
          <w:szCs w:val="21"/>
          <w:highlight w:val="none"/>
        </w:rPr>
        <w:t>我公司在采办项目中</w:t>
      </w:r>
      <w:r>
        <w:rPr>
          <w:rFonts w:hint="eastAsia" w:ascii="宋体" w:hAnsi="宋体" w:eastAsia="宋体" w:cs="宋体"/>
          <w:sz w:val="21"/>
          <w:szCs w:val="21"/>
          <w:highlight w:val="none"/>
          <w:lang w:val="en-US" w:eastAsia="zh-CN"/>
        </w:rPr>
        <w:t>将严格遵守法律法规和中国海油各项管理要求</w:t>
      </w:r>
      <w:r>
        <w:rPr>
          <w:rFonts w:hint="eastAsia" w:ascii="宋体" w:hAnsi="宋体" w:eastAsia="宋体" w:cs="宋体"/>
          <w:sz w:val="21"/>
          <w:szCs w:val="21"/>
          <w:highlight w:val="none"/>
        </w:rPr>
        <w:t>，不发生关联公司</w:t>
      </w:r>
      <w:r>
        <w:rPr>
          <w:rFonts w:hint="eastAsia" w:ascii="宋体" w:hAnsi="宋体" w:eastAsia="宋体" w:cs="宋体"/>
          <w:sz w:val="21"/>
          <w:szCs w:val="21"/>
          <w:highlight w:val="none"/>
          <w:lang w:val="en-US" w:eastAsia="zh-CN"/>
        </w:rPr>
        <w:t>共同</w:t>
      </w:r>
      <w:r>
        <w:rPr>
          <w:rFonts w:hint="eastAsia" w:ascii="宋体" w:hAnsi="宋体" w:eastAsia="宋体" w:cs="宋体"/>
          <w:sz w:val="21"/>
          <w:szCs w:val="21"/>
          <w:highlight w:val="none"/>
        </w:rPr>
        <w:t>参与</w:t>
      </w:r>
      <w:r>
        <w:rPr>
          <w:rFonts w:hint="eastAsia" w:ascii="宋体" w:hAnsi="宋体" w:eastAsia="宋体" w:cs="宋体"/>
          <w:sz w:val="21"/>
          <w:szCs w:val="21"/>
          <w:highlight w:val="none"/>
          <w:lang w:val="en-US" w:eastAsia="zh-CN"/>
        </w:rPr>
        <w:t>采办</w:t>
      </w:r>
      <w:r>
        <w:rPr>
          <w:rFonts w:hint="eastAsia" w:ascii="宋体" w:hAnsi="宋体" w:eastAsia="宋体" w:cs="宋体"/>
          <w:sz w:val="21"/>
          <w:szCs w:val="21"/>
          <w:highlight w:val="none"/>
        </w:rPr>
        <w:t>竞争情况</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不发生围标串标情况</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我公司所提供信息真实、准确、合法、有效，不存在为规避</w:t>
      </w:r>
      <w:r>
        <w:rPr>
          <w:rFonts w:hint="eastAsia" w:ascii="宋体" w:hAnsi="宋体" w:eastAsia="宋体" w:cs="宋体"/>
          <w:sz w:val="21"/>
          <w:szCs w:val="21"/>
          <w:highlight w:val="none"/>
          <w:lang w:eastAsia="zh-CN"/>
        </w:rPr>
        <w:t xml:space="preserve">中国海洋石油集团有限公司 </w:t>
      </w:r>
      <w:r>
        <w:rPr>
          <w:rFonts w:hint="eastAsia" w:ascii="宋体" w:hAnsi="宋体" w:eastAsia="宋体" w:cs="宋体"/>
          <w:sz w:val="21"/>
          <w:szCs w:val="21"/>
          <w:highlight w:val="none"/>
        </w:rPr>
        <w:t>有关要求采取的变通行为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上述信息如有虚假我公司将承担相关责任，并按照</w:t>
      </w:r>
      <w:r>
        <w:rPr>
          <w:rFonts w:hint="eastAsia" w:ascii="宋体" w:hAnsi="宋体" w:eastAsia="宋体" w:cs="宋体"/>
          <w:sz w:val="21"/>
          <w:szCs w:val="21"/>
          <w:highlight w:val="none"/>
          <w:lang w:eastAsia="zh-CN"/>
        </w:rPr>
        <w:t xml:space="preserve">中国海洋石油集团有限公司 </w:t>
      </w:r>
      <w:r>
        <w:rPr>
          <w:rFonts w:hint="eastAsia" w:ascii="宋体" w:hAnsi="宋体" w:eastAsia="宋体" w:cs="宋体"/>
          <w:sz w:val="21"/>
          <w:szCs w:val="21"/>
          <w:highlight w:val="none"/>
        </w:rPr>
        <w:t>相关管理规定接受处</w:t>
      </w:r>
      <w:r>
        <w:rPr>
          <w:rFonts w:hint="eastAsia" w:ascii="宋体" w:hAnsi="宋体" w:eastAsia="宋体" w:cs="宋体"/>
          <w:sz w:val="21"/>
          <w:szCs w:val="21"/>
          <w:highlight w:val="none"/>
          <w:lang w:val="en-US" w:eastAsia="zh-CN"/>
        </w:rPr>
        <w:t>理</w:t>
      </w:r>
      <w:r>
        <w:rPr>
          <w:rFonts w:hint="eastAsia" w:ascii="宋体" w:hAnsi="宋体" w:eastAsia="宋体" w:cs="宋体"/>
          <w:sz w:val="21"/>
          <w:szCs w:val="21"/>
          <w:highlight w:val="none"/>
          <w:lang w:eastAsia="zh-CN"/>
        </w:rPr>
        <w:t>。我公司将严格遵守国家相关法律法规及中国海洋石油集团有限公司 对供应商管理的要求，</w:t>
      </w:r>
      <w:r>
        <w:rPr>
          <w:rFonts w:hint="eastAsia" w:ascii="宋体" w:hAnsi="宋体" w:eastAsia="宋体" w:cs="宋体"/>
          <w:sz w:val="21"/>
          <w:szCs w:val="21"/>
          <w:highlight w:val="none"/>
        </w:rPr>
        <w:t>当相关信息发生变更时将及时主动办理更新手续。</w:t>
      </w:r>
      <w:r>
        <w:rPr>
          <w:rFonts w:hint="eastAsia"/>
          <w:sz w:val="24"/>
          <w:szCs w:val="24"/>
          <w:highlight w:val="none"/>
        </w:rPr>
        <w:t xml:space="preserve">                            </w:t>
      </w:r>
    </w:p>
    <w:p>
      <w:pPr>
        <w:spacing w:line="348" w:lineRule="auto"/>
        <w:ind w:left="5869" w:leftChars="1995" w:hanging="1680" w:hangingChars="800"/>
        <w:outlineLvl w:val="9"/>
        <w:rPr>
          <w:sz w:val="24"/>
          <w:szCs w:val="24"/>
          <w:highlight w:val="none"/>
          <w:lang w:eastAsia="zh-CN"/>
        </w:rPr>
      </w:pPr>
      <w:r>
        <w:rPr>
          <w:rFonts w:hint="eastAsia" w:ascii="宋体" w:hAnsi="宋体" w:eastAsia="宋体" w:cs="宋体"/>
          <w:sz w:val="21"/>
          <w:szCs w:val="21"/>
          <w:highlight w:val="none"/>
          <w:lang w:val="en-US" w:eastAsia="zh-CN"/>
        </w:rPr>
        <w:t xml:space="preserve">                                                           </w:t>
      </w:r>
      <w:r>
        <w:rPr>
          <w:rFonts w:hint="eastAsia"/>
          <w:sz w:val="24"/>
          <w:szCs w:val="24"/>
          <w:highlight w:val="none"/>
          <w:lang w:eastAsia="zh-CN"/>
        </w:rPr>
        <w:t>年    月    日</w:t>
      </w:r>
    </w:p>
    <w:p>
      <w:pPr>
        <w:spacing w:line="348" w:lineRule="auto"/>
        <w:ind w:firstLine="3120" w:firstLineChars="1300"/>
        <w:outlineLvl w:val="9"/>
        <w:rPr>
          <w:sz w:val="24"/>
          <w:szCs w:val="24"/>
          <w:highlight w:val="none"/>
          <w:lang w:eastAsia="zh-CN"/>
        </w:rPr>
      </w:pPr>
      <w:r>
        <w:rPr>
          <w:rFonts w:hint="eastAsia"/>
          <w:sz w:val="24"/>
          <w:szCs w:val="24"/>
          <w:highlight w:val="none"/>
          <w:lang w:eastAsia="zh-CN"/>
        </w:rPr>
        <w:t>法人代表：</w:t>
      </w:r>
      <w:r>
        <w:rPr>
          <w:rFonts w:hint="eastAsia"/>
          <w:sz w:val="24"/>
          <w:szCs w:val="24"/>
          <w:highlight w:val="none"/>
          <w:u w:val="single"/>
          <w:lang w:eastAsia="zh-CN"/>
        </w:rPr>
        <w:t xml:space="preserve">  </w:t>
      </w:r>
      <w:r>
        <w:rPr>
          <w:sz w:val="24"/>
          <w:szCs w:val="24"/>
          <w:highlight w:val="none"/>
          <w:u w:val="single"/>
          <w:lang w:eastAsia="zh-CN"/>
        </w:rPr>
        <w:t xml:space="preserve">     </w:t>
      </w:r>
      <w:r>
        <w:rPr>
          <w:rFonts w:hint="eastAsia"/>
          <w:sz w:val="24"/>
          <w:szCs w:val="24"/>
          <w:highlight w:val="none"/>
          <w:u w:val="single"/>
          <w:lang w:eastAsia="zh-CN"/>
        </w:rPr>
        <w:t xml:space="preserve"> </w:t>
      </w:r>
      <w:r>
        <w:rPr>
          <w:rFonts w:hint="eastAsia"/>
          <w:sz w:val="24"/>
          <w:szCs w:val="24"/>
          <w:highlight w:val="none"/>
          <w:lang w:eastAsia="zh-CN"/>
        </w:rPr>
        <w:t xml:space="preserve"> （签字/签章）</w:t>
      </w:r>
    </w:p>
    <w:p>
      <w:pPr>
        <w:spacing w:line="348" w:lineRule="auto"/>
        <w:ind w:firstLine="5520" w:firstLineChars="2300"/>
        <w:outlineLvl w:val="9"/>
        <w:rPr>
          <w:rFonts w:hint="eastAsia"/>
          <w:sz w:val="24"/>
          <w:szCs w:val="24"/>
          <w:highlight w:val="none"/>
          <w:lang w:eastAsia="zh-CN"/>
        </w:rPr>
      </w:pPr>
      <w:r>
        <w:rPr>
          <w:rFonts w:hint="eastAsia"/>
          <w:sz w:val="24"/>
          <w:szCs w:val="24"/>
          <w:highlight w:val="none"/>
          <w:lang w:eastAsia="zh-CN"/>
        </w:rPr>
        <w:t>（公司签章）</w:t>
      </w:r>
    </w:p>
    <w:p>
      <w:pPr>
        <w:spacing w:line="360" w:lineRule="auto"/>
        <w:outlineLvl w:val="0"/>
        <w:rPr>
          <w:rFonts w:hint="eastAsia"/>
          <w:sz w:val="21"/>
          <w:szCs w:val="18"/>
          <w:highlight w:val="none"/>
        </w:rPr>
      </w:pPr>
    </w:p>
    <w:p>
      <w:pPr>
        <w:spacing w:line="360" w:lineRule="auto"/>
        <w:outlineLvl w:val="0"/>
        <w:rPr>
          <w:rFonts w:asciiTheme="minorEastAsia" w:hAnsiTheme="minorEastAsia" w:cstheme="minorEastAsia"/>
          <w:sz w:val="21"/>
          <w:szCs w:val="18"/>
          <w:highlight w:val="none"/>
        </w:rPr>
      </w:pPr>
      <w:r>
        <w:rPr>
          <w:rFonts w:hint="eastAsia"/>
          <w:sz w:val="21"/>
          <w:szCs w:val="18"/>
          <w:highlight w:val="none"/>
        </w:rPr>
        <w:t>附件</w:t>
      </w:r>
      <w:r>
        <w:rPr>
          <w:rFonts w:hint="eastAsia" w:asciiTheme="minorEastAsia" w:hAnsiTheme="minorEastAsia" w:cstheme="minorEastAsia"/>
          <w:sz w:val="21"/>
          <w:szCs w:val="18"/>
          <w:highlight w:val="none"/>
        </w:rPr>
        <w:t>1</w:t>
      </w:r>
      <w:r>
        <w:rPr>
          <w:rFonts w:hint="eastAsia"/>
          <w:sz w:val="21"/>
          <w:szCs w:val="18"/>
          <w:highlight w:val="none"/>
        </w:rPr>
        <w:t>：</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信用中国”和</w:t>
      </w:r>
      <w:r>
        <w:rPr>
          <w:rFonts w:hint="eastAsia" w:asciiTheme="minorEastAsia" w:hAnsiTheme="minorEastAsia" w:cstheme="minorEastAsia"/>
          <w:sz w:val="21"/>
          <w:szCs w:val="18"/>
          <w:highlight w:val="none"/>
        </w:rPr>
        <w:t>“中国执行信息公开网”网站查询截图</w:t>
      </w:r>
    </w:p>
    <w:p>
      <w:pPr>
        <w:spacing w:line="360" w:lineRule="auto"/>
        <w:outlineLvl w:val="0"/>
        <w:rPr>
          <w:rFonts w:asciiTheme="minorEastAsia" w:hAnsiTheme="minorEastAsia" w:cstheme="minorEastAsia"/>
          <w:sz w:val="21"/>
          <w:szCs w:val="18"/>
          <w:highlight w:val="none"/>
        </w:rPr>
      </w:pPr>
      <w:r>
        <w:rPr>
          <w:rFonts w:hint="eastAsia" w:asciiTheme="minorEastAsia" w:hAnsiTheme="minorEastAsia" w:cstheme="minorEastAsia"/>
          <w:sz w:val="21"/>
          <w:szCs w:val="18"/>
          <w:highlight w:val="none"/>
        </w:rPr>
        <w:t>附件2：“国家企业信用信息公示系统”查询截图</w:t>
      </w:r>
    </w:p>
    <w:p>
      <w:pPr>
        <w:spacing w:line="360" w:lineRule="auto"/>
        <w:outlineLvl w:val="0"/>
        <w:rPr>
          <w:rFonts w:hint="eastAsia"/>
          <w:b/>
          <w:sz w:val="24"/>
          <w:highlight w:val="none"/>
        </w:rPr>
      </w:pPr>
      <w:r>
        <w:rPr>
          <w:rFonts w:hint="eastAsia" w:asciiTheme="minorEastAsia" w:hAnsiTheme="minorEastAsia" w:cstheme="minorEastAsia"/>
          <w:sz w:val="21"/>
          <w:szCs w:val="18"/>
          <w:highlight w:val="none"/>
        </w:rPr>
        <w:t>附件3：“中国裁判文书网”查询截图</w:t>
      </w:r>
    </w:p>
    <w:p>
      <w:pPr>
        <w:pStyle w:val="31"/>
        <w:keepNext w:val="0"/>
        <w:keepLines w:val="0"/>
        <w:pageBreakBefore w:val="0"/>
        <w:widowControl/>
        <w:kinsoku/>
        <w:wordWrap/>
        <w:overflowPunct/>
        <w:topLinePunct w:val="0"/>
        <w:autoSpaceDE/>
        <w:autoSpaceDN/>
        <w:bidi w:val="0"/>
        <w:adjustRightInd/>
        <w:snapToGrid/>
        <w:spacing w:line="240" w:lineRule="auto"/>
        <w:jc w:val="left"/>
        <w:textAlignment w:val="auto"/>
        <w:outlineLvl w:val="0"/>
        <w:rPr>
          <w:rFonts w:hint="eastAsia"/>
          <w:b/>
          <w:sz w:val="24"/>
          <w:highlight w:val="none"/>
        </w:rPr>
      </w:pPr>
    </w:p>
    <w:p>
      <w:pPr>
        <w:pStyle w:val="31"/>
        <w:keepNext w:val="0"/>
        <w:keepLines w:val="0"/>
        <w:pageBreakBefore w:val="0"/>
        <w:widowControl/>
        <w:kinsoku/>
        <w:wordWrap/>
        <w:overflowPunct/>
        <w:topLinePunct w:val="0"/>
        <w:autoSpaceDE/>
        <w:autoSpaceDN/>
        <w:bidi w:val="0"/>
        <w:adjustRightInd/>
        <w:snapToGrid/>
        <w:spacing w:line="240" w:lineRule="auto"/>
        <w:jc w:val="left"/>
        <w:textAlignment w:val="auto"/>
        <w:outlineLvl w:val="0"/>
        <w:rPr>
          <w:rFonts w:hint="eastAsia"/>
          <w:b/>
          <w:sz w:val="24"/>
          <w:highlight w:val="none"/>
        </w:rPr>
      </w:pPr>
      <w:r>
        <w:rPr>
          <w:rFonts w:hint="eastAsia"/>
          <w:b/>
          <w:sz w:val="24"/>
          <w:highlight w:val="none"/>
        </w:rPr>
        <w:t>附件</w:t>
      </w:r>
      <w:r>
        <w:rPr>
          <w:rFonts w:hint="eastAsia"/>
          <w:b/>
          <w:sz w:val="24"/>
          <w:highlight w:val="none"/>
          <w:lang w:val="en-US" w:eastAsia="zh-CN"/>
        </w:rPr>
        <w:t>6</w:t>
      </w:r>
      <w:r>
        <w:rPr>
          <w:rFonts w:hint="eastAsia"/>
          <w:b/>
          <w:sz w:val="24"/>
          <w:highlight w:val="none"/>
        </w:rPr>
        <w:t>：供应商履约异常处罚方式</w:t>
      </w:r>
    </w:p>
    <w:tbl>
      <w:tblPr>
        <w:tblStyle w:val="16"/>
        <w:tblpPr w:leftFromText="180" w:rightFromText="180" w:vertAnchor="text" w:horzAnchor="page" w:tblpX="2106" w:tblpY="158"/>
        <w:tblOverlap w:val="never"/>
        <w:tblW w:w="80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7"/>
        <w:gridCol w:w="1750"/>
        <w:gridCol w:w="4011"/>
        <w:gridCol w:w="1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59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val="en-US" w:eastAsia="zh-CN" w:bidi="ar"/>
              </w:rPr>
              <w:t>序</w:t>
            </w:r>
            <w:r>
              <w:rPr>
                <w:rFonts w:hint="eastAsia" w:ascii="宋体" w:hAnsi="宋体" w:eastAsia="宋体" w:cs="宋体"/>
                <w:b/>
                <w:bCs/>
                <w:color w:val="000000"/>
                <w:kern w:val="0"/>
                <w:sz w:val="21"/>
                <w:szCs w:val="21"/>
                <w:highlight w:val="none"/>
                <w:lang w:bidi="ar"/>
              </w:rPr>
              <w:t>号</w:t>
            </w:r>
          </w:p>
        </w:tc>
        <w:tc>
          <w:tcPr>
            <w:tcW w:w="17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违规类型</w:t>
            </w:r>
          </w:p>
        </w:tc>
        <w:tc>
          <w:tcPr>
            <w:tcW w:w="401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违规情形说明</w:t>
            </w:r>
          </w:p>
        </w:tc>
        <w:tc>
          <w:tcPr>
            <w:tcW w:w="17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处理方式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597" w:type="dxa"/>
            <w:tcBorders>
              <w:tl2br w:val="nil"/>
              <w:tr2bl w:val="nil"/>
            </w:tcBorders>
            <w:shd w:val="clear" w:color="auto" w:fill="auto"/>
            <w:vAlign w:val="center"/>
          </w:tcPr>
          <w:p>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w:t>
            </w:r>
          </w:p>
        </w:tc>
        <w:tc>
          <w:tcPr>
            <w:tcW w:w="1750" w:type="dxa"/>
            <w:vMerge w:val="restart"/>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提供虚假资料</w:t>
            </w:r>
          </w:p>
        </w:tc>
        <w:tc>
          <w:tcPr>
            <w:tcW w:w="4011"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提供虚假材料（资质文件、业绩、财务状况、书面承诺等）进行供应商注册、准入或参与采购项目，未造成损失的</w:t>
            </w:r>
          </w:p>
        </w:tc>
        <w:tc>
          <w:tcPr>
            <w:tcW w:w="1720"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对供应商给予“禁用一年”处理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597" w:type="dxa"/>
            <w:tcBorders>
              <w:tl2br w:val="nil"/>
              <w:tr2bl w:val="nil"/>
            </w:tcBorders>
            <w:shd w:val="clear" w:color="auto" w:fill="auto"/>
            <w:vAlign w:val="center"/>
          </w:tcPr>
          <w:p>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w:t>
            </w:r>
          </w:p>
        </w:tc>
        <w:tc>
          <w:tcPr>
            <w:tcW w:w="1750" w:type="dxa"/>
            <w:vMerge w:val="continue"/>
            <w:tcBorders>
              <w:tl2br w:val="nil"/>
              <w:tr2bl w:val="nil"/>
            </w:tcBorders>
            <w:shd w:val="clear" w:color="auto" w:fill="auto"/>
            <w:vAlign w:val="center"/>
          </w:tcPr>
          <w:p>
            <w:pPr>
              <w:jc w:val="left"/>
              <w:rPr>
                <w:rFonts w:ascii="宋体" w:hAnsi="宋体" w:eastAsia="宋体" w:cs="宋体"/>
                <w:color w:val="000000"/>
                <w:sz w:val="21"/>
                <w:szCs w:val="21"/>
                <w:highlight w:val="none"/>
              </w:rPr>
            </w:pPr>
          </w:p>
        </w:tc>
        <w:tc>
          <w:tcPr>
            <w:tcW w:w="4011"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提供虚假材料（资质文件、业绩、财务状况、书面承诺等）进行供应商注册、准入或参与采购项目，造成损失的</w:t>
            </w:r>
          </w:p>
        </w:tc>
        <w:tc>
          <w:tcPr>
            <w:tcW w:w="1720"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对供应商给予“禁用两年”处理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8" w:hRule="atLeast"/>
        </w:trPr>
        <w:tc>
          <w:tcPr>
            <w:tcW w:w="597" w:type="dxa"/>
            <w:tcBorders>
              <w:tl2br w:val="nil"/>
              <w:tr2bl w:val="nil"/>
            </w:tcBorders>
            <w:shd w:val="clear" w:color="auto" w:fill="auto"/>
            <w:vAlign w:val="center"/>
          </w:tcPr>
          <w:p>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3</w:t>
            </w:r>
          </w:p>
        </w:tc>
        <w:tc>
          <w:tcPr>
            <w:tcW w:w="1750" w:type="dxa"/>
            <w:vMerge w:val="restart"/>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恶意串通</w:t>
            </w:r>
          </w:p>
        </w:tc>
        <w:tc>
          <w:tcPr>
            <w:tcW w:w="4011"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为达到不正当目的相互恶意串通，未造成损失的。恶意串通包括：①供应商与采购人或招标机构串通，由采购人或招标机构提出有利于特定供应商中标的要求；②供应商与采购人、招标机构或其他供应商串通陪标的；③供应商之间相互串通，以不正当的手段排挤其他供应商；</w:t>
            </w:r>
          </w:p>
        </w:tc>
        <w:tc>
          <w:tcPr>
            <w:tcW w:w="1720"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对供应商给予“禁用两年”处理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8" w:hRule="atLeast"/>
        </w:trPr>
        <w:tc>
          <w:tcPr>
            <w:tcW w:w="597" w:type="dxa"/>
            <w:tcBorders>
              <w:tl2br w:val="nil"/>
              <w:tr2bl w:val="nil"/>
            </w:tcBorders>
            <w:shd w:val="clear" w:color="auto" w:fill="auto"/>
            <w:vAlign w:val="center"/>
          </w:tcPr>
          <w:p>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w:t>
            </w:r>
          </w:p>
        </w:tc>
        <w:tc>
          <w:tcPr>
            <w:tcW w:w="1750" w:type="dxa"/>
            <w:vMerge w:val="continue"/>
            <w:tcBorders>
              <w:tl2br w:val="nil"/>
              <w:tr2bl w:val="nil"/>
            </w:tcBorders>
            <w:shd w:val="clear" w:color="auto" w:fill="auto"/>
            <w:vAlign w:val="center"/>
          </w:tcPr>
          <w:p>
            <w:pPr>
              <w:jc w:val="left"/>
              <w:rPr>
                <w:rFonts w:ascii="宋体" w:hAnsi="宋体" w:eastAsia="宋体" w:cs="宋体"/>
                <w:color w:val="000000"/>
                <w:sz w:val="21"/>
                <w:szCs w:val="21"/>
                <w:highlight w:val="none"/>
              </w:rPr>
            </w:pPr>
          </w:p>
        </w:tc>
        <w:tc>
          <w:tcPr>
            <w:tcW w:w="4011"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为达到不正当目的相互恶意串通，造成损失的。恶意串通包括：①供应商与采购人或招标机构串通，由采购人或招标机构提出有利于特定供应商中标的要求；②供应商与采购人、招标机构或其他供应商串通陪标的；③供应商之间相互串通，以不正当的手段排挤其他供应商</w:t>
            </w:r>
          </w:p>
        </w:tc>
        <w:tc>
          <w:tcPr>
            <w:tcW w:w="1720"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对供应商给予“长期禁用”处理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597" w:type="dxa"/>
            <w:tcBorders>
              <w:tl2br w:val="nil"/>
              <w:tr2bl w:val="nil"/>
            </w:tcBorders>
            <w:shd w:val="clear" w:color="auto" w:fill="auto"/>
            <w:vAlign w:val="center"/>
          </w:tcPr>
          <w:p>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5</w:t>
            </w:r>
          </w:p>
        </w:tc>
        <w:tc>
          <w:tcPr>
            <w:tcW w:w="1750"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行贿</w:t>
            </w:r>
          </w:p>
        </w:tc>
        <w:tc>
          <w:tcPr>
            <w:tcW w:w="4011"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向采购交易所涉及的相关方或能产生实际影响的相关方行贿,行贿判定的依据为检察院或法院书面判定</w:t>
            </w:r>
          </w:p>
        </w:tc>
        <w:tc>
          <w:tcPr>
            <w:tcW w:w="1720"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对供应商给予“长期禁用”处理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597" w:type="dxa"/>
            <w:tcBorders>
              <w:tl2br w:val="nil"/>
              <w:tr2bl w:val="nil"/>
            </w:tcBorders>
            <w:shd w:val="clear" w:color="auto" w:fill="auto"/>
            <w:vAlign w:val="center"/>
          </w:tcPr>
          <w:p>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6</w:t>
            </w:r>
          </w:p>
        </w:tc>
        <w:tc>
          <w:tcPr>
            <w:tcW w:w="1750"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排挤其他供应商</w:t>
            </w:r>
          </w:p>
        </w:tc>
        <w:tc>
          <w:tcPr>
            <w:tcW w:w="4011"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在采购结果公布之前，违法违规获得非公开评标信息，或采取不正当手段妨碍、排挤其他供应商投标或中标的，证据确凿的</w:t>
            </w:r>
          </w:p>
        </w:tc>
        <w:tc>
          <w:tcPr>
            <w:tcW w:w="1720"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对供应商给予“禁用一年”处理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597" w:type="dxa"/>
            <w:tcBorders>
              <w:tl2br w:val="nil"/>
              <w:tr2bl w:val="nil"/>
            </w:tcBorders>
            <w:shd w:val="clear" w:color="auto" w:fill="auto"/>
            <w:vAlign w:val="center"/>
          </w:tcPr>
          <w:p>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7</w:t>
            </w:r>
          </w:p>
        </w:tc>
        <w:tc>
          <w:tcPr>
            <w:tcW w:w="1750" w:type="dxa"/>
            <w:vMerge w:val="restart"/>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中途撤销投标</w:t>
            </w:r>
          </w:p>
        </w:tc>
        <w:tc>
          <w:tcPr>
            <w:tcW w:w="4011" w:type="dxa"/>
            <w:tcBorders>
              <w:tl2br w:val="nil"/>
              <w:tr2bl w:val="nil"/>
            </w:tcBorders>
            <w:shd w:val="clear" w:color="auto" w:fill="auto"/>
            <w:vAlign w:val="center"/>
          </w:tcPr>
          <w:p>
            <w:pPr>
              <w:widowControl/>
              <w:jc w:val="left"/>
              <w:textAlignment w:val="center"/>
              <w:rPr>
                <w:rFonts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非公开采办方式，具有参与意向，但未投标/响应的</w:t>
            </w:r>
          </w:p>
        </w:tc>
        <w:tc>
          <w:tcPr>
            <w:tcW w:w="1720"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对供应商给予“警告”处理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597" w:type="dxa"/>
            <w:tcBorders>
              <w:tl2br w:val="nil"/>
              <w:tr2bl w:val="nil"/>
            </w:tcBorders>
            <w:shd w:val="clear" w:color="auto" w:fill="auto"/>
            <w:vAlign w:val="center"/>
          </w:tcPr>
          <w:p>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8</w:t>
            </w:r>
          </w:p>
        </w:tc>
        <w:tc>
          <w:tcPr>
            <w:tcW w:w="1750" w:type="dxa"/>
            <w:vMerge w:val="continue"/>
            <w:tcBorders>
              <w:tl2br w:val="nil"/>
              <w:tr2bl w:val="nil"/>
            </w:tcBorders>
            <w:shd w:val="clear" w:color="auto" w:fill="auto"/>
            <w:vAlign w:val="center"/>
          </w:tcPr>
          <w:p>
            <w:pPr>
              <w:jc w:val="left"/>
              <w:rPr>
                <w:rFonts w:ascii="宋体" w:hAnsi="宋体" w:eastAsia="宋体" w:cs="宋体"/>
                <w:color w:val="000000"/>
                <w:sz w:val="21"/>
                <w:szCs w:val="21"/>
                <w:highlight w:val="none"/>
              </w:rPr>
            </w:pPr>
          </w:p>
        </w:tc>
        <w:tc>
          <w:tcPr>
            <w:tcW w:w="4011" w:type="dxa"/>
            <w:tcBorders>
              <w:tl2br w:val="nil"/>
              <w:tr2bl w:val="nil"/>
            </w:tcBorders>
            <w:shd w:val="clear" w:color="auto" w:fill="auto"/>
            <w:vAlign w:val="center"/>
          </w:tcPr>
          <w:p>
            <w:pPr>
              <w:widowControl/>
              <w:jc w:val="left"/>
              <w:textAlignment w:val="center"/>
              <w:rPr>
                <w:rFonts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开标后在有效期内中途撤销投标的</w:t>
            </w:r>
          </w:p>
        </w:tc>
        <w:tc>
          <w:tcPr>
            <w:tcW w:w="1720"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Style w:val="39"/>
                <w:rFonts w:hint="default"/>
                <w:sz w:val="21"/>
                <w:szCs w:val="21"/>
                <w:highlight w:val="none"/>
                <w:lang w:bidi="ar"/>
              </w:rPr>
              <w:t>对供应商给予</w:t>
            </w:r>
            <w:r>
              <w:rPr>
                <w:rStyle w:val="40"/>
                <w:rFonts w:hint="eastAsia" w:ascii="宋体" w:hAnsi="宋体" w:eastAsia="宋体" w:cs="宋体"/>
                <w:sz w:val="21"/>
                <w:szCs w:val="21"/>
                <w:highlight w:val="none"/>
                <w:lang w:bidi="ar"/>
              </w:rPr>
              <w:t>“</w:t>
            </w:r>
            <w:r>
              <w:rPr>
                <w:rStyle w:val="39"/>
                <w:rFonts w:hint="default"/>
                <w:sz w:val="21"/>
                <w:szCs w:val="21"/>
                <w:highlight w:val="none"/>
                <w:lang w:bidi="ar"/>
              </w:rPr>
              <w:t>禁用一年</w:t>
            </w:r>
            <w:r>
              <w:rPr>
                <w:rStyle w:val="40"/>
                <w:rFonts w:hint="eastAsia" w:ascii="宋体" w:hAnsi="宋体" w:eastAsia="宋体" w:cs="宋体"/>
                <w:sz w:val="21"/>
                <w:szCs w:val="21"/>
                <w:highlight w:val="none"/>
                <w:lang w:bidi="ar"/>
              </w:rPr>
              <w:t>”</w:t>
            </w:r>
            <w:r>
              <w:rPr>
                <w:rStyle w:val="39"/>
                <w:rFonts w:hint="default"/>
                <w:sz w:val="21"/>
                <w:szCs w:val="21"/>
                <w:highlight w:val="none"/>
                <w:lang w:bidi="ar"/>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 w:hRule="atLeast"/>
        </w:trPr>
        <w:tc>
          <w:tcPr>
            <w:tcW w:w="597" w:type="dxa"/>
            <w:tcBorders>
              <w:tl2br w:val="nil"/>
              <w:tr2bl w:val="nil"/>
            </w:tcBorders>
            <w:shd w:val="clear" w:color="auto" w:fill="auto"/>
            <w:vAlign w:val="center"/>
          </w:tcPr>
          <w:p>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9</w:t>
            </w:r>
          </w:p>
        </w:tc>
        <w:tc>
          <w:tcPr>
            <w:tcW w:w="1750"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拒不签订合同</w:t>
            </w:r>
          </w:p>
        </w:tc>
        <w:tc>
          <w:tcPr>
            <w:tcW w:w="4011"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获取中标资格或成交资格拒绝签订合同的</w:t>
            </w:r>
          </w:p>
        </w:tc>
        <w:tc>
          <w:tcPr>
            <w:tcW w:w="1720"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对供应商给予“禁用两年”处理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597" w:type="dxa"/>
            <w:tcBorders>
              <w:tl2br w:val="nil"/>
              <w:tr2bl w:val="nil"/>
            </w:tcBorders>
            <w:shd w:val="clear" w:color="auto" w:fill="auto"/>
            <w:vAlign w:val="center"/>
          </w:tcPr>
          <w:p>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10</w:t>
            </w:r>
          </w:p>
        </w:tc>
        <w:tc>
          <w:tcPr>
            <w:tcW w:w="1750"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不遵守招投标纪律</w:t>
            </w:r>
          </w:p>
        </w:tc>
        <w:tc>
          <w:tcPr>
            <w:tcW w:w="4011"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Style w:val="39"/>
                <w:rFonts w:hint="default"/>
                <w:sz w:val="21"/>
                <w:szCs w:val="21"/>
                <w:highlight w:val="none"/>
                <w:lang w:bidi="ar"/>
              </w:rPr>
              <w:t>不遵守招投标相关纪律：如在开标、评标现场无理取闹，违反招投标程序</w:t>
            </w:r>
            <w:r>
              <w:rPr>
                <w:rStyle w:val="40"/>
                <w:rFonts w:hint="eastAsia" w:ascii="宋体" w:hAnsi="宋体" w:eastAsia="宋体" w:cs="宋体"/>
                <w:sz w:val="21"/>
                <w:szCs w:val="21"/>
                <w:highlight w:val="none"/>
                <w:lang w:bidi="ar"/>
              </w:rPr>
              <w:t>,</w:t>
            </w:r>
            <w:r>
              <w:rPr>
                <w:rStyle w:val="39"/>
                <w:rFonts w:hint="default"/>
                <w:sz w:val="21"/>
                <w:szCs w:val="21"/>
                <w:highlight w:val="none"/>
                <w:lang w:bidi="ar"/>
              </w:rPr>
              <w:t>破坏招投标秩序等情形的</w:t>
            </w:r>
          </w:p>
        </w:tc>
        <w:tc>
          <w:tcPr>
            <w:tcW w:w="1720"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对供应商给予“禁用一年”处理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597" w:type="dxa"/>
            <w:tcBorders>
              <w:tl2br w:val="nil"/>
              <w:tr2bl w:val="nil"/>
            </w:tcBorders>
            <w:shd w:val="clear" w:color="auto" w:fill="auto"/>
            <w:vAlign w:val="center"/>
          </w:tcPr>
          <w:p>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11</w:t>
            </w:r>
          </w:p>
        </w:tc>
        <w:tc>
          <w:tcPr>
            <w:tcW w:w="1750" w:type="dxa"/>
            <w:vMerge w:val="restart"/>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无事实依据对采购过程或采购结果进行乱投诉、举报的</w:t>
            </w:r>
          </w:p>
        </w:tc>
        <w:tc>
          <w:tcPr>
            <w:tcW w:w="4011"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情节较轻的</w:t>
            </w:r>
          </w:p>
        </w:tc>
        <w:tc>
          <w:tcPr>
            <w:tcW w:w="1720"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对供应商给予“警告”处理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597" w:type="dxa"/>
            <w:tcBorders>
              <w:tl2br w:val="nil"/>
              <w:tr2bl w:val="nil"/>
            </w:tcBorders>
            <w:shd w:val="clear" w:color="auto" w:fill="auto"/>
            <w:vAlign w:val="center"/>
          </w:tcPr>
          <w:p>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12</w:t>
            </w:r>
          </w:p>
        </w:tc>
        <w:tc>
          <w:tcPr>
            <w:tcW w:w="1750" w:type="dxa"/>
            <w:vMerge w:val="continue"/>
            <w:tcBorders>
              <w:tl2br w:val="nil"/>
              <w:tr2bl w:val="nil"/>
            </w:tcBorders>
            <w:shd w:val="clear" w:color="auto" w:fill="auto"/>
            <w:vAlign w:val="center"/>
          </w:tcPr>
          <w:p>
            <w:pPr>
              <w:jc w:val="left"/>
              <w:rPr>
                <w:rFonts w:ascii="宋体" w:hAnsi="宋体" w:eastAsia="宋体" w:cs="宋体"/>
                <w:color w:val="000000"/>
                <w:sz w:val="21"/>
                <w:szCs w:val="21"/>
                <w:highlight w:val="none"/>
              </w:rPr>
            </w:pPr>
          </w:p>
        </w:tc>
        <w:tc>
          <w:tcPr>
            <w:tcW w:w="4011"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恶意投诉、举报的</w:t>
            </w:r>
          </w:p>
        </w:tc>
        <w:tc>
          <w:tcPr>
            <w:tcW w:w="1720"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对供应商给予“禁用一年”处理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597" w:type="dxa"/>
            <w:tcBorders>
              <w:tl2br w:val="nil"/>
              <w:tr2bl w:val="nil"/>
            </w:tcBorders>
            <w:shd w:val="clear" w:color="auto" w:fill="auto"/>
            <w:vAlign w:val="center"/>
          </w:tcPr>
          <w:p>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13</w:t>
            </w:r>
          </w:p>
        </w:tc>
        <w:tc>
          <w:tcPr>
            <w:tcW w:w="1750" w:type="dxa"/>
            <w:vMerge w:val="continue"/>
            <w:tcBorders>
              <w:tl2br w:val="nil"/>
              <w:tr2bl w:val="nil"/>
            </w:tcBorders>
            <w:shd w:val="clear" w:color="auto" w:fill="auto"/>
            <w:vAlign w:val="center"/>
          </w:tcPr>
          <w:p>
            <w:pPr>
              <w:jc w:val="left"/>
              <w:rPr>
                <w:rFonts w:ascii="宋体" w:hAnsi="宋体" w:eastAsia="宋体" w:cs="宋体"/>
                <w:color w:val="000000"/>
                <w:sz w:val="21"/>
                <w:szCs w:val="21"/>
                <w:highlight w:val="none"/>
              </w:rPr>
            </w:pPr>
          </w:p>
        </w:tc>
        <w:tc>
          <w:tcPr>
            <w:tcW w:w="4011"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对伪造证据、捏造事实、诬陷招标方或供应商管理、供应商使用单位人员的，一经查证</w:t>
            </w:r>
          </w:p>
        </w:tc>
        <w:tc>
          <w:tcPr>
            <w:tcW w:w="1720"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对供应商给予“长期禁用”处理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597" w:type="dxa"/>
            <w:tcBorders>
              <w:tl2br w:val="nil"/>
              <w:tr2bl w:val="nil"/>
            </w:tcBorders>
            <w:shd w:val="clear" w:color="auto" w:fill="auto"/>
            <w:vAlign w:val="center"/>
          </w:tcPr>
          <w:p>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14</w:t>
            </w:r>
          </w:p>
        </w:tc>
        <w:tc>
          <w:tcPr>
            <w:tcW w:w="1750" w:type="dxa"/>
            <w:vMerge w:val="restart"/>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擅自变更、不按照合同规定履行或者擅自终止合同的</w:t>
            </w:r>
          </w:p>
        </w:tc>
        <w:tc>
          <w:tcPr>
            <w:tcW w:w="4011"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损失较轻或对安全生产影响较小的</w:t>
            </w:r>
          </w:p>
        </w:tc>
        <w:tc>
          <w:tcPr>
            <w:tcW w:w="1720"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对供应商给予“禁用两年”处理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597" w:type="dxa"/>
            <w:tcBorders>
              <w:tl2br w:val="nil"/>
              <w:tr2bl w:val="nil"/>
            </w:tcBorders>
            <w:shd w:val="clear" w:color="auto" w:fill="auto"/>
            <w:vAlign w:val="center"/>
          </w:tcPr>
          <w:p>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15</w:t>
            </w:r>
          </w:p>
        </w:tc>
        <w:tc>
          <w:tcPr>
            <w:tcW w:w="1750" w:type="dxa"/>
            <w:vMerge w:val="continue"/>
            <w:tcBorders>
              <w:tl2br w:val="nil"/>
              <w:tr2bl w:val="nil"/>
            </w:tcBorders>
            <w:shd w:val="clear" w:color="auto" w:fill="auto"/>
            <w:vAlign w:val="center"/>
          </w:tcPr>
          <w:p>
            <w:pPr>
              <w:jc w:val="left"/>
              <w:rPr>
                <w:rFonts w:ascii="宋体" w:hAnsi="宋体" w:eastAsia="宋体" w:cs="宋体"/>
                <w:color w:val="000000"/>
                <w:sz w:val="21"/>
                <w:szCs w:val="21"/>
                <w:highlight w:val="none"/>
              </w:rPr>
            </w:pPr>
          </w:p>
        </w:tc>
        <w:tc>
          <w:tcPr>
            <w:tcW w:w="4011"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损失较大或对安全生产影响较大的</w:t>
            </w:r>
          </w:p>
        </w:tc>
        <w:tc>
          <w:tcPr>
            <w:tcW w:w="1720"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对供应商给予“长期禁用”处理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rPr>
        <w:tc>
          <w:tcPr>
            <w:tcW w:w="597" w:type="dxa"/>
            <w:tcBorders>
              <w:tl2br w:val="nil"/>
              <w:tr2bl w:val="nil"/>
            </w:tcBorders>
            <w:shd w:val="clear" w:color="auto" w:fill="auto"/>
            <w:vAlign w:val="center"/>
          </w:tcPr>
          <w:p>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16</w:t>
            </w:r>
          </w:p>
        </w:tc>
        <w:tc>
          <w:tcPr>
            <w:tcW w:w="1750" w:type="dxa"/>
            <w:vMerge w:val="restart"/>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擅自降低标的功能标准或改变功能结构</w:t>
            </w:r>
          </w:p>
        </w:tc>
        <w:tc>
          <w:tcPr>
            <w:tcW w:w="4011"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供应商在提供工程、货物和服务时，擅自降低原来规定的功能标准，改变功能结构，使采购原有的功能要求得不到保证，未对生产经营造成影响且能积极配合整改</w:t>
            </w:r>
          </w:p>
        </w:tc>
        <w:tc>
          <w:tcPr>
            <w:tcW w:w="1720"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对供应商给予“警告”处理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597" w:type="dxa"/>
            <w:tcBorders>
              <w:tl2br w:val="nil"/>
              <w:tr2bl w:val="nil"/>
            </w:tcBorders>
            <w:shd w:val="clear" w:color="auto" w:fill="auto"/>
            <w:vAlign w:val="center"/>
          </w:tcPr>
          <w:p>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17</w:t>
            </w:r>
          </w:p>
        </w:tc>
        <w:tc>
          <w:tcPr>
            <w:tcW w:w="1750" w:type="dxa"/>
            <w:vMerge w:val="continue"/>
            <w:tcBorders>
              <w:tl2br w:val="nil"/>
              <w:tr2bl w:val="nil"/>
            </w:tcBorders>
            <w:shd w:val="clear" w:color="auto" w:fill="auto"/>
            <w:vAlign w:val="center"/>
          </w:tcPr>
          <w:p>
            <w:pPr>
              <w:jc w:val="left"/>
              <w:rPr>
                <w:rFonts w:ascii="宋体" w:hAnsi="宋体" w:eastAsia="宋体" w:cs="宋体"/>
                <w:color w:val="000000"/>
                <w:sz w:val="21"/>
                <w:szCs w:val="21"/>
                <w:highlight w:val="none"/>
              </w:rPr>
            </w:pPr>
          </w:p>
        </w:tc>
        <w:tc>
          <w:tcPr>
            <w:tcW w:w="4011"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及时整改但造成一定影响的</w:t>
            </w:r>
          </w:p>
        </w:tc>
        <w:tc>
          <w:tcPr>
            <w:tcW w:w="1720" w:type="dxa"/>
            <w:tcBorders>
              <w:tl2br w:val="nil"/>
              <w:tr2bl w:val="nil"/>
            </w:tcBorders>
            <w:shd w:val="clear" w:color="auto" w:fill="auto"/>
            <w:noWrap/>
            <w:vAlign w:val="center"/>
          </w:tcPr>
          <w:p>
            <w:pPr>
              <w:widowControl/>
              <w:jc w:val="left"/>
              <w:textAlignment w:val="center"/>
              <w:rPr>
                <w:rFonts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对供应商给予“禁用一年”处理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597" w:type="dxa"/>
            <w:tcBorders>
              <w:tl2br w:val="nil"/>
              <w:tr2bl w:val="nil"/>
            </w:tcBorders>
            <w:shd w:val="clear" w:color="auto" w:fill="auto"/>
            <w:vAlign w:val="center"/>
          </w:tcPr>
          <w:p>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18</w:t>
            </w:r>
          </w:p>
        </w:tc>
        <w:tc>
          <w:tcPr>
            <w:tcW w:w="1750" w:type="dxa"/>
            <w:vMerge w:val="continue"/>
            <w:tcBorders>
              <w:tl2br w:val="nil"/>
              <w:tr2bl w:val="nil"/>
            </w:tcBorders>
            <w:shd w:val="clear" w:color="auto" w:fill="auto"/>
            <w:vAlign w:val="center"/>
          </w:tcPr>
          <w:p>
            <w:pPr>
              <w:jc w:val="left"/>
              <w:rPr>
                <w:rFonts w:ascii="宋体" w:hAnsi="宋体" w:eastAsia="宋体" w:cs="宋体"/>
                <w:color w:val="000000"/>
                <w:sz w:val="21"/>
                <w:szCs w:val="21"/>
                <w:highlight w:val="none"/>
              </w:rPr>
            </w:pPr>
          </w:p>
        </w:tc>
        <w:tc>
          <w:tcPr>
            <w:tcW w:w="4011"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及时整改但影响较重的</w:t>
            </w:r>
          </w:p>
        </w:tc>
        <w:tc>
          <w:tcPr>
            <w:tcW w:w="1720" w:type="dxa"/>
            <w:tcBorders>
              <w:tl2br w:val="nil"/>
              <w:tr2bl w:val="nil"/>
            </w:tcBorders>
            <w:shd w:val="clear" w:color="auto" w:fill="auto"/>
            <w:vAlign w:val="center"/>
          </w:tcPr>
          <w:p>
            <w:pPr>
              <w:widowControl/>
              <w:jc w:val="left"/>
              <w:textAlignment w:val="center"/>
              <w:rPr>
                <w:rFonts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对供应商给予“禁用两年”处理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597" w:type="dxa"/>
            <w:tcBorders>
              <w:tl2br w:val="nil"/>
              <w:tr2bl w:val="nil"/>
            </w:tcBorders>
            <w:shd w:val="clear" w:color="auto" w:fill="auto"/>
            <w:vAlign w:val="center"/>
          </w:tcPr>
          <w:p>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19</w:t>
            </w:r>
          </w:p>
        </w:tc>
        <w:tc>
          <w:tcPr>
            <w:tcW w:w="1750" w:type="dxa"/>
            <w:vMerge w:val="continue"/>
            <w:tcBorders>
              <w:tl2br w:val="nil"/>
              <w:tr2bl w:val="nil"/>
            </w:tcBorders>
            <w:shd w:val="clear" w:color="auto" w:fill="auto"/>
            <w:vAlign w:val="center"/>
          </w:tcPr>
          <w:p>
            <w:pPr>
              <w:jc w:val="left"/>
              <w:rPr>
                <w:rFonts w:ascii="宋体" w:hAnsi="宋体" w:eastAsia="宋体" w:cs="宋体"/>
                <w:color w:val="000000"/>
                <w:sz w:val="21"/>
                <w:szCs w:val="21"/>
                <w:highlight w:val="none"/>
              </w:rPr>
            </w:pPr>
          </w:p>
        </w:tc>
        <w:tc>
          <w:tcPr>
            <w:tcW w:w="4011"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拒不整改的</w:t>
            </w:r>
          </w:p>
        </w:tc>
        <w:tc>
          <w:tcPr>
            <w:tcW w:w="1720" w:type="dxa"/>
            <w:tcBorders>
              <w:tl2br w:val="nil"/>
              <w:tr2bl w:val="nil"/>
            </w:tcBorders>
            <w:shd w:val="clear" w:color="auto" w:fill="auto"/>
            <w:vAlign w:val="center"/>
          </w:tcPr>
          <w:p>
            <w:pPr>
              <w:widowControl/>
              <w:jc w:val="left"/>
              <w:textAlignment w:val="center"/>
              <w:rPr>
                <w:rFonts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对供应商给予“长期禁用”处理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597" w:type="dxa"/>
            <w:tcBorders>
              <w:tl2br w:val="nil"/>
              <w:tr2bl w:val="nil"/>
            </w:tcBorders>
            <w:shd w:val="clear" w:color="auto" w:fill="auto"/>
            <w:vAlign w:val="center"/>
          </w:tcPr>
          <w:p>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20</w:t>
            </w:r>
          </w:p>
        </w:tc>
        <w:tc>
          <w:tcPr>
            <w:tcW w:w="1750" w:type="dxa"/>
            <w:vMerge w:val="restart"/>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假冒其他厂家品牌，提供伪劣商品、以假乱真弄虚作假的</w:t>
            </w:r>
          </w:p>
        </w:tc>
        <w:tc>
          <w:tcPr>
            <w:tcW w:w="4011"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对生产经营造成影响较小</w:t>
            </w:r>
          </w:p>
        </w:tc>
        <w:tc>
          <w:tcPr>
            <w:tcW w:w="1720"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对供应商给予“禁用两年”处理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597" w:type="dxa"/>
            <w:tcBorders>
              <w:tl2br w:val="nil"/>
              <w:tr2bl w:val="nil"/>
            </w:tcBorders>
            <w:shd w:val="clear" w:color="auto" w:fill="auto"/>
            <w:vAlign w:val="center"/>
          </w:tcPr>
          <w:p>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21</w:t>
            </w:r>
          </w:p>
        </w:tc>
        <w:tc>
          <w:tcPr>
            <w:tcW w:w="1750" w:type="dxa"/>
            <w:vMerge w:val="continue"/>
            <w:tcBorders>
              <w:tl2br w:val="nil"/>
              <w:tr2bl w:val="nil"/>
            </w:tcBorders>
            <w:shd w:val="clear" w:color="auto" w:fill="auto"/>
            <w:vAlign w:val="center"/>
          </w:tcPr>
          <w:p>
            <w:pPr>
              <w:jc w:val="left"/>
              <w:rPr>
                <w:rFonts w:ascii="宋体" w:hAnsi="宋体" w:eastAsia="宋体" w:cs="宋体"/>
                <w:color w:val="000000"/>
                <w:sz w:val="21"/>
                <w:szCs w:val="21"/>
                <w:highlight w:val="none"/>
              </w:rPr>
            </w:pPr>
          </w:p>
        </w:tc>
        <w:tc>
          <w:tcPr>
            <w:tcW w:w="4011"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对生产经营影响较大；或虽然对生产经营影响较小，但拒绝整改的</w:t>
            </w:r>
          </w:p>
        </w:tc>
        <w:tc>
          <w:tcPr>
            <w:tcW w:w="1720"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对供应商给予“长期禁用”处理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 w:hRule="atLeast"/>
        </w:trPr>
        <w:tc>
          <w:tcPr>
            <w:tcW w:w="597" w:type="dxa"/>
            <w:tcBorders>
              <w:tl2br w:val="nil"/>
              <w:tr2bl w:val="nil"/>
            </w:tcBorders>
            <w:shd w:val="clear" w:color="auto" w:fill="auto"/>
            <w:vAlign w:val="center"/>
          </w:tcPr>
          <w:p>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22</w:t>
            </w:r>
          </w:p>
        </w:tc>
        <w:tc>
          <w:tcPr>
            <w:tcW w:w="1750" w:type="dxa"/>
            <w:vMerge w:val="restart"/>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出现供给不足（即“短斤少两”行为）</w:t>
            </w:r>
          </w:p>
        </w:tc>
        <w:tc>
          <w:tcPr>
            <w:tcW w:w="4011"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及时整改未产生影响的</w:t>
            </w:r>
          </w:p>
        </w:tc>
        <w:tc>
          <w:tcPr>
            <w:tcW w:w="1720"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可以不予处理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597" w:type="dxa"/>
            <w:tcBorders>
              <w:tl2br w:val="nil"/>
              <w:tr2bl w:val="nil"/>
            </w:tcBorders>
            <w:shd w:val="clear" w:color="auto" w:fill="auto"/>
            <w:vAlign w:val="center"/>
          </w:tcPr>
          <w:p>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23</w:t>
            </w:r>
          </w:p>
        </w:tc>
        <w:tc>
          <w:tcPr>
            <w:tcW w:w="1750" w:type="dxa"/>
            <w:vMerge w:val="continue"/>
            <w:tcBorders>
              <w:tl2br w:val="nil"/>
              <w:tr2bl w:val="nil"/>
            </w:tcBorders>
            <w:shd w:val="clear" w:color="auto" w:fill="auto"/>
            <w:vAlign w:val="center"/>
          </w:tcPr>
          <w:p>
            <w:pPr>
              <w:jc w:val="left"/>
              <w:rPr>
                <w:rFonts w:ascii="宋体" w:hAnsi="宋体" w:eastAsia="宋体" w:cs="宋体"/>
                <w:color w:val="000000"/>
                <w:sz w:val="21"/>
                <w:szCs w:val="21"/>
                <w:highlight w:val="none"/>
              </w:rPr>
            </w:pPr>
          </w:p>
        </w:tc>
        <w:tc>
          <w:tcPr>
            <w:tcW w:w="4011"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整改但产生影响的</w:t>
            </w:r>
          </w:p>
        </w:tc>
        <w:tc>
          <w:tcPr>
            <w:tcW w:w="1720"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对供应商给予“禁用一年”处理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 w:hRule="atLeast"/>
        </w:trPr>
        <w:tc>
          <w:tcPr>
            <w:tcW w:w="597" w:type="dxa"/>
            <w:tcBorders>
              <w:tl2br w:val="nil"/>
              <w:tr2bl w:val="nil"/>
            </w:tcBorders>
            <w:shd w:val="clear" w:color="auto" w:fill="auto"/>
            <w:vAlign w:val="center"/>
          </w:tcPr>
          <w:p>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24</w:t>
            </w:r>
          </w:p>
        </w:tc>
        <w:tc>
          <w:tcPr>
            <w:tcW w:w="1750" w:type="dxa"/>
            <w:vMerge w:val="continue"/>
            <w:tcBorders>
              <w:tl2br w:val="nil"/>
              <w:tr2bl w:val="nil"/>
            </w:tcBorders>
            <w:shd w:val="clear" w:color="auto" w:fill="auto"/>
            <w:vAlign w:val="center"/>
          </w:tcPr>
          <w:p>
            <w:pPr>
              <w:jc w:val="left"/>
              <w:rPr>
                <w:rFonts w:ascii="宋体" w:hAnsi="宋体" w:eastAsia="宋体" w:cs="宋体"/>
                <w:color w:val="000000"/>
                <w:sz w:val="21"/>
                <w:szCs w:val="21"/>
                <w:highlight w:val="none"/>
              </w:rPr>
            </w:pPr>
          </w:p>
        </w:tc>
        <w:tc>
          <w:tcPr>
            <w:tcW w:w="4011"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拒不更正的</w:t>
            </w:r>
          </w:p>
        </w:tc>
        <w:tc>
          <w:tcPr>
            <w:tcW w:w="1720"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对供应商给予“长期禁用”处理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597" w:type="dxa"/>
            <w:tcBorders>
              <w:tl2br w:val="nil"/>
              <w:tr2bl w:val="nil"/>
            </w:tcBorders>
            <w:shd w:val="clear" w:color="auto" w:fill="auto"/>
            <w:vAlign w:val="center"/>
          </w:tcPr>
          <w:p>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25</w:t>
            </w:r>
          </w:p>
        </w:tc>
        <w:tc>
          <w:tcPr>
            <w:tcW w:w="1750" w:type="dxa"/>
            <w:vMerge w:val="restart"/>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提供虚假进度报告</w:t>
            </w:r>
          </w:p>
        </w:tc>
        <w:tc>
          <w:tcPr>
            <w:tcW w:w="4011"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未造成实质影响的</w:t>
            </w:r>
          </w:p>
        </w:tc>
        <w:tc>
          <w:tcPr>
            <w:tcW w:w="1720"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对供应商给予“禁用一年”处理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597" w:type="dxa"/>
            <w:tcBorders>
              <w:tl2br w:val="nil"/>
              <w:tr2bl w:val="nil"/>
            </w:tcBorders>
            <w:shd w:val="clear" w:color="auto" w:fill="auto"/>
            <w:vAlign w:val="center"/>
          </w:tcPr>
          <w:p>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26</w:t>
            </w:r>
          </w:p>
        </w:tc>
        <w:tc>
          <w:tcPr>
            <w:tcW w:w="1750" w:type="dxa"/>
            <w:vMerge w:val="continue"/>
            <w:tcBorders>
              <w:tl2br w:val="nil"/>
              <w:tr2bl w:val="nil"/>
            </w:tcBorders>
            <w:shd w:val="clear" w:color="auto" w:fill="auto"/>
            <w:vAlign w:val="center"/>
          </w:tcPr>
          <w:p>
            <w:pPr>
              <w:jc w:val="left"/>
              <w:rPr>
                <w:rFonts w:ascii="宋体" w:hAnsi="宋体" w:eastAsia="宋体" w:cs="宋体"/>
                <w:color w:val="000000"/>
                <w:sz w:val="21"/>
                <w:szCs w:val="21"/>
                <w:highlight w:val="none"/>
              </w:rPr>
            </w:pPr>
          </w:p>
        </w:tc>
        <w:tc>
          <w:tcPr>
            <w:tcW w:w="4011"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造成实质性影响的</w:t>
            </w:r>
          </w:p>
        </w:tc>
        <w:tc>
          <w:tcPr>
            <w:tcW w:w="1720"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对供应商给予“禁用两年”处理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597" w:type="dxa"/>
            <w:tcBorders>
              <w:tl2br w:val="nil"/>
              <w:tr2bl w:val="nil"/>
            </w:tcBorders>
            <w:shd w:val="clear" w:color="auto" w:fill="auto"/>
            <w:vAlign w:val="center"/>
          </w:tcPr>
          <w:p>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27</w:t>
            </w:r>
          </w:p>
        </w:tc>
        <w:tc>
          <w:tcPr>
            <w:tcW w:w="1750" w:type="dxa"/>
            <w:vMerge w:val="restart"/>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违反规定擅自把中标项目或合同转让、转包、分包</w:t>
            </w:r>
          </w:p>
        </w:tc>
        <w:tc>
          <w:tcPr>
            <w:tcW w:w="4011"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及时更正其违规行为的</w:t>
            </w:r>
          </w:p>
        </w:tc>
        <w:tc>
          <w:tcPr>
            <w:tcW w:w="1720"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对供应商给予“警告至禁用一年”处理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597" w:type="dxa"/>
            <w:tcBorders>
              <w:tl2br w:val="nil"/>
              <w:tr2bl w:val="nil"/>
            </w:tcBorders>
            <w:shd w:val="clear" w:color="auto" w:fill="auto"/>
            <w:vAlign w:val="center"/>
          </w:tcPr>
          <w:p>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28</w:t>
            </w:r>
          </w:p>
        </w:tc>
        <w:tc>
          <w:tcPr>
            <w:tcW w:w="1750" w:type="dxa"/>
            <w:vMerge w:val="continue"/>
            <w:tcBorders>
              <w:tl2br w:val="nil"/>
              <w:tr2bl w:val="nil"/>
            </w:tcBorders>
            <w:shd w:val="clear" w:color="auto" w:fill="auto"/>
            <w:vAlign w:val="center"/>
          </w:tcPr>
          <w:p>
            <w:pPr>
              <w:jc w:val="left"/>
              <w:rPr>
                <w:rFonts w:ascii="宋体" w:hAnsi="宋体" w:eastAsia="宋体" w:cs="宋体"/>
                <w:color w:val="000000"/>
                <w:sz w:val="21"/>
                <w:szCs w:val="21"/>
                <w:highlight w:val="none"/>
              </w:rPr>
            </w:pPr>
          </w:p>
        </w:tc>
        <w:tc>
          <w:tcPr>
            <w:tcW w:w="4011"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拒绝更正其违规行为的</w:t>
            </w:r>
          </w:p>
        </w:tc>
        <w:tc>
          <w:tcPr>
            <w:tcW w:w="1720"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对供应商给予“长期禁用”处理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597" w:type="dxa"/>
            <w:tcBorders>
              <w:tl2br w:val="nil"/>
              <w:tr2bl w:val="nil"/>
            </w:tcBorders>
            <w:shd w:val="clear" w:color="auto" w:fill="auto"/>
            <w:vAlign w:val="center"/>
          </w:tcPr>
          <w:p>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29</w:t>
            </w:r>
          </w:p>
        </w:tc>
        <w:tc>
          <w:tcPr>
            <w:tcW w:w="1750" w:type="dxa"/>
            <w:vMerge w:val="restart"/>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未经同意拖延交工、交货日期，延缓执行合同的期限</w:t>
            </w:r>
          </w:p>
        </w:tc>
        <w:tc>
          <w:tcPr>
            <w:tcW w:w="4011"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未造成严重影响且愿意协商解决或承担赔偿责任的</w:t>
            </w:r>
          </w:p>
        </w:tc>
        <w:tc>
          <w:tcPr>
            <w:tcW w:w="1720"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可不作处理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597" w:type="dxa"/>
            <w:tcBorders>
              <w:tl2br w:val="nil"/>
              <w:tr2bl w:val="nil"/>
            </w:tcBorders>
            <w:shd w:val="clear" w:color="auto" w:fill="auto"/>
            <w:vAlign w:val="center"/>
          </w:tcPr>
          <w:p>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30</w:t>
            </w:r>
          </w:p>
        </w:tc>
        <w:tc>
          <w:tcPr>
            <w:tcW w:w="1750" w:type="dxa"/>
            <w:vMerge w:val="continue"/>
            <w:tcBorders>
              <w:tl2br w:val="nil"/>
              <w:tr2bl w:val="nil"/>
            </w:tcBorders>
            <w:shd w:val="clear" w:color="auto" w:fill="auto"/>
            <w:vAlign w:val="center"/>
          </w:tcPr>
          <w:p>
            <w:pPr>
              <w:jc w:val="left"/>
              <w:rPr>
                <w:rFonts w:ascii="宋体" w:hAnsi="宋体" w:eastAsia="宋体" w:cs="宋体"/>
                <w:color w:val="000000"/>
                <w:sz w:val="21"/>
                <w:szCs w:val="21"/>
                <w:highlight w:val="none"/>
              </w:rPr>
            </w:pPr>
          </w:p>
        </w:tc>
        <w:tc>
          <w:tcPr>
            <w:tcW w:w="4011"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造成实质影响但愿意协商解决的，根据影响程度</w:t>
            </w:r>
          </w:p>
        </w:tc>
        <w:tc>
          <w:tcPr>
            <w:tcW w:w="1720"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对供应商给予“禁用一年至禁用两年”处理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597" w:type="dxa"/>
            <w:tcBorders>
              <w:tl2br w:val="nil"/>
              <w:tr2bl w:val="nil"/>
            </w:tcBorders>
            <w:shd w:val="clear" w:color="auto" w:fill="auto"/>
            <w:vAlign w:val="center"/>
          </w:tcPr>
          <w:p>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31</w:t>
            </w:r>
          </w:p>
        </w:tc>
        <w:tc>
          <w:tcPr>
            <w:tcW w:w="1750" w:type="dxa"/>
            <w:vMerge w:val="continue"/>
            <w:tcBorders>
              <w:tl2br w:val="nil"/>
              <w:tr2bl w:val="nil"/>
            </w:tcBorders>
            <w:shd w:val="clear" w:color="auto" w:fill="auto"/>
            <w:vAlign w:val="center"/>
          </w:tcPr>
          <w:p>
            <w:pPr>
              <w:jc w:val="left"/>
              <w:rPr>
                <w:rFonts w:ascii="宋体" w:hAnsi="宋体" w:eastAsia="宋体" w:cs="宋体"/>
                <w:color w:val="000000"/>
                <w:sz w:val="21"/>
                <w:szCs w:val="21"/>
                <w:highlight w:val="none"/>
              </w:rPr>
            </w:pPr>
          </w:p>
        </w:tc>
        <w:tc>
          <w:tcPr>
            <w:tcW w:w="4011"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造成较重或严重影响且拒绝协商解决的</w:t>
            </w:r>
          </w:p>
        </w:tc>
        <w:tc>
          <w:tcPr>
            <w:tcW w:w="1720"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对供应商给予“长期禁用”处理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597" w:type="dxa"/>
            <w:tcBorders>
              <w:tl2br w:val="nil"/>
              <w:tr2bl w:val="nil"/>
            </w:tcBorders>
            <w:shd w:val="clear" w:color="auto" w:fill="auto"/>
            <w:vAlign w:val="center"/>
          </w:tcPr>
          <w:p>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32</w:t>
            </w:r>
          </w:p>
        </w:tc>
        <w:tc>
          <w:tcPr>
            <w:tcW w:w="1750"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拒不配合</w:t>
            </w:r>
          </w:p>
        </w:tc>
        <w:tc>
          <w:tcPr>
            <w:tcW w:w="4011"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拒绝中国海油管理部门的监督检查或不如实反映情况、提供材料的</w:t>
            </w:r>
          </w:p>
        </w:tc>
        <w:tc>
          <w:tcPr>
            <w:tcW w:w="1720"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对该供应商给予“禁用两年”处理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597" w:type="dxa"/>
            <w:tcBorders>
              <w:tl2br w:val="nil"/>
              <w:tr2bl w:val="nil"/>
            </w:tcBorders>
            <w:shd w:val="clear" w:color="auto" w:fill="auto"/>
            <w:vAlign w:val="center"/>
          </w:tcPr>
          <w:p>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33</w:t>
            </w:r>
          </w:p>
        </w:tc>
        <w:tc>
          <w:tcPr>
            <w:tcW w:w="1750"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使用禁用供应商</w:t>
            </w:r>
          </w:p>
        </w:tc>
        <w:tc>
          <w:tcPr>
            <w:tcW w:w="4011"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参与或承揽中国海油业务时，在已知晓或应当知晓的情况下，仍代理被中国海油禁用其他供应商的产品、服务，或将已获取的合同对其分包的</w:t>
            </w:r>
          </w:p>
        </w:tc>
        <w:tc>
          <w:tcPr>
            <w:tcW w:w="1720"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对供应商给予“禁用一年”处理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597" w:type="dxa"/>
            <w:tcBorders>
              <w:tl2br w:val="nil"/>
              <w:tr2bl w:val="nil"/>
            </w:tcBorders>
            <w:shd w:val="clear" w:color="auto" w:fill="auto"/>
            <w:vAlign w:val="center"/>
          </w:tcPr>
          <w:p>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34</w:t>
            </w:r>
          </w:p>
        </w:tc>
        <w:tc>
          <w:tcPr>
            <w:tcW w:w="1750"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拒绝履行售后义务</w:t>
            </w:r>
          </w:p>
        </w:tc>
        <w:tc>
          <w:tcPr>
            <w:tcW w:w="4011"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拒绝履行售后服务义务并拒绝协商解决的情况，及其他因供应商的原因导致中国海油受损，并拒绝协商解决和赔偿责任的情况</w:t>
            </w:r>
          </w:p>
        </w:tc>
        <w:tc>
          <w:tcPr>
            <w:tcW w:w="1720"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对供应商给予“长期禁用”处理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trPr>
        <w:tc>
          <w:tcPr>
            <w:tcW w:w="597" w:type="dxa"/>
            <w:tcBorders>
              <w:tl2br w:val="nil"/>
              <w:tr2bl w:val="nil"/>
            </w:tcBorders>
            <w:shd w:val="clear" w:color="auto" w:fill="auto"/>
            <w:vAlign w:val="center"/>
          </w:tcPr>
          <w:p>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35</w:t>
            </w:r>
          </w:p>
        </w:tc>
        <w:tc>
          <w:tcPr>
            <w:tcW w:w="1750" w:type="dxa"/>
            <w:vMerge w:val="restart"/>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所提供的产品存在严重质量问题，影响安全生产或对工程建设造成实质性影响的</w:t>
            </w:r>
          </w:p>
        </w:tc>
        <w:tc>
          <w:tcPr>
            <w:tcW w:w="4011"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对安全生产或工程建设影响较轻的</w:t>
            </w:r>
          </w:p>
        </w:tc>
        <w:tc>
          <w:tcPr>
            <w:tcW w:w="1720"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禁用一年。处理期满 后要对产品质量重新进行评估，确保产品合格后方可进行使用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rPr>
        <w:tc>
          <w:tcPr>
            <w:tcW w:w="597" w:type="dxa"/>
            <w:tcBorders>
              <w:tl2br w:val="nil"/>
              <w:tr2bl w:val="nil"/>
            </w:tcBorders>
            <w:shd w:val="clear" w:color="auto" w:fill="auto"/>
            <w:vAlign w:val="center"/>
          </w:tcPr>
          <w:p>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36</w:t>
            </w:r>
          </w:p>
        </w:tc>
        <w:tc>
          <w:tcPr>
            <w:tcW w:w="1750" w:type="dxa"/>
            <w:vMerge w:val="continue"/>
            <w:tcBorders>
              <w:tl2br w:val="nil"/>
              <w:tr2bl w:val="nil"/>
            </w:tcBorders>
            <w:shd w:val="clear" w:color="auto" w:fill="auto"/>
            <w:vAlign w:val="center"/>
          </w:tcPr>
          <w:p>
            <w:pPr>
              <w:jc w:val="left"/>
              <w:rPr>
                <w:rFonts w:ascii="宋体" w:hAnsi="宋体" w:eastAsia="宋体" w:cs="宋体"/>
                <w:color w:val="000000"/>
                <w:sz w:val="21"/>
                <w:szCs w:val="21"/>
                <w:highlight w:val="none"/>
              </w:rPr>
            </w:pPr>
          </w:p>
        </w:tc>
        <w:tc>
          <w:tcPr>
            <w:tcW w:w="4011"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对安全生产或工程建设影响较重的</w:t>
            </w:r>
          </w:p>
        </w:tc>
        <w:tc>
          <w:tcPr>
            <w:tcW w:w="1720"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禁用两年。处理期满 后要对产品质量重新进行评估，确保产品合格后方可进行使用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rPr>
        <w:tc>
          <w:tcPr>
            <w:tcW w:w="597" w:type="dxa"/>
            <w:tcBorders>
              <w:tl2br w:val="nil"/>
              <w:tr2bl w:val="nil"/>
            </w:tcBorders>
            <w:shd w:val="clear" w:color="auto" w:fill="auto"/>
            <w:vAlign w:val="center"/>
          </w:tcPr>
          <w:p>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37</w:t>
            </w:r>
          </w:p>
        </w:tc>
        <w:tc>
          <w:tcPr>
            <w:tcW w:w="1750"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提供的产品/服务出现严重安全隐患，且拒绝整改或整改不及时、不到位的</w:t>
            </w:r>
          </w:p>
        </w:tc>
        <w:tc>
          <w:tcPr>
            <w:tcW w:w="4011"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提供的产品/服务出现严重安全隐患，且拒绝整改或整改不及时、不到位的</w:t>
            </w:r>
          </w:p>
        </w:tc>
        <w:tc>
          <w:tcPr>
            <w:tcW w:w="1720" w:type="dxa"/>
            <w:tcBorders>
              <w:tl2br w:val="nil"/>
              <w:tr2bl w:val="nil"/>
            </w:tcBorders>
            <w:shd w:val="clear" w:color="auto" w:fill="auto"/>
            <w:noWrap/>
            <w:vAlign w:val="center"/>
          </w:tcPr>
          <w:p>
            <w:pPr>
              <w:widowControl/>
              <w:jc w:val="left"/>
              <w:textAlignment w:val="center"/>
              <w:rPr>
                <w:rFonts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对供应商给予“长期禁用”处理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597" w:type="dxa"/>
            <w:tcBorders>
              <w:tl2br w:val="nil"/>
              <w:tr2bl w:val="nil"/>
            </w:tcBorders>
            <w:shd w:val="clear" w:color="auto" w:fill="auto"/>
            <w:vAlign w:val="center"/>
          </w:tcPr>
          <w:p>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38</w:t>
            </w:r>
          </w:p>
        </w:tc>
        <w:tc>
          <w:tcPr>
            <w:tcW w:w="1750" w:type="dxa"/>
            <w:vMerge w:val="restart"/>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未经许可，对外披露中国海油商业秘密信息的</w:t>
            </w:r>
          </w:p>
        </w:tc>
        <w:tc>
          <w:tcPr>
            <w:tcW w:w="4011"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未造成经济损失或名誉损失的</w:t>
            </w:r>
          </w:p>
        </w:tc>
        <w:tc>
          <w:tcPr>
            <w:tcW w:w="1720"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对供应商给予“禁用一年”处理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597" w:type="dxa"/>
            <w:tcBorders>
              <w:tl2br w:val="nil"/>
              <w:tr2bl w:val="nil"/>
            </w:tcBorders>
            <w:shd w:val="clear" w:color="auto" w:fill="auto"/>
            <w:vAlign w:val="center"/>
          </w:tcPr>
          <w:p>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39</w:t>
            </w:r>
          </w:p>
        </w:tc>
        <w:tc>
          <w:tcPr>
            <w:tcW w:w="1750" w:type="dxa"/>
            <w:vMerge w:val="continue"/>
            <w:tcBorders>
              <w:tl2br w:val="nil"/>
              <w:tr2bl w:val="nil"/>
            </w:tcBorders>
            <w:shd w:val="clear" w:color="auto" w:fill="auto"/>
            <w:vAlign w:val="center"/>
          </w:tcPr>
          <w:p>
            <w:pPr>
              <w:jc w:val="left"/>
              <w:rPr>
                <w:rFonts w:ascii="宋体" w:hAnsi="宋体" w:eastAsia="宋体" w:cs="宋体"/>
                <w:color w:val="000000"/>
                <w:sz w:val="21"/>
                <w:szCs w:val="21"/>
                <w:highlight w:val="none"/>
              </w:rPr>
            </w:pPr>
          </w:p>
        </w:tc>
        <w:tc>
          <w:tcPr>
            <w:tcW w:w="4011"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造成经济损失或名誉损失的</w:t>
            </w:r>
          </w:p>
        </w:tc>
        <w:tc>
          <w:tcPr>
            <w:tcW w:w="1720"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对供应商给予“长期禁用”处理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rPr>
        <w:tc>
          <w:tcPr>
            <w:tcW w:w="597" w:type="dxa"/>
            <w:tcBorders>
              <w:tl2br w:val="nil"/>
              <w:tr2bl w:val="nil"/>
            </w:tcBorders>
            <w:shd w:val="clear" w:color="auto" w:fill="auto"/>
            <w:vAlign w:val="center"/>
          </w:tcPr>
          <w:p>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40</w:t>
            </w:r>
          </w:p>
        </w:tc>
        <w:tc>
          <w:tcPr>
            <w:tcW w:w="1750"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由于供应商的过失，与中国海油及所属单位产生法律诉讼的</w:t>
            </w:r>
          </w:p>
        </w:tc>
        <w:tc>
          <w:tcPr>
            <w:tcW w:w="4011"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由于供应商的过失，与中国海油及所属单位产生法律诉讼的</w:t>
            </w:r>
          </w:p>
        </w:tc>
        <w:tc>
          <w:tcPr>
            <w:tcW w:w="1720" w:type="dxa"/>
            <w:tcBorders>
              <w:tl2br w:val="nil"/>
              <w:tr2bl w:val="nil"/>
            </w:tcBorders>
            <w:shd w:val="clear" w:color="auto" w:fill="auto"/>
            <w:noWrap/>
            <w:vAlign w:val="center"/>
          </w:tcPr>
          <w:p>
            <w:pPr>
              <w:widowControl/>
              <w:jc w:val="left"/>
              <w:textAlignment w:val="center"/>
              <w:rPr>
                <w:rFonts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对供应商给予“禁用两年”处理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trPr>
        <w:tc>
          <w:tcPr>
            <w:tcW w:w="597" w:type="dxa"/>
            <w:tcBorders>
              <w:tl2br w:val="nil"/>
              <w:tr2bl w:val="nil"/>
            </w:tcBorders>
            <w:shd w:val="clear" w:color="auto" w:fill="auto"/>
            <w:vAlign w:val="center"/>
          </w:tcPr>
          <w:p>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41</w:t>
            </w:r>
          </w:p>
        </w:tc>
        <w:tc>
          <w:tcPr>
            <w:tcW w:w="1750"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三年内记满10分的供应商，或连续三个合同执行过程中均发生“C级”事故</w:t>
            </w:r>
          </w:p>
        </w:tc>
        <w:tc>
          <w:tcPr>
            <w:tcW w:w="4011" w:type="dxa"/>
            <w:tcBorders>
              <w:tl2br w:val="nil"/>
              <w:tr2bl w:val="nil"/>
            </w:tcBorders>
            <w:shd w:val="clear" w:color="auto" w:fill="auto"/>
            <w:vAlign w:val="center"/>
          </w:tcPr>
          <w:p>
            <w:pPr>
              <w:widowControl/>
              <w:jc w:val="left"/>
              <w:textAlignment w:val="center"/>
              <w:rPr>
                <w:rFonts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公司安全生产部将通知采办共享中心，采办共享中心书面通知供应商，并按程序清理出公司供应商库</w:t>
            </w:r>
          </w:p>
        </w:tc>
        <w:tc>
          <w:tcPr>
            <w:tcW w:w="1720" w:type="dxa"/>
            <w:tcBorders>
              <w:tl2br w:val="nil"/>
              <w:tr2bl w:val="nil"/>
            </w:tcBorders>
            <w:shd w:val="clear" w:color="auto" w:fill="auto"/>
            <w:noWrap/>
            <w:vAlign w:val="center"/>
          </w:tcPr>
          <w:p>
            <w:pPr>
              <w:widowControl/>
              <w:jc w:val="left"/>
              <w:textAlignment w:val="center"/>
              <w:rPr>
                <w:rFonts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对供应商给予“禁用三年”处；情节严重的，对供应商给予“长期禁用”处理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597" w:type="dxa"/>
            <w:tcBorders>
              <w:tl2br w:val="nil"/>
              <w:tr2bl w:val="nil"/>
            </w:tcBorders>
            <w:shd w:val="clear" w:color="auto" w:fill="auto"/>
            <w:vAlign w:val="center"/>
          </w:tcPr>
          <w:p>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42</w:t>
            </w:r>
          </w:p>
        </w:tc>
        <w:tc>
          <w:tcPr>
            <w:tcW w:w="1750" w:type="dxa"/>
            <w:vMerge w:val="restart"/>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供应商在提报中国海油员工、员工亲属、离职退休的领导人员在本单位的任职和持股情况时</w:t>
            </w:r>
          </w:p>
        </w:tc>
        <w:tc>
          <w:tcPr>
            <w:tcW w:w="4011" w:type="dxa"/>
            <w:tcBorders>
              <w:tl2br w:val="nil"/>
              <w:tr2bl w:val="nil"/>
            </w:tcBorders>
            <w:shd w:val="clear" w:color="auto" w:fill="auto"/>
            <w:vAlign w:val="center"/>
          </w:tcPr>
          <w:p>
            <w:pPr>
              <w:widowControl/>
              <w:jc w:val="left"/>
              <w:textAlignment w:val="center"/>
              <w:rPr>
                <w:rFonts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存在瞒报相关情况的</w:t>
            </w:r>
          </w:p>
        </w:tc>
        <w:tc>
          <w:tcPr>
            <w:tcW w:w="1720" w:type="dxa"/>
            <w:tcBorders>
              <w:tl2br w:val="nil"/>
              <w:tr2bl w:val="nil"/>
            </w:tcBorders>
            <w:shd w:val="clear" w:color="auto" w:fill="auto"/>
            <w:noWrap/>
            <w:vAlign w:val="center"/>
          </w:tcPr>
          <w:p>
            <w:pPr>
              <w:widowControl/>
              <w:jc w:val="left"/>
              <w:textAlignment w:val="center"/>
              <w:rPr>
                <w:rFonts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对供应商给予“禁用一年”处理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597" w:type="dxa"/>
            <w:tcBorders>
              <w:tl2br w:val="nil"/>
              <w:tr2bl w:val="nil"/>
            </w:tcBorders>
            <w:shd w:val="clear" w:color="auto" w:fill="auto"/>
            <w:vAlign w:val="center"/>
          </w:tcPr>
          <w:p>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43</w:t>
            </w:r>
          </w:p>
        </w:tc>
        <w:tc>
          <w:tcPr>
            <w:tcW w:w="1750" w:type="dxa"/>
            <w:vMerge w:val="continue"/>
            <w:tcBorders>
              <w:tl2br w:val="nil"/>
              <w:tr2bl w:val="nil"/>
            </w:tcBorders>
            <w:shd w:val="clear" w:color="auto" w:fill="auto"/>
            <w:vAlign w:val="center"/>
          </w:tcPr>
          <w:p>
            <w:pPr>
              <w:jc w:val="left"/>
              <w:rPr>
                <w:rFonts w:ascii="宋体" w:hAnsi="宋体" w:eastAsia="宋体" w:cs="宋体"/>
                <w:color w:val="000000"/>
                <w:sz w:val="21"/>
                <w:szCs w:val="21"/>
                <w:highlight w:val="none"/>
              </w:rPr>
            </w:pPr>
          </w:p>
        </w:tc>
        <w:tc>
          <w:tcPr>
            <w:tcW w:w="4011"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存在利用中国海油人员的职务之便牟取不正当利益情形的</w:t>
            </w:r>
          </w:p>
        </w:tc>
        <w:tc>
          <w:tcPr>
            <w:tcW w:w="1720" w:type="dxa"/>
            <w:tcBorders>
              <w:tl2br w:val="nil"/>
              <w:tr2bl w:val="nil"/>
            </w:tcBorders>
            <w:shd w:val="clear" w:color="auto" w:fill="auto"/>
            <w:noWrap/>
            <w:vAlign w:val="center"/>
          </w:tcPr>
          <w:p>
            <w:pPr>
              <w:widowControl/>
              <w:jc w:val="left"/>
              <w:textAlignment w:val="center"/>
              <w:rPr>
                <w:rFonts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对供应商给予“长期禁用”处理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597" w:type="dxa"/>
            <w:tcBorders>
              <w:tl2br w:val="nil"/>
              <w:tr2bl w:val="nil"/>
            </w:tcBorders>
            <w:shd w:val="clear" w:color="auto" w:fill="auto"/>
            <w:vAlign w:val="center"/>
          </w:tcPr>
          <w:p>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44</w:t>
            </w:r>
          </w:p>
        </w:tc>
        <w:tc>
          <w:tcPr>
            <w:tcW w:w="1750"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经营状况异常</w:t>
            </w:r>
          </w:p>
        </w:tc>
        <w:tc>
          <w:tcPr>
            <w:tcW w:w="4011"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国家机关、权威机构网站公布的严重违法失信企业，或被列入失信人名单等情形</w:t>
            </w:r>
          </w:p>
        </w:tc>
        <w:tc>
          <w:tcPr>
            <w:tcW w:w="1720" w:type="dxa"/>
            <w:tcBorders>
              <w:tl2br w:val="nil"/>
              <w:tr2bl w:val="nil"/>
            </w:tcBorders>
            <w:shd w:val="clear" w:color="auto" w:fill="auto"/>
            <w:vAlign w:val="center"/>
          </w:tcPr>
          <w:p>
            <w:pPr>
              <w:widowControl/>
              <w:jc w:val="left"/>
              <w:textAlignment w:val="center"/>
              <w:rPr>
                <w:rFonts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给予“无固定期禁用”处理，直至其经营风险被解除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2" w:hRule="atLeast"/>
        </w:trPr>
        <w:tc>
          <w:tcPr>
            <w:tcW w:w="597" w:type="dxa"/>
            <w:tcBorders>
              <w:tl2br w:val="nil"/>
              <w:tr2bl w:val="nil"/>
            </w:tcBorders>
            <w:shd w:val="clear" w:color="auto" w:fill="auto"/>
            <w:vAlign w:val="center"/>
          </w:tcPr>
          <w:p>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45</w:t>
            </w:r>
          </w:p>
        </w:tc>
        <w:tc>
          <w:tcPr>
            <w:tcW w:w="1750"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投标文件质量差</w:t>
            </w:r>
          </w:p>
        </w:tc>
        <w:tc>
          <w:tcPr>
            <w:tcW w:w="4011"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w:t>
            </w:r>
          </w:p>
        </w:tc>
        <w:tc>
          <w:tcPr>
            <w:tcW w:w="1720" w:type="dxa"/>
            <w:tcBorders>
              <w:tl2br w:val="nil"/>
              <w:tr2bl w:val="nil"/>
            </w:tcBorders>
            <w:shd w:val="clear" w:color="auto" w:fill="auto"/>
            <w:vAlign w:val="center"/>
          </w:tcPr>
          <w:p>
            <w:pPr>
              <w:widowControl/>
              <w:jc w:val="left"/>
              <w:textAlignment w:val="center"/>
              <w:rPr>
                <w:rFonts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对供应商给予“警告”处理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 w:hRule="atLeast"/>
        </w:trPr>
        <w:tc>
          <w:tcPr>
            <w:tcW w:w="597" w:type="dxa"/>
            <w:tcBorders>
              <w:tl2br w:val="nil"/>
              <w:tr2bl w:val="nil"/>
            </w:tcBorders>
            <w:shd w:val="clear" w:color="auto" w:fill="auto"/>
            <w:vAlign w:val="center"/>
          </w:tcPr>
          <w:p>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46</w:t>
            </w:r>
          </w:p>
        </w:tc>
        <w:tc>
          <w:tcPr>
            <w:tcW w:w="1750" w:type="dxa"/>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供应商对评标结果提出异议</w:t>
            </w:r>
          </w:p>
        </w:tc>
        <w:tc>
          <w:tcPr>
            <w:tcW w:w="4011" w:type="dxa"/>
            <w:tcBorders>
              <w:tl2br w:val="nil"/>
              <w:tr2bl w:val="nil"/>
            </w:tcBorders>
            <w:shd w:val="clear" w:color="auto" w:fill="auto"/>
            <w:vAlign w:val="center"/>
          </w:tcPr>
          <w:p>
            <w:pPr>
              <w:widowControl/>
              <w:jc w:val="left"/>
              <w:textAlignment w:val="center"/>
              <w:rPr>
                <w:rStyle w:val="39"/>
                <w:rFonts w:hint="default"/>
                <w:sz w:val="21"/>
                <w:szCs w:val="21"/>
                <w:highlight w:val="none"/>
                <w:lang w:bidi="ar"/>
              </w:rPr>
            </w:pPr>
            <w:r>
              <w:rPr>
                <w:rStyle w:val="39"/>
                <w:rFonts w:hint="default"/>
                <w:sz w:val="21"/>
                <w:szCs w:val="21"/>
                <w:highlight w:val="none"/>
                <w:lang w:bidi="ar"/>
              </w:rPr>
              <w:t>采取邀请招标/竞争性谈判/邀请询价采办方式，评标结束后，供应商提出异议并要求复议（如对中标供应商的投标文件提出异议），经核查后异议不实的或提出异议却无法提供证明文件的</w:t>
            </w:r>
          </w:p>
        </w:tc>
        <w:tc>
          <w:tcPr>
            <w:tcW w:w="1720" w:type="dxa"/>
            <w:tcBorders>
              <w:tl2br w:val="nil"/>
              <w:tr2bl w:val="nil"/>
            </w:tcBorders>
            <w:shd w:val="clear" w:color="auto" w:fill="auto"/>
            <w:vAlign w:val="center"/>
          </w:tcPr>
          <w:p>
            <w:pPr>
              <w:widowControl/>
              <w:jc w:val="left"/>
              <w:textAlignment w:val="center"/>
              <w:rPr>
                <w:rStyle w:val="39"/>
                <w:rFonts w:hint="default"/>
                <w:sz w:val="21"/>
                <w:szCs w:val="21"/>
                <w:highlight w:val="none"/>
                <w:lang w:bidi="ar"/>
              </w:rPr>
            </w:pPr>
            <w:r>
              <w:rPr>
                <w:rStyle w:val="39"/>
                <w:rFonts w:hint="default"/>
                <w:sz w:val="21"/>
                <w:szCs w:val="21"/>
                <w:highlight w:val="none"/>
                <w:lang w:bidi="ar"/>
              </w:rPr>
              <w:t>对供应商给予“警告”处理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597" w:type="dxa"/>
            <w:tcBorders>
              <w:tl2br w:val="nil"/>
              <w:tr2bl w:val="nil"/>
            </w:tcBorders>
            <w:shd w:val="clear" w:color="auto" w:fill="auto"/>
            <w:vAlign w:val="center"/>
          </w:tcPr>
          <w:p>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47</w:t>
            </w:r>
          </w:p>
        </w:tc>
        <w:tc>
          <w:tcPr>
            <w:tcW w:w="1750" w:type="dxa"/>
            <w:vMerge w:val="restart"/>
            <w:tcBorders>
              <w:tl2br w:val="nil"/>
              <w:tr2bl w:val="nil"/>
            </w:tcBorders>
            <w:shd w:val="clear" w:color="auto" w:fill="auto"/>
            <w:vAlign w:val="center"/>
          </w:tcPr>
          <w:p>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其它违反集团公司及海油发展规章制度的行为</w:t>
            </w:r>
          </w:p>
        </w:tc>
        <w:tc>
          <w:tcPr>
            <w:tcW w:w="4011" w:type="dxa"/>
            <w:tcBorders>
              <w:tl2br w:val="nil"/>
              <w:tr2bl w:val="nil"/>
            </w:tcBorders>
            <w:shd w:val="clear" w:color="auto" w:fill="auto"/>
            <w:vAlign w:val="center"/>
          </w:tcPr>
          <w:p>
            <w:pPr>
              <w:widowControl/>
              <w:jc w:val="left"/>
              <w:textAlignment w:val="center"/>
              <w:rPr>
                <w:rStyle w:val="39"/>
                <w:rFonts w:hint="default"/>
                <w:sz w:val="21"/>
                <w:szCs w:val="21"/>
                <w:highlight w:val="none"/>
                <w:lang w:bidi="ar"/>
              </w:rPr>
            </w:pPr>
            <w:r>
              <w:rPr>
                <w:rStyle w:val="39"/>
                <w:rFonts w:hint="default"/>
                <w:sz w:val="21"/>
                <w:szCs w:val="21"/>
                <w:highlight w:val="none"/>
                <w:lang w:bidi="ar"/>
              </w:rPr>
              <w:t>对存在其它不当行为可能给中国海油带来风险的</w:t>
            </w:r>
          </w:p>
        </w:tc>
        <w:tc>
          <w:tcPr>
            <w:tcW w:w="1720" w:type="dxa"/>
            <w:tcBorders>
              <w:tl2br w:val="nil"/>
              <w:tr2bl w:val="nil"/>
            </w:tcBorders>
            <w:shd w:val="clear" w:color="auto" w:fill="auto"/>
            <w:vAlign w:val="center"/>
          </w:tcPr>
          <w:p>
            <w:pPr>
              <w:widowControl/>
              <w:jc w:val="left"/>
              <w:textAlignment w:val="center"/>
              <w:rPr>
                <w:rStyle w:val="39"/>
                <w:rFonts w:hint="default"/>
                <w:sz w:val="21"/>
                <w:szCs w:val="21"/>
                <w:highlight w:val="none"/>
                <w:lang w:bidi="ar"/>
              </w:rPr>
            </w:pPr>
            <w:r>
              <w:rPr>
                <w:rStyle w:val="39"/>
                <w:rFonts w:hint="default"/>
                <w:sz w:val="21"/>
                <w:szCs w:val="21"/>
                <w:highlight w:val="none"/>
                <w:lang w:bidi="ar"/>
              </w:rPr>
              <w:t>根据情况或问题程度，约谈供应商，或“警告”处理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2" w:hRule="atLeast"/>
        </w:trPr>
        <w:tc>
          <w:tcPr>
            <w:tcW w:w="597" w:type="dxa"/>
            <w:tcBorders>
              <w:tl2br w:val="nil"/>
              <w:tr2bl w:val="nil"/>
            </w:tcBorders>
            <w:shd w:val="clear" w:color="auto" w:fill="auto"/>
            <w:vAlign w:val="center"/>
          </w:tcPr>
          <w:p>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48</w:t>
            </w:r>
          </w:p>
        </w:tc>
        <w:tc>
          <w:tcPr>
            <w:tcW w:w="1750" w:type="dxa"/>
            <w:vMerge w:val="continue"/>
            <w:tcBorders>
              <w:tl2br w:val="nil"/>
              <w:tr2bl w:val="nil"/>
            </w:tcBorders>
            <w:shd w:val="clear" w:color="auto" w:fill="auto"/>
            <w:vAlign w:val="center"/>
          </w:tcPr>
          <w:p>
            <w:pPr>
              <w:jc w:val="left"/>
              <w:rPr>
                <w:rFonts w:ascii="宋体" w:hAnsi="宋体" w:eastAsia="宋体" w:cs="宋体"/>
                <w:color w:val="000000"/>
                <w:sz w:val="21"/>
                <w:szCs w:val="21"/>
                <w:highlight w:val="none"/>
              </w:rPr>
            </w:pPr>
          </w:p>
        </w:tc>
        <w:tc>
          <w:tcPr>
            <w:tcW w:w="4011" w:type="dxa"/>
            <w:tcBorders>
              <w:tl2br w:val="nil"/>
              <w:tr2bl w:val="nil"/>
            </w:tcBorders>
            <w:shd w:val="clear" w:color="auto" w:fill="auto"/>
            <w:vAlign w:val="center"/>
          </w:tcPr>
          <w:p>
            <w:pPr>
              <w:widowControl/>
              <w:jc w:val="left"/>
              <w:textAlignment w:val="center"/>
              <w:rPr>
                <w:rStyle w:val="39"/>
                <w:rFonts w:hint="default"/>
                <w:sz w:val="21"/>
                <w:szCs w:val="21"/>
                <w:highlight w:val="none"/>
                <w:lang w:bidi="ar"/>
              </w:rPr>
            </w:pPr>
            <w:r>
              <w:rPr>
                <w:rStyle w:val="39"/>
                <w:rFonts w:hint="default"/>
                <w:sz w:val="21"/>
                <w:szCs w:val="21"/>
                <w:highlight w:val="none"/>
                <w:lang w:bidi="ar"/>
              </w:rPr>
              <w:t>其它违反国家法律法规及集团公司规章制度的行为，包括国家、审计、纪检监察、巡视等函件反映问题</w:t>
            </w:r>
          </w:p>
        </w:tc>
        <w:tc>
          <w:tcPr>
            <w:tcW w:w="1720" w:type="dxa"/>
            <w:tcBorders>
              <w:tl2br w:val="nil"/>
              <w:tr2bl w:val="nil"/>
            </w:tcBorders>
            <w:shd w:val="clear" w:color="auto" w:fill="auto"/>
            <w:vAlign w:val="center"/>
          </w:tcPr>
          <w:p>
            <w:pPr>
              <w:widowControl/>
              <w:jc w:val="left"/>
              <w:textAlignment w:val="center"/>
              <w:rPr>
                <w:rStyle w:val="39"/>
                <w:rFonts w:hint="default"/>
                <w:sz w:val="21"/>
                <w:szCs w:val="21"/>
                <w:highlight w:val="none"/>
                <w:lang w:bidi="ar"/>
              </w:rPr>
            </w:pPr>
            <w:r>
              <w:rPr>
                <w:rStyle w:val="39"/>
                <w:rFonts w:hint="default"/>
                <w:sz w:val="21"/>
                <w:szCs w:val="21"/>
                <w:highlight w:val="none"/>
                <w:lang w:bidi="ar"/>
              </w:rPr>
              <w:t>由集团公司物资装备部或集团公司物资装备部组织相关管理部门及所属单位，对供应商问题性质及业务实际情况判定，进行相应处理</w:t>
            </w:r>
          </w:p>
        </w:tc>
      </w:tr>
    </w:tbl>
    <w:p>
      <w:pPr>
        <w:bidi w:val="0"/>
        <w:rPr>
          <w:rFonts w:hint="eastAsia"/>
        </w:rPr>
        <w:sectPr>
          <w:pgSz w:w="11906" w:h="16838"/>
          <w:pgMar w:top="1440" w:right="1800" w:bottom="1440" w:left="1800" w:header="851" w:footer="992" w:gutter="0"/>
          <w:cols w:space="425" w:num="1"/>
          <w:docGrid w:type="lines" w:linePitch="312" w:charSpace="0"/>
        </w:sectPr>
      </w:pPr>
    </w:p>
    <w:p>
      <w:pPr>
        <w:ind w:left="600"/>
        <w:rPr>
          <w:rFonts w:hint="eastAsia" w:ascii="黑体" w:hAnsi="宋体" w:eastAsia="黑体"/>
          <w:b/>
          <w:bCs/>
          <w:sz w:val="30"/>
          <w:szCs w:val="40"/>
        </w:rPr>
      </w:pPr>
      <w:r>
        <w:rPr>
          <w:rFonts w:hint="eastAsia"/>
          <w:b/>
          <w:bCs/>
          <w:sz w:val="30"/>
        </w:rPr>
        <w:t xml:space="preserve">格式：  </w:t>
      </w:r>
      <w:r>
        <w:rPr>
          <w:rFonts w:hint="eastAsia" w:ascii="黑体" w:hAnsi="宋体" w:eastAsia="黑体"/>
          <w:b/>
          <w:bCs/>
          <w:sz w:val="30"/>
          <w:szCs w:val="40"/>
        </w:rPr>
        <w:t>条款偏离表</w:t>
      </w:r>
    </w:p>
    <w:p>
      <w:pPr>
        <w:ind w:left="600"/>
        <w:rPr>
          <w:rFonts w:hint="eastAsia" w:ascii="黑体" w:hAnsi="宋体" w:eastAsia="黑体"/>
          <w:b/>
          <w:bCs/>
          <w:sz w:val="30"/>
          <w:szCs w:val="40"/>
        </w:rPr>
      </w:pPr>
    </w:p>
    <w:tbl>
      <w:tblPr>
        <w:tblStyle w:val="16"/>
        <w:tblW w:w="0" w:type="auto"/>
        <w:jc w:val="center"/>
        <w:tblLayout w:type="fixed"/>
        <w:tblCellMar>
          <w:top w:w="0" w:type="dxa"/>
          <w:left w:w="30" w:type="dxa"/>
          <w:bottom w:w="0" w:type="dxa"/>
          <w:right w:w="30" w:type="dxa"/>
        </w:tblCellMar>
      </w:tblPr>
      <w:tblGrid>
        <w:gridCol w:w="2526"/>
        <w:gridCol w:w="2891"/>
        <w:gridCol w:w="3827"/>
        <w:gridCol w:w="2410"/>
        <w:gridCol w:w="2268"/>
      </w:tblGrid>
      <w:tr>
        <w:trPr>
          <w:cantSplit/>
          <w:trHeight w:val="172" w:hRule="atLeast"/>
          <w:jc w:val="center"/>
        </w:trPr>
        <w:tc>
          <w:tcPr>
            <w:tcW w:w="13922" w:type="dxa"/>
            <w:gridSpan w:val="5"/>
            <w:noWrap w:val="0"/>
            <w:vAlign w:val="top"/>
          </w:tcPr>
          <w:p>
            <w:pPr>
              <w:spacing w:line="360" w:lineRule="auto"/>
              <w:ind w:left="115" w:leftChars="55"/>
              <w:jc w:val="center"/>
              <w:rPr>
                <w:rFonts w:hint="eastAsia" w:ascii="黑体" w:hAnsi="宋体" w:eastAsia="黑体"/>
                <w:sz w:val="32"/>
                <w:szCs w:val="40"/>
              </w:rPr>
            </w:pPr>
            <w:r>
              <w:rPr>
                <w:rFonts w:hint="eastAsia" w:ascii="黑体" w:hAnsi="宋体" w:eastAsia="黑体"/>
                <w:sz w:val="32"/>
                <w:szCs w:val="40"/>
              </w:rPr>
              <w:t>条 款 偏 离 表</w:t>
            </w:r>
          </w:p>
        </w:tc>
      </w:tr>
      <w:tr>
        <w:tblPrEx>
          <w:tblCellMar>
            <w:top w:w="0" w:type="dxa"/>
            <w:left w:w="30" w:type="dxa"/>
            <w:bottom w:w="0" w:type="dxa"/>
            <w:right w:w="30" w:type="dxa"/>
          </w:tblCellMar>
        </w:tblPrEx>
        <w:trPr>
          <w:cantSplit/>
          <w:trHeight w:val="124" w:hRule="atLeast"/>
          <w:jc w:val="center"/>
        </w:trPr>
        <w:tc>
          <w:tcPr>
            <w:tcW w:w="9244" w:type="dxa"/>
            <w:gridSpan w:val="3"/>
            <w:tcBorders>
              <w:top w:val="single" w:color="auto" w:sz="4" w:space="0"/>
              <w:left w:val="single" w:color="auto" w:sz="6" w:space="0"/>
              <w:bottom w:val="single" w:color="auto" w:sz="6" w:space="0"/>
              <w:right w:val="single" w:color="000000" w:sz="2" w:space="0"/>
            </w:tcBorders>
            <w:noWrap w:val="0"/>
            <w:vAlign w:val="top"/>
          </w:tcPr>
          <w:p>
            <w:pPr>
              <w:spacing w:line="360" w:lineRule="auto"/>
              <w:jc w:val="center"/>
              <w:rPr>
                <w:rFonts w:hAnsi="宋体" w:cs="Arial"/>
                <w:sz w:val="28"/>
              </w:rPr>
            </w:pPr>
            <w:r>
              <w:rPr>
                <w:rFonts w:hint="eastAsia" w:hAnsi="宋体" w:cs="Arial"/>
                <w:sz w:val="28"/>
              </w:rPr>
              <w:t>投标人对询价文件的修改或删除描述</w:t>
            </w:r>
          </w:p>
        </w:tc>
        <w:tc>
          <w:tcPr>
            <w:tcW w:w="2410" w:type="dxa"/>
            <w:vMerge w:val="restart"/>
            <w:tcBorders>
              <w:top w:val="single" w:color="auto" w:sz="4" w:space="0"/>
              <w:left w:val="single" w:color="auto" w:sz="6" w:space="0"/>
              <w:right w:val="single" w:color="auto" w:sz="6" w:space="0"/>
            </w:tcBorders>
            <w:noWrap w:val="0"/>
            <w:vAlign w:val="top"/>
          </w:tcPr>
          <w:p>
            <w:pPr>
              <w:spacing w:line="360" w:lineRule="auto"/>
              <w:rPr>
                <w:rFonts w:hint="eastAsia" w:hAnsi="宋体" w:cs="Arial"/>
                <w:sz w:val="28"/>
              </w:rPr>
            </w:pPr>
          </w:p>
          <w:p>
            <w:pPr>
              <w:spacing w:line="360" w:lineRule="auto"/>
              <w:jc w:val="center"/>
              <w:rPr>
                <w:rFonts w:hAnsi="宋体" w:cs="Arial"/>
                <w:sz w:val="28"/>
              </w:rPr>
            </w:pPr>
            <w:r>
              <w:rPr>
                <w:rFonts w:hint="eastAsia" w:hAnsi="宋体" w:cs="Arial"/>
                <w:sz w:val="28"/>
              </w:rPr>
              <w:t>修改理由</w:t>
            </w:r>
          </w:p>
        </w:tc>
        <w:tc>
          <w:tcPr>
            <w:tcW w:w="2268" w:type="dxa"/>
            <w:vMerge w:val="restart"/>
            <w:tcBorders>
              <w:top w:val="single" w:color="auto" w:sz="4" w:space="0"/>
              <w:left w:val="single" w:color="auto" w:sz="6" w:space="0"/>
              <w:right w:val="single" w:color="auto" w:sz="6" w:space="0"/>
            </w:tcBorders>
            <w:noWrap w:val="0"/>
            <w:vAlign w:val="top"/>
          </w:tcPr>
          <w:p>
            <w:pPr>
              <w:spacing w:line="360" w:lineRule="auto"/>
              <w:rPr>
                <w:rFonts w:hAnsi="宋体" w:cs="Arial"/>
                <w:sz w:val="28"/>
              </w:rPr>
            </w:pPr>
            <w:r>
              <w:rPr>
                <w:rFonts w:hint="eastAsia" w:hAnsi="宋体" w:cs="Arial"/>
                <w:sz w:val="28"/>
              </w:rPr>
              <w:t>修改或删除对</w:t>
            </w:r>
          </w:p>
          <w:p>
            <w:pPr>
              <w:spacing w:line="360" w:lineRule="auto"/>
              <w:rPr>
                <w:rFonts w:hint="eastAsia" w:hAnsi="宋体" w:cs="Arial"/>
                <w:sz w:val="28"/>
              </w:rPr>
            </w:pPr>
            <w:r>
              <w:rPr>
                <w:rFonts w:hint="eastAsia" w:hAnsi="宋体" w:cs="Arial"/>
                <w:sz w:val="28"/>
              </w:rPr>
              <w:t>合同价格、质量</w:t>
            </w:r>
          </w:p>
          <w:p>
            <w:pPr>
              <w:spacing w:line="360" w:lineRule="auto"/>
              <w:rPr>
                <w:rFonts w:hAnsi="宋体" w:cs="Arial"/>
                <w:sz w:val="28"/>
              </w:rPr>
            </w:pPr>
            <w:r>
              <w:rPr>
                <w:rFonts w:hint="eastAsia" w:hAnsi="宋体" w:cs="Arial"/>
                <w:sz w:val="28"/>
              </w:rPr>
              <w:t>及进度的影响</w:t>
            </w:r>
          </w:p>
        </w:tc>
      </w:tr>
      <w:tr>
        <w:tblPrEx>
          <w:tblCellMar>
            <w:top w:w="0" w:type="dxa"/>
            <w:left w:w="30" w:type="dxa"/>
            <w:bottom w:w="0" w:type="dxa"/>
            <w:right w:w="30" w:type="dxa"/>
          </w:tblCellMar>
        </w:tblPrEx>
        <w:trPr>
          <w:cantSplit/>
          <w:trHeight w:val="80" w:hRule="atLeast"/>
          <w:jc w:val="center"/>
        </w:trPr>
        <w:tc>
          <w:tcPr>
            <w:tcW w:w="2526" w:type="dxa"/>
            <w:tcBorders>
              <w:top w:val="single" w:color="auto" w:sz="6" w:space="0"/>
              <w:left w:val="single" w:color="auto" w:sz="6" w:space="0"/>
              <w:bottom w:val="single" w:color="auto" w:sz="4" w:space="0"/>
              <w:right w:val="single" w:color="auto" w:sz="6" w:space="0"/>
            </w:tcBorders>
            <w:noWrap w:val="0"/>
            <w:vAlign w:val="top"/>
          </w:tcPr>
          <w:p>
            <w:pPr>
              <w:spacing w:line="360" w:lineRule="auto"/>
              <w:jc w:val="center"/>
              <w:rPr>
                <w:rFonts w:hint="eastAsia" w:hAnsi="宋体" w:cs="Arial"/>
                <w:sz w:val="28"/>
              </w:rPr>
            </w:pPr>
          </w:p>
          <w:p>
            <w:pPr>
              <w:spacing w:line="360" w:lineRule="auto"/>
              <w:jc w:val="center"/>
              <w:rPr>
                <w:rFonts w:hAnsi="宋体" w:cs="Arial"/>
                <w:sz w:val="28"/>
              </w:rPr>
            </w:pPr>
            <w:r>
              <w:rPr>
                <w:rFonts w:hint="eastAsia" w:hAnsi="宋体" w:cs="Arial"/>
                <w:sz w:val="28"/>
              </w:rPr>
              <w:t>文件及条款名</w:t>
            </w:r>
          </w:p>
        </w:tc>
        <w:tc>
          <w:tcPr>
            <w:tcW w:w="2891" w:type="dxa"/>
            <w:tcBorders>
              <w:top w:val="single" w:color="auto" w:sz="6" w:space="0"/>
              <w:left w:val="single" w:color="auto" w:sz="6" w:space="0"/>
              <w:bottom w:val="single" w:color="000000" w:sz="2" w:space="0"/>
              <w:right w:val="single" w:color="auto" w:sz="6" w:space="0"/>
            </w:tcBorders>
            <w:noWrap w:val="0"/>
            <w:vAlign w:val="top"/>
          </w:tcPr>
          <w:p>
            <w:pPr>
              <w:spacing w:line="360" w:lineRule="auto"/>
              <w:jc w:val="center"/>
              <w:rPr>
                <w:rFonts w:hint="eastAsia" w:hAnsi="宋体" w:cs="Arial"/>
                <w:sz w:val="28"/>
              </w:rPr>
            </w:pPr>
          </w:p>
          <w:p>
            <w:pPr>
              <w:spacing w:line="360" w:lineRule="auto"/>
              <w:jc w:val="center"/>
              <w:rPr>
                <w:rFonts w:hAnsi="宋体" w:cs="Arial"/>
                <w:sz w:val="28"/>
              </w:rPr>
            </w:pPr>
            <w:r>
              <w:rPr>
                <w:rFonts w:hint="eastAsia" w:hAnsi="宋体" w:cs="Arial"/>
                <w:sz w:val="28"/>
              </w:rPr>
              <w:t>原文摘要</w:t>
            </w:r>
          </w:p>
        </w:tc>
        <w:tc>
          <w:tcPr>
            <w:tcW w:w="3827" w:type="dxa"/>
            <w:tcBorders>
              <w:top w:val="single" w:color="auto" w:sz="6" w:space="0"/>
              <w:left w:val="single" w:color="auto" w:sz="6" w:space="0"/>
              <w:bottom w:val="single" w:color="000000" w:sz="2" w:space="0"/>
              <w:right w:val="single" w:color="auto" w:sz="6" w:space="0"/>
            </w:tcBorders>
            <w:noWrap w:val="0"/>
            <w:vAlign w:val="top"/>
          </w:tcPr>
          <w:p>
            <w:pPr>
              <w:spacing w:line="360" w:lineRule="auto"/>
              <w:jc w:val="center"/>
              <w:rPr>
                <w:rFonts w:hint="eastAsia" w:hAnsi="宋体" w:cs="Arial"/>
                <w:sz w:val="28"/>
              </w:rPr>
            </w:pPr>
          </w:p>
          <w:p>
            <w:pPr>
              <w:spacing w:line="360" w:lineRule="auto"/>
              <w:jc w:val="center"/>
              <w:rPr>
                <w:rFonts w:hAnsi="宋体" w:cs="Arial"/>
                <w:sz w:val="28"/>
              </w:rPr>
            </w:pPr>
            <w:r>
              <w:rPr>
                <w:rFonts w:hint="eastAsia" w:hAnsi="宋体" w:cs="Arial"/>
                <w:sz w:val="28"/>
              </w:rPr>
              <w:t>修改或删除意见</w:t>
            </w:r>
          </w:p>
        </w:tc>
        <w:tc>
          <w:tcPr>
            <w:tcW w:w="2410" w:type="dxa"/>
            <w:vMerge w:val="continue"/>
            <w:tcBorders>
              <w:left w:val="single" w:color="auto" w:sz="6" w:space="0"/>
              <w:bottom w:val="single" w:color="000000" w:sz="2" w:space="0"/>
              <w:right w:val="single" w:color="auto" w:sz="6" w:space="0"/>
            </w:tcBorders>
            <w:noWrap w:val="0"/>
            <w:vAlign w:val="top"/>
          </w:tcPr>
          <w:p>
            <w:pPr>
              <w:spacing w:line="360" w:lineRule="auto"/>
              <w:rPr>
                <w:rFonts w:hAnsi="宋体" w:cs="Arial"/>
                <w:sz w:val="28"/>
              </w:rPr>
            </w:pPr>
          </w:p>
        </w:tc>
        <w:tc>
          <w:tcPr>
            <w:tcW w:w="2268" w:type="dxa"/>
            <w:vMerge w:val="continue"/>
            <w:tcBorders>
              <w:left w:val="single" w:color="auto" w:sz="6" w:space="0"/>
              <w:bottom w:val="single" w:color="000000" w:sz="2" w:space="0"/>
              <w:right w:val="single" w:color="auto" w:sz="6" w:space="0"/>
            </w:tcBorders>
            <w:noWrap w:val="0"/>
            <w:vAlign w:val="top"/>
          </w:tcPr>
          <w:p>
            <w:pPr>
              <w:spacing w:line="360" w:lineRule="auto"/>
              <w:rPr>
                <w:rFonts w:hAnsi="宋体" w:cs="Arial"/>
                <w:sz w:val="28"/>
              </w:rPr>
            </w:pPr>
          </w:p>
        </w:tc>
      </w:tr>
      <w:tr>
        <w:tblPrEx>
          <w:tblCellMar>
            <w:top w:w="0" w:type="dxa"/>
            <w:left w:w="30" w:type="dxa"/>
            <w:bottom w:w="0" w:type="dxa"/>
            <w:right w:w="30" w:type="dxa"/>
          </w:tblCellMar>
        </w:tblPrEx>
        <w:trPr>
          <w:trHeight w:val="2298" w:hRule="atLeast"/>
          <w:jc w:val="center"/>
        </w:trPr>
        <w:tc>
          <w:tcPr>
            <w:tcW w:w="2526" w:type="dxa"/>
            <w:tcBorders>
              <w:top w:val="single" w:color="auto" w:sz="4" w:space="0"/>
              <w:left w:val="single" w:color="auto" w:sz="4" w:space="0"/>
              <w:bottom w:val="single" w:color="auto" w:sz="6" w:space="0"/>
              <w:right w:val="single" w:color="auto" w:sz="4" w:space="0"/>
            </w:tcBorders>
            <w:noWrap w:val="0"/>
            <w:vAlign w:val="center"/>
          </w:tcPr>
          <w:p>
            <w:pPr>
              <w:spacing w:line="360" w:lineRule="auto"/>
              <w:jc w:val="center"/>
              <w:rPr>
                <w:rFonts w:hAnsi="宋体" w:cs="Arial"/>
                <w:sz w:val="28"/>
              </w:rPr>
            </w:pPr>
          </w:p>
          <w:p>
            <w:pPr>
              <w:spacing w:line="360" w:lineRule="auto"/>
              <w:jc w:val="center"/>
              <w:rPr>
                <w:rFonts w:hint="eastAsia" w:hAnsi="宋体" w:cs="Arial"/>
                <w:sz w:val="28"/>
              </w:rPr>
            </w:pPr>
            <w:r>
              <w:rPr>
                <w:rFonts w:hint="eastAsia" w:hAnsi="宋体" w:cs="Arial"/>
                <w:sz w:val="28"/>
              </w:rPr>
              <w:t>无</w:t>
            </w:r>
          </w:p>
          <w:p>
            <w:pPr>
              <w:spacing w:line="360" w:lineRule="auto"/>
              <w:jc w:val="center"/>
              <w:rPr>
                <w:rFonts w:hAnsi="宋体" w:cs="Arial"/>
                <w:sz w:val="28"/>
              </w:rPr>
            </w:pPr>
          </w:p>
        </w:tc>
        <w:tc>
          <w:tcPr>
            <w:tcW w:w="2891" w:type="dxa"/>
            <w:tcBorders>
              <w:top w:val="single" w:color="000000" w:sz="2" w:space="0"/>
              <w:left w:val="single" w:color="auto" w:sz="4" w:space="0"/>
              <w:bottom w:val="single" w:color="auto" w:sz="6" w:space="0"/>
              <w:right w:val="single" w:color="auto" w:sz="6" w:space="0"/>
            </w:tcBorders>
            <w:noWrap w:val="0"/>
            <w:vAlign w:val="center"/>
          </w:tcPr>
          <w:p>
            <w:pPr>
              <w:spacing w:line="360" w:lineRule="auto"/>
              <w:jc w:val="center"/>
              <w:rPr>
                <w:rFonts w:hint="eastAsia" w:hAnsi="宋体" w:cs="Arial"/>
                <w:sz w:val="28"/>
              </w:rPr>
            </w:pPr>
            <w:r>
              <w:rPr>
                <w:rFonts w:hint="eastAsia" w:hAnsi="宋体" w:cs="Arial"/>
                <w:sz w:val="28"/>
              </w:rPr>
              <w:t>无</w:t>
            </w:r>
          </w:p>
        </w:tc>
        <w:tc>
          <w:tcPr>
            <w:tcW w:w="3827" w:type="dxa"/>
            <w:tcBorders>
              <w:top w:val="single" w:color="000000" w:sz="2" w:space="0"/>
              <w:left w:val="single" w:color="auto" w:sz="6" w:space="0"/>
              <w:bottom w:val="single" w:color="auto" w:sz="6" w:space="0"/>
              <w:right w:val="single" w:color="auto" w:sz="6" w:space="0"/>
            </w:tcBorders>
            <w:noWrap w:val="0"/>
            <w:vAlign w:val="center"/>
          </w:tcPr>
          <w:p>
            <w:pPr>
              <w:spacing w:line="360" w:lineRule="auto"/>
              <w:jc w:val="center"/>
              <w:rPr>
                <w:rFonts w:hint="eastAsia" w:hAnsi="宋体" w:cs="Arial"/>
                <w:sz w:val="28"/>
              </w:rPr>
            </w:pPr>
            <w:r>
              <w:rPr>
                <w:rFonts w:hint="eastAsia" w:hAnsi="宋体" w:cs="Arial"/>
                <w:sz w:val="28"/>
              </w:rPr>
              <w:t>无</w:t>
            </w:r>
          </w:p>
        </w:tc>
        <w:tc>
          <w:tcPr>
            <w:tcW w:w="2410" w:type="dxa"/>
            <w:tcBorders>
              <w:top w:val="single" w:color="000000" w:sz="2" w:space="0"/>
              <w:left w:val="single" w:color="auto" w:sz="6" w:space="0"/>
              <w:bottom w:val="single" w:color="auto" w:sz="6" w:space="0"/>
              <w:right w:val="single" w:color="auto" w:sz="6" w:space="0"/>
            </w:tcBorders>
            <w:noWrap w:val="0"/>
            <w:vAlign w:val="center"/>
          </w:tcPr>
          <w:p>
            <w:pPr>
              <w:spacing w:line="360" w:lineRule="auto"/>
              <w:jc w:val="center"/>
              <w:rPr>
                <w:rFonts w:hint="eastAsia" w:hAnsi="宋体" w:cs="Arial"/>
                <w:sz w:val="28"/>
              </w:rPr>
            </w:pPr>
            <w:r>
              <w:rPr>
                <w:rFonts w:hint="eastAsia" w:hAnsi="宋体" w:cs="Arial"/>
                <w:sz w:val="28"/>
              </w:rPr>
              <w:t>无</w:t>
            </w:r>
          </w:p>
        </w:tc>
        <w:tc>
          <w:tcPr>
            <w:tcW w:w="2268" w:type="dxa"/>
            <w:tcBorders>
              <w:top w:val="single" w:color="000000" w:sz="2" w:space="0"/>
              <w:left w:val="single" w:color="auto" w:sz="6" w:space="0"/>
              <w:bottom w:val="single" w:color="auto" w:sz="6" w:space="0"/>
              <w:right w:val="single" w:color="auto" w:sz="6" w:space="0"/>
            </w:tcBorders>
            <w:noWrap w:val="0"/>
            <w:vAlign w:val="center"/>
          </w:tcPr>
          <w:p>
            <w:pPr>
              <w:spacing w:line="360" w:lineRule="auto"/>
              <w:jc w:val="center"/>
              <w:rPr>
                <w:rFonts w:hint="eastAsia" w:hAnsi="宋体" w:cs="Arial"/>
                <w:sz w:val="28"/>
              </w:rPr>
            </w:pPr>
            <w:r>
              <w:rPr>
                <w:rFonts w:hint="eastAsia" w:hAnsi="宋体" w:cs="Arial"/>
                <w:sz w:val="28"/>
              </w:rPr>
              <w:t>无</w:t>
            </w:r>
          </w:p>
        </w:tc>
      </w:tr>
    </w:tbl>
    <w:p>
      <w:pPr>
        <w:rPr>
          <w:rFonts w:hint="eastAsia" w:ascii="宋体" w:hAnsi="宋体"/>
          <w:bCs/>
          <w:szCs w:val="21"/>
        </w:rPr>
      </w:pPr>
      <w:r>
        <w:rPr>
          <w:rFonts w:hint="eastAsia" w:ascii="楷体" w:eastAsia="楷体"/>
          <w:bCs/>
          <w:szCs w:val="21"/>
        </w:rPr>
        <w:t>说明：</w:t>
      </w:r>
      <w:r>
        <w:rPr>
          <w:rFonts w:hint="eastAsia" w:ascii="宋体" w:hAnsi="宋体"/>
          <w:bCs/>
          <w:szCs w:val="21"/>
        </w:rPr>
        <w:t>1、投标人对询价文件的条款和条件如果有异议（包括技术要求），须填写此条款偏离表，</w:t>
      </w:r>
      <w:r>
        <w:rPr>
          <w:rFonts w:hint="eastAsia" w:ascii="宋体" w:hAnsi="宋体"/>
          <w:b/>
          <w:szCs w:val="21"/>
        </w:rPr>
        <w:t>此表应列入投标技术方案当中</w:t>
      </w:r>
      <w:r>
        <w:rPr>
          <w:rFonts w:hint="eastAsia" w:ascii="宋体" w:hAnsi="宋体"/>
          <w:bCs/>
          <w:szCs w:val="21"/>
        </w:rPr>
        <w:t>。</w:t>
      </w:r>
    </w:p>
    <w:p>
      <w:pPr>
        <w:ind w:firstLine="630" w:firstLineChars="300"/>
        <w:rPr>
          <w:rFonts w:ascii="宋体" w:hAnsi="宋体"/>
          <w:bCs/>
          <w:szCs w:val="21"/>
        </w:rPr>
      </w:pPr>
      <w:r>
        <w:rPr>
          <w:rFonts w:hint="eastAsia" w:ascii="宋体" w:hAnsi="宋体"/>
          <w:bCs/>
          <w:szCs w:val="21"/>
        </w:rPr>
        <w:t>2、投标人由于条款重大偏离导致非全面响应招标文件</w:t>
      </w:r>
      <w:r>
        <w:rPr>
          <w:rFonts w:ascii="宋体" w:hAnsi="宋体"/>
          <w:bCs/>
          <w:szCs w:val="21"/>
        </w:rPr>
        <w:t xml:space="preserve">, </w:t>
      </w:r>
      <w:r>
        <w:rPr>
          <w:rFonts w:hint="eastAsia" w:ascii="宋体" w:hAnsi="宋体"/>
          <w:bCs/>
          <w:szCs w:val="21"/>
        </w:rPr>
        <w:t>投标人因此自行承担导致的投标被</w:t>
      </w:r>
      <w:r>
        <w:rPr>
          <w:rFonts w:hint="eastAsia" w:ascii="宋体" w:hAnsi="宋体"/>
          <w:bCs/>
          <w:szCs w:val="21"/>
          <w:lang w:val="en-US" w:eastAsia="zh-CN"/>
        </w:rPr>
        <w:t>否决</w:t>
      </w:r>
      <w:r>
        <w:rPr>
          <w:rFonts w:hint="eastAsia" w:ascii="宋体" w:hAnsi="宋体"/>
          <w:bCs/>
          <w:szCs w:val="21"/>
        </w:rPr>
        <w:t>的风险</w:t>
      </w:r>
      <w:r>
        <w:rPr>
          <w:rFonts w:ascii="宋体" w:hAnsi="宋体"/>
          <w:bCs/>
          <w:szCs w:val="21"/>
        </w:rPr>
        <w:t>。</w:t>
      </w:r>
    </w:p>
    <w:p>
      <w:pPr>
        <w:ind w:firstLine="630" w:firstLineChars="300"/>
        <w:jc w:val="left"/>
        <w:rPr>
          <w:rFonts w:hint="eastAsia" w:ascii="宋体" w:hAnsi="宋体" w:cs="Arial"/>
          <w:bCs/>
          <w:color w:val="000000"/>
          <w:szCs w:val="21"/>
        </w:rPr>
        <w:sectPr>
          <w:footerReference r:id="rId3" w:type="default"/>
          <w:footnotePr>
            <w:numRestart w:val="eachPage"/>
          </w:footnotePr>
          <w:pgSz w:w="16834" w:h="11909" w:orient="landscape"/>
          <w:pgMar w:top="1247" w:right="873" w:bottom="1077" w:left="851" w:header="0" w:footer="567" w:gutter="0"/>
          <w:pgBorders>
            <w:top w:val="none" w:sz="0" w:space="0"/>
            <w:left w:val="none" w:sz="0" w:space="0"/>
            <w:bottom w:val="none" w:sz="0" w:space="0"/>
            <w:right w:val="none" w:sz="0" w:space="0"/>
          </w:pgBorders>
          <w:cols w:space="720" w:num="1"/>
          <w:formProt w:val="0"/>
        </w:sectPr>
      </w:pPr>
      <w:r>
        <w:rPr>
          <w:rFonts w:hint="eastAsia" w:ascii="宋体" w:hAnsi="宋体" w:cs="Arial"/>
          <w:bCs/>
          <w:color w:val="000000"/>
          <w:szCs w:val="21"/>
        </w:rPr>
        <w:t>3、投标人对询价文件</w:t>
      </w:r>
      <w:r>
        <w:rPr>
          <w:rFonts w:hint="eastAsia" w:ascii="宋体" w:hAnsi="宋体" w:cs="Arial"/>
          <w:bCs/>
          <w:color w:val="000000"/>
          <w:szCs w:val="21"/>
          <w:lang w:val="en-US" w:eastAsia="zh-CN"/>
        </w:rPr>
        <w:t>所有附件内容</w:t>
      </w:r>
      <w:r>
        <w:rPr>
          <w:rFonts w:hint="eastAsia" w:ascii="宋体" w:hAnsi="宋体" w:cs="Arial"/>
          <w:bCs/>
          <w:color w:val="000000"/>
          <w:szCs w:val="21"/>
        </w:rPr>
        <w:t>存在异议（如：</w:t>
      </w:r>
      <w:r>
        <w:rPr>
          <w:rFonts w:hint="eastAsia" w:ascii="宋体" w:hAnsi="宋体" w:cs="Arial"/>
          <w:bCs/>
          <w:color w:val="000000"/>
          <w:szCs w:val="21"/>
          <w:lang w:val="en-US" w:eastAsia="zh-CN"/>
        </w:rPr>
        <w:t>违约条款、</w:t>
      </w:r>
      <w:r>
        <w:rPr>
          <w:rFonts w:hint="eastAsia" w:ascii="宋体" w:hAnsi="宋体" w:cs="Arial"/>
          <w:bCs/>
          <w:color w:val="000000"/>
          <w:szCs w:val="21"/>
        </w:rPr>
        <w:t>价格条件、付款条件等内容），</w:t>
      </w:r>
      <w:r>
        <w:rPr>
          <w:rFonts w:hint="eastAsia" w:ascii="宋体" w:hAnsi="宋体" w:cs="Arial"/>
          <w:bCs/>
          <w:color w:val="000000"/>
          <w:szCs w:val="21"/>
          <w:lang w:val="en-US" w:eastAsia="zh-CN"/>
        </w:rPr>
        <w:t>也须</w:t>
      </w:r>
      <w:r>
        <w:rPr>
          <w:rFonts w:hint="eastAsia" w:ascii="宋体" w:hAnsi="宋体" w:cs="Arial"/>
          <w:bCs/>
          <w:color w:val="000000"/>
          <w:szCs w:val="21"/>
        </w:rPr>
        <w:t>填写《条款偏离表》，</w:t>
      </w:r>
      <w:r>
        <w:rPr>
          <w:rFonts w:hint="eastAsia" w:ascii="宋体" w:hAnsi="宋体" w:cs="Arial"/>
          <w:bCs/>
          <w:color w:val="000000"/>
          <w:szCs w:val="21"/>
          <w:lang w:val="en-US" w:eastAsia="zh-CN"/>
        </w:rPr>
        <w:t>不允许偏离项的实质性偏离，将导致投标被否决</w:t>
      </w:r>
      <w:r>
        <w:rPr>
          <w:rFonts w:hint="eastAsia" w:ascii="宋体" w:hAnsi="宋体" w:cs="Arial"/>
          <w:bCs/>
          <w:color w:val="000000"/>
          <w:szCs w:val="21"/>
        </w:rPr>
        <w:t>。</w:t>
      </w:r>
    </w:p>
    <w:p>
      <w:pPr>
        <w:spacing w:before="240" w:after="240" w:line="360" w:lineRule="auto"/>
        <w:jc w:val="left"/>
        <w:outlineLvl w:val="0"/>
        <w:rPr>
          <w:rFonts w:hint="eastAsia" w:asciiTheme="minorEastAsia" w:hAnsiTheme="minorEastAsia"/>
          <w:b/>
          <w:bCs/>
          <w:sz w:val="24"/>
          <w:szCs w:val="24"/>
          <w:highlight w:val="none"/>
          <w:lang w:val="en-US" w:eastAsia="zh-CN"/>
        </w:rPr>
      </w:pPr>
      <w:r>
        <w:rPr>
          <w:rFonts w:hint="eastAsia" w:asciiTheme="minorEastAsia" w:hAnsiTheme="minorEastAsia"/>
          <w:b/>
          <w:bCs/>
          <w:sz w:val="24"/>
          <w:szCs w:val="24"/>
          <w:highlight w:val="none"/>
          <w:lang w:val="en-US" w:eastAsia="zh-CN"/>
        </w:rPr>
        <w:t>附件7：供应商绿色环保承诺书</w:t>
      </w:r>
    </w:p>
    <w:p>
      <w:pPr>
        <w:numPr>
          <w:ilvl w:val="0"/>
          <w:numId w:val="0"/>
        </w:numPr>
        <w:rPr>
          <w:rFonts w:hint="default"/>
          <w:highlight w:val="none"/>
          <w:lang w:val="en-US" w:eastAsia="zh-CN"/>
        </w:rPr>
      </w:pPr>
    </w:p>
    <w:p>
      <w:pPr>
        <w:jc w:val="center"/>
        <w:rPr>
          <w:rFonts w:hint="eastAsia" w:ascii="黑体" w:hAnsi="黑体" w:eastAsia="黑体" w:cs="宋体"/>
          <w:b/>
          <w:sz w:val="36"/>
          <w:szCs w:val="36"/>
          <w:highlight w:val="none"/>
          <w:lang w:val="en-US" w:eastAsia="zh-CN"/>
        </w:rPr>
      </w:pPr>
      <w:r>
        <w:rPr>
          <w:rFonts w:hint="eastAsia" w:ascii="黑体" w:hAnsi="黑体" w:eastAsia="黑体" w:cs="宋体"/>
          <w:b/>
          <w:sz w:val="36"/>
          <w:szCs w:val="36"/>
          <w:highlight w:val="none"/>
          <w:lang w:val="en-US" w:eastAsia="zh-CN"/>
        </w:rPr>
        <w:t>供应商绿色环保承诺书</w:t>
      </w:r>
    </w:p>
    <w:p>
      <w:pPr>
        <w:jc w:val="center"/>
        <w:rPr>
          <w:b/>
          <w:bCs/>
          <w:sz w:val="40"/>
          <w:szCs w:val="36"/>
          <w:highlight w:val="none"/>
        </w:rPr>
      </w:pPr>
    </w:p>
    <w:p>
      <w:pPr>
        <w:spacing w:line="360" w:lineRule="auto"/>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val="en-US" w:eastAsia="zh-CN"/>
        </w:rPr>
        <w:t>中海石油化学股份有限公司</w:t>
      </w:r>
      <w:r>
        <w:rPr>
          <w:rFonts w:hint="eastAsia" w:ascii="宋体" w:hAnsi="宋体" w:eastAsia="宋体" w:cs="宋体"/>
          <w:b/>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为节约资源、保护环境，积极响应国家节能减排和绿色环保政策，切实推进绿色</w:t>
      </w:r>
      <w:r>
        <w:rPr>
          <w:rFonts w:hint="eastAsia" w:ascii="宋体" w:hAnsi="宋体" w:eastAsia="宋体" w:cs="宋体"/>
          <w:highlight w:val="none"/>
          <w:lang w:val="en-US" w:eastAsia="zh-CN"/>
        </w:rPr>
        <w:t>供应</w:t>
      </w:r>
      <w:r>
        <w:rPr>
          <w:rFonts w:hint="eastAsia" w:ascii="宋体" w:hAnsi="宋体" w:eastAsia="宋体" w:cs="宋体"/>
          <w:highlight w:val="none"/>
        </w:rPr>
        <w:t>链建设，我司郑重做出以下绿色环保承诺。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一、我司同意本绿色环保承诺书作为</w:t>
      </w:r>
      <w:r>
        <w:rPr>
          <w:rFonts w:hint="eastAsia" w:eastAsia="宋体" w:cs="宋体"/>
          <w:highlight w:val="none"/>
          <w:lang w:val="en-US" w:eastAsia="zh-CN"/>
        </w:rPr>
        <w:t>本询价项目涉及的合同</w:t>
      </w:r>
      <w:r>
        <w:rPr>
          <w:rFonts w:hint="eastAsia" w:ascii="宋体" w:hAnsi="宋体" w:eastAsia="宋体" w:cs="宋体"/>
          <w:highlight w:val="none"/>
          <w:lang w:val="en-US" w:eastAsia="zh-CN"/>
        </w:rPr>
        <w:t>的附件</w:t>
      </w:r>
      <w:r>
        <w:rPr>
          <w:rFonts w:hint="eastAsia" w:ascii="宋体" w:hAnsi="宋体" w:eastAsia="宋体" w:cs="宋体"/>
          <w:highlight w:val="none"/>
        </w:rPr>
        <w:t>，对我司具有约束力。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二、基本承诺：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1、我司承诺逐步建立绿色产业链专项信息沟通和管控跟踪机制，积极探索并建立产品</w:t>
      </w:r>
      <w:r>
        <w:rPr>
          <w:rFonts w:hint="eastAsia" w:ascii="宋体" w:hAnsi="宋体" w:eastAsia="宋体" w:cs="宋体"/>
          <w:highlight w:val="none"/>
          <w:lang w:val="en-US" w:eastAsia="zh-CN"/>
        </w:rPr>
        <w:t>和服务</w:t>
      </w:r>
      <w:r>
        <w:rPr>
          <w:rFonts w:hint="eastAsia" w:ascii="宋体" w:hAnsi="宋体" w:eastAsia="宋体" w:cs="宋体"/>
          <w:highlight w:val="none"/>
        </w:rPr>
        <w:t>全</w:t>
      </w:r>
      <w:r>
        <w:rPr>
          <w:rFonts w:hint="eastAsia" w:ascii="宋体" w:hAnsi="宋体" w:eastAsia="宋体" w:cs="宋体"/>
          <w:highlight w:val="none"/>
          <w:lang w:val="en-US" w:eastAsia="zh-CN"/>
        </w:rPr>
        <w:t>生</w:t>
      </w:r>
      <w:r>
        <w:rPr>
          <w:rFonts w:hint="eastAsia" w:ascii="宋体" w:hAnsi="宋体" w:eastAsia="宋体" w:cs="宋体"/>
          <w:highlight w:val="none"/>
        </w:rPr>
        <w:t>命周期的绿色监管体系，将节能减排、绿色环保的理念落实到产品</w:t>
      </w:r>
      <w:r>
        <w:rPr>
          <w:rFonts w:hint="eastAsia" w:ascii="宋体" w:hAnsi="宋体" w:eastAsia="宋体" w:cs="宋体"/>
          <w:highlight w:val="none"/>
          <w:lang w:val="en-US" w:eastAsia="zh-CN"/>
        </w:rPr>
        <w:t>和服务</w:t>
      </w:r>
      <w:r>
        <w:rPr>
          <w:rFonts w:hint="eastAsia" w:ascii="宋体" w:hAnsi="宋体" w:eastAsia="宋体" w:cs="宋体"/>
          <w:highlight w:val="none"/>
        </w:rPr>
        <w:t>全生命周期的各个阶段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2、我司承诺逐步完善相关产品</w:t>
      </w:r>
      <w:r>
        <w:rPr>
          <w:rFonts w:hint="eastAsia" w:ascii="宋体" w:hAnsi="宋体" w:eastAsia="宋体" w:cs="宋体"/>
          <w:highlight w:val="none"/>
          <w:lang w:val="en-US" w:eastAsia="zh-CN"/>
        </w:rPr>
        <w:t>、服务的</w:t>
      </w:r>
      <w:r>
        <w:rPr>
          <w:rFonts w:hint="eastAsia" w:ascii="宋体" w:hAnsi="宋体" w:eastAsia="宋体" w:cs="宋体"/>
          <w:highlight w:val="none"/>
        </w:rPr>
        <w:t>节能减排和绿色环保评价指标，努力降低在包装、物流、</w:t>
      </w:r>
      <w:r>
        <w:rPr>
          <w:rFonts w:hint="eastAsia" w:ascii="宋体" w:hAnsi="宋体" w:eastAsia="宋体" w:cs="宋体"/>
          <w:highlight w:val="none"/>
          <w:lang w:val="en-US" w:eastAsia="zh-CN"/>
        </w:rPr>
        <w:t>回收、作业服务</w:t>
      </w:r>
      <w:r>
        <w:rPr>
          <w:rFonts w:hint="eastAsia" w:ascii="宋体" w:hAnsi="宋体" w:eastAsia="宋体" w:cs="宋体"/>
          <w:highlight w:val="none"/>
        </w:rPr>
        <w:t>收等环节的能耗/排放水平，尽可能加强节能减排，降低对环境的影响。包括但不限于在备运行使用中的单位能力的功耗、散热、电磁辐射噪音、节能减排技新术应用等</w:t>
      </w:r>
      <w:r>
        <w:rPr>
          <w:rFonts w:hint="eastAsia" w:ascii="宋体" w:hAnsi="宋体" w:eastAsia="宋体" w:cs="宋体"/>
          <w:highlight w:val="none"/>
          <w:lang w:val="en-US" w:eastAsia="zh-CN"/>
        </w:rPr>
        <w:t>方面内容</w:t>
      </w:r>
      <w:r>
        <w:rPr>
          <w:rFonts w:hint="eastAsia" w:ascii="宋体" w:hAnsi="宋体" w:eastAsia="宋体" w:cs="宋体"/>
          <w:highlight w:val="none"/>
        </w:rPr>
        <w:t>，建立科学全面的评估体系，持续提升节能减排和绿色环保水平。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3、</w:t>
      </w:r>
      <w:r>
        <w:rPr>
          <w:rFonts w:hint="eastAsia" w:ascii="宋体" w:hAnsi="宋体" w:eastAsia="宋体" w:cs="宋体"/>
          <w:highlight w:val="none"/>
        </w:rPr>
        <w:t>我司承诺制定有关节能减排和绿色环保的政策、制度和流程，并提出相关的技术革新</w:t>
      </w:r>
      <w:r>
        <w:rPr>
          <w:rFonts w:hint="eastAsia" w:ascii="宋体" w:hAnsi="宋体" w:eastAsia="宋体" w:cs="宋体"/>
          <w:highlight w:val="none"/>
          <w:lang w:val="en-US" w:eastAsia="zh-CN"/>
        </w:rPr>
        <w:t>计</w:t>
      </w:r>
      <w:r>
        <w:rPr>
          <w:rFonts w:hint="eastAsia" w:ascii="宋体" w:hAnsi="宋体" w:eastAsia="宋体" w:cs="宋体"/>
          <w:highlight w:val="none"/>
        </w:rPr>
        <w:t>划，努力在产品设计</w:t>
      </w:r>
      <w:r>
        <w:rPr>
          <w:rFonts w:hint="eastAsia" w:ascii="宋体" w:hAnsi="宋体" w:eastAsia="宋体" w:cs="宋体"/>
          <w:highlight w:val="none"/>
          <w:lang w:val="en-US" w:eastAsia="zh-CN"/>
        </w:rPr>
        <w:t>制造、作业服务</w:t>
      </w:r>
      <w:r>
        <w:rPr>
          <w:rFonts w:hint="eastAsia" w:ascii="宋体" w:hAnsi="宋体" w:eastAsia="宋体" w:cs="宋体"/>
          <w:highlight w:val="none"/>
        </w:rPr>
        <w:t>等方面进行不断改进和完善，包括但不限于尽量使用无污染、可回收可利用的环保材料、提高产品集成度减少产品的材料使用数量 减小产品体和 减轻产品重量，减少生产制造过程中的能耗、</w:t>
      </w:r>
      <w:r>
        <w:rPr>
          <w:rFonts w:hint="eastAsia" w:ascii="宋体" w:hAnsi="宋体" w:eastAsia="宋体" w:cs="宋体"/>
          <w:highlight w:val="none"/>
          <w:lang w:val="en-US" w:eastAsia="zh-CN"/>
        </w:rPr>
        <w:t>碳</w:t>
      </w:r>
      <w:r>
        <w:rPr>
          <w:rFonts w:hint="eastAsia" w:ascii="宋体" w:hAnsi="宋体" w:eastAsia="宋体" w:cs="宋体"/>
          <w:highlight w:val="none"/>
        </w:rPr>
        <w:t>排放等。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rPr>
        <w:t>4、我司承诺对上游供应商进行节能减排绿色环保方面的评估和管控，保证其产品符合国家有关法律、法规和行业标准；并与其开展互利合作，不断促进上游供应商改进技术、流程和产品，从源头开始保证产品的节能减排和绿色环保</w:t>
      </w:r>
      <w:r>
        <w:rPr>
          <w:rFonts w:hint="eastAsia" w:ascii="宋体" w:hAnsi="宋体" w:eastAsia="宋体" w:cs="宋体"/>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5、我司承诺逐步建立科学、合理、有效的商业回收《或置换）模式，回收时充分考虑节能环保等绿色因素，实施绿色回收，并根据国家相关法律、法规和行业标准的要求，对回收产品进行环保和再利用处理，确保对环境的污染降到最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rPr>
        <w:t>6、我司承诺为贵司提供的产品及包装应符合国家有关节能减排和绿色环保的法律、法规及行业标准，充分考虑节能、环保等绿色因素，尽量避免有毒、有害物质或元素的使用；不断推进产品绿色包装，努力在包装材料和包装过程等方面进行不断改进和完善，包装材料应能够循环复用、再生利用或可以降解腐化，而且在产品的整个生命周期中对人体及环境不造成公害：并努力开展简化包装、适度包装</w:t>
      </w:r>
      <w:r>
        <w:rPr>
          <w:rFonts w:hint="eastAsia" w:ascii="宋体" w:hAnsi="宋体" w:eastAsia="宋体" w:cs="宋体"/>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7、我司承诺</w:t>
      </w:r>
      <w:r>
        <w:rPr>
          <w:rFonts w:hint="eastAsia" w:ascii="宋体" w:hAnsi="宋体" w:eastAsia="宋体" w:cs="宋体"/>
          <w:highlight w:val="none"/>
          <w:lang w:val="en-US" w:eastAsia="zh-CN"/>
        </w:rPr>
        <w:t>对</w:t>
      </w:r>
      <w:r>
        <w:rPr>
          <w:rFonts w:hint="eastAsia" w:ascii="宋体" w:hAnsi="宋体" w:eastAsia="宋体" w:cs="宋体"/>
          <w:highlight w:val="none"/>
        </w:rPr>
        <w:t>提供</w:t>
      </w:r>
      <w:r>
        <w:rPr>
          <w:rFonts w:hint="eastAsia" w:ascii="宋体" w:hAnsi="宋体" w:eastAsia="宋体" w:cs="宋体"/>
          <w:highlight w:val="none"/>
          <w:lang w:val="en-US" w:eastAsia="zh-CN"/>
        </w:rPr>
        <w:t>的</w:t>
      </w:r>
      <w:r>
        <w:rPr>
          <w:rFonts w:hint="eastAsia" w:ascii="宋体" w:hAnsi="宋体" w:eastAsia="宋体" w:cs="宋体"/>
          <w:highlight w:val="none"/>
        </w:rPr>
        <w:t>产品中含有的有毒有害物质或元素进行标注，标明有毒、有害物质或元素的名称、含量、所在部件及其可否回收利用等；由于产品体积或功能的限制不能在产品上标注的，需在产品说明书中注明。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三、监督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1、我司自觉接受环境保护主管部门</w:t>
      </w:r>
      <w:r>
        <w:rPr>
          <w:rFonts w:hint="eastAsia" w:ascii="宋体" w:hAnsi="宋体" w:eastAsia="宋体" w:cs="宋体"/>
          <w:highlight w:val="none"/>
          <w:lang w:val="en-US" w:eastAsia="zh-CN"/>
        </w:rPr>
        <w:t>和贵公司的</w:t>
      </w:r>
      <w:r>
        <w:rPr>
          <w:rFonts w:hint="eastAsia" w:ascii="宋体" w:hAnsi="宋体" w:eastAsia="宋体" w:cs="宋体"/>
          <w:highlight w:val="none"/>
        </w:rPr>
        <w:t>监督。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2、贵司监有权对采购（合作）活动进行监督有权制止、要求纠正违反本承诺书白行为。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p>
    <w:p>
      <w:pPr>
        <w:spacing w:line="348" w:lineRule="auto"/>
        <w:ind w:left="5869" w:leftChars="1995" w:hanging="1680" w:hangingChars="800"/>
        <w:outlineLvl w:val="9"/>
        <w:rPr>
          <w:rFonts w:hint="eastAsia" w:ascii="宋体" w:hAnsi="宋体" w:eastAsia="宋体" w:cs="宋体"/>
          <w:sz w:val="28"/>
          <w:szCs w:val="28"/>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sz w:val="28"/>
          <w:szCs w:val="28"/>
          <w:highlight w:val="none"/>
          <w:lang w:eastAsia="zh-CN"/>
        </w:rPr>
        <w:t>年    月    日</w:t>
      </w:r>
    </w:p>
    <w:p>
      <w:pPr>
        <w:spacing w:line="348" w:lineRule="auto"/>
        <w:ind w:firstLine="4200" w:firstLineChars="1500"/>
        <w:outlineLvl w:val="9"/>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法人代表：</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lang w:eastAsia="zh-CN"/>
        </w:rPr>
        <w:t xml:space="preserve"> （签字/签章）</w:t>
      </w:r>
    </w:p>
    <w:p>
      <w:pPr>
        <w:rPr>
          <w:highlight w:val="none"/>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lang w:eastAsia="zh-CN"/>
        </w:rPr>
        <w:t>（公司签章）</w:t>
      </w:r>
    </w:p>
    <w:p>
      <w:pPr>
        <w:rPr>
          <w:rFonts w:hint="eastAsia"/>
          <w:lang w:val="en-US" w:eastAsia="zh-CN"/>
        </w:rPr>
      </w:pPr>
      <w:r>
        <w:rPr>
          <w:rFonts w:hint="eastAsia"/>
          <w:lang w:val="en-US" w:eastAsia="zh-CN"/>
        </w:rPr>
        <w:t>附件8：承包商HSE协议（另附）</w:t>
      </w:r>
    </w:p>
    <w:p>
      <w:pPr>
        <w:pStyle w:val="2"/>
        <w:ind w:left="0" w:leftChars="0" w:firstLine="0" w:firstLineChars="0"/>
        <w:rPr>
          <w:rFonts w:hint="eastAsia"/>
          <w:lang w:val="en-US" w:eastAsia="zh-CN"/>
        </w:rPr>
      </w:pPr>
      <w:r>
        <w:rPr>
          <w:rFonts w:hint="eastAsia"/>
          <w:lang w:val="en-US" w:eastAsia="zh-CN"/>
        </w:rPr>
        <w:t>附件9：《供应商一单一考评表》（另附）</w:t>
      </w:r>
    </w:p>
    <w:p>
      <w:pPr>
        <w:pStyle w:val="2"/>
        <w:ind w:left="0" w:leftChars="0" w:firstLine="0" w:firstLineChars="0"/>
        <w:rPr>
          <w:rFonts w:hint="eastAsia"/>
          <w:lang w:val="en-US" w:eastAsia="zh-CN"/>
        </w:rPr>
      </w:pPr>
      <w:r>
        <w:rPr>
          <w:rFonts w:hint="eastAsia"/>
          <w:lang w:val="en-US" w:eastAsia="zh-CN"/>
        </w:rPr>
        <w:t>附件10：供应商报价须知-服务（长协与非长协合并）</w:t>
      </w:r>
    </w:p>
    <w:p>
      <w:pPr>
        <w:pStyle w:val="2"/>
        <w:ind w:left="0" w:leftChars="0" w:firstLine="0" w:firstLineChars="0"/>
        <w:rPr>
          <w:rFonts w:hint="default"/>
          <w:lang w:val="en-US" w:eastAsia="zh-CN"/>
        </w:rPr>
      </w:pPr>
      <w:r>
        <w:rPr>
          <w:rFonts w:hint="default"/>
          <w:lang w:val="en-US" w:eastAsia="zh-CN"/>
        </w:rPr>
        <w:t>附件11：采办业务投诉流程</w:t>
      </w:r>
      <w:r>
        <w:rPr>
          <w:rFonts w:hint="eastAsia"/>
          <w:lang w:val="en-US" w:eastAsia="zh-CN"/>
        </w:rPr>
        <w:t>及</w:t>
      </w:r>
      <w:r>
        <w:rPr>
          <w:rFonts w:hint="default"/>
          <w:lang w:val="en-US" w:eastAsia="zh-CN"/>
        </w:rPr>
        <w:t>投诉、异议注意事项</w:t>
      </w:r>
    </w:p>
    <w:p>
      <w:pPr>
        <w:pStyle w:val="2"/>
        <w:ind w:left="0" w:leftChars="0" w:firstLine="0" w:firstLineChars="0"/>
        <w:rPr>
          <w:rFonts w:hint="default"/>
          <w:lang w:val="en-US" w:eastAsia="zh-CN"/>
        </w:rPr>
      </w:pPr>
      <w:r>
        <w:rPr>
          <w:rFonts w:hint="default"/>
          <w:lang w:val="en-US" w:eastAsia="zh-CN"/>
        </w:rPr>
        <w:t>附件12：投标人不参与串通投标、弄虚作假承诺书</w:t>
      </w:r>
    </w:p>
    <w:p>
      <w:pPr>
        <w:pStyle w:val="2"/>
        <w:ind w:left="0" w:leftChars="0" w:firstLine="0" w:firstLineChars="0"/>
        <w:rPr>
          <w:rFonts w:hint="default"/>
          <w:lang w:val="en-US" w:eastAsia="zh-CN"/>
        </w:rPr>
      </w:pPr>
      <w:r>
        <w:rPr>
          <w:rFonts w:hint="default"/>
          <w:lang w:val="en-US" w:eastAsia="zh-CN"/>
        </w:rPr>
        <w:t>附件13：是否使用农民工确认书</w:t>
      </w:r>
      <w:r>
        <w:rPr>
          <w:rFonts w:hint="eastAsia"/>
          <w:lang w:val="en-US" w:eastAsia="zh-CN"/>
        </w:rPr>
        <w:t>（如适用）</w:t>
      </w:r>
    </w:p>
    <w:p>
      <w:pPr>
        <w:pStyle w:val="2"/>
        <w:ind w:left="0" w:leftChars="0" w:firstLine="0" w:firstLineChars="0"/>
        <w:rPr>
          <w:rFonts w:hint="default"/>
          <w:lang w:val="en-US" w:eastAsia="zh-CN"/>
        </w:rPr>
      </w:pPr>
      <w:r>
        <w:rPr>
          <w:rFonts w:hint="default"/>
          <w:lang w:val="en-US" w:eastAsia="zh-CN"/>
        </w:rPr>
        <w:t>附件14：违约责任及处理要求</w:t>
      </w:r>
    </w:p>
    <w:p>
      <w:pPr>
        <w:pStyle w:val="2"/>
        <w:ind w:left="0" w:leftChars="0" w:firstLine="0" w:firstLine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Noto Sans CJK DemiLight">
    <w:altName w:val="宋体"/>
    <w:panose1 w:val="00000000000000000000"/>
    <w:charset w:val="86"/>
    <w:family w:val="swiss"/>
    <w:pitch w:val="default"/>
    <w:sig w:usb0="00000000" w:usb1="00000000" w:usb2="00000016" w:usb3="00000000" w:csb0="002E0107"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19</w:t>
    </w:r>
    <w:r>
      <w:rPr>
        <w:b/>
        <w:bCs/>
        <w:sz w:val="24"/>
        <w:szCs w:val="24"/>
      </w:rP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A5FD63"/>
    <w:multiLevelType w:val="singleLevel"/>
    <w:tmpl w:val="92A5FD63"/>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E2C"/>
    <w:rsid w:val="00026570"/>
    <w:rsid w:val="000338BA"/>
    <w:rsid w:val="000700B5"/>
    <w:rsid w:val="00087D76"/>
    <w:rsid w:val="00087F3D"/>
    <w:rsid w:val="000B1A0B"/>
    <w:rsid w:val="000B4F8A"/>
    <w:rsid w:val="000C4A61"/>
    <w:rsid w:val="000C4F62"/>
    <w:rsid w:val="000D1916"/>
    <w:rsid w:val="000E6039"/>
    <w:rsid w:val="00106163"/>
    <w:rsid w:val="00107ED5"/>
    <w:rsid w:val="00130596"/>
    <w:rsid w:val="0017672C"/>
    <w:rsid w:val="00187256"/>
    <w:rsid w:val="001A73DF"/>
    <w:rsid w:val="001B0353"/>
    <w:rsid w:val="001B2B24"/>
    <w:rsid w:val="001D3F51"/>
    <w:rsid w:val="001E3AE4"/>
    <w:rsid w:val="001E4ADB"/>
    <w:rsid w:val="002153A5"/>
    <w:rsid w:val="00225A93"/>
    <w:rsid w:val="00291FD3"/>
    <w:rsid w:val="002D2F52"/>
    <w:rsid w:val="00353A51"/>
    <w:rsid w:val="003645C3"/>
    <w:rsid w:val="0036478D"/>
    <w:rsid w:val="00397854"/>
    <w:rsid w:val="003D0290"/>
    <w:rsid w:val="003D3312"/>
    <w:rsid w:val="003E288B"/>
    <w:rsid w:val="003E4139"/>
    <w:rsid w:val="00403946"/>
    <w:rsid w:val="004157FC"/>
    <w:rsid w:val="004163F1"/>
    <w:rsid w:val="00424390"/>
    <w:rsid w:val="00450F51"/>
    <w:rsid w:val="00475A66"/>
    <w:rsid w:val="00477194"/>
    <w:rsid w:val="004859AF"/>
    <w:rsid w:val="004A66B6"/>
    <w:rsid w:val="004A77F2"/>
    <w:rsid w:val="004B60BC"/>
    <w:rsid w:val="004E3E2C"/>
    <w:rsid w:val="00513A7E"/>
    <w:rsid w:val="00520CE4"/>
    <w:rsid w:val="0056144E"/>
    <w:rsid w:val="0058462C"/>
    <w:rsid w:val="00584D2E"/>
    <w:rsid w:val="00595133"/>
    <w:rsid w:val="006534FA"/>
    <w:rsid w:val="00665C6E"/>
    <w:rsid w:val="006C2C6C"/>
    <w:rsid w:val="006E0EDE"/>
    <w:rsid w:val="006F618D"/>
    <w:rsid w:val="007476AB"/>
    <w:rsid w:val="00783C45"/>
    <w:rsid w:val="007A2364"/>
    <w:rsid w:val="007B52C4"/>
    <w:rsid w:val="007B6404"/>
    <w:rsid w:val="008379ED"/>
    <w:rsid w:val="0085693A"/>
    <w:rsid w:val="008A6326"/>
    <w:rsid w:val="0091771A"/>
    <w:rsid w:val="00936C9E"/>
    <w:rsid w:val="00940CFE"/>
    <w:rsid w:val="009B0C32"/>
    <w:rsid w:val="009B4EA0"/>
    <w:rsid w:val="009C2191"/>
    <w:rsid w:val="009E0253"/>
    <w:rsid w:val="009F0FA9"/>
    <w:rsid w:val="00A140D2"/>
    <w:rsid w:val="00A17E44"/>
    <w:rsid w:val="00A217AE"/>
    <w:rsid w:val="00A2290E"/>
    <w:rsid w:val="00A26202"/>
    <w:rsid w:val="00A306CE"/>
    <w:rsid w:val="00A4114C"/>
    <w:rsid w:val="00A94AE5"/>
    <w:rsid w:val="00AA483E"/>
    <w:rsid w:val="00AF6BBC"/>
    <w:rsid w:val="00B2206F"/>
    <w:rsid w:val="00B4682F"/>
    <w:rsid w:val="00B621FF"/>
    <w:rsid w:val="00B65809"/>
    <w:rsid w:val="00B840C9"/>
    <w:rsid w:val="00BB5A4A"/>
    <w:rsid w:val="00C21648"/>
    <w:rsid w:val="00C70724"/>
    <w:rsid w:val="00CB6556"/>
    <w:rsid w:val="00CD58F7"/>
    <w:rsid w:val="00CE75F6"/>
    <w:rsid w:val="00D2171E"/>
    <w:rsid w:val="00D2579F"/>
    <w:rsid w:val="00D56F82"/>
    <w:rsid w:val="00D721A9"/>
    <w:rsid w:val="00D866AC"/>
    <w:rsid w:val="00D940E3"/>
    <w:rsid w:val="00DB0291"/>
    <w:rsid w:val="00E011E8"/>
    <w:rsid w:val="00E15A0A"/>
    <w:rsid w:val="00E16229"/>
    <w:rsid w:val="00E302A3"/>
    <w:rsid w:val="00E328B1"/>
    <w:rsid w:val="00E40E1C"/>
    <w:rsid w:val="00E42666"/>
    <w:rsid w:val="00E8558C"/>
    <w:rsid w:val="00EB30DE"/>
    <w:rsid w:val="00EE638D"/>
    <w:rsid w:val="00F24C99"/>
    <w:rsid w:val="00F30FF5"/>
    <w:rsid w:val="00F332BC"/>
    <w:rsid w:val="00F45266"/>
    <w:rsid w:val="00F51B54"/>
    <w:rsid w:val="00FB7F69"/>
    <w:rsid w:val="00FF071E"/>
    <w:rsid w:val="01320F2B"/>
    <w:rsid w:val="017967AC"/>
    <w:rsid w:val="01BB351E"/>
    <w:rsid w:val="02237986"/>
    <w:rsid w:val="03193B0C"/>
    <w:rsid w:val="048E4BB2"/>
    <w:rsid w:val="04AA1369"/>
    <w:rsid w:val="04EE495B"/>
    <w:rsid w:val="05932831"/>
    <w:rsid w:val="070F57A5"/>
    <w:rsid w:val="08294D96"/>
    <w:rsid w:val="08953153"/>
    <w:rsid w:val="099F4B89"/>
    <w:rsid w:val="0B2A34DD"/>
    <w:rsid w:val="0DD84572"/>
    <w:rsid w:val="0EFA62CE"/>
    <w:rsid w:val="11B76268"/>
    <w:rsid w:val="12D573EB"/>
    <w:rsid w:val="14E745DF"/>
    <w:rsid w:val="15401FB7"/>
    <w:rsid w:val="159B3B44"/>
    <w:rsid w:val="16D71FBB"/>
    <w:rsid w:val="16DA578B"/>
    <w:rsid w:val="17E93546"/>
    <w:rsid w:val="1839700F"/>
    <w:rsid w:val="189A5C55"/>
    <w:rsid w:val="18DB0602"/>
    <w:rsid w:val="19134653"/>
    <w:rsid w:val="195553DA"/>
    <w:rsid w:val="199612DD"/>
    <w:rsid w:val="1A09263A"/>
    <w:rsid w:val="1AF94CE2"/>
    <w:rsid w:val="1B23213C"/>
    <w:rsid w:val="1B9A2135"/>
    <w:rsid w:val="1DA47ED2"/>
    <w:rsid w:val="1DD763E7"/>
    <w:rsid w:val="1F38517B"/>
    <w:rsid w:val="1F427077"/>
    <w:rsid w:val="1F557D96"/>
    <w:rsid w:val="1FE03C26"/>
    <w:rsid w:val="200B1B5D"/>
    <w:rsid w:val="21834730"/>
    <w:rsid w:val="224C4963"/>
    <w:rsid w:val="247B1377"/>
    <w:rsid w:val="24A846A4"/>
    <w:rsid w:val="27112725"/>
    <w:rsid w:val="2738271C"/>
    <w:rsid w:val="279A2A09"/>
    <w:rsid w:val="27AD4712"/>
    <w:rsid w:val="285343B6"/>
    <w:rsid w:val="299B3D6C"/>
    <w:rsid w:val="2B58487D"/>
    <w:rsid w:val="2BEE2DF2"/>
    <w:rsid w:val="2BF1285C"/>
    <w:rsid w:val="2C662225"/>
    <w:rsid w:val="2CD163E1"/>
    <w:rsid w:val="2D384ADE"/>
    <w:rsid w:val="2D7E7C14"/>
    <w:rsid w:val="2FA818F7"/>
    <w:rsid w:val="30D91586"/>
    <w:rsid w:val="3139555A"/>
    <w:rsid w:val="32525B57"/>
    <w:rsid w:val="336E2FA1"/>
    <w:rsid w:val="35FD2AC4"/>
    <w:rsid w:val="363A6264"/>
    <w:rsid w:val="36A838BA"/>
    <w:rsid w:val="38D1529A"/>
    <w:rsid w:val="39936654"/>
    <w:rsid w:val="3A106A71"/>
    <w:rsid w:val="3AB21CD4"/>
    <w:rsid w:val="3B0B058C"/>
    <w:rsid w:val="3C69372C"/>
    <w:rsid w:val="3CC716DA"/>
    <w:rsid w:val="3D6B2F4F"/>
    <w:rsid w:val="3EAA2820"/>
    <w:rsid w:val="431C1B42"/>
    <w:rsid w:val="43CC5D78"/>
    <w:rsid w:val="447303AF"/>
    <w:rsid w:val="45CD6E15"/>
    <w:rsid w:val="45FC6814"/>
    <w:rsid w:val="463351B6"/>
    <w:rsid w:val="483B505F"/>
    <w:rsid w:val="48A04659"/>
    <w:rsid w:val="4989217A"/>
    <w:rsid w:val="4DCD0B01"/>
    <w:rsid w:val="4E022F7C"/>
    <w:rsid w:val="500C7739"/>
    <w:rsid w:val="501D0B8A"/>
    <w:rsid w:val="513A40D0"/>
    <w:rsid w:val="51907B37"/>
    <w:rsid w:val="52D43E71"/>
    <w:rsid w:val="56B77204"/>
    <w:rsid w:val="56D219E5"/>
    <w:rsid w:val="57A84D6C"/>
    <w:rsid w:val="583D707B"/>
    <w:rsid w:val="58403E39"/>
    <w:rsid w:val="58741B0B"/>
    <w:rsid w:val="5A137347"/>
    <w:rsid w:val="5AEF673F"/>
    <w:rsid w:val="5B2D6705"/>
    <w:rsid w:val="5C7F1D44"/>
    <w:rsid w:val="5DDE79CC"/>
    <w:rsid w:val="60086C66"/>
    <w:rsid w:val="603D6502"/>
    <w:rsid w:val="62003FBE"/>
    <w:rsid w:val="621D2A1A"/>
    <w:rsid w:val="64E177A7"/>
    <w:rsid w:val="65494330"/>
    <w:rsid w:val="658B5BC1"/>
    <w:rsid w:val="65A74DD4"/>
    <w:rsid w:val="65AE5BBD"/>
    <w:rsid w:val="660324E6"/>
    <w:rsid w:val="667306C5"/>
    <w:rsid w:val="667818A0"/>
    <w:rsid w:val="66986AB8"/>
    <w:rsid w:val="66C94D5E"/>
    <w:rsid w:val="679310D4"/>
    <w:rsid w:val="692B5915"/>
    <w:rsid w:val="69E109AF"/>
    <w:rsid w:val="6B33205C"/>
    <w:rsid w:val="6B5C3229"/>
    <w:rsid w:val="6B994630"/>
    <w:rsid w:val="6BD14071"/>
    <w:rsid w:val="6CB6538C"/>
    <w:rsid w:val="6CE6394F"/>
    <w:rsid w:val="6D1F321F"/>
    <w:rsid w:val="6DA66DF3"/>
    <w:rsid w:val="6DC068D5"/>
    <w:rsid w:val="6EA801F0"/>
    <w:rsid w:val="6EF24991"/>
    <w:rsid w:val="70535DFE"/>
    <w:rsid w:val="70B82EFE"/>
    <w:rsid w:val="73337C3A"/>
    <w:rsid w:val="73BA3D76"/>
    <w:rsid w:val="76BF62FB"/>
    <w:rsid w:val="76E81C8A"/>
    <w:rsid w:val="779C4585"/>
    <w:rsid w:val="77BA647B"/>
    <w:rsid w:val="78F20293"/>
    <w:rsid w:val="79B14AB2"/>
    <w:rsid w:val="7BEB46DA"/>
    <w:rsid w:val="7D236BE2"/>
    <w:rsid w:val="7D26110F"/>
    <w:rsid w:val="7D391810"/>
    <w:rsid w:val="7DD97789"/>
    <w:rsid w:val="7F410732"/>
    <w:rsid w:val="7F8875EA"/>
    <w:rsid w:val="7FED1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widowControl/>
      <w:overflowPunct w:val="0"/>
      <w:autoSpaceDE w:val="0"/>
      <w:autoSpaceDN w:val="0"/>
      <w:adjustRightInd w:val="0"/>
      <w:spacing w:before="240" w:after="60"/>
      <w:jc w:val="left"/>
      <w:textAlignment w:val="baseline"/>
      <w:outlineLvl w:val="0"/>
    </w:pPr>
    <w:rPr>
      <w:rFonts w:ascii="Arial" w:hAnsi="Arial"/>
      <w:b/>
      <w:kern w:val="28"/>
      <w:sz w:val="28"/>
      <w:szCs w:val="20"/>
      <w:lang w:eastAsia="en-US"/>
    </w:rPr>
  </w:style>
  <w:style w:type="paragraph" w:styleId="4">
    <w:name w:val="heading 2"/>
    <w:basedOn w:val="1"/>
    <w:next w:val="1"/>
    <w:qFormat/>
    <w:uiPriority w:val="1"/>
    <w:pPr>
      <w:spacing w:line="479" w:lineRule="exact"/>
      <w:outlineLvl w:val="1"/>
    </w:pPr>
    <w:rPr>
      <w:rFonts w:ascii="Microsoft YaHei UI" w:hAnsi="Microsoft YaHei UI" w:eastAsia="Microsoft YaHei UI"/>
      <w:spacing w:val="2"/>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5"/>
    <w:unhideWhenUsed/>
    <w:qFormat/>
    <w:uiPriority w:val="99"/>
    <w:pPr>
      <w:jc w:val="left"/>
    </w:pPr>
  </w:style>
  <w:style w:type="paragraph" w:styleId="7">
    <w:name w:val="Body Text"/>
    <w:basedOn w:val="1"/>
    <w:next w:val="1"/>
    <w:link w:val="38"/>
    <w:qFormat/>
    <w:uiPriority w:val="1"/>
    <w:pPr>
      <w:spacing w:before="36"/>
      <w:ind w:left="780"/>
      <w:jc w:val="left"/>
    </w:pPr>
    <w:rPr>
      <w:rFonts w:ascii="宋体" w:hAnsi="宋体" w:eastAsia="宋体"/>
      <w:kern w:val="0"/>
      <w:szCs w:val="21"/>
      <w:lang w:eastAsia="en-US"/>
    </w:rPr>
  </w:style>
  <w:style w:type="paragraph" w:styleId="8">
    <w:name w:val="Body Text Indent"/>
    <w:basedOn w:val="1"/>
    <w:next w:val="9"/>
    <w:unhideWhenUsed/>
    <w:qFormat/>
    <w:uiPriority w:val="0"/>
    <w:pPr>
      <w:spacing w:after="120"/>
      <w:ind w:left="420" w:leftChars="200"/>
    </w:pPr>
  </w:style>
  <w:style w:type="paragraph" w:styleId="9">
    <w:name w:val="envelope return"/>
    <w:basedOn w:val="1"/>
    <w:qFormat/>
    <w:uiPriority w:val="0"/>
    <w:pPr>
      <w:snapToGrid w:val="0"/>
    </w:pPr>
    <w:rPr>
      <w:rFonts w:ascii="Arial" w:hAnsi="Arial" w:eastAsia="等线" w:cs="等线"/>
    </w:rPr>
  </w:style>
  <w:style w:type="paragraph" w:styleId="10">
    <w:name w:val="Balloon Text"/>
    <w:basedOn w:val="1"/>
    <w:link w:val="34"/>
    <w:semiHidden/>
    <w:unhideWhenUsed/>
    <w:qFormat/>
    <w:uiPriority w:val="99"/>
    <w:rPr>
      <w:sz w:val="18"/>
      <w:szCs w:val="18"/>
    </w:rPr>
  </w:style>
  <w:style w:type="paragraph" w:styleId="11">
    <w:name w:val="footer"/>
    <w:basedOn w:val="1"/>
    <w:link w:val="33"/>
    <w:unhideWhenUsed/>
    <w:qFormat/>
    <w:uiPriority w:val="99"/>
    <w:pPr>
      <w:tabs>
        <w:tab w:val="center" w:pos="4153"/>
        <w:tab w:val="right" w:pos="8306"/>
      </w:tabs>
      <w:snapToGrid w:val="0"/>
      <w:jc w:val="left"/>
    </w:pPr>
    <w:rPr>
      <w:sz w:val="18"/>
      <w:szCs w:val="18"/>
    </w:rPr>
  </w:style>
  <w:style w:type="paragraph" w:styleId="12">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8637"/>
      </w:tabs>
      <w:spacing w:before="120" w:after="120" w:line="360" w:lineRule="auto"/>
      <w:jc w:val="left"/>
      <w:outlineLvl w:val="0"/>
    </w:pPr>
    <w:rPr>
      <w:rFonts w:ascii="Calibri" w:hAnsi="Calibri" w:cs="Calibri"/>
      <w:b/>
      <w:bCs/>
      <w:color w:val="000000"/>
      <w:sz w:val="28"/>
    </w:rPr>
  </w:style>
  <w:style w:type="paragraph" w:styleId="14">
    <w:name w:val="Title"/>
    <w:basedOn w:val="1"/>
    <w:qFormat/>
    <w:uiPriority w:val="0"/>
    <w:pPr>
      <w:spacing w:before="240" w:after="60"/>
      <w:jc w:val="center"/>
      <w:outlineLvl w:val="0"/>
    </w:pPr>
    <w:rPr>
      <w:rFonts w:ascii="Arial" w:hAnsi="Arial" w:eastAsia="楷体_GB2312"/>
      <w:b/>
      <w:bCs/>
      <w:sz w:val="32"/>
      <w:szCs w:val="32"/>
    </w:rPr>
  </w:style>
  <w:style w:type="paragraph" w:styleId="15">
    <w:name w:val="Body Text First Indent 2"/>
    <w:basedOn w:val="8"/>
    <w:semiHidden/>
    <w:unhideWhenUsed/>
    <w:qFormat/>
    <w:uiPriority w:val="99"/>
    <w:pPr>
      <w:ind w:firstLine="420" w:firstLineChars="200"/>
    </w:pPr>
  </w:style>
  <w:style w:type="character" w:styleId="18">
    <w:name w:val="Strong"/>
    <w:basedOn w:val="17"/>
    <w:qFormat/>
    <w:uiPriority w:val="22"/>
    <w:rPr>
      <w:b/>
      <w:bCs/>
    </w:rPr>
  </w:style>
  <w:style w:type="character" w:styleId="19">
    <w:name w:val="FollowedHyperlink"/>
    <w:basedOn w:val="17"/>
    <w:semiHidden/>
    <w:unhideWhenUsed/>
    <w:qFormat/>
    <w:uiPriority w:val="99"/>
    <w:rPr>
      <w:color w:val="333333"/>
      <w:u w:val="none"/>
    </w:rPr>
  </w:style>
  <w:style w:type="character" w:styleId="20">
    <w:name w:val="Emphasis"/>
    <w:basedOn w:val="17"/>
    <w:qFormat/>
    <w:uiPriority w:val="20"/>
    <w:rPr>
      <w:b/>
      <w:bCs/>
    </w:rPr>
  </w:style>
  <w:style w:type="character" w:styleId="21">
    <w:name w:val="HTML Definition"/>
    <w:basedOn w:val="17"/>
    <w:semiHidden/>
    <w:unhideWhenUsed/>
    <w:qFormat/>
    <w:uiPriority w:val="99"/>
  </w:style>
  <w:style w:type="character" w:styleId="22">
    <w:name w:val="HTML Typewriter"/>
    <w:basedOn w:val="17"/>
    <w:semiHidden/>
    <w:unhideWhenUsed/>
    <w:qFormat/>
    <w:uiPriority w:val="99"/>
    <w:rPr>
      <w:rFonts w:hint="default" w:ascii="monospace" w:hAnsi="monospace" w:eastAsia="monospace" w:cs="monospace"/>
      <w:sz w:val="20"/>
    </w:rPr>
  </w:style>
  <w:style w:type="character" w:styleId="23">
    <w:name w:val="HTML Acronym"/>
    <w:basedOn w:val="17"/>
    <w:semiHidden/>
    <w:unhideWhenUsed/>
    <w:qFormat/>
    <w:uiPriority w:val="99"/>
  </w:style>
  <w:style w:type="character" w:styleId="24">
    <w:name w:val="HTML Variable"/>
    <w:basedOn w:val="17"/>
    <w:semiHidden/>
    <w:unhideWhenUsed/>
    <w:qFormat/>
    <w:uiPriority w:val="99"/>
  </w:style>
  <w:style w:type="character" w:styleId="25">
    <w:name w:val="Hyperlink"/>
    <w:basedOn w:val="17"/>
    <w:unhideWhenUsed/>
    <w:qFormat/>
    <w:uiPriority w:val="99"/>
    <w:rPr>
      <w:color w:val="0000FF" w:themeColor="hyperlink"/>
      <w:u w:val="single"/>
      <w14:textFill>
        <w14:solidFill>
          <w14:schemeClr w14:val="hlink"/>
        </w14:solidFill>
      </w14:textFill>
    </w:rPr>
  </w:style>
  <w:style w:type="character" w:styleId="26">
    <w:name w:val="HTML Code"/>
    <w:basedOn w:val="17"/>
    <w:semiHidden/>
    <w:unhideWhenUsed/>
    <w:qFormat/>
    <w:uiPriority w:val="99"/>
    <w:rPr>
      <w:rFonts w:ascii="monospace" w:hAnsi="monospace" w:eastAsia="monospace" w:cs="monospace"/>
      <w:sz w:val="20"/>
    </w:rPr>
  </w:style>
  <w:style w:type="character" w:styleId="27">
    <w:name w:val="annotation reference"/>
    <w:basedOn w:val="17"/>
    <w:semiHidden/>
    <w:unhideWhenUsed/>
    <w:qFormat/>
    <w:uiPriority w:val="99"/>
    <w:rPr>
      <w:sz w:val="21"/>
      <w:szCs w:val="21"/>
    </w:rPr>
  </w:style>
  <w:style w:type="character" w:styleId="28">
    <w:name w:val="HTML Cite"/>
    <w:basedOn w:val="17"/>
    <w:semiHidden/>
    <w:unhideWhenUsed/>
    <w:qFormat/>
    <w:uiPriority w:val="99"/>
  </w:style>
  <w:style w:type="character" w:styleId="29">
    <w:name w:val="HTML Keyboard"/>
    <w:basedOn w:val="17"/>
    <w:semiHidden/>
    <w:unhideWhenUsed/>
    <w:qFormat/>
    <w:uiPriority w:val="99"/>
    <w:rPr>
      <w:rFonts w:hint="default" w:ascii="monospace" w:hAnsi="monospace" w:eastAsia="monospace" w:cs="monospace"/>
      <w:sz w:val="20"/>
    </w:rPr>
  </w:style>
  <w:style w:type="character" w:styleId="30">
    <w:name w:val="HTML Sample"/>
    <w:basedOn w:val="17"/>
    <w:semiHidden/>
    <w:unhideWhenUsed/>
    <w:qFormat/>
    <w:uiPriority w:val="99"/>
    <w:rPr>
      <w:rFonts w:hint="default" w:ascii="monospace" w:hAnsi="monospace" w:eastAsia="monospace" w:cs="monospace"/>
    </w:rPr>
  </w:style>
  <w:style w:type="paragraph" w:styleId="31">
    <w:name w:val="List Paragraph"/>
    <w:basedOn w:val="1"/>
    <w:qFormat/>
    <w:uiPriority w:val="34"/>
    <w:pPr>
      <w:widowControl/>
      <w:ind w:firstLine="420"/>
    </w:pPr>
    <w:rPr>
      <w:rFonts w:ascii="Calibri" w:hAnsi="Calibri" w:eastAsia="宋体" w:cs="Calibri"/>
      <w:kern w:val="0"/>
      <w:szCs w:val="21"/>
    </w:rPr>
  </w:style>
  <w:style w:type="character" w:customStyle="1" w:styleId="32">
    <w:name w:val="页眉 Char"/>
    <w:basedOn w:val="17"/>
    <w:link w:val="12"/>
    <w:qFormat/>
    <w:uiPriority w:val="0"/>
    <w:rPr>
      <w:sz w:val="18"/>
      <w:szCs w:val="18"/>
    </w:rPr>
  </w:style>
  <w:style w:type="character" w:customStyle="1" w:styleId="33">
    <w:name w:val="页脚 Char"/>
    <w:basedOn w:val="17"/>
    <w:link w:val="11"/>
    <w:qFormat/>
    <w:uiPriority w:val="99"/>
    <w:rPr>
      <w:sz w:val="18"/>
      <w:szCs w:val="18"/>
    </w:rPr>
  </w:style>
  <w:style w:type="character" w:customStyle="1" w:styleId="34">
    <w:name w:val="批注框文本 Char"/>
    <w:basedOn w:val="17"/>
    <w:link w:val="10"/>
    <w:semiHidden/>
    <w:qFormat/>
    <w:uiPriority w:val="99"/>
    <w:rPr>
      <w:sz w:val="18"/>
      <w:szCs w:val="18"/>
    </w:rPr>
  </w:style>
  <w:style w:type="character" w:customStyle="1" w:styleId="35">
    <w:name w:val="批注文字 Char"/>
    <w:basedOn w:val="17"/>
    <w:link w:val="6"/>
    <w:qFormat/>
    <w:uiPriority w:val="99"/>
  </w:style>
  <w:style w:type="paragraph" w:customStyle="1" w:styleId="36">
    <w:name w:val="Table Paragraph"/>
    <w:basedOn w:val="1"/>
    <w:qFormat/>
    <w:uiPriority w:val="0"/>
    <w:pPr>
      <w:jc w:val="left"/>
    </w:pPr>
    <w:rPr>
      <w:kern w:val="0"/>
      <w:sz w:val="22"/>
      <w:lang w:eastAsia="en-US"/>
    </w:rPr>
  </w:style>
  <w:style w:type="paragraph" w:customStyle="1" w:styleId="37">
    <w:name w:val="标题 21"/>
    <w:basedOn w:val="1"/>
    <w:qFormat/>
    <w:uiPriority w:val="0"/>
    <w:pPr>
      <w:ind w:right="5" w:rightChars="5"/>
      <w:jc w:val="left"/>
      <w:outlineLvl w:val="2"/>
    </w:pPr>
    <w:rPr>
      <w:rFonts w:ascii="Noto Sans CJK DemiLight" w:hAnsi="Noto Sans CJK DemiLight" w:eastAsia="Noto Sans CJK DemiLight" w:cs="Times New Roman"/>
      <w:kern w:val="0"/>
      <w:sz w:val="32"/>
      <w:szCs w:val="32"/>
      <w:lang w:eastAsia="en-US"/>
    </w:rPr>
  </w:style>
  <w:style w:type="character" w:customStyle="1" w:styleId="38">
    <w:name w:val="正文文本 Char"/>
    <w:basedOn w:val="17"/>
    <w:link w:val="7"/>
    <w:qFormat/>
    <w:uiPriority w:val="1"/>
    <w:rPr>
      <w:rFonts w:ascii="宋体" w:hAnsi="宋体" w:cstheme="minorBidi"/>
      <w:sz w:val="21"/>
      <w:szCs w:val="21"/>
      <w:lang w:eastAsia="en-US"/>
    </w:rPr>
  </w:style>
  <w:style w:type="character" w:customStyle="1" w:styleId="39">
    <w:name w:val="font41"/>
    <w:basedOn w:val="17"/>
    <w:qFormat/>
    <w:uiPriority w:val="0"/>
    <w:rPr>
      <w:rFonts w:hint="eastAsia" w:ascii="宋体" w:hAnsi="宋体" w:eastAsia="宋体" w:cs="宋体"/>
      <w:color w:val="000000"/>
      <w:sz w:val="21"/>
      <w:szCs w:val="21"/>
      <w:u w:val="none"/>
    </w:rPr>
  </w:style>
  <w:style w:type="character" w:customStyle="1" w:styleId="40">
    <w:name w:val="font31"/>
    <w:basedOn w:val="17"/>
    <w:qFormat/>
    <w:uiPriority w:val="0"/>
    <w:rPr>
      <w:rFonts w:hint="default" w:ascii="Times New Roman" w:hAnsi="Times New Roman" w:cs="Times New Roman"/>
      <w:color w:val="000000"/>
      <w:sz w:val="21"/>
      <w:szCs w:val="21"/>
      <w:u w:val="none"/>
    </w:rPr>
  </w:style>
  <w:style w:type="paragraph" w:customStyle="1" w:styleId="41">
    <w:name w:val="文本"/>
    <w:basedOn w:val="1"/>
    <w:qFormat/>
    <w:uiPriority w:val="0"/>
    <w:pPr>
      <w:spacing w:line="360" w:lineRule="auto"/>
      <w:ind w:firstLine="480" w:firstLineChars="200"/>
      <w:jc w:val="left"/>
    </w:pPr>
    <w:rPr>
      <w:rFonts w:ascii="宋体" w:hAnsi="宋体" w:cs="Arial"/>
      <w:sz w:val="24"/>
      <w:szCs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43">
    <w:name w:val="comboiconspanclear"/>
    <w:basedOn w:val="17"/>
    <w:qFormat/>
    <w:uiPriority w:val="0"/>
  </w:style>
  <w:style w:type="character" w:customStyle="1" w:styleId="44">
    <w:name w:val="ui-icon"/>
    <w:basedOn w:val="17"/>
    <w:qFormat/>
    <w:uiPriority w:val="0"/>
  </w:style>
  <w:style w:type="character" w:customStyle="1" w:styleId="45">
    <w:name w:val="clear"/>
    <w:basedOn w:val="17"/>
    <w:qFormat/>
    <w:uiPriority w:val="0"/>
  </w:style>
  <w:style w:type="character" w:customStyle="1" w:styleId="46">
    <w:name w:val="comboiconspan"/>
    <w:basedOn w:val="17"/>
    <w:qFormat/>
    <w:uiPriority w:val="0"/>
  </w:style>
  <w:style w:type="character" w:customStyle="1" w:styleId="47">
    <w:name w:val="select"/>
    <w:basedOn w:val="17"/>
    <w:qFormat/>
    <w:uiPriority w:val="0"/>
  </w:style>
  <w:style w:type="paragraph" w:customStyle="1" w:styleId="48">
    <w:name w:val="_Style 45"/>
    <w:basedOn w:val="1"/>
    <w:next w:val="1"/>
    <w:qFormat/>
    <w:uiPriority w:val="0"/>
    <w:pPr>
      <w:pBdr>
        <w:bottom w:val="single" w:color="auto" w:sz="6" w:space="1"/>
      </w:pBdr>
      <w:jc w:val="center"/>
    </w:pPr>
    <w:rPr>
      <w:rFonts w:ascii="Arial" w:eastAsia="宋体"/>
      <w:vanish/>
      <w:sz w:val="16"/>
    </w:rPr>
  </w:style>
  <w:style w:type="paragraph" w:customStyle="1" w:styleId="49">
    <w:name w:val="_Style 46"/>
    <w:basedOn w:val="1"/>
    <w:next w:val="1"/>
    <w:qFormat/>
    <w:uiPriority w:val="0"/>
    <w:pPr>
      <w:pBdr>
        <w:top w:val="single" w:color="auto" w:sz="6" w:space="1"/>
      </w:pBdr>
      <w:jc w:val="center"/>
    </w:pPr>
    <w:rPr>
      <w:rFonts w:ascii="Arial" w:eastAsia="宋体"/>
      <w:vanish/>
      <w:sz w:val="16"/>
    </w:rPr>
  </w:style>
  <w:style w:type="character" w:customStyle="1" w:styleId="50">
    <w:name w:val="ui-icon47"/>
    <w:basedOn w:val="17"/>
    <w:qFormat/>
    <w:uiPriority w:val="0"/>
  </w:style>
  <w:style w:type="character" w:customStyle="1" w:styleId="51">
    <w:name w:val="font11"/>
    <w:basedOn w:val="17"/>
    <w:qFormat/>
    <w:uiPriority w:val="0"/>
    <w:rPr>
      <w:rFonts w:hint="eastAsia" w:ascii="仿宋_GB2312" w:eastAsia="仿宋_GB2312" w:cs="仿宋_GB2312"/>
      <w:color w:val="000000"/>
      <w:sz w:val="21"/>
      <w:szCs w:val="21"/>
      <w:u w:val="none"/>
    </w:rPr>
  </w:style>
  <w:style w:type="character" w:customStyle="1" w:styleId="52">
    <w:name w:val="font21"/>
    <w:basedOn w:val="17"/>
    <w:qFormat/>
    <w:uiPriority w:val="0"/>
    <w:rPr>
      <w:rFonts w:hint="eastAsia" w:ascii="宋体" w:hAnsi="宋体" w:eastAsia="宋体" w:cs="宋体"/>
      <w:color w:val="000000"/>
      <w:sz w:val="22"/>
      <w:szCs w:val="22"/>
      <w:u w:val="none"/>
    </w:rPr>
  </w:style>
  <w:style w:type="paragraph" w:customStyle="1" w:styleId="53">
    <w:name w:val="toa"/>
    <w:basedOn w:val="1"/>
    <w:qFormat/>
    <w:uiPriority w:val="0"/>
    <w:pPr>
      <w:widowControl/>
      <w:tabs>
        <w:tab w:val="left" w:pos="9000"/>
        <w:tab w:val="right" w:pos="9360"/>
      </w:tabs>
      <w:suppressAutoHyphens/>
      <w:jc w:val="left"/>
    </w:pPr>
    <w:rPr>
      <w:rFonts w:ascii="Arial" w:hAnsi="Arial"/>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1294</Words>
  <Characters>7377</Characters>
  <Lines>61</Lines>
  <Paragraphs>17</Paragraphs>
  <TotalTime>5</TotalTime>
  <ScaleCrop>false</ScaleCrop>
  <LinksUpToDate>false</LinksUpToDate>
  <CharactersWithSpaces>8654</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2021-02-25T08:13:00Z</dcterms:created>
  <dc:creator>李津</dc:creator>
  <cp:lastModifiedBy>郭超</cp:lastModifiedBy>
  <cp:lastPrinted>2020-12-03T06:05:00Z</cp:lastPrinted>
  <dcterms:modified xsi:type="dcterms:W3CDTF">2025-03-27T00:34:40Z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829B3229480F40DD9C4F899C3B3F1BD0</vt:lpwstr>
  </property>
</Properties>
</file>